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3273" w14:textId="075C86DD" w:rsidR="001C36CB" w:rsidRDefault="00CB27B6" w:rsidP="00E95B48">
      <w:pPr>
        <w:jc w:val="center"/>
        <w:divId w:val="883175901"/>
        <w:rPr>
          <w:rFonts w:eastAsia="Times New Roman"/>
          <w:b/>
          <w:sz w:val="36"/>
          <w:szCs w:val="36"/>
        </w:rPr>
      </w:pPr>
      <w:r w:rsidRPr="00CB27B6">
        <w:rPr>
          <w:rFonts w:eastAsia="Times New Roman"/>
          <w:b/>
          <w:sz w:val="36"/>
          <w:szCs w:val="36"/>
        </w:rPr>
        <w:drawing>
          <wp:inline distT="0" distB="0" distL="0" distR="0" wp14:anchorId="03AE7859" wp14:editId="574BA5D1">
            <wp:extent cx="1607802" cy="715711"/>
            <wp:effectExtent l="0" t="0" r="5715" b="0"/>
            <wp:docPr id="4" name="Picture 3" descr="UNITLIFE INVESTMENT STRATEGY 2020-2022">
              <a:extLst xmlns:a="http://schemas.openxmlformats.org/drawingml/2006/main">
                <a:ext uri="{FF2B5EF4-FFF2-40B4-BE49-F238E27FC236}">
                  <a16:creationId xmlns:a16="http://schemas.microsoft.com/office/drawing/2014/main" id="{1C4FF69E-6D44-30A4-D8F6-A349D7E380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UNITLIFE INVESTMENT STRATEGY 2020-2022">
                      <a:extLst>
                        <a:ext uri="{FF2B5EF4-FFF2-40B4-BE49-F238E27FC236}">
                          <a16:creationId xmlns:a16="http://schemas.microsoft.com/office/drawing/2014/main" id="{1C4FF69E-6D44-30A4-D8F6-A349D7E3804C}"/>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90" t="190" r="-1"/>
                    <a:stretch>
                      <a:fillRect/>
                    </a:stretch>
                  </pic:blipFill>
                  <pic:spPr bwMode="auto">
                    <a:xfrm>
                      <a:off x="0" y="0"/>
                      <a:ext cx="1607802" cy="71571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0248A7F" w14:textId="77777777" w:rsidR="00CB27B6" w:rsidRDefault="00CB27B6" w:rsidP="00E95B48">
      <w:pPr>
        <w:jc w:val="center"/>
        <w:divId w:val="883175901"/>
        <w:rPr>
          <w:rFonts w:eastAsia="Times New Roman"/>
          <w:b/>
          <w:sz w:val="36"/>
          <w:szCs w:val="36"/>
        </w:rPr>
      </w:pPr>
    </w:p>
    <w:p w14:paraId="2AFB49A8" w14:textId="60383505" w:rsidR="00C728B4" w:rsidRPr="00E95B48" w:rsidRDefault="00AD59B7" w:rsidP="00E95B48">
      <w:pPr>
        <w:jc w:val="center"/>
        <w:divId w:val="883175901"/>
        <w:rPr>
          <w:rFonts w:eastAsia="Times New Roman"/>
          <w:b/>
          <w:sz w:val="36"/>
          <w:szCs w:val="36"/>
        </w:rPr>
      </w:pPr>
      <w:r w:rsidRPr="45AB9615">
        <w:rPr>
          <w:rFonts w:eastAsia="Times New Roman"/>
          <w:b/>
          <w:sz w:val="36"/>
          <w:szCs w:val="36"/>
        </w:rPr>
        <w:t>Project Title</w:t>
      </w:r>
      <w:r w:rsidR="00CB27B6">
        <w:rPr>
          <w:rFonts w:eastAsia="Times New Roman"/>
          <w:b/>
          <w:sz w:val="36"/>
          <w:szCs w:val="36"/>
        </w:rPr>
        <w:t xml:space="preserve">: </w:t>
      </w:r>
      <w:r w:rsidR="00CB27B6" w:rsidRPr="00CB27B6">
        <w:rPr>
          <w:rFonts w:eastAsia="Times New Roman"/>
          <w:b/>
          <w:sz w:val="36"/>
          <w:szCs w:val="36"/>
        </w:rPr>
        <w:t>UNITLIFE</w:t>
      </w:r>
      <w:r w:rsidR="00CB27B6">
        <w:rPr>
          <w:rFonts w:eastAsia="Times New Roman"/>
          <w:b/>
          <w:sz w:val="36"/>
          <w:szCs w:val="36"/>
        </w:rPr>
        <w:t xml:space="preserve"> operationalization and scale-up</w:t>
      </w:r>
    </w:p>
    <w:p w14:paraId="05456B35" w14:textId="65C954E4" w:rsidR="00C728B4" w:rsidRPr="00E95B48" w:rsidRDefault="00CB27B6" w:rsidP="00E95B48">
      <w:pPr>
        <w:jc w:val="center"/>
        <w:divId w:val="797646868"/>
        <w:rPr>
          <w:rFonts w:eastAsia="Times New Roman"/>
          <w:b/>
          <w:sz w:val="36"/>
          <w:szCs w:val="36"/>
        </w:rPr>
      </w:pPr>
      <w:r w:rsidRPr="00CB27B6">
        <w:rPr>
          <w:rFonts w:eastAsia="Times New Roman"/>
          <w:b/>
          <w:sz w:val="36"/>
          <w:szCs w:val="36"/>
        </w:rPr>
        <w:t>UNITLIFE Secretariat project (00116477),</w:t>
      </w:r>
    </w:p>
    <w:p w14:paraId="532E7412" w14:textId="6670ACFF" w:rsidR="00C728B4" w:rsidRPr="00E95B48" w:rsidRDefault="00C728B4" w:rsidP="00E95B48">
      <w:pPr>
        <w:jc w:val="center"/>
        <w:divId w:val="591088310"/>
        <w:rPr>
          <w:rFonts w:eastAsia="Times New Roman"/>
          <w:b/>
          <w:sz w:val="36"/>
          <w:szCs w:val="36"/>
        </w:rPr>
      </w:pPr>
      <w:r w:rsidRPr="45AB9615">
        <w:rPr>
          <w:rFonts w:eastAsia="Times New Roman"/>
          <w:b/>
          <w:sz w:val="36"/>
          <w:szCs w:val="36"/>
        </w:rPr>
        <w:t>R</w:t>
      </w:r>
      <w:r w:rsidR="00AD59B7" w:rsidRPr="45AB9615">
        <w:rPr>
          <w:rFonts w:eastAsia="Times New Roman"/>
          <w:b/>
          <w:sz w:val="36"/>
          <w:szCs w:val="36"/>
        </w:rPr>
        <w:t>eporting Period</w:t>
      </w:r>
      <w:r w:rsidR="00CB27B6">
        <w:rPr>
          <w:rFonts w:eastAsia="Times New Roman"/>
          <w:b/>
          <w:sz w:val="36"/>
          <w:szCs w:val="36"/>
        </w:rPr>
        <w:t>: 2019-2025</w:t>
      </w:r>
    </w:p>
    <w:p w14:paraId="3827A9A3" w14:textId="77777777" w:rsidR="00C728B4" w:rsidRDefault="00C728B4">
      <w:pPr>
        <w:spacing w:after="240"/>
        <w:rPr>
          <w:rFonts w:eastAsia="Times New Roman"/>
        </w:rPr>
      </w:pPr>
    </w:p>
    <w:p w14:paraId="72D36BDF" w14:textId="77777777" w:rsidR="00C728B4" w:rsidRPr="00AD59B7" w:rsidRDefault="00C728B4">
      <w:pPr>
        <w:spacing w:after="240"/>
        <w:rPr>
          <w:rFonts w:eastAsia="Times New Roman"/>
          <w:color w:val="000000" w:themeColor="text1"/>
        </w:rPr>
      </w:pPr>
      <w:r>
        <w:br/>
      </w:r>
      <w:r>
        <w:br/>
      </w:r>
      <w:r>
        <w:br/>
      </w:r>
      <w:r>
        <w:br/>
      </w:r>
      <w:r>
        <w:br/>
      </w:r>
      <w:r>
        <w:br/>
      </w:r>
      <w:r>
        <w:br/>
      </w:r>
      <w:r>
        <w:br/>
      </w:r>
      <w:r>
        <w:br/>
      </w:r>
      <w:r>
        <w:br/>
      </w:r>
      <w:r>
        <w:br/>
      </w:r>
      <w:r>
        <w:br/>
      </w:r>
      <w:r>
        <w:br/>
      </w:r>
      <w:r>
        <w:br/>
      </w:r>
      <w:r>
        <w:br/>
      </w:r>
      <w:r>
        <w:br/>
      </w:r>
      <w:r>
        <w:br/>
      </w:r>
      <w:r>
        <w:br/>
      </w:r>
      <w:r>
        <w:br/>
      </w:r>
      <w:r>
        <w:br/>
      </w:r>
    </w:p>
    <w:p w14:paraId="70C69DD4" w14:textId="0499A4AD" w:rsidR="00C728B4" w:rsidRDefault="00C728B4" w:rsidP="00E95B48">
      <w:pPr>
        <w:pStyle w:val="NormalWeb"/>
        <w:jc w:val="center"/>
        <w:outlineLvl w:val="6"/>
        <w:divId w:val="1193114142"/>
        <w:rPr>
          <w:rFonts w:eastAsia="Times New Roman"/>
          <w:color w:val="000000" w:themeColor="text1"/>
          <w:sz w:val="27"/>
          <w:szCs w:val="27"/>
        </w:rPr>
      </w:pPr>
      <w:r w:rsidRPr="45AB9615">
        <w:rPr>
          <w:rFonts w:eastAsia="Times New Roman"/>
          <w:color w:val="000000" w:themeColor="text1"/>
          <w:sz w:val="27"/>
          <w:szCs w:val="27"/>
        </w:rPr>
        <w:t xml:space="preserve">REPORT DATE: </w:t>
      </w:r>
      <w:r w:rsidR="00CB27B6">
        <w:rPr>
          <w:rFonts w:eastAsia="Times New Roman"/>
          <w:color w:val="000000" w:themeColor="text1"/>
          <w:sz w:val="27"/>
          <w:szCs w:val="27"/>
        </w:rPr>
        <w:t>15</w:t>
      </w:r>
      <w:r w:rsidR="00AD59B7" w:rsidRPr="45AB9615">
        <w:rPr>
          <w:rFonts w:eastAsia="Times New Roman"/>
          <w:color w:val="000000" w:themeColor="text1"/>
          <w:sz w:val="27"/>
          <w:szCs w:val="27"/>
        </w:rPr>
        <w:t>-</w:t>
      </w:r>
      <w:r w:rsidR="00CB27B6">
        <w:rPr>
          <w:rFonts w:eastAsia="Times New Roman"/>
          <w:color w:val="000000" w:themeColor="text1"/>
          <w:sz w:val="27"/>
          <w:szCs w:val="27"/>
        </w:rPr>
        <w:t>12</w:t>
      </w:r>
      <w:r w:rsidR="00AD59B7" w:rsidRPr="45AB9615">
        <w:rPr>
          <w:rFonts w:eastAsia="Times New Roman"/>
          <w:color w:val="000000" w:themeColor="text1"/>
          <w:sz w:val="27"/>
          <w:szCs w:val="27"/>
        </w:rPr>
        <w:t>-20</w:t>
      </w:r>
      <w:r w:rsidR="00CB27B6">
        <w:rPr>
          <w:rFonts w:eastAsia="Times New Roman"/>
          <w:color w:val="000000" w:themeColor="text1"/>
          <w:sz w:val="27"/>
          <w:szCs w:val="27"/>
        </w:rPr>
        <w:t>25</w:t>
      </w:r>
      <w:r w:rsidRPr="45AB9615">
        <w:rPr>
          <w:rFonts w:eastAsia="Times New Roman"/>
          <w:color w:val="000000" w:themeColor="text1"/>
          <w:sz w:val="27"/>
          <w:szCs w:val="27"/>
        </w:rPr>
        <w:t xml:space="preserve"> </w:t>
      </w:r>
    </w:p>
    <w:p w14:paraId="41A95D89" w14:textId="77777777" w:rsidR="00E95B48" w:rsidRDefault="00E95B48" w:rsidP="00E95B48">
      <w:pPr>
        <w:pStyle w:val="NormalWeb"/>
        <w:jc w:val="center"/>
        <w:outlineLvl w:val="6"/>
        <w:divId w:val="1193114142"/>
        <w:rPr>
          <w:rFonts w:eastAsia="Times New Roman"/>
          <w:color w:val="000000" w:themeColor="text1"/>
          <w:sz w:val="27"/>
          <w:szCs w:val="27"/>
        </w:rPr>
      </w:pPr>
    </w:p>
    <w:p w14:paraId="62341809" w14:textId="77777777" w:rsidR="00E95B48" w:rsidRPr="00EB4D4C" w:rsidRDefault="00E95B48" w:rsidP="00E95B48">
      <w:pPr>
        <w:pStyle w:val="NormalWeb"/>
        <w:jc w:val="center"/>
        <w:outlineLvl w:val="6"/>
        <w:divId w:val="1193114142"/>
        <w:rPr>
          <w:rFonts w:eastAsia="Times New Roman"/>
          <w:color w:val="000000" w:themeColor="text1"/>
          <w:sz w:val="27"/>
          <w:szCs w:val="27"/>
        </w:rPr>
      </w:pPr>
    </w:p>
    <w:p w14:paraId="071378B0" w14:textId="77777777" w:rsidR="00E95B48" w:rsidRPr="00EB4D4C" w:rsidRDefault="00E95B48" w:rsidP="00E95B48">
      <w:pPr>
        <w:pStyle w:val="NormalWeb"/>
        <w:jc w:val="center"/>
        <w:outlineLvl w:val="6"/>
        <w:divId w:val="1193114142"/>
        <w:rPr>
          <w:rFonts w:eastAsia="Times New Roman"/>
          <w:color w:val="000000" w:themeColor="text1"/>
          <w:sz w:val="27"/>
          <w:szCs w:val="27"/>
        </w:rPr>
      </w:pPr>
    </w:p>
    <w:p w14:paraId="5085F5EF" w14:textId="648CD572" w:rsidR="4463663B" w:rsidRPr="00EB4D4C" w:rsidRDefault="4463663B" w:rsidP="4463663B">
      <w:pPr>
        <w:pStyle w:val="NormalWeb"/>
        <w:jc w:val="center"/>
        <w:outlineLvl w:val="6"/>
        <w:rPr>
          <w:rFonts w:eastAsia="Times New Roman"/>
          <w:color w:val="000000" w:themeColor="text1"/>
          <w:sz w:val="27"/>
          <w:szCs w:val="27"/>
        </w:rPr>
      </w:pPr>
    </w:p>
    <w:p w14:paraId="4F6D0372" w14:textId="6869BA49" w:rsidR="4463663B" w:rsidRPr="00EB4D4C" w:rsidRDefault="4463663B" w:rsidP="4463663B">
      <w:pPr>
        <w:pStyle w:val="NormalWeb"/>
        <w:jc w:val="center"/>
        <w:outlineLvl w:val="6"/>
        <w:rPr>
          <w:rFonts w:eastAsia="Times New Roman"/>
          <w:color w:val="000000" w:themeColor="text1"/>
          <w:sz w:val="27"/>
          <w:szCs w:val="27"/>
        </w:rPr>
      </w:pPr>
    </w:p>
    <w:p w14:paraId="7B66ACD8" w14:textId="60D7E893" w:rsidR="4463663B" w:rsidRPr="00EB4D4C" w:rsidRDefault="4463663B" w:rsidP="4463663B">
      <w:pPr>
        <w:pStyle w:val="NormalWeb"/>
        <w:jc w:val="center"/>
        <w:outlineLvl w:val="6"/>
        <w:rPr>
          <w:rFonts w:eastAsia="Times New Roman"/>
          <w:color w:val="000000" w:themeColor="text1"/>
          <w:sz w:val="27"/>
          <w:szCs w:val="27"/>
        </w:rPr>
      </w:pPr>
    </w:p>
    <w:p w14:paraId="22D94FA3" w14:textId="77777777" w:rsidR="00E95B48" w:rsidRPr="00EB4D4C" w:rsidRDefault="00E95B48" w:rsidP="00E95B48">
      <w:pPr>
        <w:pStyle w:val="NormalWeb"/>
        <w:jc w:val="center"/>
        <w:outlineLvl w:val="6"/>
        <w:divId w:val="1193114142"/>
        <w:rPr>
          <w:rFonts w:eastAsia="Times New Roman"/>
          <w:color w:val="000000" w:themeColor="text1"/>
          <w:sz w:val="27"/>
          <w:szCs w:val="27"/>
        </w:rPr>
      </w:pPr>
    </w:p>
    <w:p w14:paraId="6935A539" w14:textId="08C8A778" w:rsidR="00E95B48" w:rsidRPr="00EB4D4C" w:rsidRDefault="00E95B48" w:rsidP="00E95B48">
      <w:pPr>
        <w:pStyle w:val="NormalWeb"/>
        <w:jc w:val="center"/>
        <w:outlineLvl w:val="6"/>
        <w:divId w:val="1193114142"/>
        <w:rPr>
          <w:rFonts w:eastAsia="Times New Roman"/>
          <w:color w:val="000000" w:themeColor="text1"/>
          <w:sz w:val="27"/>
          <w:szCs w:val="27"/>
        </w:rPr>
      </w:pPr>
      <w:r w:rsidRPr="00EB4D4C">
        <w:rPr>
          <w:rFonts w:eastAsia="Times New Roman"/>
          <w:color w:val="000000" w:themeColor="text1"/>
          <w:sz w:val="27"/>
          <w:szCs w:val="27"/>
        </w:rPr>
        <w:t>Table of Content</w:t>
      </w:r>
    </w:p>
    <w:p w14:paraId="7164D660" w14:textId="45028CB8" w:rsidR="00E95B48" w:rsidRPr="00EB4D4C" w:rsidRDefault="00E95B48" w:rsidP="00E95B48">
      <w:pPr>
        <w:pStyle w:val="TOC1"/>
        <w:tabs>
          <w:tab w:val="left" w:pos="480"/>
          <w:tab w:val="right" w:leader="dot" w:pos="9350"/>
        </w:tabs>
        <w:divId w:val="1193114142"/>
        <w:rPr>
          <w:rFonts w:eastAsia="Times New Roman"/>
          <w:kern w:val="2"/>
          <w14:ligatures w14:val="standardContextual"/>
        </w:rPr>
      </w:pPr>
      <w:r>
        <w:rPr>
          <w:rFonts w:ascii="Calibri" w:hAnsi="Calibri" w:cs="Calibri"/>
          <w:color w:val="000000" w:themeColor="text1"/>
          <w:sz w:val="27"/>
          <w:szCs w:val="27"/>
        </w:rPr>
        <w:fldChar w:fldCharType="begin"/>
      </w:r>
      <w:r>
        <w:rPr>
          <w:rFonts w:ascii="Calibri" w:hAnsi="Calibri" w:cs="Calibri"/>
          <w:color w:val="000000" w:themeColor="text1"/>
          <w:sz w:val="27"/>
          <w:szCs w:val="27"/>
        </w:rPr>
        <w:instrText xml:space="preserve"> TOC \o "1-3" \h \z \u </w:instrText>
      </w:r>
      <w:r>
        <w:rPr>
          <w:rFonts w:ascii="Calibri" w:hAnsi="Calibri" w:cs="Calibri"/>
          <w:color w:val="000000" w:themeColor="text1"/>
          <w:sz w:val="27"/>
          <w:szCs w:val="27"/>
        </w:rPr>
        <w:fldChar w:fldCharType="separate"/>
      </w:r>
      <w:hyperlink w:anchor="_Toc192079710" w:history="1">
        <w:r w:rsidRPr="00C8114A">
          <w:rPr>
            <w:rStyle w:val="Hyperlink"/>
            <w:noProof/>
          </w:rPr>
          <w:t>1.</w:t>
        </w:r>
        <w:r>
          <w:rPr>
            <w:rFonts w:asciiTheme="minorHAnsi" w:hAnsiTheme="minorHAnsi" w:cstheme="minorBidi"/>
            <w:noProof/>
            <w:kern w:val="2"/>
            <w14:ligatures w14:val="standardContextual"/>
          </w:rPr>
          <w:tab/>
        </w:r>
        <w:r w:rsidRPr="00C8114A">
          <w:rPr>
            <w:rStyle w:val="Hyperlink"/>
            <w:noProof/>
          </w:rPr>
          <w:t>Executive Summary</w:t>
        </w:r>
        <w:r>
          <w:rPr>
            <w:noProof/>
            <w:webHidden/>
          </w:rPr>
          <w:tab/>
        </w:r>
        <w:r>
          <w:rPr>
            <w:noProof/>
            <w:webHidden/>
          </w:rPr>
          <w:fldChar w:fldCharType="begin"/>
        </w:r>
        <w:r>
          <w:rPr>
            <w:noProof/>
            <w:webHidden/>
          </w:rPr>
          <w:instrText xml:space="preserve"> PAGEREF _Toc192079710 \h </w:instrText>
        </w:r>
        <w:r>
          <w:rPr>
            <w:noProof/>
            <w:webHidden/>
          </w:rPr>
        </w:r>
        <w:r>
          <w:rPr>
            <w:noProof/>
            <w:webHidden/>
          </w:rPr>
          <w:fldChar w:fldCharType="separate"/>
        </w:r>
        <w:r>
          <w:rPr>
            <w:noProof/>
            <w:webHidden/>
          </w:rPr>
          <w:t>3</w:t>
        </w:r>
        <w:r>
          <w:rPr>
            <w:noProof/>
            <w:webHidden/>
          </w:rPr>
          <w:fldChar w:fldCharType="end"/>
        </w:r>
      </w:hyperlink>
    </w:p>
    <w:p w14:paraId="4481098D" w14:textId="32AECB6C" w:rsidR="00E95B48" w:rsidRPr="00EB4D4C" w:rsidRDefault="00E95B48" w:rsidP="00E95B48">
      <w:pPr>
        <w:pStyle w:val="TOC1"/>
        <w:tabs>
          <w:tab w:val="left" w:pos="480"/>
          <w:tab w:val="right" w:leader="dot" w:pos="9350"/>
        </w:tabs>
        <w:divId w:val="1193114142"/>
        <w:rPr>
          <w:rFonts w:eastAsia="Times New Roman"/>
          <w:kern w:val="2"/>
          <w14:ligatures w14:val="standardContextual"/>
        </w:rPr>
      </w:pPr>
      <w:hyperlink w:anchor="_Toc192079711" w:history="1">
        <w:r w:rsidRPr="00C8114A">
          <w:rPr>
            <w:rStyle w:val="Hyperlink"/>
            <w:noProof/>
          </w:rPr>
          <w:t>2.</w:t>
        </w:r>
        <w:r>
          <w:rPr>
            <w:rFonts w:asciiTheme="minorHAnsi" w:hAnsiTheme="minorHAnsi" w:cstheme="minorBidi"/>
            <w:noProof/>
            <w:kern w:val="2"/>
            <w14:ligatures w14:val="standardContextual"/>
          </w:rPr>
          <w:tab/>
        </w:r>
        <w:r w:rsidRPr="00C8114A">
          <w:rPr>
            <w:rStyle w:val="Hyperlink"/>
            <w:noProof/>
          </w:rPr>
          <w:t>Background</w:t>
        </w:r>
        <w:r>
          <w:rPr>
            <w:noProof/>
            <w:webHidden/>
          </w:rPr>
          <w:tab/>
        </w:r>
        <w:r>
          <w:rPr>
            <w:noProof/>
            <w:webHidden/>
          </w:rPr>
          <w:fldChar w:fldCharType="begin"/>
        </w:r>
        <w:r>
          <w:rPr>
            <w:noProof/>
            <w:webHidden/>
          </w:rPr>
          <w:instrText xml:space="preserve"> PAGEREF _Toc192079711 \h </w:instrText>
        </w:r>
        <w:r>
          <w:rPr>
            <w:noProof/>
            <w:webHidden/>
          </w:rPr>
        </w:r>
        <w:r>
          <w:rPr>
            <w:noProof/>
            <w:webHidden/>
          </w:rPr>
          <w:fldChar w:fldCharType="separate"/>
        </w:r>
        <w:r>
          <w:rPr>
            <w:noProof/>
            <w:webHidden/>
          </w:rPr>
          <w:t>3</w:t>
        </w:r>
        <w:r>
          <w:rPr>
            <w:noProof/>
            <w:webHidden/>
          </w:rPr>
          <w:fldChar w:fldCharType="end"/>
        </w:r>
      </w:hyperlink>
    </w:p>
    <w:p w14:paraId="2558369F" w14:textId="0C76A874" w:rsidR="00E95B48" w:rsidRPr="00EB4D4C" w:rsidRDefault="00E95B48" w:rsidP="00E95B48">
      <w:pPr>
        <w:pStyle w:val="TOC1"/>
        <w:tabs>
          <w:tab w:val="left" w:pos="480"/>
          <w:tab w:val="right" w:leader="dot" w:pos="9350"/>
        </w:tabs>
        <w:divId w:val="1193114142"/>
        <w:rPr>
          <w:rFonts w:eastAsia="Times New Roman"/>
          <w:kern w:val="2"/>
          <w14:ligatures w14:val="standardContextual"/>
        </w:rPr>
      </w:pPr>
      <w:hyperlink w:anchor="_Toc192079712" w:history="1">
        <w:r w:rsidRPr="00C8114A">
          <w:rPr>
            <w:rStyle w:val="Hyperlink"/>
            <w:noProof/>
          </w:rPr>
          <w:t>3.</w:t>
        </w:r>
        <w:r>
          <w:rPr>
            <w:rFonts w:asciiTheme="minorHAnsi" w:hAnsiTheme="minorHAnsi" w:cstheme="minorBidi"/>
            <w:noProof/>
            <w:kern w:val="2"/>
            <w14:ligatures w14:val="standardContextual"/>
          </w:rPr>
          <w:tab/>
        </w:r>
        <w:r w:rsidRPr="00C8114A">
          <w:rPr>
            <w:rStyle w:val="Hyperlink"/>
            <w:noProof/>
          </w:rPr>
          <w:t>Key Results Achieved</w:t>
        </w:r>
        <w:r>
          <w:rPr>
            <w:noProof/>
            <w:webHidden/>
          </w:rPr>
          <w:tab/>
        </w:r>
        <w:r>
          <w:rPr>
            <w:noProof/>
            <w:webHidden/>
          </w:rPr>
          <w:fldChar w:fldCharType="begin"/>
        </w:r>
        <w:r>
          <w:rPr>
            <w:noProof/>
            <w:webHidden/>
          </w:rPr>
          <w:instrText xml:space="preserve"> PAGEREF _Toc192079712 \h </w:instrText>
        </w:r>
        <w:r>
          <w:rPr>
            <w:noProof/>
            <w:webHidden/>
          </w:rPr>
        </w:r>
        <w:r>
          <w:rPr>
            <w:noProof/>
            <w:webHidden/>
          </w:rPr>
          <w:fldChar w:fldCharType="separate"/>
        </w:r>
        <w:r>
          <w:rPr>
            <w:noProof/>
            <w:webHidden/>
          </w:rPr>
          <w:t>3</w:t>
        </w:r>
        <w:r>
          <w:rPr>
            <w:noProof/>
            <w:webHidden/>
          </w:rPr>
          <w:fldChar w:fldCharType="end"/>
        </w:r>
      </w:hyperlink>
    </w:p>
    <w:p w14:paraId="443447C8" w14:textId="1DFE4B2C" w:rsidR="00E95B48" w:rsidRPr="00EB4D4C" w:rsidRDefault="00E95B48" w:rsidP="00E95B48">
      <w:pPr>
        <w:pStyle w:val="TOC1"/>
        <w:tabs>
          <w:tab w:val="left" w:pos="480"/>
          <w:tab w:val="right" w:leader="dot" w:pos="9350"/>
        </w:tabs>
        <w:divId w:val="1193114142"/>
        <w:rPr>
          <w:rFonts w:eastAsia="Times New Roman"/>
          <w:kern w:val="2"/>
          <w14:ligatures w14:val="standardContextual"/>
        </w:rPr>
      </w:pPr>
      <w:hyperlink w:anchor="_Toc192079713" w:history="1">
        <w:r w:rsidRPr="00C8114A">
          <w:rPr>
            <w:rStyle w:val="Hyperlink"/>
            <w:noProof/>
          </w:rPr>
          <w:t>4.</w:t>
        </w:r>
        <w:r>
          <w:rPr>
            <w:rFonts w:asciiTheme="minorHAnsi" w:hAnsiTheme="minorHAnsi" w:cstheme="minorBidi"/>
            <w:noProof/>
            <w:kern w:val="2"/>
            <w14:ligatures w14:val="standardContextual"/>
          </w:rPr>
          <w:tab/>
        </w:r>
        <w:r w:rsidRPr="00C8114A">
          <w:rPr>
            <w:rStyle w:val="Hyperlink"/>
            <w:noProof/>
          </w:rPr>
          <w:t>Key Challenges Encountered</w:t>
        </w:r>
        <w:r>
          <w:rPr>
            <w:noProof/>
            <w:webHidden/>
          </w:rPr>
          <w:tab/>
        </w:r>
        <w:r>
          <w:rPr>
            <w:noProof/>
            <w:webHidden/>
          </w:rPr>
          <w:fldChar w:fldCharType="begin"/>
        </w:r>
        <w:r>
          <w:rPr>
            <w:noProof/>
            <w:webHidden/>
          </w:rPr>
          <w:instrText xml:space="preserve"> PAGEREF _Toc192079713 \h </w:instrText>
        </w:r>
        <w:r>
          <w:rPr>
            <w:noProof/>
            <w:webHidden/>
          </w:rPr>
        </w:r>
        <w:r>
          <w:rPr>
            <w:noProof/>
            <w:webHidden/>
          </w:rPr>
          <w:fldChar w:fldCharType="separate"/>
        </w:r>
        <w:r>
          <w:rPr>
            <w:noProof/>
            <w:webHidden/>
          </w:rPr>
          <w:t>3</w:t>
        </w:r>
        <w:r>
          <w:rPr>
            <w:noProof/>
            <w:webHidden/>
          </w:rPr>
          <w:fldChar w:fldCharType="end"/>
        </w:r>
      </w:hyperlink>
    </w:p>
    <w:p w14:paraId="58B5DBE4" w14:textId="24333D83" w:rsidR="00A65E7A" w:rsidRPr="00EB4D4C" w:rsidRDefault="00E95B48" w:rsidP="002F1887">
      <w:pPr>
        <w:pStyle w:val="TOC1"/>
        <w:tabs>
          <w:tab w:val="left" w:pos="480"/>
          <w:tab w:val="right" w:leader="dot" w:pos="9350"/>
        </w:tabs>
        <w:divId w:val="1193114142"/>
      </w:pPr>
      <w:hyperlink w:anchor="_Toc192079714" w:history="1">
        <w:r w:rsidRPr="00C8114A">
          <w:rPr>
            <w:rStyle w:val="Hyperlink"/>
            <w:noProof/>
          </w:rPr>
          <w:t>5.</w:t>
        </w:r>
        <w:r>
          <w:rPr>
            <w:rFonts w:asciiTheme="minorHAnsi" w:hAnsiTheme="minorHAnsi" w:cstheme="minorBidi"/>
            <w:noProof/>
            <w:kern w:val="2"/>
            <w14:ligatures w14:val="standardContextual"/>
          </w:rPr>
          <w:tab/>
        </w:r>
        <w:r w:rsidRPr="00C8114A">
          <w:rPr>
            <w:rStyle w:val="Hyperlink"/>
            <w:noProof/>
          </w:rPr>
          <w:t>Project Risks and Issues</w:t>
        </w:r>
        <w:r>
          <w:rPr>
            <w:noProof/>
            <w:webHidden/>
          </w:rPr>
          <w:tab/>
        </w:r>
        <w:r>
          <w:rPr>
            <w:noProof/>
            <w:webHidden/>
          </w:rPr>
          <w:fldChar w:fldCharType="begin"/>
        </w:r>
        <w:r>
          <w:rPr>
            <w:noProof/>
            <w:webHidden/>
          </w:rPr>
          <w:instrText xml:space="preserve"> PAGEREF _Toc192079714 \h </w:instrText>
        </w:r>
        <w:r>
          <w:rPr>
            <w:noProof/>
            <w:webHidden/>
          </w:rPr>
        </w:r>
        <w:r>
          <w:rPr>
            <w:noProof/>
            <w:webHidden/>
          </w:rPr>
          <w:fldChar w:fldCharType="separate"/>
        </w:r>
        <w:r>
          <w:rPr>
            <w:noProof/>
            <w:webHidden/>
          </w:rPr>
          <w:t>3</w:t>
        </w:r>
        <w:r>
          <w:rPr>
            <w:noProof/>
            <w:webHidden/>
          </w:rPr>
          <w:fldChar w:fldCharType="end"/>
        </w:r>
      </w:hyperlink>
    </w:p>
    <w:p w14:paraId="7093825D" w14:textId="1ECEE393" w:rsidR="00E95B48" w:rsidRPr="00EB4D4C" w:rsidRDefault="00E95B48" w:rsidP="00E95B48">
      <w:pPr>
        <w:pStyle w:val="TOC1"/>
        <w:tabs>
          <w:tab w:val="left" w:pos="480"/>
          <w:tab w:val="right" w:leader="dot" w:pos="9350"/>
        </w:tabs>
        <w:divId w:val="1193114142"/>
        <w:rPr>
          <w:rFonts w:eastAsia="Times New Roman"/>
          <w:kern w:val="2"/>
          <w14:ligatures w14:val="standardContextual"/>
        </w:rPr>
      </w:pPr>
      <w:hyperlink w:anchor="_Toc192079715" w:history="1">
        <w:r w:rsidRPr="00C8114A">
          <w:rPr>
            <w:rStyle w:val="Hyperlink"/>
            <w:noProof/>
          </w:rPr>
          <w:t>6.</w:t>
        </w:r>
        <w:r>
          <w:rPr>
            <w:rFonts w:asciiTheme="minorHAnsi" w:hAnsiTheme="minorHAnsi" w:cstheme="minorBidi"/>
            <w:noProof/>
            <w:kern w:val="2"/>
            <w14:ligatures w14:val="standardContextual"/>
          </w:rPr>
          <w:tab/>
        </w:r>
        <w:r w:rsidRPr="00C8114A">
          <w:rPr>
            <w:rStyle w:val="Hyperlink"/>
            <w:noProof/>
          </w:rPr>
          <w:t>Lessons Learned</w:t>
        </w:r>
        <w:r>
          <w:rPr>
            <w:noProof/>
            <w:webHidden/>
          </w:rPr>
          <w:tab/>
        </w:r>
        <w:r>
          <w:rPr>
            <w:noProof/>
            <w:webHidden/>
          </w:rPr>
          <w:fldChar w:fldCharType="begin"/>
        </w:r>
        <w:r>
          <w:rPr>
            <w:noProof/>
            <w:webHidden/>
          </w:rPr>
          <w:instrText xml:space="preserve"> PAGEREF _Toc192079715 \h </w:instrText>
        </w:r>
        <w:r>
          <w:rPr>
            <w:noProof/>
            <w:webHidden/>
          </w:rPr>
        </w:r>
        <w:r>
          <w:rPr>
            <w:noProof/>
            <w:webHidden/>
          </w:rPr>
          <w:fldChar w:fldCharType="separate"/>
        </w:r>
        <w:r>
          <w:rPr>
            <w:noProof/>
            <w:webHidden/>
          </w:rPr>
          <w:t>3</w:t>
        </w:r>
        <w:r>
          <w:rPr>
            <w:noProof/>
            <w:webHidden/>
          </w:rPr>
          <w:fldChar w:fldCharType="end"/>
        </w:r>
      </w:hyperlink>
    </w:p>
    <w:p w14:paraId="65FD0B44" w14:textId="23C4E73A" w:rsidR="00E95B48" w:rsidRPr="00EB4D4C" w:rsidRDefault="00E95B48" w:rsidP="00E95B48">
      <w:pPr>
        <w:pStyle w:val="TOC1"/>
        <w:tabs>
          <w:tab w:val="left" w:pos="480"/>
          <w:tab w:val="right" w:leader="dot" w:pos="9350"/>
        </w:tabs>
        <w:divId w:val="1193114142"/>
        <w:rPr>
          <w:rFonts w:eastAsia="Times New Roman"/>
          <w:kern w:val="2"/>
          <w14:ligatures w14:val="standardContextual"/>
        </w:rPr>
      </w:pPr>
      <w:hyperlink w:anchor="_Toc192079716" w:history="1">
        <w:r w:rsidRPr="00C8114A">
          <w:rPr>
            <w:rStyle w:val="Hyperlink"/>
            <w:noProof/>
          </w:rPr>
          <w:t>7.</w:t>
        </w:r>
        <w:r>
          <w:rPr>
            <w:rFonts w:asciiTheme="minorHAnsi" w:hAnsiTheme="minorHAnsi" w:cstheme="minorBidi"/>
            <w:noProof/>
            <w:kern w:val="2"/>
            <w14:ligatures w14:val="standardContextual"/>
          </w:rPr>
          <w:tab/>
        </w:r>
        <w:r w:rsidRPr="00C8114A">
          <w:rPr>
            <w:rStyle w:val="Hyperlink"/>
            <w:noProof/>
          </w:rPr>
          <w:t>Conclusions and Way Forward</w:t>
        </w:r>
        <w:r>
          <w:rPr>
            <w:noProof/>
            <w:webHidden/>
          </w:rPr>
          <w:tab/>
        </w:r>
        <w:r>
          <w:rPr>
            <w:noProof/>
            <w:webHidden/>
          </w:rPr>
          <w:fldChar w:fldCharType="begin"/>
        </w:r>
        <w:r>
          <w:rPr>
            <w:noProof/>
            <w:webHidden/>
          </w:rPr>
          <w:instrText xml:space="preserve"> PAGEREF _Toc192079716 \h </w:instrText>
        </w:r>
        <w:r>
          <w:rPr>
            <w:noProof/>
            <w:webHidden/>
          </w:rPr>
        </w:r>
        <w:r>
          <w:rPr>
            <w:noProof/>
            <w:webHidden/>
          </w:rPr>
          <w:fldChar w:fldCharType="separate"/>
        </w:r>
        <w:r>
          <w:rPr>
            <w:noProof/>
            <w:webHidden/>
          </w:rPr>
          <w:t>3</w:t>
        </w:r>
        <w:r>
          <w:rPr>
            <w:noProof/>
            <w:webHidden/>
          </w:rPr>
          <w:fldChar w:fldCharType="end"/>
        </w:r>
      </w:hyperlink>
    </w:p>
    <w:p w14:paraId="37A615AE" w14:textId="701415A3" w:rsidR="00E95B48" w:rsidRPr="00EB4D4C" w:rsidRDefault="00E95B48" w:rsidP="00E95B48">
      <w:pPr>
        <w:pStyle w:val="TOC1"/>
        <w:tabs>
          <w:tab w:val="left" w:pos="480"/>
          <w:tab w:val="right" w:leader="dot" w:pos="9350"/>
        </w:tabs>
        <w:divId w:val="1193114142"/>
        <w:rPr>
          <w:rFonts w:eastAsia="Times New Roman"/>
          <w:kern w:val="2"/>
          <w14:ligatures w14:val="standardContextual"/>
        </w:rPr>
      </w:pPr>
      <w:hyperlink w:anchor="_Toc192079717" w:history="1">
        <w:r w:rsidRPr="00C8114A">
          <w:rPr>
            <w:rStyle w:val="Hyperlink"/>
            <w:noProof/>
          </w:rPr>
          <w:t>8.</w:t>
        </w:r>
        <w:r>
          <w:rPr>
            <w:rFonts w:asciiTheme="minorHAnsi" w:hAnsiTheme="minorHAnsi" w:cstheme="minorBidi"/>
            <w:noProof/>
            <w:kern w:val="2"/>
            <w14:ligatures w14:val="standardContextual"/>
          </w:rPr>
          <w:tab/>
        </w:r>
        <w:r w:rsidRPr="00C8114A">
          <w:rPr>
            <w:rStyle w:val="Hyperlink"/>
            <w:noProof/>
          </w:rPr>
          <w:t>Other Reporting Requirements</w:t>
        </w:r>
        <w:r>
          <w:rPr>
            <w:noProof/>
            <w:webHidden/>
          </w:rPr>
          <w:tab/>
        </w:r>
        <w:r>
          <w:rPr>
            <w:noProof/>
            <w:webHidden/>
          </w:rPr>
          <w:fldChar w:fldCharType="begin"/>
        </w:r>
        <w:r>
          <w:rPr>
            <w:noProof/>
            <w:webHidden/>
          </w:rPr>
          <w:instrText xml:space="preserve"> PAGEREF _Toc192079717 \h </w:instrText>
        </w:r>
        <w:r>
          <w:rPr>
            <w:noProof/>
            <w:webHidden/>
          </w:rPr>
        </w:r>
        <w:r>
          <w:rPr>
            <w:noProof/>
            <w:webHidden/>
          </w:rPr>
          <w:fldChar w:fldCharType="separate"/>
        </w:r>
        <w:r>
          <w:rPr>
            <w:noProof/>
            <w:webHidden/>
          </w:rPr>
          <w:t>3</w:t>
        </w:r>
        <w:r>
          <w:rPr>
            <w:noProof/>
            <w:webHidden/>
          </w:rPr>
          <w:fldChar w:fldCharType="end"/>
        </w:r>
      </w:hyperlink>
    </w:p>
    <w:p w14:paraId="39A62455" w14:textId="799A9637" w:rsidR="00E95B48" w:rsidRPr="00EB4D4C" w:rsidRDefault="00E95B48" w:rsidP="00E95B48">
      <w:pPr>
        <w:pStyle w:val="NormalWeb"/>
        <w:jc w:val="center"/>
        <w:outlineLvl w:val="6"/>
        <w:divId w:val="1193114142"/>
        <w:rPr>
          <w:rFonts w:eastAsia="Times New Roman"/>
          <w:color w:val="000000" w:themeColor="text1"/>
          <w:sz w:val="27"/>
          <w:szCs w:val="27"/>
        </w:rPr>
      </w:pPr>
      <w:r>
        <w:rPr>
          <w:rFonts w:ascii="Calibri" w:hAnsi="Calibri" w:cs="Calibri"/>
          <w:color w:val="000000" w:themeColor="text1"/>
          <w:sz w:val="27"/>
          <w:szCs w:val="27"/>
        </w:rPr>
        <w:fldChar w:fldCharType="end"/>
      </w:r>
    </w:p>
    <w:p w14:paraId="079B64DA" w14:textId="77777777" w:rsidR="00E95B48" w:rsidRPr="00EB4D4C" w:rsidRDefault="00E95B48" w:rsidP="00E95B48">
      <w:pPr>
        <w:pStyle w:val="Heading1"/>
        <w:divId w:val="425612332"/>
        <w:rPr>
          <w:rFonts w:ascii="Times New Roman" w:eastAsia="Times New Roman" w:hAnsi="Times New Roman" w:cs="Times New Roman"/>
          <w:sz w:val="32"/>
          <w:szCs w:val="32"/>
        </w:rPr>
      </w:pPr>
      <w:bookmarkStart w:id="0" w:name="_Toc192079710"/>
    </w:p>
    <w:p w14:paraId="05095B0C"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584B33FB"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617C5E4B"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08BE5332"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3FD04DBB"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6112AF22"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31EFD19B"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03FD1DA3"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1B60D5CE" w14:textId="77777777" w:rsidR="00E95B48" w:rsidRPr="00EB4D4C" w:rsidRDefault="00E95B48" w:rsidP="00E95B48">
      <w:pPr>
        <w:pStyle w:val="Heading1"/>
        <w:divId w:val="425612332"/>
        <w:rPr>
          <w:rFonts w:ascii="Times New Roman" w:eastAsia="Times New Roman" w:hAnsi="Times New Roman" w:cs="Times New Roman"/>
          <w:sz w:val="32"/>
          <w:szCs w:val="32"/>
        </w:rPr>
      </w:pPr>
    </w:p>
    <w:p w14:paraId="71383FCA" w14:textId="37590AE9" w:rsidR="4463663B" w:rsidRPr="00EB4D4C" w:rsidRDefault="4463663B" w:rsidP="4463663B">
      <w:pPr>
        <w:pStyle w:val="Heading1"/>
        <w:rPr>
          <w:rFonts w:ascii="Times New Roman" w:eastAsia="Times New Roman" w:hAnsi="Times New Roman" w:cs="Times New Roman"/>
          <w:sz w:val="32"/>
          <w:szCs w:val="32"/>
        </w:rPr>
      </w:pPr>
    </w:p>
    <w:p w14:paraId="5D0918CB" w14:textId="32A983B6" w:rsidR="00E95B48" w:rsidRPr="00EB4D4C" w:rsidRDefault="00C728B4" w:rsidP="00E95B48">
      <w:pPr>
        <w:pStyle w:val="Heading1"/>
        <w:numPr>
          <w:ilvl w:val="0"/>
          <w:numId w:val="26"/>
        </w:numPr>
        <w:divId w:val="425612332"/>
        <w:rPr>
          <w:rFonts w:ascii="Times New Roman" w:eastAsia="Times New Roman" w:hAnsi="Times New Roman" w:cs="Times New Roman"/>
          <w:sz w:val="32"/>
          <w:szCs w:val="32"/>
        </w:rPr>
      </w:pPr>
      <w:r w:rsidRPr="00EB4D4C">
        <w:rPr>
          <w:rFonts w:ascii="Times New Roman" w:eastAsia="Times New Roman" w:hAnsi="Times New Roman" w:cs="Times New Roman"/>
          <w:sz w:val="32"/>
          <w:szCs w:val="32"/>
        </w:rPr>
        <w:lastRenderedPageBreak/>
        <w:t>Executive Summar</w:t>
      </w:r>
      <w:r w:rsidR="00E95B48" w:rsidRPr="00EB4D4C">
        <w:rPr>
          <w:rFonts w:ascii="Times New Roman" w:eastAsia="Times New Roman" w:hAnsi="Times New Roman" w:cs="Times New Roman"/>
          <w:sz w:val="32"/>
          <w:szCs w:val="32"/>
        </w:rPr>
        <w:t>y</w:t>
      </w:r>
      <w:bookmarkEnd w:id="0"/>
    </w:p>
    <w:p w14:paraId="782A585D" w14:textId="3D526742" w:rsidR="00471964" w:rsidRPr="00471964" w:rsidRDefault="00471964" w:rsidP="00D75A4B">
      <w:pPr>
        <w:pStyle w:val="paragraph"/>
        <w:spacing w:before="0" w:beforeAutospacing="0" w:after="0" w:afterAutospacing="0"/>
        <w:jc w:val="both"/>
        <w:textAlignment w:val="baseline"/>
        <w:divId w:val="425612332"/>
        <w:rPr>
          <w:rFonts w:eastAsiaTheme="majorEastAsia"/>
          <w:sz w:val="22"/>
          <w:szCs w:val="22"/>
        </w:rPr>
      </w:pPr>
      <w:r w:rsidRPr="00471964">
        <w:rPr>
          <w:lang w:val="en-FR" w:eastAsia="en-GB"/>
        </w:rPr>
        <w:t xml:space="preserve">This Closure Report presents the final narrative for the UNITLIFE Secretariat project (Project ID 00116477), covering the period </w:t>
      </w:r>
      <w:r w:rsidRPr="00471964">
        <w:rPr>
          <w:b/>
          <w:bCs/>
          <w:lang w:val="en-FR" w:eastAsia="en-GB"/>
        </w:rPr>
        <w:t>June 2019 to May 2025</w:t>
      </w:r>
      <w:r w:rsidRPr="00471964">
        <w:rPr>
          <w:lang w:val="en-FR" w:eastAsia="en-GB"/>
        </w:rPr>
        <w:t xml:space="preserve">. The Secretariat was established to operationalize </w:t>
      </w:r>
      <w:r w:rsidR="001012B6">
        <w:rPr>
          <w:lang w:val="en-FR" w:eastAsia="en-GB"/>
        </w:rPr>
        <w:t xml:space="preserve">and support </w:t>
      </w:r>
      <w:r w:rsidR="007245CE">
        <w:rPr>
          <w:lang w:val="en-FR" w:eastAsia="en-GB"/>
        </w:rPr>
        <w:t xml:space="preserve">the </w:t>
      </w:r>
      <w:r w:rsidRPr="00471964">
        <w:rPr>
          <w:lang w:val="en-FR" w:eastAsia="en-GB"/>
        </w:rPr>
        <w:t xml:space="preserve">UNITLIFE </w:t>
      </w:r>
      <w:r w:rsidR="007245CE">
        <w:rPr>
          <w:lang w:val="en-FR" w:eastAsia="en-GB"/>
        </w:rPr>
        <w:t xml:space="preserve">Multi-partner Trust Fund (MPTF) </w:t>
      </w:r>
      <w:r w:rsidRPr="00471964">
        <w:rPr>
          <w:lang w:val="en-FR" w:eastAsia="en-GB"/>
        </w:rPr>
        <w:t>as an innovative financing instrument dedicated to ending chronic malnutrition. Hosted by UNCDF, the Secretariat was responsible for setting up UNITLIFE’s governance system, operational and fiduciary structures, partnership model, resource mobilization strategy, and the delivery of its inaugural programmatic funding cycle.</w:t>
      </w:r>
    </w:p>
    <w:p w14:paraId="0B8CD269" w14:textId="3E6B801F" w:rsidR="00471964" w:rsidRPr="00471964" w:rsidRDefault="00471964" w:rsidP="00471964">
      <w:pPr>
        <w:spacing w:before="100" w:beforeAutospacing="1" w:after="100" w:afterAutospacing="1"/>
        <w:divId w:val="425612332"/>
        <w:rPr>
          <w:rFonts w:eastAsia="Times New Roman"/>
          <w:lang w:val="en-FR" w:eastAsia="en-GB"/>
        </w:rPr>
      </w:pPr>
      <w:r w:rsidRPr="00471964">
        <w:rPr>
          <w:rFonts w:eastAsia="Times New Roman"/>
          <w:lang w:val="en-FR" w:eastAsia="en-GB"/>
        </w:rPr>
        <w:t xml:space="preserve">During the implementation period, the Secretariat successfully established the governance and administrative foundations envisaged in the original Programme Document (ProDoc), including the operationalization of the </w:t>
      </w:r>
      <w:r w:rsidR="000C0A44">
        <w:rPr>
          <w:rFonts w:eastAsia="Times New Roman"/>
          <w:lang w:val="en-FR" w:eastAsia="en-GB"/>
        </w:rPr>
        <w:t>Steerting</w:t>
      </w:r>
      <w:r w:rsidRPr="00471964">
        <w:rPr>
          <w:rFonts w:eastAsia="Times New Roman"/>
          <w:lang w:val="en-FR" w:eastAsia="en-GB"/>
        </w:rPr>
        <w:t xml:space="preserve"> Committee and Advisory Council, recruitment and management of technical staff, preparation of standard operating procedures, and the development of UNITLIFE’s digital and fundraising architecture. These structures enabled the launch and supervision of UNITLIFE’s first programmatic funding cycle, resulting in allocations to </w:t>
      </w:r>
      <w:r w:rsidR="001012B6">
        <w:rPr>
          <w:rFonts w:eastAsia="Times New Roman"/>
          <w:lang w:val="en-FR" w:eastAsia="en-GB"/>
        </w:rPr>
        <w:t>three</w:t>
      </w:r>
      <w:r w:rsidRPr="00471964">
        <w:rPr>
          <w:rFonts w:eastAsia="Times New Roman"/>
          <w:lang w:val="en-FR" w:eastAsia="en-GB"/>
        </w:rPr>
        <w:t xml:space="preserve"> nutrition-focused projects across Niger, Senegal, and the Democratic Republic of Congo. Progress and results from these interventions were monitored and reported through the UNITLIFE Trust Fund in line with MPTF policies.</w:t>
      </w:r>
    </w:p>
    <w:p w14:paraId="23DED122" w14:textId="649D6DFE" w:rsidR="00CB27B6" w:rsidRDefault="00471964" w:rsidP="00471964">
      <w:pPr>
        <w:spacing w:before="100" w:beforeAutospacing="1" w:after="100" w:afterAutospacing="1"/>
        <w:divId w:val="425612332"/>
        <w:rPr>
          <w:rFonts w:eastAsia="Times New Roman"/>
          <w:lang w:val="en-FR" w:eastAsia="en-GB"/>
        </w:rPr>
      </w:pPr>
      <w:r w:rsidRPr="00471964">
        <w:rPr>
          <w:rFonts w:eastAsia="Times New Roman"/>
          <w:lang w:val="en-FR" w:eastAsia="en-GB"/>
        </w:rPr>
        <w:t xml:space="preserve">Financially, the UNITLIFE Secretariat received a cumulative </w:t>
      </w:r>
      <w:r w:rsidRPr="00471964">
        <w:rPr>
          <w:rFonts w:eastAsia="Times New Roman"/>
          <w:b/>
          <w:bCs/>
          <w:lang w:val="en-FR" w:eastAsia="en-GB"/>
        </w:rPr>
        <w:t>USD 3,180,612</w:t>
      </w:r>
      <w:r w:rsidRPr="00471964">
        <w:rPr>
          <w:rFonts w:eastAsia="Times New Roman"/>
          <w:lang w:val="en-FR" w:eastAsia="en-GB"/>
        </w:rPr>
        <w:t xml:space="preserve"> in transfers from the MPTF Office for direct-cost implementation, as reflected in the UNITLIFE Annual Financial Report</w:t>
      </w:r>
      <w:r w:rsidR="007B68F6">
        <w:rPr>
          <w:rFonts w:eastAsia="Times New Roman"/>
          <w:lang w:val="en-FR" w:eastAsia="en-GB"/>
        </w:rPr>
        <w:t>s</w:t>
      </w:r>
      <w:r w:rsidRPr="00471964">
        <w:rPr>
          <w:rFonts w:eastAsia="Times New Roman"/>
          <w:lang w:val="en-FR" w:eastAsia="en-GB"/>
        </w:rPr>
        <w:t xml:space="preserve">. Delivery against this amount reached </w:t>
      </w:r>
      <w:r w:rsidRPr="00471964">
        <w:rPr>
          <w:rFonts w:eastAsia="Times New Roman"/>
          <w:b/>
          <w:bCs/>
          <w:lang w:val="en-FR" w:eastAsia="en-GB"/>
        </w:rPr>
        <w:t>99.30 percent</w:t>
      </w:r>
      <w:r w:rsidRPr="00471964">
        <w:rPr>
          <w:rFonts w:eastAsia="Times New Roman"/>
          <w:lang w:val="en-FR" w:eastAsia="en-GB"/>
        </w:rPr>
        <w:t>, reflecting full utilization of resources transferred to UNCDF for Secretariat functions. The approved higher budget ceiling (USD 6.47 million) was not transferred in full to UNCDF and therefore does not form part of this closure reporting.</w:t>
      </w:r>
    </w:p>
    <w:p w14:paraId="47158E86" w14:textId="3D1F08B1" w:rsidR="00CB27B6" w:rsidRDefault="00471964" w:rsidP="00471964">
      <w:pPr>
        <w:spacing w:before="100" w:beforeAutospacing="1" w:after="100" w:afterAutospacing="1"/>
        <w:divId w:val="425612332"/>
        <w:rPr>
          <w:rFonts w:eastAsia="Times New Roman"/>
          <w:lang w:val="en-FR" w:eastAsia="en-GB"/>
        </w:rPr>
      </w:pPr>
      <w:r w:rsidRPr="00471964">
        <w:rPr>
          <w:rFonts w:eastAsia="Times New Roman"/>
          <w:lang w:val="en-FR" w:eastAsia="en-GB"/>
        </w:rPr>
        <w:t>Throughout implementation, the Secretariat faced several challenges, including slow capitalization of the Fund, and internal staffing instability, which at times affected technical continuity, donor engagement, and overall operational cadence. These challenges were partially mitigated through adaptive management, strengthened governance, and incremental recruitment efforts. The Secretariat also leveraged partnerships to supplement core resources.</w:t>
      </w:r>
    </w:p>
    <w:p w14:paraId="02C40E78" w14:textId="64E73C0E" w:rsidR="00471964" w:rsidRDefault="00471964" w:rsidP="00471964">
      <w:pPr>
        <w:spacing w:before="100" w:beforeAutospacing="1" w:after="100" w:afterAutospacing="1"/>
        <w:divId w:val="425612332"/>
        <w:rPr>
          <w:rFonts w:eastAsia="Times New Roman"/>
          <w:lang w:val="en-FR" w:eastAsia="en-GB"/>
        </w:rPr>
      </w:pPr>
      <w:r w:rsidRPr="00471964">
        <w:rPr>
          <w:rFonts w:eastAsia="Times New Roman"/>
          <w:lang w:val="en-FR" w:eastAsia="en-GB"/>
        </w:rPr>
        <w:t xml:space="preserve">Lessons learned over the project cycle highlight the importance of phased operationalization, diversified funding sources, strong governance, and realistic assessments of start-up capacities when launching a UN financing instrument. The project closes at a time when UNITLIFE has secured a new funding cycle and is transitioning to a </w:t>
      </w:r>
      <w:r w:rsidR="001012B6">
        <w:rPr>
          <w:rFonts w:eastAsia="Times New Roman"/>
          <w:lang w:val="en-FR" w:eastAsia="en-GB"/>
        </w:rPr>
        <w:t xml:space="preserve">new </w:t>
      </w:r>
      <w:r w:rsidRPr="00471964">
        <w:rPr>
          <w:rFonts w:eastAsia="Times New Roman"/>
          <w:lang w:val="en-FR" w:eastAsia="en-GB"/>
        </w:rPr>
        <w:t xml:space="preserve">revised Secretariat </w:t>
      </w:r>
      <w:r w:rsidR="001012B6">
        <w:rPr>
          <w:rFonts w:eastAsia="Times New Roman"/>
          <w:lang w:val="en-FR" w:eastAsia="en-GB"/>
        </w:rPr>
        <w:t xml:space="preserve">Project Document </w:t>
      </w:r>
      <w:r w:rsidRPr="00471964">
        <w:rPr>
          <w:rFonts w:eastAsia="Times New Roman"/>
          <w:lang w:val="en-FR" w:eastAsia="en-GB"/>
        </w:rPr>
        <w:t>with strengthened strategic focus, updated operational scope, and expanded ambitions in innovative finance and program delivery</w:t>
      </w:r>
      <w:r w:rsidR="000C0A44">
        <w:rPr>
          <w:rFonts w:eastAsia="Times New Roman"/>
          <w:lang w:val="en-FR" w:eastAsia="en-GB"/>
        </w:rPr>
        <w:t xml:space="preserve">, fully aligned with UNCDF Strategic Framework 26-29, capabilities and standards under the UNCDF Stategic Fund Unit. </w:t>
      </w:r>
    </w:p>
    <w:p w14:paraId="35B6F26B" w14:textId="62A6FD36" w:rsidR="4463663B" w:rsidRPr="007B68F6" w:rsidRDefault="00CB27B6" w:rsidP="00CB27B6">
      <w:pPr>
        <w:spacing w:before="100" w:beforeAutospacing="1" w:after="100" w:afterAutospacing="1"/>
        <w:divId w:val="425612332"/>
        <w:rPr>
          <w:rStyle w:val="eop"/>
          <w:rFonts w:eastAsia="Times New Roman"/>
          <w:i/>
          <w:iCs/>
          <w:lang w:val="en-FR" w:eastAsia="en-GB"/>
        </w:rPr>
      </w:pPr>
      <w:r w:rsidRPr="00CB27B6">
        <w:rPr>
          <w:rFonts w:eastAsia="Times New Roman"/>
          <w:lang w:val="en-FR" w:eastAsia="en-GB"/>
        </w:rPr>
        <w:t xml:space="preserve">The last (10th) meeting of the UNITLIFE Steering Committee formally </w:t>
      </w:r>
      <w:r w:rsidRPr="00CB27B6">
        <w:rPr>
          <w:rFonts w:eastAsia="Times New Roman"/>
          <w:b/>
          <w:bCs/>
          <w:lang w:val="en-FR" w:eastAsia="en-GB"/>
        </w:rPr>
        <w:t>approved the closure of this Secretariat project document</w:t>
      </w:r>
      <w:r w:rsidRPr="00CB27B6">
        <w:rPr>
          <w:rFonts w:eastAsia="Times New Roman"/>
          <w:lang w:val="en-FR" w:eastAsia="en-GB"/>
        </w:rPr>
        <w:t xml:space="preserve"> and </w:t>
      </w:r>
      <w:r w:rsidRPr="00CB27B6">
        <w:rPr>
          <w:rFonts w:eastAsia="Times New Roman"/>
          <w:b/>
          <w:bCs/>
          <w:lang w:val="en-FR" w:eastAsia="en-GB"/>
        </w:rPr>
        <w:t xml:space="preserve">endorsed a new </w:t>
      </w:r>
      <w:r w:rsidR="007B68F6">
        <w:rPr>
          <w:rFonts w:eastAsia="Times New Roman"/>
          <w:b/>
          <w:bCs/>
          <w:lang w:val="en-FR" w:eastAsia="en-GB"/>
        </w:rPr>
        <w:t xml:space="preserve">Secretariat </w:t>
      </w:r>
      <w:r w:rsidRPr="00CB27B6">
        <w:rPr>
          <w:rFonts w:eastAsia="Times New Roman"/>
          <w:b/>
          <w:bCs/>
          <w:lang w:val="en-FR" w:eastAsia="en-GB"/>
        </w:rPr>
        <w:t>Programme Document</w:t>
      </w:r>
      <w:r w:rsidRPr="00CB27B6">
        <w:rPr>
          <w:rFonts w:eastAsia="Times New Roman"/>
          <w:lang w:val="en-FR" w:eastAsia="en-GB"/>
        </w:rPr>
        <w:t xml:space="preserve"> defining an updated approach, expanded strategic orientation, and revised scope of work for the next operational cycle beginning in 2025. The Steering Committee’s decision reflects UNITLIFE’s evolution from a start-up financing instrument into a more mature mechanism </w:t>
      </w:r>
      <w:r w:rsidRPr="00CB27B6">
        <w:rPr>
          <w:rFonts w:eastAsia="Times New Roman"/>
          <w:lang w:val="en-FR" w:eastAsia="en-GB"/>
        </w:rPr>
        <w:lastRenderedPageBreak/>
        <w:t xml:space="preserve">positioned for scale-up and deeper engagement with partner countries. The </w:t>
      </w:r>
      <w:r w:rsidRPr="00CB27B6">
        <w:rPr>
          <w:rFonts w:eastAsia="Times New Roman"/>
          <w:b/>
          <w:bCs/>
          <w:lang w:val="en-FR" w:eastAsia="en-GB"/>
        </w:rPr>
        <w:t>Minutes of the 10th Steering Committee Meeting</w:t>
      </w:r>
      <w:r w:rsidRPr="00CB27B6">
        <w:rPr>
          <w:rFonts w:eastAsia="Times New Roman"/>
          <w:lang w:val="en-FR" w:eastAsia="en-GB"/>
        </w:rPr>
        <w:t xml:space="preserve"> </w:t>
      </w:r>
      <w:r w:rsidR="007B68F6">
        <w:rPr>
          <w:rFonts w:eastAsia="Times New Roman"/>
          <w:lang w:val="en-FR" w:eastAsia="en-GB"/>
        </w:rPr>
        <w:t xml:space="preserve">are available </w:t>
      </w:r>
      <w:r w:rsidR="007B68F6">
        <w:rPr>
          <w:rFonts w:eastAsia="Times New Roman"/>
          <w:lang w:val="en-FR" w:eastAsia="en-GB"/>
        </w:rPr>
        <w:fldChar w:fldCharType="begin"/>
      </w:r>
      <w:r w:rsidR="007B68F6">
        <w:rPr>
          <w:rFonts w:eastAsia="Times New Roman"/>
          <w:lang w:val="en-FR" w:eastAsia="en-GB"/>
        </w:rPr>
        <w:instrText>HYPERLINK "https://docs.google.com/document/d/18Hgmv80mtrPXFyV9FalUMy5qXd0Kp5Yn/edit"</w:instrText>
      </w:r>
      <w:r w:rsidR="007B68F6">
        <w:rPr>
          <w:rFonts w:eastAsia="Times New Roman"/>
          <w:lang w:val="en-FR" w:eastAsia="en-GB"/>
        </w:rPr>
      </w:r>
      <w:r w:rsidR="007B68F6">
        <w:rPr>
          <w:rFonts w:eastAsia="Times New Roman"/>
          <w:lang w:val="en-FR" w:eastAsia="en-GB"/>
        </w:rPr>
        <w:fldChar w:fldCharType="separate"/>
      </w:r>
      <w:r w:rsidR="007B68F6" w:rsidRPr="007B68F6">
        <w:rPr>
          <w:rStyle w:val="Hyperlink"/>
          <w:rFonts w:eastAsia="Times New Roman"/>
          <w:lang w:val="en-FR" w:eastAsia="en-GB"/>
        </w:rPr>
        <w:t>he</w:t>
      </w:r>
      <w:r w:rsidR="007B68F6" w:rsidRPr="007B68F6">
        <w:rPr>
          <w:rStyle w:val="Hyperlink"/>
          <w:rFonts w:eastAsia="Times New Roman"/>
          <w:lang w:val="en-FR" w:eastAsia="en-GB"/>
        </w:rPr>
        <w:t>r</w:t>
      </w:r>
      <w:r w:rsidR="007B68F6" w:rsidRPr="007B68F6">
        <w:rPr>
          <w:rStyle w:val="Hyperlink"/>
          <w:rFonts w:eastAsia="Times New Roman"/>
          <w:lang w:val="en-FR" w:eastAsia="en-GB"/>
        </w:rPr>
        <w:t>e</w:t>
      </w:r>
      <w:r w:rsidR="007B68F6">
        <w:rPr>
          <w:rFonts w:eastAsia="Times New Roman"/>
          <w:lang w:val="en-FR" w:eastAsia="en-GB"/>
        </w:rPr>
        <w:fldChar w:fldCharType="end"/>
      </w:r>
      <w:r w:rsidR="007B68F6">
        <w:rPr>
          <w:rFonts w:eastAsia="Times New Roman"/>
          <w:lang w:val="en-FR" w:eastAsia="en-GB"/>
        </w:rPr>
        <w:t xml:space="preserve"> </w:t>
      </w:r>
      <w:r w:rsidR="001012B6">
        <w:rPr>
          <w:rFonts w:eastAsia="Times New Roman"/>
          <w:lang w:val="en-FR" w:eastAsia="en-GB"/>
        </w:rPr>
        <w:t>(</w:t>
      </w:r>
      <w:r w:rsidR="001012B6" w:rsidRPr="001012B6">
        <w:rPr>
          <w:rFonts w:eastAsia="Times New Roman"/>
          <w:i/>
          <w:iCs/>
          <w:lang w:val="en-FR" w:eastAsia="en-GB"/>
        </w:rPr>
        <w:t xml:space="preserve">see section </w:t>
      </w:r>
      <w:r w:rsidR="001012B6" w:rsidRPr="001012B6">
        <w:rPr>
          <w:rFonts w:eastAsia="Times New Roman"/>
          <w:i/>
          <w:iCs/>
          <w:lang w:val="en-FR" w:eastAsia="en-GB"/>
        </w:rPr>
        <w:t>5. UNITLIFE Secretariat PRODOC: Results Framework and Budget</w:t>
      </w:r>
      <w:r w:rsidR="001012B6">
        <w:rPr>
          <w:rFonts w:eastAsia="Times New Roman"/>
          <w:lang w:val="en-FR" w:eastAsia="en-GB"/>
        </w:rPr>
        <w:t xml:space="preserve">) </w:t>
      </w:r>
      <w:r w:rsidR="007B68F6">
        <w:rPr>
          <w:rFonts w:eastAsia="Times New Roman"/>
          <w:lang w:val="en-FR" w:eastAsia="en-GB"/>
        </w:rPr>
        <w:t xml:space="preserve">along with the </w:t>
      </w:r>
      <w:r w:rsidR="007B68F6" w:rsidRPr="007B68F6">
        <w:rPr>
          <w:rFonts w:eastAsia="Times New Roman"/>
          <w:b/>
          <w:bCs/>
          <w:lang w:val="en-FR" w:eastAsia="en-GB"/>
        </w:rPr>
        <w:t>Decision Memo</w:t>
      </w:r>
      <w:r w:rsidR="007B68F6">
        <w:rPr>
          <w:rFonts w:eastAsia="Times New Roman"/>
          <w:lang w:val="en-FR" w:eastAsia="en-GB"/>
        </w:rPr>
        <w:t xml:space="preserve"> available </w:t>
      </w:r>
      <w:r w:rsidR="007B68F6">
        <w:rPr>
          <w:rFonts w:eastAsia="Times New Roman"/>
          <w:lang w:val="en-FR" w:eastAsia="en-GB"/>
        </w:rPr>
        <w:fldChar w:fldCharType="begin"/>
      </w:r>
      <w:r w:rsidR="007B68F6">
        <w:rPr>
          <w:rFonts w:eastAsia="Times New Roman"/>
          <w:lang w:val="en-FR" w:eastAsia="en-GB"/>
        </w:rPr>
        <w:instrText>HYPERLINK "https://docs.google.com/document/d/1Tz394qv3aPHelGFHwentvDscz25WU6ETBY-R5FufNaU/edit?tab=t.0"</w:instrText>
      </w:r>
      <w:r w:rsidR="007B68F6">
        <w:rPr>
          <w:rFonts w:eastAsia="Times New Roman"/>
          <w:lang w:val="en-FR" w:eastAsia="en-GB"/>
        </w:rPr>
      </w:r>
      <w:r w:rsidR="007B68F6">
        <w:rPr>
          <w:rFonts w:eastAsia="Times New Roman"/>
          <w:lang w:val="en-FR" w:eastAsia="en-GB"/>
        </w:rPr>
        <w:fldChar w:fldCharType="separate"/>
      </w:r>
      <w:r w:rsidR="007B68F6" w:rsidRPr="007B68F6">
        <w:rPr>
          <w:rStyle w:val="Hyperlink"/>
          <w:rFonts w:eastAsia="Times New Roman"/>
          <w:lang w:val="en-FR" w:eastAsia="en-GB"/>
        </w:rPr>
        <w:t>he</w:t>
      </w:r>
      <w:r w:rsidR="007B68F6" w:rsidRPr="007B68F6">
        <w:rPr>
          <w:rStyle w:val="Hyperlink"/>
          <w:rFonts w:eastAsia="Times New Roman"/>
          <w:lang w:val="en-FR" w:eastAsia="en-GB"/>
        </w:rPr>
        <w:t>r</w:t>
      </w:r>
      <w:r w:rsidR="007B68F6" w:rsidRPr="007B68F6">
        <w:rPr>
          <w:rStyle w:val="Hyperlink"/>
          <w:rFonts w:eastAsia="Times New Roman"/>
          <w:lang w:val="en-FR" w:eastAsia="en-GB"/>
        </w:rPr>
        <w:t>e</w:t>
      </w:r>
      <w:r w:rsidR="007B68F6">
        <w:rPr>
          <w:rFonts w:eastAsia="Times New Roman"/>
          <w:lang w:val="en-FR" w:eastAsia="en-GB"/>
        </w:rPr>
        <w:fldChar w:fldCharType="end"/>
      </w:r>
      <w:r w:rsidR="007B68F6">
        <w:rPr>
          <w:rFonts w:eastAsia="Times New Roman"/>
          <w:lang w:val="en-FR" w:eastAsia="en-GB"/>
        </w:rPr>
        <w:t xml:space="preserve"> </w:t>
      </w:r>
      <w:r w:rsidR="007B68F6" w:rsidRPr="007B68F6">
        <w:rPr>
          <w:rFonts w:eastAsia="Times New Roman"/>
          <w:i/>
          <w:iCs/>
          <w:lang w:val="en-FR" w:eastAsia="en-GB"/>
        </w:rPr>
        <w:t>(</w:t>
      </w:r>
      <w:r w:rsidR="001012B6">
        <w:rPr>
          <w:rFonts w:eastAsia="Times New Roman"/>
          <w:i/>
          <w:iCs/>
          <w:lang w:val="en-FR" w:eastAsia="en-GB"/>
        </w:rPr>
        <w:t xml:space="preserve">see </w:t>
      </w:r>
      <w:r w:rsidR="007B68F6" w:rsidRPr="007B68F6">
        <w:rPr>
          <w:rFonts w:eastAsia="Times New Roman"/>
          <w:i/>
          <w:iCs/>
          <w:lang w:val="en-FR" w:eastAsia="en-GB"/>
        </w:rPr>
        <w:t>Decision 1002 — Secretariat Project Document, Budget &amp; Workplan</w:t>
      </w:r>
      <w:r w:rsidR="007B68F6" w:rsidRPr="007B68F6">
        <w:rPr>
          <w:rFonts w:eastAsia="Times New Roman"/>
          <w:i/>
          <w:iCs/>
          <w:lang w:val="en-FR" w:eastAsia="en-GB"/>
        </w:rPr>
        <w:t>)</w:t>
      </w:r>
    </w:p>
    <w:p w14:paraId="25B1424B" w14:textId="0F9BE2C5" w:rsidR="00C728B4" w:rsidRPr="00EB4D4C" w:rsidRDefault="00C728B4" w:rsidP="00E95B48">
      <w:pPr>
        <w:pStyle w:val="Heading1"/>
        <w:numPr>
          <w:ilvl w:val="0"/>
          <w:numId w:val="26"/>
        </w:numPr>
        <w:divId w:val="204953705"/>
        <w:rPr>
          <w:rFonts w:ascii="Times New Roman" w:eastAsia="Times New Roman" w:hAnsi="Times New Roman" w:cs="Times New Roman"/>
          <w:sz w:val="24"/>
          <w:szCs w:val="24"/>
        </w:rPr>
      </w:pPr>
      <w:bookmarkStart w:id="1" w:name="_Toc192079711"/>
      <w:r w:rsidRPr="00EB4D4C">
        <w:rPr>
          <w:rFonts w:ascii="Times New Roman" w:eastAsia="Times New Roman" w:hAnsi="Times New Roman" w:cs="Times New Roman"/>
          <w:sz w:val="32"/>
          <w:szCs w:val="32"/>
        </w:rPr>
        <w:t>Background</w:t>
      </w:r>
      <w:bookmarkEnd w:id="1"/>
    </w:p>
    <w:p w14:paraId="64FC2149" w14:textId="77777777" w:rsidR="000C0A44" w:rsidRDefault="00CB27B6" w:rsidP="00CB27B6">
      <w:pPr>
        <w:spacing w:before="100" w:beforeAutospacing="1" w:after="100" w:afterAutospacing="1"/>
        <w:rPr>
          <w:rFonts w:eastAsia="Times New Roman"/>
          <w:lang w:val="en-FR" w:eastAsia="en-GB"/>
        </w:rPr>
      </w:pPr>
      <w:r w:rsidRPr="00CB27B6">
        <w:rPr>
          <w:rFonts w:eastAsia="Times New Roman"/>
          <w:lang w:val="en-FR" w:eastAsia="en-GB"/>
        </w:rPr>
        <w:t>Chronic malnutrition remains one of the most persistent and underfunded global development challenges, affecting more than 149 million children worldwide. Despite its profound lifelong consequences</w:t>
      </w:r>
      <w:r w:rsidR="000C0A44">
        <w:rPr>
          <w:rFonts w:eastAsia="Times New Roman"/>
          <w:lang w:val="en-FR" w:eastAsia="en-GB"/>
        </w:rPr>
        <w:t xml:space="preserve"> – </w:t>
      </w:r>
      <w:r w:rsidRPr="00CB27B6">
        <w:rPr>
          <w:rFonts w:eastAsia="Times New Roman"/>
          <w:lang w:val="en-FR" w:eastAsia="en-GB"/>
        </w:rPr>
        <w:t>from stunting to reduced educational attainment and productivity</w:t>
      </w:r>
      <w:r w:rsidR="000C0A44">
        <w:rPr>
          <w:rFonts w:eastAsia="Times New Roman"/>
          <w:lang w:val="en-FR" w:eastAsia="en-GB"/>
        </w:rPr>
        <w:t xml:space="preserve"> – </w:t>
      </w:r>
      <w:r w:rsidRPr="00CB27B6">
        <w:rPr>
          <w:rFonts w:eastAsia="Times New Roman"/>
          <w:lang w:val="en-FR" w:eastAsia="en-GB"/>
        </w:rPr>
        <w:t xml:space="preserve">nutrition continues to receive less than one percent of global development assistance. UNITLIFE was created to address this financing gap by mobilizing innovative and complementary sources of capital and directing them to high-impact, locally anchored nutrition solutions. </w:t>
      </w:r>
    </w:p>
    <w:p w14:paraId="1BE1F567" w14:textId="576DB42F" w:rsidR="003E2B54" w:rsidRPr="003E2B54" w:rsidRDefault="000C0A44" w:rsidP="003E2B54">
      <w:pPr>
        <w:pStyle w:val="NormalWeb"/>
        <w:rPr>
          <w:rFonts w:eastAsia="Times New Roman"/>
          <w:lang w:val="en-FR" w:eastAsia="en-GB"/>
        </w:rPr>
      </w:pPr>
      <w:r w:rsidRPr="000C0A44">
        <w:rPr>
          <w:rFonts w:eastAsia="Times New Roman"/>
          <w:lang w:val="en-FR" w:eastAsia="en-GB"/>
        </w:rPr>
        <w:t xml:space="preserve">The governance and implementation arrangements for UNITLIFE are anchored in the </w:t>
      </w:r>
      <w:r w:rsidR="003E2B54">
        <w:rPr>
          <w:rFonts w:eastAsia="Times New Roman"/>
          <w:lang w:val="en-FR" w:eastAsia="en-GB"/>
        </w:rPr>
        <w:t xml:space="preserve">Terms of Reference of the Fund </w:t>
      </w:r>
      <w:r w:rsidRPr="000C0A44">
        <w:rPr>
          <w:rFonts w:eastAsia="Times New Roman"/>
          <w:lang w:val="en-FR" w:eastAsia="en-GB"/>
        </w:rPr>
        <w:t xml:space="preserve">Memorandum of Understanding (MoU) between the Participating UN Organizations and the MPTF Office, signed in October 2018 and applicable until </w:t>
      </w:r>
      <w:r w:rsidR="004567ED">
        <w:rPr>
          <w:rFonts w:eastAsia="Times New Roman"/>
          <w:lang w:val="en-FR" w:eastAsia="en-GB"/>
        </w:rPr>
        <w:t xml:space="preserve">October </w:t>
      </w:r>
      <w:r w:rsidRPr="000C0A44">
        <w:rPr>
          <w:rFonts w:eastAsia="Times New Roman"/>
          <w:lang w:val="en-FR" w:eastAsia="en-GB"/>
        </w:rPr>
        <w:t>2030. UNCDF and UN Women are signatories to the MoU.</w:t>
      </w:r>
      <w:r w:rsidR="003E2B54">
        <w:rPr>
          <w:rFonts w:eastAsia="Times New Roman"/>
          <w:lang w:val="en-FR" w:eastAsia="en-GB"/>
        </w:rPr>
        <w:t xml:space="preserve"> Both documents are accessible </w:t>
      </w:r>
      <w:r w:rsidR="003E2B54">
        <w:rPr>
          <w:rFonts w:eastAsia="Times New Roman"/>
          <w:lang w:val="en-FR" w:eastAsia="en-GB"/>
        </w:rPr>
        <w:fldChar w:fldCharType="begin"/>
      </w:r>
      <w:r w:rsidR="003E2B54">
        <w:rPr>
          <w:rFonts w:eastAsia="Times New Roman"/>
          <w:lang w:val="en-FR" w:eastAsia="en-GB"/>
        </w:rPr>
        <w:instrText>HYPERLINK "https://mptf.undp.org/fund/utl00"</w:instrText>
      </w:r>
      <w:r w:rsidR="003E2B54">
        <w:rPr>
          <w:rFonts w:eastAsia="Times New Roman"/>
          <w:lang w:val="en-FR" w:eastAsia="en-GB"/>
        </w:rPr>
      </w:r>
      <w:r w:rsidR="003E2B54">
        <w:rPr>
          <w:rFonts w:eastAsia="Times New Roman"/>
          <w:lang w:val="en-FR" w:eastAsia="en-GB"/>
        </w:rPr>
        <w:fldChar w:fldCharType="separate"/>
      </w:r>
      <w:r w:rsidR="003E2B54" w:rsidRPr="003E2B54">
        <w:rPr>
          <w:rStyle w:val="Hyperlink"/>
          <w:rFonts w:eastAsia="Times New Roman"/>
          <w:lang w:val="en-FR" w:eastAsia="en-GB"/>
        </w:rPr>
        <w:t>here</w:t>
      </w:r>
      <w:r w:rsidR="003E2B54">
        <w:rPr>
          <w:rFonts w:eastAsia="Times New Roman"/>
          <w:lang w:val="en-FR" w:eastAsia="en-GB"/>
        </w:rPr>
        <w:fldChar w:fldCharType="end"/>
      </w:r>
      <w:r w:rsidR="003E2B54">
        <w:rPr>
          <w:rFonts w:eastAsia="Times New Roman"/>
          <w:lang w:val="en-FR" w:eastAsia="en-GB"/>
        </w:rPr>
        <w:t xml:space="preserve"> and currently being revised for the new phase a the Fund, </w:t>
      </w:r>
      <w:r w:rsidR="004567ED">
        <w:rPr>
          <w:rFonts w:eastAsia="Times New Roman"/>
          <w:lang w:val="en-FR" w:eastAsia="en-GB"/>
        </w:rPr>
        <w:t>with</w:t>
      </w:r>
      <w:r w:rsidR="003E2B54" w:rsidRPr="003E2B54">
        <w:rPr>
          <w:rFonts w:eastAsia="Times New Roman"/>
          <w:lang w:val="en-FR" w:eastAsia="en-GB"/>
        </w:rPr>
        <w:t xml:space="preserve"> UNICEF’s participation </w:t>
      </w:r>
      <w:r w:rsidR="004567ED">
        <w:rPr>
          <w:rFonts w:eastAsia="Times New Roman"/>
          <w:lang w:val="en-FR" w:eastAsia="en-GB"/>
        </w:rPr>
        <w:t>being also considered</w:t>
      </w:r>
      <w:r w:rsidR="003E2B54" w:rsidRPr="003E2B54">
        <w:rPr>
          <w:rFonts w:eastAsia="Times New Roman"/>
          <w:lang w:val="en-FR" w:eastAsia="en-GB"/>
        </w:rPr>
        <w:t>, which will further strengthen the Fund’s operational and programmatic reach.</w:t>
      </w:r>
    </w:p>
    <w:p w14:paraId="4665B268" w14:textId="465FEBC9" w:rsidR="000C0A44" w:rsidRDefault="003E2B54" w:rsidP="000C0A44">
      <w:pPr>
        <w:spacing w:before="100" w:beforeAutospacing="1" w:after="100" w:afterAutospacing="1"/>
        <w:rPr>
          <w:rFonts w:eastAsia="Times New Roman"/>
          <w:lang w:val="en-FR" w:eastAsia="en-GB"/>
        </w:rPr>
      </w:pPr>
      <w:r w:rsidRPr="003E2B54">
        <w:rPr>
          <w:rFonts w:eastAsia="Times New Roman"/>
          <w:lang w:val="en-FR" w:eastAsia="en-GB"/>
        </w:rPr>
        <w:t xml:space="preserve">Within this framework, the </w:t>
      </w:r>
      <w:r w:rsidRPr="003E2B54">
        <w:rPr>
          <w:rFonts w:eastAsia="Times New Roman"/>
          <w:b/>
          <w:bCs/>
          <w:lang w:val="en-FR" w:eastAsia="en-GB"/>
        </w:rPr>
        <w:t>UNITLIFE Secretariat project (00116477)</w:t>
      </w:r>
      <w:r w:rsidRPr="003E2B54">
        <w:rPr>
          <w:rFonts w:eastAsia="Times New Roman"/>
          <w:lang w:val="en-FR" w:eastAsia="en-GB"/>
        </w:rPr>
        <w:t xml:space="preserve">, hosted by UNCDF, was established to operationalize the Fund and provide the </w:t>
      </w:r>
      <w:r>
        <w:rPr>
          <w:rFonts w:eastAsia="Times New Roman"/>
          <w:lang w:val="en-FR" w:eastAsia="en-GB"/>
        </w:rPr>
        <w:t xml:space="preserve">support to the </w:t>
      </w:r>
      <w:r w:rsidRPr="003E2B54">
        <w:rPr>
          <w:rFonts w:eastAsia="Times New Roman"/>
          <w:lang w:val="en-FR" w:eastAsia="en-GB"/>
        </w:rPr>
        <w:t xml:space="preserve">governance, </w:t>
      </w:r>
      <w:r>
        <w:rPr>
          <w:rFonts w:eastAsia="Times New Roman"/>
          <w:lang w:val="en-FR" w:eastAsia="en-GB"/>
        </w:rPr>
        <w:t xml:space="preserve">and deliver on the </w:t>
      </w:r>
      <w:r w:rsidRPr="003E2B54">
        <w:rPr>
          <w:rFonts w:eastAsia="Times New Roman"/>
          <w:lang w:val="en-FR" w:eastAsia="en-GB"/>
        </w:rPr>
        <w:t>programmatic, and strategic foundation required for UNITLIFE to fulfill its mandate</w:t>
      </w:r>
      <w:r w:rsidR="000C0A44" w:rsidRPr="000C0A44">
        <w:rPr>
          <w:rFonts w:eastAsia="Times New Roman"/>
          <w:lang w:val="en-FR" w:eastAsia="en-GB"/>
        </w:rPr>
        <w:t>.</w:t>
      </w:r>
      <w:r w:rsidR="00CB27B6" w:rsidRPr="00CB27B6">
        <w:rPr>
          <w:rFonts w:eastAsia="Times New Roman"/>
          <w:lang w:val="en-FR" w:eastAsia="en-GB"/>
        </w:rPr>
        <w:t xml:space="preserve">The </w:t>
      </w:r>
      <w:r w:rsidR="004567ED">
        <w:rPr>
          <w:rFonts w:eastAsia="Times New Roman"/>
          <w:lang w:val="en-FR" w:eastAsia="en-GB"/>
        </w:rPr>
        <w:t xml:space="preserve">initial </w:t>
      </w:r>
      <w:r w:rsidR="00CB27B6" w:rsidRPr="00CB27B6">
        <w:rPr>
          <w:rFonts w:eastAsia="Times New Roman"/>
          <w:lang w:val="en-FR" w:eastAsia="en-GB"/>
        </w:rPr>
        <w:t>Programme Document (ProDoc) defined three core outcomes for the Secretariat:</w:t>
      </w:r>
    </w:p>
    <w:p w14:paraId="17529457" w14:textId="77777777" w:rsidR="000C0A44" w:rsidRDefault="00CB27B6" w:rsidP="000C0A44">
      <w:pPr>
        <w:pStyle w:val="ListParagraph"/>
        <w:numPr>
          <w:ilvl w:val="0"/>
          <w:numId w:val="62"/>
        </w:numPr>
        <w:spacing w:before="100" w:beforeAutospacing="1" w:after="100" w:afterAutospacing="1"/>
        <w:rPr>
          <w:rFonts w:eastAsia="Times New Roman"/>
          <w:lang w:val="en-FR" w:eastAsia="en-GB"/>
        </w:rPr>
      </w:pPr>
      <w:r w:rsidRPr="000C0A44">
        <w:rPr>
          <w:rFonts w:eastAsia="Times New Roman"/>
          <w:lang w:val="en-FR" w:eastAsia="en-GB"/>
        </w:rPr>
        <w:t>establishing UNITLIFE’s governance systems and operational architecture;</w:t>
      </w:r>
    </w:p>
    <w:p w14:paraId="1B37FB22" w14:textId="7B746E7B" w:rsidR="000C0A44" w:rsidRDefault="00CB27B6" w:rsidP="000C0A44">
      <w:pPr>
        <w:pStyle w:val="ListParagraph"/>
        <w:numPr>
          <w:ilvl w:val="0"/>
          <w:numId w:val="62"/>
        </w:numPr>
        <w:spacing w:before="100" w:beforeAutospacing="1" w:after="100" w:afterAutospacing="1"/>
        <w:rPr>
          <w:rFonts w:eastAsia="Times New Roman"/>
          <w:lang w:val="en-FR" w:eastAsia="en-GB"/>
        </w:rPr>
      </w:pPr>
      <w:r w:rsidRPr="000C0A44">
        <w:rPr>
          <w:rFonts w:eastAsia="Times New Roman"/>
          <w:lang w:val="en-FR" w:eastAsia="en-GB"/>
        </w:rPr>
        <w:t>designing and delivering at least one programmatic funding cycle; and</w:t>
      </w:r>
    </w:p>
    <w:p w14:paraId="1371607D" w14:textId="4E0DFB56" w:rsidR="000C0A44" w:rsidRPr="000C0A44" w:rsidRDefault="00CB27B6" w:rsidP="000C0A44">
      <w:pPr>
        <w:pStyle w:val="ListParagraph"/>
        <w:numPr>
          <w:ilvl w:val="0"/>
          <w:numId w:val="62"/>
        </w:numPr>
        <w:spacing w:before="100" w:beforeAutospacing="1" w:after="100" w:afterAutospacing="1"/>
        <w:rPr>
          <w:rFonts w:eastAsia="Times New Roman"/>
          <w:lang w:val="en-FR" w:eastAsia="en-GB"/>
        </w:rPr>
      </w:pPr>
      <w:r w:rsidRPr="000C0A44">
        <w:rPr>
          <w:rFonts w:eastAsia="Times New Roman"/>
          <w:lang w:val="en-FR" w:eastAsia="en-GB"/>
        </w:rPr>
        <w:t>maturing UNITLIFE’s financing instruments, partnerships, and visibility.</w:t>
      </w:r>
    </w:p>
    <w:p w14:paraId="620F4D9D" w14:textId="37CA973E" w:rsidR="00CB27B6" w:rsidRPr="000C0A44" w:rsidRDefault="00CB27B6" w:rsidP="000C0A44">
      <w:pPr>
        <w:spacing w:before="100" w:beforeAutospacing="1" w:after="100" w:afterAutospacing="1"/>
        <w:rPr>
          <w:rFonts w:eastAsia="Times New Roman"/>
          <w:lang w:val="en-FR" w:eastAsia="en-GB"/>
        </w:rPr>
      </w:pPr>
      <w:r w:rsidRPr="000C0A44">
        <w:rPr>
          <w:rFonts w:eastAsia="Times New Roman"/>
          <w:lang w:val="en-FR" w:eastAsia="en-GB"/>
        </w:rPr>
        <w:t xml:space="preserve">To achieve these results, the Secretariat was tasked with staffing and operational management, governance coordination, partnership development, resource mobilization, proposal appraisal, results management, reporting, digital innovation, and donor communication. </w:t>
      </w:r>
      <w:r w:rsidR="000C0A44">
        <w:rPr>
          <w:rFonts w:eastAsia="Times New Roman"/>
          <w:lang w:val="en-FR" w:eastAsia="en-GB"/>
        </w:rPr>
        <w:t xml:space="preserve">The </w:t>
      </w:r>
      <w:r w:rsidRPr="000C0A44">
        <w:rPr>
          <w:rFonts w:eastAsia="Times New Roman"/>
          <w:lang w:val="en-FR" w:eastAsia="en-GB"/>
        </w:rPr>
        <w:t>Annual Work Plans guided the sequencing of these responsibilities throughout the implementation period.</w:t>
      </w:r>
    </w:p>
    <w:p w14:paraId="00216019" w14:textId="4CC08E04" w:rsidR="00CB27B6" w:rsidRPr="00CB27B6" w:rsidRDefault="00CB27B6" w:rsidP="00CB27B6">
      <w:pPr>
        <w:spacing w:before="100" w:beforeAutospacing="1" w:after="100" w:afterAutospacing="1"/>
        <w:rPr>
          <w:rFonts w:eastAsia="Times New Roman"/>
          <w:lang w:val="en-FR" w:eastAsia="en-GB"/>
        </w:rPr>
      </w:pPr>
      <w:r w:rsidRPr="00CB27B6">
        <w:rPr>
          <w:rFonts w:eastAsia="Times New Roman"/>
          <w:lang w:val="en-FR" w:eastAsia="en-GB"/>
        </w:rPr>
        <w:t>Originally approved for 2019–2022, the project was extended to May 2025 to ensure continuity of operations and respond to evolving strategic needs. This extension allowed the Secretariat to consolidate governance structures, strengthen operational systems, complete UNITLIFE’s inaugural funding cycle, and reposition the Fund toward a more integrated approach to nutrition financing. This evolution</w:t>
      </w:r>
      <w:r w:rsidR="000C0A44">
        <w:rPr>
          <w:rFonts w:eastAsia="Times New Roman"/>
          <w:lang w:val="en-FR" w:eastAsia="en-GB"/>
        </w:rPr>
        <w:t xml:space="preserve"> - </w:t>
      </w:r>
      <w:r w:rsidRPr="00CB27B6">
        <w:rPr>
          <w:rFonts w:eastAsia="Times New Roman"/>
          <w:lang w:val="en-FR" w:eastAsia="en-GB"/>
        </w:rPr>
        <w:t xml:space="preserve">captured in </w:t>
      </w:r>
      <w:r w:rsidR="000C0A44">
        <w:rPr>
          <w:rFonts w:eastAsia="Times New Roman"/>
          <w:lang w:val="en-FR" w:eastAsia="en-GB"/>
        </w:rPr>
        <w:t>the respective</w:t>
      </w:r>
      <w:r w:rsidRPr="00CB27B6">
        <w:rPr>
          <w:rFonts w:eastAsia="Times New Roman"/>
          <w:lang w:val="en-FR" w:eastAsia="en-GB"/>
        </w:rPr>
        <w:t xml:space="preserve"> annual narrative reports</w:t>
      </w:r>
      <w:r w:rsidR="000C0A44">
        <w:rPr>
          <w:rFonts w:eastAsia="Times New Roman"/>
          <w:lang w:val="en-FR" w:eastAsia="en-GB"/>
        </w:rPr>
        <w:t xml:space="preserve"> and financial</w:t>
      </w:r>
      <w:r w:rsidR="004567ED">
        <w:rPr>
          <w:rFonts w:eastAsia="Times New Roman"/>
          <w:lang w:val="en-FR" w:eastAsia="en-GB"/>
        </w:rPr>
        <w:t xml:space="preserve"> reportd</w:t>
      </w:r>
      <w:r w:rsidR="000C0A44">
        <w:rPr>
          <w:rFonts w:eastAsia="Times New Roman"/>
          <w:lang w:val="en-FR" w:eastAsia="en-GB"/>
        </w:rPr>
        <w:t xml:space="preserve"> available on the MPTF reporting platform for the UNITLIFE trust fund : </w:t>
      </w:r>
      <w:r w:rsidR="000C0A44">
        <w:rPr>
          <w:rFonts w:eastAsia="Times New Roman"/>
          <w:lang w:val="en-FR" w:eastAsia="en-GB"/>
        </w:rPr>
        <w:fldChar w:fldCharType="begin"/>
      </w:r>
      <w:r w:rsidR="000C0A44">
        <w:rPr>
          <w:rFonts w:eastAsia="Times New Roman"/>
          <w:lang w:val="en-FR" w:eastAsia="en-GB"/>
        </w:rPr>
        <w:instrText>HYPERLINK "</w:instrText>
      </w:r>
      <w:r w:rsidR="000C0A44" w:rsidRPr="000C0A44">
        <w:rPr>
          <w:rFonts w:eastAsia="Times New Roman"/>
          <w:lang w:val="en-FR" w:eastAsia="en-GB"/>
        </w:rPr>
        <w:instrText>https://mptf.undp.org/fund/utl00</w:instrText>
      </w:r>
      <w:r w:rsidR="000C0A44">
        <w:rPr>
          <w:rFonts w:eastAsia="Times New Roman"/>
          <w:lang w:val="en-FR" w:eastAsia="en-GB"/>
        </w:rPr>
        <w:instrText>"</w:instrText>
      </w:r>
      <w:r w:rsidR="000C0A44">
        <w:rPr>
          <w:rFonts w:eastAsia="Times New Roman"/>
          <w:lang w:val="en-FR" w:eastAsia="en-GB"/>
        </w:rPr>
        <w:fldChar w:fldCharType="separate"/>
      </w:r>
      <w:r w:rsidR="000C0A44" w:rsidRPr="005D620D">
        <w:rPr>
          <w:rStyle w:val="Hyperlink"/>
          <w:rFonts w:eastAsia="Times New Roman"/>
          <w:lang w:val="en-FR" w:eastAsia="en-GB"/>
        </w:rPr>
        <w:t>https://mptf.undp.org/fund/utl00</w:t>
      </w:r>
      <w:r w:rsidR="000C0A44">
        <w:rPr>
          <w:rFonts w:eastAsia="Times New Roman"/>
          <w:lang w:val="en-FR" w:eastAsia="en-GB"/>
        </w:rPr>
        <w:fldChar w:fldCharType="end"/>
      </w:r>
      <w:r w:rsidR="000C0A44">
        <w:rPr>
          <w:rFonts w:eastAsia="Times New Roman"/>
          <w:lang w:val="en-FR" w:eastAsia="en-GB"/>
        </w:rPr>
        <w:t xml:space="preserve">  - </w:t>
      </w:r>
      <w:r w:rsidRPr="00CB27B6">
        <w:rPr>
          <w:rFonts w:eastAsia="Times New Roman"/>
          <w:lang w:val="en-FR" w:eastAsia="en-GB"/>
        </w:rPr>
        <w:t>deepened UNITLIFE’s focus on multisectoral solutions linking nutrition with agriculture, climate resilience, gender equality, and financial inclusion, and enhanced alignment with national priorities and multilateral cooperation frameworks.</w:t>
      </w:r>
    </w:p>
    <w:p w14:paraId="12B5EE18" w14:textId="77777777" w:rsidR="003E2B54" w:rsidRDefault="00CB27B6" w:rsidP="00CB27B6">
      <w:pPr>
        <w:spacing w:before="100" w:beforeAutospacing="1" w:after="100" w:afterAutospacing="1"/>
        <w:rPr>
          <w:rFonts w:eastAsia="Times New Roman"/>
          <w:lang w:val="en-FR" w:eastAsia="en-GB"/>
        </w:rPr>
      </w:pPr>
      <w:r w:rsidRPr="00CB27B6">
        <w:rPr>
          <w:rFonts w:eastAsia="Times New Roman"/>
          <w:lang w:val="en-FR" w:eastAsia="en-GB"/>
        </w:rPr>
        <w:lastRenderedPageBreak/>
        <w:t xml:space="preserve">During the project cycle, </w:t>
      </w:r>
      <w:r w:rsidR="000C0A44">
        <w:rPr>
          <w:rFonts w:eastAsia="Times New Roman"/>
          <w:lang w:val="en-FR" w:eastAsia="en-GB"/>
        </w:rPr>
        <w:t xml:space="preserve">the </w:t>
      </w:r>
      <w:r w:rsidRPr="00CB27B6">
        <w:rPr>
          <w:rFonts w:eastAsia="Times New Roman"/>
          <w:lang w:val="en-FR" w:eastAsia="en-GB"/>
        </w:rPr>
        <w:t xml:space="preserve">UNITLIFE </w:t>
      </w:r>
      <w:r w:rsidR="000C0A44">
        <w:rPr>
          <w:rFonts w:eastAsia="Times New Roman"/>
          <w:lang w:val="en-FR" w:eastAsia="en-GB"/>
        </w:rPr>
        <w:t xml:space="preserve">fund, with the operational support of the Secretariat from resources mobilization to portfolio management, </w:t>
      </w:r>
      <w:r w:rsidRPr="00CB27B6">
        <w:rPr>
          <w:rFonts w:eastAsia="Times New Roman"/>
          <w:lang w:val="en-FR" w:eastAsia="en-GB"/>
        </w:rPr>
        <w:t xml:space="preserve">allocated resources to </w:t>
      </w:r>
      <w:r w:rsidR="000C0A44">
        <w:rPr>
          <w:rFonts w:eastAsia="Times New Roman"/>
          <w:lang w:val="en-FR" w:eastAsia="en-GB"/>
        </w:rPr>
        <w:t>several</w:t>
      </w:r>
      <w:r w:rsidRPr="00CB27B6">
        <w:rPr>
          <w:rFonts w:eastAsia="Times New Roman"/>
          <w:lang w:val="en-FR" w:eastAsia="en-GB"/>
        </w:rPr>
        <w:t xml:space="preserve"> field projects in Niger, Senegal, and the Democratic Republic of Congo. These interventions targeted women’s nutrition, food systems resilience, gender empowerment, and climate-adapted agriculture. While implemented by partner organizations and reported through their respective project accounts within the UNITLIFE Trust Fund, the Secretariat oversaw the full project cycle, including selection, due diligence, monitoring, reporting, and dissemination of results. </w:t>
      </w:r>
    </w:p>
    <w:p w14:paraId="1B704D51" w14:textId="08FDFBEA" w:rsidR="00CB27B6" w:rsidRPr="00CB27B6" w:rsidRDefault="00CB27B6" w:rsidP="00CB27B6">
      <w:pPr>
        <w:spacing w:before="100" w:beforeAutospacing="1" w:after="100" w:afterAutospacing="1"/>
        <w:rPr>
          <w:rFonts w:eastAsia="Times New Roman"/>
          <w:lang w:val="en-FR" w:eastAsia="en-GB"/>
        </w:rPr>
      </w:pPr>
      <w:r w:rsidRPr="00CB27B6">
        <w:rPr>
          <w:rFonts w:eastAsia="Times New Roman"/>
          <w:lang w:val="en-FR" w:eastAsia="en-GB"/>
        </w:rPr>
        <w:t>Secretariat expenditures financed the core functions—staffing, governance, fiduciary oversight, operational management, partnership engagement, visibility, and innovative finance workstreams—that enabled these interventions to be delivered effectively.</w:t>
      </w:r>
    </w:p>
    <w:p w14:paraId="07534128" w14:textId="12150998" w:rsidR="003E2B54" w:rsidRPr="003E2B54" w:rsidRDefault="003E2B54" w:rsidP="003E2B54">
      <w:pPr>
        <w:spacing w:before="100" w:beforeAutospacing="1" w:after="100" w:afterAutospacing="1"/>
        <w:rPr>
          <w:rFonts w:eastAsia="Times New Roman"/>
          <w:lang w:val="en-FR" w:eastAsia="en-GB"/>
        </w:rPr>
      </w:pPr>
      <w:r w:rsidRPr="003E2B54">
        <w:rPr>
          <w:rFonts w:eastAsia="Times New Roman"/>
          <w:lang w:val="en-FR" w:eastAsia="en-GB"/>
        </w:rPr>
        <w:t>UNITLIFE’s strategic approach remained anchored in UNCDF’s mandate to advance local development, financial inclusion, and innovative financing. The first funding cycle demonstrated the effectiveness of integrated, community-level solutions linking nutrition with inclusive markets, women’s economic empowerment, and climate-smart livelihoods. These interventions aligned closely with national development priorities and UN cooperation frameworks, ensuring coherence with broader development partner investments</w:t>
      </w:r>
      <w:r>
        <w:rPr>
          <w:rFonts w:eastAsia="Times New Roman"/>
          <w:lang w:val="en-FR" w:eastAsia="en-GB"/>
        </w:rPr>
        <w:t xml:space="preserve">. </w:t>
      </w:r>
    </w:p>
    <w:p w14:paraId="2F43DF53" w14:textId="77777777" w:rsidR="004567ED" w:rsidRDefault="003E2B54" w:rsidP="003E2B54">
      <w:pPr>
        <w:spacing w:before="100" w:beforeAutospacing="1" w:after="100" w:afterAutospacing="1"/>
        <w:rPr>
          <w:rFonts w:eastAsia="Times New Roman"/>
          <w:lang w:val="en-FR" w:eastAsia="en-GB"/>
        </w:rPr>
      </w:pPr>
      <w:r w:rsidRPr="003E2B54">
        <w:rPr>
          <w:rFonts w:eastAsia="Times New Roman"/>
          <w:lang w:val="en-FR" w:eastAsia="en-GB"/>
        </w:rPr>
        <w:t xml:space="preserve">Throughout this period, the project contributed directly to UNCDF’s Strategic Framework by advancing innovative financing for human development, strengthening partnerships with governments and private-sector actors, and demonstrating UNCDF’s capacity to host a global financing mechanism. UNITLIFE supported progress toward SDGs 2, 3, 5, 13, and 17. </w:t>
      </w:r>
    </w:p>
    <w:p w14:paraId="1FF7457E" w14:textId="4C1DD366" w:rsidR="003E2B54" w:rsidRDefault="003E2B54" w:rsidP="003E2B54">
      <w:pPr>
        <w:spacing w:before="100" w:beforeAutospacing="1" w:after="100" w:afterAutospacing="1"/>
        <w:rPr>
          <w:rFonts w:eastAsia="Times New Roman"/>
          <w:lang w:val="en-FR" w:eastAsia="en-GB"/>
        </w:rPr>
      </w:pPr>
      <w:r w:rsidRPr="003E2B54">
        <w:rPr>
          <w:rFonts w:eastAsia="Times New Roman"/>
          <w:lang w:val="en-FR" w:eastAsia="en-GB"/>
        </w:rPr>
        <w:t>With a new funding cycle confirmed for 2026 onward, UNITLIFE is transitioning to a revised operational structure and scope of work. This closure report reflects on achievements from 2019–2025 and provides lessons to guide the next phase of UNITLIFE’s evolution.</w:t>
      </w:r>
    </w:p>
    <w:p w14:paraId="1C533F71" w14:textId="174D17FC" w:rsidR="00937D1F" w:rsidRPr="00937D1F" w:rsidRDefault="00937D1F" w:rsidP="00937D1F">
      <w:pPr>
        <w:rPr>
          <w:rFonts w:eastAsia="Times New Roman"/>
          <w:lang w:eastAsia="en-GB"/>
        </w:rPr>
      </w:pPr>
      <w:r w:rsidRPr="00937D1F">
        <w:rPr>
          <w:rFonts w:eastAsia="Times New Roman"/>
          <w:lang w:eastAsia="en-GB"/>
        </w:rPr>
        <w:t>Th</w:t>
      </w:r>
      <w:r>
        <w:rPr>
          <w:rFonts w:eastAsia="Times New Roman"/>
          <w:lang w:eastAsia="en-GB"/>
        </w:rPr>
        <w:t>e below</w:t>
      </w:r>
      <w:r w:rsidRPr="00937D1F">
        <w:rPr>
          <w:rFonts w:eastAsia="Times New Roman"/>
          <w:lang w:eastAsia="en-GB"/>
        </w:rPr>
        <w:t xml:space="preserve"> table highlights: (a) total funds received by the MPTF Office as Administrative Agent; (b) funds transferred to Recipient Participating Organization s; and (c) the current fund balance.</w:t>
      </w:r>
      <w:r>
        <w:rPr>
          <w:rFonts w:eastAsia="Times New Roman"/>
          <w:lang w:eastAsia="en-GB"/>
        </w:rPr>
        <w:t xml:space="preserve"> It includes the </w:t>
      </w:r>
      <w:r w:rsidRPr="00937D1F">
        <w:rPr>
          <w:rFonts w:eastAsia="Times New Roman"/>
          <w:lang w:eastAsia="en-GB"/>
        </w:rPr>
        <w:t xml:space="preserve">Transfers to Participating Organizations for Direct Cost - Fund Secretariat </w:t>
      </w:r>
      <w:r>
        <w:rPr>
          <w:rFonts w:eastAsia="Times New Roman"/>
          <w:lang w:eastAsia="en-GB"/>
        </w:rPr>
        <w:t xml:space="preserve">– related to </w:t>
      </w:r>
      <w:r w:rsidRPr="003E2B54">
        <w:rPr>
          <w:rFonts w:eastAsia="Times New Roman"/>
          <w:b/>
          <w:bCs/>
          <w:lang w:val="en-FR" w:eastAsia="en-GB"/>
        </w:rPr>
        <w:t>UNITLIFE Secretariat project (00116477)</w:t>
      </w:r>
      <w:r w:rsidRPr="003E2B54">
        <w:rPr>
          <w:rFonts w:eastAsia="Times New Roman"/>
          <w:lang w:val="en-FR" w:eastAsia="en-GB"/>
        </w:rPr>
        <w:t>,</w:t>
      </w:r>
    </w:p>
    <w:tbl>
      <w:tblPr>
        <w:tblW w:w="0" w:type="auto"/>
        <w:tblCellMar>
          <w:left w:w="0" w:type="dxa"/>
          <w:right w:w="0" w:type="dxa"/>
        </w:tblCellMar>
        <w:tblLook w:val="04A0" w:firstRow="1" w:lastRow="0" w:firstColumn="1" w:lastColumn="0" w:noHBand="0" w:noVBand="1"/>
      </w:tblPr>
      <w:tblGrid>
        <w:gridCol w:w="9360"/>
      </w:tblGrid>
      <w:tr w:rsidR="00937D1F" w14:paraId="1783CFDC" w14:textId="77777777" w:rsidTr="00937D1F">
        <w:tc>
          <w:tcPr>
            <w:tcW w:w="936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360"/>
            </w:tblGrid>
            <w:tr w:rsidR="00937D1F" w14:paraId="6F2173DE" w14:textId="77777777" w:rsidTr="00B32364">
              <w:trPr>
                <w:trHeight w:val="4975"/>
              </w:trPr>
              <w:tc>
                <w:tcPr>
                  <w:tcW w:w="11905"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88"/>
                    <w:gridCol w:w="7784"/>
                    <w:gridCol w:w="788"/>
                  </w:tblGrid>
                  <w:tr w:rsidR="00937D1F" w14:paraId="4433EFE7" w14:textId="77777777" w:rsidTr="00B32364">
                    <w:tc>
                      <w:tcPr>
                        <w:tcW w:w="1134" w:type="dxa"/>
                      </w:tcPr>
                      <w:p w14:paraId="2B9B2C98" w14:textId="77777777" w:rsidR="00937D1F" w:rsidRDefault="00937D1F" w:rsidP="00B32364">
                        <w:pPr>
                          <w:pStyle w:val="EmptyCellLayoutStyle"/>
                          <w:spacing w:after="0" w:line="240" w:lineRule="auto"/>
                        </w:pPr>
                      </w:p>
                    </w:tc>
                    <w:tc>
                      <w:tcPr>
                        <w:tcW w:w="96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70"/>
                          <w:gridCol w:w="1550"/>
                          <w:gridCol w:w="1413"/>
                          <w:gridCol w:w="1351"/>
                        </w:tblGrid>
                        <w:tr w:rsidR="00937D1F" w14:paraId="0CA33F98" w14:textId="77777777" w:rsidTr="00B32364">
                          <w:trPr>
                            <w:trHeight w:val="432"/>
                          </w:trPr>
                          <w:tc>
                            <w:tcPr>
                              <w:tcW w:w="4461" w:type="dxa"/>
                              <w:tcBorders>
                                <w:top w:val="nil"/>
                                <w:left w:val="nil"/>
                                <w:bottom w:val="nil"/>
                                <w:right w:val="nil"/>
                              </w:tcBorders>
                              <w:shd w:val="clear" w:color="auto" w:fill="15385F"/>
                              <w:tcMar>
                                <w:top w:w="0" w:type="dxa"/>
                                <w:left w:w="0" w:type="dxa"/>
                                <w:bottom w:w="0" w:type="dxa"/>
                                <w:right w:w="0" w:type="dxa"/>
                              </w:tcMar>
                              <w:vAlign w:val="center"/>
                            </w:tcPr>
                            <w:p w14:paraId="7B0A9244" w14:textId="77777777" w:rsidR="00937D1F" w:rsidRDefault="00937D1F" w:rsidP="00B32364"/>
                          </w:tc>
                          <w:tc>
                            <w:tcPr>
                              <w:tcW w:w="1869" w:type="dxa"/>
                              <w:tcBorders>
                                <w:top w:val="nil"/>
                                <w:left w:val="nil"/>
                                <w:bottom w:val="nil"/>
                                <w:right w:val="single" w:sz="7" w:space="0" w:color="808080"/>
                              </w:tcBorders>
                              <w:shd w:val="clear" w:color="auto" w:fill="15385F"/>
                              <w:tcMar>
                                <w:top w:w="0" w:type="dxa"/>
                                <w:left w:w="0" w:type="dxa"/>
                                <w:bottom w:w="0" w:type="dxa"/>
                                <w:right w:w="0" w:type="dxa"/>
                              </w:tcMar>
                              <w:vAlign w:val="center"/>
                            </w:tcPr>
                            <w:p w14:paraId="5F9A2CBE" w14:textId="77777777" w:rsidR="00937D1F" w:rsidRDefault="00937D1F" w:rsidP="00B32364">
                              <w:pPr>
                                <w:jc w:val="center"/>
                              </w:pPr>
                              <w:r>
                                <w:rPr>
                                  <w:rFonts w:ascii="Arial" w:eastAsia="Arial" w:hAnsi="Arial"/>
                                  <w:b/>
                                  <w:color w:val="FFFFFF"/>
                                  <w:sz w:val="16"/>
                                </w:rPr>
                                <w:t xml:space="preserve">Prior Years up to 31 </w:t>
                              </w:r>
                              <w:r>
                                <w:rPr>
                                  <w:rFonts w:ascii="Arial" w:eastAsia="Arial" w:hAnsi="Arial"/>
                                  <w:b/>
                                  <w:color w:val="FFFFFF"/>
                                  <w:sz w:val="16"/>
                                </w:rPr>
                                <w:br/>
                                <w:t>Dec 2024</w:t>
                              </w:r>
                            </w:p>
                          </w:tc>
                          <w:tc>
                            <w:tcPr>
                              <w:tcW w:w="1724" w:type="dxa"/>
                              <w:tcBorders>
                                <w:top w:val="nil"/>
                                <w:left w:val="nil"/>
                                <w:bottom w:val="nil"/>
                                <w:right w:val="single" w:sz="7" w:space="0" w:color="808080"/>
                              </w:tcBorders>
                              <w:shd w:val="clear" w:color="auto" w:fill="15385F"/>
                              <w:tcMar>
                                <w:top w:w="0" w:type="dxa"/>
                                <w:left w:w="0" w:type="dxa"/>
                                <w:bottom w:w="0" w:type="dxa"/>
                                <w:right w:w="0" w:type="dxa"/>
                              </w:tcMar>
                              <w:vAlign w:val="center"/>
                            </w:tcPr>
                            <w:p w14:paraId="38B3608C" w14:textId="77777777" w:rsidR="00937D1F" w:rsidRDefault="00937D1F" w:rsidP="00B32364">
                              <w:pPr>
                                <w:jc w:val="center"/>
                              </w:pPr>
                              <w:r>
                                <w:rPr>
                                  <w:rFonts w:ascii="Arial" w:eastAsia="Arial" w:hAnsi="Arial"/>
                                  <w:b/>
                                  <w:color w:val="FFFFFF"/>
                                  <w:sz w:val="16"/>
                                </w:rPr>
                                <w:t xml:space="preserve">Financial Year </w:t>
                              </w:r>
                              <w:r>
                                <w:rPr>
                                  <w:rFonts w:ascii="Arial" w:eastAsia="Arial" w:hAnsi="Arial"/>
                                  <w:b/>
                                  <w:color w:val="FFFFFF"/>
                                  <w:sz w:val="16"/>
                                </w:rPr>
                                <w:br/>
                                <w:t>Jan-Dec 2025</w:t>
                              </w:r>
                            </w:p>
                          </w:tc>
                          <w:tc>
                            <w:tcPr>
                              <w:tcW w:w="1581" w:type="dxa"/>
                              <w:tcBorders>
                                <w:top w:val="nil"/>
                                <w:left w:val="nil"/>
                                <w:bottom w:val="nil"/>
                                <w:right w:val="nil"/>
                              </w:tcBorders>
                              <w:shd w:val="clear" w:color="auto" w:fill="15385F"/>
                              <w:tcMar>
                                <w:top w:w="0" w:type="dxa"/>
                                <w:left w:w="0" w:type="dxa"/>
                                <w:bottom w:w="0" w:type="dxa"/>
                                <w:right w:w="0" w:type="dxa"/>
                              </w:tcMar>
                              <w:vAlign w:val="center"/>
                            </w:tcPr>
                            <w:p w14:paraId="548BA76F" w14:textId="77777777" w:rsidR="00937D1F" w:rsidRDefault="00937D1F" w:rsidP="00B32364">
                              <w:pPr>
                                <w:jc w:val="center"/>
                              </w:pPr>
                              <w:r>
                                <w:rPr>
                                  <w:rFonts w:ascii="Arial" w:eastAsia="Arial" w:hAnsi="Arial"/>
                                  <w:b/>
                                  <w:color w:val="FFFFFF"/>
                                  <w:sz w:val="16"/>
                                </w:rPr>
                                <w:t>Total</w:t>
                              </w:r>
                            </w:p>
                          </w:tc>
                        </w:tr>
                        <w:tr w:rsidR="00937D1F" w14:paraId="4A35AC6D" w14:textId="77777777" w:rsidTr="00B32364">
                          <w:trPr>
                            <w:trHeight w:val="227"/>
                          </w:trPr>
                          <w:tc>
                            <w:tcPr>
                              <w:tcW w:w="4461" w:type="dxa"/>
                              <w:tcBorders>
                                <w:top w:val="nil"/>
                                <w:left w:val="nil"/>
                                <w:bottom w:val="nil"/>
                                <w:right w:val="nil"/>
                              </w:tcBorders>
                              <w:shd w:val="clear" w:color="auto" w:fill="66809D"/>
                              <w:tcMar>
                                <w:top w:w="59" w:type="dxa"/>
                                <w:left w:w="59" w:type="dxa"/>
                                <w:bottom w:w="59" w:type="dxa"/>
                                <w:right w:w="59" w:type="dxa"/>
                              </w:tcMar>
                              <w:vAlign w:val="center"/>
                            </w:tcPr>
                            <w:p w14:paraId="6DCB5DC4" w14:textId="77777777" w:rsidR="00937D1F" w:rsidRDefault="00937D1F" w:rsidP="00B32364">
                              <w:r>
                                <w:rPr>
                                  <w:rFonts w:ascii="Arial" w:eastAsia="Arial" w:hAnsi="Arial"/>
                                  <w:b/>
                                  <w:color w:val="FFFFFF"/>
                                  <w:sz w:val="16"/>
                                </w:rPr>
                                <w:t>Sources of Funds</w:t>
                              </w:r>
                            </w:p>
                          </w:tc>
                          <w:tc>
                            <w:tcPr>
                              <w:tcW w:w="1869" w:type="dxa"/>
                              <w:tcBorders>
                                <w:top w:val="nil"/>
                                <w:left w:val="nil"/>
                                <w:bottom w:val="nil"/>
                                <w:right w:val="single" w:sz="7" w:space="0" w:color="808080"/>
                              </w:tcBorders>
                              <w:shd w:val="clear" w:color="auto" w:fill="66809D"/>
                              <w:tcMar>
                                <w:top w:w="59" w:type="dxa"/>
                                <w:left w:w="59" w:type="dxa"/>
                                <w:bottom w:w="59" w:type="dxa"/>
                                <w:right w:w="59" w:type="dxa"/>
                              </w:tcMar>
                              <w:vAlign w:val="center"/>
                            </w:tcPr>
                            <w:p w14:paraId="2DD92735" w14:textId="77777777" w:rsidR="00937D1F" w:rsidRDefault="00937D1F" w:rsidP="00B32364"/>
                          </w:tc>
                          <w:tc>
                            <w:tcPr>
                              <w:tcW w:w="1724" w:type="dxa"/>
                              <w:tcBorders>
                                <w:top w:val="nil"/>
                                <w:left w:val="nil"/>
                                <w:bottom w:val="nil"/>
                                <w:right w:val="single" w:sz="7" w:space="0" w:color="808080"/>
                              </w:tcBorders>
                              <w:shd w:val="clear" w:color="auto" w:fill="66809D"/>
                              <w:tcMar>
                                <w:top w:w="59" w:type="dxa"/>
                                <w:left w:w="59" w:type="dxa"/>
                                <w:bottom w:w="59" w:type="dxa"/>
                                <w:right w:w="59" w:type="dxa"/>
                              </w:tcMar>
                              <w:vAlign w:val="center"/>
                            </w:tcPr>
                            <w:p w14:paraId="7EC1F198" w14:textId="77777777" w:rsidR="00937D1F" w:rsidRDefault="00937D1F" w:rsidP="00B32364"/>
                          </w:tc>
                          <w:tc>
                            <w:tcPr>
                              <w:tcW w:w="1581" w:type="dxa"/>
                              <w:tcBorders>
                                <w:top w:val="nil"/>
                                <w:left w:val="nil"/>
                                <w:bottom w:val="nil"/>
                                <w:right w:val="nil"/>
                              </w:tcBorders>
                              <w:shd w:val="clear" w:color="auto" w:fill="66809D"/>
                              <w:tcMar>
                                <w:top w:w="59" w:type="dxa"/>
                                <w:left w:w="59" w:type="dxa"/>
                                <w:bottom w:w="59" w:type="dxa"/>
                                <w:right w:w="59" w:type="dxa"/>
                              </w:tcMar>
                              <w:vAlign w:val="center"/>
                            </w:tcPr>
                            <w:p w14:paraId="715E5026" w14:textId="77777777" w:rsidR="00937D1F" w:rsidRDefault="00937D1F" w:rsidP="00B32364"/>
                          </w:tc>
                        </w:tr>
                        <w:tr w:rsidR="00937D1F" w14:paraId="7E8B9B2B" w14:textId="77777777" w:rsidTr="00B32364">
                          <w:trPr>
                            <w:trHeight w:val="227"/>
                          </w:trPr>
                          <w:tc>
                            <w:tcPr>
                              <w:tcW w:w="4461" w:type="dxa"/>
                              <w:tcBorders>
                                <w:top w:val="nil"/>
                                <w:left w:val="nil"/>
                                <w:bottom w:val="nil"/>
                                <w:right w:val="nil"/>
                              </w:tcBorders>
                              <w:shd w:val="clear" w:color="auto" w:fill="E3E8ED"/>
                              <w:tcMar>
                                <w:top w:w="59" w:type="dxa"/>
                                <w:left w:w="59" w:type="dxa"/>
                                <w:bottom w:w="59" w:type="dxa"/>
                                <w:right w:w="59" w:type="dxa"/>
                              </w:tcMar>
                              <w:vAlign w:val="center"/>
                            </w:tcPr>
                            <w:p w14:paraId="0824BDB9" w14:textId="77777777" w:rsidR="00937D1F" w:rsidRDefault="00937D1F" w:rsidP="00B32364">
                              <w:r>
                                <w:rPr>
                                  <w:rFonts w:ascii="Arial" w:eastAsia="Arial" w:hAnsi="Arial"/>
                                  <w:color w:val="000000"/>
                                  <w:sz w:val="16"/>
                                </w:rPr>
                                <w:t>Contributions from donors</w:t>
                              </w:r>
                            </w:p>
                          </w:tc>
                          <w:tc>
                            <w:tcPr>
                              <w:tcW w:w="1869"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048F19CF" w14:textId="77777777" w:rsidR="00937D1F" w:rsidRDefault="00937D1F" w:rsidP="00B32364">
                              <w:pPr>
                                <w:jc w:val="right"/>
                              </w:pPr>
                              <w:r>
                                <w:rPr>
                                  <w:rFonts w:ascii="Arial" w:eastAsia="Arial" w:hAnsi="Arial"/>
                                  <w:color w:val="000000"/>
                                  <w:sz w:val="16"/>
                                </w:rPr>
                                <w:t>5,394,942</w:t>
                              </w:r>
                            </w:p>
                          </w:tc>
                          <w:tc>
                            <w:tcPr>
                              <w:tcW w:w="1724"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00DDC523" w14:textId="77777777" w:rsidR="00937D1F" w:rsidRDefault="00937D1F" w:rsidP="00B32364">
                              <w:pPr>
                                <w:jc w:val="right"/>
                              </w:pPr>
                              <w:r>
                                <w:rPr>
                                  <w:rFonts w:ascii="Arial" w:eastAsia="Arial" w:hAnsi="Arial"/>
                                  <w:color w:val="000000"/>
                                  <w:sz w:val="16"/>
                                </w:rPr>
                                <w:t>-</w:t>
                              </w:r>
                            </w:p>
                          </w:tc>
                          <w:tc>
                            <w:tcPr>
                              <w:tcW w:w="1581" w:type="dxa"/>
                              <w:tcBorders>
                                <w:top w:val="nil"/>
                                <w:left w:val="nil"/>
                                <w:bottom w:val="nil"/>
                                <w:right w:val="nil"/>
                              </w:tcBorders>
                              <w:shd w:val="clear" w:color="auto" w:fill="E3E8ED"/>
                              <w:tcMar>
                                <w:top w:w="59" w:type="dxa"/>
                                <w:left w:w="59" w:type="dxa"/>
                                <w:bottom w:w="59" w:type="dxa"/>
                                <w:right w:w="59" w:type="dxa"/>
                              </w:tcMar>
                              <w:vAlign w:val="center"/>
                            </w:tcPr>
                            <w:p w14:paraId="56E08643" w14:textId="77777777" w:rsidR="00937D1F" w:rsidRDefault="00937D1F" w:rsidP="00B32364">
                              <w:pPr>
                                <w:jc w:val="right"/>
                              </w:pPr>
                              <w:r>
                                <w:rPr>
                                  <w:rFonts w:ascii="Arial" w:eastAsia="Arial" w:hAnsi="Arial"/>
                                  <w:color w:val="000000"/>
                                  <w:sz w:val="16"/>
                                </w:rPr>
                                <w:t>5,394,942</w:t>
                              </w:r>
                            </w:p>
                          </w:tc>
                        </w:tr>
                        <w:tr w:rsidR="00937D1F" w14:paraId="768C7618" w14:textId="77777777" w:rsidTr="00B32364">
                          <w:trPr>
                            <w:trHeight w:val="227"/>
                          </w:trPr>
                          <w:tc>
                            <w:tcPr>
                              <w:tcW w:w="4461" w:type="dxa"/>
                              <w:tcBorders>
                                <w:top w:val="nil"/>
                                <w:left w:val="nil"/>
                                <w:bottom w:val="nil"/>
                                <w:right w:val="nil"/>
                              </w:tcBorders>
                              <w:shd w:val="clear" w:color="auto" w:fill="FFFFFF"/>
                              <w:tcMar>
                                <w:top w:w="59" w:type="dxa"/>
                                <w:left w:w="59" w:type="dxa"/>
                                <w:bottom w:w="59" w:type="dxa"/>
                                <w:right w:w="59" w:type="dxa"/>
                              </w:tcMar>
                              <w:vAlign w:val="center"/>
                            </w:tcPr>
                            <w:p w14:paraId="4CCCBC54" w14:textId="77777777" w:rsidR="00937D1F" w:rsidRDefault="00937D1F" w:rsidP="00B32364">
                              <w:pPr>
                                <w:jc w:val="right"/>
                              </w:pPr>
                              <w:r>
                                <w:rPr>
                                  <w:rFonts w:ascii="Arial" w:eastAsia="Arial" w:hAnsi="Arial"/>
                                  <w:b/>
                                  <w:color w:val="000000"/>
                                  <w:sz w:val="16"/>
                                </w:rPr>
                                <w:t>Sub-total Contributions</w:t>
                              </w:r>
                            </w:p>
                          </w:tc>
                          <w:tc>
                            <w:tcPr>
                              <w:tcW w:w="1869"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6561B828" w14:textId="77777777" w:rsidR="00937D1F" w:rsidRDefault="00937D1F" w:rsidP="00B32364">
                              <w:pPr>
                                <w:jc w:val="right"/>
                              </w:pPr>
                              <w:r>
                                <w:rPr>
                                  <w:rFonts w:ascii="Arial" w:eastAsia="Arial" w:hAnsi="Arial"/>
                                  <w:b/>
                                  <w:color w:val="000000"/>
                                  <w:sz w:val="16"/>
                                </w:rPr>
                                <w:t>5,394,942</w:t>
                              </w:r>
                            </w:p>
                          </w:tc>
                          <w:tc>
                            <w:tcPr>
                              <w:tcW w:w="1724"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70E2C7F8" w14:textId="77777777" w:rsidR="00937D1F" w:rsidRDefault="00937D1F" w:rsidP="00B32364">
                              <w:pPr>
                                <w:jc w:val="right"/>
                              </w:pPr>
                              <w:r>
                                <w:rPr>
                                  <w:rFonts w:ascii="Arial" w:eastAsia="Arial" w:hAnsi="Arial"/>
                                  <w:b/>
                                  <w:color w:val="000000"/>
                                  <w:sz w:val="16"/>
                                </w:rPr>
                                <w:t>-</w:t>
                              </w:r>
                            </w:p>
                          </w:tc>
                          <w:tc>
                            <w:tcPr>
                              <w:tcW w:w="1581" w:type="dxa"/>
                              <w:tcBorders>
                                <w:top w:val="nil"/>
                                <w:left w:val="nil"/>
                                <w:bottom w:val="nil"/>
                                <w:right w:val="nil"/>
                              </w:tcBorders>
                              <w:shd w:val="clear" w:color="auto" w:fill="FFFFFF"/>
                              <w:tcMar>
                                <w:top w:w="59" w:type="dxa"/>
                                <w:left w:w="59" w:type="dxa"/>
                                <w:bottom w:w="59" w:type="dxa"/>
                                <w:right w:w="59" w:type="dxa"/>
                              </w:tcMar>
                              <w:vAlign w:val="center"/>
                            </w:tcPr>
                            <w:p w14:paraId="471E7572" w14:textId="77777777" w:rsidR="00937D1F" w:rsidRDefault="00937D1F" w:rsidP="00B32364">
                              <w:pPr>
                                <w:jc w:val="right"/>
                              </w:pPr>
                              <w:r>
                                <w:rPr>
                                  <w:rFonts w:ascii="Arial" w:eastAsia="Arial" w:hAnsi="Arial"/>
                                  <w:b/>
                                  <w:color w:val="000000"/>
                                  <w:sz w:val="16"/>
                                </w:rPr>
                                <w:t>5,394,942</w:t>
                              </w:r>
                            </w:p>
                          </w:tc>
                        </w:tr>
                        <w:tr w:rsidR="00937D1F" w14:paraId="1C25FFF6" w14:textId="77777777" w:rsidTr="00B32364">
                          <w:trPr>
                            <w:trHeight w:val="227"/>
                          </w:trPr>
                          <w:tc>
                            <w:tcPr>
                              <w:tcW w:w="4461" w:type="dxa"/>
                              <w:tcBorders>
                                <w:top w:val="nil"/>
                                <w:left w:val="nil"/>
                                <w:bottom w:val="nil"/>
                                <w:right w:val="nil"/>
                              </w:tcBorders>
                              <w:shd w:val="clear" w:color="auto" w:fill="E3E8ED"/>
                              <w:tcMar>
                                <w:top w:w="59" w:type="dxa"/>
                                <w:left w:w="59" w:type="dxa"/>
                                <w:bottom w:w="59" w:type="dxa"/>
                                <w:right w:w="59" w:type="dxa"/>
                              </w:tcMar>
                              <w:vAlign w:val="center"/>
                            </w:tcPr>
                            <w:p w14:paraId="059B7534" w14:textId="77777777" w:rsidR="00937D1F" w:rsidRDefault="00937D1F" w:rsidP="00B32364">
                              <w:r>
                                <w:rPr>
                                  <w:rFonts w:ascii="Arial" w:eastAsia="Arial" w:hAnsi="Arial"/>
                                  <w:color w:val="000000"/>
                                  <w:sz w:val="16"/>
                                </w:rPr>
                                <w:t>Fund Interest and Investment Income Earned</w:t>
                              </w:r>
                            </w:p>
                          </w:tc>
                          <w:tc>
                            <w:tcPr>
                              <w:tcW w:w="1869"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37EBF062" w14:textId="77777777" w:rsidR="00937D1F" w:rsidRDefault="00937D1F" w:rsidP="00B32364">
                              <w:pPr>
                                <w:jc w:val="right"/>
                              </w:pPr>
                              <w:r>
                                <w:rPr>
                                  <w:rFonts w:ascii="Arial" w:eastAsia="Arial" w:hAnsi="Arial"/>
                                  <w:color w:val="000000"/>
                                  <w:sz w:val="16"/>
                                </w:rPr>
                                <w:t>38,196</w:t>
                              </w:r>
                            </w:p>
                          </w:tc>
                          <w:tc>
                            <w:tcPr>
                              <w:tcW w:w="1724"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7171A4AF" w14:textId="77777777" w:rsidR="00937D1F" w:rsidRDefault="00937D1F" w:rsidP="00B32364">
                              <w:pPr>
                                <w:jc w:val="right"/>
                              </w:pPr>
                              <w:r>
                                <w:rPr>
                                  <w:rFonts w:ascii="Arial" w:eastAsia="Arial" w:hAnsi="Arial"/>
                                  <w:color w:val="000000"/>
                                  <w:sz w:val="16"/>
                                </w:rPr>
                                <w:t>-</w:t>
                              </w:r>
                            </w:p>
                          </w:tc>
                          <w:tc>
                            <w:tcPr>
                              <w:tcW w:w="1581" w:type="dxa"/>
                              <w:tcBorders>
                                <w:top w:val="nil"/>
                                <w:left w:val="nil"/>
                                <w:bottom w:val="nil"/>
                                <w:right w:val="nil"/>
                              </w:tcBorders>
                              <w:shd w:val="clear" w:color="auto" w:fill="E3E8ED"/>
                              <w:tcMar>
                                <w:top w:w="59" w:type="dxa"/>
                                <w:left w:w="59" w:type="dxa"/>
                                <w:bottom w:w="59" w:type="dxa"/>
                                <w:right w:w="59" w:type="dxa"/>
                              </w:tcMar>
                              <w:vAlign w:val="center"/>
                            </w:tcPr>
                            <w:p w14:paraId="2FC7B98C" w14:textId="77777777" w:rsidR="00937D1F" w:rsidRDefault="00937D1F" w:rsidP="00B32364">
                              <w:pPr>
                                <w:jc w:val="right"/>
                              </w:pPr>
                              <w:r>
                                <w:rPr>
                                  <w:rFonts w:ascii="Arial" w:eastAsia="Arial" w:hAnsi="Arial"/>
                                  <w:color w:val="000000"/>
                                  <w:sz w:val="16"/>
                                </w:rPr>
                                <w:t>38,196</w:t>
                              </w:r>
                            </w:p>
                          </w:tc>
                        </w:tr>
                        <w:tr w:rsidR="00937D1F" w14:paraId="10B4D3C7" w14:textId="77777777" w:rsidTr="00B32364">
                          <w:trPr>
                            <w:trHeight w:val="227"/>
                          </w:trPr>
                          <w:tc>
                            <w:tcPr>
                              <w:tcW w:w="4461" w:type="dxa"/>
                              <w:tcBorders>
                                <w:top w:val="nil"/>
                                <w:left w:val="nil"/>
                                <w:bottom w:val="nil"/>
                                <w:right w:val="nil"/>
                              </w:tcBorders>
                              <w:shd w:val="clear" w:color="auto" w:fill="FFFFFF"/>
                              <w:tcMar>
                                <w:top w:w="59" w:type="dxa"/>
                                <w:left w:w="59" w:type="dxa"/>
                                <w:bottom w:w="59" w:type="dxa"/>
                                <w:right w:w="59" w:type="dxa"/>
                              </w:tcMar>
                              <w:vAlign w:val="center"/>
                            </w:tcPr>
                            <w:p w14:paraId="78D93A82" w14:textId="77777777" w:rsidR="00937D1F" w:rsidRDefault="00937D1F" w:rsidP="00B32364">
                              <w:pPr>
                                <w:jc w:val="right"/>
                              </w:pPr>
                              <w:r>
                                <w:rPr>
                                  <w:rFonts w:ascii="Arial" w:eastAsia="Arial" w:hAnsi="Arial"/>
                                  <w:b/>
                                  <w:color w:val="000000"/>
                                  <w:sz w:val="16"/>
                                </w:rPr>
                                <w:t>Total: Sources of Funds</w:t>
                              </w:r>
                            </w:p>
                          </w:tc>
                          <w:tc>
                            <w:tcPr>
                              <w:tcW w:w="1869"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40A68BA2" w14:textId="77777777" w:rsidR="00937D1F" w:rsidRDefault="00937D1F" w:rsidP="00B32364">
                              <w:pPr>
                                <w:jc w:val="right"/>
                              </w:pPr>
                              <w:r>
                                <w:rPr>
                                  <w:rFonts w:ascii="Arial" w:eastAsia="Arial" w:hAnsi="Arial"/>
                                  <w:b/>
                                  <w:color w:val="000000"/>
                                  <w:sz w:val="16"/>
                                </w:rPr>
                                <w:t>5,433,138</w:t>
                              </w:r>
                            </w:p>
                          </w:tc>
                          <w:tc>
                            <w:tcPr>
                              <w:tcW w:w="1724"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504789D0" w14:textId="77777777" w:rsidR="00937D1F" w:rsidRDefault="00937D1F" w:rsidP="00B32364">
                              <w:pPr>
                                <w:jc w:val="right"/>
                              </w:pPr>
                              <w:r>
                                <w:rPr>
                                  <w:rFonts w:ascii="Arial" w:eastAsia="Arial" w:hAnsi="Arial"/>
                                  <w:b/>
                                  <w:color w:val="000000"/>
                                  <w:sz w:val="16"/>
                                </w:rPr>
                                <w:t>-</w:t>
                              </w:r>
                            </w:p>
                          </w:tc>
                          <w:tc>
                            <w:tcPr>
                              <w:tcW w:w="1581" w:type="dxa"/>
                              <w:tcBorders>
                                <w:top w:val="nil"/>
                                <w:left w:val="nil"/>
                                <w:bottom w:val="nil"/>
                                <w:right w:val="nil"/>
                              </w:tcBorders>
                              <w:shd w:val="clear" w:color="auto" w:fill="FFFFFF"/>
                              <w:tcMar>
                                <w:top w:w="59" w:type="dxa"/>
                                <w:left w:w="59" w:type="dxa"/>
                                <w:bottom w:w="59" w:type="dxa"/>
                                <w:right w:w="59" w:type="dxa"/>
                              </w:tcMar>
                              <w:vAlign w:val="center"/>
                            </w:tcPr>
                            <w:p w14:paraId="637EC0BC" w14:textId="77777777" w:rsidR="00937D1F" w:rsidRDefault="00937D1F" w:rsidP="00B32364">
                              <w:pPr>
                                <w:jc w:val="right"/>
                              </w:pPr>
                              <w:r>
                                <w:rPr>
                                  <w:rFonts w:ascii="Arial" w:eastAsia="Arial" w:hAnsi="Arial"/>
                                  <w:b/>
                                  <w:color w:val="000000"/>
                                  <w:sz w:val="16"/>
                                </w:rPr>
                                <w:t>5,433,138</w:t>
                              </w:r>
                            </w:p>
                          </w:tc>
                        </w:tr>
                        <w:tr w:rsidR="00937D1F" w14:paraId="1DB6A862" w14:textId="77777777" w:rsidTr="00B32364">
                          <w:trPr>
                            <w:trHeight w:val="227"/>
                          </w:trPr>
                          <w:tc>
                            <w:tcPr>
                              <w:tcW w:w="4461" w:type="dxa"/>
                              <w:tcBorders>
                                <w:top w:val="nil"/>
                                <w:left w:val="nil"/>
                                <w:bottom w:val="nil"/>
                                <w:right w:val="nil"/>
                              </w:tcBorders>
                              <w:shd w:val="clear" w:color="auto" w:fill="66809D"/>
                              <w:tcMar>
                                <w:top w:w="59" w:type="dxa"/>
                                <w:left w:w="59" w:type="dxa"/>
                                <w:bottom w:w="59" w:type="dxa"/>
                                <w:right w:w="59" w:type="dxa"/>
                              </w:tcMar>
                              <w:vAlign w:val="center"/>
                            </w:tcPr>
                            <w:p w14:paraId="042D26DA" w14:textId="77777777" w:rsidR="00937D1F" w:rsidRDefault="00937D1F" w:rsidP="00B32364">
                              <w:r>
                                <w:rPr>
                                  <w:rFonts w:ascii="Arial" w:eastAsia="Arial" w:hAnsi="Arial"/>
                                  <w:b/>
                                  <w:color w:val="FFFFFF"/>
                                  <w:sz w:val="16"/>
                                </w:rPr>
                                <w:t>Use of Funds</w:t>
                              </w:r>
                            </w:p>
                          </w:tc>
                          <w:tc>
                            <w:tcPr>
                              <w:tcW w:w="1869" w:type="dxa"/>
                              <w:tcBorders>
                                <w:top w:val="nil"/>
                                <w:left w:val="nil"/>
                                <w:bottom w:val="nil"/>
                                <w:right w:val="single" w:sz="7" w:space="0" w:color="808080"/>
                              </w:tcBorders>
                              <w:shd w:val="clear" w:color="auto" w:fill="66809D"/>
                              <w:tcMar>
                                <w:top w:w="59" w:type="dxa"/>
                                <w:left w:w="59" w:type="dxa"/>
                                <w:bottom w:w="59" w:type="dxa"/>
                                <w:right w:w="59" w:type="dxa"/>
                              </w:tcMar>
                              <w:vAlign w:val="center"/>
                            </w:tcPr>
                            <w:p w14:paraId="53383D74" w14:textId="77777777" w:rsidR="00937D1F" w:rsidRDefault="00937D1F" w:rsidP="00B32364"/>
                          </w:tc>
                          <w:tc>
                            <w:tcPr>
                              <w:tcW w:w="1724" w:type="dxa"/>
                              <w:tcBorders>
                                <w:top w:val="nil"/>
                                <w:left w:val="nil"/>
                                <w:bottom w:val="nil"/>
                                <w:right w:val="single" w:sz="7" w:space="0" w:color="808080"/>
                              </w:tcBorders>
                              <w:shd w:val="clear" w:color="auto" w:fill="66809D"/>
                              <w:tcMar>
                                <w:top w:w="59" w:type="dxa"/>
                                <w:left w:w="59" w:type="dxa"/>
                                <w:bottom w:w="59" w:type="dxa"/>
                                <w:right w:w="59" w:type="dxa"/>
                              </w:tcMar>
                              <w:vAlign w:val="center"/>
                            </w:tcPr>
                            <w:p w14:paraId="2F9A7730" w14:textId="77777777" w:rsidR="00937D1F" w:rsidRDefault="00937D1F" w:rsidP="00B32364"/>
                          </w:tc>
                          <w:tc>
                            <w:tcPr>
                              <w:tcW w:w="1581" w:type="dxa"/>
                              <w:tcBorders>
                                <w:top w:val="nil"/>
                                <w:left w:val="nil"/>
                                <w:bottom w:val="nil"/>
                                <w:right w:val="nil"/>
                              </w:tcBorders>
                              <w:shd w:val="clear" w:color="auto" w:fill="66809D"/>
                              <w:tcMar>
                                <w:top w:w="59" w:type="dxa"/>
                                <w:left w:w="59" w:type="dxa"/>
                                <w:bottom w:w="59" w:type="dxa"/>
                                <w:right w:w="59" w:type="dxa"/>
                              </w:tcMar>
                              <w:vAlign w:val="center"/>
                            </w:tcPr>
                            <w:p w14:paraId="53DB436E" w14:textId="77777777" w:rsidR="00937D1F" w:rsidRDefault="00937D1F" w:rsidP="00B32364"/>
                          </w:tc>
                        </w:tr>
                        <w:tr w:rsidR="00937D1F" w14:paraId="57250F4F" w14:textId="77777777" w:rsidTr="00B32364">
                          <w:trPr>
                            <w:trHeight w:val="227"/>
                          </w:trPr>
                          <w:tc>
                            <w:tcPr>
                              <w:tcW w:w="4461" w:type="dxa"/>
                              <w:tcBorders>
                                <w:top w:val="nil"/>
                                <w:left w:val="nil"/>
                                <w:bottom w:val="nil"/>
                                <w:right w:val="nil"/>
                              </w:tcBorders>
                              <w:shd w:val="clear" w:color="auto" w:fill="E3E8ED"/>
                              <w:tcMar>
                                <w:top w:w="59" w:type="dxa"/>
                                <w:left w:w="59" w:type="dxa"/>
                                <w:bottom w:w="59" w:type="dxa"/>
                                <w:right w:w="59" w:type="dxa"/>
                              </w:tcMar>
                              <w:vAlign w:val="center"/>
                            </w:tcPr>
                            <w:p w14:paraId="03666DC7" w14:textId="77777777" w:rsidR="00937D1F" w:rsidRDefault="00937D1F" w:rsidP="00B32364">
                              <w:r>
                                <w:rPr>
                                  <w:rFonts w:ascii="Arial" w:eastAsia="Arial" w:hAnsi="Arial"/>
                                  <w:color w:val="000000"/>
                                  <w:sz w:val="16"/>
                                </w:rPr>
                                <w:t>Transfers to Participating Organizations</w:t>
                              </w:r>
                            </w:p>
                          </w:tc>
                          <w:tc>
                            <w:tcPr>
                              <w:tcW w:w="1869"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0B8E2B49" w14:textId="77777777" w:rsidR="00937D1F" w:rsidRDefault="00937D1F" w:rsidP="00B32364">
                              <w:pPr>
                                <w:jc w:val="right"/>
                              </w:pPr>
                              <w:r>
                                <w:rPr>
                                  <w:rFonts w:ascii="Arial" w:eastAsia="Arial" w:hAnsi="Arial"/>
                                  <w:color w:val="000000"/>
                                  <w:sz w:val="16"/>
                                </w:rPr>
                                <w:t>2,194,638</w:t>
                              </w:r>
                            </w:p>
                          </w:tc>
                          <w:tc>
                            <w:tcPr>
                              <w:tcW w:w="1724"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681F47A4" w14:textId="77777777" w:rsidR="00937D1F" w:rsidRDefault="00937D1F" w:rsidP="00B32364">
                              <w:pPr>
                                <w:jc w:val="right"/>
                              </w:pPr>
                              <w:r>
                                <w:rPr>
                                  <w:rFonts w:ascii="Arial" w:eastAsia="Arial" w:hAnsi="Arial"/>
                                  <w:color w:val="000000"/>
                                  <w:sz w:val="16"/>
                                </w:rPr>
                                <w:t>-</w:t>
                              </w:r>
                            </w:p>
                          </w:tc>
                          <w:tc>
                            <w:tcPr>
                              <w:tcW w:w="1581" w:type="dxa"/>
                              <w:tcBorders>
                                <w:top w:val="nil"/>
                                <w:left w:val="nil"/>
                                <w:bottom w:val="nil"/>
                                <w:right w:val="nil"/>
                              </w:tcBorders>
                              <w:shd w:val="clear" w:color="auto" w:fill="E3E8ED"/>
                              <w:tcMar>
                                <w:top w:w="59" w:type="dxa"/>
                                <w:left w:w="59" w:type="dxa"/>
                                <w:bottom w:w="59" w:type="dxa"/>
                                <w:right w:w="59" w:type="dxa"/>
                              </w:tcMar>
                              <w:vAlign w:val="center"/>
                            </w:tcPr>
                            <w:p w14:paraId="130C3A4B" w14:textId="77777777" w:rsidR="00937D1F" w:rsidRDefault="00937D1F" w:rsidP="00B32364">
                              <w:pPr>
                                <w:jc w:val="right"/>
                              </w:pPr>
                              <w:r>
                                <w:rPr>
                                  <w:rFonts w:ascii="Arial" w:eastAsia="Arial" w:hAnsi="Arial"/>
                                  <w:color w:val="000000"/>
                                  <w:sz w:val="16"/>
                                </w:rPr>
                                <w:t>2,194,638</w:t>
                              </w:r>
                            </w:p>
                          </w:tc>
                        </w:tr>
                        <w:tr w:rsidR="00937D1F" w14:paraId="0E793E8F" w14:textId="77777777" w:rsidTr="00B32364">
                          <w:trPr>
                            <w:trHeight w:val="227"/>
                          </w:trPr>
                          <w:tc>
                            <w:tcPr>
                              <w:tcW w:w="4461" w:type="dxa"/>
                              <w:tcBorders>
                                <w:top w:val="nil"/>
                                <w:left w:val="nil"/>
                                <w:bottom w:val="nil"/>
                                <w:right w:val="nil"/>
                              </w:tcBorders>
                              <w:shd w:val="clear" w:color="auto" w:fill="FFFFFF"/>
                              <w:tcMar>
                                <w:top w:w="59" w:type="dxa"/>
                                <w:left w:w="59" w:type="dxa"/>
                                <w:bottom w:w="59" w:type="dxa"/>
                                <w:right w:w="59" w:type="dxa"/>
                              </w:tcMar>
                              <w:vAlign w:val="center"/>
                            </w:tcPr>
                            <w:p w14:paraId="43C92F27" w14:textId="77777777" w:rsidR="00937D1F" w:rsidRDefault="00937D1F" w:rsidP="00B32364">
                              <w:r>
                                <w:rPr>
                                  <w:rFonts w:ascii="Arial" w:eastAsia="Arial" w:hAnsi="Arial"/>
                                  <w:color w:val="000000"/>
                                  <w:sz w:val="16"/>
                                </w:rPr>
                                <w:t xml:space="preserve">Transfers to Participating Organizations for Direct Cost - Fund Secretariat </w:t>
                              </w:r>
                              <w:proofErr w:type="spellStart"/>
                              <w:r>
                                <w:rPr>
                                  <w:rFonts w:ascii="Arial" w:eastAsia="Arial" w:hAnsi="Arial"/>
                                  <w:color w:val="000000"/>
                                  <w:sz w:val="16"/>
                                </w:rPr>
                                <w:t>etc</w:t>
                              </w:r>
                              <w:proofErr w:type="spellEnd"/>
                            </w:p>
                          </w:tc>
                          <w:tc>
                            <w:tcPr>
                              <w:tcW w:w="1869"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1822C2C3" w14:textId="77777777" w:rsidR="00937D1F" w:rsidRDefault="00937D1F" w:rsidP="00B32364">
                              <w:pPr>
                                <w:jc w:val="right"/>
                              </w:pPr>
                              <w:r>
                                <w:rPr>
                                  <w:rFonts w:ascii="Arial" w:eastAsia="Arial" w:hAnsi="Arial"/>
                                  <w:color w:val="000000"/>
                                  <w:sz w:val="16"/>
                                </w:rPr>
                                <w:t>3,180,612</w:t>
                              </w:r>
                            </w:p>
                          </w:tc>
                          <w:tc>
                            <w:tcPr>
                              <w:tcW w:w="1724"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08967348" w14:textId="77777777" w:rsidR="00937D1F" w:rsidRDefault="00937D1F" w:rsidP="00B32364">
                              <w:pPr>
                                <w:jc w:val="right"/>
                              </w:pPr>
                              <w:r>
                                <w:rPr>
                                  <w:rFonts w:ascii="Arial" w:eastAsia="Arial" w:hAnsi="Arial"/>
                                  <w:color w:val="000000"/>
                                  <w:sz w:val="16"/>
                                </w:rPr>
                                <w:t>-</w:t>
                              </w:r>
                            </w:p>
                          </w:tc>
                          <w:tc>
                            <w:tcPr>
                              <w:tcW w:w="1581" w:type="dxa"/>
                              <w:tcBorders>
                                <w:top w:val="nil"/>
                                <w:left w:val="nil"/>
                                <w:bottom w:val="nil"/>
                                <w:right w:val="nil"/>
                              </w:tcBorders>
                              <w:shd w:val="clear" w:color="auto" w:fill="FFFFFF"/>
                              <w:tcMar>
                                <w:top w:w="59" w:type="dxa"/>
                                <w:left w:w="59" w:type="dxa"/>
                                <w:bottom w:w="59" w:type="dxa"/>
                                <w:right w:w="59" w:type="dxa"/>
                              </w:tcMar>
                              <w:vAlign w:val="center"/>
                            </w:tcPr>
                            <w:p w14:paraId="0ED14CBA" w14:textId="77777777" w:rsidR="00937D1F" w:rsidRDefault="00937D1F" w:rsidP="00B32364">
                              <w:pPr>
                                <w:jc w:val="right"/>
                              </w:pPr>
                              <w:r>
                                <w:rPr>
                                  <w:rFonts w:ascii="Arial" w:eastAsia="Arial" w:hAnsi="Arial"/>
                                  <w:color w:val="000000"/>
                                  <w:sz w:val="16"/>
                                </w:rPr>
                                <w:t>3,180,612</w:t>
                              </w:r>
                            </w:p>
                          </w:tc>
                        </w:tr>
                        <w:tr w:rsidR="00937D1F" w14:paraId="52F16CBF" w14:textId="77777777" w:rsidTr="00B32364">
                          <w:trPr>
                            <w:trHeight w:val="227"/>
                          </w:trPr>
                          <w:tc>
                            <w:tcPr>
                              <w:tcW w:w="4461" w:type="dxa"/>
                              <w:tcBorders>
                                <w:top w:val="nil"/>
                                <w:left w:val="nil"/>
                                <w:bottom w:val="nil"/>
                                <w:right w:val="nil"/>
                              </w:tcBorders>
                              <w:shd w:val="clear" w:color="auto" w:fill="E3E8ED"/>
                              <w:tcMar>
                                <w:top w:w="59" w:type="dxa"/>
                                <w:left w:w="59" w:type="dxa"/>
                                <w:bottom w:w="59" w:type="dxa"/>
                                <w:right w:w="59" w:type="dxa"/>
                              </w:tcMar>
                              <w:vAlign w:val="center"/>
                            </w:tcPr>
                            <w:p w14:paraId="5C61B642" w14:textId="77777777" w:rsidR="00937D1F" w:rsidRDefault="00937D1F" w:rsidP="00B32364">
                              <w:r>
                                <w:rPr>
                                  <w:rFonts w:ascii="Arial" w:eastAsia="Arial" w:hAnsi="Arial"/>
                                  <w:color w:val="000000"/>
                                  <w:sz w:val="16"/>
                                </w:rPr>
                                <w:t>Sub-Total Transfers</w:t>
                              </w:r>
                            </w:p>
                          </w:tc>
                          <w:tc>
                            <w:tcPr>
                              <w:tcW w:w="1869"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2B99F8AA" w14:textId="77777777" w:rsidR="00937D1F" w:rsidRDefault="00937D1F" w:rsidP="00B32364">
                              <w:pPr>
                                <w:jc w:val="right"/>
                              </w:pPr>
                              <w:r>
                                <w:rPr>
                                  <w:rFonts w:ascii="Arial" w:eastAsia="Arial" w:hAnsi="Arial"/>
                                  <w:color w:val="000000"/>
                                  <w:sz w:val="16"/>
                                </w:rPr>
                                <w:t>5,375,250</w:t>
                              </w:r>
                            </w:p>
                          </w:tc>
                          <w:tc>
                            <w:tcPr>
                              <w:tcW w:w="1724"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4CE560CF" w14:textId="77777777" w:rsidR="00937D1F" w:rsidRDefault="00937D1F" w:rsidP="00B32364">
                              <w:pPr>
                                <w:jc w:val="right"/>
                              </w:pPr>
                              <w:r>
                                <w:rPr>
                                  <w:rFonts w:ascii="Arial" w:eastAsia="Arial" w:hAnsi="Arial"/>
                                  <w:color w:val="000000"/>
                                  <w:sz w:val="16"/>
                                </w:rPr>
                                <w:t>-</w:t>
                              </w:r>
                            </w:p>
                          </w:tc>
                          <w:tc>
                            <w:tcPr>
                              <w:tcW w:w="1581" w:type="dxa"/>
                              <w:tcBorders>
                                <w:top w:val="nil"/>
                                <w:left w:val="nil"/>
                                <w:bottom w:val="nil"/>
                                <w:right w:val="nil"/>
                              </w:tcBorders>
                              <w:shd w:val="clear" w:color="auto" w:fill="E3E8ED"/>
                              <w:tcMar>
                                <w:top w:w="59" w:type="dxa"/>
                                <w:left w:w="59" w:type="dxa"/>
                                <w:bottom w:w="59" w:type="dxa"/>
                                <w:right w:w="59" w:type="dxa"/>
                              </w:tcMar>
                              <w:vAlign w:val="center"/>
                            </w:tcPr>
                            <w:p w14:paraId="16BFB0E1" w14:textId="77777777" w:rsidR="00937D1F" w:rsidRDefault="00937D1F" w:rsidP="00B32364">
                              <w:pPr>
                                <w:jc w:val="right"/>
                              </w:pPr>
                              <w:r>
                                <w:rPr>
                                  <w:rFonts w:ascii="Arial" w:eastAsia="Arial" w:hAnsi="Arial"/>
                                  <w:color w:val="000000"/>
                                  <w:sz w:val="16"/>
                                </w:rPr>
                                <w:t>5,375,250</w:t>
                              </w:r>
                            </w:p>
                          </w:tc>
                        </w:tr>
                        <w:tr w:rsidR="00937D1F" w14:paraId="09A4F309" w14:textId="77777777" w:rsidTr="00B32364">
                          <w:trPr>
                            <w:trHeight w:val="227"/>
                          </w:trPr>
                          <w:tc>
                            <w:tcPr>
                              <w:tcW w:w="4461" w:type="dxa"/>
                              <w:tcBorders>
                                <w:top w:val="nil"/>
                                <w:left w:val="nil"/>
                                <w:bottom w:val="nil"/>
                                <w:right w:val="nil"/>
                              </w:tcBorders>
                              <w:shd w:val="clear" w:color="auto" w:fill="FFFFFF"/>
                              <w:tcMar>
                                <w:top w:w="59" w:type="dxa"/>
                                <w:left w:w="59" w:type="dxa"/>
                                <w:bottom w:w="59" w:type="dxa"/>
                                <w:right w:w="59" w:type="dxa"/>
                              </w:tcMar>
                              <w:vAlign w:val="center"/>
                            </w:tcPr>
                            <w:p w14:paraId="12E5C065" w14:textId="77777777" w:rsidR="00937D1F" w:rsidRDefault="00937D1F" w:rsidP="00B32364">
                              <w:r>
                                <w:rPr>
                                  <w:rFonts w:ascii="Arial" w:eastAsia="Arial" w:hAnsi="Arial"/>
                                  <w:color w:val="000000"/>
                                  <w:sz w:val="16"/>
                                </w:rPr>
                                <w:t>Administrative Agent Fees</w:t>
                              </w:r>
                            </w:p>
                          </w:tc>
                          <w:tc>
                            <w:tcPr>
                              <w:tcW w:w="1869"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1312907A" w14:textId="77777777" w:rsidR="00937D1F" w:rsidRDefault="00937D1F" w:rsidP="00B32364">
                              <w:pPr>
                                <w:jc w:val="right"/>
                              </w:pPr>
                              <w:r>
                                <w:rPr>
                                  <w:rFonts w:ascii="Arial" w:eastAsia="Arial" w:hAnsi="Arial"/>
                                  <w:color w:val="000000"/>
                                  <w:sz w:val="16"/>
                                </w:rPr>
                                <w:t>53,949</w:t>
                              </w:r>
                            </w:p>
                          </w:tc>
                          <w:tc>
                            <w:tcPr>
                              <w:tcW w:w="1724"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4A3D4B1F" w14:textId="77777777" w:rsidR="00937D1F" w:rsidRDefault="00937D1F" w:rsidP="00B32364">
                              <w:pPr>
                                <w:jc w:val="right"/>
                              </w:pPr>
                              <w:r>
                                <w:rPr>
                                  <w:rFonts w:ascii="Arial" w:eastAsia="Arial" w:hAnsi="Arial"/>
                                  <w:color w:val="000000"/>
                                  <w:sz w:val="16"/>
                                </w:rPr>
                                <w:t>-</w:t>
                              </w:r>
                            </w:p>
                          </w:tc>
                          <w:tc>
                            <w:tcPr>
                              <w:tcW w:w="1581" w:type="dxa"/>
                              <w:tcBorders>
                                <w:top w:val="nil"/>
                                <w:left w:val="nil"/>
                                <w:bottom w:val="nil"/>
                                <w:right w:val="nil"/>
                              </w:tcBorders>
                              <w:shd w:val="clear" w:color="auto" w:fill="FFFFFF"/>
                              <w:tcMar>
                                <w:top w:w="59" w:type="dxa"/>
                                <w:left w:w="59" w:type="dxa"/>
                                <w:bottom w:w="59" w:type="dxa"/>
                                <w:right w:w="59" w:type="dxa"/>
                              </w:tcMar>
                              <w:vAlign w:val="center"/>
                            </w:tcPr>
                            <w:p w14:paraId="2C77C3F2" w14:textId="77777777" w:rsidR="00937D1F" w:rsidRDefault="00937D1F" w:rsidP="00B32364">
                              <w:pPr>
                                <w:jc w:val="right"/>
                              </w:pPr>
                              <w:r>
                                <w:rPr>
                                  <w:rFonts w:ascii="Arial" w:eastAsia="Arial" w:hAnsi="Arial"/>
                                  <w:color w:val="000000"/>
                                  <w:sz w:val="16"/>
                                </w:rPr>
                                <w:t>53,949</w:t>
                              </w:r>
                            </w:p>
                          </w:tc>
                        </w:tr>
                        <w:tr w:rsidR="00937D1F" w14:paraId="49CE44D5" w14:textId="77777777" w:rsidTr="00B32364">
                          <w:trPr>
                            <w:trHeight w:val="227"/>
                          </w:trPr>
                          <w:tc>
                            <w:tcPr>
                              <w:tcW w:w="4461" w:type="dxa"/>
                              <w:tcBorders>
                                <w:top w:val="nil"/>
                                <w:left w:val="nil"/>
                                <w:bottom w:val="nil"/>
                                <w:right w:val="nil"/>
                              </w:tcBorders>
                              <w:shd w:val="clear" w:color="auto" w:fill="E3E8ED"/>
                              <w:tcMar>
                                <w:top w:w="59" w:type="dxa"/>
                                <w:left w:w="59" w:type="dxa"/>
                                <w:bottom w:w="59" w:type="dxa"/>
                                <w:right w:w="59" w:type="dxa"/>
                              </w:tcMar>
                              <w:vAlign w:val="center"/>
                            </w:tcPr>
                            <w:p w14:paraId="180C44C3" w14:textId="77777777" w:rsidR="00937D1F" w:rsidRDefault="00937D1F" w:rsidP="00B32364">
                              <w:r>
                                <w:rPr>
                                  <w:rFonts w:ascii="Arial" w:eastAsia="Arial" w:hAnsi="Arial"/>
                                  <w:color w:val="000000"/>
                                  <w:sz w:val="16"/>
                                </w:rPr>
                                <w:t>Bank Charges</w:t>
                              </w:r>
                            </w:p>
                          </w:tc>
                          <w:tc>
                            <w:tcPr>
                              <w:tcW w:w="1869"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29B6B1ED" w14:textId="77777777" w:rsidR="00937D1F" w:rsidRDefault="00937D1F" w:rsidP="00B32364">
                              <w:pPr>
                                <w:jc w:val="right"/>
                              </w:pPr>
                              <w:r>
                                <w:rPr>
                                  <w:rFonts w:ascii="Arial" w:eastAsia="Arial" w:hAnsi="Arial"/>
                                  <w:color w:val="000000"/>
                                  <w:sz w:val="16"/>
                                </w:rPr>
                                <w:t>45</w:t>
                              </w:r>
                            </w:p>
                          </w:tc>
                          <w:tc>
                            <w:tcPr>
                              <w:tcW w:w="1724" w:type="dxa"/>
                              <w:tcBorders>
                                <w:top w:val="nil"/>
                                <w:left w:val="nil"/>
                                <w:bottom w:val="nil"/>
                                <w:right w:val="single" w:sz="7" w:space="0" w:color="808080"/>
                              </w:tcBorders>
                              <w:shd w:val="clear" w:color="auto" w:fill="E3E8ED"/>
                              <w:tcMar>
                                <w:top w:w="59" w:type="dxa"/>
                                <w:left w:w="59" w:type="dxa"/>
                                <w:bottom w:w="59" w:type="dxa"/>
                                <w:right w:w="59" w:type="dxa"/>
                              </w:tcMar>
                              <w:vAlign w:val="center"/>
                            </w:tcPr>
                            <w:p w14:paraId="60D496B4" w14:textId="77777777" w:rsidR="00937D1F" w:rsidRDefault="00937D1F" w:rsidP="00B32364">
                              <w:pPr>
                                <w:jc w:val="right"/>
                              </w:pPr>
                              <w:r>
                                <w:rPr>
                                  <w:rFonts w:ascii="Arial" w:eastAsia="Arial" w:hAnsi="Arial"/>
                                  <w:color w:val="000000"/>
                                  <w:sz w:val="16"/>
                                </w:rPr>
                                <w:t>-</w:t>
                              </w:r>
                            </w:p>
                          </w:tc>
                          <w:tc>
                            <w:tcPr>
                              <w:tcW w:w="1581" w:type="dxa"/>
                              <w:tcBorders>
                                <w:top w:val="nil"/>
                                <w:left w:val="nil"/>
                                <w:bottom w:val="nil"/>
                                <w:right w:val="nil"/>
                              </w:tcBorders>
                              <w:shd w:val="clear" w:color="auto" w:fill="E3E8ED"/>
                              <w:tcMar>
                                <w:top w:w="59" w:type="dxa"/>
                                <w:left w:w="59" w:type="dxa"/>
                                <w:bottom w:w="59" w:type="dxa"/>
                                <w:right w:w="59" w:type="dxa"/>
                              </w:tcMar>
                              <w:vAlign w:val="center"/>
                            </w:tcPr>
                            <w:p w14:paraId="56A66DC7" w14:textId="77777777" w:rsidR="00937D1F" w:rsidRDefault="00937D1F" w:rsidP="00B32364">
                              <w:pPr>
                                <w:jc w:val="right"/>
                              </w:pPr>
                              <w:r>
                                <w:rPr>
                                  <w:rFonts w:ascii="Arial" w:eastAsia="Arial" w:hAnsi="Arial"/>
                                  <w:color w:val="000000"/>
                                  <w:sz w:val="16"/>
                                </w:rPr>
                                <w:t>45</w:t>
                              </w:r>
                            </w:p>
                          </w:tc>
                        </w:tr>
                        <w:tr w:rsidR="00937D1F" w14:paraId="2999E1EF" w14:textId="77777777" w:rsidTr="00B32364">
                          <w:trPr>
                            <w:trHeight w:val="227"/>
                          </w:trPr>
                          <w:tc>
                            <w:tcPr>
                              <w:tcW w:w="4461" w:type="dxa"/>
                              <w:tcBorders>
                                <w:top w:val="nil"/>
                                <w:left w:val="nil"/>
                                <w:bottom w:val="nil"/>
                                <w:right w:val="nil"/>
                              </w:tcBorders>
                              <w:shd w:val="clear" w:color="auto" w:fill="FFFFFF"/>
                              <w:tcMar>
                                <w:top w:w="59" w:type="dxa"/>
                                <w:left w:w="59" w:type="dxa"/>
                                <w:bottom w:w="59" w:type="dxa"/>
                                <w:right w:w="59" w:type="dxa"/>
                              </w:tcMar>
                              <w:vAlign w:val="center"/>
                            </w:tcPr>
                            <w:p w14:paraId="09337B8B" w14:textId="77777777" w:rsidR="00937D1F" w:rsidRDefault="00937D1F" w:rsidP="00B32364">
                              <w:pPr>
                                <w:jc w:val="right"/>
                              </w:pPr>
                              <w:r>
                                <w:rPr>
                                  <w:rFonts w:ascii="Arial" w:eastAsia="Arial" w:hAnsi="Arial"/>
                                  <w:b/>
                                  <w:color w:val="000000"/>
                                  <w:sz w:val="16"/>
                                </w:rPr>
                                <w:t>Total: Uses of Funds</w:t>
                              </w:r>
                            </w:p>
                          </w:tc>
                          <w:tc>
                            <w:tcPr>
                              <w:tcW w:w="1869"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17174702" w14:textId="77777777" w:rsidR="00937D1F" w:rsidRDefault="00937D1F" w:rsidP="00B32364">
                              <w:pPr>
                                <w:jc w:val="right"/>
                              </w:pPr>
                              <w:r>
                                <w:rPr>
                                  <w:rFonts w:ascii="Arial" w:eastAsia="Arial" w:hAnsi="Arial"/>
                                  <w:b/>
                                  <w:color w:val="000000"/>
                                  <w:sz w:val="16"/>
                                </w:rPr>
                                <w:t>5,429,244</w:t>
                              </w:r>
                            </w:p>
                          </w:tc>
                          <w:tc>
                            <w:tcPr>
                              <w:tcW w:w="1724" w:type="dxa"/>
                              <w:tcBorders>
                                <w:top w:val="nil"/>
                                <w:left w:val="nil"/>
                                <w:bottom w:val="nil"/>
                                <w:right w:val="single" w:sz="7" w:space="0" w:color="808080"/>
                              </w:tcBorders>
                              <w:shd w:val="clear" w:color="auto" w:fill="FFFFFF"/>
                              <w:tcMar>
                                <w:top w:w="59" w:type="dxa"/>
                                <w:left w:w="59" w:type="dxa"/>
                                <w:bottom w:w="59" w:type="dxa"/>
                                <w:right w:w="59" w:type="dxa"/>
                              </w:tcMar>
                              <w:vAlign w:val="center"/>
                            </w:tcPr>
                            <w:p w14:paraId="730BE473" w14:textId="77777777" w:rsidR="00937D1F" w:rsidRDefault="00937D1F" w:rsidP="00B32364">
                              <w:pPr>
                                <w:jc w:val="right"/>
                              </w:pPr>
                              <w:r>
                                <w:rPr>
                                  <w:rFonts w:ascii="Arial" w:eastAsia="Arial" w:hAnsi="Arial"/>
                                  <w:b/>
                                  <w:color w:val="000000"/>
                                  <w:sz w:val="16"/>
                                </w:rPr>
                                <w:t>-</w:t>
                              </w:r>
                            </w:p>
                          </w:tc>
                          <w:tc>
                            <w:tcPr>
                              <w:tcW w:w="1581" w:type="dxa"/>
                              <w:tcBorders>
                                <w:top w:val="nil"/>
                                <w:left w:val="nil"/>
                                <w:bottom w:val="nil"/>
                                <w:right w:val="nil"/>
                              </w:tcBorders>
                              <w:shd w:val="clear" w:color="auto" w:fill="FFFFFF"/>
                              <w:tcMar>
                                <w:top w:w="59" w:type="dxa"/>
                                <w:left w:w="59" w:type="dxa"/>
                                <w:bottom w:w="59" w:type="dxa"/>
                                <w:right w:w="59" w:type="dxa"/>
                              </w:tcMar>
                              <w:vAlign w:val="center"/>
                            </w:tcPr>
                            <w:p w14:paraId="2A480FFB" w14:textId="77777777" w:rsidR="00937D1F" w:rsidRDefault="00937D1F" w:rsidP="00B32364">
                              <w:pPr>
                                <w:jc w:val="right"/>
                              </w:pPr>
                              <w:r>
                                <w:rPr>
                                  <w:rFonts w:ascii="Arial" w:eastAsia="Arial" w:hAnsi="Arial"/>
                                  <w:b/>
                                  <w:color w:val="000000"/>
                                  <w:sz w:val="16"/>
                                </w:rPr>
                                <w:t>5,429,244</w:t>
                              </w:r>
                            </w:p>
                          </w:tc>
                        </w:tr>
                        <w:tr w:rsidR="00937D1F" w14:paraId="73A5CAA9" w14:textId="77777777" w:rsidTr="00B32364">
                          <w:trPr>
                            <w:trHeight w:val="227"/>
                          </w:trPr>
                          <w:tc>
                            <w:tcPr>
                              <w:tcW w:w="4461" w:type="dxa"/>
                              <w:tcBorders>
                                <w:top w:val="nil"/>
                                <w:left w:val="nil"/>
                                <w:bottom w:val="nil"/>
                                <w:right w:val="nil"/>
                              </w:tcBorders>
                              <w:shd w:val="clear" w:color="auto" w:fill="66809D"/>
                              <w:tcMar>
                                <w:top w:w="59" w:type="dxa"/>
                                <w:left w:w="59" w:type="dxa"/>
                                <w:bottom w:w="59" w:type="dxa"/>
                                <w:right w:w="59" w:type="dxa"/>
                              </w:tcMar>
                              <w:vAlign w:val="center"/>
                            </w:tcPr>
                            <w:p w14:paraId="0F7D47D2" w14:textId="77777777" w:rsidR="00937D1F" w:rsidRDefault="00937D1F" w:rsidP="00B32364">
                              <w:r>
                                <w:rPr>
                                  <w:rFonts w:ascii="Arial" w:eastAsia="Arial" w:hAnsi="Arial"/>
                                  <w:b/>
                                  <w:color w:val="FFFFFF"/>
                                  <w:sz w:val="16"/>
                                </w:rPr>
                                <w:t>Change in Fund cash balance with Administrative Agent</w:t>
                              </w:r>
                            </w:p>
                          </w:tc>
                          <w:tc>
                            <w:tcPr>
                              <w:tcW w:w="1869" w:type="dxa"/>
                              <w:tcBorders>
                                <w:top w:val="nil"/>
                                <w:left w:val="nil"/>
                                <w:bottom w:val="nil"/>
                                <w:right w:val="single" w:sz="7" w:space="0" w:color="808080"/>
                              </w:tcBorders>
                              <w:shd w:val="clear" w:color="auto" w:fill="66809D"/>
                              <w:tcMar>
                                <w:top w:w="59" w:type="dxa"/>
                                <w:left w:w="59" w:type="dxa"/>
                                <w:bottom w:w="59" w:type="dxa"/>
                                <w:right w:w="59" w:type="dxa"/>
                              </w:tcMar>
                              <w:vAlign w:val="center"/>
                            </w:tcPr>
                            <w:p w14:paraId="54390D64" w14:textId="77777777" w:rsidR="00937D1F" w:rsidRDefault="00937D1F" w:rsidP="00B32364">
                              <w:pPr>
                                <w:jc w:val="right"/>
                              </w:pPr>
                              <w:r>
                                <w:rPr>
                                  <w:rFonts w:ascii="Arial" w:eastAsia="Arial" w:hAnsi="Arial"/>
                                  <w:b/>
                                  <w:color w:val="FFFFFF"/>
                                  <w:sz w:val="16"/>
                                </w:rPr>
                                <w:t>3,894</w:t>
                              </w:r>
                            </w:p>
                          </w:tc>
                          <w:tc>
                            <w:tcPr>
                              <w:tcW w:w="1724" w:type="dxa"/>
                              <w:tcBorders>
                                <w:top w:val="nil"/>
                                <w:left w:val="nil"/>
                                <w:bottom w:val="nil"/>
                                <w:right w:val="single" w:sz="7" w:space="0" w:color="808080"/>
                              </w:tcBorders>
                              <w:shd w:val="clear" w:color="auto" w:fill="66809D"/>
                              <w:tcMar>
                                <w:top w:w="59" w:type="dxa"/>
                                <w:left w:w="59" w:type="dxa"/>
                                <w:bottom w:w="59" w:type="dxa"/>
                                <w:right w:w="59" w:type="dxa"/>
                              </w:tcMar>
                              <w:vAlign w:val="center"/>
                            </w:tcPr>
                            <w:p w14:paraId="2BC3A7D2" w14:textId="77777777" w:rsidR="00937D1F" w:rsidRDefault="00937D1F" w:rsidP="00B32364">
                              <w:pPr>
                                <w:jc w:val="right"/>
                              </w:pPr>
                              <w:r>
                                <w:rPr>
                                  <w:rFonts w:ascii="Arial" w:eastAsia="Arial" w:hAnsi="Arial"/>
                                  <w:b/>
                                  <w:color w:val="FFFFFF"/>
                                  <w:sz w:val="16"/>
                                </w:rPr>
                                <w:t>-</w:t>
                              </w:r>
                            </w:p>
                          </w:tc>
                          <w:tc>
                            <w:tcPr>
                              <w:tcW w:w="1581" w:type="dxa"/>
                              <w:tcBorders>
                                <w:top w:val="nil"/>
                                <w:left w:val="nil"/>
                                <w:bottom w:val="nil"/>
                                <w:right w:val="nil"/>
                              </w:tcBorders>
                              <w:shd w:val="clear" w:color="auto" w:fill="66809D"/>
                              <w:tcMar>
                                <w:top w:w="59" w:type="dxa"/>
                                <w:left w:w="59" w:type="dxa"/>
                                <w:bottom w:w="59" w:type="dxa"/>
                                <w:right w:w="59" w:type="dxa"/>
                              </w:tcMar>
                              <w:vAlign w:val="center"/>
                            </w:tcPr>
                            <w:p w14:paraId="0C09EBC0" w14:textId="77777777" w:rsidR="00937D1F" w:rsidRDefault="00937D1F" w:rsidP="00B32364">
                              <w:pPr>
                                <w:jc w:val="right"/>
                              </w:pPr>
                              <w:r>
                                <w:rPr>
                                  <w:rFonts w:ascii="Arial" w:eastAsia="Arial" w:hAnsi="Arial"/>
                                  <w:b/>
                                  <w:color w:val="FFFFFF"/>
                                  <w:sz w:val="16"/>
                                </w:rPr>
                                <w:t>3,894</w:t>
                              </w:r>
                            </w:p>
                          </w:tc>
                        </w:tr>
                      </w:tbl>
                      <w:p w14:paraId="3A5CB227" w14:textId="77777777" w:rsidR="00937D1F" w:rsidRDefault="00937D1F" w:rsidP="00B32364"/>
                    </w:tc>
                    <w:tc>
                      <w:tcPr>
                        <w:tcW w:w="1134" w:type="dxa"/>
                      </w:tcPr>
                      <w:p w14:paraId="112B4648" w14:textId="77777777" w:rsidR="00937D1F" w:rsidRDefault="00937D1F" w:rsidP="00B32364">
                        <w:pPr>
                          <w:pStyle w:val="EmptyCellLayoutStyle"/>
                          <w:spacing w:after="0" w:line="240" w:lineRule="auto"/>
                        </w:pPr>
                      </w:p>
                    </w:tc>
                  </w:tr>
                  <w:tr w:rsidR="00937D1F" w14:paraId="2195CFFE" w14:textId="77777777" w:rsidTr="00B32364">
                    <w:trPr>
                      <w:trHeight w:val="50"/>
                    </w:trPr>
                    <w:tc>
                      <w:tcPr>
                        <w:tcW w:w="1134" w:type="dxa"/>
                      </w:tcPr>
                      <w:p w14:paraId="17875028" w14:textId="77777777" w:rsidR="00937D1F" w:rsidRDefault="00937D1F" w:rsidP="00B32364">
                        <w:pPr>
                          <w:pStyle w:val="EmptyCellLayoutStyle"/>
                          <w:spacing w:after="0" w:line="240" w:lineRule="auto"/>
                        </w:pPr>
                      </w:p>
                    </w:tc>
                    <w:tc>
                      <w:tcPr>
                        <w:tcW w:w="9636" w:type="dxa"/>
                      </w:tcPr>
                      <w:p w14:paraId="3D1ABCD6" w14:textId="77777777" w:rsidR="00937D1F" w:rsidRDefault="00937D1F" w:rsidP="00B32364">
                        <w:pPr>
                          <w:pStyle w:val="EmptyCellLayoutStyle"/>
                          <w:spacing w:after="0" w:line="240" w:lineRule="auto"/>
                        </w:pPr>
                      </w:p>
                    </w:tc>
                    <w:tc>
                      <w:tcPr>
                        <w:tcW w:w="1134" w:type="dxa"/>
                      </w:tcPr>
                      <w:p w14:paraId="45CB4152" w14:textId="77777777" w:rsidR="00937D1F" w:rsidRDefault="00937D1F" w:rsidP="00B32364">
                        <w:pPr>
                          <w:pStyle w:val="EmptyCellLayoutStyle"/>
                          <w:spacing w:after="0" w:line="240" w:lineRule="auto"/>
                        </w:pPr>
                      </w:p>
                    </w:tc>
                  </w:tr>
                </w:tbl>
                <w:p w14:paraId="0B58F7A7" w14:textId="77777777" w:rsidR="00937D1F" w:rsidRDefault="00937D1F" w:rsidP="00B32364"/>
              </w:tc>
            </w:tr>
          </w:tbl>
          <w:p w14:paraId="7167004F" w14:textId="77777777" w:rsidR="00937D1F" w:rsidRDefault="00937D1F" w:rsidP="00B32364"/>
        </w:tc>
      </w:tr>
    </w:tbl>
    <w:p w14:paraId="75A6552D" w14:textId="65FE2046" w:rsidR="49065785" w:rsidRDefault="49065785" w:rsidP="49065785">
      <w:pPr>
        <w:pStyle w:val="paragraph"/>
        <w:spacing w:before="0" w:beforeAutospacing="0" w:after="0" w:afterAutospacing="0"/>
        <w:jc w:val="both"/>
        <w:rPr>
          <w:sz w:val="22"/>
          <w:szCs w:val="22"/>
          <w:lang w:val="en-FR"/>
        </w:rPr>
      </w:pPr>
    </w:p>
    <w:p w14:paraId="5BA85E28" w14:textId="3F93B6E9" w:rsidR="00937D1F" w:rsidRDefault="00937D1F" w:rsidP="49065785">
      <w:pPr>
        <w:pStyle w:val="paragraph"/>
        <w:spacing w:before="0" w:beforeAutospacing="0" w:after="0" w:afterAutospacing="0"/>
        <w:jc w:val="both"/>
        <w:rPr>
          <w:lang w:eastAsia="en-GB"/>
        </w:rPr>
      </w:pPr>
      <w:r w:rsidRPr="00937D1F">
        <w:rPr>
          <w:lang w:eastAsia="en-GB"/>
        </w:rPr>
        <w:t xml:space="preserve">Financial information for this Fund is also available on the MPTF Office GATEWAY, at the following address: </w:t>
      </w:r>
      <w:hyperlink r:id="rId12" w:history="1">
        <w:r w:rsidRPr="005D620D">
          <w:rPr>
            <w:rStyle w:val="Hyperlink"/>
            <w:lang w:eastAsia="en-GB"/>
          </w:rPr>
          <w:t>https://mptf.undp.org/fund/utl00</w:t>
        </w:r>
      </w:hyperlink>
      <w:r w:rsidRPr="00937D1F">
        <w:rPr>
          <w:lang w:eastAsia="en-GB"/>
        </w:rPr>
        <w:t>.</w:t>
      </w:r>
    </w:p>
    <w:p w14:paraId="32302ECD" w14:textId="1B3C05A4" w:rsidR="00AD2258" w:rsidRDefault="00937D1F" w:rsidP="00AD2258">
      <w:pPr>
        <w:pStyle w:val="paragraph"/>
        <w:jc w:val="both"/>
        <w:rPr>
          <w:lang w:eastAsia="en-GB"/>
        </w:rPr>
      </w:pPr>
      <w:r>
        <w:rPr>
          <w:lang w:eastAsia="en-GB"/>
        </w:rPr>
        <w:t>Another contribution was received directly though UNCDF (without MPTF pass-through modality) by the donor Worldview Global Impact, for an amount of USD 1</w:t>
      </w:r>
      <w:r w:rsidR="00AD2258">
        <w:rPr>
          <w:lang w:eastAsia="en-GB"/>
        </w:rPr>
        <w:t>0</w:t>
      </w:r>
      <w:r>
        <w:rPr>
          <w:lang w:eastAsia="en-GB"/>
        </w:rPr>
        <w:t xml:space="preserve">0,000 </w:t>
      </w:r>
      <w:r w:rsidR="00AD2258">
        <w:rPr>
          <w:lang w:eastAsia="en-GB"/>
        </w:rPr>
        <w:t>dedicated</w:t>
      </w:r>
      <w:r>
        <w:rPr>
          <w:lang w:eastAsia="en-GB"/>
        </w:rPr>
        <w:t xml:space="preserve"> to the organization of an event at Station F in Paris.</w:t>
      </w:r>
      <w:r w:rsidR="00AD2258">
        <w:rPr>
          <w:lang w:eastAsia="en-GB"/>
        </w:rPr>
        <w:t xml:space="preserve"> The p</w:t>
      </w:r>
      <w:r w:rsidR="00AD2258">
        <w:rPr>
          <w:lang w:eastAsia="en-GB"/>
        </w:rPr>
        <w:t xml:space="preserve">rogramable </w:t>
      </w:r>
      <w:r w:rsidR="00AD2258">
        <w:rPr>
          <w:lang w:eastAsia="en-GB"/>
        </w:rPr>
        <w:t xml:space="preserve">USD </w:t>
      </w:r>
      <w:r w:rsidR="00AD2258">
        <w:rPr>
          <w:lang w:eastAsia="en-GB"/>
        </w:rPr>
        <w:t>91,676</w:t>
      </w:r>
      <w:r w:rsidR="00AD2258">
        <w:rPr>
          <w:lang w:eastAsia="en-GB"/>
        </w:rPr>
        <w:t xml:space="preserve"> from the </w:t>
      </w:r>
      <w:r w:rsidR="00AD2258">
        <w:rPr>
          <w:lang w:eastAsia="en-GB"/>
        </w:rPr>
        <w:t>Donor/Sponsor 014219 WGI</w:t>
      </w:r>
      <w:r w:rsidR="00AD2258">
        <w:rPr>
          <w:lang w:eastAsia="en-GB"/>
        </w:rPr>
        <w:t xml:space="preserve"> was allocated and disbursed in the frame of the partnership.</w:t>
      </w:r>
    </w:p>
    <w:p w14:paraId="35E6136F" w14:textId="266DAACD" w:rsidR="00C728B4" w:rsidRPr="00EE630C" w:rsidRDefault="00C728B4" w:rsidP="00E95B48">
      <w:pPr>
        <w:pStyle w:val="Heading1"/>
        <w:numPr>
          <w:ilvl w:val="0"/>
          <w:numId w:val="26"/>
        </w:numPr>
        <w:divId w:val="1113093021"/>
        <w:rPr>
          <w:rFonts w:ascii="Times New Roman" w:eastAsia="Times New Roman" w:hAnsi="Times New Roman" w:cs="Times New Roman"/>
          <w:sz w:val="32"/>
          <w:szCs w:val="32"/>
        </w:rPr>
      </w:pPr>
      <w:bookmarkStart w:id="2" w:name="_Toc192079712"/>
      <w:r w:rsidRPr="00EB4D4C">
        <w:rPr>
          <w:rFonts w:ascii="Times New Roman" w:eastAsia="Times New Roman" w:hAnsi="Times New Roman" w:cs="Times New Roman"/>
          <w:sz w:val="32"/>
          <w:szCs w:val="32"/>
        </w:rPr>
        <w:t xml:space="preserve">Key </w:t>
      </w:r>
      <w:r w:rsidRPr="00EE630C">
        <w:rPr>
          <w:rFonts w:ascii="Times New Roman" w:eastAsia="Times New Roman" w:hAnsi="Times New Roman" w:cs="Times New Roman"/>
          <w:sz w:val="32"/>
          <w:szCs w:val="32"/>
        </w:rPr>
        <w:t>Results Achieved</w:t>
      </w:r>
      <w:bookmarkEnd w:id="2"/>
    </w:p>
    <w:p w14:paraId="09ED153A" w14:textId="1667BEEE" w:rsidR="00D75A4B" w:rsidRPr="00731DE1" w:rsidRDefault="00D75A4B" w:rsidP="00731DE1">
      <w:pPr>
        <w:pStyle w:val="NormalWeb"/>
        <w:rPr>
          <w:rFonts w:eastAsia="Times New Roman"/>
        </w:rPr>
      </w:pPr>
      <w:r>
        <w:t xml:space="preserve">This section summarizes progress made toward the outcomes and outputs defined in the UNITLIFE </w:t>
      </w:r>
      <w:proofErr w:type="spellStart"/>
      <w:r>
        <w:t>Programme</w:t>
      </w:r>
      <w:proofErr w:type="spellEnd"/>
      <w:r>
        <w:t xml:space="preserve"> Document and Annual Work Plans. As a Secretariat project, results relate to governance, operational systems, financing mechanisms, partnership development, and the management of UNITLIFE’s inaugural programmatic funding cycle. Field-level results achieved by implementing partners in Niger, Senegal, and the Democratic Republic of Congo are supported by the Secretariat but reported under their respective project accounts.</w:t>
      </w:r>
    </w:p>
    <w:p w14:paraId="67540325" w14:textId="77777777" w:rsidR="00D75A4B" w:rsidRPr="00731DE1" w:rsidRDefault="00D75A4B" w:rsidP="00D75A4B">
      <w:pPr>
        <w:pStyle w:val="Heading2"/>
        <w:rPr>
          <w:rStyle w:val="Strong"/>
          <w:rFonts w:ascii="Times New Roman" w:hAnsi="Times New Roman" w:cs="Times New Roman"/>
          <w:color w:val="0070C0"/>
          <w:sz w:val="24"/>
          <w:szCs w:val="24"/>
        </w:rPr>
      </w:pPr>
      <w:r w:rsidRPr="00731DE1">
        <w:rPr>
          <w:rStyle w:val="Strong"/>
          <w:rFonts w:ascii="Times New Roman" w:hAnsi="Times New Roman" w:cs="Times New Roman"/>
          <w:b/>
          <w:bCs/>
          <w:color w:val="0070C0"/>
          <w:sz w:val="24"/>
          <w:szCs w:val="24"/>
        </w:rPr>
        <w:t>Outcome 1: UNITLIFE’s governance, operational, and strategic systems are established and functional</w:t>
      </w:r>
    </w:p>
    <w:p w14:paraId="1D09A1AC" w14:textId="77777777" w:rsidR="00D75A4B" w:rsidRDefault="00D75A4B" w:rsidP="00D75A4B">
      <w:pPr>
        <w:pStyle w:val="NormalWeb"/>
      </w:pPr>
      <w:r>
        <w:rPr>
          <w:rStyle w:val="Strong"/>
        </w:rPr>
        <w:t>Summary of progress:</w:t>
      </w:r>
      <w:r>
        <w:br/>
        <w:t xml:space="preserve">The Secretariat successfully established the institutional architecture necessary for UNITLIFE to operate as a global multi-partner trust fund. This included creation of governance structures, operational manuals, fiduciary processes, and digital systems envisioned in the </w:t>
      </w:r>
      <w:proofErr w:type="spellStart"/>
      <w:r>
        <w:t>ProDoc</w:t>
      </w:r>
      <w:proofErr w:type="spellEnd"/>
      <w:r>
        <w:t>. Annual Work Plans from 2019–2024 guided the sequencing of these tasks and ensured adherence to UNCDF and MPTF operational requirements.</w:t>
      </w:r>
    </w:p>
    <w:p w14:paraId="158C074C" w14:textId="77777777" w:rsidR="00D75A4B" w:rsidRDefault="00D75A4B" w:rsidP="00D75A4B">
      <w:pPr>
        <w:pStyle w:val="Heading3"/>
      </w:pPr>
      <w:r>
        <w:rPr>
          <w:rStyle w:val="Strong"/>
          <w:b w:val="0"/>
          <w:bCs w:val="0"/>
        </w:rPr>
        <w:lastRenderedPageBreak/>
        <w:t>Output 1.1 — Governance system established (Executive Committee, Advisory Council, Secretariat functions)</w:t>
      </w:r>
    </w:p>
    <w:p w14:paraId="3800B0D9" w14:textId="5039669A" w:rsidR="00D75A4B" w:rsidRDefault="003E2B54" w:rsidP="00D75A4B">
      <w:pPr>
        <w:pStyle w:val="NormalWeb"/>
      </w:pPr>
      <w:r>
        <w:rPr>
          <w:rStyle w:val="Strong"/>
        </w:rPr>
        <w:t xml:space="preserve">Status: </w:t>
      </w:r>
      <w:r w:rsidR="00D75A4B">
        <w:rPr>
          <w:rStyle w:val="Strong"/>
        </w:rPr>
        <w:t>Achieved.</w:t>
      </w:r>
    </w:p>
    <w:p w14:paraId="0D8D3E31" w14:textId="273D5176" w:rsidR="00D75A4B" w:rsidRPr="00965EE0" w:rsidRDefault="00D75A4B" w:rsidP="00D75A4B">
      <w:pPr>
        <w:pStyle w:val="NormalWeb"/>
        <w:numPr>
          <w:ilvl w:val="0"/>
          <w:numId w:val="38"/>
        </w:numPr>
      </w:pPr>
      <w:r w:rsidRPr="00965EE0">
        <w:t xml:space="preserve">The </w:t>
      </w:r>
      <w:r w:rsidR="003E2B54" w:rsidRPr="00965EE0">
        <w:rPr>
          <w:rStyle w:val="Strong"/>
          <w:b w:val="0"/>
          <w:bCs w:val="0"/>
        </w:rPr>
        <w:t>Steering</w:t>
      </w:r>
      <w:r w:rsidRPr="00965EE0">
        <w:rPr>
          <w:rStyle w:val="Strong"/>
          <w:b w:val="0"/>
          <w:bCs w:val="0"/>
        </w:rPr>
        <w:t xml:space="preserve"> Committee</w:t>
      </w:r>
      <w:r w:rsidRPr="00965EE0">
        <w:t xml:space="preserve"> was constituted and met regularly to review strategic directions, approve allocations, and endorse operational decisions.</w:t>
      </w:r>
      <w:r w:rsidR="003E2B54" w:rsidRPr="00965EE0">
        <w:t xml:space="preserve"> Are part of the Steering Committee the governments of France and United Arab Emirates, the Ecobank Foundation, UN women and UNCDF. Noting that the Children Investment Fund Foundation </w:t>
      </w:r>
      <w:r w:rsidR="004567ED">
        <w:t xml:space="preserve">(CIFF) </w:t>
      </w:r>
      <w:r w:rsidR="003E2B54" w:rsidRPr="00965EE0">
        <w:t xml:space="preserve">and UNICEF are stepping in to join the SC in the next phase of the Fund. </w:t>
      </w:r>
    </w:p>
    <w:p w14:paraId="7E978A9B" w14:textId="77777777" w:rsidR="00D75A4B" w:rsidRPr="00965EE0" w:rsidRDefault="00D75A4B" w:rsidP="00D75A4B">
      <w:pPr>
        <w:pStyle w:val="NormalWeb"/>
        <w:numPr>
          <w:ilvl w:val="0"/>
          <w:numId w:val="38"/>
        </w:numPr>
      </w:pPr>
      <w:r w:rsidRPr="00965EE0">
        <w:t xml:space="preserve">The </w:t>
      </w:r>
      <w:r w:rsidRPr="00965EE0">
        <w:rPr>
          <w:rStyle w:val="Strong"/>
          <w:b w:val="0"/>
          <w:bCs w:val="0"/>
        </w:rPr>
        <w:t>Advisory Council</w:t>
      </w:r>
      <w:r w:rsidRPr="00965EE0">
        <w:t xml:space="preserve"> was established to provide technical guidance on nutrition, gender, and innovative finance.</w:t>
      </w:r>
    </w:p>
    <w:p w14:paraId="16AD4DFA" w14:textId="77777777" w:rsidR="00D75A4B" w:rsidRPr="00965EE0" w:rsidRDefault="00D75A4B" w:rsidP="00D75A4B">
      <w:pPr>
        <w:pStyle w:val="NormalWeb"/>
        <w:numPr>
          <w:ilvl w:val="0"/>
          <w:numId w:val="38"/>
        </w:numPr>
      </w:pPr>
      <w:r w:rsidRPr="00965EE0">
        <w:t>The Secretariat ensured documentation, coordination, and compliance with governance requirements, enabling transparent decision-making and oversight.</w:t>
      </w:r>
    </w:p>
    <w:p w14:paraId="1195386E" w14:textId="77777777" w:rsidR="00D75A4B" w:rsidRDefault="00D75A4B" w:rsidP="00D75A4B">
      <w:pPr>
        <w:pStyle w:val="Heading3"/>
      </w:pPr>
      <w:r>
        <w:rPr>
          <w:rStyle w:val="Strong"/>
          <w:b w:val="0"/>
          <w:bCs w:val="0"/>
        </w:rPr>
        <w:t>Output 1.2 — Secretariat operational systems established</w:t>
      </w:r>
    </w:p>
    <w:p w14:paraId="24A287D0" w14:textId="7A994CDD" w:rsidR="00D75A4B" w:rsidRDefault="003E2B54" w:rsidP="00D75A4B">
      <w:pPr>
        <w:pStyle w:val="NormalWeb"/>
      </w:pPr>
      <w:r>
        <w:rPr>
          <w:rStyle w:val="Strong"/>
        </w:rPr>
        <w:t xml:space="preserve">Status: </w:t>
      </w:r>
      <w:r w:rsidR="00D75A4B">
        <w:rPr>
          <w:rStyle w:val="Strong"/>
        </w:rPr>
        <w:t>Achieved</w:t>
      </w:r>
      <w:r>
        <w:rPr>
          <w:rStyle w:val="Strong"/>
        </w:rPr>
        <w:t xml:space="preserve"> – with challenges and lack of continuity.</w:t>
      </w:r>
    </w:p>
    <w:p w14:paraId="0A4104B7" w14:textId="13B652F0" w:rsidR="00D75A4B" w:rsidRDefault="00D75A4B" w:rsidP="00D75A4B">
      <w:pPr>
        <w:pStyle w:val="NormalWeb"/>
        <w:numPr>
          <w:ilvl w:val="0"/>
          <w:numId w:val="39"/>
        </w:numPr>
      </w:pPr>
      <w:r>
        <w:t xml:space="preserve">Recruitment of Secretariat staff, including </w:t>
      </w:r>
      <w:proofErr w:type="spellStart"/>
      <w:r>
        <w:t>programme</w:t>
      </w:r>
      <w:proofErr w:type="spellEnd"/>
      <w:r>
        <w:t xml:space="preserve"> management, policy support, operations, and partnership development functions, enabled day-to-day management of UNITLIFE</w:t>
      </w:r>
      <w:r w:rsidR="00965EE0">
        <w:t xml:space="preserve">, </w:t>
      </w:r>
      <w:r w:rsidR="00965EE0" w:rsidRPr="00965EE0">
        <w:t xml:space="preserve">with challenges and lack of </w:t>
      </w:r>
      <w:r w:rsidR="00965EE0" w:rsidRPr="00965EE0">
        <w:t>continuity</w:t>
      </w:r>
      <w:r w:rsidR="004567ED">
        <w:t xml:space="preserve"> due to slow capitalization of the fund during the period</w:t>
      </w:r>
      <w:r w:rsidR="00965EE0">
        <w:t xml:space="preserve">. </w:t>
      </w:r>
    </w:p>
    <w:p w14:paraId="7B5EA543" w14:textId="77777777" w:rsidR="00D75A4B" w:rsidRDefault="00D75A4B" w:rsidP="00D75A4B">
      <w:pPr>
        <w:pStyle w:val="NormalWeb"/>
        <w:numPr>
          <w:ilvl w:val="0"/>
          <w:numId w:val="39"/>
        </w:numPr>
      </w:pPr>
      <w:r>
        <w:t>Development of operational tools, including Standard Operating Procedures (SOPs) for project appraisal, monitoring, and reporting, ensured fiduciary alignment with MPTF and UNCDF policies.</w:t>
      </w:r>
    </w:p>
    <w:p w14:paraId="78F6F1CC" w14:textId="77777777" w:rsidR="00D75A4B" w:rsidRDefault="00D75A4B" w:rsidP="00D75A4B">
      <w:pPr>
        <w:pStyle w:val="NormalWeb"/>
        <w:numPr>
          <w:ilvl w:val="0"/>
          <w:numId w:val="39"/>
        </w:numPr>
      </w:pPr>
      <w:r>
        <w:t>Strengthening of administrative and financial processes supported efficient management of the Secretariat’s direct-cost budget.</w:t>
      </w:r>
    </w:p>
    <w:p w14:paraId="34A7260E" w14:textId="77777777" w:rsidR="00D75A4B" w:rsidRDefault="00D75A4B" w:rsidP="00D75A4B">
      <w:pPr>
        <w:pStyle w:val="Heading3"/>
      </w:pPr>
      <w:r>
        <w:rPr>
          <w:rStyle w:val="Strong"/>
          <w:b w:val="0"/>
          <w:bCs w:val="0"/>
        </w:rPr>
        <w:t>Output 1.3 — Digital, communications, and resource mobilization tools developed</w:t>
      </w:r>
    </w:p>
    <w:p w14:paraId="0B6BC62C" w14:textId="6626A2CF" w:rsidR="00D75A4B" w:rsidRDefault="003E2B54" w:rsidP="00D75A4B">
      <w:pPr>
        <w:pStyle w:val="NormalWeb"/>
      </w:pPr>
      <w:r>
        <w:rPr>
          <w:rStyle w:val="Strong"/>
        </w:rPr>
        <w:t xml:space="preserve">Status: </w:t>
      </w:r>
      <w:r w:rsidR="00D75A4B">
        <w:rPr>
          <w:rStyle w:val="Strong"/>
        </w:rPr>
        <w:t>Substantially achieved.</w:t>
      </w:r>
    </w:p>
    <w:p w14:paraId="409E4CB8" w14:textId="37D011D0" w:rsidR="00D75A4B" w:rsidRDefault="00D75A4B" w:rsidP="00D75A4B">
      <w:pPr>
        <w:pStyle w:val="NormalWeb"/>
        <w:numPr>
          <w:ilvl w:val="0"/>
          <w:numId w:val="40"/>
        </w:numPr>
      </w:pPr>
      <w:r>
        <w:t>Foundational digital architecture for UNITLIFE was developed, including communication materials, early-stage micro-donation concepts</w:t>
      </w:r>
      <w:r w:rsidR="004567ED">
        <w:t xml:space="preserve"> with several partners (e.g. Ecobank donation platform)</w:t>
      </w:r>
      <w:r>
        <w:t>, and donor engagement tools.</w:t>
      </w:r>
    </w:p>
    <w:p w14:paraId="13F1F44E" w14:textId="68CDE9D4" w:rsidR="00D75A4B" w:rsidRDefault="00D75A4B" w:rsidP="00D75A4B">
      <w:pPr>
        <w:pStyle w:val="NormalWeb"/>
        <w:numPr>
          <w:ilvl w:val="0"/>
          <w:numId w:val="40"/>
        </w:numPr>
      </w:pPr>
      <w:r>
        <w:t>Secretariat-led communications contributed to increased visibility through annual reports, social media, and participation in global nutrition events</w:t>
      </w:r>
      <w:r w:rsidR="00937D1F">
        <w:t>, including the organization of an international event “Transforming Food Systems” in December 2023 in Paris.</w:t>
      </w:r>
    </w:p>
    <w:p w14:paraId="2BD7E7DE" w14:textId="6DFE3775" w:rsidR="00D75A4B" w:rsidRDefault="00D75A4B" w:rsidP="00D75A4B">
      <w:pPr>
        <w:pStyle w:val="NormalWeb"/>
        <w:numPr>
          <w:ilvl w:val="0"/>
          <w:numId w:val="40"/>
        </w:numPr>
      </w:pPr>
      <w:r>
        <w:t>Partnerships with key institutions</w:t>
      </w:r>
      <w:r w:rsidR="00937D1F">
        <w:t xml:space="preserve"> - </w:t>
      </w:r>
      <w:r>
        <w:t xml:space="preserve">including MBRGI, Ecobank Foundation, </w:t>
      </w:r>
      <w:r w:rsidR="00937D1F">
        <w:t xml:space="preserve">Presidential </w:t>
      </w:r>
      <w:r>
        <w:t xml:space="preserve">Court </w:t>
      </w:r>
      <w:r w:rsidR="00937D1F">
        <w:t xml:space="preserve">of </w:t>
      </w:r>
      <w:r>
        <w:t xml:space="preserve">Abu Dhabi, and France’s Ministry for Europe and Foreign Affairs—reinforced UNITLIFE’s positioning and resource mobilization prospects. </w:t>
      </w:r>
    </w:p>
    <w:p w14:paraId="7AB46D6A" w14:textId="77777777" w:rsidR="004567ED" w:rsidRDefault="004567ED" w:rsidP="004567ED">
      <w:pPr>
        <w:pStyle w:val="NormalWeb"/>
      </w:pPr>
    </w:p>
    <w:p w14:paraId="14E6FA34" w14:textId="77777777" w:rsidR="00D75A4B" w:rsidRPr="00731DE1" w:rsidRDefault="00D75A4B" w:rsidP="00D75A4B">
      <w:pPr>
        <w:pStyle w:val="Heading2"/>
        <w:rPr>
          <w:rStyle w:val="Strong"/>
          <w:rFonts w:ascii="Times New Roman" w:hAnsi="Times New Roman" w:cs="Times New Roman"/>
          <w:b/>
          <w:bCs/>
          <w:color w:val="0070C0"/>
          <w:sz w:val="24"/>
          <w:szCs w:val="24"/>
        </w:rPr>
      </w:pPr>
      <w:r w:rsidRPr="00731DE1">
        <w:rPr>
          <w:rStyle w:val="Strong"/>
          <w:rFonts w:ascii="Times New Roman" w:hAnsi="Times New Roman" w:cs="Times New Roman"/>
          <w:b/>
          <w:bCs/>
          <w:color w:val="0070C0"/>
          <w:sz w:val="24"/>
          <w:szCs w:val="24"/>
        </w:rPr>
        <w:lastRenderedPageBreak/>
        <w:t>Outcome 2: UNITLIFE designs and delivers at least one programmatic funding cycle</w:t>
      </w:r>
    </w:p>
    <w:p w14:paraId="7C196C76" w14:textId="4FBEA642" w:rsidR="00D75A4B" w:rsidRDefault="00D75A4B" w:rsidP="00D75A4B">
      <w:pPr>
        <w:pStyle w:val="NormalWeb"/>
      </w:pPr>
      <w:r>
        <w:rPr>
          <w:rStyle w:val="Strong"/>
        </w:rPr>
        <w:t>Summary of progress:</w:t>
      </w:r>
      <w:r>
        <w:br/>
        <w:t>UNITLIFE successfully launched, administered, and monitored its inaugural call for proposals</w:t>
      </w:r>
      <w:r w:rsidR="004567ED">
        <w:t xml:space="preserve"> through UNCDF </w:t>
      </w:r>
      <w:r w:rsidR="00381827">
        <w:t>procedures and tools</w:t>
      </w:r>
      <w:r>
        <w:t>.</w:t>
      </w:r>
      <w:r w:rsidR="003E2B54">
        <w:t xml:space="preserve"> Several</w:t>
      </w:r>
      <w:r>
        <w:t xml:space="preserve"> projects were selected </w:t>
      </w:r>
      <w:r w:rsidR="00381827">
        <w:t xml:space="preserve">by the Steering Committee - based on a prioritization performed by an independent Technical Review Committee- </w:t>
      </w:r>
      <w:r>
        <w:t>and financed in Niger, Senegal, and the Democratic Republic of Congo. The Secretariat coordinated the entire cycle: concept development, call for proposals, appraisal, technical review, governance approval, and monitoring.</w:t>
      </w:r>
      <w:r w:rsidR="003E2B54">
        <w:t xml:space="preserve"> </w:t>
      </w:r>
      <w:r w:rsidR="00937D1F">
        <w:t>The Secretariat also managed the extension to new phases for the projects in Niger and Senegal.</w:t>
      </w:r>
    </w:p>
    <w:p w14:paraId="7662E752" w14:textId="77777777" w:rsidR="00D75A4B" w:rsidRDefault="00D75A4B" w:rsidP="00D75A4B">
      <w:pPr>
        <w:pStyle w:val="Heading3"/>
      </w:pPr>
      <w:r>
        <w:rPr>
          <w:rStyle w:val="Strong"/>
          <w:b w:val="0"/>
          <w:bCs w:val="0"/>
        </w:rPr>
        <w:t>Output 2.1 — Call for proposals designed and launched</w:t>
      </w:r>
    </w:p>
    <w:p w14:paraId="4B5129C0" w14:textId="58358E7A" w:rsidR="00D75A4B" w:rsidRDefault="003E2B54" w:rsidP="00D75A4B">
      <w:pPr>
        <w:pStyle w:val="NormalWeb"/>
      </w:pPr>
      <w:r>
        <w:rPr>
          <w:rStyle w:val="Strong"/>
        </w:rPr>
        <w:t xml:space="preserve">Status: </w:t>
      </w:r>
      <w:r w:rsidR="00D75A4B">
        <w:rPr>
          <w:rStyle w:val="Strong"/>
        </w:rPr>
        <w:t>Achieved.</w:t>
      </w:r>
    </w:p>
    <w:p w14:paraId="03BB996C" w14:textId="77777777" w:rsidR="00D75A4B" w:rsidRDefault="00D75A4B" w:rsidP="00D75A4B">
      <w:pPr>
        <w:pStyle w:val="NormalWeb"/>
        <w:numPr>
          <w:ilvl w:val="0"/>
          <w:numId w:val="41"/>
        </w:numPr>
      </w:pPr>
      <w:r>
        <w:t>The Secretariat prepared the funding framework, evaluation criteria, and communication materials for the first call.</w:t>
      </w:r>
    </w:p>
    <w:p w14:paraId="4EF98293" w14:textId="7230CD6C" w:rsidR="00D75A4B" w:rsidRDefault="00D75A4B" w:rsidP="00381827">
      <w:pPr>
        <w:pStyle w:val="ListParagraph"/>
        <w:numPr>
          <w:ilvl w:val="0"/>
          <w:numId w:val="41"/>
        </w:numPr>
      </w:pPr>
      <w:r>
        <w:t>Proposals were appraised through a transparent review mechanism aligned with MPTF requirements</w:t>
      </w:r>
      <w:r w:rsidR="00381827">
        <w:t xml:space="preserve">, involving </w:t>
      </w:r>
      <w:r w:rsidR="00381827">
        <w:t xml:space="preserve">the Steering Committee </w:t>
      </w:r>
      <w:r w:rsidR="00381827">
        <w:t xml:space="preserve">of UNITLIFE and </w:t>
      </w:r>
      <w:r w:rsidR="00381827">
        <w:t>an independent Technical Review Committee</w:t>
      </w:r>
      <w:r w:rsidR="00381827">
        <w:t xml:space="preserve"> with </w:t>
      </w:r>
      <w:r w:rsidR="00381827" w:rsidRPr="00381827">
        <w:t xml:space="preserve">multi-stakeholder </w:t>
      </w:r>
      <w:r w:rsidR="00381827">
        <w:t>participation</w:t>
      </w:r>
      <w:r w:rsidR="00381827" w:rsidRPr="00381827">
        <w:t xml:space="preserve"> (S</w:t>
      </w:r>
      <w:r w:rsidR="00381827">
        <w:t xml:space="preserve">caling </w:t>
      </w:r>
      <w:r w:rsidR="00381827" w:rsidRPr="00381827">
        <w:t>U</w:t>
      </w:r>
      <w:r w:rsidR="00381827">
        <w:t xml:space="preserve">p </w:t>
      </w:r>
      <w:proofErr w:type="spellStart"/>
      <w:r w:rsidR="00381827" w:rsidRPr="00381827">
        <w:t>N</w:t>
      </w:r>
      <w:r w:rsidR="00381827">
        <w:t>utition</w:t>
      </w:r>
      <w:proofErr w:type="spellEnd"/>
      <w:r w:rsidR="00381827" w:rsidRPr="00381827">
        <w:t>, UN</w:t>
      </w:r>
      <w:r w:rsidR="00381827">
        <w:t xml:space="preserve"> agencies</w:t>
      </w:r>
      <w:r w:rsidR="00381827" w:rsidRPr="00381827">
        <w:t>, NGOs, research</w:t>
      </w:r>
      <w:r w:rsidR="00381827">
        <w:t>ers</w:t>
      </w:r>
      <w:r w:rsidR="00381827" w:rsidRPr="00381827">
        <w:t>).</w:t>
      </w:r>
    </w:p>
    <w:p w14:paraId="3656C72B" w14:textId="77777777" w:rsidR="00381827" w:rsidRDefault="00381827" w:rsidP="00381827">
      <w:pPr>
        <w:pStyle w:val="ListParagraph"/>
      </w:pPr>
    </w:p>
    <w:p w14:paraId="55132009" w14:textId="77777777" w:rsidR="00D75A4B" w:rsidRDefault="00D75A4B" w:rsidP="00D75A4B">
      <w:pPr>
        <w:pStyle w:val="Heading3"/>
      </w:pPr>
      <w:r>
        <w:rPr>
          <w:rStyle w:val="Strong"/>
          <w:b w:val="0"/>
          <w:bCs w:val="0"/>
        </w:rPr>
        <w:t>Output 2.2 — Projects selected, approved, and initiated</w:t>
      </w:r>
    </w:p>
    <w:p w14:paraId="04ABBBA6" w14:textId="5BE7805B" w:rsidR="00731DE1" w:rsidRDefault="00937D1F" w:rsidP="00D75A4B">
      <w:pPr>
        <w:pStyle w:val="NormalWeb"/>
      </w:pPr>
      <w:r>
        <w:rPr>
          <w:rStyle w:val="Strong"/>
        </w:rPr>
        <w:t xml:space="preserve">Status: </w:t>
      </w:r>
      <w:r w:rsidR="00D75A4B">
        <w:rPr>
          <w:rStyle w:val="Strong"/>
        </w:rPr>
        <w:t>Achieved.</w:t>
      </w:r>
      <w:r w:rsidR="00D75A4B">
        <w:br/>
        <w:t xml:space="preserve">As per MPTF records, UNITLIFE allocated funds to </w:t>
      </w:r>
      <w:r>
        <w:t>the 3 below</w:t>
      </w:r>
      <w:r w:rsidR="00D75A4B">
        <w:t xml:space="preserve"> projects:</w:t>
      </w:r>
    </w:p>
    <w:tbl>
      <w:tblPr>
        <w:tblStyle w:val="TableGrid"/>
        <w:tblW w:w="9861" w:type="dxa"/>
        <w:tblLook w:val="04A0" w:firstRow="1" w:lastRow="0" w:firstColumn="1" w:lastColumn="0" w:noHBand="0" w:noVBand="1"/>
      </w:tblPr>
      <w:tblGrid>
        <w:gridCol w:w="1359"/>
        <w:gridCol w:w="2038"/>
        <w:gridCol w:w="3998"/>
        <w:gridCol w:w="2466"/>
      </w:tblGrid>
      <w:tr w:rsidR="00731DE1" w14:paraId="490797F0" w14:textId="77777777" w:rsidTr="007F670D">
        <w:trPr>
          <w:trHeight w:val="215"/>
        </w:trPr>
        <w:tc>
          <w:tcPr>
            <w:tcW w:w="1359" w:type="dxa"/>
            <w:vAlign w:val="center"/>
          </w:tcPr>
          <w:p w14:paraId="5D41A06B" w14:textId="558073F6" w:rsidR="00731DE1" w:rsidRDefault="00731DE1" w:rsidP="00731DE1">
            <w:pPr>
              <w:pStyle w:val="NormalWeb"/>
            </w:pPr>
            <w:r>
              <w:rPr>
                <w:b/>
                <w:bCs/>
              </w:rPr>
              <w:t>Country</w:t>
            </w:r>
          </w:p>
        </w:tc>
        <w:tc>
          <w:tcPr>
            <w:tcW w:w="2038" w:type="dxa"/>
            <w:vAlign w:val="center"/>
          </w:tcPr>
          <w:p w14:paraId="39B40243" w14:textId="494B859F" w:rsidR="00731DE1" w:rsidRDefault="00731DE1" w:rsidP="00731DE1">
            <w:pPr>
              <w:pStyle w:val="NormalWeb"/>
            </w:pPr>
            <w:r>
              <w:rPr>
                <w:b/>
                <w:bCs/>
              </w:rPr>
              <w:t>Implementing Partner</w:t>
            </w:r>
          </w:p>
        </w:tc>
        <w:tc>
          <w:tcPr>
            <w:tcW w:w="3998" w:type="dxa"/>
            <w:vAlign w:val="center"/>
          </w:tcPr>
          <w:p w14:paraId="49C79291" w14:textId="71520531" w:rsidR="00731DE1" w:rsidRDefault="00731DE1" w:rsidP="00731DE1">
            <w:pPr>
              <w:pStyle w:val="NormalWeb"/>
            </w:pPr>
            <w:r>
              <w:rPr>
                <w:b/>
                <w:bCs/>
              </w:rPr>
              <w:t>Project Focus</w:t>
            </w:r>
          </w:p>
        </w:tc>
        <w:tc>
          <w:tcPr>
            <w:tcW w:w="2466" w:type="dxa"/>
            <w:vAlign w:val="center"/>
          </w:tcPr>
          <w:p w14:paraId="084E906F" w14:textId="729E203C" w:rsidR="00731DE1" w:rsidRDefault="00731DE1" w:rsidP="00731DE1">
            <w:pPr>
              <w:pStyle w:val="NormalWeb"/>
            </w:pPr>
            <w:r>
              <w:rPr>
                <w:b/>
                <w:bCs/>
              </w:rPr>
              <w:t>Approved Amount</w:t>
            </w:r>
          </w:p>
        </w:tc>
      </w:tr>
      <w:tr w:rsidR="00731DE1" w14:paraId="03A2A61A" w14:textId="77777777" w:rsidTr="007F670D">
        <w:trPr>
          <w:trHeight w:val="423"/>
        </w:trPr>
        <w:tc>
          <w:tcPr>
            <w:tcW w:w="1359" w:type="dxa"/>
            <w:vAlign w:val="center"/>
          </w:tcPr>
          <w:p w14:paraId="435CB312" w14:textId="37478C51" w:rsidR="00731DE1" w:rsidRDefault="00731DE1" w:rsidP="00731DE1">
            <w:pPr>
              <w:pStyle w:val="NormalWeb"/>
            </w:pPr>
            <w:r>
              <w:t>Niger</w:t>
            </w:r>
          </w:p>
        </w:tc>
        <w:tc>
          <w:tcPr>
            <w:tcW w:w="2038" w:type="dxa"/>
            <w:vAlign w:val="center"/>
          </w:tcPr>
          <w:p w14:paraId="564E8E0F" w14:textId="4EDED644" w:rsidR="00731DE1" w:rsidRDefault="00731DE1" w:rsidP="00731DE1">
            <w:pPr>
              <w:pStyle w:val="NormalWeb"/>
            </w:pPr>
            <w:r>
              <w:t>GOAL</w:t>
            </w:r>
          </w:p>
        </w:tc>
        <w:tc>
          <w:tcPr>
            <w:tcW w:w="3998" w:type="dxa"/>
            <w:vAlign w:val="center"/>
          </w:tcPr>
          <w:p w14:paraId="1EACAB18" w14:textId="55CEDC8C" w:rsidR="00731DE1" w:rsidRDefault="00731DE1" w:rsidP="00731DE1">
            <w:pPr>
              <w:pStyle w:val="NormalWeb"/>
            </w:pPr>
            <w:r>
              <w:t>Climate-resilient agriculture, women’s empowerment, nutrition education</w:t>
            </w:r>
          </w:p>
        </w:tc>
        <w:tc>
          <w:tcPr>
            <w:tcW w:w="2466" w:type="dxa"/>
            <w:vAlign w:val="center"/>
          </w:tcPr>
          <w:p w14:paraId="612C82CC" w14:textId="2DADFA67" w:rsidR="00937D1F" w:rsidRDefault="00731DE1" w:rsidP="00731DE1">
            <w:pPr>
              <w:pStyle w:val="NormalWeb"/>
            </w:pPr>
            <w:r>
              <w:t xml:space="preserve">USD </w:t>
            </w:r>
            <w:r w:rsidR="002026F7" w:rsidRPr="002026F7">
              <w:t>1,099,638</w:t>
            </w:r>
          </w:p>
        </w:tc>
      </w:tr>
      <w:tr w:rsidR="00731DE1" w14:paraId="3BC490C8" w14:textId="77777777" w:rsidTr="007F670D">
        <w:trPr>
          <w:trHeight w:val="534"/>
        </w:trPr>
        <w:tc>
          <w:tcPr>
            <w:tcW w:w="1359" w:type="dxa"/>
            <w:vAlign w:val="center"/>
          </w:tcPr>
          <w:p w14:paraId="11CAECB2" w14:textId="396411D1" w:rsidR="00731DE1" w:rsidRDefault="00731DE1" w:rsidP="00731DE1">
            <w:pPr>
              <w:pStyle w:val="NormalWeb"/>
            </w:pPr>
            <w:r>
              <w:t>Senegal</w:t>
            </w:r>
          </w:p>
        </w:tc>
        <w:tc>
          <w:tcPr>
            <w:tcW w:w="2038" w:type="dxa"/>
            <w:vAlign w:val="center"/>
          </w:tcPr>
          <w:p w14:paraId="30E71373" w14:textId="7CB3A57C" w:rsidR="00731DE1" w:rsidRDefault="00731DE1" w:rsidP="00731DE1">
            <w:pPr>
              <w:pStyle w:val="NormalWeb"/>
            </w:pPr>
            <w:r>
              <w:t xml:space="preserve">Action Against Hunger </w:t>
            </w:r>
          </w:p>
        </w:tc>
        <w:tc>
          <w:tcPr>
            <w:tcW w:w="3998" w:type="dxa"/>
            <w:vAlign w:val="center"/>
          </w:tcPr>
          <w:p w14:paraId="2BE1F1C1" w14:textId="297694B4" w:rsidR="00731DE1" w:rsidRDefault="00731DE1" w:rsidP="00731DE1">
            <w:pPr>
              <w:pStyle w:val="NormalWeb"/>
            </w:pPr>
            <w:r>
              <w:t>PIARAN: community nutrition, value chains, women’s economic empowerment</w:t>
            </w:r>
          </w:p>
        </w:tc>
        <w:tc>
          <w:tcPr>
            <w:tcW w:w="2466" w:type="dxa"/>
            <w:vAlign w:val="center"/>
          </w:tcPr>
          <w:p w14:paraId="16043DD3" w14:textId="453379B5" w:rsidR="00731DE1" w:rsidRDefault="00731DE1" w:rsidP="00731DE1">
            <w:pPr>
              <w:pStyle w:val="NormalWeb"/>
            </w:pPr>
            <w:r>
              <w:t>USD 595,000</w:t>
            </w:r>
          </w:p>
        </w:tc>
      </w:tr>
      <w:tr w:rsidR="00731DE1" w14:paraId="261A8A4D" w14:textId="77777777" w:rsidTr="007F670D">
        <w:trPr>
          <w:trHeight w:val="319"/>
        </w:trPr>
        <w:tc>
          <w:tcPr>
            <w:tcW w:w="1359" w:type="dxa"/>
            <w:vAlign w:val="center"/>
          </w:tcPr>
          <w:p w14:paraId="7EF32D48" w14:textId="62D0F70F" w:rsidR="00731DE1" w:rsidRDefault="00731DE1" w:rsidP="00731DE1">
            <w:pPr>
              <w:pStyle w:val="NormalWeb"/>
            </w:pPr>
            <w:r>
              <w:t>DRC</w:t>
            </w:r>
          </w:p>
        </w:tc>
        <w:tc>
          <w:tcPr>
            <w:tcW w:w="2038" w:type="dxa"/>
            <w:vAlign w:val="center"/>
          </w:tcPr>
          <w:p w14:paraId="521D212F" w14:textId="05A2E048" w:rsidR="00731DE1" w:rsidRDefault="00731DE1" w:rsidP="00731DE1">
            <w:pPr>
              <w:pStyle w:val="NormalWeb"/>
            </w:pPr>
            <w:r>
              <w:t>UN Women</w:t>
            </w:r>
          </w:p>
        </w:tc>
        <w:tc>
          <w:tcPr>
            <w:tcW w:w="3998" w:type="dxa"/>
            <w:vAlign w:val="center"/>
          </w:tcPr>
          <w:p w14:paraId="428EF5FF" w14:textId="5482D7DD" w:rsidR="00731DE1" w:rsidRDefault="00731DE1" w:rsidP="00731DE1">
            <w:pPr>
              <w:pStyle w:val="NormalWeb"/>
            </w:pPr>
            <w:r>
              <w:t>Biofortified cassava value chains, women’s leadership</w:t>
            </w:r>
          </w:p>
        </w:tc>
        <w:tc>
          <w:tcPr>
            <w:tcW w:w="2466" w:type="dxa"/>
            <w:vAlign w:val="center"/>
          </w:tcPr>
          <w:p w14:paraId="017FFD06" w14:textId="3AA00B7B" w:rsidR="00731DE1" w:rsidRDefault="00731DE1" w:rsidP="00731DE1">
            <w:pPr>
              <w:pStyle w:val="NormalWeb"/>
            </w:pPr>
            <w:r>
              <w:t>USD 500,000</w:t>
            </w:r>
          </w:p>
        </w:tc>
      </w:tr>
    </w:tbl>
    <w:p w14:paraId="57E06B48" w14:textId="4E32369F" w:rsidR="00D75A4B" w:rsidRDefault="00D75A4B" w:rsidP="00D75A4B">
      <w:pPr>
        <w:pStyle w:val="NormalWeb"/>
        <w:rPr>
          <w:rStyle w:val="relative"/>
        </w:rPr>
      </w:pPr>
      <w:r>
        <w:t xml:space="preserve">(MPTF </w:t>
      </w:r>
      <w:r w:rsidR="00381827">
        <w:t xml:space="preserve">Funding Framework data – see </w:t>
      </w:r>
      <w:r w:rsidR="00381827" w:rsidRPr="00381827">
        <w:rPr>
          <w:i/>
          <w:iCs/>
        </w:rPr>
        <w:t xml:space="preserve">section </w:t>
      </w:r>
      <w:r w:rsidR="00381827" w:rsidRPr="00381827">
        <w:rPr>
          <w:i/>
          <w:iCs/>
        </w:rPr>
        <w:t>3. Funds allocated</w:t>
      </w:r>
      <w:r>
        <w:t xml:space="preserve">) </w:t>
      </w:r>
    </w:p>
    <w:p w14:paraId="7B086175" w14:textId="77777777" w:rsidR="00D75A4B" w:rsidRDefault="00D75A4B" w:rsidP="00D75A4B">
      <w:pPr>
        <w:pStyle w:val="Heading3"/>
      </w:pPr>
      <w:r>
        <w:rPr>
          <w:rStyle w:val="Strong"/>
          <w:b w:val="0"/>
          <w:bCs w:val="0"/>
        </w:rPr>
        <w:t>Output 2.3 — Monitoring, reporting, and knowledge dissemination</w:t>
      </w:r>
    </w:p>
    <w:p w14:paraId="0B8FBA52" w14:textId="0E2A5862" w:rsidR="00D75A4B" w:rsidRDefault="00965EE0" w:rsidP="00D75A4B">
      <w:pPr>
        <w:pStyle w:val="NormalWeb"/>
      </w:pPr>
      <w:r>
        <w:rPr>
          <w:rStyle w:val="Strong"/>
        </w:rPr>
        <w:t xml:space="preserve">Status: </w:t>
      </w:r>
      <w:r w:rsidR="00D75A4B">
        <w:rPr>
          <w:rStyle w:val="Strong"/>
        </w:rPr>
        <w:t>Achieved.</w:t>
      </w:r>
    </w:p>
    <w:p w14:paraId="123455EF" w14:textId="77777777" w:rsidR="00965EE0" w:rsidRDefault="00D75A4B" w:rsidP="00731DE1">
      <w:pPr>
        <w:pStyle w:val="NormalWeb"/>
        <w:numPr>
          <w:ilvl w:val="0"/>
          <w:numId w:val="42"/>
        </w:numPr>
      </w:pPr>
      <w:r>
        <w:t>The Secretariat monitored partner reporting, ensured submission of annual narrative and financial reports.</w:t>
      </w:r>
    </w:p>
    <w:p w14:paraId="2BAE3643" w14:textId="7CC2C573" w:rsidR="00381827" w:rsidRDefault="00381827" w:rsidP="00731DE1">
      <w:pPr>
        <w:pStyle w:val="NormalWeb"/>
        <w:numPr>
          <w:ilvl w:val="0"/>
          <w:numId w:val="42"/>
        </w:numPr>
      </w:pPr>
      <w:r>
        <w:t>The Secretariat conducted field visits in Niger and Senegal as part of the M&amp;E activities.</w:t>
      </w:r>
    </w:p>
    <w:p w14:paraId="7D1B0EE8" w14:textId="73DA2117" w:rsidR="00D75A4B" w:rsidRDefault="00D75A4B" w:rsidP="00731DE1">
      <w:pPr>
        <w:pStyle w:val="NormalWeb"/>
        <w:numPr>
          <w:ilvl w:val="0"/>
          <w:numId w:val="42"/>
        </w:numPr>
      </w:pPr>
      <w:r>
        <w:lastRenderedPageBreak/>
        <w:t>These results demonstrate strong alignment with UNITLIFE’s mandate to support women, children, and climate-vulnerable communities through integrated, high-impact interventions.</w:t>
      </w:r>
    </w:p>
    <w:p w14:paraId="1217D398" w14:textId="77777777" w:rsidR="00D75A4B" w:rsidRPr="00731DE1" w:rsidRDefault="00D75A4B" w:rsidP="00D75A4B">
      <w:pPr>
        <w:pStyle w:val="Heading2"/>
        <w:rPr>
          <w:rStyle w:val="Strong"/>
          <w:rFonts w:ascii="Times New Roman" w:hAnsi="Times New Roman" w:cs="Times New Roman"/>
          <w:color w:val="0070C0"/>
          <w:sz w:val="24"/>
          <w:szCs w:val="24"/>
        </w:rPr>
      </w:pPr>
      <w:r w:rsidRPr="00731DE1">
        <w:rPr>
          <w:rStyle w:val="Strong"/>
          <w:rFonts w:ascii="Times New Roman" w:hAnsi="Times New Roman" w:cs="Times New Roman"/>
          <w:b/>
          <w:bCs/>
          <w:color w:val="0070C0"/>
          <w:sz w:val="24"/>
          <w:szCs w:val="24"/>
        </w:rPr>
        <w:t>Outcome 3: UNITLIFE’s financing model matures, partnerships expand, and the Fund is positioned for scale</w:t>
      </w:r>
    </w:p>
    <w:p w14:paraId="371D24B1" w14:textId="77777777" w:rsidR="00D75A4B" w:rsidRDefault="00D75A4B" w:rsidP="00D75A4B">
      <w:pPr>
        <w:pStyle w:val="NormalWeb"/>
      </w:pPr>
      <w:r>
        <w:rPr>
          <w:rStyle w:val="Strong"/>
        </w:rPr>
        <w:t>Summary of progress:</w:t>
      </w:r>
      <w:r>
        <w:br/>
        <w:t>The Secretariat advanced UNITLIFE’s positioning within the global nutrition financing ecosystem. Efforts in 2023–2024 focused on strengthening partnerships, refining the strategic vision, and preparing new financing instruments for the next operational phase.</w:t>
      </w:r>
    </w:p>
    <w:p w14:paraId="74157629" w14:textId="77777777" w:rsidR="00D75A4B" w:rsidRDefault="00D75A4B" w:rsidP="00D75A4B">
      <w:pPr>
        <w:pStyle w:val="Heading3"/>
      </w:pPr>
      <w:r>
        <w:rPr>
          <w:rStyle w:val="Strong"/>
          <w:b w:val="0"/>
          <w:bCs w:val="0"/>
        </w:rPr>
        <w:t>Output 3.1 — Partnerships and advocacy strengthened</w:t>
      </w:r>
    </w:p>
    <w:p w14:paraId="7662F741" w14:textId="2412251E" w:rsidR="00D75A4B" w:rsidRDefault="00965EE0" w:rsidP="00D75A4B">
      <w:pPr>
        <w:pStyle w:val="NormalWeb"/>
      </w:pPr>
      <w:r>
        <w:rPr>
          <w:rStyle w:val="Strong"/>
        </w:rPr>
        <w:t xml:space="preserve">Status: </w:t>
      </w:r>
      <w:r w:rsidR="00D75A4B">
        <w:rPr>
          <w:rStyle w:val="Strong"/>
        </w:rPr>
        <w:t>Achieved.</w:t>
      </w:r>
    </w:p>
    <w:p w14:paraId="4DB47C43" w14:textId="77777777" w:rsidR="00D75A4B" w:rsidRDefault="00D75A4B" w:rsidP="00D75A4B">
      <w:pPr>
        <w:pStyle w:val="NormalWeb"/>
        <w:numPr>
          <w:ilvl w:val="0"/>
          <w:numId w:val="43"/>
        </w:numPr>
      </w:pPr>
      <w:r>
        <w:t>Renewed multi-year commitments from MBRGI, continued engagement from the UAE Government, and strategic collaboration with France’s Ministry for Europe and Foreign Affairs (2024 Annual Report).</w:t>
      </w:r>
    </w:p>
    <w:p w14:paraId="200FF5BA" w14:textId="77777777" w:rsidR="00D75A4B" w:rsidRDefault="00D75A4B" w:rsidP="00D75A4B">
      <w:pPr>
        <w:pStyle w:val="NormalWeb"/>
        <w:numPr>
          <w:ilvl w:val="0"/>
          <w:numId w:val="43"/>
        </w:numPr>
      </w:pPr>
      <w:r>
        <w:t>Private sector engagement strengthened through outreach and continued efforts to refine UNITLIFE’s value proposition.</w:t>
      </w:r>
    </w:p>
    <w:p w14:paraId="1F529CD1" w14:textId="77777777" w:rsidR="00D75A4B" w:rsidRDefault="00D75A4B" w:rsidP="00D75A4B">
      <w:pPr>
        <w:pStyle w:val="Heading3"/>
      </w:pPr>
      <w:r>
        <w:rPr>
          <w:rStyle w:val="Strong"/>
          <w:b w:val="0"/>
          <w:bCs w:val="0"/>
        </w:rPr>
        <w:t>Output 3.2 — Development of new financing tools</w:t>
      </w:r>
    </w:p>
    <w:p w14:paraId="3F56B2E7" w14:textId="551C1495" w:rsidR="00D75A4B" w:rsidRDefault="00965EE0" w:rsidP="00D75A4B">
      <w:pPr>
        <w:pStyle w:val="NormalWeb"/>
      </w:pPr>
      <w:r>
        <w:rPr>
          <w:rStyle w:val="Strong"/>
        </w:rPr>
        <w:t xml:space="preserve">Status: </w:t>
      </w:r>
      <w:r w:rsidR="00D75A4B">
        <w:rPr>
          <w:rStyle w:val="Strong"/>
        </w:rPr>
        <w:t>Partially achieved / ongoing into next cycle.</w:t>
      </w:r>
    </w:p>
    <w:p w14:paraId="7C1A0B80" w14:textId="2B6292A7" w:rsidR="00D75A4B" w:rsidRDefault="00D75A4B" w:rsidP="00D75A4B">
      <w:pPr>
        <w:pStyle w:val="NormalWeb"/>
        <w:numPr>
          <w:ilvl w:val="0"/>
          <w:numId w:val="44"/>
        </w:numPr>
      </w:pPr>
      <w:r>
        <w:t>The Secretariat contributed to the design of new instruments to be launched in the next cycle, including:</w:t>
      </w:r>
      <w:r w:rsidR="00965EE0">
        <w:t xml:space="preserve"> </w:t>
      </w:r>
    </w:p>
    <w:p w14:paraId="0E382790" w14:textId="2462640E" w:rsidR="00D75A4B" w:rsidRDefault="00D75A4B" w:rsidP="00D75A4B">
      <w:pPr>
        <w:pStyle w:val="NormalWeb"/>
        <w:numPr>
          <w:ilvl w:val="1"/>
          <w:numId w:val="44"/>
        </w:numPr>
      </w:pPr>
      <w:r>
        <w:t>A direct nutrition financing window</w:t>
      </w:r>
      <w:r w:rsidR="00381827">
        <w:t xml:space="preserve"> </w:t>
      </w:r>
    </w:p>
    <w:p w14:paraId="1B526EBF" w14:textId="7D0FEB2B" w:rsidR="00D75A4B" w:rsidRDefault="00D75A4B" w:rsidP="00D75A4B">
      <w:pPr>
        <w:pStyle w:val="NormalWeb"/>
        <w:numPr>
          <w:ilvl w:val="1"/>
          <w:numId w:val="44"/>
        </w:numPr>
      </w:pPr>
      <w:r>
        <w:t xml:space="preserve">A crowdfunding </w:t>
      </w:r>
      <w:r w:rsidR="00381827">
        <w:t xml:space="preserve">blockchain </w:t>
      </w:r>
      <w:r>
        <w:t>platform</w:t>
      </w:r>
      <w:r w:rsidR="00381827">
        <w:t xml:space="preserve"> with partner </w:t>
      </w:r>
    </w:p>
    <w:p w14:paraId="1A5767F5" w14:textId="7E141097" w:rsidR="00381827" w:rsidRDefault="00381827" w:rsidP="00D75A4B">
      <w:pPr>
        <w:pStyle w:val="NormalWeb"/>
        <w:numPr>
          <w:ilvl w:val="1"/>
          <w:numId w:val="44"/>
        </w:numPr>
      </w:pPr>
      <w:r>
        <w:t>A decisioning AI powered platform for Innovative Finance and debt swap &amp; conversion opportunities</w:t>
      </w:r>
    </w:p>
    <w:p w14:paraId="446F480A" w14:textId="5920C81E" w:rsidR="00D75A4B" w:rsidRDefault="00D75A4B" w:rsidP="00D75A4B">
      <w:pPr>
        <w:pStyle w:val="NormalWeb"/>
        <w:numPr>
          <w:ilvl w:val="1"/>
          <w:numId w:val="44"/>
        </w:numPr>
      </w:pPr>
      <w:r>
        <w:t>Pathways for blended finance approaches</w:t>
      </w:r>
    </w:p>
    <w:p w14:paraId="7C2B7960" w14:textId="77777777" w:rsidR="00D75A4B" w:rsidRDefault="00D75A4B" w:rsidP="00D75A4B">
      <w:pPr>
        <w:pStyle w:val="NormalWeb"/>
      </w:pPr>
      <w:r>
        <w:t>These tools lay the groundwork for UNITLIFE’s next funding cycle, although full operationalization will occur under the successor project.</w:t>
      </w:r>
    </w:p>
    <w:p w14:paraId="2ADC5E99" w14:textId="77777777" w:rsidR="00D75A4B" w:rsidRDefault="00D75A4B" w:rsidP="00D75A4B">
      <w:pPr>
        <w:pStyle w:val="Heading3"/>
      </w:pPr>
      <w:r>
        <w:rPr>
          <w:rStyle w:val="Strong"/>
          <w:b w:val="0"/>
          <w:bCs w:val="0"/>
        </w:rPr>
        <w:t>Output 3.3 — Strategic positioning and visibility enhanced</w:t>
      </w:r>
    </w:p>
    <w:p w14:paraId="6325DDD6" w14:textId="430F5C85" w:rsidR="00D75A4B" w:rsidRDefault="00965EE0" w:rsidP="00D75A4B">
      <w:pPr>
        <w:pStyle w:val="NormalWeb"/>
      </w:pPr>
      <w:r>
        <w:rPr>
          <w:rStyle w:val="Strong"/>
        </w:rPr>
        <w:t xml:space="preserve">Status: </w:t>
      </w:r>
      <w:r w:rsidRPr="00965EE0">
        <w:rPr>
          <w:rFonts w:eastAsia="Times New Roman"/>
          <w:b/>
          <w:bCs/>
          <w:lang w:val="en-FR" w:eastAsia="en-GB"/>
        </w:rPr>
        <w:t xml:space="preserve">Partially </w:t>
      </w:r>
      <w:r w:rsidR="00D75A4B">
        <w:rPr>
          <w:rStyle w:val="Strong"/>
        </w:rPr>
        <w:t>Achieved.</w:t>
      </w:r>
    </w:p>
    <w:p w14:paraId="76119749" w14:textId="62CD751A" w:rsidR="00965EE0" w:rsidRPr="00965EE0" w:rsidRDefault="00965EE0" w:rsidP="00965EE0">
      <w:pPr>
        <w:pStyle w:val="ListParagraph"/>
        <w:numPr>
          <w:ilvl w:val="0"/>
          <w:numId w:val="45"/>
        </w:numPr>
        <w:spacing w:before="100" w:beforeAutospacing="1" w:after="100" w:afterAutospacing="1"/>
        <w:rPr>
          <w:rFonts w:eastAsia="Times New Roman"/>
          <w:lang w:val="en-FR" w:eastAsia="en-GB"/>
        </w:rPr>
      </w:pPr>
      <w:r w:rsidRPr="00965EE0">
        <w:rPr>
          <w:rFonts w:eastAsia="Times New Roman"/>
          <w:lang w:val="en-FR" w:eastAsia="en-GB"/>
        </w:rPr>
        <w:t>While UNITLIFE undertook visibility efforts</w:t>
      </w:r>
      <w:r w:rsidRPr="00965EE0">
        <w:rPr>
          <w:rFonts w:eastAsia="Times New Roman"/>
          <w:lang w:val="en-FR" w:eastAsia="en-GB"/>
        </w:rPr>
        <w:t xml:space="preserve"> – i</w:t>
      </w:r>
      <w:r w:rsidRPr="00965EE0">
        <w:rPr>
          <w:rFonts w:eastAsia="Times New Roman"/>
          <w:lang w:val="en-FR" w:eastAsia="en-GB"/>
        </w:rPr>
        <w:t>ncluding participation in global events</w:t>
      </w:r>
      <w:r w:rsidRPr="00965EE0">
        <w:rPr>
          <w:rFonts w:eastAsia="Times New Roman"/>
          <w:lang w:val="en-FR" w:eastAsia="en-GB"/>
        </w:rPr>
        <w:t xml:space="preserve">– </w:t>
      </w:r>
      <w:r w:rsidRPr="00965EE0">
        <w:rPr>
          <w:rFonts w:eastAsia="Times New Roman"/>
          <w:lang w:val="en-FR" w:eastAsia="en-GB"/>
        </w:rPr>
        <w:t xml:space="preserve">the Fund’s overall strategic positioning and value-added within the global nutrition financing landscape were not always clearly defined during the initial phase. </w:t>
      </w:r>
    </w:p>
    <w:p w14:paraId="1CD83F47" w14:textId="2FB2B68A" w:rsidR="00965EE0" w:rsidRPr="00965EE0" w:rsidRDefault="00965EE0" w:rsidP="00965EE0">
      <w:pPr>
        <w:pStyle w:val="ListParagraph"/>
        <w:numPr>
          <w:ilvl w:val="0"/>
          <w:numId w:val="45"/>
        </w:numPr>
        <w:spacing w:before="100" w:beforeAutospacing="1" w:after="100" w:afterAutospacing="1"/>
        <w:rPr>
          <w:rFonts w:eastAsia="Times New Roman"/>
          <w:lang w:val="en-FR" w:eastAsia="en-GB"/>
        </w:rPr>
      </w:pPr>
      <w:r w:rsidRPr="00965EE0">
        <w:rPr>
          <w:rFonts w:eastAsia="Times New Roman"/>
          <w:lang w:val="en-FR" w:eastAsia="en-GB"/>
        </w:rPr>
        <w:lastRenderedPageBreak/>
        <w:t>The articulation of UNITLIFE’s additionality, particularly in relation to existing financing instruments and nutrition initiatives, required further refinement to strengthen its appeal to donors and partners.</w:t>
      </w:r>
    </w:p>
    <w:p w14:paraId="627EE661" w14:textId="77777777" w:rsidR="00965EE0" w:rsidRDefault="00965EE0" w:rsidP="00965EE0">
      <w:pPr>
        <w:pStyle w:val="ListParagraph"/>
        <w:numPr>
          <w:ilvl w:val="0"/>
          <w:numId w:val="45"/>
        </w:numPr>
        <w:spacing w:before="100" w:beforeAutospacing="1" w:after="100" w:afterAutospacing="1"/>
        <w:rPr>
          <w:rFonts w:eastAsia="Times New Roman"/>
          <w:lang w:val="en-FR" w:eastAsia="en-GB"/>
        </w:rPr>
      </w:pPr>
      <w:r w:rsidRPr="00965EE0">
        <w:rPr>
          <w:rFonts w:eastAsia="Times New Roman"/>
          <w:lang w:val="en-FR" w:eastAsia="en-GB"/>
        </w:rPr>
        <w:t>Recognizing these gaps, the Steering Committee endorsed a new Programme Document for the next phase of UNITLIFE, supported by strategic donors such as CIFF. The revised ProDoc places stronger emphasis on innovative financing, including debt swaps and debt conversions, and introduces a dedicated blended finance window managed</w:t>
      </w:r>
      <w:r w:rsidRPr="00965EE0">
        <w:rPr>
          <w:rFonts w:eastAsia="Times New Roman"/>
          <w:b/>
          <w:bCs/>
          <w:lang w:val="en-FR" w:eastAsia="en-GB"/>
        </w:rPr>
        <w:t xml:space="preserve"> </w:t>
      </w:r>
      <w:r w:rsidRPr="00965EE0">
        <w:rPr>
          <w:rFonts w:eastAsia="Times New Roman"/>
          <w:lang w:val="en-FR" w:eastAsia="en-GB"/>
        </w:rPr>
        <w:t>by UNCDF.</w:t>
      </w:r>
    </w:p>
    <w:p w14:paraId="03C21128" w14:textId="6DCE8BA7" w:rsidR="00965EE0" w:rsidRPr="00965EE0" w:rsidRDefault="00965EE0" w:rsidP="00965EE0">
      <w:pPr>
        <w:pStyle w:val="ListParagraph"/>
        <w:numPr>
          <w:ilvl w:val="0"/>
          <w:numId w:val="45"/>
        </w:numPr>
        <w:spacing w:before="100" w:beforeAutospacing="1" w:after="100" w:afterAutospacing="1"/>
        <w:rPr>
          <w:rFonts w:eastAsia="Times New Roman"/>
          <w:lang w:val="en-FR" w:eastAsia="en-GB"/>
        </w:rPr>
      </w:pPr>
      <w:r w:rsidRPr="00965EE0">
        <w:rPr>
          <w:rFonts w:eastAsia="Times New Roman"/>
          <w:lang w:val="en-FR" w:eastAsia="en-GB"/>
        </w:rPr>
        <w:t>These enhancements aim to sharpen UNITLIFE’s positioning, clarify its niche, and expand its ability to mobilize complementary sources of capital for nutrition outcomes.</w:t>
      </w:r>
    </w:p>
    <w:p w14:paraId="75A29B1E" w14:textId="77777777" w:rsidR="00D75A4B" w:rsidRPr="00731DE1" w:rsidRDefault="00D75A4B" w:rsidP="00D75A4B">
      <w:pPr>
        <w:pStyle w:val="Heading2"/>
        <w:rPr>
          <w:rStyle w:val="Strong"/>
          <w:rFonts w:ascii="Times New Roman" w:hAnsi="Times New Roman" w:cs="Times New Roman"/>
          <w:color w:val="0070C0"/>
          <w:sz w:val="24"/>
          <w:szCs w:val="24"/>
        </w:rPr>
      </w:pPr>
      <w:r w:rsidRPr="00731DE1">
        <w:rPr>
          <w:rStyle w:val="Strong"/>
          <w:rFonts w:ascii="Times New Roman" w:hAnsi="Times New Roman" w:cs="Times New Roman"/>
          <w:b/>
          <w:bCs/>
          <w:color w:val="0070C0"/>
          <w:sz w:val="24"/>
          <w:szCs w:val="24"/>
        </w:rPr>
        <w:t xml:space="preserve">Overall assessment of results against the </w:t>
      </w:r>
      <w:proofErr w:type="spellStart"/>
      <w:r w:rsidRPr="00731DE1">
        <w:rPr>
          <w:rStyle w:val="Strong"/>
          <w:rFonts w:ascii="Times New Roman" w:hAnsi="Times New Roman" w:cs="Times New Roman"/>
          <w:b/>
          <w:bCs/>
          <w:color w:val="0070C0"/>
          <w:sz w:val="24"/>
          <w:szCs w:val="24"/>
        </w:rPr>
        <w:t>ProDoc</w:t>
      </w:r>
      <w:proofErr w:type="spellEnd"/>
    </w:p>
    <w:p w14:paraId="3C7ADB7C" w14:textId="6BFF1217" w:rsidR="4463663B" w:rsidRDefault="00D75A4B" w:rsidP="00965EE0">
      <w:pPr>
        <w:pStyle w:val="NormalWeb"/>
      </w:pPr>
      <w:r>
        <w:t>Across Outcomes 1–3, the Secretariat delivered the foundational operationalization of UNITLIFE, successfully administered its first funding cycle, and positioned the Fund for scale-up under a new funding window beginning in 202</w:t>
      </w:r>
      <w:r w:rsidR="002C3026">
        <w:t>6</w:t>
      </w:r>
      <w:r>
        <w:t>. Minor delays and adjustments—largely attributed to external shocks, donor landscape shifts, and staffing gaps—did not prevent the achievement of core outputs. The project’s intended objectives were met, and the groundwork for UNITLIFE’s long-term development has been established.</w:t>
      </w:r>
    </w:p>
    <w:p w14:paraId="1058359D" w14:textId="77777777" w:rsidR="00965EE0" w:rsidRPr="00965EE0" w:rsidRDefault="00965EE0" w:rsidP="00965EE0">
      <w:pPr>
        <w:pStyle w:val="NormalWeb"/>
      </w:pPr>
    </w:p>
    <w:p w14:paraId="5365DEF0" w14:textId="2C9E1DC2" w:rsidR="4463663B" w:rsidRPr="00731DE1" w:rsidRDefault="00C728B4" w:rsidP="4463663B">
      <w:pPr>
        <w:pStyle w:val="Heading1"/>
        <w:numPr>
          <w:ilvl w:val="0"/>
          <w:numId w:val="26"/>
        </w:numPr>
        <w:divId w:val="627008308"/>
        <w:rPr>
          <w:rStyle w:val="normaltextrun"/>
          <w:rFonts w:ascii="Times New Roman" w:eastAsia="Times New Roman" w:hAnsi="Times New Roman" w:cs="Times New Roman"/>
          <w:sz w:val="32"/>
          <w:szCs w:val="32"/>
        </w:rPr>
      </w:pPr>
      <w:bookmarkStart w:id="3" w:name="_Toc192079713"/>
      <w:r w:rsidRPr="00EB4D4C">
        <w:rPr>
          <w:rFonts w:ascii="Times New Roman" w:eastAsia="Times New Roman" w:hAnsi="Times New Roman" w:cs="Times New Roman"/>
          <w:sz w:val="32"/>
          <w:szCs w:val="32"/>
        </w:rPr>
        <w:t>Key Challenges Encountered</w:t>
      </w:r>
      <w:bookmarkEnd w:id="3"/>
      <w:r w:rsidR="0014552B">
        <w:rPr>
          <w:rFonts w:ascii="Times New Roman" w:eastAsia="Times New Roman" w:hAnsi="Times New Roman" w:cs="Times New Roman"/>
          <w:sz w:val="32"/>
          <w:szCs w:val="32"/>
        </w:rPr>
        <w:t xml:space="preserve"> </w:t>
      </w:r>
    </w:p>
    <w:p w14:paraId="347793B2" w14:textId="77777777" w:rsidR="00D75A4B" w:rsidRDefault="00D75A4B" w:rsidP="00D75A4B">
      <w:pPr>
        <w:pStyle w:val="NormalWeb"/>
        <w:divId w:val="627008308"/>
        <w:rPr>
          <w:rFonts w:eastAsia="Times New Roman"/>
        </w:rPr>
      </w:pPr>
      <w:r>
        <w:t>Implementation of the UNITLIFE Secretariat project encountered several challenges over the 2019–2025 period. While these did not prevent the achievement of the project’s core outcomes, they affected the pace of operationalization, the sequencing of activities, and the Secretariat’s ability to sustain continuity during periods of transition. The key challenges are summarized below.</w:t>
      </w:r>
    </w:p>
    <w:p w14:paraId="6A69D646" w14:textId="77777777" w:rsidR="00D75A4B" w:rsidRDefault="00D75A4B" w:rsidP="00D75A4B">
      <w:pPr>
        <w:pStyle w:val="Heading3"/>
        <w:divId w:val="627008308"/>
      </w:pPr>
      <w:r>
        <w:rPr>
          <w:rStyle w:val="Strong"/>
          <w:b w:val="0"/>
          <w:bCs w:val="0"/>
        </w:rPr>
        <w:t>1. Internal staffing instability and turnover</w:t>
      </w:r>
    </w:p>
    <w:p w14:paraId="794E279F" w14:textId="378D80FB" w:rsidR="00D75A4B" w:rsidRDefault="00D75A4B" w:rsidP="00D75A4B">
      <w:pPr>
        <w:pStyle w:val="NormalWeb"/>
        <w:divId w:val="627008308"/>
      </w:pPr>
      <w:r>
        <w:t xml:space="preserve">A major challenge throughout the project cycle was the </w:t>
      </w:r>
      <w:r>
        <w:rPr>
          <w:rStyle w:val="Strong"/>
        </w:rPr>
        <w:t>instability of the Secretariat team</w:t>
      </w:r>
      <w:r>
        <w:t>. Periods of staff vacancy</w:t>
      </w:r>
      <w:r w:rsidR="00965EE0">
        <w:t xml:space="preserve"> – </w:t>
      </w:r>
      <w:r>
        <w:t xml:space="preserve">especially in </w:t>
      </w:r>
      <w:proofErr w:type="spellStart"/>
      <w:r>
        <w:t>programme</w:t>
      </w:r>
      <w:proofErr w:type="spellEnd"/>
      <w:r>
        <w:t xml:space="preserve"> management, partnership development, and senior oversight roles</w:t>
      </w:r>
      <w:r w:rsidR="00965EE0">
        <w:t xml:space="preserve"> - </w:t>
      </w:r>
      <w:r>
        <w:t>created gaps in technical continuity and slowed implementation of several core functions. These included donor engagement, operational planning</w:t>
      </w:r>
      <w:r w:rsidR="001170C5">
        <w:t xml:space="preserve"> and</w:t>
      </w:r>
      <w:r>
        <w:t xml:space="preserve"> refinement of financing instrument</w:t>
      </w:r>
      <w:r w:rsidR="001170C5">
        <w:t>s</w:t>
      </w:r>
      <w:r>
        <w:t xml:space="preserve">. Recruitment delays, short-term assignments, and restructuring within UNCDF contributed to fluctuating Secretariat capacity. </w:t>
      </w:r>
    </w:p>
    <w:p w14:paraId="46530A0E" w14:textId="77777777" w:rsidR="00D75A4B" w:rsidRDefault="00D75A4B" w:rsidP="00D75A4B">
      <w:pPr>
        <w:pStyle w:val="Heading3"/>
        <w:divId w:val="627008308"/>
      </w:pPr>
      <w:r>
        <w:rPr>
          <w:rStyle w:val="Strong"/>
          <w:b w:val="0"/>
          <w:bCs w:val="0"/>
        </w:rPr>
        <w:t>2. Slow capitalization of the Fund and evolving donor landscape</w:t>
      </w:r>
    </w:p>
    <w:p w14:paraId="7AB58855" w14:textId="1024E232" w:rsidR="00D75A4B" w:rsidRDefault="00D75A4B" w:rsidP="00D75A4B">
      <w:pPr>
        <w:pStyle w:val="NormalWeb"/>
        <w:divId w:val="627008308"/>
      </w:pPr>
      <w:r>
        <w:t xml:space="preserve">Consistent with risks identified in the </w:t>
      </w:r>
      <w:proofErr w:type="spellStart"/>
      <w:r>
        <w:t>ProDoc</w:t>
      </w:r>
      <w:proofErr w:type="spellEnd"/>
      <w:r>
        <w:t xml:space="preserve">, UNITLIFE experienced a </w:t>
      </w:r>
      <w:r>
        <w:rPr>
          <w:rStyle w:val="Strong"/>
        </w:rPr>
        <w:t>slower-than-anticipated pace of resource mobilization</w:t>
      </w:r>
      <w:r>
        <w:t>, particularly in the early years of implementation. Donor engagement cycles were affected by competing global priorities, post-pandemic fiscal constraints, and shifts in strategic interests. While the Secretariat secured renewed commitments from core partners</w:t>
      </w:r>
      <w:r w:rsidR="001170C5">
        <w:t xml:space="preserve"> -</w:t>
      </w:r>
      <w:r>
        <w:t xml:space="preserve">including MBRGI and </w:t>
      </w:r>
      <w:r w:rsidR="001170C5">
        <w:t xml:space="preserve">CIFF- </w:t>
      </w:r>
      <w:r>
        <w:t xml:space="preserve">capitalization levels remained below initial projections, affecting the timing and ambition of operational scale-up. This challenge required </w:t>
      </w:r>
      <w:r>
        <w:lastRenderedPageBreak/>
        <w:t>the Secretariat to adopt a more targeted and diversified fundraising strategy, including efforts to broaden engagement with private-sector institutions and emerging philanthropic actors</w:t>
      </w:r>
      <w:r w:rsidR="002C3026">
        <w:t>, while sharpening its value proposition and additionality to the ecosystem, leveraging UNCDF unique capabilities and mandate and ability to bring financial expertise where other development actors are not going</w:t>
      </w:r>
      <w:r>
        <w:t>.</w:t>
      </w:r>
    </w:p>
    <w:p w14:paraId="213C2F80" w14:textId="77777777" w:rsidR="00D75A4B" w:rsidRDefault="00D75A4B" w:rsidP="00D75A4B">
      <w:pPr>
        <w:pStyle w:val="Heading3"/>
        <w:divId w:val="627008308"/>
      </w:pPr>
      <w:r>
        <w:rPr>
          <w:rStyle w:val="Strong"/>
          <w:b w:val="0"/>
          <w:bCs w:val="0"/>
        </w:rPr>
        <w:t>3. Delays in digital platform development and innovation architecture</w:t>
      </w:r>
    </w:p>
    <w:p w14:paraId="1CF6F67A" w14:textId="77777777" w:rsidR="00D75A4B" w:rsidRDefault="00D75A4B" w:rsidP="00D75A4B">
      <w:pPr>
        <w:pStyle w:val="NormalWeb"/>
        <w:divId w:val="627008308"/>
      </w:pPr>
      <w:r>
        <w:t xml:space="preserve">The </w:t>
      </w:r>
      <w:proofErr w:type="spellStart"/>
      <w:r>
        <w:t>ProDoc</w:t>
      </w:r>
      <w:proofErr w:type="spellEnd"/>
      <w:r>
        <w:t xml:space="preserve"> envisioned digital giving mechanisms and micro-donation solutions as part of UNITLIFE’s long-term financing model. However, these systems proved more complex and resource-intensive than anticipated. Technical development required extensive consultations, legal review, and incremental design adjustments, contributing to delays in operational deployment. As a result, the Secretariat focused on foundational architecture and strategic positioning rather than full-scale platform rollout during the initial funding cycle. This slowed progress toward the diversification of UNITLIFE’s revenue streams.</w:t>
      </w:r>
    </w:p>
    <w:p w14:paraId="495A69E8" w14:textId="77777777" w:rsidR="00D75A4B" w:rsidRDefault="00D75A4B" w:rsidP="00D75A4B">
      <w:pPr>
        <w:pStyle w:val="Heading3"/>
        <w:divId w:val="627008308"/>
      </w:pPr>
      <w:r>
        <w:rPr>
          <w:rStyle w:val="Strong"/>
          <w:b w:val="0"/>
          <w:bCs w:val="0"/>
        </w:rPr>
        <w:t>4. Operational disruptions due to COVID-19 and external shocks</w:t>
      </w:r>
    </w:p>
    <w:p w14:paraId="2C9DBCFA" w14:textId="77777777" w:rsidR="00D75A4B" w:rsidRDefault="00D75A4B" w:rsidP="00D75A4B">
      <w:pPr>
        <w:pStyle w:val="NormalWeb"/>
        <w:divId w:val="627008308"/>
      </w:pPr>
      <w:r>
        <w:t>Global disruptions caused by the COVID-19 pandemic (2020–2022) affected stakeholder engagement, travel, governance meetings, and implementation planning. Partner countries faced heightened health and humanitarian pressures, which required adjustments in programming timelines and priorities. Subsequent macroeconomic pressures, including inflation and supply chain disruptions, also influenced implementing partners’ operational contexts. These external shocks required the Secretariat to adopt adaptive management approaches and increased reliance on remote coordination and digital communication.</w:t>
      </w:r>
    </w:p>
    <w:p w14:paraId="5404EE60" w14:textId="488A1BCE" w:rsidR="00D75A4B" w:rsidRDefault="001170C5" w:rsidP="00D75A4B">
      <w:pPr>
        <w:pStyle w:val="Heading3"/>
        <w:divId w:val="627008308"/>
      </w:pPr>
      <w:r>
        <w:rPr>
          <w:rStyle w:val="Strong"/>
          <w:b w:val="0"/>
          <w:bCs w:val="0"/>
        </w:rPr>
        <w:t>5</w:t>
      </w:r>
      <w:r w:rsidR="00D75A4B">
        <w:rPr>
          <w:rStyle w:val="Strong"/>
          <w:b w:val="0"/>
          <w:bCs w:val="0"/>
        </w:rPr>
        <w:t>. Country-level contextual and operational challenges</w:t>
      </w:r>
    </w:p>
    <w:p w14:paraId="5C39B99B" w14:textId="77777777" w:rsidR="00D75A4B" w:rsidRDefault="00D75A4B" w:rsidP="00D75A4B">
      <w:pPr>
        <w:pStyle w:val="NormalWeb"/>
        <w:divId w:val="627008308"/>
      </w:pPr>
      <w:r>
        <w:t xml:space="preserve">Although the Secretariat’s mandate does not include field implementation, </w:t>
      </w:r>
      <w:proofErr w:type="spellStart"/>
      <w:r>
        <w:t>programme</w:t>
      </w:r>
      <w:proofErr w:type="spellEnd"/>
      <w:r>
        <w:t xml:space="preserve"> results were influenced by contextual challenges in partner countries, including:</w:t>
      </w:r>
    </w:p>
    <w:p w14:paraId="2D925C41" w14:textId="77777777" w:rsidR="00D75A4B" w:rsidRDefault="00D75A4B" w:rsidP="00D75A4B">
      <w:pPr>
        <w:pStyle w:val="NormalWeb"/>
        <w:numPr>
          <w:ilvl w:val="0"/>
          <w:numId w:val="46"/>
        </w:numPr>
        <w:divId w:val="627008308"/>
      </w:pPr>
      <w:r>
        <w:t xml:space="preserve">political instability and insecurity in parts of </w:t>
      </w:r>
      <w:proofErr w:type="gramStart"/>
      <w:r>
        <w:t>Niger;</w:t>
      </w:r>
      <w:proofErr w:type="gramEnd"/>
    </w:p>
    <w:p w14:paraId="62EA077F" w14:textId="77777777" w:rsidR="00D75A4B" w:rsidRDefault="00D75A4B" w:rsidP="00D75A4B">
      <w:pPr>
        <w:pStyle w:val="NormalWeb"/>
        <w:numPr>
          <w:ilvl w:val="0"/>
          <w:numId w:val="46"/>
        </w:numPr>
        <w:divId w:val="627008308"/>
      </w:pPr>
      <w:r>
        <w:t xml:space="preserve">climatic shocks affecting food production in Senegal and </w:t>
      </w:r>
      <w:proofErr w:type="gramStart"/>
      <w:r>
        <w:t>Niger;</w:t>
      </w:r>
      <w:proofErr w:type="gramEnd"/>
    </w:p>
    <w:p w14:paraId="5E843D0C" w14:textId="7DF4F7DD" w:rsidR="00D75A4B" w:rsidRDefault="00D75A4B" w:rsidP="00D75A4B">
      <w:pPr>
        <w:pStyle w:val="NormalWeb"/>
        <w:numPr>
          <w:ilvl w:val="0"/>
          <w:numId w:val="46"/>
        </w:numPr>
        <w:divId w:val="627008308"/>
      </w:pPr>
      <w:r>
        <w:t>operational constraints and limited infrastructure in DRC.</w:t>
      </w:r>
      <w:r>
        <w:br/>
        <w:t>These conditions occasionally required adaptive programming measures, timeline revisions, and additional Secretariat oversight to ensure project continuity.</w:t>
      </w:r>
    </w:p>
    <w:p w14:paraId="1226D7D1" w14:textId="77777777" w:rsidR="00D75A4B" w:rsidRDefault="00D75A4B" w:rsidP="00D75A4B">
      <w:pPr>
        <w:pStyle w:val="Heading3"/>
        <w:divId w:val="627008308"/>
      </w:pPr>
      <w:r>
        <w:rPr>
          <w:rStyle w:val="Strong"/>
          <w:b w:val="0"/>
          <w:bCs w:val="0"/>
        </w:rPr>
        <w:t>Overall Assessment of Challenges</w:t>
      </w:r>
    </w:p>
    <w:p w14:paraId="01CB197C" w14:textId="49FF5FEF" w:rsidR="4463663B" w:rsidRPr="00731DE1" w:rsidRDefault="00D75A4B" w:rsidP="00731DE1">
      <w:pPr>
        <w:pStyle w:val="NormalWeb"/>
        <w:divId w:val="627008308"/>
        <w:rPr>
          <w:rStyle w:val="normaltextrun"/>
        </w:rPr>
      </w:pPr>
      <w:r>
        <w:t>Despite the breadth of challenges</w:t>
      </w:r>
      <w:r w:rsidR="001170C5">
        <w:t xml:space="preserve"> – i</w:t>
      </w:r>
      <w:r>
        <w:t>ncluding internal capacity constraints, delayed fundraising, technical complexities, and external disruptions</w:t>
      </w:r>
      <w:r w:rsidR="001170C5">
        <w:t xml:space="preserve"> - </w:t>
      </w:r>
      <w:r>
        <w:t xml:space="preserve">the Secretariat successfully met its core responsibilities and delivered the outcomes outlined in the </w:t>
      </w:r>
      <w:proofErr w:type="spellStart"/>
      <w:r>
        <w:t>ProDoc</w:t>
      </w:r>
      <w:proofErr w:type="spellEnd"/>
      <w:r>
        <w:t xml:space="preserve">. However, the lessons emerging from these challenges underscore the need for strengthened staffing models, more flexible operational planning, phased development of innovative financing tools, </w:t>
      </w:r>
      <w:r w:rsidR="002C3026">
        <w:t xml:space="preserve">strong alignment with UNCDF capabilities and Strategic Framework, </w:t>
      </w:r>
      <w:r>
        <w:t>and continued investment in partnership diversification as UNITLIFE enters its next funding cycle.</w:t>
      </w:r>
    </w:p>
    <w:p w14:paraId="115B96FD" w14:textId="556F93B2" w:rsidR="4463663B" w:rsidRPr="00D75A4B" w:rsidRDefault="00C728B4" w:rsidP="00D75A4B">
      <w:pPr>
        <w:pStyle w:val="Heading1"/>
        <w:numPr>
          <w:ilvl w:val="0"/>
          <w:numId w:val="26"/>
        </w:numPr>
        <w:divId w:val="608126479"/>
        <w:rPr>
          <w:rStyle w:val="normaltextrun"/>
          <w:rFonts w:ascii="Times New Roman" w:eastAsia="Times New Roman" w:hAnsi="Times New Roman" w:cs="Times New Roman"/>
          <w:sz w:val="32"/>
          <w:szCs w:val="32"/>
        </w:rPr>
      </w:pPr>
      <w:bookmarkStart w:id="4" w:name="_Toc192079714"/>
      <w:r w:rsidRPr="00EB4D4C">
        <w:rPr>
          <w:rFonts w:ascii="Times New Roman" w:eastAsia="Times New Roman" w:hAnsi="Times New Roman" w:cs="Times New Roman"/>
          <w:sz w:val="32"/>
          <w:szCs w:val="32"/>
        </w:rPr>
        <w:lastRenderedPageBreak/>
        <w:t>Project Risks and Issues</w:t>
      </w:r>
      <w:bookmarkEnd w:id="4"/>
      <w:r w:rsidR="00A94F15">
        <w:rPr>
          <w:rStyle w:val="FootnoteReference"/>
          <w:sz w:val="32"/>
          <w:szCs w:val="32"/>
        </w:rPr>
        <w:footnoteReference w:id="2"/>
      </w:r>
      <w:r w:rsidR="00A200D3">
        <w:rPr>
          <w:rFonts w:ascii="Times New Roman" w:eastAsia="Times New Roman" w:hAnsi="Times New Roman" w:cs="Times New Roman"/>
          <w:sz w:val="32"/>
          <w:szCs w:val="32"/>
        </w:rPr>
        <w:t xml:space="preserve"> </w:t>
      </w:r>
    </w:p>
    <w:p w14:paraId="43F55F46" w14:textId="17EF3AAB" w:rsidR="00D75A4B" w:rsidRPr="00731DE1" w:rsidRDefault="00D75A4B" w:rsidP="00731DE1">
      <w:pPr>
        <w:pStyle w:val="NormalWeb"/>
        <w:rPr>
          <w:rFonts w:eastAsia="Times New Roman"/>
        </w:rPr>
      </w:pPr>
      <w:r>
        <w:t xml:space="preserve">The UNITLIFE Secretariat project operated within a complex environment that included strategic, operational, fiduciary, and contextual risks. The original </w:t>
      </w:r>
      <w:proofErr w:type="spellStart"/>
      <w:r>
        <w:t>Programme</w:t>
      </w:r>
      <w:proofErr w:type="spellEnd"/>
      <w:r>
        <w:t xml:space="preserve"> Document (</w:t>
      </w:r>
      <w:proofErr w:type="spellStart"/>
      <w:r>
        <w:t>ProDoc</w:t>
      </w:r>
      <w:proofErr w:type="spellEnd"/>
      <w:r>
        <w:t>) identified several risks that could affect the effective operationalization of UNITLIFE. This section summarizes those risks, assesses their manifestation during implementation, and outlines the mitigation measures applied by the Secretariat. Overall, while several risks materialized to varying degrees, mitigation efforts allowed the project to achieve its core outcomes.</w:t>
      </w:r>
    </w:p>
    <w:p w14:paraId="3754D82C" w14:textId="77777777" w:rsidR="00D75A4B" w:rsidRDefault="00D75A4B" w:rsidP="00731DE1">
      <w:pPr>
        <w:pStyle w:val="Heading3"/>
        <w:rPr>
          <w:rStyle w:val="Strong"/>
        </w:rPr>
      </w:pPr>
      <w:r w:rsidRPr="00731DE1">
        <w:rPr>
          <w:rStyle w:val="Strong"/>
        </w:rPr>
        <w:t>1. Strategic and Programmatic Risks</w:t>
      </w:r>
    </w:p>
    <w:p w14:paraId="74DBC3BE" w14:textId="77777777" w:rsidR="00731DE1" w:rsidRPr="00731DE1" w:rsidRDefault="00731DE1" w:rsidP="00731DE1"/>
    <w:p w14:paraId="4CF5DE5C" w14:textId="77777777" w:rsidR="00D75A4B" w:rsidRDefault="00D75A4B" w:rsidP="00D75A4B">
      <w:pPr>
        <w:pStyle w:val="Heading3"/>
      </w:pPr>
      <w:r>
        <w:rPr>
          <w:rStyle w:val="Strong"/>
          <w:b w:val="0"/>
          <w:bCs w:val="0"/>
        </w:rPr>
        <w:t>Risk 1: Slow capitalization of UNITLIFE due to limited donor engagement</w:t>
      </w:r>
    </w:p>
    <w:p w14:paraId="0F60491D" w14:textId="77B200F6" w:rsidR="00D75A4B" w:rsidRPr="001170C5" w:rsidRDefault="00D75A4B" w:rsidP="001170C5">
      <w:pPr>
        <w:pStyle w:val="NormalWeb"/>
        <w:spacing w:before="0" w:beforeAutospacing="0" w:after="0" w:afterAutospacing="0"/>
        <w:rPr>
          <w:b/>
          <w:bCs/>
        </w:rPr>
      </w:pPr>
      <w:proofErr w:type="spellStart"/>
      <w:r>
        <w:rPr>
          <w:rStyle w:val="Strong"/>
        </w:rPr>
        <w:t>ProDoc</w:t>
      </w:r>
      <w:proofErr w:type="spellEnd"/>
      <w:r>
        <w:rPr>
          <w:rStyle w:val="Strong"/>
        </w:rPr>
        <w:t xml:space="preserve"> rating:</w:t>
      </w:r>
      <w:r>
        <w:t xml:space="preserve"> High</w:t>
      </w:r>
      <w:r>
        <w:br/>
      </w:r>
      <w:r>
        <w:rPr>
          <w:rStyle w:val="Strong"/>
        </w:rPr>
        <w:t>Manifestation:</w:t>
      </w:r>
      <w:r>
        <w:br/>
        <w:t>UNITLIFE experienced slower-than-expected fundraising during start-up, influenced by donor shifts, global economic constraints, and competing priorities in the post-pandemic context. Initial expectations regarding the speed and scale of contributions required recalibration.</w:t>
      </w:r>
      <w:r>
        <w:br/>
      </w:r>
      <w:r>
        <w:rPr>
          <w:rStyle w:val="Strong"/>
        </w:rPr>
        <w:t>Mitigation:</w:t>
      </w:r>
    </w:p>
    <w:p w14:paraId="7BE1A144" w14:textId="77777777" w:rsidR="00D75A4B" w:rsidRDefault="00D75A4B" w:rsidP="001170C5">
      <w:pPr>
        <w:pStyle w:val="NormalWeb"/>
        <w:numPr>
          <w:ilvl w:val="0"/>
          <w:numId w:val="47"/>
        </w:numPr>
        <w:spacing w:before="0" w:beforeAutospacing="0" w:after="0" w:afterAutospacing="0"/>
      </w:pPr>
      <w:r>
        <w:t>Targeted outreach to bilateral donors and philanthropic organizations.</w:t>
      </w:r>
    </w:p>
    <w:p w14:paraId="5BEB6194" w14:textId="77777777" w:rsidR="00D75A4B" w:rsidRDefault="00D75A4B" w:rsidP="001170C5">
      <w:pPr>
        <w:pStyle w:val="NormalWeb"/>
        <w:numPr>
          <w:ilvl w:val="0"/>
          <w:numId w:val="47"/>
        </w:numPr>
        <w:spacing w:before="0" w:beforeAutospacing="0" w:after="0" w:afterAutospacing="0"/>
      </w:pPr>
      <w:r>
        <w:t>Strengthening of UNITLIFE’s value proposition and communication materials.</w:t>
      </w:r>
    </w:p>
    <w:p w14:paraId="5013E32C" w14:textId="77777777" w:rsidR="0057616B" w:rsidRDefault="00D75A4B" w:rsidP="001170C5">
      <w:pPr>
        <w:pStyle w:val="NormalWeb"/>
        <w:numPr>
          <w:ilvl w:val="0"/>
          <w:numId w:val="47"/>
        </w:numPr>
        <w:spacing w:before="0" w:beforeAutospacing="0" w:after="0" w:afterAutospacing="0"/>
      </w:pPr>
      <w:r>
        <w:t>Development of new financing windows to diversify funding opportunities.</w:t>
      </w:r>
    </w:p>
    <w:p w14:paraId="7B50E01B" w14:textId="0BA4E5E3" w:rsidR="00D75A4B" w:rsidRDefault="00D75A4B" w:rsidP="001170C5">
      <w:pPr>
        <w:pStyle w:val="NormalWeb"/>
        <w:numPr>
          <w:ilvl w:val="0"/>
          <w:numId w:val="47"/>
        </w:numPr>
        <w:spacing w:before="0" w:beforeAutospacing="0" w:after="0" w:afterAutospacing="0"/>
      </w:pPr>
      <w:r>
        <w:rPr>
          <w:rStyle w:val="Strong"/>
        </w:rPr>
        <w:t>Effectiveness:</w:t>
      </w:r>
      <w:r>
        <w:t xml:space="preserve"> Partial. UNITLIFE secured renewed and new donor commitments, but capitalization remained below early projections, affecting the timing of expansion.</w:t>
      </w:r>
    </w:p>
    <w:p w14:paraId="482738CE" w14:textId="77777777" w:rsidR="001170C5" w:rsidRDefault="001170C5" w:rsidP="001170C5">
      <w:pPr>
        <w:pStyle w:val="NormalWeb"/>
        <w:spacing w:before="0" w:beforeAutospacing="0" w:after="0" w:afterAutospacing="0"/>
        <w:ind w:left="720"/>
      </w:pPr>
    </w:p>
    <w:p w14:paraId="68B26FC1" w14:textId="77777777" w:rsidR="00D75A4B" w:rsidRPr="00731DE1" w:rsidRDefault="00D75A4B" w:rsidP="00731DE1">
      <w:pPr>
        <w:pStyle w:val="Heading3"/>
        <w:rPr>
          <w:rStyle w:val="Strong"/>
        </w:rPr>
      </w:pPr>
      <w:r w:rsidRPr="00731DE1">
        <w:rPr>
          <w:rStyle w:val="Strong"/>
        </w:rPr>
        <w:t>2. Governance and Decision-Making Risks</w:t>
      </w:r>
    </w:p>
    <w:p w14:paraId="6BF26EC3" w14:textId="77777777" w:rsidR="00731DE1" w:rsidRDefault="00731DE1" w:rsidP="00D75A4B">
      <w:pPr>
        <w:pStyle w:val="Heading3"/>
        <w:rPr>
          <w:rStyle w:val="Strong"/>
          <w:b w:val="0"/>
          <w:bCs w:val="0"/>
        </w:rPr>
      </w:pPr>
    </w:p>
    <w:p w14:paraId="20763A5F" w14:textId="202CA63E" w:rsidR="00D75A4B" w:rsidRDefault="00D75A4B" w:rsidP="00D75A4B">
      <w:pPr>
        <w:pStyle w:val="Heading3"/>
      </w:pPr>
      <w:r>
        <w:rPr>
          <w:rStyle w:val="Strong"/>
          <w:b w:val="0"/>
          <w:bCs w:val="0"/>
        </w:rPr>
        <w:t>Risk 2: Delays in establishing governance structures and decision-making mechanisms</w:t>
      </w:r>
    </w:p>
    <w:p w14:paraId="72AA20A1" w14:textId="0DAD8E18" w:rsidR="00D75A4B" w:rsidRDefault="00D75A4B" w:rsidP="001170C5">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Medium</w:t>
      </w:r>
      <w:r>
        <w:br/>
      </w:r>
      <w:r>
        <w:rPr>
          <w:rStyle w:val="Strong"/>
        </w:rPr>
        <w:t>Manifestation:</w:t>
      </w:r>
      <w:r>
        <w:br/>
        <w:t xml:space="preserve">Initial establishment of the </w:t>
      </w:r>
      <w:r w:rsidR="001170C5">
        <w:t>Steering</w:t>
      </w:r>
      <w:r>
        <w:t xml:space="preserve"> Committee and Advisory Council took longer than anticipated, partly due to the global pandemic and the complexity of aligning multiple partner expectations.</w:t>
      </w:r>
      <w:r>
        <w:br/>
      </w:r>
      <w:r>
        <w:rPr>
          <w:rStyle w:val="Strong"/>
        </w:rPr>
        <w:t>Mitigation:</w:t>
      </w:r>
    </w:p>
    <w:p w14:paraId="03B2C3B1" w14:textId="65103501" w:rsidR="00D75A4B" w:rsidRDefault="00D75A4B" w:rsidP="001170C5">
      <w:pPr>
        <w:pStyle w:val="NormalWeb"/>
        <w:numPr>
          <w:ilvl w:val="0"/>
          <w:numId w:val="48"/>
        </w:numPr>
        <w:spacing w:before="0" w:beforeAutospacing="0" w:after="0" w:afterAutospacing="0"/>
      </w:pPr>
      <w:r>
        <w:t>Accelerated governance consultations.</w:t>
      </w:r>
    </w:p>
    <w:p w14:paraId="7C0A12DF" w14:textId="7D9A344B" w:rsidR="00D75A4B" w:rsidRDefault="00D75A4B" w:rsidP="001170C5">
      <w:pPr>
        <w:pStyle w:val="NormalWeb"/>
        <w:numPr>
          <w:ilvl w:val="0"/>
          <w:numId w:val="48"/>
        </w:numPr>
        <w:spacing w:before="0" w:beforeAutospacing="0" w:after="0" w:afterAutospacing="0"/>
      </w:pPr>
      <w:r>
        <w:t xml:space="preserve">Regularizing </w:t>
      </w:r>
      <w:r w:rsidR="001170C5">
        <w:t>Steering</w:t>
      </w:r>
      <w:r>
        <w:t xml:space="preserve"> Committee meetings and aligning decision cycles with MPTF requirements.</w:t>
      </w:r>
    </w:p>
    <w:p w14:paraId="413BF0B2" w14:textId="77777777" w:rsidR="0057616B" w:rsidRDefault="00D75A4B" w:rsidP="001170C5">
      <w:pPr>
        <w:pStyle w:val="NormalWeb"/>
        <w:numPr>
          <w:ilvl w:val="0"/>
          <w:numId w:val="48"/>
        </w:numPr>
        <w:spacing w:before="0" w:beforeAutospacing="0" w:after="0" w:afterAutospacing="0"/>
      </w:pPr>
      <w:r>
        <w:t>Strengthening Secretariat coordination and documentation processes.</w:t>
      </w:r>
    </w:p>
    <w:p w14:paraId="08F0E279" w14:textId="6BC2830F" w:rsidR="00731DE1" w:rsidRDefault="00D75A4B" w:rsidP="001170C5">
      <w:pPr>
        <w:pStyle w:val="NormalWeb"/>
        <w:numPr>
          <w:ilvl w:val="0"/>
          <w:numId w:val="48"/>
        </w:numPr>
        <w:spacing w:before="0" w:beforeAutospacing="0" w:after="0" w:afterAutospacing="0"/>
      </w:pPr>
      <w:r>
        <w:rPr>
          <w:rStyle w:val="Strong"/>
        </w:rPr>
        <w:t>Effectiveness:</w:t>
      </w:r>
      <w:r>
        <w:t xml:space="preserve"> High. Governance architecture became fully functional by 20</w:t>
      </w:r>
      <w:r w:rsidR="002C3026">
        <w:t>19-2020</w:t>
      </w:r>
      <w:r>
        <w:t xml:space="preserve"> and continued to operate effectively through project closure</w:t>
      </w:r>
      <w:r w:rsidR="001170C5">
        <w:t xml:space="preserve"> and future cycles</w:t>
      </w:r>
      <w:r w:rsidR="002C3026">
        <w:t>, with some delays due to limited staff capacity.</w:t>
      </w:r>
    </w:p>
    <w:p w14:paraId="2D352AF4" w14:textId="77777777" w:rsidR="001170C5" w:rsidRDefault="001170C5" w:rsidP="001170C5">
      <w:pPr>
        <w:pStyle w:val="NormalWeb"/>
        <w:spacing w:before="0" w:beforeAutospacing="0" w:after="0" w:afterAutospacing="0"/>
        <w:ind w:left="720"/>
      </w:pPr>
    </w:p>
    <w:p w14:paraId="23DE8CE8" w14:textId="77777777" w:rsidR="00D75A4B" w:rsidRPr="00731DE1" w:rsidRDefault="00D75A4B" w:rsidP="00731DE1">
      <w:pPr>
        <w:pStyle w:val="Heading3"/>
        <w:rPr>
          <w:rStyle w:val="Strong"/>
        </w:rPr>
      </w:pPr>
      <w:r w:rsidRPr="00731DE1">
        <w:rPr>
          <w:rStyle w:val="Strong"/>
        </w:rPr>
        <w:lastRenderedPageBreak/>
        <w:t>3. Operational and Institutional Risks</w:t>
      </w:r>
    </w:p>
    <w:p w14:paraId="0CCE264B" w14:textId="77777777" w:rsidR="00731DE1" w:rsidRDefault="00731DE1" w:rsidP="00D75A4B">
      <w:pPr>
        <w:pStyle w:val="Heading3"/>
        <w:rPr>
          <w:rStyle w:val="Strong"/>
          <w:b w:val="0"/>
          <w:bCs w:val="0"/>
        </w:rPr>
      </w:pPr>
    </w:p>
    <w:p w14:paraId="2BD07447" w14:textId="4E9031AA" w:rsidR="00D75A4B" w:rsidRDefault="00D75A4B" w:rsidP="00D75A4B">
      <w:pPr>
        <w:pStyle w:val="Heading3"/>
      </w:pPr>
      <w:r>
        <w:rPr>
          <w:rStyle w:val="Strong"/>
          <w:b w:val="0"/>
          <w:bCs w:val="0"/>
        </w:rPr>
        <w:t>Risk 3: Staffing gaps and limited Secretariat capacity</w:t>
      </w:r>
    </w:p>
    <w:p w14:paraId="77099305" w14:textId="12BE60A1" w:rsidR="00D75A4B" w:rsidRDefault="00D75A4B" w:rsidP="001170C5">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Medium</w:t>
      </w:r>
      <w:r>
        <w:br/>
      </w:r>
      <w:r>
        <w:rPr>
          <w:rStyle w:val="Strong"/>
        </w:rPr>
        <w:t>Manifestation:</w:t>
      </w:r>
      <w:r>
        <w:br/>
        <w:t>Staffing instability</w:t>
      </w:r>
      <w:r w:rsidR="001170C5">
        <w:t xml:space="preserve">- </w:t>
      </w:r>
      <w:r>
        <w:t xml:space="preserve">linked to recruitment delays, turnover, </w:t>
      </w:r>
      <w:r w:rsidR="001170C5">
        <w:t xml:space="preserve">limited funding </w:t>
      </w:r>
      <w:r>
        <w:t>and restructuring</w:t>
      </w:r>
      <w:r w:rsidR="001170C5">
        <w:t xml:space="preserve"> - </w:t>
      </w:r>
      <w:r>
        <w:t xml:space="preserve">created temporary gaps in </w:t>
      </w:r>
      <w:proofErr w:type="spellStart"/>
      <w:r>
        <w:t>programme</w:t>
      </w:r>
      <w:proofErr w:type="spellEnd"/>
      <w:r>
        <w:t xml:space="preserve"> management, partnership development, and operational continuity.</w:t>
      </w:r>
      <w:r>
        <w:br/>
      </w:r>
      <w:r>
        <w:rPr>
          <w:rStyle w:val="Strong"/>
        </w:rPr>
        <w:t>Mitigation:</w:t>
      </w:r>
    </w:p>
    <w:p w14:paraId="455A0EBE" w14:textId="0D8FBDF2" w:rsidR="00D75A4B" w:rsidRDefault="00D75A4B" w:rsidP="001170C5">
      <w:pPr>
        <w:pStyle w:val="NormalWeb"/>
        <w:numPr>
          <w:ilvl w:val="0"/>
          <w:numId w:val="49"/>
        </w:numPr>
        <w:spacing w:before="0" w:beforeAutospacing="0" w:after="0" w:afterAutospacing="0"/>
      </w:pPr>
      <w:r>
        <w:t>Progressive recruitment</w:t>
      </w:r>
      <w:r w:rsidR="002C3026">
        <w:t>, based on funding availability</w:t>
      </w:r>
      <w:r>
        <w:t>.</w:t>
      </w:r>
    </w:p>
    <w:p w14:paraId="383B37A0" w14:textId="77777777" w:rsidR="0057616B" w:rsidRDefault="00D75A4B" w:rsidP="0057616B">
      <w:pPr>
        <w:pStyle w:val="NormalWeb"/>
        <w:numPr>
          <w:ilvl w:val="0"/>
          <w:numId w:val="49"/>
        </w:numPr>
        <w:spacing w:before="0" w:beforeAutospacing="0" w:after="0" w:afterAutospacing="0"/>
      </w:pPr>
      <w:r>
        <w:t>Redistribution of responsibilities among available staff.</w:t>
      </w:r>
    </w:p>
    <w:p w14:paraId="7D0BBC18" w14:textId="45702D99" w:rsidR="00D75A4B" w:rsidRDefault="00D75A4B" w:rsidP="0057616B">
      <w:pPr>
        <w:pStyle w:val="NormalWeb"/>
        <w:numPr>
          <w:ilvl w:val="0"/>
          <w:numId w:val="49"/>
        </w:numPr>
        <w:spacing w:before="0" w:beforeAutospacing="0" w:after="0" w:afterAutospacing="0"/>
      </w:pPr>
      <w:r>
        <w:rPr>
          <w:rStyle w:val="Strong"/>
        </w:rPr>
        <w:t>Effectiveness:</w:t>
      </w:r>
      <w:r>
        <w:t xml:space="preserve"> Moderate. Capacity </w:t>
      </w:r>
      <w:r w:rsidR="002C3026">
        <w:t>constraints</w:t>
      </w:r>
      <w:r>
        <w:t xml:space="preserve"> slowed implementation and donor engagement.</w:t>
      </w:r>
      <w:r w:rsidR="001170C5">
        <w:t xml:space="preserve"> </w:t>
      </w:r>
    </w:p>
    <w:p w14:paraId="7B02EE86" w14:textId="77777777" w:rsidR="001170C5" w:rsidRDefault="001170C5" w:rsidP="001170C5">
      <w:pPr>
        <w:pStyle w:val="NormalWeb"/>
        <w:spacing w:before="0" w:beforeAutospacing="0" w:after="0" w:afterAutospacing="0"/>
        <w:ind w:left="720"/>
      </w:pPr>
    </w:p>
    <w:p w14:paraId="463BCEE4" w14:textId="77777777" w:rsidR="00D75A4B" w:rsidRDefault="00D75A4B" w:rsidP="00D75A4B">
      <w:pPr>
        <w:pStyle w:val="Heading3"/>
      </w:pPr>
      <w:r>
        <w:rPr>
          <w:rStyle w:val="Strong"/>
          <w:b w:val="0"/>
          <w:bCs w:val="0"/>
        </w:rPr>
        <w:t>Risk 4: Delays in developing digital tools and innovative financing systems</w:t>
      </w:r>
    </w:p>
    <w:p w14:paraId="7F7CE980" w14:textId="77777777" w:rsidR="00D75A4B" w:rsidRDefault="00D75A4B" w:rsidP="001170C5">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Medium</w:t>
      </w:r>
      <w:r>
        <w:br/>
      </w:r>
      <w:r>
        <w:rPr>
          <w:rStyle w:val="Strong"/>
        </w:rPr>
        <w:t>Manifestation:</w:t>
      </w:r>
      <w:r>
        <w:br/>
        <w:t>Technical complexity, legal considerations, and resource limitations slowed digital platform development—including planned micro-donation mechanisms.</w:t>
      </w:r>
      <w:r>
        <w:br/>
      </w:r>
      <w:r>
        <w:rPr>
          <w:rStyle w:val="Strong"/>
        </w:rPr>
        <w:t>Mitigation:</w:t>
      </w:r>
    </w:p>
    <w:p w14:paraId="7616CA2F" w14:textId="1920C7BF" w:rsidR="00D75A4B" w:rsidRDefault="00D75A4B" w:rsidP="001170C5">
      <w:pPr>
        <w:pStyle w:val="NormalWeb"/>
        <w:numPr>
          <w:ilvl w:val="0"/>
          <w:numId w:val="50"/>
        </w:numPr>
        <w:spacing w:before="0" w:beforeAutospacing="0" w:after="0" w:afterAutospacing="0"/>
      </w:pPr>
      <w:r>
        <w:t>Phased approach to digital architecture development</w:t>
      </w:r>
      <w:r w:rsidR="002C3026">
        <w:t xml:space="preserve"> through key partnerships.</w:t>
      </w:r>
    </w:p>
    <w:p w14:paraId="03EFA45E" w14:textId="77777777" w:rsidR="0057616B" w:rsidRDefault="00D75A4B" w:rsidP="001170C5">
      <w:pPr>
        <w:pStyle w:val="NormalWeb"/>
        <w:numPr>
          <w:ilvl w:val="0"/>
          <w:numId w:val="50"/>
        </w:numPr>
        <w:spacing w:before="0" w:beforeAutospacing="0" w:after="0" w:afterAutospacing="0"/>
      </w:pPr>
      <w:r>
        <w:t>Integration of digital workstreams into broader strategic planning for next funding cycle.</w:t>
      </w:r>
    </w:p>
    <w:p w14:paraId="4487143C" w14:textId="53E143B7" w:rsidR="00D75A4B" w:rsidRDefault="00D75A4B" w:rsidP="001170C5">
      <w:pPr>
        <w:pStyle w:val="NormalWeb"/>
        <w:numPr>
          <w:ilvl w:val="0"/>
          <w:numId w:val="50"/>
        </w:numPr>
        <w:spacing w:before="0" w:beforeAutospacing="0" w:after="0" w:afterAutospacing="0"/>
      </w:pPr>
      <w:r>
        <w:rPr>
          <w:rStyle w:val="Strong"/>
        </w:rPr>
        <w:t>Effectiveness:</w:t>
      </w:r>
      <w:r>
        <w:t xml:space="preserve"> Partial. Foundational tools were developed, but full deployment will occur under the next Secretariat project.</w:t>
      </w:r>
    </w:p>
    <w:p w14:paraId="44F9FEC2" w14:textId="77777777" w:rsidR="001170C5" w:rsidRDefault="001170C5" w:rsidP="001170C5">
      <w:pPr>
        <w:pStyle w:val="NormalWeb"/>
        <w:spacing w:before="0" w:beforeAutospacing="0" w:after="0" w:afterAutospacing="0"/>
        <w:ind w:left="720"/>
      </w:pPr>
    </w:p>
    <w:p w14:paraId="0D2022AF" w14:textId="77777777" w:rsidR="00D75A4B" w:rsidRPr="00731DE1" w:rsidRDefault="00D75A4B" w:rsidP="00731DE1">
      <w:pPr>
        <w:pStyle w:val="Heading3"/>
        <w:rPr>
          <w:rStyle w:val="Strong"/>
        </w:rPr>
      </w:pPr>
      <w:r w:rsidRPr="00731DE1">
        <w:rPr>
          <w:rStyle w:val="Strong"/>
        </w:rPr>
        <w:t>4. Fiduciary, Compliance, and Reputational Risks</w:t>
      </w:r>
    </w:p>
    <w:p w14:paraId="1DCB89B2" w14:textId="77777777" w:rsidR="00731DE1" w:rsidRDefault="00731DE1" w:rsidP="00D75A4B">
      <w:pPr>
        <w:pStyle w:val="Heading3"/>
        <w:rPr>
          <w:rStyle w:val="Strong"/>
          <w:b w:val="0"/>
          <w:bCs w:val="0"/>
        </w:rPr>
      </w:pPr>
    </w:p>
    <w:p w14:paraId="24DF41BB" w14:textId="5B9FD56C" w:rsidR="00D75A4B" w:rsidRDefault="00D75A4B" w:rsidP="00D75A4B">
      <w:pPr>
        <w:pStyle w:val="Heading3"/>
      </w:pPr>
      <w:r>
        <w:rPr>
          <w:rStyle w:val="Strong"/>
          <w:b w:val="0"/>
          <w:bCs w:val="0"/>
        </w:rPr>
        <w:t>Risk 5: Potential non-compliance by implementing partners</w:t>
      </w:r>
    </w:p>
    <w:p w14:paraId="23E97894" w14:textId="11463F56" w:rsidR="00D75A4B" w:rsidRDefault="00D75A4B" w:rsidP="001170C5">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Medium</w:t>
      </w:r>
      <w:r>
        <w:br/>
      </w:r>
      <w:r>
        <w:rPr>
          <w:rStyle w:val="Strong"/>
        </w:rPr>
        <w:t>Manifestation:</w:t>
      </w:r>
      <w:r>
        <w:br/>
        <w:t>No major fiduciary issues were recorded. Implementing partners complied with MPTF reporting requirements</w:t>
      </w:r>
      <w:r w:rsidR="002C3026">
        <w:t>.</w:t>
      </w:r>
      <w:r>
        <w:t xml:space="preserve"> </w:t>
      </w:r>
      <w:r w:rsidR="002C3026">
        <w:t>S</w:t>
      </w:r>
      <w:r>
        <w:t xml:space="preserve">ome minor delays </w:t>
      </w:r>
      <w:r w:rsidR="001170C5">
        <w:t xml:space="preserve">or budget deviation due </w:t>
      </w:r>
      <w:r>
        <w:t>to contextual constraints</w:t>
      </w:r>
      <w:r w:rsidR="002C3026">
        <w:t xml:space="preserve"> were noted and shared with the donors.</w:t>
      </w:r>
      <w:r>
        <w:br/>
      </w:r>
      <w:r>
        <w:rPr>
          <w:rStyle w:val="Strong"/>
        </w:rPr>
        <w:t>Mitigation:</w:t>
      </w:r>
    </w:p>
    <w:p w14:paraId="4EC390D8" w14:textId="77777777" w:rsidR="00D75A4B" w:rsidRDefault="00D75A4B" w:rsidP="001170C5">
      <w:pPr>
        <w:pStyle w:val="NormalWeb"/>
        <w:numPr>
          <w:ilvl w:val="0"/>
          <w:numId w:val="51"/>
        </w:numPr>
        <w:spacing w:before="0" w:beforeAutospacing="0" w:after="0" w:afterAutospacing="0"/>
      </w:pPr>
      <w:r>
        <w:t>Secretariat oversight and coordination with MPTF and UNCDF operations.</w:t>
      </w:r>
    </w:p>
    <w:p w14:paraId="13BE079A" w14:textId="77777777" w:rsidR="0057616B" w:rsidRDefault="00D75A4B" w:rsidP="001170C5">
      <w:pPr>
        <w:pStyle w:val="NormalWeb"/>
        <w:numPr>
          <w:ilvl w:val="0"/>
          <w:numId w:val="51"/>
        </w:numPr>
        <w:spacing w:before="0" w:beforeAutospacing="0" w:after="0" w:afterAutospacing="0"/>
      </w:pPr>
      <w:r>
        <w:t>Enforcement of reporting schedules and quality assurance reviews.</w:t>
      </w:r>
    </w:p>
    <w:p w14:paraId="555ED143" w14:textId="77777777" w:rsidR="0057616B" w:rsidRDefault="0057616B" w:rsidP="001170C5">
      <w:pPr>
        <w:pStyle w:val="NormalWeb"/>
        <w:numPr>
          <w:ilvl w:val="0"/>
          <w:numId w:val="51"/>
        </w:numPr>
        <w:spacing w:before="0" w:beforeAutospacing="0" w:after="0" w:afterAutospacing="0"/>
      </w:pPr>
      <w:r>
        <w:t>Constant communication</w:t>
      </w:r>
      <w:r>
        <w:t xml:space="preserve"> with donors to ensure full transparency.</w:t>
      </w:r>
    </w:p>
    <w:p w14:paraId="3F988875" w14:textId="4C257DFB" w:rsidR="00D75A4B" w:rsidRDefault="00D75A4B" w:rsidP="001170C5">
      <w:pPr>
        <w:pStyle w:val="NormalWeb"/>
        <w:numPr>
          <w:ilvl w:val="0"/>
          <w:numId w:val="51"/>
        </w:numPr>
        <w:spacing w:before="0" w:beforeAutospacing="0" w:after="0" w:afterAutospacing="0"/>
      </w:pPr>
      <w:r>
        <w:rPr>
          <w:rStyle w:val="Strong"/>
        </w:rPr>
        <w:t>Effectiveness:</w:t>
      </w:r>
      <w:r>
        <w:t xml:space="preserve"> High. All partner submissions were completed and reviewed; no reputational or fiduciary incidents were reported.</w:t>
      </w:r>
    </w:p>
    <w:p w14:paraId="39960026" w14:textId="77777777" w:rsidR="001170C5" w:rsidRDefault="001170C5" w:rsidP="001170C5">
      <w:pPr>
        <w:pStyle w:val="NormalWeb"/>
        <w:spacing w:before="0" w:beforeAutospacing="0" w:after="0" w:afterAutospacing="0"/>
        <w:ind w:left="720"/>
      </w:pPr>
    </w:p>
    <w:p w14:paraId="59B7D01C" w14:textId="77777777" w:rsidR="00D75A4B" w:rsidRDefault="00D75A4B" w:rsidP="00D75A4B">
      <w:pPr>
        <w:pStyle w:val="Heading3"/>
      </w:pPr>
      <w:r>
        <w:rPr>
          <w:rStyle w:val="Strong"/>
          <w:b w:val="0"/>
          <w:bCs w:val="0"/>
        </w:rPr>
        <w:t>Risk 6: Reputational risk due to underperformance or lack of visibility</w:t>
      </w:r>
    </w:p>
    <w:p w14:paraId="7BB7B9AE" w14:textId="08E47D0A" w:rsidR="00D75A4B" w:rsidRDefault="00D75A4B" w:rsidP="0057616B">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Medium</w:t>
      </w:r>
      <w:r>
        <w:br/>
      </w:r>
      <w:r>
        <w:rPr>
          <w:rStyle w:val="Strong"/>
        </w:rPr>
        <w:t>Manifestation:</w:t>
      </w:r>
      <w:r>
        <w:br/>
        <w:t xml:space="preserve">Periods of low external visibility occurred in the project cycle due to slow rollout of the digital </w:t>
      </w:r>
      <w:r>
        <w:lastRenderedPageBreak/>
        <w:t>architecture and limited staffing.</w:t>
      </w:r>
      <w:r>
        <w:br/>
      </w:r>
      <w:r>
        <w:rPr>
          <w:rStyle w:val="Strong"/>
        </w:rPr>
        <w:t>Mitigation:</w:t>
      </w:r>
    </w:p>
    <w:p w14:paraId="525B3D8C" w14:textId="47659439" w:rsidR="00D75A4B" w:rsidRDefault="00D75A4B" w:rsidP="0057616B">
      <w:pPr>
        <w:pStyle w:val="NormalWeb"/>
        <w:numPr>
          <w:ilvl w:val="0"/>
          <w:numId w:val="52"/>
        </w:numPr>
        <w:spacing w:before="0" w:beforeAutospacing="0" w:after="0" w:afterAutospacing="0"/>
      </w:pPr>
      <w:r>
        <w:t>Production of annual reports with stronger results narratives.</w:t>
      </w:r>
    </w:p>
    <w:p w14:paraId="11550F16" w14:textId="77777777" w:rsidR="00D75A4B" w:rsidRDefault="00D75A4B" w:rsidP="0057616B">
      <w:pPr>
        <w:pStyle w:val="NormalWeb"/>
        <w:numPr>
          <w:ilvl w:val="0"/>
          <w:numId w:val="52"/>
        </w:numPr>
        <w:spacing w:before="0" w:beforeAutospacing="0" w:after="0" w:afterAutospacing="0"/>
      </w:pPr>
      <w:r>
        <w:t>Increased participation in global forums and nutrition events.</w:t>
      </w:r>
    </w:p>
    <w:p w14:paraId="034493C7" w14:textId="77777777" w:rsidR="0057616B" w:rsidRDefault="00D75A4B" w:rsidP="0057616B">
      <w:pPr>
        <w:pStyle w:val="NormalWeb"/>
        <w:numPr>
          <w:ilvl w:val="0"/>
          <w:numId w:val="52"/>
        </w:numPr>
        <w:spacing w:before="0" w:beforeAutospacing="0" w:after="0" w:afterAutospacing="0"/>
      </w:pPr>
      <w:r>
        <w:t>Strengthened relationships with key donors and UN partners.</w:t>
      </w:r>
    </w:p>
    <w:p w14:paraId="6839DC0C" w14:textId="4F016320" w:rsidR="00D75A4B" w:rsidRDefault="00D75A4B" w:rsidP="0057616B">
      <w:pPr>
        <w:pStyle w:val="NormalWeb"/>
        <w:numPr>
          <w:ilvl w:val="0"/>
          <w:numId w:val="52"/>
        </w:numPr>
        <w:spacing w:before="0" w:beforeAutospacing="0" w:after="0" w:afterAutospacing="0"/>
      </w:pPr>
      <w:r>
        <w:rPr>
          <w:rStyle w:val="Strong"/>
        </w:rPr>
        <w:t>Effectiveness:</w:t>
      </w:r>
      <w:r>
        <w:t xml:space="preserve"> Moderate. Visibility improved significantly </w:t>
      </w:r>
      <w:r w:rsidR="0057616B">
        <w:t>but value proposition and additionality needed to be clarified</w:t>
      </w:r>
      <w:r>
        <w:t>.</w:t>
      </w:r>
    </w:p>
    <w:p w14:paraId="267673D8" w14:textId="21D4A15C" w:rsidR="00D82CCD" w:rsidRDefault="00D82CCD" w:rsidP="00D82CCD">
      <w:pPr>
        <w:pStyle w:val="NormalWeb"/>
        <w:spacing w:before="0" w:beforeAutospacing="0" w:after="0" w:afterAutospacing="0"/>
        <w:ind w:left="720"/>
      </w:pPr>
    </w:p>
    <w:p w14:paraId="7C1D60F4" w14:textId="753F037C" w:rsidR="00731DE1" w:rsidRDefault="00D75A4B" w:rsidP="00D75A4B">
      <w:pPr>
        <w:pStyle w:val="Heading3"/>
        <w:rPr>
          <w:rStyle w:val="Strong"/>
        </w:rPr>
      </w:pPr>
      <w:r w:rsidRPr="00731DE1">
        <w:rPr>
          <w:rStyle w:val="Strong"/>
        </w:rPr>
        <w:t>5. External Contextual Risks</w:t>
      </w:r>
    </w:p>
    <w:p w14:paraId="7694829D" w14:textId="77777777" w:rsidR="00D82CCD" w:rsidRPr="00D82CCD" w:rsidRDefault="00D82CCD" w:rsidP="00D82CCD"/>
    <w:p w14:paraId="526DA071" w14:textId="73617048" w:rsidR="00D75A4B" w:rsidRDefault="00D75A4B" w:rsidP="00D75A4B">
      <w:pPr>
        <w:pStyle w:val="Heading3"/>
      </w:pPr>
      <w:r>
        <w:rPr>
          <w:rStyle w:val="Strong"/>
          <w:b w:val="0"/>
          <w:bCs w:val="0"/>
        </w:rPr>
        <w:t xml:space="preserve">Risk 7: Macroeconomic, political, or climatic instability in </w:t>
      </w:r>
      <w:proofErr w:type="spellStart"/>
      <w:r>
        <w:rPr>
          <w:rStyle w:val="Strong"/>
          <w:b w:val="0"/>
          <w:bCs w:val="0"/>
        </w:rPr>
        <w:t>programme</w:t>
      </w:r>
      <w:proofErr w:type="spellEnd"/>
      <w:r>
        <w:rPr>
          <w:rStyle w:val="Strong"/>
          <w:b w:val="0"/>
          <w:bCs w:val="0"/>
        </w:rPr>
        <w:t xml:space="preserve"> countries</w:t>
      </w:r>
    </w:p>
    <w:p w14:paraId="52B0EA03" w14:textId="6AC6B363" w:rsidR="00D75A4B" w:rsidRDefault="00D75A4B" w:rsidP="0057616B">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High</w:t>
      </w:r>
      <w:r>
        <w:br/>
      </w:r>
      <w:r>
        <w:rPr>
          <w:rStyle w:val="Strong"/>
        </w:rPr>
        <w:t>Manifestation:</w:t>
      </w:r>
      <w:r>
        <w:br/>
      </w:r>
      <w:proofErr w:type="spellStart"/>
      <w:r>
        <w:t>Programme</w:t>
      </w:r>
      <w:proofErr w:type="spellEnd"/>
      <w:r>
        <w:t xml:space="preserve"> countries faced security concerns (</w:t>
      </w:r>
      <w:r w:rsidR="00D82CCD">
        <w:t xml:space="preserve">e.g. coup in </w:t>
      </w:r>
      <w:r>
        <w:t>Niger), climatic disruptions, and logistical challenges. These conditions affected partner operations and occasional timelines</w:t>
      </w:r>
      <w:r w:rsidR="00D82CCD">
        <w:t xml:space="preserve"> but were overall under control</w:t>
      </w:r>
      <w:r>
        <w:t>.</w:t>
      </w:r>
      <w:r>
        <w:br/>
      </w:r>
      <w:r>
        <w:rPr>
          <w:rStyle w:val="Strong"/>
        </w:rPr>
        <w:t>Mitigation:</w:t>
      </w:r>
    </w:p>
    <w:p w14:paraId="680E628F" w14:textId="77777777" w:rsidR="00D75A4B" w:rsidRDefault="00D75A4B" w:rsidP="0057616B">
      <w:pPr>
        <w:pStyle w:val="NormalWeb"/>
        <w:numPr>
          <w:ilvl w:val="0"/>
          <w:numId w:val="53"/>
        </w:numPr>
        <w:spacing w:before="0" w:beforeAutospacing="0" w:after="0" w:afterAutospacing="0"/>
      </w:pPr>
      <w:r>
        <w:t>Remote monitoring and adaptive management.</w:t>
      </w:r>
    </w:p>
    <w:p w14:paraId="0AE7F041" w14:textId="77777777" w:rsidR="00D75A4B" w:rsidRDefault="00D75A4B" w:rsidP="0057616B">
      <w:pPr>
        <w:pStyle w:val="NormalWeb"/>
        <w:numPr>
          <w:ilvl w:val="0"/>
          <w:numId w:val="53"/>
        </w:numPr>
        <w:spacing w:before="0" w:beforeAutospacing="0" w:after="0" w:afterAutospacing="0"/>
      </w:pPr>
      <w:r>
        <w:t>Flexibility in adjusting workplans and delivery schedules.</w:t>
      </w:r>
    </w:p>
    <w:p w14:paraId="0C420169" w14:textId="77777777" w:rsidR="0057616B" w:rsidRDefault="00D75A4B" w:rsidP="0057616B">
      <w:pPr>
        <w:pStyle w:val="NormalWeb"/>
        <w:numPr>
          <w:ilvl w:val="0"/>
          <w:numId w:val="53"/>
        </w:numPr>
        <w:spacing w:before="0" w:beforeAutospacing="0" w:after="0" w:afterAutospacing="0"/>
      </w:pPr>
      <w:r>
        <w:t>Coordination with local authorities and UN country teams.</w:t>
      </w:r>
    </w:p>
    <w:p w14:paraId="7EF89B17" w14:textId="261845FF" w:rsidR="00D75A4B" w:rsidRDefault="00D75A4B" w:rsidP="0057616B">
      <w:pPr>
        <w:pStyle w:val="NormalWeb"/>
        <w:numPr>
          <w:ilvl w:val="0"/>
          <w:numId w:val="53"/>
        </w:numPr>
        <w:spacing w:before="0" w:beforeAutospacing="0" w:after="0" w:afterAutospacing="0"/>
      </w:pPr>
      <w:r>
        <w:rPr>
          <w:rStyle w:val="Strong"/>
        </w:rPr>
        <w:t>Effectiveness:</w:t>
      </w:r>
      <w:r>
        <w:t xml:space="preserve"> </w:t>
      </w:r>
      <w:r w:rsidR="0057616B">
        <w:t>Good</w:t>
      </w:r>
      <w:r>
        <w:t xml:space="preserve">. Projects remained operational </w:t>
      </w:r>
      <w:r w:rsidR="0057616B">
        <w:t xml:space="preserve">and delivery was completed </w:t>
      </w:r>
      <w:r>
        <w:t>with adjusted timelines</w:t>
      </w:r>
      <w:r w:rsidR="0057616B">
        <w:t xml:space="preserve"> when needed.</w:t>
      </w:r>
    </w:p>
    <w:p w14:paraId="0C310BDD" w14:textId="77777777" w:rsidR="0057616B" w:rsidRDefault="0057616B" w:rsidP="0057616B">
      <w:pPr>
        <w:pStyle w:val="NormalWeb"/>
        <w:spacing w:before="0" w:beforeAutospacing="0" w:after="0" w:afterAutospacing="0"/>
        <w:ind w:left="720"/>
      </w:pPr>
    </w:p>
    <w:p w14:paraId="2262CB60" w14:textId="77777777" w:rsidR="00D75A4B" w:rsidRDefault="00D75A4B" w:rsidP="00D75A4B">
      <w:pPr>
        <w:pStyle w:val="Heading3"/>
      </w:pPr>
      <w:r>
        <w:rPr>
          <w:rStyle w:val="Strong"/>
          <w:b w:val="0"/>
          <w:bCs w:val="0"/>
        </w:rPr>
        <w:t>Risk 8: Pandemics and global disruptions</w:t>
      </w:r>
    </w:p>
    <w:p w14:paraId="4320EBD4" w14:textId="77777777" w:rsidR="00D75A4B" w:rsidRDefault="00D75A4B" w:rsidP="0057616B">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Not foreseen at inception</w:t>
      </w:r>
      <w:r>
        <w:br/>
      </w:r>
      <w:r>
        <w:rPr>
          <w:rStyle w:val="Strong"/>
        </w:rPr>
        <w:t>Manifestation:</w:t>
      </w:r>
      <w:r>
        <w:br/>
        <w:t>COVID-19 significantly slowed early operations, disrupted travel, delayed governance meetings, and affected implementing partners' field activities.</w:t>
      </w:r>
      <w:r>
        <w:br/>
      </w:r>
      <w:r>
        <w:rPr>
          <w:rStyle w:val="Strong"/>
        </w:rPr>
        <w:t>Mitigation:</w:t>
      </w:r>
    </w:p>
    <w:p w14:paraId="61040891" w14:textId="77777777" w:rsidR="00D75A4B" w:rsidRDefault="00D75A4B" w:rsidP="0057616B">
      <w:pPr>
        <w:pStyle w:val="NormalWeb"/>
        <w:numPr>
          <w:ilvl w:val="0"/>
          <w:numId w:val="54"/>
        </w:numPr>
        <w:spacing w:before="0" w:beforeAutospacing="0" w:after="0" w:afterAutospacing="0"/>
      </w:pPr>
      <w:r>
        <w:t>Virtual governance and partner coordination modalities.</w:t>
      </w:r>
    </w:p>
    <w:p w14:paraId="72C999BC" w14:textId="77777777" w:rsidR="00D75A4B" w:rsidRDefault="00D75A4B" w:rsidP="0057616B">
      <w:pPr>
        <w:pStyle w:val="NormalWeb"/>
        <w:numPr>
          <w:ilvl w:val="0"/>
          <w:numId w:val="54"/>
        </w:numPr>
        <w:spacing w:before="0" w:beforeAutospacing="0" w:after="0" w:afterAutospacing="0"/>
      </w:pPr>
      <w:r>
        <w:t>Adjustments to timelines and expectations.</w:t>
      </w:r>
    </w:p>
    <w:p w14:paraId="09971C34" w14:textId="77777777" w:rsidR="0057616B" w:rsidRDefault="00D75A4B" w:rsidP="0057616B">
      <w:pPr>
        <w:pStyle w:val="NormalWeb"/>
        <w:numPr>
          <w:ilvl w:val="0"/>
          <w:numId w:val="54"/>
        </w:numPr>
        <w:spacing w:before="0" w:beforeAutospacing="0" w:after="0" w:afterAutospacing="0"/>
      </w:pPr>
      <w:r>
        <w:t>Strengthened digital communication and reporting.</w:t>
      </w:r>
    </w:p>
    <w:p w14:paraId="3B1BB330" w14:textId="46C4DE75" w:rsidR="00D75A4B" w:rsidRDefault="00D75A4B" w:rsidP="0057616B">
      <w:pPr>
        <w:pStyle w:val="NormalWeb"/>
        <w:numPr>
          <w:ilvl w:val="0"/>
          <w:numId w:val="54"/>
        </w:numPr>
        <w:spacing w:before="0" w:beforeAutospacing="0" w:after="0" w:afterAutospacing="0"/>
      </w:pPr>
      <w:r>
        <w:rPr>
          <w:rStyle w:val="Strong"/>
        </w:rPr>
        <w:t>Effectiveness:</w:t>
      </w:r>
      <w:r>
        <w:t xml:space="preserve"> High. Despite delays, UNITLIFE maintained continuity of operations.</w:t>
      </w:r>
    </w:p>
    <w:p w14:paraId="30B615E0" w14:textId="348E514A" w:rsidR="00D75A4B" w:rsidRDefault="00D75A4B" w:rsidP="00D75A4B"/>
    <w:p w14:paraId="5471F942" w14:textId="77777777" w:rsidR="00D75A4B" w:rsidRPr="00731DE1" w:rsidRDefault="00D75A4B" w:rsidP="00731DE1">
      <w:pPr>
        <w:pStyle w:val="Heading3"/>
        <w:rPr>
          <w:rStyle w:val="Strong"/>
        </w:rPr>
      </w:pPr>
      <w:r w:rsidRPr="00731DE1">
        <w:rPr>
          <w:rStyle w:val="Strong"/>
        </w:rPr>
        <w:t>6. Risks Related to Strategic Evolution and Institutional Transition</w:t>
      </w:r>
    </w:p>
    <w:p w14:paraId="450B139F" w14:textId="77777777" w:rsidR="00731DE1" w:rsidRDefault="00731DE1" w:rsidP="00D75A4B">
      <w:pPr>
        <w:pStyle w:val="Heading3"/>
        <w:rPr>
          <w:rStyle w:val="Strong"/>
          <w:b w:val="0"/>
          <w:bCs w:val="0"/>
        </w:rPr>
      </w:pPr>
    </w:p>
    <w:p w14:paraId="33742C5F" w14:textId="52D15DDF" w:rsidR="00D75A4B" w:rsidRDefault="00D75A4B" w:rsidP="00D75A4B">
      <w:pPr>
        <w:pStyle w:val="Heading3"/>
      </w:pPr>
      <w:r>
        <w:rPr>
          <w:rStyle w:val="Strong"/>
          <w:b w:val="0"/>
          <w:bCs w:val="0"/>
        </w:rPr>
        <w:t>Risk 9: Misalignment between evolving UNITLIFE strategy and Secretariat capacity</w:t>
      </w:r>
    </w:p>
    <w:p w14:paraId="0AD718B9" w14:textId="01955A44" w:rsidR="00D75A4B" w:rsidRDefault="00D75A4B" w:rsidP="0057616B">
      <w:pPr>
        <w:pStyle w:val="NormalWeb"/>
        <w:spacing w:before="0" w:beforeAutospacing="0" w:after="0" w:afterAutospacing="0"/>
      </w:pPr>
      <w:proofErr w:type="spellStart"/>
      <w:r>
        <w:rPr>
          <w:rStyle w:val="Strong"/>
        </w:rPr>
        <w:t>ProDoc</w:t>
      </w:r>
      <w:proofErr w:type="spellEnd"/>
      <w:r>
        <w:rPr>
          <w:rStyle w:val="Strong"/>
        </w:rPr>
        <w:t xml:space="preserve"> rating:</w:t>
      </w:r>
      <w:r>
        <w:t xml:space="preserve"> Medium</w:t>
      </w:r>
      <w:r>
        <w:br/>
      </w:r>
      <w:r>
        <w:rPr>
          <w:rStyle w:val="Strong"/>
        </w:rPr>
        <w:t>Manifestation:</w:t>
      </w:r>
      <w:r>
        <w:br/>
        <w:t xml:space="preserve">UNITLIFE's strategic repositioning in </w:t>
      </w:r>
      <w:r w:rsidR="0057616B">
        <w:t>2025</w:t>
      </w:r>
      <w:r>
        <w:t xml:space="preserve"> required new competencies—including blended</w:t>
      </w:r>
      <w:r w:rsidR="0057616B">
        <w:t xml:space="preserve"> and innovative</w:t>
      </w:r>
      <w:r>
        <w:t xml:space="preserve"> finance, systems-level programming, and strengthened partnership engagement. Secretariat bandwidth was stretched during the transition.</w:t>
      </w:r>
      <w:r>
        <w:br/>
      </w:r>
      <w:r>
        <w:rPr>
          <w:rStyle w:val="Strong"/>
        </w:rPr>
        <w:t>Mitigation:</w:t>
      </w:r>
    </w:p>
    <w:p w14:paraId="78DC2D5F" w14:textId="6E76545D" w:rsidR="00D75A4B" w:rsidRDefault="0057616B" w:rsidP="0057616B">
      <w:pPr>
        <w:pStyle w:val="NormalWeb"/>
        <w:numPr>
          <w:ilvl w:val="0"/>
          <w:numId w:val="55"/>
        </w:numPr>
        <w:spacing w:before="0" w:beforeAutospacing="0" w:after="0" w:afterAutospacing="0"/>
      </w:pPr>
      <w:r>
        <w:t xml:space="preserve">Preparation </w:t>
      </w:r>
      <w:r>
        <w:t>of a new Project Document with revised team and scope for 2026-2029</w:t>
      </w:r>
    </w:p>
    <w:p w14:paraId="6F2C2B0D" w14:textId="77777777" w:rsidR="0057616B" w:rsidRDefault="00D75A4B" w:rsidP="0057616B">
      <w:pPr>
        <w:pStyle w:val="NormalWeb"/>
        <w:numPr>
          <w:ilvl w:val="0"/>
          <w:numId w:val="55"/>
        </w:numPr>
        <w:spacing w:before="0" w:beforeAutospacing="0" w:after="0" w:afterAutospacing="0"/>
      </w:pPr>
      <w:r>
        <w:lastRenderedPageBreak/>
        <w:t>Increased emphasis on partnership development and alignment with UNCDF’s Strategic Framework.</w:t>
      </w:r>
    </w:p>
    <w:p w14:paraId="1DF9C248" w14:textId="35C04BC4" w:rsidR="00D75A4B" w:rsidRDefault="00D75A4B" w:rsidP="0057616B">
      <w:pPr>
        <w:pStyle w:val="NormalWeb"/>
        <w:numPr>
          <w:ilvl w:val="0"/>
          <w:numId w:val="55"/>
        </w:numPr>
        <w:spacing w:before="0" w:beforeAutospacing="0" w:after="0" w:afterAutospacing="0"/>
      </w:pPr>
      <w:r>
        <w:rPr>
          <w:rStyle w:val="Strong"/>
        </w:rPr>
        <w:t>Effectiveness:</w:t>
      </w:r>
      <w:r>
        <w:t xml:space="preserve"> </w:t>
      </w:r>
      <w:r w:rsidR="0057616B">
        <w:t>High</w:t>
      </w:r>
      <w:r>
        <w:t>. Adaptation was managed successfully, positioning UNITLIFE for its next funding cycle.</w:t>
      </w:r>
    </w:p>
    <w:p w14:paraId="5C63649E" w14:textId="77777777" w:rsidR="0057616B" w:rsidRDefault="0057616B" w:rsidP="0057616B">
      <w:pPr>
        <w:pStyle w:val="NormalWeb"/>
        <w:spacing w:before="0" w:beforeAutospacing="0" w:after="0" w:afterAutospacing="0"/>
        <w:ind w:left="720"/>
      </w:pPr>
    </w:p>
    <w:p w14:paraId="119F1529" w14:textId="77777777" w:rsidR="00D75A4B" w:rsidRPr="00731DE1" w:rsidRDefault="00D75A4B" w:rsidP="00731DE1">
      <w:pPr>
        <w:pStyle w:val="Heading3"/>
        <w:rPr>
          <w:rStyle w:val="Strong"/>
        </w:rPr>
      </w:pPr>
      <w:r w:rsidRPr="00731DE1">
        <w:rPr>
          <w:rStyle w:val="Strong"/>
        </w:rPr>
        <w:t>Overall Assessment of Risk Management</w:t>
      </w:r>
    </w:p>
    <w:p w14:paraId="5857079A" w14:textId="6C17EA39" w:rsidR="4463663B" w:rsidRPr="0057616B" w:rsidRDefault="00D75A4B" w:rsidP="0057616B">
      <w:pPr>
        <w:pStyle w:val="NormalWeb"/>
        <w:rPr>
          <w:rStyle w:val="eop"/>
        </w:rPr>
      </w:pPr>
      <w:r>
        <w:t xml:space="preserve">Most risks anticipated in the </w:t>
      </w:r>
      <w:proofErr w:type="spellStart"/>
      <w:r>
        <w:t>ProDoc</w:t>
      </w:r>
      <w:proofErr w:type="spellEnd"/>
      <w:r>
        <w:t xml:space="preserve"> materialized to some extent, particularly those related to fundraising, staffing capacity, and external shocks. The Secretariat applied appropriate adaptive measures and maintained operational continuity throughout the project period. Importantly, no major fiduciary, compliance, or reputational incidents occurred. The Secretariat’s risk management practices enabled the project to achieve its intended outcomes and establish a solid foundation for UNITLIFE’s forthcoming programmatic cycle.</w:t>
      </w:r>
    </w:p>
    <w:p w14:paraId="2B7B985B" w14:textId="5781543E" w:rsidR="4463663B" w:rsidRPr="00731DE1" w:rsidRDefault="00C728B4" w:rsidP="00731DE1">
      <w:pPr>
        <w:pStyle w:val="Heading1"/>
        <w:numPr>
          <w:ilvl w:val="0"/>
          <w:numId w:val="26"/>
        </w:numPr>
        <w:divId w:val="474683706"/>
        <w:rPr>
          <w:rStyle w:val="normaltextrun"/>
          <w:rFonts w:ascii="Times New Roman" w:eastAsia="Times New Roman" w:hAnsi="Times New Roman" w:cs="Times New Roman"/>
          <w:sz w:val="32"/>
          <w:szCs w:val="32"/>
        </w:rPr>
      </w:pPr>
      <w:bookmarkStart w:id="5" w:name="_Toc192079715"/>
      <w:r w:rsidRPr="00EB4D4C">
        <w:rPr>
          <w:rFonts w:ascii="Times New Roman" w:eastAsia="Times New Roman" w:hAnsi="Times New Roman" w:cs="Times New Roman"/>
          <w:sz w:val="32"/>
          <w:szCs w:val="32"/>
        </w:rPr>
        <w:t>Lessons Learned</w:t>
      </w:r>
      <w:bookmarkEnd w:id="5"/>
    </w:p>
    <w:p w14:paraId="664E4353" w14:textId="77777777" w:rsidR="00D75A4B" w:rsidRDefault="00D75A4B" w:rsidP="00D75A4B">
      <w:pPr>
        <w:pStyle w:val="NormalWeb"/>
        <w:rPr>
          <w:rFonts w:eastAsia="Times New Roman"/>
        </w:rPr>
      </w:pPr>
      <w:r>
        <w:t>Implementation of the UNITLIFE Secretariat project generated several lessons of strategic and operational relevance for UNCDF, the Multi-Partner Trust Fund Office, and the broader ecosystem of innovative financing instruments housed within the UN system. These lessons reflect both the opportunities and challenges encountered during UNITLIFE’s foundational phase (2019–2025) and are intended to guide the next cycle of UNITLIFE programming and Secretariat operations.</w:t>
      </w:r>
    </w:p>
    <w:p w14:paraId="6379BC43" w14:textId="77777777" w:rsidR="00D75A4B" w:rsidRDefault="00D75A4B" w:rsidP="00D75A4B">
      <w:pPr>
        <w:pStyle w:val="Heading3"/>
      </w:pPr>
      <w:r>
        <w:rPr>
          <w:rStyle w:val="Strong"/>
          <w:b w:val="0"/>
          <w:bCs w:val="0"/>
        </w:rPr>
        <w:t>1. Establishing a new global financing instrument requires phased and realistic operationalization</w:t>
      </w:r>
    </w:p>
    <w:p w14:paraId="503852DF" w14:textId="33B97237" w:rsidR="00D75A4B" w:rsidRDefault="00D75A4B" w:rsidP="00D75A4B">
      <w:pPr>
        <w:pStyle w:val="NormalWeb"/>
      </w:pPr>
      <w:r>
        <w:t xml:space="preserve">The experience of UNITLIFE underscores the importance of a </w:t>
      </w:r>
      <w:r>
        <w:rPr>
          <w:rStyle w:val="Strong"/>
        </w:rPr>
        <w:t>phased approach</w:t>
      </w:r>
      <w:r>
        <w:t xml:space="preserve"> to institution-building. Establishing governance mechanisms, fiduciary procedures, digital tools, and partnerships is inherently complex and </w:t>
      </w:r>
      <w:proofErr w:type="gramStart"/>
      <w:r>
        <w:t>resource-intensive</w:t>
      </w:r>
      <w:proofErr w:type="gramEnd"/>
      <w:r>
        <w:t>. Early expectations about timelines for capitalization and digital innovation proved optimistic. A more incremental sequencing of activities</w:t>
      </w:r>
      <w:r w:rsidR="0057616B">
        <w:t xml:space="preserve"> - </w:t>
      </w:r>
      <w:r>
        <w:t>paired with dedicated transitional staffing</w:t>
      </w:r>
      <w:r w:rsidR="0057616B">
        <w:t xml:space="preserve">- </w:t>
      </w:r>
      <w:r>
        <w:t>may have facilitated a smoother operational rollout.</w:t>
      </w:r>
    </w:p>
    <w:p w14:paraId="1BD00A82" w14:textId="77777777" w:rsidR="00D75A4B" w:rsidRDefault="00D75A4B" w:rsidP="00D75A4B">
      <w:pPr>
        <w:pStyle w:val="Heading3"/>
      </w:pPr>
      <w:r>
        <w:rPr>
          <w:rStyle w:val="Strong"/>
          <w:b w:val="0"/>
          <w:bCs w:val="0"/>
        </w:rPr>
        <w:t>2. Stable and adequately resourced Secretariat capacity is essential for continuity and donor confidence</w:t>
      </w:r>
    </w:p>
    <w:p w14:paraId="172FDA5F" w14:textId="77777777" w:rsidR="00D75A4B" w:rsidRDefault="00D75A4B" w:rsidP="00D75A4B">
      <w:pPr>
        <w:pStyle w:val="NormalWeb"/>
      </w:pPr>
      <w:r>
        <w:t xml:space="preserve">Periods of staffing instability affected momentum in partnership engagement, donor reporting, and operational planning. A key lesson is the importance of designing a Secretariat staffing model that provides </w:t>
      </w:r>
      <w:r w:rsidRPr="0057616B">
        <w:rPr>
          <w:rStyle w:val="Strong"/>
          <w:b w:val="0"/>
          <w:bCs w:val="0"/>
        </w:rPr>
        <w:t>predictable capacity</w:t>
      </w:r>
      <w:r w:rsidRPr="0057616B">
        <w:rPr>
          <w:b/>
          <w:bCs/>
        </w:rPr>
        <w:t>,</w:t>
      </w:r>
      <w:r>
        <w:t xml:space="preserve"> minimizes turnover, and includes surge or interim mechanisms to maintain continuity. For global trust funds, Secretariat strength is closely linked to donor confidence and fundraising outcomes.</w:t>
      </w:r>
    </w:p>
    <w:p w14:paraId="21D92A62" w14:textId="77777777" w:rsidR="00D75A4B" w:rsidRDefault="00D75A4B" w:rsidP="00D75A4B">
      <w:pPr>
        <w:pStyle w:val="Heading3"/>
      </w:pPr>
      <w:r>
        <w:rPr>
          <w:rStyle w:val="Strong"/>
          <w:b w:val="0"/>
          <w:bCs w:val="0"/>
        </w:rPr>
        <w:t>3. Diversified and adaptive resource mobilization strategies are critical</w:t>
      </w:r>
    </w:p>
    <w:p w14:paraId="233BAA19" w14:textId="77777777" w:rsidR="00D75A4B" w:rsidRDefault="00D75A4B" w:rsidP="00D75A4B">
      <w:pPr>
        <w:pStyle w:val="NormalWeb"/>
      </w:pPr>
      <w:r>
        <w:t xml:space="preserve">Early reliance on a narrow set of funding expectations created vulnerabilities. Over time, the Secretariat adopted a more diversified engagement strategy, expanding outreach to bilateral donors, philanthropic organizations, and private sector partners. This approach proved more </w:t>
      </w:r>
      <w:r>
        <w:lastRenderedPageBreak/>
        <w:t>resilient and better aligned with evolving donor landscapes. Future cycles should continue strengthening UNITLIFE’s financing model, including the development of innovative funding instruments and blended finance modalities.</w:t>
      </w:r>
    </w:p>
    <w:p w14:paraId="42F95946" w14:textId="77777777" w:rsidR="00D75A4B" w:rsidRDefault="00D75A4B" w:rsidP="00D75A4B">
      <w:pPr>
        <w:pStyle w:val="Heading3"/>
      </w:pPr>
      <w:r>
        <w:rPr>
          <w:rStyle w:val="Strong"/>
          <w:b w:val="0"/>
          <w:bCs w:val="0"/>
        </w:rPr>
        <w:t>4. Clear governance processes and technical appraisal frameworks enable transparency and credibility</w:t>
      </w:r>
    </w:p>
    <w:p w14:paraId="72E2A440" w14:textId="2470D7C8" w:rsidR="00D75A4B" w:rsidRDefault="00D75A4B" w:rsidP="00D75A4B">
      <w:pPr>
        <w:pStyle w:val="NormalWeb"/>
      </w:pPr>
      <w:r>
        <w:t xml:space="preserve">The establishment of the </w:t>
      </w:r>
      <w:r w:rsidR="0057616B">
        <w:t>Steering</w:t>
      </w:r>
      <w:r>
        <w:t xml:space="preserve"> Committee, Advisory Council, and clear appraisal procedures contributed significantly to UNITLIFE’s credibility and fiduciary soundness. Transparent documentation and regular governance dialogues helped ensure alignment between partners and reinforced trust in the Secretariat’s operational capabilities. These mechanisms should remain central to UNITLIFE’s governance model going forward.</w:t>
      </w:r>
    </w:p>
    <w:p w14:paraId="7BC41293" w14:textId="77777777" w:rsidR="00D75A4B" w:rsidRDefault="00D75A4B" w:rsidP="00D75A4B">
      <w:pPr>
        <w:pStyle w:val="Heading3"/>
      </w:pPr>
      <w:r>
        <w:rPr>
          <w:rStyle w:val="Strong"/>
          <w:b w:val="0"/>
          <w:bCs w:val="0"/>
        </w:rPr>
        <w:t>5. Strong linkages between nutrition, financial inclusion, and climate resilience enhance impact</w:t>
      </w:r>
    </w:p>
    <w:p w14:paraId="2C097DD3" w14:textId="35C6B59C" w:rsidR="00D75A4B" w:rsidRPr="0057616B" w:rsidRDefault="00D75A4B" w:rsidP="00D75A4B">
      <w:pPr>
        <w:pStyle w:val="NormalWeb"/>
      </w:pPr>
      <w:r w:rsidRPr="0057616B">
        <w:t xml:space="preserve">UNITLIFE-funded projects demonstrated that addressing chronic malnutrition through isolated interventions is insufficient. Integrating nutrition with </w:t>
      </w:r>
      <w:r w:rsidRPr="0057616B">
        <w:rPr>
          <w:rStyle w:val="Strong"/>
          <w:b w:val="0"/>
          <w:bCs w:val="0"/>
        </w:rPr>
        <w:t>women’s economic empowermen</w:t>
      </w:r>
      <w:r w:rsidR="0057616B">
        <w:rPr>
          <w:rStyle w:val="Strong"/>
          <w:b w:val="0"/>
          <w:bCs w:val="0"/>
        </w:rPr>
        <w:t xml:space="preserve">t, health capabilities and high impact interventions, </w:t>
      </w:r>
      <w:r w:rsidRPr="0057616B">
        <w:rPr>
          <w:rStyle w:val="Strong"/>
          <w:b w:val="0"/>
          <w:bCs w:val="0"/>
        </w:rPr>
        <w:t xml:space="preserve">climate-resilient </w:t>
      </w:r>
      <w:r w:rsidR="0057616B">
        <w:rPr>
          <w:rStyle w:val="Strong"/>
          <w:b w:val="0"/>
          <w:bCs w:val="0"/>
        </w:rPr>
        <w:t>systems</w:t>
      </w:r>
      <w:r w:rsidRPr="0057616B">
        <w:rPr>
          <w:b/>
          <w:bCs/>
        </w:rPr>
        <w:t xml:space="preserve">, </w:t>
      </w:r>
      <w:r w:rsidRPr="0057616B">
        <w:t>and</w:t>
      </w:r>
      <w:r w:rsidRPr="0057616B">
        <w:rPr>
          <w:b/>
          <w:bCs/>
        </w:rPr>
        <w:t xml:space="preserve"> </w:t>
      </w:r>
      <w:r w:rsidRPr="0057616B">
        <w:rPr>
          <w:rStyle w:val="Strong"/>
          <w:b w:val="0"/>
          <w:bCs w:val="0"/>
        </w:rPr>
        <w:t>community-level financial inclusion models</w:t>
      </w:r>
      <w:r w:rsidRPr="0057616B">
        <w:t xml:space="preserve"> created stronger and more sustainable outcomes. This multisectoral approach aligns closely with UNCDF’s mandate and provides a clear pathway for scaling UNITLIFE’s impact</w:t>
      </w:r>
      <w:r w:rsidR="0057616B">
        <w:t xml:space="preserve"> through transformational investments, in line with countries’ strategies.</w:t>
      </w:r>
    </w:p>
    <w:p w14:paraId="032CDB34" w14:textId="77777777" w:rsidR="00D75A4B" w:rsidRDefault="00D75A4B" w:rsidP="00D75A4B">
      <w:pPr>
        <w:pStyle w:val="Heading3"/>
      </w:pPr>
      <w:r>
        <w:rPr>
          <w:rStyle w:val="Strong"/>
          <w:b w:val="0"/>
          <w:bCs w:val="0"/>
        </w:rPr>
        <w:t>6. Strategic flexibility is necessary in dynamic global and national contexts</w:t>
      </w:r>
    </w:p>
    <w:p w14:paraId="6AE1FB4E" w14:textId="77777777" w:rsidR="00D75A4B" w:rsidRDefault="00D75A4B" w:rsidP="00D75A4B">
      <w:pPr>
        <w:pStyle w:val="NormalWeb"/>
      </w:pPr>
      <w:r>
        <w:t xml:space="preserve">The pandemic, geopolitical shifts, and country-level shocks demonstrated the need for </w:t>
      </w:r>
      <w:r w:rsidRPr="0057616B">
        <w:rPr>
          <w:rStyle w:val="Strong"/>
          <w:b w:val="0"/>
          <w:bCs w:val="0"/>
        </w:rPr>
        <w:t>flexible planning and adaptive management</w:t>
      </w:r>
      <w:r w:rsidRPr="0057616B">
        <w:rPr>
          <w:b/>
          <w:bCs/>
        </w:rPr>
        <w:t>.</w:t>
      </w:r>
      <w:r>
        <w:t xml:space="preserve"> UNITLIFE’s ability to recalibrate priorities, adjust timelines, and integrate virtual coordination modalities was essential to maintaining progress. Future programming should continue to incorporate flexible workplans and contingency strategies.</w:t>
      </w:r>
    </w:p>
    <w:p w14:paraId="7A72DFFD" w14:textId="77777777" w:rsidR="00D75A4B" w:rsidRDefault="00D75A4B" w:rsidP="00D75A4B">
      <w:pPr>
        <w:pStyle w:val="Heading3"/>
      </w:pPr>
      <w:r>
        <w:rPr>
          <w:rStyle w:val="Strong"/>
          <w:b w:val="0"/>
          <w:bCs w:val="0"/>
        </w:rPr>
        <w:t>7. Early investment in communication and visibility strengthens positioning and partnership engagement</w:t>
      </w:r>
    </w:p>
    <w:p w14:paraId="2407D909" w14:textId="3DA6C835" w:rsidR="00D75A4B" w:rsidRDefault="00D75A4B" w:rsidP="00D75A4B">
      <w:pPr>
        <w:pStyle w:val="NormalWeb"/>
      </w:pPr>
      <w:r>
        <w:t xml:space="preserve">Visibility proved essential to building momentum around UNITLIFE’s value proposition. The production of annual reports, digital presence, and participation in global nutrition events enhanced the Fund’s profile and supported donor engagement. Lessons from the first cycle suggest that communication should be treated as a </w:t>
      </w:r>
      <w:r w:rsidRPr="0057616B">
        <w:rPr>
          <w:rStyle w:val="Strong"/>
          <w:b w:val="0"/>
          <w:bCs w:val="0"/>
        </w:rPr>
        <w:t>core strategic function</w:t>
      </w:r>
      <w:r>
        <w:t>, not a peripheral activity</w:t>
      </w:r>
      <w:r w:rsidR="0057616B">
        <w:t xml:space="preserve"> and act in synergy with UNCDF efforts on this front.</w:t>
      </w:r>
    </w:p>
    <w:p w14:paraId="5C1DE5F1" w14:textId="77777777" w:rsidR="00D75A4B" w:rsidRDefault="00D75A4B" w:rsidP="00D75A4B">
      <w:pPr>
        <w:pStyle w:val="Heading3"/>
      </w:pPr>
      <w:r>
        <w:rPr>
          <w:rStyle w:val="Strong"/>
          <w:b w:val="0"/>
          <w:bCs w:val="0"/>
        </w:rPr>
        <w:t>8. Alignment with national priorities and the UN cooperation system improves relevance and coordination</w:t>
      </w:r>
    </w:p>
    <w:p w14:paraId="020B26D2" w14:textId="77777777" w:rsidR="00D75A4B" w:rsidRDefault="00D75A4B" w:rsidP="00D75A4B">
      <w:pPr>
        <w:pStyle w:val="NormalWeb"/>
      </w:pPr>
      <w:r>
        <w:t xml:space="preserve">UNITLIFE-funded interventions benefited from strong alignment with country-led nutrition strategies and UN frameworks in Niger, Senegal, and the DRC. This alignment facilitated coordination with partners and ensured that UNITLIFE funding complemented existing efforts. </w:t>
      </w:r>
      <w:r>
        <w:lastRenderedPageBreak/>
        <w:t>Continued attention to coherence with country development plans and UN Sustainable Development Cooperation Frameworks (UNSDCFs) will enhance relevance and impact.</w:t>
      </w:r>
    </w:p>
    <w:p w14:paraId="00DCF8B8" w14:textId="77777777" w:rsidR="00D75A4B" w:rsidRDefault="00D75A4B" w:rsidP="00D75A4B">
      <w:pPr>
        <w:pStyle w:val="Heading3"/>
      </w:pPr>
      <w:r>
        <w:rPr>
          <w:rStyle w:val="Strong"/>
          <w:b w:val="0"/>
          <w:bCs w:val="0"/>
        </w:rPr>
        <w:t>9. Innovative financing mechanisms require strong technical foundations and sustained development</w:t>
      </w:r>
    </w:p>
    <w:p w14:paraId="383E67B0" w14:textId="77777777" w:rsidR="00D75A4B" w:rsidRDefault="00D75A4B" w:rsidP="00D75A4B">
      <w:pPr>
        <w:pStyle w:val="NormalWeb"/>
      </w:pPr>
      <w:r>
        <w:t xml:space="preserve">Concepts such as micro-donation platforms and digital giving tools showed promise but required more time and technical resources than initially planned. A key lesson is that innovative financing requires </w:t>
      </w:r>
      <w:r w:rsidRPr="0073407F">
        <w:rPr>
          <w:rStyle w:val="Strong"/>
          <w:b w:val="0"/>
          <w:bCs w:val="0"/>
        </w:rPr>
        <w:t>longer incubation periods</w:t>
      </w:r>
      <w:r>
        <w:t xml:space="preserve">, cross-disciplinary expertise, and iterative design cycles. Future development of these tools should be integrated into a structured innovation roadmap with </w:t>
      </w:r>
      <w:r w:rsidRPr="0073407F">
        <w:rPr>
          <w:b/>
          <w:bCs/>
        </w:rPr>
        <w:t>clear resourcing</w:t>
      </w:r>
      <w:r>
        <w:t>.</w:t>
      </w:r>
    </w:p>
    <w:p w14:paraId="4D1CA84B" w14:textId="77777777" w:rsidR="00D75A4B" w:rsidRDefault="00D75A4B" w:rsidP="00D75A4B">
      <w:pPr>
        <w:pStyle w:val="Heading3"/>
      </w:pPr>
      <w:r>
        <w:rPr>
          <w:rStyle w:val="Strong"/>
          <w:b w:val="0"/>
          <w:bCs w:val="0"/>
        </w:rPr>
        <w:t>10. A clear strategic vision guides partnerships, resource mobilization, and operational focus</w:t>
      </w:r>
    </w:p>
    <w:p w14:paraId="6D5AA2C4" w14:textId="3180DB51" w:rsidR="4463663B" w:rsidRDefault="00D75A4B" w:rsidP="0073407F">
      <w:pPr>
        <w:pStyle w:val="NormalWeb"/>
      </w:pPr>
      <w:r>
        <w:t xml:space="preserve">The strategic repositioning undertaken in </w:t>
      </w:r>
      <w:r w:rsidR="0073407F">
        <w:t>2024-2025</w:t>
      </w:r>
      <w:r>
        <w:t xml:space="preserve"> helped clarify UNITLIFE’s long-term direction and opened new avenues for financing and partnerships. A core lesson is that periodic strategic reflection is necessary for young financing mechanisms to stay relevant, sharpen their value proposition, and align with global development priorities.</w:t>
      </w:r>
    </w:p>
    <w:p w14:paraId="2A26577E" w14:textId="77777777" w:rsidR="00D82CCD" w:rsidRPr="0073407F" w:rsidRDefault="00D82CCD" w:rsidP="0073407F">
      <w:pPr>
        <w:pStyle w:val="NormalWeb"/>
      </w:pPr>
    </w:p>
    <w:p w14:paraId="26126282" w14:textId="4803E654" w:rsidR="4463663B" w:rsidRPr="00731DE1" w:rsidRDefault="00C728B4" w:rsidP="00731DE1">
      <w:pPr>
        <w:pStyle w:val="Heading1"/>
        <w:numPr>
          <w:ilvl w:val="0"/>
          <w:numId w:val="26"/>
        </w:numPr>
        <w:divId w:val="894127651"/>
        <w:rPr>
          <w:rStyle w:val="normaltextrun"/>
          <w:rFonts w:ascii="Times New Roman" w:eastAsia="Times New Roman" w:hAnsi="Times New Roman" w:cs="Times New Roman"/>
          <w:sz w:val="32"/>
          <w:szCs w:val="32"/>
        </w:rPr>
      </w:pPr>
      <w:bookmarkStart w:id="6" w:name="_Toc192079716"/>
      <w:r w:rsidRPr="00EB4D4C">
        <w:rPr>
          <w:rFonts w:ascii="Times New Roman" w:eastAsia="Times New Roman" w:hAnsi="Times New Roman" w:cs="Times New Roman"/>
          <w:sz w:val="32"/>
          <w:szCs w:val="32"/>
        </w:rPr>
        <w:t>Conclusions and Way Forward</w:t>
      </w:r>
      <w:bookmarkEnd w:id="6"/>
    </w:p>
    <w:p w14:paraId="0A784CAD" w14:textId="7E060C35" w:rsidR="00D75A4B" w:rsidRPr="00D75A4B" w:rsidRDefault="00D75A4B" w:rsidP="00D75A4B">
      <w:pPr>
        <w:spacing w:before="100" w:beforeAutospacing="1" w:after="100" w:afterAutospacing="1"/>
        <w:divId w:val="894127651"/>
        <w:rPr>
          <w:rFonts w:eastAsia="Times New Roman"/>
          <w:lang w:val="en-FR" w:eastAsia="en-GB"/>
        </w:rPr>
      </w:pPr>
      <w:r w:rsidRPr="00D75A4B">
        <w:rPr>
          <w:rFonts w:eastAsia="Times New Roman"/>
          <w:lang w:val="en-FR" w:eastAsia="en-GB"/>
        </w:rPr>
        <w:t xml:space="preserve">The UNITLIFE Secretariat project (00116477) successfully fulfilled its mandate to establish the governance, operational, fiduciary, and partnership foundations necessary for UNITLIFE to function as a global innovative financing instrument for nutrition. Over the period 2019–2025, the Secretariat oversaw the creation of UNITLIFE’s governing bodies, staffed the operational team, developed core systems and procedures, and delivered the Fund’s inaugural programmatic funding cycle. These achievements resulted in </w:t>
      </w:r>
      <w:r w:rsidR="0073407F">
        <w:rPr>
          <w:rFonts w:eastAsia="Times New Roman"/>
          <w:lang w:val="en-FR" w:eastAsia="en-GB"/>
        </w:rPr>
        <w:t>three</w:t>
      </w:r>
      <w:r w:rsidRPr="00D75A4B">
        <w:rPr>
          <w:rFonts w:eastAsia="Times New Roman"/>
          <w:lang w:val="en-FR" w:eastAsia="en-GB"/>
        </w:rPr>
        <w:t xml:space="preserve"> field-level interventions being implemented across Niger, Senegal, and the Democratic Republic of Congo, benefiting women, children, and climate-vulnerable communities.</w:t>
      </w:r>
    </w:p>
    <w:p w14:paraId="442244DE" w14:textId="719947E0" w:rsidR="00D75A4B" w:rsidRPr="00D75A4B" w:rsidRDefault="00D75A4B" w:rsidP="00D75A4B">
      <w:pPr>
        <w:spacing w:before="100" w:beforeAutospacing="1" w:after="100" w:afterAutospacing="1"/>
        <w:divId w:val="894127651"/>
        <w:rPr>
          <w:rFonts w:eastAsia="Times New Roman"/>
          <w:lang w:val="en-FR" w:eastAsia="en-GB"/>
        </w:rPr>
      </w:pPr>
      <w:r w:rsidRPr="00D75A4B">
        <w:rPr>
          <w:rFonts w:eastAsia="Times New Roman"/>
          <w:lang w:val="en-FR" w:eastAsia="en-GB"/>
        </w:rPr>
        <w:t xml:space="preserve">From a financial standpoint, the Secretariat project utilized the full resources transferred by the MPTF Office for its direct-cost budget. </w:t>
      </w:r>
      <w:r w:rsidR="0073407F" w:rsidRPr="00D75A4B">
        <w:rPr>
          <w:rFonts w:eastAsia="Times New Roman"/>
          <w:lang w:val="en-FR" w:eastAsia="en-GB"/>
        </w:rPr>
        <w:t>T</w:t>
      </w:r>
      <w:r w:rsidRPr="00D75A4B">
        <w:rPr>
          <w:rFonts w:eastAsia="Times New Roman"/>
          <w:lang w:val="en-FR" w:eastAsia="en-GB"/>
        </w:rPr>
        <w:t xml:space="preserve">he Secretariat received a total of </w:t>
      </w:r>
      <w:r w:rsidRPr="00D75A4B">
        <w:rPr>
          <w:rFonts w:eastAsia="Times New Roman"/>
          <w:b/>
          <w:bCs/>
          <w:lang w:val="en-FR" w:eastAsia="en-GB"/>
        </w:rPr>
        <w:t>USD 3,180,612</w:t>
      </w:r>
      <w:r w:rsidRPr="00D75A4B">
        <w:rPr>
          <w:rFonts w:eastAsia="Times New Roman"/>
          <w:lang w:val="en-FR" w:eastAsia="en-GB"/>
        </w:rPr>
        <w:t xml:space="preserve"> and delivered </w:t>
      </w:r>
      <w:r w:rsidRPr="00D75A4B">
        <w:rPr>
          <w:rFonts w:eastAsia="Times New Roman"/>
          <w:b/>
          <w:bCs/>
          <w:lang w:val="en-FR" w:eastAsia="en-GB"/>
        </w:rPr>
        <w:t>99.30 percent</w:t>
      </w:r>
      <w:r w:rsidRPr="00D75A4B">
        <w:rPr>
          <w:rFonts w:eastAsia="Times New Roman"/>
          <w:lang w:val="en-FR" w:eastAsia="en-GB"/>
        </w:rPr>
        <w:t xml:space="preserve"> of these resources, reflecting strong fiduciary performance and efficient use of funds during the project implementation period. This high delivery rate ensured that all Secretariat functions</w:t>
      </w:r>
      <w:r w:rsidR="0073407F">
        <w:rPr>
          <w:rFonts w:eastAsia="Times New Roman"/>
          <w:lang w:val="en-FR" w:eastAsia="en-GB"/>
        </w:rPr>
        <w:t xml:space="preserve"> - </w:t>
      </w:r>
      <w:r w:rsidRPr="00D75A4B">
        <w:rPr>
          <w:rFonts w:eastAsia="Times New Roman"/>
          <w:lang w:val="en-FR" w:eastAsia="en-GB"/>
        </w:rPr>
        <w:t>governance coordination, oversight of programme implementation, monitoring, reporting, and partnership engagement</w:t>
      </w:r>
      <w:r w:rsidR="0073407F">
        <w:rPr>
          <w:rFonts w:eastAsia="Times New Roman"/>
          <w:lang w:val="en-FR" w:eastAsia="en-GB"/>
        </w:rPr>
        <w:t xml:space="preserve"> - </w:t>
      </w:r>
      <w:r w:rsidRPr="00D75A4B">
        <w:rPr>
          <w:rFonts w:eastAsia="Times New Roman"/>
          <w:lang w:val="en-FR" w:eastAsia="en-GB"/>
        </w:rPr>
        <w:t>were adequately supported throughout the operational cycle.</w:t>
      </w:r>
    </w:p>
    <w:p w14:paraId="71B8D612" w14:textId="44355EA9" w:rsidR="00D75A4B" w:rsidRPr="00D75A4B" w:rsidRDefault="00D75A4B" w:rsidP="00D75A4B">
      <w:pPr>
        <w:spacing w:before="100" w:beforeAutospacing="1" w:after="100" w:afterAutospacing="1"/>
        <w:divId w:val="894127651"/>
        <w:rPr>
          <w:rFonts w:eastAsia="Times New Roman"/>
          <w:lang w:val="en-FR" w:eastAsia="en-GB"/>
        </w:rPr>
      </w:pPr>
      <w:r w:rsidRPr="00D75A4B">
        <w:rPr>
          <w:rFonts w:eastAsia="Times New Roman"/>
          <w:b/>
          <w:bCs/>
          <w:lang w:val="en-FR" w:eastAsia="en-GB"/>
        </w:rPr>
        <w:t>The project’s closure marks the end of UNITLIFE’s foundational phase</w:t>
      </w:r>
      <w:r w:rsidRPr="00D75A4B">
        <w:rPr>
          <w:rFonts w:eastAsia="Times New Roman"/>
          <w:lang w:val="en-FR" w:eastAsia="en-GB"/>
        </w:rPr>
        <w:t>. The experience accumulated during this period highlighted the importance of robust Secretariat capacity, diversified fundraising approaches, strong governance processes, and ongoing strategic adaptation. These lessons informed the design of the next funding cycle and the revised operational scope for UNITLIF</w:t>
      </w:r>
      <w:r w:rsidR="0073407F">
        <w:rPr>
          <w:rFonts w:eastAsia="Times New Roman"/>
          <w:lang w:val="en-FR" w:eastAsia="en-GB"/>
        </w:rPr>
        <w:t>E</w:t>
      </w:r>
      <w:r w:rsidRPr="00D75A4B">
        <w:rPr>
          <w:rFonts w:eastAsia="Times New Roman"/>
          <w:lang w:val="en-FR" w:eastAsia="en-GB"/>
        </w:rPr>
        <w:t xml:space="preserve">. The next phase will build on the achievements of the Secretariat project while placing greater emphasis on scaling innovative financing mechanisms, </w:t>
      </w:r>
      <w:r w:rsidRPr="00D75A4B">
        <w:rPr>
          <w:rFonts w:eastAsia="Times New Roman"/>
          <w:lang w:val="en-FR" w:eastAsia="en-GB"/>
        </w:rPr>
        <w:lastRenderedPageBreak/>
        <w:t>expanding country engagement, strengthening partnerships with both public and private actors, and operationalizing enhanced financing windows to support nutrition-sensitive and nutrition-specific interventions.</w:t>
      </w:r>
    </w:p>
    <w:p w14:paraId="5AF974DC" w14:textId="77777777" w:rsidR="00D75A4B" w:rsidRPr="00D75A4B" w:rsidRDefault="00D75A4B" w:rsidP="00D75A4B">
      <w:pPr>
        <w:spacing w:before="100" w:beforeAutospacing="1" w:after="100" w:afterAutospacing="1"/>
        <w:divId w:val="894127651"/>
        <w:rPr>
          <w:rFonts w:eastAsia="Times New Roman"/>
          <w:lang w:val="en-FR" w:eastAsia="en-GB"/>
        </w:rPr>
      </w:pPr>
      <w:r w:rsidRPr="00D75A4B">
        <w:rPr>
          <w:rFonts w:eastAsia="Times New Roman"/>
          <w:lang w:val="en-FR" w:eastAsia="en-GB"/>
        </w:rPr>
        <w:t>Looking ahead, the way forward for UNITLIFE includes:</w:t>
      </w:r>
    </w:p>
    <w:p w14:paraId="2F0513BC" w14:textId="77777777" w:rsidR="00D75A4B" w:rsidRPr="00D75A4B" w:rsidRDefault="00D75A4B" w:rsidP="00D75A4B">
      <w:pPr>
        <w:numPr>
          <w:ilvl w:val="0"/>
          <w:numId w:val="56"/>
        </w:numPr>
        <w:spacing w:before="100" w:beforeAutospacing="1" w:after="100" w:afterAutospacing="1"/>
        <w:divId w:val="894127651"/>
        <w:rPr>
          <w:rFonts w:eastAsia="Times New Roman"/>
          <w:lang w:val="en-FR" w:eastAsia="en-GB"/>
        </w:rPr>
      </w:pPr>
      <w:r w:rsidRPr="00D75A4B">
        <w:rPr>
          <w:rFonts w:eastAsia="Times New Roman"/>
          <w:b/>
          <w:bCs/>
          <w:lang w:val="en-FR" w:eastAsia="en-GB"/>
        </w:rPr>
        <w:t>Strengthened Secretariat capacity</w:t>
      </w:r>
      <w:r w:rsidRPr="00D75A4B">
        <w:rPr>
          <w:rFonts w:eastAsia="Times New Roman"/>
          <w:lang w:val="en-FR" w:eastAsia="en-GB"/>
        </w:rPr>
        <w:t xml:space="preserve"> with a staffing model aligned to expanded strategic ambitions and the need for sustained donor engagement.</w:t>
      </w:r>
    </w:p>
    <w:p w14:paraId="70D2D7C7" w14:textId="77777777" w:rsidR="00D75A4B" w:rsidRPr="00D75A4B" w:rsidRDefault="00D75A4B" w:rsidP="00D75A4B">
      <w:pPr>
        <w:numPr>
          <w:ilvl w:val="0"/>
          <w:numId w:val="56"/>
        </w:numPr>
        <w:spacing w:before="100" w:beforeAutospacing="1" w:after="100" w:afterAutospacing="1"/>
        <w:divId w:val="894127651"/>
        <w:rPr>
          <w:rFonts w:eastAsia="Times New Roman"/>
          <w:lang w:val="en-FR" w:eastAsia="en-GB"/>
        </w:rPr>
      </w:pPr>
      <w:r w:rsidRPr="00D75A4B">
        <w:rPr>
          <w:rFonts w:eastAsia="Times New Roman"/>
          <w:b/>
          <w:bCs/>
          <w:lang w:val="en-FR" w:eastAsia="en-GB"/>
        </w:rPr>
        <w:t>Continued enhancement of governance systems</w:t>
      </w:r>
      <w:r w:rsidRPr="00D75A4B">
        <w:rPr>
          <w:rFonts w:eastAsia="Times New Roman"/>
          <w:lang w:val="en-FR" w:eastAsia="en-GB"/>
        </w:rPr>
        <w:t>, ensuring transparency, efficiency, and effective decision-making as the Fund grows.</w:t>
      </w:r>
    </w:p>
    <w:p w14:paraId="63ACEE3E" w14:textId="77777777" w:rsidR="00D75A4B" w:rsidRPr="00D75A4B" w:rsidRDefault="00D75A4B" w:rsidP="00D75A4B">
      <w:pPr>
        <w:numPr>
          <w:ilvl w:val="0"/>
          <w:numId w:val="56"/>
        </w:numPr>
        <w:spacing w:before="100" w:beforeAutospacing="1" w:after="100" w:afterAutospacing="1"/>
        <w:divId w:val="894127651"/>
        <w:rPr>
          <w:rFonts w:eastAsia="Times New Roman"/>
          <w:lang w:val="en-FR" w:eastAsia="en-GB"/>
        </w:rPr>
      </w:pPr>
      <w:r w:rsidRPr="00D75A4B">
        <w:rPr>
          <w:rFonts w:eastAsia="Times New Roman"/>
          <w:b/>
          <w:bCs/>
          <w:lang w:val="en-FR" w:eastAsia="en-GB"/>
        </w:rPr>
        <w:t>Advancement of innovative financing instruments</w:t>
      </w:r>
      <w:r w:rsidRPr="00D75A4B">
        <w:rPr>
          <w:rFonts w:eastAsia="Times New Roman"/>
          <w:lang w:val="en-FR" w:eastAsia="en-GB"/>
        </w:rPr>
        <w:t>, including blended finance approaches, digital financing pathways, and expanded mechanisms for private-sector engagement.</w:t>
      </w:r>
    </w:p>
    <w:p w14:paraId="7C3CB196" w14:textId="77777777" w:rsidR="00D75A4B" w:rsidRPr="00D75A4B" w:rsidRDefault="00D75A4B" w:rsidP="00D75A4B">
      <w:pPr>
        <w:numPr>
          <w:ilvl w:val="0"/>
          <w:numId w:val="56"/>
        </w:numPr>
        <w:spacing w:before="100" w:beforeAutospacing="1" w:after="100" w:afterAutospacing="1"/>
        <w:divId w:val="894127651"/>
        <w:rPr>
          <w:rFonts w:eastAsia="Times New Roman"/>
          <w:lang w:val="en-FR" w:eastAsia="en-GB"/>
        </w:rPr>
      </w:pPr>
      <w:r w:rsidRPr="00D75A4B">
        <w:rPr>
          <w:rFonts w:eastAsia="Times New Roman"/>
          <w:b/>
          <w:bCs/>
          <w:lang w:val="en-FR" w:eastAsia="en-GB"/>
        </w:rPr>
        <w:t>Deeper alignment with national nutrition strategies and UN Sustainable Development Cooperation Frameworks</w:t>
      </w:r>
      <w:r w:rsidRPr="00D75A4B">
        <w:rPr>
          <w:rFonts w:eastAsia="Times New Roman"/>
          <w:lang w:val="en-FR" w:eastAsia="en-GB"/>
        </w:rPr>
        <w:t>, ensuring coherence and country-level relevance.</w:t>
      </w:r>
    </w:p>
    <w:p w14:paraId="3F75CB5E" w14:textId="38FA75F4" w:rsidR="00D75A4B" w:rsidRDefault="00D75A4B" w:rsidP="00D75A4B">
      <w:pPr>
        <w:numPr>
          <w:ilvl w:val="0"/>
          <w:numId w:val="56"/>
        </w:numPr>
        <w:spacing w:before="100" w:beforeAutospacing="1" w:after="100" w:afterAutospacing="1"/>
        <w:divId w:val="894127651"/>
        <w:rPr>
          <w:rFonts w:eastAsia="Times New Roman"/>
          <w:lang w:val="en-FR" w:eastAsia="en-GB"/>
        </w:rPr>
      </w:pPr>
      <w:r w:rsidRPr="00D75A4B">
        <w:rPr>
          <w:rFonts w:eastAsia="Times New Roman"/>
          <w:b/>
          <w:bCs/>
          <w:lang w:val="en-FR" w:eastAsia="en-GB"/>
        </w:rPr>
        <w:t>Expanded outreach and resource mobilization</w:t>
      </w:r>
      <w:r w:rsidRPr="00D75A4B">
        <w:rPr>
          <w:rFonts w:eastAsia="Times New Roman"/>
          <w:lang w:val="en-FR" w:eastAsia="en-GB"/>
        </w:rPr>
        <w:t>, guided by a clearer strategic value proposition and lessons learned from the first operational cycle.</w:t>
      </w:r>
    </w:p>
    <w:p w14:paraId="3F4BFC95" w14:textId="510B8FAE" w:rsidR="0073407F" w:rsidRPr="00D75A4B" w:rsidRDefault="0073407F" w:rsidP="0073407F">
      <w:pPr>
        <w:numPr>
          <w:ilvl w:val="0"/>
          <w:numId w:val="56"/>
        </w:numPr>
        <w:spacing w:before="100" w:beforeAutospacing="1" w:after="100" w:afterAutospacing="1"/>
        <w:divId w:val="894127651"/>
        <w:rPr>
          <w:rFonts w:eastAsia="Times New Roman"/>
          <w:lang w:val="en-FR" w:eastAsia="en-GB"/>
        </w:rPr>
      </w:pPr>
      <w:r>
        <w:rPr>
          <w:rFonts w:eastAsia="Times New Roman"/>
          <w:b/>
          <w:bCs/>
          <w:lang w:val="en-FR" w:eastAsia="en-GB"/>
        </w:rPr>
        <w:t xml:space="preserve">Deepened used of technology, </w:t>
      </w:r>
      <w:r w:rsidRPr="0073407F">
        <w:rPr>
          <w:rFonts w:eastAsia="Times New Roman"/>
          <w:lang w:val="en-FR" w:eastAsia="en-GB"/>
        </w:rPr>
        <w:t>included A</w:t>
      </w:r>
      <w:r>
        <w:rPr>
          <w:rFonts w:eastAsia="Times New Roman"/>
          <w:lang w:val="en-FR" w:eastAsia="en-GB"/>
        </w:rPr>
        <w:t xml:space="preserve">rtifical Intelligence and blockchain as </w:t>
      </w:r>
      <w:r>
        <w:rPr>
          <w:rFonts w:eastAsia="Times New Roman"/>
          <w:lang w:val="en-FR" w:eastAsia="en-GB"/>
        </w:rPr>
        <w:t>strategic</w:t>
      </w:r>
      <w:r w:rsidRPr="0073407F">
        <w:rPr>
          <w:rFonts w:eastAsia="Times New Roman"/>
          <w:lang w:val="en-FR" w:eastAsia="en-GB"/>
        </w:rPr>
        <w:t xml:space="preserve"> enabler</w:t>
      </w:r>
      <w:r>
        <w:rPr>
          <w:rFonts w:eastAsia="Times New Roman"/>
          <w:lang w:val="en-FR" w:eastAsia="en-GB"/>
        </w:rPr>
        <w:t xml:space="preserve">s </w:t>
      </w:r>
      <w:r w:rsidRPr="0073407F">
        <w:rPr>
          <w:rFonts w:eastAsia="Times New Roman"/>
          <w:lang w:val="en-FR" w:eastAsia="en-GB"/>
        </w:rPr>
        <w:t>f</w:t>
      </w:r>
      <w:r>
        <w:rPr>
          <w:rFonts w:eastAsia="Times New Roman"/>
          <w:lang w:val="en-FR" w:eastAsia="en-GB"/>
        </w:rPr>
        <w:t>or</w:t>
      </w:r>
      <w:r w:rsidRPr="0073407F">
        <w:rPr>
          <w:rFonts w:eastAsia="Times New Roman"/>
          <w:lang w:val="en-FR" w:eastAsia="en-GB"/>
        </w:rPr>
        <w:t xml:space="preserve"> </w:t>
      </w:r>
      <w:r>
        <w:rPr>
          <w:rFonts w:eastAsia="Times New Roman"/>
          <w:lang w:val="en-FR" w:eastAsia="en-GB"/>
        </w:rPr>
        <w:t xml:space="preserve">both </w:t>
      </w:r>
      <w:r w:rsidRPr="0073407F">
        <w:rPr>
          <w:rFonts w:eastAsia="Times New Roman"/>
          <w:lang w:val="en-FR" w:eastAsia="en-GB"/>
        </w:rPr>
        <w:t>Innovative Finance</w:t>
      </w:r>
      <w:r>
        <w:rPr>
          <w:rFonts w:eastAsia="Times New Roman"/>
          <w:lang w:val="en-FR" w:eastAsia="en-GB"/>
        </w:rPr>
        <w:t xml:space="preserve"> and </w:t>
      </w:r>
      <w:r w:rsidRPr="0073407F">
        <w:rPr>
          <w:rFonts w:eastAsia="Times New Roman"/>
          <w:lang w:val="en-FR" w:eastAsia="en-GB"/>
        </w:rPr>
        <w:t xml:space="preserve">programmatic </w:t>
      </w:r>
      <w:r>
        <w:rPr>
          <w:rFonts w:eastAsia="Times New Roman"/>
          <w:lang w:val="en-FR" w:eastAsia="en-GB"/>
        </w:rPr>
        <w:t>activities</w:t>
      </w:r>
      <w:r w:rsidRPr="0073407F">
        <w:rPr>
          <w:rFonts w:eastAsia="Times New Roman"/>
          <w:lang w:val="en-FR" w:eastAsia="en-GB"/>
        </w:rPr>
        <w:t>.</w:t>
      </w:r>
    </w:p>
    <w:p w14:paraId="2507A300" w14:textId="77777777" w:rsidR="00D75A4B" w:rsidRPr="00D75A4B" w:rsidRDefault="00D75A4B" w:rsidP="00D75A4B">
      <w:pPr>
        <w:numPr>
          <w:ilvl w:val="0"/>
          <w:numId w:val="56"/>
        </w:numPr>
        <w:spacing w:before="100" w:beforeAutospacing="1" w:after="100" w:afterAutospacing="1"/>
        <w:divId w:val="894127651"/>
        <w:rPr>
          <w:rFonts w:eastAsia="Times New Roman"/>
          <w:lang w:val="en-FR" w:eastAsia="en-GB"/>
        </w:rPr>
      </w:pPr>
      <w:r w:rsidRPr="00D75A4B">
        <w:rPr>
          <w:rFonts w:eastAsia="Times New Roman"/>
          <w:b/>
          <w:bCs/>
          <w:lang w:val="en-FR" w:eastAsia="en-GB"/>
        </w:rPr>
        <w:t>Strengthened monitoring and results management</w:t>
      </w:r>
      <w:r w:rsidRPr="00D75A4B">
        <w:rPr>
          <w:rFonts w:eastAsia="Times New Roman"/>
          <w:lang w:val="en-FR" w:eastAsia="en-GB"/>
        </w:rPr>
        <w:t>, ensuring high-quality reporting on the impact of UNITLIFE investments on nutrition, gender equality, and climate resilience.</w:t>
      </w:r>
    </w:p>
    <w:p w14:paraId="074FB515" w14:textId="4378A18C" w:rsidR="00E95B48" w:rsidRPr="0073407F" w:rsidRDefault="00D75A4B" w:rsidP="0073407F">
      <w:pPr>
        <w:spacing w:before="100" w:beforeAutospacing="1" w:after="100" w:afterAutospacing="1"/>
        <w:divId w:val="894127651"/>
        <w:rPr>
          <w:rFonts w:eastAsia="Times New Roman"/>
          <w:lang w:val="en-FR" w:eastAsia="en-GB"/>
        </w:rPr>
      </w:pPr>
      <w:r w:rsidRPr="00D75A4B">
        <w:rPr>
          <w:rFonts w:eastAsia="Times New Roman"/>
          <w:lang w:val="en-FR" w:eastAsia="en-GB"/>
        </w:rPr>
        <w:t>With a new funding cycle confirmed, UNITLIFE is positioned to transition from foundational operationalization to accelerated implementation and expansion. This closure report marks the completion of the Secretariat’s initial mandate and provides a basis for building a stronger, more agile, and more impactful UNITLIFE in the years ahead.</w:t>
      </w:r>
    </w:p>
    <w:p w14:paraId="68B9F57E" w14:textId="6D67C8FF" w:rsidR="00AD59B7" w:rsidRPr="00EB4D4C" w:rsidRDefault="00C728B4" w:rsidP="00E95B48">
      <w:pPr>
        <w:pStyle w:val="Heading1"/>
        <w:numPr>
          <w:ilvl w:val="0"/>
          <w:numId w:val="26"/>
        </w:numPr>
        <w:divId w:val="786579090"/>
        <w:rPr>
          <w:rFonts w:ascii="Times New Roman" w:eastAsia="Times New Roman" w:hAnsi="Times New Roman" w:cs="Times New Roman"/>
          <w:sz w:val="32"/>
          <w:szCs w:val="32"/>
        </w:rPr>
      </w:pPr>
      <w:bookmarkStart w:id="7" w:name="_Toc192079717"/>
      <w:r w:rsidRPr="00EB4D4C">
        <w:rPr>
          <w:rFonts w:ascii="Times New Roman" w:eastAsia="Times New Roman" w:hAnsi="Times New Roman" w:cs="Times New Roman"/>
          <w:sz w:val="32"/>
          <w:szCs w:val="32"/>
        </w:rPr>
        <w:t>Other Reporting Requirements</w:t>
      </w:r>
      <w:bookmarkEnd w:id="7"/>
    </w:p>
    <w:p w14:paraId="775B9DE4" w14:textId="7AE206CE" w:rsidR="00D82CCD" w:rsidRDefault="00D75A4B" w:rsidP="00D75A4B">
      <w:pPr>
        <w:pStyle w:val="NormalWeb"/>
        <w:divId w:val="946348777"/>
      </w:pPr>
      <w:r>
        <w:t>The UNITLIFE Secretariat project (00116477) was implemented</w:t>
      </w:r>
      <w:r w:rsidR="00AD2258">
        <w:t xml:space="preserve"> and manage</w:t>
      </w:r>
      <w:r w:rsidR="00D82CCD">
        <w:t>d</w:t>
      </w:r>
      <w:r w:rsidR="00AD2258">
        <w:t xml:space="preserve"> in Quantum. </w:t>
      </w:r>
    </w:p>
    <w:p w14:paraId="442B4925" w14:textId="10C52247" w:rsidR="00D75A4B" w:rsidRDefault="00AD2258" w:rsidP="00D75A4B">
      <w:pPr>
        <w:pStyle w:val="NormalWeb"/>
        <w:divId w:val="946348777"/>
        <w:rPr>
          <w:rFonts w:eastAsia="Times New Roman"/>
        </w:rPr>
      </w:pPr>
      <w:r>
        <w:t xml:space="preserve">In terms of reporting, </w:t>
      </w:r>
      <w:r w:rsidR="00D75A4B">
        <w:t>the governance and reporting framework of the Multi-Partner Trust Fund Office (MPTF Office)</w:t>
      </w:r>
      <w:r>
        <w:t xml:space="preserve"> was used</w:t>
      </w:r>
      <w:r w:rsidR="00D75A4B">
        <w:t xml:space="preserve">. As such, reporting requirements were defined by the </w:t>
      </w:r>
      <w:r w:rsidR="00D75A4B">
        <w:rPr>
          <w:rStyle w:val="Strong"/>
        </w:rPr>
        <w:t>MPTF Office’s Standard Administrative Arrangements (SAA)</w:t>
      </w:r>
      <w:r w:rsidR="00D75A4B">
        <w:t xml:space="preserve"> and </w:t>
      </w:r>
      <w:r w:rsidR="00D75A4B">
        <w:rPr>
          <w:rStyle w:val="Strong"/>
        </w:rPr>
        <w:t>MPTF Fund governance structure</w:t>
      </w:r>
      <w:r w:rsidR="00D75A4B">
        <w:t>, which outline annual reporting, financial reporting, and expenditure disclosure obligations for Participating UN Organizations.</w:t>
      </w:r>
    </w:p>
    <w:p w14:paraId="4BA1F5BE" w14:textId="77777777" w:rsidR="00D75A4B" w:rsidRDefault="00D75A4B" w:rsidP="00D75A4B">
      <w:pPr>
        <w:pStyle w:val="NormalWeb"/>
        <w:divId w:val="946348777"/>
      </w:pPr>
      <w:r>
        <w:t>In accordance with these requirements, the Secretariat complied with the following reporting obligations throughout the project cycle:</w:t>
      </w:r>
    </w:p>
    <w:p w14:paraId="1F5D6A0B" w14:textId="77777777" w:rsidR="00D75A4B" w:rsidRDefault="00D75A4B" w:rsidP="00D75A4B">
      <w:pPr>
        <w:pStyle w:val="Heading3"/>
        <w:divId w:val="946348777"/>
      </w:pPr>
      <w:r>
        <w:rPr>
          <w:rStyle w:val="Strong"/>
          <w:b w:val="0"/>
          <w:bCs w:val="0"/>
        </w:rPr>
        <w:t>1. Annual Narrative Reporting</w:t>
      </w:r>
    </w:p>
    <w:p w14:paraId="5DB9F0AD" w14:textId="02834DEB" w:rsidR="00D75A4B" w:rsidRDefault="00D82CCD" w:rsidP="00D75A4B">
      <w:pPr>
        <w:pStyle w:val="NormalWeb"/>
        <w:divId w:val="946348777"/>
      </w:pPr>
      <w:r>
        <w:t>The Secretariat</w:t>
      </w:r>
      <w:r w:rsidR="00D75A4B">
        <w:t xml:space="preserve"> submitted </w:t>
      </w:r>
      <w:r w:rsidR="00D75A4B">
        <w:rPr>
          <w:rStyle w:val="Strong"/>
        </w:rPr>
        <w:t>Annual Narrative Reports</w:t>
      </w:r>
      <w:r w:rsidR="00D75A4B">
        <w:t xml:space="preserve"> to the MPTF Office, summarizing progress against planned results, key achievements, challenges, lessons learned, and forward-</w:t>
      </w:r>
      <w:r w:rsidR="00D75A4B">
        <w:lastRenderedPageBreak/>
        <w:t xml:space="preserve">looking priorities. These reports were prepared using MPTF templates and were publicly disclosed through the </w:t>
      </w:r>
      <w:r w:rsidR="00D75A4B">
        <w:rPr>
          <w:rStyle w:val="Strong"/>
        </w:rPr>
        <w:t>MPTF Gateway</w:t>
      </w:r>
      <w:r w:rsidR="00D75A4B">
        <w:t>, ensuring transparency and accountability.</w:t>
      </w:r>
    </w:p>
    <w:p w14:paraId="145CB659" w14:textId="77777777" w:rsidR="00D75A4B" w:rsidRDefault="00D75A4B" w:rsidP="00D75A4B">
      <w:pPr>
        <w:pStyle w:val="Heading3"/>
        <w:divId w:val="946348777"/>
      </w:pPr>
      <w:r>
        <w:rPr>
          <w:rStyle w:val="Strong"/>
          <w:b w:val="0"/>
          <w:bCs w:val="0"/>
        </w:rPr>
        <w:t>2. Annual Financial and Expenditure Reporting</w:t>
      </w:r>
    </w:p>
    <w:p w14:paraId="43CC40E9" w14:textId="7510B200" w:rsidR="00D75A4B" w:rsidRDefault="00D75A4B" w:rsidP="00D75A4B">
      <w:pPr>
        <w:pStyle w:val="NormalWeb"/>
        <w:divId w:val="946348777"/>
      </w:pPr>
      <w:r>
        <w:t xml:space="preserve">As required by the MPTF Office, </w:t>
      </w:r>
      <w:r>
        <w:rPr>
          <w:rStyle w:val="Strong"/>
        </w:rPr>
        <w:t>Annual Financial Reports</w:t>
      </w:r>
      <w:r w:rsidR="00D82CCD">
        <w:t xml:space="preserve"> were issued,</w:t>
      </w:r>
      <w:r>
        <w:t xml:space="preserve"> detailing:</w:t>
      </w:r>
    </w:p>
    <w:p w14:paraId="0DE2F68D" w14:textId="77777777" w:rsidR="00D75A4B" w:rsidRDefault="00D75A4B" w:rsidP="00D75A4B">
      <w:pPr>
        <w:pStyle w:val="NormalWeb"/>
        <w:numPr>
          <w:ilvl w:val="0"/>
          <w:numId w:val="58"/>
        </w:numPr>
        <w:divId w:val="946348777"/>
      </w:pPr>
      <w:r>
        <w:t xml:space="preserve">funds transferred by the MPTF Office to </w:t>
      </w:r>
      <w:proofErr w:type="gramStart"/>
      <w:r>
        <w:t>UNCDF;</w:t>
      </w:r>
      <w:proofErr w:type="gramEnd"/>
    </w:p>
    <w:p w14:paraId="571932C6" w14:textId="77777777" w:rsidR="00D75A4B" w:rsidRDefault="00D75A4B" w:rsidP="00D75A4B">
      <w:pPr>
        <w:pStyle w:val="NormalWeb"/>
        <w:numPr>
          <w:ilvl w:val="0"/>
          <w:numId w:val="58"/>
        </w:numPr>
        <w:divId w:val="946348777"/>
      </w:pPr>
      <w:r>
        <w:t xml:space="preserve">annual expenditures by budget </w:t>
      </w:r>
      <w:proofErr w:type="gramStart"/>
      <w:r>
        <w:t>category;</w:t>
      </w:r>
      <w:proofErr w:type="gramEnd"/>
    </w:p>
    <w:p w14:paraId="7CBDAE91" w14:textId="77777777" w:rsidR="00D75A4B" w:rsidRDefault="00D75A4B" w:rsidP="00D75A4B">
      <w:pPr>
        <w:pStyle w:val="NormalWeb"/>
        <w:numPr>
          <w:ilvl w:val="0"/>
          <w:numId w:val="58"/>
        </w:numPr>
        <w:divId w:val="946348777"/>
      </w:pPr>
      <w:r>
        <w:t>cumulative delivery; and</w:t>
      </w:r>
    </w:p>
    <w:p w14:paraId="13DEEC4F" w14:textId="77777777" w:rsidR="00D75A4B" w:rsidRDefault="00D75A4B" w:rsidP="00D75A4B">
      <w:pPr>
        <w:pStyle w:val="NormalWeb"/>
        <w:numPr>
          <w:ilvl w:val="0"/>
          <w:numId w:val="58"/>
        </w:numPr>
        <w:divId w:val="946348777"/>
      </w:pPr>
      <w:r>
        <w:t>fund balances remaining at year-end.</w:t>
      </w:r>
    </w:p>
    <w:p w14:paraId="15273CBF" w14:textId="0F17701E" w:rsidR="00D82CCD" w:rsidRPr="00D82CCD" w:rsidRDefault="00D75A4B" w:rsidP="00D75A4B">
      <w:pPr>
        <w:pStyle w:val="NormalWeb"/>
        <w:divId w:val="946348777"/>
      </w:pPr>
      <w:r w:rsidRPr="00D82CCD">
        <w:t>The</w:t>
      </w:r>
      <w:r w:rsidRPr="00D82CCD">
        <w:rPr>
          <w:b/>
          <w:bCs/>
        </w:rPr>
        <w:t xml:space="preserve"> </w:t>
      </w:r>
      <w:r w:rsidRPr="00D82CCD">
        <w:rPr>
          <w:rStyle w:val="Strong"/>
          <w:b w:val="0"/>
          <w:bCs w:val="0"/>
        </w:rPr>
        <w:t>UNITLIFE 2024 Annual Financial Report</w:t>
      </w:r>
      <w:r w:rsidR="00D82CCD" w:rsidRPr="00D82CCD">
        <w:rPr>
          <w:rStyle w:val="Strong"/>
          <w:b w:val="0"/>
          <w:bCs w:val="0"/>
        </w:rPr>
        <w:t xml:space="preserve"> and the UNITLIFE Funding Framework</w:t>
      </w:r>
      <w:r w:rsidRPr="00D82CCD">
        <w:rPr>
          <w:b/>
          <w:bCs/>
        </w:rPr>
        <w:t>,</w:t>
      </w:r>
      <w:r w:rsidRPr="00D82CCD">
        <w:t xml:space="preserve"> which includes Secretariat direct-cost expenditures and delivery rates is publicly accessible through the MPTF Gateway.</w:t>
      </w:r>
    </w:p>
    <w:p w14:paraId="6A1C6172" w14:textId="5C85D41D" w:rsidR="00D75A4B" w:rsidRDefault="00D75A4B" w:rsidP="00D75A4B">
      <w:pPr>
        <w:pStyle w:val="NormalWeb"/>
        <w:divId w:val="946348777"/>
      </w:pPr>
      <w:r>
        <w:t xml:space="preserve">In addition, </w:t>
      </w:r>
      <w:r>
        <w:rPr>
          <w:rStyle w:val="Strong"/>
        </w:rPr>
        <w:t>Annual Expenditure Reports</w:t>
      </w:r>
      <w:r>
        <w:t xml:space="preserve"> by implementing partners were prepared and verified in accordance with MPTF guidelines.</w:t>
      </w:r>
    </w:p>
    <w:p w14:paraId="5DD34EF2" w14:textId="77777777" w:rsidR="00D75A4B" w:rsidRDefault="00D75A4B" w:rsidP="00D75A4B">
      <w:pPr>
        <w:pStyle w:val="Heading3"/>
        <w:divId w:val="946348777"/>
      </w:pPr>
      <w:r>
        <w:rPr>
          <w:rStyle w:val="Strong"/>
          <w:b w:val="0"/>
          <w:bCs w:val="0"/>
        </w:rPr>
        <w:t>3. Public Disclosure via MPTF Gateway</w:t>
      </w:r>
    </w:p>
    <w:p w14:paraId="0E886F69" w14:textId="77777777" w:rsidR="00D75A4B" w:rsidRDefault="00D75A4B" w:rsidP="00D75A4B">
      <w:pPr>
        <w:pStyle w:val="NormalWeb"/>
        <w:divId w:val="946348777"/>
      </w:pPr>
      <w:r>
        <w:t xml:space="preserve">As per MPTF transparency policies, all narrative and financial reports are </w:t>
      </w:r>
      <w:r>
        <w:rPr>
          <w:rStyle w:val="Strong"/>
        </w:rPr>
        <w:t>publicly accessible</w:t>
      </w:r>
      <w:r>
        <w:t xml:space="preserve"> through the </w:t>
      </w:r>
      <w:r>
        <w:rPr>
          <w:rStyle w:val="Strong"/>
        </w:rPr>
        <w:t>UNITLIFE page on the MPTF Gateway</w:t>
      </w:r>
      <w:r>
        <w:t>, including:</w:t>
      </w:r>
    </w:p>
    <w:p w14:paraId="2326CC4A" w14:textId="77777777" w:rsidR="00D75A4B" w:rsidRDefault="00D75A4B" w:rsidP="00D75A4B">
      <w:pPr>
        <w:pStyle w:val="NormalWeb"/>
        <w:numPr>
          <w:ilvl w:val="0"/>
          <w:numId w:val="59"/>
        </w:numPr>
        <w:divId w:val="946348777"/>
      </w:pPr>
      <w:r>
        <w:t xml:space="preserve">Secretariat financial </w:t>
      </w:r>
      <w:proofErr w:type="gramStart"/>
      <w:r>
        <w:t>data;</w:t>
      </w:r>
      <w:proofErr w:type="gramEnd"/>
    </w:p>
    <w:p w14:paraId="2277EEC1" w14:textId="77777777" w:rsidR="00D75A4B" w:rsidRDefault="00D75A4B" w:rsidP="00D75A4B">
      <w:pPr>
        <w:pStyle w:val="NormalWeb"/>
        <w:numPr>
          <w:ilvl w:val="0"/>
          <w:numId w:val="59"/>
        </w:numPr>
        <w:divId w:val="946348777"/>
      </w:pPr>
      <w:r>
        <w:t xml:space="preserve">implementing partners’ financial </w:t>
      </w:r>
      <w:proofErr w:type="gramStart"/>
      <w:r>
        <w:t>data;</w:t>
      </w:r>
      <w:proofErr w:type="gramEnd"/>
    </w:p>
    <w:p w14:paraId="6E0F1A9B" w14:textId="77777777" w:rsidR="00D75A4B" w:rsidRDefault="00D75A4B" w:rsidP="00D75A4B">
      <w:pPr>
        <w:pStyle w:val="NormalWeb"/>
        <w:numPr>
          <w:ilvl w:val="0"/>
          <w:numId w:val="59"/>
        </w:numPr>
        <w:divId w:val="946348777"/>
      </w:pPr>
      <w:r>
        <w:t xml:space="preserve">project </w:t>
      </w:r>
      <w:proofErr w:type="gramStart"/>
      <w:r>
        <w:t>summaries;</w:t>
      </w:r>
      <w:proofErr w:type="gramEnd"/>
    </w:p>
    <w:p w14:paraId="547CAADD" w14:textId="77777777" w:rsidR="00D75A4B" w:rsidRDefault="00D75A4B" w:rsidP="00D75A4B">
      <w:pPr>
        <w:pStyle w:val="NormalWeb"/>
        <w:numPr>
          <w:ilvl w:val="0"/>
          <w:numId w:val="59"/>
        </w:numPr>
        <w:divId w:val="946348777"/>
      </w:pPr>
      <w:r>
        <w:t xml:space="preserve">donor </w:t>
      </w:r>
      <w:proofErr w:type="gramStart"/>
      <w:r>
        <w:t>contributions;</w:t>
      </w:r>
      <w:proofErr w:type="gramEnd"/>
    </w:p>
    <w:p w14:paraId="4DB3B22E" w14:textId="77777777" w:rsidR="00D75A4B" w:rsidRDefault="00D75A4B" w:rsidP="00D75A4B">
      <w:pPr>
        <w:pStyle w:val="NormalWeb"/>
        <w:numPr>
          <w:ilvl w:val="0"/>
          <w:numId w:val="59"/>
        </w:numPr>
        <w:divId w:val="946348777"/>
      </w:pPr>
      <w:r>
        <w:t>governance decisions; and</w:t>
      </w:r>
    </w:p>
    <w:p w14:paraId="01C77D02" w14:textId="77777777" w:rsidR="00D75A4B" w:rsidRDefault="00D75A4B" w:rsidP="00D75A4B">
      <w:pPr>
        <w:pStyle w:val="NormalWeb"/>
        <w:numPr>
          <w:ilvl w:val="0"/>
          <w:numId w:val="59"/>
        </w:numPr>
        <w:divId w:val="946348777"/>
      </w:pPr>
      <w:r>
        <w:t>results reporting from each allocation.</w:t>
      </w:r>
    </w:p>
    <w:p w14:paraId="5D137796" w14:textId="77777777" w:rsidR="00D75A4B" w:rsidRDefault="00D75A4B" w:rsidP="00D75A4B">
      <w:pPr>
        <w:pStyle w:val="NormalWeb"/>
        <w:divId w:val="946348777"/>
      </w:pPr>
      <w:r>
        <w:t>The Gateway provides real-time financial tracking, fund-level updates, and documentation of Executive Committee decisions and annual reporting.</w:t>
      </w:r>
    </w:p>
    <w:p w14:paraId="4EDFA8BC" w14:textId="77777777" w:rsidR="00D75A4B" w:rsidRDefault="00D75A4B" w:rsidP="00D75A4B">
      <w:pPr>
        <w:pStyle w:val="Heading3"/>
        <w:divId w:val="946348777"/>
      </w:pPr>
      <w:r>
        <w:rPr>
          <w:rStyle w:val="Strong"/>
          <w:b w:val="0"/>
          <w:bCs w:val="0"/>
        </w:rPr>
        <w:t>4. Compliance with UNITLIFE Governance Requirements</w:t>
      </w:r>
    </w:p>
    <w:p w14:paraId="75590CB6" w14:textId="77777777" w:rsidR="00D75A4B" w:rsidRDefault="00D75A4B" w:rsidP="00D75A4B">
      <w:pPr>
        <w:pStyle w:val="NormalWeb"/>
        <w:divId w:val="946348777"/>
      </w:pPr>
      <w:r>
        <w:t>The Secretariat supported compliance with UNITLIFE governance processes, including:</w:t>
      </w:r>
    </w:p>
    <w:p w14:paraId="744988D7" w14:textId="72E87F65" w:rsidR="00D75A4B" w:rsidRDefault="00D75A4B" w:rsidP="00D75A4B">
      <w:pPr>
        <w:pStyle w:val="NormalWeb"/>
        <w:numPr>
          <w:ilvl w:val="0"/>
          <w:numId w:val="60"/>
        </w:numPr>
        <w:divId w:val="946348777"/>
      </w:pPr>
      <w:r>
        <w:t xml:space="preserve">preparation and submission of documentation for the </w:t>
      </w:r>
      <w:r w:rsidR="0073407F">
        <w:rPr>
          <w:rStyle w:val="Strong"/>
        </w:rPr>
        <w:t>Steering</w:t>
      </w:r>
      <w:r>
        <w:rPr>
          <w:rStyle w:val="Strong"/>
        </w:rPr>
        <w:t xml:space="preserve"> </w:t>
      </w:r>
      <w:proofErr w:type="gramStart"/>
      <w:r>
        <w:rPr>
          <w:rStyle w:val="Strong"/>
        </w:rPr>
        <w:t>Committee</w:t>
      </w:r>
      <w:r>
        <w:t>;</w:t>
      </w:r>
      <w:proofErr w:type="gramEnd"/>
    </w:p>
    <w:p w14:paraId="4413A182" w14:textId="77777777" w:rsidR="00D75A4B" w:rsidRDefault="00D75A4B" w:rsidP="00D75A4B">
      <w:pPr>
        <w:pStyle w:val="NormalWeb"/>
        <w:numPr>
          <w:ilvl w:val="0"/>
          <w:numId w:val="60"/>
        </w:numPr>
        <w:divId w:val="946348777"/>
      </w:pPr>
      <w:r>
        <w:t xml:space="preserve">technical and financial reporting for </w:t>
      </w:r>
      <w:proofErr w:type="gramStart"/>
      <w:r>
        <w:t>decision-making;</w:t>
      </w:r>
      <w:proofErr w:type="gramEnd"/>
    </w:p>
    <w:p w14:paraId="4027C661" w14:textId="77777777" w:rsidR="00D75A4B" w:rsidRDefault="00D75A4B" w:rsidP="00D75A4B">
      <w:pPr>
        <w:pStyle w:val="NormalWeb"/>
        <w:numPr>
          <w:ilvl w:val="0"/>
          <w:numId w:val="60"/>
        </w:numPr>
        <w:divId w:val="946348777"/>
      </w:pPr>
      <w:r>
        <w:t>consolidation of implementing partners’ reports; and</w:t>
      </w:r>
    </w:p>
    <w:p w14:paraId="0048DFE9" w14:textId="103AAA09" w:rsidR="00C728B4" w:rsidRPr="0073407F" w:rsidRDefault="00D75A4B" w:rsidP="0073407F">
      <w:pPr>
        <w:pStyle w:val="NormalWeb"/>
        <w:numPr>
          <w:ilvl w:val="0"/>
          <w:numId w:val="60"/>
        </w:numPr>
        <w:divId w:val="946348777"/>
      </w:pPr>
      <w:r>
        <w:t>maintenance of results documentation for audit and assurance processes.</w:t>
      </w:r>
    </w:p>
    <w:sectPr w:rsidR="00C728B4" w:rsidRPr="0073407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10B7" w14:textId="77777777" w:rsidR="00376502" w:rsidRDefault="00376502">
      <w:r>
        <w:separator/>
      </w:r>
    </w:p>
  </w:endnote>
  <w:endnote w:type="continuationSeparator" w:id="0">
    <w:p w14:paraId="2CC4C043" w14:textId="77777777" w:rsidR="00376502" w:rsidRDefault="00376502">
      <w:r>
        <w:continuationSeparator/>
      </w:r>
    </w:p>
  </w:endnote>
  <w:endnote w:type="continuationNotice" w:id="1">
    <w:p w14:paraId="7BF3C9DF" w14:textId="77777777" w:rsidR="00376502" w:rsidRDefault="00376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4B6C60" w14:paraId="2BFCB8AD" w14:textId="77777777" w:rsidTr="314B6C60">
      <w:trPr>
        <w:trHeight w:val="300"/>
      </w:trPr>
      <w:tc>
        <w:tcPr>
          <w:tcW w:w="3120" w:type="dxa"/>
        </w:tcPr>
        <w:p w14:paraId="6888B27A" w14:textId="180F3DB7" w:rsidR="314B6C60" w:rsidRDefault="314B6C60" w:rsidP="314B6C60">
          <w:pPr>
            <w:pStyle w:val="Header"/>
            <w:ind w:left="-115"/>
          </w:pPr>
        </w:p>
      </w:tc>
      <w:tc>
        <w:tcPr>
          <w:tcW w:w="3120" w:type="dxa"/>
        </w:tcPr>
        <w:p w14:paraId="0BCB571B" w14:textId="785462DA" w:rsidR="314B6C60" w:rsidRDefault="314B6C60" w:rsidP="314B6C60">
          <w:pPr>
            <w:pStyle w:val="Header"/>
            <w:jc w:val="center"/>
          </w:pPr>
        </w:p>
      </w:tc>
      <w:tc>
        <w:tcPr>
          <w:tcW w:w="3120" w:type="dxa"/>
        </w:tcPr>
        <w:p w14:paraId="718A8B7C" w14:textId="7CE9F275" w:rsidR="314B6C60" w:rsidRDefault="314B6C60" w:rsidP="314B6C60">
          <w:pPr>
            <w:pStyle w:val="Header"/>
            <w:ind w:right="-115"/>
            <w:jc w:val="right"/>
          </w:pPr>
        </w:p>
      </w:tc>
    </w:tr>
  </w:tbl>
  <w:p w14:paraId="02FB6878" w14:textId="6BFA9089" w:rsidR="314B6C60" w:rsidRDefault="314B6C60" w:rsidP="314B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8287" w14:textId="77777777" w:rsidR="00376502" w:rsidRDefault="00376502">
      <w:r>
        <w:separator/>
      </w:r>
    </w:p>
  </w:footnote>
  <w:footnote w:type="continuationSeparator" w:id="0">
    <w:p w14:paraId="03FD2808" w14:textId="77777777" w:rsidR="00376502" w:rsidRDefault="00376502">
      <w:r>
        <w:continuationSeparator/>
      </w:r>
    </w:p>
  </w:footnote>
  <w:footnote w:type="continuationNotice" w:id="1">
    <w:p w14:paraId="613664A6" w14:textId="77777777" w:rsidR="00376502" w:rsidRDefault="00376502"/>
  </w:footnote>
  <w:footnote w:id="2">
    <w:p w14:paraId="6CECB917" w14:textId="61853652" w:rsidR="00A94F15" w:rsidRDefault="00A94F15" w:rsidP="00A94F15">
      <w:pPr>
        <w:pStyle w:val="paragraph"/>
        <w:spacing w:before="0" w:beforeAutospacing="0" w:after="0" w:afterAutospacing="0"/>
        <w:jc w:val="both"/>
        <w:textAlignment w:val="baseline"/>
        <w:rPr>
          <w:rFonts w:ascii="Segoe UI" w:hAnsi="Segoe UI" w:cs="Segoe UI"/>
          <w:sz w:val="18"/>
          <w:szCs w:val="18"/>
        </w:rPr>
      </w:pPr>
      <w:r>
        <w:rPr>
          <w:rStyle w:val="FootnoteReference"/>
        </w:rPr>
        <w:footnoteRef/>
      </w:r>
      <w:r>
        <w:t xml:space="preserve"> </w:t>
      </w:r>
      <w:r>
        <w:rPr>
          <w:rStyle w:val="normaltextrun"/>
          <w:rFonts w:eastAsiaTheme="majorEastAsia"/>
          <w:color w:val="000000"/>
          <w:sz w:val="22"/>
          <w:szCs w:val="22"/>
          <w:lang w:val="en-GB"/>
        </w:rPr>
        <w:t xml:space="preserve">For details on project risk management, please refer to the </w:t>
      </w:r>
      <w:hyperlink r:id="rId1" w:tgtFrame="_blank" w:history="1">
        <w:r>
          <w:rPr>
            <w:rStyle w:val="normaltextrun"/>
            <w:rFonts w:eastAsiaTheme="majorEastAsia"/>
            <w:color w:val="0070C0"/>
            <w:sz w:val="22"/>
            <w:szCs w:val="22"/>
            <w:u w:val="single"/>
            <w:lang w:val="en-GB"/>
          </w:rPr>
          <w:t>UNCDF Enterprise Risk Management Policy</w:t>
        </w:r>
      </w:hyperlink>
      <w:r>
        <w:rPr>
          <w:rStyle w:val="normaltextrun"/>
          <w:rFonts w:eastAsiaTheme="majorEastAsia"/>
          <w:color w:val="000000"/>
          <w:sz w:val="22"/>
          <w:szCs w:val="22"/>
          <w:lang w:val="en-GB"/>
        </w:rPr>
        <w:t>). </w:t>
      </w:r>
      <w:r>
        <w:rPr>
          <w:rStyle w:val="eop"/>
          <w:rFonts w:eastAsiaTheme="majorEastAsia"/>
          <w:color w:val="000000"/>
          <w:sz w:val="22"/>
          <w:szCs w:val="22"/>
        </w:rPr>
        <w:t> </w:t>
      </w:r>
    </w:p>
    <w:p w14:paraId="2862E1D5" w14:textId="50858A2F" w:rsidR="00A94F15" w:rsidRDefault="00A94F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4B6C60" w14:paraId="1D37E45E" w14:textId="77777777" w:rsidTr="314B6C60">
      <w:trPr>
        <w:trHeight w:val="300"/>
      </w:trPr>
      <w:tc>
        <w:tcPr>
          <w:tcW w:w="3120" w:type="dxa"/>
        </w:tcPr>
        <w:p w14:paraId="4D96FFFE" w14:textId="6D558A7C" w:rsidR="314B6C60" w:rsidRDefault="314B6C60" w:rsidP="314B6C60">
          <w:pPr>
            <w:pStyle w:val="Header"/>
            <w:ind w:left="-115"/>
          </w:pPr>
        </w:p>
      </w:tc>
      <w:tc>
        <w:tcPr>
          <w:tcW w:w="3120" w:type="dxa"/>
        </w:tcPr>
        <w:p w14:paraId="7531C06E" w14:textId="366D16DC" w:rsidR="314B6C60" w:rsidRDefault="314B6C60" w:rsidP="314B6C60">
          <w:pPr>
            <w:pStyle w:val="Header"/>
            <w:jc w:val="center"/>
          </w:pPr>
        </w:p>
      </w:tc>
      <w:tc>
        <w:tcPr>
          <w:tcW w:w="3120" w:type="dxa"/>
        </w:tcPr>
        <w:p w14:paraId="01B6F5C8" w14:textId="3450A1C3" w:rsidR="314B6C60" w:rsidRDefault="314B6C60" w:rsidP="314B6C60">
          <w:pPr>
            <w:pStyle w:val="Header"/>
            <w:ind w:right="-115"/>
            <w:jc w:val="right"/>
          </w:pPr>
        </w:p>
      </w:tc>
    </w:tr>
  </w:tbl>
  <w:p w14:paraId="45ED2E39" w14:textId="03DBBB58" w:rsidR="314B6C60" w:rsidRDefault="314B6C60" w:rsidP="314B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FD1"/>
    <w:multiLevelType w:val="multilevel"/>
    <w:tmpl w:val="B0505E6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101E4E"/>
    <w:multiLevelType w:val="multilevel"/>
    <w:tmpl w:val="91FAC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D6C98"/>
    <w:multiLevelType w:val="multilevel"/>
    <w:tmpl w:val="C51C40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85316F8"/>
    <w:multiLevelType w:val="hybridMultilevel"/>
    <w:tmpl w:val="6A00F7B0"/>
    <w:lvl w:ilvl="0" w:tplc="03E0FC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DB79B0"/>
    <w:multiLevelType w:val="multilevel"/>
    <w:tmpl w:val="5D9A30E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90A7739"/>
    <w:multiLevelType w:val="multilevel"/>
    <w:tmpl w:val="0FEE8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D13F2"/>
    <w:multiLevelType w:val="multilevel"/>
    <w:tmpl w:val="E08A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B5CE5"/>
    <w:multiLevelType w:val="multilevel"/>
    <w:tmpl w:val="25207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613883"/>
    <w:multiLevelType w:val="multilevel"/>
    <w:tmpl w:val="6CFA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9619B"/>
    <w:multiLevelType w:val="hybridMultilevel"/>
    <w:tmpl w:val="F96C4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C45B1"/>
    <w:multiLevelType w:val="multilevel"/>
    <w:tmpl w:val="B74A0B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3B77EDC"/>
    <w:multiLevelType w:val="multilevel"/>
    <w:tmpl w:val="0A3AA0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7B70EF"/>
    <w:multiLevelType w:val="multilevel"/>
    <w:tmpl w:val="C4E2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B67EC"/>
    <w:multiLevelType w:val="multilevel"/>
    <w:tmpl w:val="0BDE8D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ED34953"/>
    <w:multiLevelType w:val="multilevel"/>
    <w:tmpl w:val="71229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C00B65"/>
    <w:multiLevelType w:val="multilevel"/>
    <w:tmpl w:val="9B44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84F96"/>
    <w:multiLevelType w:val="multilevel"/>
    <w:tmpl w:val="F43C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180D83"/>
    <w:multiLevelType w:val="hybridMultilevel"/>
    <w:tmpl w:val="392E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D58AD"/>
    <w:multiLevelType w:val="multilevel"/>
    <w:tmpl w:val="35B48A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7844A7"/>
    <w:multiLevelType w:val="multilevel"/>
    <w:tmpl w:val="F8242EF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2C185A03"/>
    <w:multiLevelType w:val="multilevel"/>
    <w:tmpl w:val="01A450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C07388"/>
    <w:multiLevelType w:val="multilevel"/>
    <w:tmpl w:val="E8D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F4289D"/>
    <w:multiLevelType w:val="multilevel"/>
    <w:tmpl w:val="8C88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7360B"/>
    <w:multiLevelType w:val="multilevel"/>
    <w:tmpl w:val="FCDC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B20E6"/>
    <w:multiLevelType w:val="multilevel"/>
    <w:tmpl w:val="A532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E1222A"/>
    <w:multiLevelType w:val="multilevel"/>
    <w:tmpl w:val="B114CA9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3739504C"/>
    <w:multiLevelType w:val="multilevel"/>
    <w:tmpl w:val="636A39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383E4F36"/>
    <w:multiLevelType w:val="multilevel"/>
    <w:tmpl w:val="1E0A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064F3F"/>
    <w:multiLevelType w:val="multilevel"/>
    <w:tmpl w:val="D112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C62F6"/>
    <w:multiLevelType w:val="multilevel"/>
    <w:tmpl w:val="96EC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BF1BD2"/>
    <w:multiLevelType w:val="multilevel"/>
    <w:tmpl w:val="13A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23691"/>
    <w:multiLevelType w:val="multilevel"/>
    <w:tmpl w:val="2172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6076F3"/>
    <w:multiLevelType w:val="multilevel"/>
    <w:tmpl w:val="4B26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D8282B"/>
    <w:multiLevelType w:val="multilevel"/>
    <w:tmpl w:val="4236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DC2AA4"/>
    <w:multiLevelType w:val="multilevel"/>
    <w:tmpl w:val="2EACCC1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4E640E70"/>
    <w:multiLevelType w:val="multilevel"/>
    <w:tmpl w:val="367C7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2F7229"/>
    <w:multiLevelType w:val="multilevel"/>
    <w:tmpl w:val="C026F6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54272D2B"/>
    <w:multiLevelType w:val="multilevel"/>
    <w:tmpl w:val="F0F46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9D5AF3"/>
    <w:multiLevelType w:val="multilevel"/>
    <w:tmpl w:val="B694F3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55723460"/>
    <w:multiLevelType w:val="multilevel"/>
    <w:tmpl w:val="26C809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9A5645C"/>
    <w:multiLevelType w:val="multilevel"/>
    <w:tmpl w:val="B930EC5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5A151E44"/>
    <w:multiLevelType w:val="multilevel"/>
    <w:tmpl w:val="A9C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076407"/>
    <w:multiLevelType w:val="multilevel"/>
    <w:tmpl w:val="5234E8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5B3723A2"/>
    <w:multiLevelType w:val="multilevel"/>
    <w:tmpl w:val="572238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61997B1D"/>
    <w:multiLevelType w:val="multilevel"/>
    <w:tmpl w:val="D1E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3C6F87"/>
    <w:multiLevelType w:val="multilevel"/>
    <w:tmpl w:val="DFEC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521CD0"/>
    <w:multiLevelType w:val="multilevel"/>
    <w:tmpl w:val="0476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BE453F"/>
    <w:multiLevelType w:val="multilevel"/>
    <w:tmpl w:val="75AE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61234D"/>
    <w:multiLevelType w:val="multilevel"/>
    <w:tmpl w:val="089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B6378"/>
    <w:multiLevelType w:val="multilevel"/>
    <w:tmpl w:val="98A8C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D30023"/>
    <w:multiLevelType w:val="multilevel"/>
    <w:tmpl w:val="C8DC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3D51A2"/>
    <w:multiLevelType w:val="multilevel"/>
    <w:tmpl w:val="EBFC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BA06F9"/>
    <w:multiLevelType w:val="multilevel"/>
    <w:tmpl w:val="58A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E13AE6"/>
    <w:multiLevelType w:val="multilevel"/>
    <w:tmpl w:val="730871D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6D2D201E"/>
    <w:multiLevelType w:val="multilevel"/>
    <w:tmpl w:val="ADE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E93580"/>
    <w:multiLevelType w:val="multilevel"/>
    <w:tmpl w:val="5D4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DF4D35"/>
    <w:multiLevelType w:val="multilevel"/>
    <w:tmpl w:val="5290F87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72707614"/>
    <w:multiLevelType w:val="multilevel"/>
    <w:tmpl w:val="6D20ED7E"/>
    <w:lvl w:ilvl="0">
      <w:start w:val="1"/>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58" w15:restartNumberingAfterBreak="0">
    <w:nsid w:val="72D816C7"/>
    <w:multiLevelType w:val="multilevel"/>
    <w:tmpl w:val="E7A6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EC1FB5"/>
    <w:multiLevelType w:val="multilevel"/>
    <w:tmpl w:val="3350E91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738922EA"/>
    <w:multiLevelType w:val="multilevel"/>
    <w:tmpl w:val="5F8A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C33DA2"/>
    <w:multiLevelType w:val="multilevel"/>
    <w:tmpl w:val="64BC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083990">
    <w:abstractNumId w:val="50"/>
  </w:num>
  <w:num w:numId="2" w16cid:durableId="1433159107">
    <w:abstractNumId w:val="14"/>
  </w:num>
  <w:num w:numId="3" w16cid:durableId="91173212">
    <w:abstractNumId w:val="7"/>
  </w:num>
  <w:num w:numId="4" w16cid:durableId="1866559256">
    <w:abstractNumId w:val="60"/>
  </w:num>
  <w:num w:numId="5" w16cid:durableId="778715621">
    <w:abstractNumId w:val="11"/>
  </w:num>
  <w:num w:numId="6" w16cid:durableId="1187871729">
    <w:abstractNumId w:val="44"/>
  </w:num>
  <w:num w:numId="7" w16cid:durableId="1261328313">
    <w:abstractNumId w:val="18"/>
  </w:num>
  <w:num w:numId="8" w16cid:durableId="2102605597">
    <w:abstractNumId w:val="20"/>
  </w:num>
  <w:num w:numId="9" w16cid:durableId="321743680">
    <w:abstractNumId w:val="47"/>
  </w:num>
  <w:num w:numId="10" w16cid:durableId="1152212932">
    <w:abstractNumId w:val="37"/>
  </w:num>
  <w:num w:numId="11" w16cid:durableId="1976638272">
    <w:abstractNumId w:val="49"/>
  </w:num>
  <w:num w:numId="12" w16cid:durableId="503937904">
    <w:abstractNumId w:val="12"/>
  </w:num>
  <w:num w:numId="13" w16cid:durableId="1562866973">
    <w:abstractNumId w:val="17"/>
  </w:num>
  <w:num w:numId="14" w16cid:durableId="344216068">
    <w:abstractNumId w:val="39"/>
  </w:num>
  <w:num w:numId="15" w16cid:durableId="809251156">
    <w:abstractNumId w:val="19"/>
  </w:num>
  <w:num w:numId="16" w16cid:durableId="431970867">
    <w:abstractNumId w:val="0"/>
  </w:num>
  <w:num w:numId="17" w16cid:durableId="530415078">
    <w:abstractNumId w:val="2"/>
  </w:num>
  <w:num w:numId="18" w16cid:durableId="56320840">
    <w:abstractNumId w:val="34"/>
  </w:num>
  <w:num w:numId="19" w16cid:durableId="226232925">
    <w:abstractNumId w:val="26"/>
  </w:num>
  <w:num w:numId="20" w16cid:durableId="605697880">
    <w:abstractNumId w:val="10"/>
  </w:num>
  <w:num w:numId="21" w16cid:durableId="129250266">
    <w:abstractNumId w:val="13"/>
  </w:num>
  <w:num w:numId="22" w16cid:durableId="1750537897">
    <w:abstractNumId w:val="59"/>
  </w:num>
  <w:num w:numId="23" w16cid:durableId="1059136594">
    <w:abstractNumId w:val="40"/>
  </w:num>
  <w:num w:numId="24" w16cid:durableId="743769833">
    <w:abstractNumId w:val="56"/>
  </w:num>
  <w:num w:numId="25" w16cid:durableId="1396124980">
    <w:abstractNumId w:val="25"/>
  </w:num>
  <w:num w:numId="26" w16cid:durableId="1073746587">
    <w:abstractNumId w:val="9"/>
  </w:num>
  <w:num w:numId="27" w16cid:durableId="133527617">
    <w:abstractNumId w:val="43"/>
  </w:num>
  <w:num w:numId="28" w16cid:durableId="1224680600">
    <w:abstractNumId w:val="57"/>
  </w:num>
  <w:num w:numId="29" w16cid:durableId="201870988">
    <w:abstractNumId w:val="36"/>
  </w:num>
  <w:num w:numId="30" w16cid:durableId="1736315354">
    <w:abstractNumId w:val="4"/>
  </w:num>
  <w:num w:numId="31" w16cid:durableId="151262831">
    <w:abstractNumId w:val="53"/>
  </w:num>
  <w:num w:numId="32" w16cid:durableId="983581557">
    <w:abstractNumId w:val="33"/>
  </w:num>
  <w:num w:numId="33" w16cid:durableId="1770813379">
    <w:abstractNumId w:val="1"/>
  </w:num>
  <w:num w:numId="34" w16cid:durableId="1891260191">
    <w:abstractNumId w:val="35"/>
  </w:num>
  <w:num w:numId="35" w16cid:durableId="1545100940">
    <w:abstractNumId w:val="5"/>
  </w:num>
  <w:num w:numId="36" w16cid:durableId="650913612">
    <w:abstractNumId w:val="38"/>
  </w:num>
  <w:num w:numId="37" w16cid:durableId="624965200">
    <w:abstractNumId w:val="42"/>
  </w:num>
  <w:num w:numId="38" w16cid:durableId="1827472699">
    <w:abstractNumId w:val="32"/>
  </w:num>
  <w:num w:numId="39" w16cid:durableId="1253467064">
    <w:abstractNumId w:val="45"/>
  </w:num>
  <w:num w:numId="40" w16cid:durableId="554662146">
    <w:abstractNumId w:val="31"/>
  </w:num>
  <w:num w:numId="41" w16cid:durableId="962805609">
    <w:abstractNumId w:val="16"/>
  </w:num>
  <w:num w:numId="42" w16cid:durableId="519973270">
    <w:abstractNumId w:val="29"/>
  </w:num>
  <w:num w:numId="43" w16cid:durableId="1602030387">
    <w:abstractNumId w:val="6"/>
  </w:num>
  <w:num w:numId="44" w16cid:durableId="965087061">
    <w:abstractNumId w:val="46"/>
  </w:num>
  <w:num w:numId="45" w16cid:durableId="1125542298">
    <w:abstractNumId w:val="52"/>
  </w:num>
  <w:num w:numId="46" w16cid:durableId="1458991404">
    <w:abstractNumId w:val="51"/>
  </w:num>
  <w:num w:numId="47" w16cid:durableId="98720534">
    <w:abstractNumId w:val="58"/>
  </w:num>
  <w:num w:numId="48" w16cid:durableId="934241022">
    <w:abstractNumId w:val="24"/>
  </w:num>
  <w:num w:numId="49" w16cid:durableId="1952856352">
    <w:abstractNumId w:val="55"/>
  </w:num>
  <w:num w:numId="50" w16cid:durableId="2138405480">
    <w:abstractNumId w:val="28"/>
  </w:num>
  <w:num w:numId="51" w16cid:durableId="253050280">
    <w:abstractNumId w:val="22"/>
  </w:num>
  <w:num w:numId="52" w16cid:durableId="1555849841">
    <w:abstractNumId w:val="15"/>
  </w:num>
  <w:num w:numId="53" w16cid:durableId="423041393">
    <w:abstractNumId w:val="48"/>
  </w:num>
  <w:num w:numId="54" w16cid:durableId="1493716045">
    <w:abstractNumId w:val="30"/>
  </w:num>
  <w:num w:numId="55" w16cid:durableId="1953828535">
    <w:abstractNumId w:val="54"/>
  </w:num>
  <w:num w:numId="56" w16cid:durableId="1983610044">
    <w:abstractNumId w:val="21"/>
  </w:num>
  <w:num w:numId="57" w16cid:durableId="789858931">
    <w:abstractNumId w:val="41"/>
  </w:num>
  <w:num w:numId="58" w16cid:durableId="1722554619">
    <w:abstractNumId w:val="61"/>
  </w:num>
  <w:num w:numId="59" w16cid:durableId="1674411524">
    <w:abstractNumId w:val="8"/>
  </w:num>
  <w:num w:numId="60" w16cid:durableId="665018719">
    <w:abstractNumId w:val="23"/>
  </w:num>
  <w:num w:numId="61" w16cid:durableId="2088769083">
    <w:abstractNumId w:val="27"/>
  </w:num>
  <w:num w:numId="62" w16cid:durableId="1679309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FE"/>
    <w:rsid w:val="0008021A"/>
    <w:rsid w:val="00096172"/>
    <w:rsid w:val="000977A8"/>
    <w:rsid w:val="000A6C51"/>
    <w:rsid w:val="000C0A44"/>
    <w:rsid w:val="000E2F0A"/>
    <w:rsid w:val="001012B6"/>
    <w:rsid w:val="001170C3"/>
    <w:rsid w:val="001170C5"/>
    <w:rsid w:val="00135294"/>
    <w:rsid w:val="0014552B"/>
    <w:rsid w:val="00162EA1"/>
    <w:rsid w:val="001C36CB"/>
    <w:rsid w:val="001D68F2"/>
    <w:rsid w:val="001E168E"/>
    <w:rsid w:val="001E3075"/>
    <w:rsid w:val="002026F7"/>
    <w:rsid w:val="00204A9A"/>
    <w:rsid w:val="00244001"/>
    <w:rsid w:val="002755D5"/>
    <w:rsid w:val="00284849"/>
    <w:rsid w:val="002C3026"/>
    <w:rsid w:val="002F1887"/>
    <w:rsid w:val="00311401"/>
    <w:rsid w:val="00376502"/>
    <w:rsid w:val="00381827"/>
    <w:rsid w:val="003E2B54"/>
    <w:rsid w:val="004567ED"/>
    <w:rsid w:val="00460955"/>
    <w:rsid w:val="00471964"/>
    <w:rsid w:val="00495EA6"/>
    <w:rsid w:val="004D1F89"/>
    <w:rsid w:val="00524001"/>
    <w:rsid w:val="005703C8"/>
    <w:rsid w:val="0057616B"/>
    <w:rsid w:val="005844FA"/>
    <w:rsid w:val="005B520C"/>
    <w:rsid w:val="00620E14"/>
    <w:rsid w:val="006469E3"/>
    <w:rsid w:val="0069052F"/>
    <w:rsid w:val="006E0E1E"/>
    <w:rsid w:val="006E2F29"/>
    <w:rsid w:val="007245CE"/>
    <w:rsid w:val="00731DE1"/>
    <w:rsid w:val="0073407F"/>
    <w:rsid w:val="007B68F6"/>
    <w:rsid w:val="007D5110"/>
    <w:rsid w:val="007E49DB"/>
    <w:rsid w:val="007F670D"/>
    <w:rsid w:val="007F7A0E"/>
    <w:rsid w:val="008018C7"/>
    <w:rsid w:val="0080445B"/>
    <w:rsid w:val="00891A82"/>
    <w:rsid w:val="008E222E"/>
    <w:rsid w:val="008E546C"/>
    <w:rsid w:val="008F4652"/>
    <w:rsid w:val="00937D1F"/>
    <w:rsid w:val="00965EE0"/>
    <w:rsid w:val="00993C6B"/>
    <w:rsid w:val="009C1F3F"/>
    <w:rsid w:val="00A200D3"/>
    <w:rsid w:val="00A65E7A"/>
    <w:rsid w:val="00A678DE"/>
    <w:rsid w:val="00A761E3"/>
    <w:rsid w:val="00A94F15"/>
    <w:rsid w:val="00AD2258"/>
    <w:rsid w:val="00AD59B7"/>
    <w:rsid w:val="00B4172F"/>
    <w:rsid w:val="00B51F46"/>
    <w:rsid w:val="00B65B5D"/>
    <w:rsid w:val="00BE1A8C"/>
    <w:rsid w:val="00C728B4"/>
    <w:rsid w:val="00C87691"/>
    <w:rsid w:val="00CA53B6"/>
    <w:rsid w:val="00CB27B6"/>
    <w:rsid w:val="00CF7CA5"/>
    <w:rsid w:val="00D75A4B"/>
    <w:rsid w:val="00D82CCD"/>
    <w:rsid w:val="00DA2A7C"/>
    <w:rsid w:val="00DC0BDD"/>
    <w:rsid w:val="00DF1144"/>
    <w:rsid w:val="00E00BFE"/>
    <w:rsid w:val="00E84F6E"/>
    <w:rsid w:val="00E95B48"/>
    <w:rsid w:val="00EB4D4C"/>
    <w:rsid w:val="00EE630C"/>
    <w:rsid w:val="00F55A50"/>
    <w:rsid w:val="00F70039"/>
    <w:rsid w:val="00F94BF5"/>
    <w:rsid w:val="00F9746B"/>
    <w:rsid w:val="0DD4DE19"/>
    <w:rsid w:val="314B6C60"/>
    <w:rsid w:val="3A902CCA"/>
    <w:rsid w:val="4463663B"/>
    <w:rsid w:val="45AB9615"/>
    <w:rsid w:val="49065785"/>
    <w:rsid w:val="49EA3BF0"/>
    <w:rsid w:val="57FEF99D"/>
    <w:rsid w:val="5A1AD9A7"/>
    <w:rsid w:val="63F84076"/>
    <w:rsid w:val="67D0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C148E"/>
  <w15:chartTrackingRefBased/>
  <w15:docId w15:val="{2CB1DFC4-66E5-4476-9C94-5AD0E9DD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libri" w:hAnsi="Calibri" w:cs="Calibri"/>
      <w:b/>
      <w:bCs/>
      <w:color w:val="000000"/>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Calibri" w:hAnsi="Calibri" w:cs="Calibri"/>
      <w:b/>
      <w:bCs/>
      <w:color w:val="0099CC"/>
      <w:sz w:val="36"/>
      <w:szCs w:val="36"/>
    </w:rPr>
  </w:style>
  <w:style w:type="paragraph" w:styleId="Heading3">
    <w:name w:val="heading 3"/>
    <w:basedOn w:val="Normal"/>
    <w:next w:val="Normal"/>
    <w:link w:val="Heading3Char"/>
    <w:uiPriority w:val="9"/>
    <w:unhideWhenUsed/>
    <w:qFormat/>
    <w:rsid w:val="00D75A4B"/>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uiPriority w:val="9"/>
    <w:qFormat/>
    <w:pPr>
      <w:spacing w:before="100" w:beforeAutospacing="1" w:after="100" w:afterAutospacing="1"/>
      <w:outlineLvl w:val="3"/>
    </w:pPr>
    <w:rPr>
      <w:rFonts w:ascii="Calibri" w:hAnsi="Calibri" w:cs="Calibri"/>
      <w:b/>
      <w:bCs/>
      <w:color w:val="000000"/>
    </w:rPr>
  </w:style>
  <w:style w:type="paragraph" w:styleId="Heading5">
    <w:name w:val="heading 5"/>
    <w:basedOn w:val="Normal"/>
    <w:link w:val="Heading5Char"/>
    <w:uiPriority w:val="9"/>
    <w:qFormat/>
    <w:pPr>
      <w:spacing w:before="100" w:beforeAutospacing="1" w:after="100" w:afterAutospacing="1"/>
      <w:outlineLvl w:val="4"/>
    </w:pPr>
    <w:rPr>
      <w:rFonts w:ascii="Calibri" w:hAnsi="Calibri" w:cs="Calibri"/>
      <w:color w:val="000000"/>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Calibri" w:hAnsi="Calibri" w:cs="Calibri"/>
      <w:color w:val="FF0000"/>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ex">
    <w:name w:val="ex"/>
    <w:basedOn w:val="Normal"/>
    <w:pPr>
      <w:spacing w:before="100" w:beforeAutospacing="1" w:after="100" w:afterAutospacing="1"/>
    </w:pPr>
    <w:rPr>
      <w:rFonts w:ascii="Calibri" w:hAnsi="Calibri" w:cs="Calibri"/>
      <w:b/>
      <w:bCs/>
      <w:color w:val="1F4E79"/>
    </w:rPr>
  </w:style>
  <w:style w:type="paragraph" w:styleId="NormalWeb">
    <w:name w:val="Normal (Web)"/>
    <w:basedOn w:val="Normal"/>
    <w:uiPriority w:val="99"/>
    <w:unhideWhenUsed/>
    <w:pPr>
      <w:spacing w:before="100" w:beforeAutospacing="1" w:after="100" w:afterAutospacing="1"/>
    </w:pPr>
  </w:style>
  <w:style w:type="paragraph" w:customStyle="1" w:styleId="oj-listview-no-data-item">
    <w:name w:val="oj-listview-no-data-item"/>
    <w:basedOn w:val="Normal"/>
    <w:pPr>
      <w:spacing w:before="100" w:beforeAutospacing="1" w:after="100" w:afterAutospacing="1"/>
    </w:pPr>
  </w:style>
  <w:style w:type="character" w:customStyle="1" w:styleId="oj-listview-no-data-cell-element">
    <w:name w:val="oj-listview-no-data-cell-element"/>
    <w:basedOn w:val="DefaultParagraphFont"/>
  </w:style>
  <w:style w:type="paragraph" w:styleId="TOC3">
    <w:name w:val="toc 3"/>
    <w:basedOn w:val="Normal"/>
    <w:next w:val="Normal"/>
    <w:autoRedefine/>
    <w:uiPriority w:val="39"/>
    <w:unhideWhenUsed/>
    <w:rsid w:val="00E95B48"/>
    <w:pPr>
      <w:spacing w:after="100"/>
      <w:ind w:left="480"/>
    </w:pPr>
  </w:style>
  <w:style w:type="paragraph" w:styleId="TOC1">
    <w:name w:val="toc 1"/>
    <w:basedOn w:val="Normal"/>
    <w:next w:val="Normal"/>
    <w:autoRedefine/>
    <w:uiPriority w:val="39"/>
    <w:unhideWhenUsed/>
    <w:rsid w:val="00E95B48"/>
    <w:pPr>
      <w:spacing w:after="100"/>
    </w:pPr>
  </w:style>
  <w:style w:type="character" w:styleId="Hyperlink">
    <w:name w:val="Hyperlink"/>
    <w:basedOn w:val="DefaultParagraphFont"/>
    <w:uiPriority w:val="99"/>
    <w:unhideWhenUsed/>
    <w:rsid w:val="00E95B48"/>
    <w:rPr>
      <w:color w:val="467886" w:themeColor="hyperlink"/>
      <w:u w:val="single"/>
    </w:rPr>
  </w:style>
  <w:style w:type="paragraph" w:customStyle="1" w:styleId="paragraph">
    <w:name w:val="paragraph"/>
    <w:basedOn w:val="Normal"/>
    <w:rsid w:val="00E95B48"/>
    <w:pPr>
      <w:spacing w:before="100" w:beforeAutospacing="1" w:after="100" w:afterAutospacing="1"/>
    </w:pPr>
    <w:rPr>
      <w:rFonts w:eastAsia="Times New Roman"/>
    </w:rPr>
  </w:style>
  <w:style w:type="character" w:customStyle="1" w:styleId="normaltextrun">
    <w:name w:val="normaltextrun"/>
    <w:basedOn w:val="DefaultParagraphFont"/>
    <w:rsid w:val="00E95B48"/>
  </w:style>
  <w:style w:type="character" w:customStyle="1" w:styleId="eop">
    <w:name w:val="eop"/>
    <w:basedOn w:val="DefaultParagraphFont"/>
    <w:rsid w:val="00E95B48"/>
  </w:style>
  <w:style w:type="paragraph" w:styleId="Header">
    <w:name w:val="header"/>
    <w:basedOn w:val="Normal"/>
    <w:uiPriority w:val="99"/>
    <w:unhideWhenUsed/>
    <w:rsid w:val="314B6C60"/>
    <w:pPr>
      <w:tabs>
        <w:tab w:val="center" w:pos="4680"/>
        <w:tab w:val="right" w:pos="9360"/>
      </w:tabs>
    </w:pPr>
  </w:style>
  <w:style w:type="paragraph" w:styleId="Footer">
    <w:name w:val="footer"/>
    <w:basedOn w:val="Normal"/>
    <w:uiPriority w:val="99"/>
    <w:unhideWhenUsed/>
    <w:rsid w:val="314B6C6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A2A7C"/>
    <w:rPr>
      <w:rFonts w:eastAsiaTheme="minorEastAsia"/>
      <w:sz w:val="24"/>
      <w:szCs w:val="24"/>
    </w:rPr>
  </w:style>
  <w:style w:type="paragraph" w:styleId="FootnoteText">
    <w:name w:val="footnote text"/>
    <w:basedOn w:val="Normal"/>
    <w:link w:val="FootnoteTextChar"/>
    <w:uiPriority w:val="99"/>
    <w:semiHidden/>
    <w:unhideWhenUsed/>
    <w:rsid w:val="00A94F15"/>
    <w:rPr>
      <w:sz w:val="20"/>
      <w:szCs w:val="20"/>
    </w:rPr>
  </w:style>
  <w:style w:type="character" w:customStyle="1" w:styleId="FootnoteTextChar">
    <w:name w:val="Footnote Text Char"/>
    <w:basedOn w:val="DefaultParagraphFont"/>
    <w:link w:val="FootnoteText"/>
    <w:uiPriority w:val="99"/>
    <w:semiHidden/>
    <w:rsid w:val="00A94F15"/>
    <w:rPr>
      <w:rFonts w:eastAsiaTheme="minorEastAsia"/>
    </w:rPr>
  </w:style>
  <w:style w:type="character" w:styleId="FootnoteReference">
    <w:name w:val="footnote reference"/>
    <w:basedOn w:val="DefaultParagraphFont"/>
    <w:uiPriority w:val="99"/>
    <w:semiHidden/>
    <w:unhideWhenUsed/>
    <w:rsid w:val="00A94F15"/>
    <w:rPr>
      <w:vertAlign w:val="superscript"/>
    </w:rPr>
  </w:style>
  <w:style w:type="character" w:styleId="Strong">
    <w:name w:val="Strong"/>
    <w:basedOn w:val="DefaultParagraphFont"/>
    <w:uiPriority w:val="22"/>
    <w:qFormat/>
    <w:rsid w:val="00471964"/>
    <w:rPr>
      <w:b/>
      <w:bCs/>
    </w:rPr>
  </w:style>
  <w:style w:type="character" w:customStyle="1" w:styleId="relative">
    <w:name w:val="relative"/>
    <w:basedOn w:val="DefaultParagraphFont"/>
    <w:rsid w:val="00471964"/>
  </w:style>
  <w:style w:type="paragraph" w:customStyle="1" w:styleId="not-prose">
    <w:name w:val="not-prose"/>
    <w:basedOn w:val="Normal"/>
    <w:rsid w:val="00471964"/>
    <w:pPr>
      <w:spacing w:before="100" w:beforeAutospacing="1" w:after="100" w:afterAutospacing="1"/>
    </w:pPr>
    <w:rPr>
      <w:rFonts w:eastAsia="Times New Roman"/>
      <w:lang w:val="en-FR" w:eastAsia="en-GB"/>
    </w:rPr>
  </w:style>
  <w:style w:type="character" w:customStyle="1" w:styleId="Heading3Char">
    <w:name w:val="Heading 3 Char"/>
    <w:basedOn w:val="DefaultParagraphFont"/>
    <w:link w:val="Heading3"/>
    <w:uiPriority w:val="9"/>
    <w:rsid w:val="00D75A4B"/>
    <w:rPr>
      <w:rFonts w:asciiTheme="majorHAnsi" w:eastAsiaTheme="majorEastAsia" w:hAnsiTheme="majorHAnsi" w:cstheme="majorBidi"/>
      <w:color w:val="0A2F40" w:themeColor="accent1" w:themeShade="7F"/>
      <w:sz w:val="24"/>
      <w:szCs w:val="24"/>
    </w:rPr>
  </w:style>
  <w:style w:type="paragraph" w:styleId="ListParagraph">
    <w:name w:val="List Paragraph"/>
    <w:basedOn w:val="Normal"/>
    <w:uiPriority w:val="34"/>
    <w:qFormat/>
    <w:rsid w:val="00CB27B6"/>
    <w:pPr>
      <w:ind w:left="720"/>
      <w:contextualSpacing/>
    </w:pPr>
  </w:style>
  <w:style w:type="character" w:styleId="UnresolvedMention">
    <w:name w:val="Unresolved Mention"/>
    <w:basedOn w:val="DefaultParagraphFont"/>
    <w:uiPriority w:val="99"/>
    <w:semiHidden/>
    <w:unhideWhenUsed/>
    <w:rsid w:val="000C0A44"/>
    <w:rPr>
      <w:color w:val="605E5C"/>
      <w:shd w:val="clear" w:color="auto" w:fill="E1DFDD"/>
    </w:rPr>
  </w:style>
  <w:style w:type="paragraph" w:customStyle="1" w:styleId="EmptyCellLayoutStyle">
    <w:name w:val="EmptyCellLayoutStyle"/>
    <w:rsid w:val="00937D1F"/>
    <w:pPr>
      <w:spacing w:after="160" w:line="278" w:lineRule="auto"/>
    </w:pPr>
    <w:rPr>
      <w:sz w:val="2"/>
    </w:rPr>
  </w:style>
  <w:style w:type="character" w:styleId="FollowedHyperlink">
    <w:name w:val="FollowedHyperlink"/>
    <w:basedOn w:val="DefaultParagraphFont"/>
    <w:uiPriority w:val="99"/>
    <w:semiHidden/>
    <w:unhideWhenUsed/>
    <w:rsid w:val="001012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182">
      <w:marLeft w:val="0"/>
      <w:marRight w:val="0"/>
      <w:marTop w:val="0"/>
      <w:marBottom w:val="0"/>
      <w:divBdr>
        <w:top w:val="none" w:sz="0" w:space="0" w:color="auto"/>
        <w:left w:val="none" w:sz="0" w:space="0" w:color="auto"/>
        <w:bottom w:val="none" w:sz="0" w:space="0" w:color="auto"/>
        <w:right w:val="none" w:sz="0" w:space="0" w:color="auto"/>
      </w:divBdr>
      <w:divsChild>
        <w:div w:id="883175901">
          <w:marLeft w:val="0"/>
          <w:marRight w:val="0"/>
          <w:marTop w:val="0"/>
          <w:marBottom w:val="0"/>
          <w:divBdr>
            <w:top w:val="none" w:sz="0" w:space="0" w:color="auto"/>
            <w:left w:val="none" w:sz="0" w:space="0" w:color="auto"/>
            <w:bottom w:val="none" w:sz="0" w:space="0" w:color="auto"/>
            <w:right w:val="none" w:sz="0" w:space="0" w:color="auto"/>
          </w:divBdr>
        </w:div>
      </w:divsChild>
    </w:div>
    <w:div w:id="308363245">
      <w:marLeft w:val="0"/>
      <w:marRight w:val="0"/>
      <w:marTop w:val="0"/>
      <w:marBottom w:val="0"/>
      <w:divBdr>
        <w:top w:val="none" w:sz="0" w:space="0" w:color="auto"/>
        <w:left w:val="none" w:sz="0" w:space="0" w:color="auto"/>
        <w:bottom w:val="none" w:sz="0" w:space="0" w:color="auto"/>
        <w:right w:val="none" w:sz="0" w:space="0" w:color="auto"/>
      </w:divBdr>
      <w:divsChild>
        <w:div w:id="1602952998">
          <w:marLeft w:val="0"/>
          <w:marRight w:val="0"/>
          <w:marTop w:val="0"/>
          <w:marBottom w:val="0"/>
          <w:divBdr>
            <w:top w:val="none" w:sz="0" w:space="0" w:color="auto"/>
            <w:left w:val="none" w:sz="0" w:space="0" w:color="auto"/>
            <w:bottom w:val="none" w:sz="0" w:space="0" w:color="auto"/>
            <w:right w:val="none" w:sz="0" w:space="0" w:color="auto"/>
          </w:divBdr>
          <w:divsChild>
            <w:div w:id="204953705">
              <w:marLeft w:val="0"/>
              <w:marRight w:val="0"/>
              <w:marTop w:val="0"/>
              <w:marBottom w:val="0"/>
              <w:divBdr>
                <w:top w:val="none" w:sz="0" w:space="0" w:color="auto"/>
                <w:left w:val="none" w:sz="0" w:space="0" w:color="auto"/>
                <w:bottom w:val="none" w:sz="0" w:space="0" w:color="auto"/>
                <w:right w:val="none" w:sz="0" w:space="0" w:color="auto"/>
              </w:divBdr>
              <w:divsChild>
                <w:div w:id="760612728">
                  <w:marLeft w:val="0"/>
                  <w:marRight w:val="0"/>
                  <w:marTop w:val="0"/>
                  <w:marBottom w:val="0"/>
                  <w:divBdr>
                    <w:top w:val="none" w:sz="0" w:space="0" w:color="auto"/>
                    <w:left w:val="none" w:sz="0" w:space="0" w:color="auto"/>
                    <w:bottom w:val="none" w:sz="0" w:space="0" w:color="auto"/>
                    <w:right w:val="none" w:sz="0" w:space="0" w:color="auto"/>
                  </w:divBdr>
                  <w:divsChild>
                    <w:div w:id="796023913">
                      <w:marLeft w:val="0"/>
                      <w:marRight w:val="0"/>
                      <w:marTop w:val="0"/>
                      <w:marBottom w:val="0"/>
                      <w:divBdr>
                        <w:top w:val="none" w:sz="0" w:space="0" w:color="auto"/>
                        <w:left w:val="none" w:sz="0" w:space="0" w:color="auto"/>
                        <w:bottom w:val="none" w:sz="0" w:space="0" w:color="auto"/>
                        <w:right w:val="none" w:sz="0" w:space="0" w:color="auto"/>
                      </w:divBdr>
                      <w:divsChild>
                        <w:div w:id="1184636507">
                          <w:marLeft w:val="0"/>
                          <w:marRight w:val="0"/>
                          <w:marTop w:val="0"/>
                          <w:marBottom w:val="0"/>
                          <w:divBdr>
                            <w:top w:val="none" w:sz="0" w:space="0" w:color="auto"/>
                            <w:left w:val="none" w:sz="0" w:space="0" w:color="auto"/>
                            <w:bottom w:val="none" w:sz="0" w:space="0" w:color="auto"/>
                            <w:right w:val="none" w:sz="0" w:space="0" w:color="auto"/>
                          </w:divBdr>
                        </w:div>
                        <w:div w:id="198595298">
                          <w:marLeft w:val="0"/>
                          <w:marRight w:val="0"/>
                          <w:marTop w:val="0"/>
                          <w:marBottom w:val="0"/>
                          <w:divBdr>
                            <w:top w:val="none" w:sz="0" w:space="0" w:color="auto"/>
                            <w:left w:val="none" w:sz="0" w:space="0" w:color="auto"/>
                            <w:bottom w:val="none" w:sz="0" w:space="0" w:color="auto"/>
                            <w:right w:val="none" w:sz="0" w:space="0" w:color="auto"/>
                          </w:divBdr>
                        </w:div>
                        <w:div w:id="964504519">
                          <w:marLeft w:val="0"/>
                          <w:marRight w:val="0"/>
                          <w:marTop w:val="0"/>
                          <w:marBottom w:val="0"/>
                          <w:divBdr>
                            <w:top w:val="none" w:sz="0" w:space="0" w:color="auto"/>
                            <w:left w:val="none" w:sz="0" w:space="0" w:color="auto"/>
                            <w:bottom w:val="none" w:sz="0" w:space="0" w:color="auto"/>
                            <w:right w:val="none" w:sz="0" w:space="0" w:color="auto"/>
                          </w:divBdr>
                        </w:div>
                        <w:div w:id="1711951067">
                          <w:marLeft w:val="0"/>
                          <w:marRight w:val="0"/>
                          <w:marTop w:val="0"/>
                          <w:marBottom w:val="0"/>
                          <w:divBdr>
                            <w:top w:val="none" w:sz="0" w:space="0" w:color="auto"/>
                            <w:left w:val="none" w:sz="0" w:space="0" w:color="auto"/>
                            <w:bottom w:val="none" w:sz="0" w:space="0" w:color="auto"/>
                            <w:right w:val="none" w:sz="0" w:space="0" w:color="auto"/>
                          </w:divBdr>
                        </w:div>
                        <w:div w:id="2029601926">
                          <w:marLeft w:val="0"/>
                          <w:marRight w:val="0"/>
                          <w:marTop w:val="0"/>
                          <w:marBottom w:val="0"/>
                          <w:divBdr>
                            <w:top w:val="none" w:sz="0" w:space="0" w:color="auto"/>
                            <w:left w:val="none" w:sz="0" w:space="0" w:color="auto"/>
                            <w:bottom w:val="none" w:sz="0" w:space="0" w:color="auto"/>
                            <w:right w:val="none" w:sz="0" w:space="0" w:color="auto"/>
                          </w:divBdr>
                        </w:div>
                        <w:div w:id="2007903133">
                          <w:marLeft w:val="0"/>
                          <w:marRight w:val="0"/>
                          <w:marTop w:val="0"/>
                          <w:marBottom w:val="0"/>
                          <w:divBdr>
                            <w:top w:val="none" w:sz="0" w:space="0" w:color="auto"/>
                            <w:left w:val="none" w:sz="0" w:space="0" w:color="auto"/>
                            <w:bottom w:val="none" w:sz="0" w:space="0" w:color="auto"/>
                            <w:right w:val="none" w:sz="0" w:space="0" w:color="auto"/>
                          </w:divBdr>
                        </w:div>
                      </w:divsChild>
                    </w:div>
                    <w:div w:id="607346946">
                      <w:marLeft w:val="0"/>
                      <w:marRight w:val="0"/>
                      <w:marTop w:val="0"/>
                      <w:marBottom w:val="0"/>
                      <w:divBdr>
                        <w:top w:val="none" w:sz="0" w:space="0" w:color="auto"/>
                        <w:left w:val="none" w:sz="0" w:space="0" w:color="auto"/>
                        <w:bottom w:val="none" w:sz="0" w:space="0" w:color="auto"/>
                        <w:right w:val="none" w:sz="0" w:space="0" w:color="auto"/>
                      </w:divBdr>
                      <w:divsChild>
                        <w:div w:id="427967756">
                          <w:marLeft w:val="0"/>
                          <w:marRight w:val="0"/>
                          <w:marTop w:val="0"/>
                          <w:marBottom w:val="0"/>
                          <w:divBdr>
                            <w:top w:val="none" w:sz="0" w:space="0" w:color="auto"/>
                            <w:left w:val="none" w:sz="0" w:space="0" w:color="auto"/>
                            <w:bottom w:val="none" w:sz="0" w:space="0" w:color="auto"/>
                            <w:right w:val="none" w:sz="0" w:space="0" w:color="auto"/>
                          </w:divBdr>
                        </w:div>
                        <w:div w:id="1068378270">
                          <w:marLeft w:val="0"/>
                          <w:marRight w:val="0"/>
                          <w:marTop w:val="0"/>
                          <w:marBottom w:val="0"/>
                          <w:divBdr>
                            <w:top w:val="none" w:sz="0" w:space="0" w:color="auto"/>
                            <w:left w:val="none" w:sz="0" w:space="0" w:color="auto"/>
                            <w:bottom w:val="none" w:sz="0" w:space="0" w:color="auto"/>
                            <w:right w:val="none" w:sz="0" w:space="0" w:color="auto"/>
                          </w:divBdr>
                        </w:div>
                        <w:div w:id="13980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227897">
      <w:marLeft w:val="0"/>
      <w:marRight w:val="0"/>
      <w:marTop w:val="0"/>
      <w:marBottom w:val="0"/>
      <w:divBdr>
        <w:top w:val="none" w:sz="0" w:space="0" w:color="auto"/>
        <w:left w:val="none" w:sz="0" w:space="0" w:color="auto"/>
        <w:bottom w:val="none" w:sz="0" w:space="0" w:color="auto"/>
        <w:right w:val="none" w:sz="0" w:space="0" w:color="auto"/>
      </w:divBdr>
      <w:divsChild>
        <w:div w:id="797646868">
          <w:marLeft w:val="0"/>
          <w:marRight w:val="0"/>
          <w:marTop w:val="0"/>
          <w:marBottom w:val="0"/>
          <w:divBdr>
            <w:top w:val="none" w:sz="0" w:space="0" w:color="auto"/>
            <w:left w:val="none" w:sz="0" w:space="0" w:color="auto"/>
            <w:bottom w:val="none" w:sz="0" w:space="0" w:color="auto"/>
            <w:right w:val="none" w:sz="0" w:space="0" w:color="auto"/>
          </w:divBdr>
        </w:div>
      </w:divsChild>
    </w:div>
    <w:div w:id="1019817674">
      <w:marLeft w:val="0"/>
      <w:marRight w:val="0"/>
      <w:marTop w:val="0"/>
      <w:marBottom w:val="0"/>
      <w:divBdr>
        <w:top w:val="none" w:sz="0" w:space="0" w:color="auto"/>
        <w:left w:val="none" w:sz="0" w:space="0" w:color="auto"/>
        <w:bottom w:val="none" w:sz="0" w:space="0" w:color="auto"/>
        <w:right w:val="none" w:sz="0" w:space="0" w:color="auto"/>
      </w:divBdr>
      <w:divsChild>
        <w:div w:id="1197234781">
          <w:marLeft w:val="0"/>
          <w:marRight w:val="0"/>
          <w:marTop w:val="0"/>
          <w:marBottom w:val="0"/>
          <w:divBdr>
            <w:top w:val="none" w:sz="0" w:space="0" w:color="auto"/>
            <w:left w:val="none" w:sz="0" w:space="0" w:color="auto"/>
            <w:bottom w:val="none" w:sz="0" w:space="0" w:color="auto"/>
            <w:right w:val="none" w:sz="0" w:space="0" w:color="auto"/>
          </w:divBdr>
          <w:divsChild>
            <w:div w:id="425612332">
              <w:marLeft w:val="0"/>
              <w:marRight w:val="0"/>
              <w:marTop w:val="0"/>
              <w:marBottom w:val="0"/>
              <w:divBdr>
                <w:top w:val="none" w:sz="0" w:space="0" w:color="auto"/>
                <w:left w:val="none" w:sz="0" w:space="0" w:color="auto"/>
                <w:bottom w:val="none" w:sz="0" w:space="0" w:color="auto"/>
                <w:right w:val="none" w:sz="0" w:space="0" w:color="auto"/>
              </w:divBdr>
              <w:divsChild>
                <w:div w:id="1507481874">
                  <w:marLeft w:val="0"/>
                  <w:marRight w:val="0"/>
                  <w:marTop w:val="0"/>
                  <w:marBottom w:val="0"/>
                  <w:divBdr>
                    <w:top w:val="none" w:sz="0" w:space="0" w:color="auto"/>
                    <w:left w:val="none" w:sz="0" w:space="0" w:color="auto"/>
                    <w:bottom w:val="none" w:sz="0" w:space="0" w:color="auto"/>
                    <w:right w:val="none" w:sz="0" w:space="0" w:color="auto"/>
                  </w:divBdr>
                  <w:divsChild>
                    <w:div w:id="1015571025">
                      <w:marLeft w:val="0"/>
                      <w:marRight w:val="0"/>
                      <w:marTop w:val="0"/>
                      <w:marBottom w:val="0"/>
                      <w:divBdr>
                        <w:top w:val="none" w:sz="0" w:space="0" w:color="auto"/>
                        <w:left w:val="none" w:sz="0" w:space="0" w:color="auto"/>
                        <w:bottom w:val="none" w:sz="0" w:space="0" w:color="auto"/>
                        <w:right w:val="none" w:sz="0" w:space="0" w:color="auto"/>
                      </w:divBdr>
                    </w:div>
                    <w:div w:id="682443018">
                      <w:marLeft w:val="0"/>
                      <w:marRight w:val="0"/>
                      <w:marTop w:val="0"/>
                      <w:marBottom w:val="0"/>
                      <w:divBdr>
                        <w:top w:val="none" w:sz="0" w:space="0" w:color="auto"/>
                        <w:left w:val="none" w:sz="0" w:space="0" w:color="auto"/>
                        <w:bottom w:val="none" w:sz="0" w:space="0" w:color="auto"/>
                        <w:right w:val="none" w:sz="0" w:space="0" w:color="auto"/>
                      </w:divBdr>
                    </w:div>
                    <w:div w:id="245380547">
                      <w:marLeft w:val="0"/>
                      <w:marRight w:val="0"/>
                      <w:marTop w:val="0"/>
                      <w:marBottom w:val="0"/>
                      <w:divBdr>
                        <w:top w:val="none" w:sz="0" w:space="0" w:color="auto"/>
                        <w:left w:val="none" w:sz="0" w:space="0" w:color="auto"/>
                        <w:bottom w:val="none" w:sz="0" w:space="0" w:color="auto"/>
                        <w:right w:val="none" w:sz="0" w:space="0" w:color="auto"/>
                      </w:divBdr>
                    </w:div>
                    <w:div w:id="437258224">
                      <w:marLeft w:val="0"/>
                      <w:marRight w:val="0"/>
                      <w:marTop w:val="0"/>
                      <w:marBottom w:val="0"/>
                      <w:divBdr>
                        <w:top w:val="none" w:sz="0" w:space="0" w:color="auto"/>
                        <w:left w:val="none" w:sz="0" w:space="0" w:color="auto"/>
                        <w:bottom w:val="none" w:sz="0" w:space="0" w:color="auto"/>
                        <w:right w:val="none" w:sz="0" w:space="0" w:color="auto"/>
                      </w:divBdr>
                    </w:div>
                    <w:div w:id="619341243">
                      <w:marLeft w:val="0"/>
                      <w:marRight w:val="0"/>
                      <w:marTop w:val="0"/>
                      <w:marBottom w:val="0"/>
                      <w:divBdr>
                        <w:top w:val="none" w:sz="0" w:space="0" w:color="auto"/>
                        <w:left w:val="none" w:sz="0" w:space="0" w:color="auto"/>
                        <w:bottom w:val="none" w:sz="0" w:space="0" w:color="auto"/>
                        <w:right w:val="none" w:sz="0" w:space="0" w:color="auto"/>
                      </w:divBdr>
                    </w:div>
                    <w:div w:id="179124161">
                      <w:marLeft w:val="0"/>
                      <w:marRight w:val="0"/>
                      <w:marTop w:val="0"/>
                      <w:marBottom w:val="0"/>
                      <w:divBdr>
                        <w:top w:val="none" w:sz="0" w:space="0" w:color="auto"/>
                        <w:left w:val="none" w:sz="0" w:space="0" w:color="auto"/>
                        <w:bottom w:val="none" w:sz="0" w:space="0" w:color="auto"/>
                        <w:right w:val="none" w:sz="0" w:space="0" w:color="auto"/>
                      </w:divBdr>
                    </w:div>
                    <w:div w:id="2134976341">
                      <w:marLeft w:val="0"/>
                      <w:marRight w:val="0"/>
                      <w:marTop w:val="0"/>
                      <w:marBottom w:val="0"/>
                      <w:divBdr>
                        <w:top w:val="none" w:sz="0" w:space="0" w:color="auto"/>
                        <w:left w:val="none" w:sz="0" w:space="0" w:color="auto"/>
                        <w:bottom w:val="none" w:sz="0" w:space="0" w:color="auto"/>
                        <w:right w:val="none" w:sz="0" w:space="0" w:color="auto"/>
                      </w:divBdr>
                    </w:div>
                    <w:div w:id="19647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98900">
      <w:marLeft w:val="0"/>
      <w:marRight w:val="0"/>
      <w:marTop w:val="0"/>
      <w:marBottom w:val="0"/>
      <w:divBdr>
        <w:top w:val="none" w:sz="0" w:space="0" w:color="auto"/>
        <w:left w:val="none" w:sz="0" w:space="0" w:color="auto"/>
        <w:bottom w:val="none" w:sz="0" w:space="0" w:color="auto"/>
        <w:right w:val="none" w:sz="0" w:space="0" w:color="auto"/>
      </w:divBdr>
      <w:divsChild>
        <w:div w:id="591088310">
          <w:marLeft w:val="0"/>
          <w:marRight w:val="0"/>
          <w:marTop w:val="0"/>
          <w:marBottom w:val="0"/>
          <w:divBdr>
            <w:top w:val="none" w:sz="0" w:space="0" w:color="auto"/>
            <w:left w:val="none" w:sz="0" w:space="0" w:color="auto"/>
            <w:bottom w:val="none" w:sz="0" w:space="0" w:color="auto"/>
            <w:right w:val="none" w:sz="0" w:space="0" w:color="auto"/>
          </w:divBdr>
        </w:div>
      </w:divsChild>
    </w:div>
    <w:div w:id="1850758041">
      <w:marLeft w:val="0"/>
      <w:marRight w:val="0"/>
      <w:marTop w:val="0"/>
      <w:marBottom w:val="0"/>
      <w:divBdr>
        <w:top w:val="none" w:sz="0" w:space="0" w:color="auto"/>
        <w:left w:val="none" w:sz="0" w:space="0" w:color="auto"/>
        <w:bottom w:val="none" w:sz="0" w:space="0" w:color="auto"/>
        <w:right w:val="none" w:sz="0" w:space="0" w:color="auto"/>
      </w:divBdr>
      <w:divsChild>
        <w:div w:id="1125386667">
          <w:marLeft w:val="0"/>
          <w:marRight w:val="0"/>
          <w:marTop w:val="0"/>
          <w:marBottom w:val="0"/>
          <w:divBdr>
            <w:top w:val="none" w:sz="0" w:space="0" w:color="auto"/>
            <w:left w:val="none" w:sz="0" w:space="0" w:color="auto"/>
            <w:bottom w:val="none" w:sz="0" w:space="0" w:color="auto"/>
            <w:right w:val="none" w:sz="0" w:space="0" w:color="auto"/>
          </w:divBdr>
        </w:div>
      </w:divsChild>
    </w:div>
    <w:div w:id="1919049550">
      <w:marLeft w:val="0"/>
      <w:marRight w:val="0"/>
      <w:marTop w:val="0"/>
      <w:marBottom w:val="0"/>
      <w:divBdr>
        <w:top w:val="none" w:sz="0" w:space="0" w:color="auto"/>
        <w:left w:val="none" w:sz="0" w:space="0" w:color="auto"/>
        <w:bottom w:val="none" w:sz="0" w:space="0" w:color="auto"/>
        <w:right w:val="none" w:sz="0" w:space="0" w:color="auto"/>
      </w:divBdr>
      <w:divsChild>
        <w:div w:id="1383989862">
          <w:marLeft w:val="0"/>
          <w:marRight w:val="0"/>
          <w:marTop w:val="0"/>
          <w:marBottom w:val="0"/>
          <w:divBdr>
            <w:top w:val="none" w:sz="0" w:space="0" w:color="auto"/>
            <w:left w:val="none" w:sz="0" w:space="0" w:color="auto"/>
            <w:bottom w:val="none" w:sz="0" w:space="0" w:color="auto"/>
            <w:right w:val="none" w:sz="0" w:space="0" w:color="auto"/>
          </w:divBdr>
          <w:divsChild>
            <w:div w:id="1409426347">
              <w:marLeft w:val="0"/>
              <w:marRight w:val="0"/>
              <w:marTop w:val="0"/>
              <w:marBottom w:val="0"/>
              <w:divBdr>
                <w:top w:val="none" w:sz="0" w:space="0" w:color="auto"/>
                <w:left w:val="none" w:sz="0" w:space="0" w:color="auto"/>
                <w:bottom w:val="none" w:sz="0" w:space="0" w:color="auto"/>
                <w:right w:val="none" w:sz="0" w:space="0" w:color="auto"/>
              </w:divBdr>
              <w:divsChild>
                <w:div w:id="2047945513">
                  <w:marLeft w:val="0"/>
                  <w:marRight w:val="0"/>
                  <w:marTop w:val="0"/>
                  <w:marBottom w:val="0"/>
                  <w:divBdr>
                    <w:top w:val="none" w:sz="0" w:space="0" w:color="auto"/>
                    <w:left w:val="none" w:sz="0" w:space="0" w:color="auto"/>
                    <w:bottom w:val="none" w:sz="0" w:space="0" w:color="auto"/>
                    <w:right w:val="none" w:sz="0" w:space="0" w:color="auto"/>
                  </w:divBdr>
                  <w:divsChild>
                    <w:div w:id="1113093021">
                      <w:marLeft w:val="0"/>
                      <w:marRight w:val="0"/>
                      <w:marTop w:val="0"/>
                      <w:marBottom w:val="0"/>
                      <w:divBdr>
                        <w:top w:val="none" w:sz="0" w:space="0" w:color="auto"/>
                        <w:left w:val="none" w:sz="0" w:space="0" w:color="auto"/>
                        <w:bottom w:val="none" w:sz="0" w:space="0" w:color="auto"/>
                        <w:right w:val="none" w:sz="0" w:space="0" w:color="auto"/>
                      </w:divBdr>
                      <w:divsChild>
                        <w:div w:id="694232794">
                          <w:marLeft w:val="0"/>
                          <w:marRight w:val="0"/>
                          <w:marTop w:val="0"/>
                          <w:marBottom w:val="0"/>
                          <w:divBdr>
                            <w:top w:val="none" w:sz="0" w:space="0" w:color="auto"/>
                            <w:left w:val="none" w:sz="0" w:space="0" w:color="auto"/>
                            <w:bottom w:val="none" w:sz="0" w:space="0" w:color="auto"/>
                            <w:right w:val="none" w:sz="0" w:space="0" w:color="auto"/>
                          </w:divBdr>
                          <w:divsChild>
                            <w:div w:id="2130737006">
                              <w:marLeft w:val="0"/>
                              <w:marRight w:val="0"/>
                              <w:marTop w:val="0"/>
                              <w:marBottom w:val="0"/>
                              <w:divBdr>
                                <w:top w:val="none" w:sz="0" w:space="0" w:color="auto"/>
                                <w:left w:val="none" w:sz="0" w:space="0" w:color="auto"/>
                                <w:bottom w:val="none" w:sz="0" w:space="0" w:color="auto"/>
                                <w:right w:val="none" w:sz="0" w:space="0" w:color="auto"/>
                              </w:divBdr>
                            </w:div>
                            <w:div w:id="893807006">
                              <w:marLeft w:val="0"/>
                              <w:marRight w:val="0"/>
                              <w:marTop w:val="0"/>
                              <w:marBottom w:val="0"/>
                              <w:divBdr>
                                <w:top w:val="none" w:sz="0" w:space="0" w:color="auto"/>
                                <w:left w:val="none" w:sz="0" w:space="0" w:color="auto"/>
                                <w:bottom w:val="none" w:sz="0" w:space="0" w:color="auto"/>
                                <w:right w:val="none" w:sz="0" w:space="0" w:color="auto"/>
                              </w:divBdr>
                            </w:div>
                            <w:div w:id="116727285">
                              <w:marLeft w:val="0"/>
                              <w:marRight w:val="0"/>
                              <w:marTop w:val="0"/>
                              <w:marBottom w:val="0"/>
                              <w:divBdr>
                                <w:top w:val="none" w:sz="0" w:space="0" w:color="auto"/>
                                <w:left w:val="none" w:sz="0" w:space="0" w:color="auto"/>
                                <w:bottom w:val="none" w:sz="0" w:space="0" w:color="auto"/>
                                <w:right w:val="none" w:sz="0" w:space="0" w:color="auto"/>
                              </w:divBdr>
                            </w:div>
                            <w:div w:id="95711517">
                              <w:marLeft w:val="0"/>
                              <w:marRight w:val="0"/>
                              <w:marTop w:val="0"/>
                              <w:marBottom w:val="0"/>
                              <w:divBdr>
                                <w:top w:val="none" w:sz="0" w:space="0" w:color="auto"/>
                                <w:left w:val="none" w:sz="0" w:space="0" w:color="auto"/>
                                <w:bottom w:val="none" w:sz="0" w:space="0" w:color="auto"/>
                                <w:right w:val="none" w:sz="0" w:space="0" w:color="auto"/>
                              </w:divBdr>
                            </w:div>
                            <w:div w:id="2065564531">
                              <w:marLeft w:val="0"/>
                              <w:marRight w:val="0"/>
                              <w:marTop w:val="0"/>
                              <w:marBottom w:val="0"/>
                              <w:divBdr>
                                <w:top w:val="none" w:sz="0" w:space="0" w:color="auto"/>
                                <w:left w:val="none" w:sz="0" w:space="0" w:color="auto"/>
                                <w:bottom w:val="none" w:sz="0" w:space="0" w:color="auto"/>
                                <w:right w:val="none" w:sz="0" w:space="0" w:color="auto"/>
                              </w:divBdr>
                            </w:div>
                            <w:div w:id="1654531485">
                              <w:marLeft w:val="0"/>
                              <w:marRight w:val="0"/>
                              <w:marTop w:val="0"/>
                              <w:marBottom w:val="0"/>
                              <w:divBdr>
                                <w:top w:val="none" w:sz="0" w:space="0" w:color="auto"/>
                                <w:left w:val="none" w:sz="0" w:space="0" w:color="auto"/>
                                <w:bottom w:val="none" w:sz="0" w:space="0" w:color="auto"/>
                                <w:right w:val="none" w:sz="0" w:space="0" w:color="auto"/>
                              </w:divBdr>
                            </w:div>
                            <w:div w:id="3151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1811">
              <w:marLeft w:val="0"/>
              <w:marRight w:val="0"/>
              <w:marTop w:val="0"/>
              <w:marBottom w:val="0"/>
              <w:divBdr>
                <w:top w:val="none" w:sz="0" w:space="0" w:color="auto"/>
                <w:left w:val="none" w:sz="0" w:space="0" w:color="auto"/>
                <w:bottom w:val="none" w:sz="0" w:space="0" w:color="auto"/>
                <w:right w:val="none" w:sz="0" w:space="0" w:color="auto"/>
              </w:divBdr>
              <w:divsChild>
                <w:div w:id="2002392188">
                  <w:marLeft w:val="0"/>
                  <w:marRight w:val="0"/>
                  <w:marTop w:val="0"/>
                  <w:marBottom w:val="0"/>
                  <w:divBdr>
                    <w:top w:val="none" w:sz="0" w:space="0" w:color="auto"/>
                    <w:left w:val="none" w:sz="0" w:space="0" w:color="auto"/>
                    <w:bottom w:val="none" w:sz="0" w:space="0" w:color="auto"/>
                    <w:right w:val="none" w:sz="0" w:space="0" w:color="auto"/>
                  </w:divBdr>
                </w:div>
                <w:div w:id="7277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644">
          <w:marLeft w:val="0"/>
          <w:marRight w:val="0"/>
          <w:marTop w:val="0"/>
          <w:marBottom w:val="0"/>
          <w:divBdr>
            <w:top w:val="none" w:sz="0" w:space="0" w:color="auto"/>
            <w:left w:val="none" w:sz="0" w:space="0" w:color="auto"/>
            <w:bottom w:val="none" w:sz="0" w:space="0" w:color="auto"/>
            <w:right w:val="none" w:sz="0" w:space="0" w:color="auto"/>
          </w:divBdr>
          <w:divsChild>
            <w:div w:id="1320033260">
              <w:marLeft w:val="0"/>
              <w:marRight w:val="0"/>
              <w:marTop w:val="0"/>
              <w:marBottom w:val="0"/>
              <w:divBdr>
                <w:top w:val="none" w:sz="0" w:space="0" w:color="auto"/>
                <w:left w:val="none" w:sz="0" w:space="0" w:color="auto"/>
                <w:bottom w:val="none" w:sz="0" w:space="0" w:color="auto"/>
                <w:right w:val="none" w:sz="0" w:space="0" w:color="auto"/>
              </w:divBdr>
              <w:divsChild>
                <w:div w:id="1985425637">
                  <w:marLeft w:val="0"/>
                  <w:marRight w:val="0"/>
                  <w:marTop w:val="0"/>
                  <w:marBottom w:val="0"/>
                  <w:divBdr>
                    <w:top w:val="none" w:sz="0" w:space="0" w:color="auto"/>
                    <w:left w:val="none" w:sz="0" w:space="0" w:color="auto"/>
                    <w:bottom w:val="none" w:sz="0" w:space="0" w:color="auto"/>
                    <w:right w:val="none" w:sz="0" w:space="0" w:color="auto"/>
                  </w:divBdr>
                  <w:divsChild>
                    <w:div w:id="1492984684">
                      <w:marLeft w:val="0"/>
                      <w:marRight w:val="0"/>
                      <w:marTop w:val="0"/>
                      <w:marBottom w:val="0"/>
                      <w:divBdr>
                        <w:top w:val="none" w:sz="0" w:space="0" w:color="auto"/>
                        <w:left w:val="none" w:sz="0" w:space="0" w:color="auto"/>
                        <w:bottom w:val="none" w:sz="0" w:space="0" w:color="auto"/>
                        <w:right w:val="none" w:sz="0" w:space="0" w:color="auto"/>
                      </w:divBdr>
                      <w:divsChild>
                        <w:div w:id="6270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2">
          <w:marLeft w:val="0"/>
          <w:marRight w:val="0"/>
          <w:marTop w:val="0"/>
          <w:marBottom w:val="0"/>
          <w:divBdr>
            <w:top w:val="none" w:sz="0" w:space="0" w:color="auto"/>
            <w:left w:val="none" w:sz="0" w:space="0" w:color="auto"/>
            <w:bottom w:val="none" w:sz="0" w:space="0" w:color="auto"/>
            <w:right w:val="none" w:sz="0" w:space="0" w:color="auto"/>
          </w:divBdr>
          <w:divsChild>
            <w:div w:id="902108384">
              <w:marLeft w:val="0"/>
              <w:marRight w:val="0"/>
              <w:marTop w:val="0"/>
              <w:marBottom w:val="0"/>
              <w:divBdr>
                <w:top w:val="none" w:sz="0" w:space="0" w:color="auto"/>
                <w:left w:val="none" w:sz="0" w:space="0" w:color="auto"/>
                <w:bottom w:val="none" w:sz="0" w:space="0" w:color="auto"/>
                <w:right w:val="none" w:sz="0" w:space="0" w:color="auto"/>
              </w:divBdr>
            </w:div>
            <w:div w:id="778645600">
              <w:marLeft w:val="0"/>
              <w:marRight w:val="0"/>
              <w:marTop w:val="0"/>
              <w:marBottom w:val="0"/>
              <w:divBdr>
                <w:top w:val="none" w:sz="0" w:space="0" w:color="auto"/>
                <w:left w:val="none" w:sz="0" w:space="0" w:color="auto"/>
                <w:bottom w:val="none" w:sz="0" w:space="0" w:color="auto"/>
                <w:right w:val="none" w:sz="0" w:space="0" w:color="auto"/>
              </w:divBdr>
            </w:div>
          </w:divsChild>
        </w:div>
        <w:div w:id="1443108083">
          <w:marLeft w:val="0"/>
          <w:marRight w:val="0"/>
          <w:marTop w:val="0"/>
          <w:marBottom w:val="0"/>
          <w:divBdr>
            <w:top w:val="none" w:sz="0" w:space="0" w:color="auto"/>
            <w:left w:val="none" w:sz="0" w:space="0" w:color="auto"/>
            <w:bottom w:val="none" w:sz="0" w:space="0" w:color="auto"/>
            <w:right w:val="none" w:sz="0" w:space="0" w:color="auto"/>
          </w:divBdr>
          <w:divsChild>
            <w:div w:id="1069184597">
              <w:marLeft w:val="0"/>
              <w:marRight w:val="0"/>
              <w:marTop w:val="0"/>
              <w:marBottom w:val="0"/>
              <w:divBdr>
                <w:top w:val="none" w:sz="0" w:space="0" w:color="auto"/>
                <w:left w:val="none" w:sz="0" w:space="0" w:color="auto"/>
                <w:bottom w:val="none" w:sz="0" w:space="0" w:color="auto"/>
                <w:right w:val="none" w:sz="0" w:space="0" w:color="auto"/>
              </w:divBdr>
              <w:divsChild>
                <w:div w:id="608126479">
                  <w:marLeft w:val="0"/>
                  <w:marRight w:val="0"/>
                  <w:marTop w:val="0"/>
                  <w:marBottom w:val="0"/>
                  <w:divBdr>
                    <w:top w:val="none" w:sz="0" w:space="0" w:color="auto"/>
                    <w:left w:val="none" w:sz="0" w:space="0" w:color="auto"/>
                    <w:bottom w:val="none" w:sz="0" w:space="0" w:color="auto"/>
                    <w:right w:val="none" w:sz="0" w:space="0" w:color="auto"/>
                  </w:divBdr>
                  <w:divsChild>
                    <w:div w:id="382607963">
                      <w:marLeft w:val="0"/>
                      <w:marRight w:val="0"/>
                      <w:marTop w:val="0"/>
                      <w:marBottom w:val="0"/>
                      <w:divBdr>
                        <w:top w:val="none" w:sz="0" w:space="0" w:color="auto"/>
                        <w:left w:val="none" w:sz="0" w:space="0" w:color="auto"/>
                        <w:bottom w:val="none" w:sz="0" w:space="0" w:color="auto"/>
                        <w:right w:val="none" w:sz="0" w:space="0" w:color="auto"/>
                      </w:divBdr>
                      <w:divsChild>
                        <w:div w:id="1244221738">
                          <w:marLeft w:val="0"/>
                          <w:marRight w:val="0"/>
                          <w:marTop w:val="0"/>
                          <w:marBottom w:val="0"/>
                          <w:divBdr>
                            <w:top w:val="none" w:sz="0" w:space="0" w:color="auto"/>
                            <w:left w:val="none" w:sz="0" w:space="0" w:color="auto"/>
                            <w:bottom w:val="none" w:sz="0" w:space="0" w:color="auto"/>
                            <w:right w:val="none" w:sz="0" w:space="0" w:color="auto"/>
                          </w:divBdr>
                          <w:divsChild>
                            <w:div w:id="134227100">
                              <w:marLeft w:val="0"/>
                              <w:marRight w:val="0"/>
                              <w:marTop w:val="0"/>
                              <w:marBottom w:val="0"/>
                              <w:divBdr>
                                <w:top w:val="none" w:sz="0" w:space="0" w:color="auto"/>
                                <w:left w:val="none" w:sz="0" w:space="0" w:color="auto"/>
                                <w:bottom w:val="none" w:sz="0" w:space="0" w:color="auto"/>
                                <w:right w:val="none" w:sz="0" w:space="0" w:color="auto"/>
                              </w:divBdr>
                            </w:div>
                            <w:div w:id="308246606">
                              <w:marLeft w:val="0"/>
                              <w:marRight w:val="0"/>
                              <w:marTop w:val="0"/>
                              <w:marBottom w:val="0"/>
                              <w:divBdr>
                                <w:top w:val="none" w:sz="0" w:space="0" w:color="auto"/>
                                <w:left w:val="none" w:sz="0" w:space="0" w:color="auto"/>
                                <w:bottom w:val="none" w:sz="0" w:space="0" w:color="auto"/>
                                <w:right w:val="none" w:sz="0" w:space="0" w:color="auto"/>
                              </w:divBdr>
                            </w:div>
                            <w:div w:id="2063020368">
                              <w:marLeft w:val="0"/>
                              <w:marRight w:val="0"/>
                              <w:marTop w:val="0"/>
                              <w:marBottom w:val="0"/>
                              <w:divBdr>
                                <w:top w:val="none" w:sz="0" w:space="0" w:color="auto"/>
                                <w:left w:val="none" w:sz="0" w:space="0" w:color="auto"/>
                                <w:bottom w:val="none" w:sz="0" w:space="0" w:color="auto"/>
                                <w:right w:val="none" w:sz="0" w:space="0" w:color="auto"/>
                              </w:divBdr>
                            </w:div>
                            <w:div w:id="1440298227">
                              <w:marLeft w:val="0"/>
                              <w:marRight w:val="0"/>
                              <w:marTop w:val="0"/>
                              <w:marBottom w:val="0"/>
                              <w:divBdr>
                                <w:top w:val="none" w:sz="0" w:space="0" w:color="auto"/>
                                <w:left w:val="none" w:sz="0" w:space="0" w:color="auto"/>
                                <w:bottom w:val="none" w:sz="0" w:space="0" w:color="auto"/>
                                <w:right w:val="none" w:sz="0" w:space="0" w:color="auto"/>
                              </w:divBdr>
                            </w:div>
                            <w:div w:id="1230382709">
                              <w:marLeft w:val="0"/>
                              <w:marRight w:val="0"/>
                              <w:marTop w:val="0"/>
                              <w:marBottom w:val="0"/>
                              <w:divBdr>
                                <w:top w:val="none" w:sz="0" w:space="0" w:color="auto"/>
                                <w:left w:val="none" w:sz="0" w:space="0" w:color="auto"/>
                                <w:bottom w:val="none" w:sz="0" w:space="0" w:color="auto"/>
                                <w:right w:val="none" w:sz="0" w:space="0" w:color="auto"/>
                              </w:divBdr>
                            </w:div>
                            <w:div w:id="1460950942">
                              <w:marLeft w:val="0"/>
                              <w:marRight w:val="0"/>
                              <w:marTop w:val="0"/>
                              <w:marBottom w:val="0"/>
                              <w:divBdr>
                                <w:top w:val="none" w:sz="0" w:space="0" w:color="auto"/>
                                <w:left w:val="none" w:sz="0" w:space="0" w:color="auto"/>
                                <w:bottom w:val="none" w:sz="0" w:space="0" w:color="auto"/>
                                <w:right w:val="none" w:sz="0" w:space="0" w:color="auto"/>
                              </w:divBdr>
                            </w:div>
                            <w:div w:id="1662612527">
                              <w:marLeft w:val="0"/>
                              <w:marRight w:val="0"/>
                              <w:marTop w:val="0"/>
                              <w:marBottom w:val="0"/>
                              <w:divBdr>
                                <w:top w:val="none" w:sz="0" w:space="0" w:color="auto"/>
                                <w:left w:val="none" w:sz="0" w:space="0" w:color="auto"/>
                                <w:bottom w:val="none" w:sz="0" w:space="0" w:color="auto"/>
                                <w:right w:val="none" w:sz="0" w:space="0" w:color="auto"/>
                              </w:divBdr>
                            </w:div>
                            <w:div w:id="1404790686">
                              <w:marLeft w:val="0"/>
                              <w:marRight w:val="0"/>
                              <w:marTop w:val="0"/>
                              <w:marBottom w:val="0"/>
                              <w:divBdr>
                                <w:top w:val="none" w:sz="0" w:space="0" w:color="auto"/>
                                <w:left w:val="none" w:sz="0" w:space="0" w:color="auto"/>
                                <w:bottom w:val="none" w:sz="0" w:space="0" w:color="auto"/>
                                <w:right w:val="none" w:sz="0" w:space="0" w:color="auto"/>
                              </w:divBdr>
                            </w:div>
                          </w:divsChild>
                        </w:div>
                        <w:div w:id="1211528327">
                          <w:marLeft w:val="0"/>
                          <w:marRight w:val="0"/>
                          <w:marTop w:val="0"/>
                          <w:marBottom w:val="0"/>
                          <w:divBdr>
                            <w:top w:val="none" w:sz="0" w:space="0" w:color="auto"/>
                            <w:left w:val="none" w:sz="0" w:space="0" w:color="auto"/>
                            <w:bottom w:val="none" w:sz="0" w:space="0" w:color="auto"/>
                            <w:right w:val="none" w:sz="0" w:space="0" w:color="auto"/>
                          </w:divBdr>
                          <w:divsChild>
                            <w:div w:id="1350451927">
                              <w:marLeft w:val="0"/>
                              <w:marRight w:val="0"/>
                              <w:marTop w:val="0"/>
                              <w:marBottom w:val="0"/>
                              <w:divBdr>
                                <w:top w:val="none" w:sz="0" w:space="0" w:color="auto"/>
                                <w:left w:val="none" w:sz="0" w:space="0" w:color="auto"/>
                                <w:bottom w:val="none" w:sz="0" w:space="0" w:color="auto"/>
                                <w:right w:val="none" w:sz="0" w:space="0" w:color="auto"/>
                              </w:divBdr>
                            </w:div>
                            <w:div w:id="1133717673">
                              <w:marLeft w:val="0"/>
                              <w:marRight w:val="0"/>
                              <w:marTop w:val="0"/>
                              <w:marBottom w:val="0"/>
                              <w:divBdr>
                                <w:top w:val="none" w:sz="0" w:space="0" w:color="auto"/>
                                <w:left w:val="none" w:sz="0" w:space="0" w:color="auto"/>
                                <w:bottom w:val="none" w:sz="0" w:space="0" w:color="auto"/>
                                <w:right w:val="none" w:sz="0" w:space="0" w:color="auto"/>
                              </w:divBdr>
                            </w:div>
                            <w:div w:id="2135442462">
                              <w:marLeft w:val="0"/>
                              <w:marRight w:val="0"/>
                              <w:marTop w:val="0"/>
                              <w:marBottom w:val="0"/>
                              <w:divBdr>
                                <w:top w:val="none" w:sz="0" w:space="0" w:color="auto"/>
                                <w:left w:val="none" w:sz="0" w:space="0" w:color="auto"/>
                                <w:bottom w:val="none" w:sz="0" w:space="0" w:color="auto"/>
                                <w:right w:val="none" w:sz="0" w:space="0" w:color="auto"/>
                              </w:divBdr>
                            </w:div>
                            <w:div w:id="1192450319">
                              <w:marLeft w:val="0"/>
                              <w:marRight w:val="0"/>
                              <w:marTop w:val="0"/>
                              <w:marBottom w:val="0"/>
                              <w:divBdr>
                                <w:top w:val="none" w:sz="0" w:space="0" w:color="auto"/>
                                <w:left w:val="none" w:sz="0" w:space="0" w:color="auto"/>
                                <w:bottom w:val="none" w:sz="0" w:space="0" w:color="auto"/>
                                <w:right w:val="none" w:sz="0" w:space="0" w:color="auto"/>
                              </w:divBdr>
                            </w:div>
                            <w:div w:id="823739016">
                              <w:marLeft w:val="0"/>
                              <w:marRight w:val="0"/>
                              <w:marTop w:val="0"/>
                              <w:marBottom w:val="0"/>
                              <w:divBdr>
                                <w:top w:val="none" w:sz="0" w:space="0" w:color="auto"/>
                                <w:left w:val="none" w:sz="0" w:space="0" w:color="auto"/>
                                <w:bottom w:val="none" w:sz="0" w:space="0" w:color="auto"/>
                                <w:right w:val="none" w:sz="0" w:space="0" w:color="auto"/>
                              </w:divBdr>
                            </w:div>
                            <w:div w:id="2034376305">
                              <w:marLeft w:val="0"/>
                              <w:marRight w:val="0"/>
                              <w:marTop w:val="0"/>
                              <w:marBottom w:val="0"/>
                              <w:divBdr>
                                <w:top w:val="none" w:sz="0" w:space="0" w:color="auto"/>
                                <w:left w:val="none" w:sz="0" w:space="0" w:color="auto"/>
                                <w:bottom w:val="none" w:sz="0" w:space="0" w:color="auto"/>
                                <w:right w:val="none" w:sz="0" w:space="0" w:color="auto"/>
                              </w:divBdr>
                            </w:div>
                            <w:div w:id="1585335049">
                              <w:marLeft w:val="0"/>
                              <w:marRight w:val="0"/>
                              <w:marTop w:val="0"/>
                              <w:marBottom w:val="0"/>
                              <w:divBdr>
                                <w:top w:val="none" w:sz="0" w:space="0" w:color="auto"/>
                                <w:left w:val="none" w:sz="0" w:space="0" w:color="auto"/>
                                <w:bottom w:val="none" w:sz="0" w:space="0" w:color="auto"/>
                                <w:right w:val="none" w:sz="0" w:space="0" w:color="auto"/>
                              </w:divBdr>
                            </w:div>
                            <w:div w:id="597562494">
                              <w:marLeft w:val="0"/>
                              <w:marRight w:val="0"/>
                              <w:marTop w:val="0"/>
                              <w:marBottom w:val="0"/>
                              <w:divBdr>
                                <w:top w:val="none" w:sz="0" w:space="0" w:color="auto"/>
                                <w:left w:val="none" w:sz="0" w:space="0" w:color="auto"/>
                                <w:bottom w:val="none" w:sz="0" w:space="0" w:color="auto"/>
                                <w:right w:val="none" w:sz="0" w:space="0" w:color="auto"/>
                              </w:divBdr>
                            </w:div>
                            <w:div w:id="10343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747915">
          <w:marLeft w:val="0"/>
          <w:marRight w:val="0"/>
          <w:marTop w:val="0"/>
          <w:marBottom w:val="0"/>
          <w:divBdr>
            <w:top w:val="none" w:sz="0" w:space="0" w:color="auto"/>
            <w:left w:val="none" w:sz="0" w:space="0" w:color="auto"/>
            <w:bottom w:val="none" w:sz="0" w:space="0" w:color="auto"/>
            <w:right w:val="none" w:sz="0" w:space="0" w:color="auto"/>
          </w:divBdr>
          <w:divsChild>
            <w:div w:id="1465735430">
              <w:marLeft w:val="0"/>
              <w:marRight w:val="0"/>
              <w:marTop w:val="0"/>
              <w:marBottom w:val="0"/>
              <w:divBdr>
                <w:top w:val="none" w:sz="0" w:space="0" w:color="auto"/>
                <w:left w:val="none" w:sz="0" w:space="0" w:color="auto"/>
                <w:bottom w:val="none" w:sz="0" w:space="0" w:color="auto"/>
                <w:right w:val="none" w:sz="0" w:space="0" w:color="auto"/>
              </w:divBdr>
              <w:divsChild>
                <w:div w:id="1133449747">
                  <w:marLeft w:val="0"/>
                  <w:marRight w:val="0"/>
                  <w:marTop w:val="0"/>
                  <w:marBottom w:val="0"/>
                  <w:divBdr>
                    <w:top w:val="none" w:sz="0" w:space="0" w:color="auto"/>
                    <w:left w:val="none" w:sz="0" w:space="0" w:color="auto"/>
                    <w:bottom w:val="none" w:sz="0" w:space="0" w:color="auto"/>
                    <w:right w:val="none" w:sz="0" w:space="0" w:color="auto"/>
                  </w:divBdr>
                  <w:divsChild>
                    <w:div w:id="1661543828">
                      <w:marLeft w:val="0"/>
                      <w:marRight w:val="0"/>
                      <w:marTop w:val="0"/>
                      <w:marBottom w:val="0"/>
                      <w:divBdr>
                        <w:top w:val="none" w:sz="0" w:space="0" w:color="auto"/>
                        <w:left w:val="none" w:sz="0" w:space="0" w:color="auto"/>
                        <w:bottom w:val="none" w:sz="0" w:space="0" w:color="auto"/>
                        <w:right w:val="none" w:sz="0" w:space="0" w:color="auto"/>
                      </w:divBdr>
                      <w:divsChild>
                        <w:div w:id="474683706">
                          <w:marLeft w:val="0"/>
                          <w:marRight w:val="0"/>
                          <w:marTop w:val="0"/>
                          <w:marBottom w:val="0"/>
                          <w:divBdr>
                            <w:top w:val="none" w:sz="0" w:space="0" w:color="auto"/>
                            <w:left w:val="none" w:sz="0" w:space="0" w:color="auto"/>
                            <w:bottom w:val="none" w:sz="0" w:space="0" w:color="auto"/>
                            <w:right w:val="none" w:sz="0" w:space="0" w:color="auto"/>
                          </w:divBdr>
                          <w:divsChild>
                            <w:div w:id="931663628">
                              <w:marLeft w:val="0"/>
                              <w:marRight w:val="0"/>
                              <w:marTop w:val="0"/>
                              <w:marBottom w:val="0"/>
                              <w:divBdr>
                                <w:top w:val="none" w:sz="0" w:space="0" w:color="auto"/>
                                <w:left w:val="none" w:sz="0" w:space="0" w:color="auto"/>
                                <w:bottom w:val="none" w:sz="0" w:space="0" w:color="auto"/>
                                <w:right w:val="none" w:sz="0" w:space="0" w:color="auto"/>
                              </w:divBdr>
                              <w:divsChild>
                                <w:div w:id="538055406">
                                  <w:marLeft w:val="0"/>
                                  <w:marRight w:val="0"/>
                                  <w:marTop w:val="0"/>
                                  <w:marBottom w:val="0"/>
                                  <w:divBdr>
                                    <w:top w:val="none" w:sz="0" w:space="0" w:color="auto"/>
                                    <w:left w:val="none" w:sz="0" w:space="0" w:color="auto"/>
                                    <w:bottom w:val="none" w:sz="0" w:space="0" w:color="auto"/>
                                    <w:right w:val="none" w:sz="0" w:space="0" w:color="auto"/>
                                  </w:divBdr>
                                </w:div>
                                <w:div w:id="632373503">
                                  <w:marLeft w:val="0"/>
                                  <w:marRight w:val="0"/>
                                  <w:marTop w:val="0"/>
                                  <w:marBottom w:val="0"/>
                                  <w:divBdr>
                                    <w:top w:val="none" w:sz="0" w:space="0" w:color="auto"/>
                                    <w:left w:val="none" w:sz="0" w:space="0" w:color="auto"/>
                                    <w:bottom w:val="none" w:sz="0" w:space="0" w:color="auto"/>
                                    <w:right w:val="none" w:sz="0" w:space="0" w:color="auto"/>
                                  </w:divBdr>
                                </w:div>
                                <w:div w:id="1469786954">
                                  <w:marLeft w:val="0"/>
                                  <w:marRight w:val="0"/>
                                  <w:marTop w:val="0"/>
                                  <w:marBottom w:val="0"/>
                                  <w:divBdr>
                                    <w:top w:val="none" w:sz="0" w:space="0" w:color="auto"/>
                                    <w:left w:val="none" w:sz="0" w:space="0" w:color="auto"/>
                                    <w:bottom w:val="none" w:sz="0" w:space="0" w:color="auto"/>
                                    <w:right w:val="none" w:sz="0" w:space="0" w:color="auto"/>
                                  </w:divBdr>
                                </w:div>
                                <w:div w:id="304817241">
                                  <w:marLeft w:val="0"/>
                                  <w:marRight w:val="0"/>
                                  <w:marTop w:val="0"/>
                                  <w:marBottom w:val="0"/>
                                  <w:divBdr>
                                    <w:top w:val="none" w:sz="0" w:space="0" w:color="auto"/>
                                    <w:left w:val="none" w:sz="0" w:space="0" w:color="auto"/>
                                    <w:bottom w:val="none" w:sz="0" w:space="0" w:color="auto"/>
                                    <w:right w:val="none" w:sz="0" w:space="0" w:color="auto"/>
                                  </w:divBdr>
                                </w:div>
                                <w:div w:id="20469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3848">
                  <w:marLeft w:val="0"/>
                  <w:marRight w:val="0"/>
                  <w:marTop w:val="0"/>
                  <w:marBottom w:val="0"/>
                  <w:divBdr>
                    <w:top w:val="none" w:sz="0" w:space="0" w:color="auto"/>
                    <w:left w:val="none" w:sz="0" w:space="0" w:color="auto"/>
                    <w:bottom w:val="none" w:sz="0" w:space="0" w:color="auto"/>
                    <w:right w:val="none" w:sz="0" w:space="0" w:color="auto"/>
                  </w:divBdr>
                  <w:divsChild>
                    <w:div w:id="1776944398">
                      <w:marLeft w:val="0"/>
                      <w:marRight w:val="0"/>
                      <w:marTop w:val="0"/>
                      <w:marBottom w:val="0"/>
                      <w:divBdr>
                        <w:top w:val="none" w:sz="0" w:space="0" w:color="auto"/>
                        <w:left w:val="none" w:sz="0" w:space="0" w:color="auto"/>
                        <w:bottom w:val="none" w:sz="0" w:space="0" w:color="auto"/>
                        <w:right w:val="none" w:sz="0" w:space="0" w:color="auto"/>
                      </w:divBdr>
                    </w:div>
                    <w:div w:id="959145015">
                      <w:marLeft w:val="0"/>
                      <w:marRight w:val="0"/>
                      <w:marTop w:val="0"/>
                      <w:marBottom w:val="0"/>
                      <w:divBdr>
                        <w:top w:val="none" w:sz="0" w:space="0" w:color="auto"/>
                        <w:left w:val="none" w:sz="0" w:space="0" w:color="auto"/>
                        <w:bottom w:val="none" w:sz="0" w:space="0" w:color="auto"/>
                        <w:right w:val="none" w:sz="0" w:space="0" w:color="auto"/>
                      </w:divBdr>
                    </w:div>
                  </w:divsChild>
                </w:div>
                <w:div w:id="1828284046">
                  <w:marLeft w:val="0"/>
                  <w:marRight w:val="0"/>
                  <w:marTop w:val="0"/>
                  <w:marBottom w:val="0"/>
                  <w:divBdr>
                    <w:top w:val="none" w:sz="0" w:space="0" w:color="auto"/>
                    <w:left w:val="none" w:sz="0" w:space="0" w:color="auto"/>
                    <w:bottom w:val="none" w:sz="0" w:space="0" w:color="auto"/>
                    <w:right w:val="none" w:sz="0" w:space="0" w:color="auto"/>
                  </w:divBdr>
                  <w:divsChild>
                    <w:div w:id="1191799685">
                      <w:marLeft w:val="0"/>
                      <w:marRight w:val="0"/>
                      <w:marTop w:val="0"/>
                      <w:marBottom w:val="0"/>
                      <w:divBdr>
                        <w:top w:val="none" w:sz="0" w:space="0" w:color="auto"/>
                        <w:left w:val="none" w:sz="0" w:space="0" w:color="auto"/>
                        <w:bottom w:val="none" w:sz="0" w:space="0" w:color="auto"/>
                        <w:right w:val="none" w:sz="0" w:space="0" w:color="auto"/>
                      </w:divBdr>
                      <w:divsChild>
                        <w:div w:id="894127651">
                          <w:marLeft w:val="0"/>
                          <w:marRight w:val="0"/>
                          <w:marTop w:val="0"/>
                          <w:marBottom w:val="0"/>
                          <w:divBdr>
                            <w:top w:val="none" w:sz="0" w:space="0" w:color="auto"/>
                            <w:left w:val="none" w:sz="0" w:space="0" w:color="auto"/>
                            <w:bottom w:val="none" w:sz="0" w:space="0" w:color="auto"/>
                            <w:right w:val="none" w:sz="0" w:space="0" w:color="auto"/>
                          </w:divBdr>
                          <w:divsChild>
                            <w:div w:id="582107620">
                              <w:marLeft w:val="0"/>
                              <w:marRight w:val="0"/>
                              <w:marTop w:val="0"/>
                              <w:marBottom w:val="0"/>
                              <w:divBdr>
                                <w:top w:val="none" w:sz="0" w:space="0" w:color="auto"/>
                                <w:left w:val="none" w:sz="0" w:space="0" w:color="auto"/>
                                <w:bottom w:val="none" w:sz="0" w:space="0" w:color="auto"/>
                                <w:right w:val="none" w:sz="0" w:space="0" w:color="auto"/>
                              </w:divBdr>
                              <w:divsChild>
                                <w:div w:id="722095596">
                                  <w:marLeft w:val="0"/>
                                  <w:marRight w:val="0"/>
                                  <w:marTop w:val="0"/>
                                  <w:marBottom w:val="0"/>
                                  <w:divBdr>
                                    <w:top w:val="none" w:sz="0" w:space="0" w:color="auto"/>
                                    <w:left w:val="none" w:sz="0" w:space="0" w:color="auto"/>
                                    <w:bottom w:val="none" w:sz="0" w:space="0" w:color="auto"/>
                                    <w:right w:val="none" w:sz="0" w:space="0" w:color="auto"/>
                                  </w:divBdr>
                                </w:div>
                                <w:div w:id="2132939674">
                                  <w:marLeft w:val="0"/>
                                  <w:marRight w:val="0"/>
                                  <w:marTop w:val="0"/>
                                  <w:marBottom w:val="0"/>
                                  <w:divBdr>
                                    <w:top w:val="none" w:sz="0" w:space="0" w:color="auto"/>
                                    <w:left w:val="none" w:sz="0" w:space="0" w:color="auto"/>
                                    <w:bottom w:val="none" w:sz="0" w:space="0" w:color="auto"/>
                                    <w:right w:val="none" w:sz="0" w:space="0" w:color="auto"/>
                                  </w:divBdr>
                                </w:div>
                                <w:div w:id="213587056">
                                  <w:marLeft w:val="0"/>
                                  <w:marRight w:val="0"/>
                                  <w:marTop w:val="0"/>
                                  <w:marBottom w:val="0"/>
                                  <w:divBdr>
                                    <w:top w:val="none" w:sz="0" w:space="0" w:color="auto"/>
                                    <w:left w:val="none" w:sz="0" w:space="0" w:color="auto"/>
                                    <w:bottom w:val="none" w:sz="0" w:space="0" w:color="auto"/>
                                    <w:right w:val="none" w:sz="0" w:space="0" w:color="auto"/>
                                  </w:divBdr>
                                </w:div>
                              </w:divsChild>
                            </w:div>
                            <w:div w:id="727144735">
                              <w:marLeft w:val="0"/>
                              <w:marRight w:val="0"/>
                              <w:marTop w:val="0"/>
                              <w:marBottom w:val="0"/>
                              <w:divBdr>
                                <w:top w:val="none" w:sz="0" w:space="0" w:color="auto"/>
                                <w:left w:val="none" w:sz="0" w:space="0" w:color="auto"/>
                                <w:bottom w:val="none" w:sz="0" w:space="0" w:color="auto"/>
                                <w:right w:val="none" w:sz="0" w:space="0" w:color="auto"/>
                              </w:divBdr>
                              <w:divsChild>
                                <w:div w:id="1241255627">
                                  <w:marLeft w:val="0"/>
                                  <w:marRight w:val="0"/>
                                  <w:marTop w:val="0"/>
                                  <w:marBottom w:val="0"/>
                                  <w:divBdr>
                                    <w:top w:val="none" w:sz="0" w:space="0" w:color="auto"/>
                                    <w:left w:val="none" w:sz="0" w:space="0" w:color="auto"/>
                                    <w:bottom w:val="none" w:sz="0" w:space="0" w:color="auto"/>
                                    <w:right w:val="none" w:sz="0" w:space="0" w:color="auto"/>
                                  </w:divBdr>
                                </w:div>
                                <w:div w:id="246309783">
                                  <w:marLeft w:val="0"/>
                                  <w:marRight w:val="0"/>
                                  <w:marTop w:val="0"/>
                                  <w:marBottom w:val="0"/>
                                  <w:divBdr>
                                    <w:top w:val="none" w:sz="0" w:space="0" w:color="auto"/>
                                    <w:left w:val="none" w:sz="0" w:space="0" w:color="auto"/>
                                    <w:bottom w:val="none" w:sz="0" w:space="0" w:color="auto"/>
                                    <w:right w:val="none" w:sz="0" w:space="0" w:color="auto"/>
                                  </w:divBdr>
                                </w:div>
                                <w:div w:id="13047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13423">
                  <w:marLeft w:val="0"/>
                  <w:marRight w:val="0"/>
                  <w:marTop w:val="0"/>
                  <w:marBottom w:val="0"/>
                  <w:divBdr>
                    <w:top w:val="none" w:sz="0" w:space="0" w:color="auto"/>
                    <w:left w:val="none" w:sz="0" w:space="0" w:color="auto"/>
                    <w:bottom w:val="none" w:sz="0" w:space="0" w:color="auto"/>
                    <w:right w:val="none" w:sz="0" w:space="0" w:color="auto"/>
                  </w:divBdr>
                  <w:divsChild>
                    <w:div w:id="357776393">
                      <w:marLeft w:val="0"/>
                      <w:marRight w:val="0"/>
                      <w:marTop w:val="0"/>
                      <w:marBottom w:val="0"/>
                      <w:divBdr>
                        <w:top w:val="none" w:sz="0" w:space="0" w:color="auto"/>
                        <w:left w:val="none" w:sz="0" w:space="0" w:color="auto"/>
                        <w:bottom w:val="none" w:sz="0" w:space="0" w:color="auto"/>
                        <w:right w:val="none" w:sz="0" w:space="0" w:color="auto"/>
                      </w:divBdr>
                      <w:divsChild>
                        <w:div w:id="810515499">
                          <w:marLeft w:val="0"/>
                          <w:marRight w:val="0"/>
                          <w:marTop w:val="0"/>
                          <w:marBottom w:val="0"/>
                          <w:divBdr>
                            <w:top w:val="none" w:sz="0" w:space="0" w:color="auto"/>
                            <w:left w:val="none" w:sz="0" w:space="0" w:color="auto"/>
                            <w:bottom w:val="none" w:sz="0" w:space="0" w:color="auto"/>
                            <w:right w:val="none" w:sz="0" w:space="0" w:color="auto"/>
                          </w:divBdr>
                          <w:divsChild>
                            <w:div w:id="215162713">
                              <w:marLeft w:val="0"/>
                              <w:marRight w:val="0"/>
                              <w:marTop w:val="0"/>
                              <w:marBottom w:val="0"/>
                              <w:divBdr>
                                <w:top w:val="none" w:sz="0" w:space="0" w:color="auto"/>
                                <w:left w:val="none" w:sz="0" w:space="0" w:color="auto"/>
                                <w:bottom w:val="none" w:sz="0" w:space="0" w:color="auto"/>
                                <w:right w:val="none" w:sz="0" w:space="0" w:color="auto"/>
                              </w:divBdr>
                              <w:divsChild>
                                <w:div w:id="7865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3333">
                          <w:marLeft w:val="0"/>
                          <w:marRight w:val="0"/>
                          <w:marTop w:val="0"/>
                          <w:marBottom w:val="0"/>
                          <w:divBdr>
                            <w:top w:val="none" w:sz="0" w:space="0" w:color="auto"/>
                            <w:left w:val="none" w:sz="0" w:space="0" w:color="auto"/>
                            <w:bottom w:val="none" w:sz="0" w:space="0" w:color="auto"/>
                            <w:right w:val="none" w:sz="0" w:space="0" w:color="auto"/>
                          </w:divBdr>
                          <w:divsChild>
                            <w:div w:id="502356071">
                              <w:marLeft w:val="0"/>
                              <w:marRight w:val="0"/>
                              <w:marTop w:val="0"/>
                              <w:marBottom w:val="0"/>
                              <w:divBdr>
                                <w:top w:val="none" w:sz="0" w:space="0" w:color="auto"/>
                                <w:left w:val="none" w:sz="0" w:space="0" w:color="auto"/>
                                <w:bottom w:val="none" w:sz="0" w:space="0" w:color="auto"/>
                                <w:right w:val="none" w:sz="0" w:space="0" w:color="auto"/>
                              </w:divBdr>
                            </w:div>
                            <w:div w:id="9463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2097">
      <w:marLeft w:val="0"/>
      <w:marRight w:val="0"/>
      <w:marTop w:val="0"/>
      <w:marBottom w:val="0"/>
      <w:divBdr>
        <w:top w:val="none" w:sz="0" w:space="0" w:color="auto"/>
        <w:left w:val="none" w:sz="0" w:space="0" w:color="auto"/>
        <w:bottom w:val="none" w:sz="0" w:space="0" w:color="auto"/>
        <w:right w:val="none" w:sz="0" w:space="0" w:color="auto"/>
      </w:divBdr>
      <w:divsChild>
        <w:div w:id="11931141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ptf.undp.org/fund/utl00" TargetMode="External"/><Relationship Id="rId17" Type="http://schemas.openxmlformats.org/officeDocument/2006/relationships/customXml" Target="../customXml/item5.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dp.sharepoint.com/teams/UNCDF/SiteAssets/Forms/AllItems.aspx?id=%2Fteams%2FUNCDF%2FSiteAssets%2FSitePages%2FLandingPage%2FERM%2DPolicy%2D2020%2DFinal%2Epdf&amp;parent=%2Fteams%2FUNCDF%2FSiteAssets%2FSitePages%2FLanding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27205978DAE34B9F52D660454E7374" ma:contentTypeVersion="19" ma:contentTypeDescription="Create a new document." ma:contentTypeScope="" ma:versionID="b4d9c0f9c9e6ff727a9e90ddc99f601d">
  <xsd:schema xmlns:xsd="http://www.w3.org/2001/XMLSchema" xmlns:xs="http://www.w3.org/2001/XMLSchema" xmlns:p="http://schemas.microsoft.com/office/2006/metadata/properties" xmlns:ns2="64e9e09d-43a3-4192-b712-27f685b813ca" xmlns:ns3="b844176a-2e1e-4910-88cf-c2e4bfcd214e" xmlns:ns4="7eea83de-eeb2-4e6a-b60b-921662f49bb3" targetNamespace="http://schemas.microsoft.com/office/2006/metadata/properties" ma:root="true" ma:fieldsID="2ce01e83e6f2f3585dc9f0f44f8efcac" ns2:_="" ns3:_="" ns4:_="">
    <xsd:import namespace="64e9e09d-43a3-4192-b712-27f685b813ca"/>
    <xsd:import namespace="b844176a-2e1e-4910-88cf-c2e4bfcd214e"/>
    <xsd:import namespace="7eea83de-eeb2-4e6a-b60b-921662f49b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9e09d-43a3-4192-b712-27f685b81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4176a-2e1e-4910-88cf-c2e4bfcd21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a83de-eeb2-4e6a-b60b-921662f49bb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865cd3-64b8-48a6-b13c-76804ed251cc}" ma:internalName="TaxCatchAll" ma:showField="CatchAllData" ma:web="7eea83de-eeb2-4e6a-b60b-921662f49bb3">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Final narrative report</DocumentType>
    <UploadedBy xmlns="b1528a4b-5ccb-40f7-a09e-43427183cd95">yousif.almasri@undp.org</UploadedBy>
    <Classification xmlns="b1528a4b-5ccb-40f7-a09e-43427183cd95">External</Classification>
    <FormCode xmlns="b1528a4b-5ccb-40f7-a09e-43427183cd95" xsi:nil="true"/>
    <FundId xmlns="f9695bc1-6109-4dcd-a27a-f8a0370b00e2">171</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MPTF_00169_00001</ProjectId>
    <FundCode xmlns="f9695bc1-6109-4dcd-a27a-f8a0370b00e2">MPTF_00169</FundCode>
    <Comments xmlns="f9695bc1-6109-4dcd-a27a-f8a0370b00e2" xsi:nil="true"/>
    <Active xmlns="f9695bc1-6109-4dcd-a27a-f8a0370b00e2">Yes</Active>
    <DocumentDate xmlns="b1528a4b-5ccb-40f7-a09e-43427183cd95">2025-12-15T08:00:00+00:00</DocumentDate>
    <Featured xmlns="b1528a4b-5ccb-40f7-a09e-43427183cd95">1</Featured>
    <FormTypeCode xmlns="b1528a4b-5ccb-40f7-a09e-43427183cd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AA880-9A9A-4DFD-AA21-7D914E2AC627}">
  <ds:schemaRefs>
    <ds:schemaRef ds:uri="http://schemas.microsoft.com/sharepoint/v3/contenttype/forms"/>
  </ds:schemaRefs>
</ds:datastoreItem>
</file>

<file path=customXml/itemProps2.xml><?xml version="1.0" encoding="utf-8"?>
<ds:datastoreItem xmlns:ds="http://schemas.openxmlformats.org/officeDocument/2006/customXml" ds:itemID="{CDCDE010-FE5E-40E0-AD7B-95239D5E0933}"/>
</file>

<file path=customXml/itemProps3.xml><?xml version="1.0" encoding="utf-8"?>
<ds:datastoreItem xmlns:ds="http://schemas.openxmlformats.org/officeDocument/2006/customXml" ds:itemID="{535221AE-004D-4E35-A30A-390193503B85}">
  <ds:schemaRefs>
    <ds:schemaRef ds:uri="http://schemas.openxmlformats.org/officeDocument/2006/bibliography"/>
  </ds:schemaRefs>
</ds:datastoreItem>
</file>

<file path=customXml/itemProps4.xml><?xml version="1.0" encoding="utf-8"?>
<ds:datastoreItem xmlns:ds="http://schemas.openxmlformats.org/officeDocument/2006/customXml" ds:itemID="{F04D53F7-D46F-4B0F-A8AD-C815B39452FF}">
  <ds:schemaRefs>
    <ds:schemaRef ds:uri="http://schemas.microsoft.com/office/2006/metadata/properties"/>
    <ds:schemaRef ds:uri="http://schemas.microsoft.com/office/infopath/2007/PartnerControls"/>
    <ds:schemaRef ds:uri="809924ae-1a4c-48a1-9cc4-019e13e5d839"/>
    <ds:schemaRef ds:uri="0f8b9efc-fef4-47e6-ad58-0ff904a3122a"/>
  </ds:schemaRefs>
</ds:datastoreItem>
</file>

<file path=customXml/itemProps5.xml><?xml version="1.0" encoding="utf-8"?>
<ds:datastoreItem xmlns:ds="http://schemas.openxmlformats.org/officeDocument/2006/customXml" ds:itemID="{00E4F334-A2A4-4B0D-BEEB-4B635DC7AECD}"/>
</file>

<file path=docProps/app.xml><?xml version="1.0" encoding="utf-8"?>
<Properties xmlns="http://schemas.openxmlformats.org/officeDocument/2006/extended-properties" xmlns:vt="http://schemas.openxmlformats.org/officeDocument/2006/docPropsVTypes">
  <Template>Normal.dotm</Template>
  <TotalTime>2</TotalTime>
  <Pages>19</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00116799 Final Project Review Report - UNITLIFE 00116477 Closure.docx</dc:title>
  <dc:subject/>
  <dc:creator>Momenat Al-Khateeb</dc:creator>
  <cp:keywords/>
  <dc:description/>
  <cp:lastModifiedBy>Arthur Brizou</cp:lastModifiedBy>
  <cp:revision>3</cp:revision>
  <dcterms:created xsi:type="dcterms:W3CDTF">2025-12-17T10:03:00Z</dcterms:created>
  <dcterms:modified xsi:type="dcterms:W3CDTF">2025-12-17T10:07:00Z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0x010100A20E1B0FB969FA4DB37D3562DA9CC146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y fmtid="{D5CDD505-2E9C-101B-9397-08002B2CF9AE}" pid="8" name="_dlc_DocIdItemGuid">
    <vt:lpwstr>788b1234-4253-4799-bd88-b57eea432b74</vt:lpwstr>
  </property>
</Properties>
</file>