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8B677" w14:textId="14DEB06C" w:rsidR="001469AD" w:rsidRDefault="000D4268" w:rsidP="001469AD">
      <w:r>
        <w:rPr>
          <w:noProof/>
          <w:lang w:val="es-ES"/>
        </w:rPr>
        <w:drawing>
          <wp:anchor distT="0" distB="0" distL="114300" distR="114300" simplePos="0" relativeHeight="251719680" behindDoc="0" locked="0" layoutInCell="1" allowOverlap="1" wp14:anchorId="49BAFB60" wp14:editId="0F39FED9">
            <wp:simplePos x="0" y="0"/>
            <wp:positionH relativeFrom="page">
              <wp:align>right</wp:align>
            </wp:positionH>
            <wp:positionV relativeFrom="paragraph">
              <wp:posOffset>-899795</wp:posOffset>
            </wp:positionV>
            <wp:extent cx="2237417" cy="12001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C logo blanc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7417" cy="1200150"/>
                    </a:xfrm>
                    <a:prstGeom prst="rect">
                      <a:avLst/>
                    </a:prstGeom>
                  </pic:spPr>
                </pic:pic>
              </a:graphicData>
            </a:graphic>
            <wp14:sizeRelH relativeFrom="page">
              <wp14:pctWidth>0</wp14:pctWidth>
            </wp14:sizeRelH>
            <wp14:sizeRelV relativeFrom="page">
              <wp14:pctHeight>0</wp14:pctHeight>
            </wp14:sizeRelV>
          </wp:anchor>
        </w:drawing>
      </w:r>
      <w:r w:rsidR="00AE033D">
        <w:rPr>
          <w:noProof/>
          <w:lang w:eastAsia="es-ES"/>
        </w:rPr>
        <w:drawing>
          <wp:anchor distT="0" distB="0" distL="114300" distR="114300" simplePos="0" relativeHeight="251720704" behindDoc="1" locked="0" layoutInCell="1" allowOverlap="1" wp14:anchorId="22B7BC42" wp14:editId="66378DAE">
            <wp:simplePos x="0" y="0"/>
            <wp:positionH relativeFrom="page">
              <wp:align>left</wp:align>
            </wp:positionH>
            <wp:positionV relativeFrom="paragraph">
              <wp:posOffset>-899602</wp:posOffset>
            </wp:positionV>
            <wp:extent cx="8751663" cy="10157791"/>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8758139" cy="10165307"/>
                    </a:xfrm>
                    <a:prstGeom prst="rect">
                      <a:avLst/>
                    </a:prstGeom>
                  </pic:spPr>
                </pic:pic>
              </a:graphicData>
            </a:graphic>
            <wp14:sizeRelH relativeFrom="page">
              <wp14:pctWidth>0</wp14:pctWidth>
            </wp14:sizeRelH>
            <wp14:sizeRelV relativeFrom="page">
              <wp14:pctHeight>0</wp14:pctHeight>
            </wp14:sizeRelV>
          </wp:anchor>
        </w:drawing>
      </w:r>
    </w:p>
    <w:p w14:paraId="1D1CC5F4" w14:textId="635254F8" w:rsidR="001469AD" w:rsidRPr="00AC73FB" w:rsidRDefault="005D0D44" w:rsidP="001469AD">
      <w:r>
        <w:rPr>
          <w:noProof/>
          <w:lang w:val="es-ES"/>
        </w:rPr>
        <mc:AlternateContent>
          <mc:Choice Requires="wps">
            <w:drawing>
              <wp:anchor distT="0" distB="0" distL="114300" distR="114300" simplePos="0" relativeHeight="251716608" behindDoc="0" locked="0" layoutInCell="1" allowOverlap="1" wp14:anchorId="080327F4" wp14:editId="1F5DB287">
                <wp:simplePos x="0" y="0"/>
                <wp:positionH relativeFrom="margin">
                  <wp:posOffset>-108585</wp:posOffset>
                </wp:positionH>
                <wp:positionV relativeFrom="paragraph">
                  <wp:posOffset>160020</wp:posOffset>
                </wp:positionV>
                <wp:extent cx="4286250" cy="535940"/>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4286250" cy="535940"/>
                        </a:xfrm>
                        <a:prstGeom prst="rect">
                          <a:avLst/>
                        </a:prstGeom>
                        <a:solidFill>
                          <a:srgbClr val="00999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7D6D066" w14:textId="77777777" w:rsidR="001469AD" w:rsidRPr="00750B91" w:rsidRDefault="001469AD" w:rsidP="001469AD">
                            <w:pPr>
                              <w:rPr>
                                <w:rFonts w:ascii="Century Gothic" w:hAnsi="Century Gothic"/>
                                <w:b/>
                                <w:color w:val="FFFFFF" w:themeColor="background1"/>
                                <w:sz w:val="48"/>
                                <w:szCs w:val="48"/>
                              </w:rPr>
                            </w:pPr>
                            <w:r>
                              <w:rPr>
                                <w:rFonts w:ascii="Century Gothic" w:hAnsi="Century Gothic"/>
                                <w:b/>
                                <w:color w:val="FFFFFF" w:themeColor="background1"/>
                                <w:sz w:val="48"/>
                                <w:szCs w:val="48"/>
                              </w:rPr>
                              <w:t>Informe final de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327F4" id="_x0000_t202" coordsize="21600,21600" o:spt="202" path="m,l,21600r21600,l21600,xe">
                <v:stroke joinstyle="miter"/>
                <v:path gradientshapeok="t" o:connecttype="rect"/>
              </v:shapetype>
              <v:shape id="Cuadro de texto 13" o:spid="_x0000_s1026" type="#_x0000_t202" style="position:absolute;margin-left:-8.55pt;margin-top:12.6pt;width:337.5pt;height:42.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" fillcolor="#099" stroked="f">
                <v:textbox>
                  <w:txbxContent>
                    <w:p w14:paraId="57D6D066" w14:textId="77777777" w:rsidR="001469AD" w:rsidRPr="00750B91" w:rsidRDefault="001469AD" w:rsidP="001469AD">
                      <w:pPr>
                        <w:rPr>
                          <w:rFonts w:ascii="Century Gothic" w:hAnsi="Century Gothic"/>
                          <w:b/>
                          <w:color w:val="FFFFFF" w:themeColor="background1"/>
                          <w:sz w:val="48"/>
                          <w:szCs w:val="48"/>
                        </w:rPr>
                      </w:pPr>
                      <w:r>
                        <w:rPr>
                          <w:rFonts w:ascii="Century Gothic" w:hAnsi="Century Gothic"/>
                          <w:b/>
                          <w:color w:val="FFFFFF" w:themeColor="background1"/>
                          <w:sz w:val="48"/>
                          <w:szCs w:val="48"/>
                        </w:rPr>
                        <w:t>Informe final de evaluación</w:t>
                      </w:r>
                    </w:p>
                  </w:txbxContent>
                </v:textbox>
                <w10:wrap type="square" anchorx="margin"/>
              </v:shape>
            </w:pict>
          </mc:Fallback>
        </mc:AlternateContent>
      </w:r>
    </w:p>
    <w:p w14:paraId="73E2E97E" w14:textId="77777777" w:rsidR="001469AD" w:rsidRPr="00AC73FB" w:rsidRDefault="001469AD" w:rsidP="001469AD"/>
    <w:p w14:paraId="63248E64" w14:textId="77777777" w:rsidR="001469AD" w:rsidRPr="00AC73FB" w:rsidRDefault="001469AD" w:rsidP="001469AD"/>
    <w:p w14:paraId="0C7789D8" w14:textId="77777777" w:rsidR="001469AD" w:rsidRPr="00AC73FB" w:rsidRDefault="001469AD" w:rsidP="001469AD"/>
    <w:p w14:paraId="60EFCC14" w14:textId="42D77464" w:rsidR="001469AD" w:rsidRPr="00AC73FB" w:rsidRDefault="001469AD" w:rsidP="001469AD"/>
    <w:p w14:paraId="6A750656" w14:textId="77777777" w:rsidR="001469AD" w:rsidRPr="00AC73FB" w:rsidRDefault="001469AD" w:rsidP="001469AD"/>
    <w:p w14:paraId="268100BD" w14:textId="0F479CC5" w:rsidR="001469AD" w:rsidRPr="00AC73FB" w:rsidRDefault="001469AD" w:rsidP="001469AD"/>
    <w:p w14:paraId="3E0610ED" w14:textId="543A684F" w:rsidR="001469AD" w:rsidRPr="00AC73FB" w:rsidRDefault="001469AD" w:rsidP="001469AD"/>
    <w:p w14:paraId="09C42BC4" w14:textId="77777777" w:rsidR="001469AD" w:rsidRPr="00AC73FB" w:rsidRDefault="001469AD" w:rsidP="001469AD"/>
    <w:p w14:paraId="45CFC59C" w14:textId="1AF43FE0" w:rsidR="001469AD" w:rsidRPr="00AC73FB" w:rsidRDefault="001469AD" w:rsidP="001469AD"/>
    <w:p w14:paraId="4EDCCF7B" w14:textId="599F54AF" w:rsidR="001469AD" w:rsidRPr="00AC73FB" w:rsidRDefault="001469AD" w:rsidP="001469AD"/>
    <w:p w14:paraId="08108B69" w14:textId="341DF69F" w:rsidR="001469AD" w:rsidRPr="00AC73FB" w:rsidRDefault="001469AD" w:rsidP="001469AD"/>
    <w:p w14:paraId="7DC0F9EE" w14:textId="5215C5FA" w:rsidR="001469AD" w:rsidRPr="00AC73FB" w:rsidRDefault="001469AD" w:rsidP="001469AD">
      <w:bookmarkStart w:id="0" w:name="_Hlk117698191"/>
      <w:bookmarkEnd w:id="0"/>
    </w:p>
    <w:p w14:paraId="6F4127E7" w14:textId="3E921A10" w:rsidR="001469AD" w:rsidRPr="00AC73FB" w:rsidRDefault="005D0D44" w:rsidP="001469AD">
      <w:r>
        <w:rPr>
          <w:noProof/>
          <w:lang w:val="es-ES"/>
        </w:rPr>
        <mc:AlternateContent>
          <mc:Choice Requires="wps">
            <w:drawing>
              <wp:anchor distT="0" distB="0" distL="114300" distR="114300" simplePos="0" relativeHeight="251717632" behindDoc="0" locked="0" layoutInCell="1" allowOverlap="1" wp14:anchorId="03568372" wp14:editId="18C6B043">
                <wp:simplePos x="0" y="0"/>
                <wp:positionH relativeFrom="margin">
                  <wp:align>left</wp:align>
                </wp:positionH>
                <wp:positionV relativeFrom="paragraph">
                  <wp:posOffset>310471</wp:posOffset>
                </wp:positionV>
                <wp:extent cx="5517515" cy="488315"/>
                <wp:effectExtent l="0" t="0" r="6985" b="698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5517515" cy="48831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FE675C9" w14:textId="77777777" w:rsidR="001469AD" w:rsidRPr="001469AD" w:rsidRDefault="001469AD" w:rsidP="001469AD">
                            <w:pPr>
                              <w:rPr>
                                <w:rFonts w:ascii="Century Gothic" w:hAnsi="Century Gothic"/>
                                <w:b/>
                                <w:color w:val="009999"/>
                                <w:sz w:val="44"/>
                                <w:szCs w:val="44"/>
                              </w:rPr>
                            </w:pPr>
                            <w:r w:rsidRPr="001469AD">
                              <w:rPr>
                                <w:rFonts w:ascii="Century Gothic" w:hAnsi="Century Gothic"/>
                                <w:b/>
                                <w:color w:val="009999"/>
                                <w:sz w:val="44"/>
                                <w:szCs w:val="44"/>
                              </w:rPr>
                              <w:t xml:space="preserve">Portafolio de Justicia de Transicional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8372" id="Cuadro de texto 19" o:spid="_x0000_s1027" type="#_x0000_t202" style="position:absolute;margin-left:0;margin-top:24.45pt;width:434.45pt;height:38.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" fillcolor="white [3212]" stroked="f">
                <v:textbox>
                  <w:txbxContent>
                    <w:p w14:paraId="5FE675C9" w14:textId="77777777" w:rsidR="001469AD" w:rsidRPr="001469AD" w:rsidRDefault="001469AD" w:rsidP="001469AD">
                      <w:pPr>
                        <w:rPr>
                          <w:rFonts w:ascii="Century Gothic" w:hAnsi="Century Gothic"/>
                          <w:b/>
                          <w:color w:val="009999"/>
                          <w:sz w:val="44"/>
                          <w:szCs w:val="44"/>
                        </w:rPr>
                      </w:pPr>
                      <w:r w:rsidRPr="001469AD">
                        <w:rPr>
                          <w:rFonts w:ascii="Century Gothic" w:hAnsi="Century Gothic"/>
                          <w:b/>
                          <w:color w:val="009999"/>
                          <w:sz w:val="44"/>
                          <w:szCs w:val="44"/>
                        </w:rPr>
                        <w:t xml:space="preserve">Portafolio de Justicia de Transicional </w:t>
                      </w:r>
                    </w:p>
                  </w:txbxContent>
                </v:textbox>
                <w10:wrap type="square" anchorx="margin"/>
              </v:shape>
            </w:pict>
          </mc:Fallback>
        </mc:AlternateContent>
      </w:r>
    </w:p>
    <w:p w14:paraId="31A4C048" w14:textId="70036ABA" w:rsidR="001469AD" w:rsidRPr="00AC73FB" w:rsidRDefault="001469AD" w:rsidP="001469AD"/>
    <w:p w14:paraId="18714B46" w14:textId="1FCA49C3" w:rsidR="001469AD" w:rsidRPr="00AC73FB" w:rsidRDefault="001469AD" w:rsidP="001469AD"/>
    <w:p w14:paraId="4D6169FC" w14:textId="0C174D72" w:rsidR="001469AD" w:rsidRPr="00AC73FB" w:rsidRDefault="001469AD" w:rsidP="001469AD"/>
    <w:p w14:paraId="2D2BD32C" w14:textId="07D6B1A4" w:rsidR="001469AD" w:rsidRPr="00AC73FB" w:rsidRDefault="001469AD" w:rsidP="001469AD"/>
    <w:p w14:paraId="055104AC" w14:textId="3F40B1DE" w:rsidR="001469AD" w:rsidRPr="00AC73FB" w:rsidRDefault="001469AD" w:rsidP="001469AD"/>
    <w:p w14:paraId="102CEB1E" w14:textId="5F47DC0F" w:rsidR="001469AD" w:rsidRPr="00AC73FB" w:rsidRDefault="001469AD" w:rsidP="001469AD"/>
    <w:p w14:paraId="26448CF5" w14:textId="0D9C6C0C" w:rsidR="001469AD" w:rsidRPr="00AC73FB" w:rsidRDefault="005D0D44" w:rsidP="001469AD">
      <w:r>
        <w:rPr>
          <w:noProof/>
          <w:lang w:val="es-ES"/>
        </w:rPr>
        <mc:AlternateContent>
          <mc:Choice Requires="wps">
            <w:drawing>
              <wp:anchor distT="0" distB="0" distL="114300" distR="114300" simplePos="0" relativeHeight="251718656" behindDoc="0" locked="0" layoutInCell="1" allowOverlap="1" wp14:anchorId="1AA80743" wp14:editId="4218DADE">
                <wp:simplePos x="0" y="0"/>
                <wp:positionH relativeFrom="margin">
                  <wp:posOffset>-88265</wp:posOffset>
                </wp:positionH>
                <wp:positionV relativeFrom="paragraph">
                  <wp:posOffset>264795</wp:posOffset>
                </wp:positionV>
                <wp:extent cx="5722620" cy="70993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5722620" cy="709930"/>
                        </a:xfrm>
                        <a:prstGeom prst="rect">
                          <a:avLst/>
                        </a:prstGeom>
                        <a:solidFill>
                          <a:srgbClr val="389B9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83A0416" w14:textId="468D7DC0" w:rsidR="001469AD" w:rsidRPr="001469AD" w:rsidRDefault="001469AD" w:rsidP="008D1EFA">
                            <w:pPr>
                              <w:rPr>
                                <w:rFonts w:ascii="Century Gothic" w:hAnsi="Century Gothic"/>
                                <w:b/>
                                <w:color w:val="FFFFFF" w:themeColor="background1"/>
                                <w:sz w:val="40"/>
                                <w:szCs w:val="40"/>
                              </w:rPr>
                            </w:pPr>
                            <w:r w:rsidRPr="001469AD">
                              <w:rPr>
                                <w:rFonts w:ascii="Century Gothic" w:hAnsi="Century Gothic"/>
                                <w:b/>
                                <w:color w:val="FFFFFF" w:themeColor="background1"/>
                                <w:sz w:val="40"/>
                                <w:szCs w:val="40"/>
                              </w:rPr>
                              <w:t>Programa de las Naciones Unidas para el Desarrollo</w:t>
                            </w:r>
                            <w:r w:rsidR="000D4268">
                              <w:rPr>
                                <w:rFonts w:ascii="Century Gothic" w:hAnsi="Century Gothic"/>
                                <w:b/>
                                <w:color w:val="FFFFFF" w:themeColor="background1"/>
                                <w:sz w:val="40"/>
                                <w:szCs w:val="40"/>
                              </w:rPr>
                              <w:t xml:space="preserve"> (PNUD)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0743" id="Cuadro de texto 20" o:spid="_x0000_s1028" type="#_x0000_t202" style="position:absolute;margin-left:-6.95pt;margin-top:20.85pt;width:450.6pt;height:55.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" fillcolor="#389b9d" stroked="f">
                <v:textbox>
                  <w:txbxContent>
                    <w:p w14:paraId="183A0416" w14:textId="468D7DC0" w:rsidR="001469AD" w:rsidRPr="001469AD" w:rsidRDefault="001469AD" w:rsidP="008D1EFA">
                      <w:pPr>
                        <w:rPr>
                          <w:rFonts w:ascii="Century Gothic" w:hAnsi="Century Gothic"/>
                          <w:b/>
                          <w:color w:val="FFFFFF" w:themeColor="background1"/>
                          <w:sz w:val="40"/>
                          <w:szCs w:val="40"/>
                        </w:rPr>
                      </w:pPr>
                      <w:r w:rsidRPr="001469AD">
                        <w:rPr>
                          <w:rFonts w:ascii="Century Gothic" w:hAnsi="Century Gothic"/>
                          <w:b/>
                          <w:color w:val="FFFFFF" w:themeColor="background1"/>
                          <w:sz w:val="40"/>
                          <w:szCs w:val="40"/>
                        </w:rPr>
                        <w:t>Programa de las Naciones Unidas para el Desarrollo</w:t>
                      </w:r>
                      <w:r w:rsidR="000D4268">
                        <w:rPr>
                          <w:rFonts w:ascii="Century Gothic" w:hAnsi="Century Gothic"/>
                          <w:b/>
                          <w:color w:val="FFFFFF" w:themeColor="background1"/>
                          <w:sz w:val="40"/>
                          <w:szCs w:val="40"/>
                        </w:rPr>
                        <w:t xml:space="preserve"> (PNUD)</w:t>
                      </w:r>
                    </w:p>
                  </w:txbxContent>
                </v:textbox>
                <w10:wrap type="square" anchorx="margin"/>
              </v:shape>
            </w:pict>
          </mc:Fallback>
        </mc:AlternateContent>
      </w:r>
    </w:p>
    <w:p w14:paraId="2EE0492E" w14:textId="1322ED37" w:rsidR="001469AD" w:rsidRPr="00AC73FB" w:rsidRDefault="001469AD" w:rsidP="001469AD"/>
    <w:p w14:paraId="00000003" w14:textId="626DF80D" w:rsidR="00F1064E" w:rsidRDefault="00F1064E" w:rsidP="009D291F">
      <w:pPr>
        <w:pStyle w:val="Ttulo1"/>
        <w:numPr>
          <w:ilvl w:val="0"/>
          <w:numId w:val="0"/>
        </w:numPr>
        <w:rPr>
          <w:rFonts w:eastAsia="Century Gothic"/>
          <w:lang w:val="es-CO"/>
        </w:rPr>
      </w:pPr>
    </w:p>
    <w:p w14:paraId="4BAB5788" w14:textId="2BAC0A1E" w:rsidR="001469AD" w:rsidRDefault="001469AD" w:rsidP="001469AD">
      <w:pPr>
        <w:rPr>
          <w:lang w:eastAsia="es-ES"/>
        </w:rPr>
      </w:pPr>
    </w:p>
    <w:p w14:paraId="35962D1B" w14:textId="0F26B813" w:rsidR="001469AD" w:rsidRDefault="005D0D44" w:rsidP="001469AD">
      <w:pPr>
        <w:rPr>
          <w:lang w:eastAsia="es-ES"/>
        </w:rPr>
      </w:pPr>
      <w:r w:rsidRPr="008D1EFA">
        <w:rPr>
          <w:rFonts w:ascii="Century Gothic" w:eastAsia="Century Gothic" w:hAnsi="Century Gothic" w:cs="Century Gothic"/>
          <w:noProof/>
          <w:sz w:val="20"/>
          <w:szCs w:val="20"/>
        </w:rPr>
        <mc:AlternateContent>
          <mc:Choice Requires="wps">
            <w:drawing>
              <wp:anchor distT="45720" distB="45720" distL="114300" distR="114300" simplePos="0" relativeHeight="251722752" behindDoc="0" locked="0" layoutInCell="1" allowOverlap="1" wp14:anchorId="3D1FBC15" wp14:editId="38C7EC1F">
                <wp:simplePos x="0" y="0"/>
                <wp:positionH relativeFrom="margin">
                  <wp:align>left</wp:align>
                </wp:positionH>
                <wp:positionV relativeFrom="paragraph">
                  <wp:posOffset>46224</wp:posOffset>
                </wp:positionV>
                <wp:extent cx="2653665" cy="14211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421476"/>
                        </a:xfrm>
                        <a:prstGeom prst="rect">
                          <a:avLst/>
                        </a:prstGeom>
                        <a:solidFill>
                          <a:srgbClr val="FFFFFF">
                            <a:alpha val="81000"/>
                          </a:srgbClr>
                        </a:solidFill>
                        <a:ln w="3175">
                          <a:noFill/>
                          <a:miter lim="800000"/>
                          <a:headEnd/>
                          <a:tailEnd/>
                        </a:ln>
                      </wps:spPr>
                      <wps:txbx>
                        <w:txbxContent>
                          <w:p w14:paraId="52E36050" w14:textId="1B33C5B0" w:rsidR="005D0D44" w:rsidRPr="005D0D44" w:rsidRDefault="005D0D44" w:rsidP="005D0D44">
                            <w:pPr>
                              <w:rPr>
                                <w:rFonts w:ascii="Century Gothic" w:hAnsi="Century Gothic"/>
                                <w:b/>
                                <w:bCs/>
                              </w:rPr>
                            </w:pPr>
                            <w:r w:rsidRPr="005D0D44">
                              <w:rPr>
                                <w:rFonts w:ascii="Century Gothic" w:hAnsi="Century Gothic"/>
                                <w:b/>
                                <w:bCs/>
                              </w:rPr>
                              <w:t xml:space="preserve">David Huey </w:t>
                            </w:r>
                            <w:r w:rsidR="000D4268">
                              <w:rPr>
                                <w:rFonts w:ascii="Century Gothic" w:hAnsi="Century Gothic"/>
                                <w:b/>
                                <w:bCs/>
                              </w:rPr>
                              <w:t>(Coordinador)</w:t>
                            </w:r>
                          </w:p>
                          <w:p w14:paraId="3687A045" w14:textId="77777777" w:rsidR="005D0D44" w:rsidRPr="005D0D44" w:rsidRDefault="005D0D44" w:rsidP="005D0D44">
                            <w:pPr>
                              <w:rPr>
                                <w:rFonts w:ascii="Century Gothic" w:hAnsi="Century Gothic"/>
                                <w:b/>
                                <w:bCs/>
                              </w:rPr>
                            </w:pPr>
                            <w:r w:rsidRPr="005D0D44">
                              <w:rPr>
                                <w:rFonts w:ascii="Century Gothic" w:hAnsi="Century Gothic"/>
                                <w:b/>
                                <w:bCs/>
                              </w:rPr>
                              <w:t xml:space="preserve">Laura Cardona </w:t>
                            </w:r>
                          </w:p>
                          <w:p w14:paraId="5B99BFB3" w14:textId="77777777" w:rsidR="000D4268" w:rsidRPr="005D0D44" w:rsidRDefault="000D4268" w:rsidP="000D4268">
                            <w:pPr>
                              <w:rPr>
                                <w:rFonts w:ascii="Century Gothic" w:hAnsi="Century Gothic"/>
                                <w:b/>
                                <w:bCs/>
                              </w:rPr>
                            </w:pPr>
                            <w:r w:rsidRPr="005D0D44">
                              <w:rPr>
                                <w:rFonts w:ascii="Century Gothic" w:hAnsi="Century Gothic"/>
                                <w:b/>
                                <w:bCs/>
                              </w:rPr>
                              <w:t>María Alejandra Uribe</w:t>
                            </w:r>
                          </w:p>
                          <w:p w14:paraId="0C1C4E10" w14:textId="77777777" w:rsidR="005D0D44" w:rsidRPr="005D0D44" w:rsidRDefault="005D0D44" w:rsidP="005D0D44">
                            <w:pPr>
                              <w:rPr>
                                <w:rFonts w:ascii="Century Gothic" w:hAnsi="Century Gothic"/>
                              </w:rPr>
                            </w:pPr>
                          </w:p>
                          <w:p w14:paraId="34EB6ADE" w14:textId="77777777" w:rsidR="005D0D44" w:rsidRPr="005D0D44" w:rsidRDefault="005D0D44" w:rsidP="005D0D44">
                            <w:pPr>
                              <w:rPr>
                                <w:rFonts w:ascii="Century Gothic" w:hAnsi="Century Gothic"/>
                              </w:rPr>
                            </w:pPr>
                            <w:r w:rsidRPr="005D0D44">
                              <w:rPr>
                                <w:rFonts w:ascii="Century Gothic" w:hAnsi="Century Gothic"/>
                              </w:rPr>
                              <w:t xml:space="preserve">Aceptan todo la derivada de los contenidos de este informe. </w:t>
                            </w:r>
                          </w:p>
                          <w:p w14:paraId="466FA32F" w14:textId="77777777" w:rsidR="005D0D44" w:rsidRPr="005D0D44" w:rsidRDefault="005D0D44" w:rsidP="005D0D44">
                            <w:pPr>
                              <w:rPr>
                                <w:rFonts w:ascii="Century Gothic" w:hAnsi="Century Gothic"/>
                              </w:rPr>
                            </w:pPr>
                            <w:r w:rsidRPr="005D0D44">
                              <w:rPr>
                                <w:rFonts w:ascii="Century Gothic" w:hAnsi="Century Gothic"/>
                              </w:rPr>
                              <w:t xml:space="preserve">Bogotá, octubre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FBC15" id="Text Box 2" o:spid="_x0000_s1029" type="#_x0000_t202" style="position:absolute;margin-left:0;margin-top:3.65pt;width:208.95pt;height:111.9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" stroked="f" strokeweight=".25pt">
                <v:fill opacity="53199f"/>
                <v:textbox>
                  <w:txbxContent>
                    <w:p w14:paraId="52E36050" w14:textId="1B33C5B0" w:rsidR="005D0D44" w:rsidRPr="005D0D44" w:rsidRDefault="005D0D44" w:rsidP="005D0D44">
                      <w:pPr>
                        <w:rPr>
                          <w:rFonts w:ascii="Century Gothic" w:hAnsi="Century Gothic"/>
                          <w:b/>
                          <w:bCs/>
                        </w:rPr>
                      </w:pPr>
                      <w:r w:rsidRPr="005D0D44">
                        <w:rPr>
                          <w:rFonts w:ascii="Century Gothic" w:hAnsi="Century Gothic"/>
                          <w:b/>
                          <w:bCs/>
                        </w:rPr>
                        <w:t xml:space="preserve">David Huey </w:t>
                      </w:r>
                      <w:r w:rsidR="000D4268">
                        <w:rPr>
                          <w:rFonts w:ascii="Century Gothic" w:hAnsi="Century Gothic"/>
                          <w:b/>
                          <w:bCs/>
                        </w:rPr>
                        <w:t>(Coordinador)</w:t>
                      </w:r>
                    </w:p>
                    <w:p w14:paraId="3687A045" w14:textId="77777777" w:rsidR="005D0D44" w:rsidRPr="005D0D44" w:rsidRDefault="005D0D44" w:rsidP="005D0D44">
                      <w:pPr>
                        <w:rPr>
                          <w:rFonts w:ascii="Century Gothic" w:hAnsi="Century Gothic"/>
                          <w:b/>
                          <w:bCs/>
                        </w:rPr>
                      </w:pPr>
                      <w:r w:rsidRPr="005D0D44">
                        <w:rPr>
                          <w:rFonts w:ascii="Century Gothic" w:hAnsi="Century Gothic"/>
                          <w:b/>
                          <w:bCs/>
                        </w:rPr>
                        <w:t xml:space="preserve">Laura Cardona </w:t>
                      </w:r>
                    </w:p>
                    <w:p w14:paraId="5B99BFB3" w14:textId="77777777" w:rsidR="000D4268" w:rsidRPr="005D0D44" w:rsidRDefault="000D4268" w:rsidP="000D4268">
                      <w:pPr>
                        <w:rPr>
                          <w:rFonts w:ascii="Century Gothic" w:hAnsi="Century Gothic"/>
                          <w:b/>
                          <w:bCs/>
                        </w:rPr>
                      </w:pPr>
                      <w:r w:rsidRPr="005D0D44">
                        <w:rPr>
                          <w:rFonts w:ascii="Century Gothic" w:hAnsi="Century Gothic"/>
                          <w:b/>
                          <w:bCs/>
                        </w:rPr>
                        <w:t>María Alejandra Uribe</w:t>
                      </w:r>
                    </w:p>
                    <w:p w14:paraId="0C1C4E10" w14:textId="77777777" w:rsidR="005D0D44" w:rsidRPr="005D0D44" w:rsidRDefault="005D0D44" w:rsidP="005D0D44">
                      <w:pPr>
                        <w:rPr>
                          <w:rFonts w:ascii="Century Gothic" w:hAnsi="Century Gothic"/>
                        </w:rPr>
                      </w:pPr>
                    </w:p>
                    <w:p w14:paraId="34EB6ADE" w14:textId="77777777" w:rsidR="005D0D44" w:rsidRPr="005D0D44" w:rsidRDefault="005D0D44" w:rsidP="005D0D44">
                      <w:pPr>
                        <w:rPr>
                          <w:rFonts w:ascii="Century Gothic" w:hAnsi="Century Gothic"/>
                        </w:rPr>
                      </w:pPr>
                      <w:r w:rsidRPr="005D0D44">
                        <w:rPr>
                          <w:rFonts w:ascii="Century Gothic" w:hAnsi="Century Gothic"/>
                        </w:rPr>
                        <w:t xml:space="preserve">Aceptan todo la derivada de los contenidos de este informe. </w:t>
                      </w:r>
                    </w:p>
                    <w:p w14:paraId="466FA32F" w14:textId="77777777" w:rsidR="005D0D44" w:rsidRPr="005D0D44" w:rsidRDefault="005D0D44" w:rsidP="005D0D44">
                      <w:pPr>
                        <w:rPr>
                          <w:rFonts w:ascii="Century Gothic" w:hAnsi="Century Gothic"/>
                        </w:rPr>
                      </w:pPr>
                      <w:r w:rsidRPr="005D0D44">
                        <w:rPr>
                          <w:rFonts w:ascii="Century Gothic" w:hAnsi="Century Gothic"/>
                        </w:rPr>
                        <w:t xml:space="preserve">Bogotá, octubre 2022 </w:t>
                      </w:r>
                    </w:p>
                  </w:txbxContent>
                </v:textbox>
                <w10:wrap type="square" anchorx="margin"/>
              </v:shape>
            </w:pict>
          </mc:Fallback>
        </mc:AlternateContent>
      </w:r>
    </w:p>
    <w:p w14:paraId="72307960" w14:textId="42609AFD" w:rsidR="001469AD" w:rsidRDefault="001469AD" w:rsidP="001469AD">
      <w:pPr>
        <w:rPr>
          <w:lang w:eastAsia="es-ES"/>
        </w:rPr>
      </w:pPr>
    </w:p>
    <w:p w14:paraId="5323029A" w14:textId="166CE1EC" w:rsidR="001469AD" w:rsidRDefault="001469AD" w:rsidP="001469AD">
      <w:pPr>
        <w:rPr>
          <w:lang w:eastAsia="es-ES"/>
        </w:rPr>
      </w:pPr>
    </w:p>
    <w:p w14:paraId="6CDD7357" w14:textId="331323F5" w:rsidR="001469AD" w:rsidRDefault="001469AD" w:rsidP="001469AD">
      <w:pPr>
        <w:rPr>
          <w:lang w:eastAsia="es-ES"/>
        </w:rPr>
      </w:pPr>
    </w:p>
    <w:p w14:paraId="12B55568" w14:textId="2C79ACB5" w:rsidR="001469AD" w:rsidRDefault="001469AD" w:rsidP="001469AD">
      <w:pPr>
        <w:rPr>
          <w:lang w:eastAsia="es-ES"/>
        </w:rPr>
      </w:pPr>
    </w:p>
    <w:p w14:paraId="39D47397" w14:textId="026B5930" w:rsidR="001469AD" w:rsidRPr="001469AD" w:rsidRDefault="001469AD" w:rsidP="001469AD">
      <w:pPr>
        <w:rPr>
          <w:lang w:eastAsia="es-ES"/>
        </w:rPr>
      </w:pPr>
    </w:p>
    <w:bookmarkStart w:id="1" w:name="_Toc103709947"/>
    <w:bookmarkStart w:id="2" w:name="_Toc103711523"/>
    <w:bookmarkStart w:id="3" w:name="_Toc103718455"/>
    <w:bookmarkStart w:id="4" w:name="_Toc110021055"/>
    <w:bookmarkStart w:id="5" w:name="_Toc110021111"/>
    <w:p w14:paraId="1F417903" w14:textId="144DE2E8" w:rsidR="0057259B" w:rsidRPr="001F7FF3" w:rsidRDefault="00B84220" w:rsidP="009D291F">
      <w:pPr>
        <w:pStyle w:val="Ttulo1"/>
        <w:numPr>
          <w:ilvl w:val="0"/>
          <w:numId w:val="0"/>
        </w:numPr>
        <w:rPr>
          <w:rFonts w:eastAsia="Century Gothic"/>
          <w:lang w:val="es-CO"/>
        </w:rPr>
      </w:pPr>
      <w:sdt>
        <w:sdtPr>
          <w:rPr>
            <w:lang w:val="es-CO"/>
          </w:rPr>
          <w:tag w:val="goog_rdk_0"/>
          <w:id w:val="-1277249630"/>
          <w:showingPlcHdr/>
        </w:sdtPr>
        <w:sdtEndPr/>
        <w:sdtContent>
          <w:r w:rsidR="00082C67" w:rsidRPr="001F7FF3">
            <w:rPr>
              <w:lang w:val="es-CO"/>
            </w:rPr>
            <w:t xml:space="preserve">    </w:t>
          </w:r>
          <w:bookmarkStart w:id="6" w:name="_Toc117261389"/>
          <w:r w:rsidR="00082C67" w:rsidRPr="001F7FF3">
            <w:rPr>
              <w:lang w:val="es-CO"/>
            </w:rPr>
            <w:t xml:space="preserve"> </w:t>
          </w:r>
        </w:sdtContent>
      </w:sdt>
      <w:r w:rsidR="001D0FD3" w:rsidRPr="001F7FF3">
        <w:rPr>
          <w:rFonts w:eastAsia="Century Gothic"/>
          <w:lang w:val="es-CO"/>
        </w:rPr>
        <w:t>Detalles del proyecto y de la evaluación</w:t>
      </w:r>
      <w:bookmarkEnd w:id="1"/>
      <w:bookmarkEnd w:id="2"/>
      <w:bookmarkEnd w:id="3"/>
      <w:bookmarkEnd w:id="4"/>
      <w:bookmarkEnd w:id="5"/>
      <w:bookmarkEnd w:id="6"/>
    </w:p>
    <w:tbl>
      <w:tblPr>
        <w:tblStyle w:val="6"/>
        <w:tblW w:w="907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5387"/>
      </w:tblGrid>
      <w:tr w:rsidR="00F1064E" w:rsidRPr="001F7FF3" w14:paraId="3C4F3CB0" w14:textId="77777777" w:rsidTr="006E7956">
        <w:tc>
          <w:tcPr>
            <w:tcW w:w="3686" w:type="dxa"/>
            <w:shd w:val="clear" w:color="auto" w:fill="auto"/>
            <w:tcMar>
              <w:top w:w="100" w:type="dxa"/>
              <w:left w:w="100" w:type="dxa"/>
              <w:bottom w:w="100" w:type="dxa"/>
              <w:right w:w="100" w:type="dxa"/>
            </w:tcMar>
          </w:tcPr>
          <w:p w14:paraId="00000006" w14:textId="6E67DE77" w:rsidR="00F1064E" w:rsidRPr="001F7FF3" w:rsidRDefault="001D0FD3" w:rsidP="009D291F">
            <w:pPr>
              <w:widowControl w:val="0"/>
              <w:pBdr>
                <w:top w:val="nil"/>
                <w:left w:val="nil"/>
                <w:bottom w:val="nil"/>
                <w:right w:val="nil"/>
                <w:between w:val="nil"/>
              </w:pBdr>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 xml:space="preserve">Título del Proyecto: </w:t>
            </w:r>
          </w:p>
          <w:p w14:paraId="00000007" w14:textId="77777777" w:rsidR="00F1064E" w:rsidRPr="001F7FF3" w:rsidRDefault="00F1064E" w:rsidP="009D291F">
            <w:pPr>
              <w:widowControl w:val="0"/>
              <w:pBdr>
                <w:top w:val="nil"/>
                <w:left w:val="nil"/>
                <w:bottom w:val="nil"/>
                <w:right w:val="nil"/>
                <w:between w:val="nil"/>
              </w:pBdr>
              <w:jc w:val="both"/>
              <w:rPr>
                <w:rFonts w:ascii="Century Gothic" w:eastAsia="Century Gothic" w:hAnsi="Century Gothic" w:cs="Century Gothic"/>
                <w:sz w:val="20"/>
                <w:szCs w:val="20"/>
              </w:rPr>
            </w:pPr>
          </w:p>
        </w:tc>
        <w:tc>
          <w:tcPr>
            <w:tcW w:w="5387" w:type="dxa"/>
            <w:shd w:val="clear" w:color="auto" w:fill="auto"/>
            <w:tcMar>
              <w:top w:w="100" w:type="dxa"/>
              <w:left w:w="100" w:type="dxa"/>
              <w:bottom w:w="100" w:type="dxa"/>
              <w:right w:w="100" w:type="dxa"/>
            </w:tcMar>
          </w:tcPr>
          <w:p w14:paraId="00000008" w14:textId="5354ED4B"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Programa de Justicia Transicional</w:t>
            </w:r>
          </w:p>
          <w:p w14:paraId="00000009" w14:textId="77777777" w:rsidR="00F1064E" w:rsidRPr="001F7FF3" w:rsidRDefault="00F1064E" w:rsidP="009D291F">
            <w:pPr>
              <w:widowControl w:val="0"/>
              <w:pBdr>
                <w:top w:val="nil"/>
                <w:left w:val="nil"/>
                <w:bottom w:val="nil"/>
                <w:right w:val="nil"/>
                <w:between w:val="nil"/>
              </w:pBdr>
              <w:jc w:val="both"/>
              <w:rPr>
                <w:rFonts w:ascii="Century Gothic" w:eastAsia="Century Gothic" w:hAnsi="Century Gothic" w:cs="Century Gothic"/>
                <w:sz w:val="20"/>
                <w:szCs w:val="20"/>
              </w:rPr>
            </w:pPr>
          </w:p>
        </w:tc>
      </w:tr>
      <w:tr w:rsidR="00F1064E" w:rsidRPr="001F7FF3" w14:paraId="46D81044" w14:textId="77777777" w:rsidTr="006E7956">
        <w:trPr>
          <w:trHeight w:val="306"/>
        </w:trPr>
        <w:tc>
          <w:tcPr>
            <w:tcW w:w="3686" w:type="dxa"/>
            <w:shd w:val="clear" w:color="auto" w:fill="auto"/>
            <w:tcMar>
              <w:top w:w="100" w:type="dxa"/>
              <w:left w:w="100" w:type="dxa"/>
              <w:bottom w:w="100" w:type="dxa"/>
              <w:right w:w="100" w:type="dxa"/>
            </w:tcMar>
          </w:tcPr>
          <w:p w14:paraId="0000000B" w14:textId="1A2C2ECF" w:rsidR="00F1064E" w:rsidRPr="001F7FF3" w:rsidRDefault="001D0FD3" w:rsidP="006E7956">
            <w:pPr>
              <w:widowControl w:val="0"/>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 xml:space="preserve">Número del Proyecto: </w:t>
            </w:r>
          </w:p>
        </w:tc>
        <w:tc>
          <w:tcPr>
            <w:tcW w:w="5387" w:type="dxa"/>
            <w:shd w:val="clear" w:color="auto" w:fill="auto"/>
            <w:tcMar>
              <w:top w:w="100" w:type="dxa"/>
              <w:left w:w="100" w:type="dxa"/>
              <w:bottom w:w="100" w:type="dxa"/>
              <w:right w:w="100" w:type="dxa"/>
            </w:tcMar>
          </w:tcPr>
          <w:p w14:paraId="0000000C" w14:textId="77777777" w:rsidR="00F1064E" w:rsidRPr="001F7FF3" w:rsidRDefault="001D0FD3" w:rsidP="009D291F">
            <w:pPr>
              <w:widowControl w:val="0"/>
              <w:pBdr>
                <w:top w:val="nil"/>
                <w:left w:val="nil"/>
                <w:bottom w:val="nil"/>
                <w:right w:val="nil"/>
                <w:between w:val="nil"/>
              </w:pBd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98331</w:t>
            </w:r>
          </w:p>
        </w:tc>
      </w:tr>
      <w:tr w:rsidR="00F1064E" w:rsidRPr="001F7FF3" w14:paraId="69F4E2DB" w14:textId="77777777" w:rsidTr="006E7956">
        <w:tc>
          <w:tcPr>
            <w:tcW w:w="3686" w:type="dxa"/>
            <w:shd w:val="clear" w:color="auto" w:fill="auto"/>
            <w:tcMar>
              <w:top w:w="100" w:type="dxa"/>
              <w:left w:w="100" w:type="dxa"/>
              <w:bottom w:w="100" w:type="dxa"/>
              <w:right w:w="100" w:type="dxa"/>
            </w:tcMar>
          </w:tcPr>
          <w:p w14:paraId="0000000D" w14:textId="77777777"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b/>
                <w:sz w:val="20"/>
                <w:szCs w:val="20"/>
              </w:rPr>
              <w:t>Fecha de Inicio</w:t>
            </w:r>
            <w:r w:rsidRPr="001F7FF3">
              <w:rPr>
                <w:rFonts w:ascii="Century Gothic" w:eastAsia="Century Gothic" w:hAnsi="Century Gothic" w:cs="Century Gothic"/>
                <w:sz w:val="20"/>
                <w:szCs w:val="20"/>
              </w:rPr>
              <w:t>: 22/08/2016</w:t>
            </w:r>
          </w:p>
        </w:tc>
        <w:tc>
          <w:tcPr>
            <w:tcW w:w="5387" w:type="dxa"/>
            <w:shd w:val="clear" w:color="auto" w:fill="auto"/>
            <w:tcMar>
              <w:top w:w="100" w:type="dxa"/>
              <w:left w:w="100" w:type="dxa"/>
              <w:bottom w:w="100" w:type="dxa"/>
              <w:right w:w="100" w:type="dxa"/>
            </w:tcMar>
          </w:tcPr>
          <w:p w14:paraId="0000000F" w14:textId="5A73C73D" w:rsidR="00F1064E" w:rsidRPr="001F7FF3" w:rsidRDefault="001D0FD3" w:rsidP="006E7956">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b/>
                <w:sz w:val="20"/>
                <w:szCs w:val="20"/>
              </w:rPr>
              <w:t>Fecha de finalización</w:t>
            </w:r>
            <w:r w:rsidRPr="001F7FF3">
              <w:rPr>
                <w:rFonts w:ascii="Century Gothic" w:eastAsia="Century Gothic" w:hAnsi="Century Gothic" w:cs="Century Gothic"/>
                <w:sz w:val="20"/>
                <w:szCs w:val="20"/>
              </w:rPr>
              <w:t>: 31/12/</w:t>
            </w:r>
            <w:r w:rsidR="00423576" w:rsidRPr="001F7FF3">
              <w:rPr>
                <w:rFonts w:ascii="Century Gothic" w:eastAsia="Century Gothic" w:hAnsi="Century Gothic" w:cs="Century Gothic"/>
                <w:sz w:val="20"/>
                <w:szCs w:val="20"/>
              </w:rPr>
              <w:t>2022</w:t>
            </w:r>
          </w:p>
        </w:tc>
      </w:tr>
      <w:tr w:rsidR="00F1064E" w:rsidRPr="001F7FF3" w14:paraId="72AFE9CF" w14:textId="77777777" w:rsidTr="006E7956">
        <w:tc>
          <w:tcPr>
            <w:tcW w:w="3686" w:type="dxa"/>
            <w:shd w:val="clear" w:color="auto" w:fill="auto"/>
            <w:tcMar>
              <w:top w:w="100" w:type="dxa"/>
              <w:left w:w="100" w:type="dxa"/>
              <w:bottom w:w="100" w:type="dxa"/>
              <w:right w:w="100" w:type="dxa"/>
            </w:tcMar>
          </w:tcPr>
          <w:p w14:paraId="00000010" w14:textId="33693974" w:rsidR="00F1064E" w:rsidRPr="001F7FF3" w:rsidRDefault="001D0FD3" w:rsidP="009D291F">
            <w:pPr>
              <w:widowControl w:val="0"/>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Efectos a los que contribuye el proyecto (</w:t>
            </w:r>
            <w:r w:rsidR="003F0655" w:rsidRPr="001F7FF3">
              <w:rPr>
                <w:rFonts w:ascii="Century Gothic" w:eastAsia="Century Gothic" w:hAnsi="Century Gothic" w:cs="Century Gothic"/>
                <w:b/>
                <w:sz w:val="20"/>
                <w:szCs w:val="20"/>
              </w:rPr>
              <w:t>MANUD</w:t>
            </w:r>
            <w:r w:rsidRPr="001F7FF3">
              <w:rPr>
                <w:rFonts w:ascii="Century Gothic" w:eastAsia="Century Gothic" w:hAnsi="Century Gothic" w:cs="Century Gothic"/>
                <w:b/>
                <w:sz w:val="20"/>
                <w:szCs w:val="20"/>
              </w:rPr>
              <w:t>/CPD, RPD o GPD):</w:t>
            </w:r>
          </w:p>
          <w:p w14:paraId="1F3217C7" w14:textId="77777777" w:rsidR="004664DA" w:rsidRPr="001F7FF3" w:rsidRDefault="004664DA" w:rsidP="009D291F">
            <w:pPr>
              <w:widowControl w:val="0"/>
              <w:jc w:val="both"/>
              <w:rPr>
                <w:rFonts w:ascii="Century Gothic" w:eastAsia="Century Gothic" w:hAnsi="Century Gothic" w:cs="Century Gothic"/>
                <w:sz w:val="20"/>
                <w:szCs w:val="20"/>
              </w:rPr>
            </w:pPr>
          </w:p>
          <w:p w14:paraId="00000011" w14:textId="16463A2A"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Capacidades de las víctimas y las instituciones desarrolladas para participar e incidir en los organismos de toma de decisión relacionados con la atención, asistencia y reparación, que fomentan el goce efectivo de derechos.</w:t>
            </w:r>
          </w:p>
          <w:p w14:paraId="63DFEF56" w14:textId="77777777" w:rsidR="004664DA" w:rsidRPr="001F7FF3" w:rsidRDefault="004664DA" w:rsidP="009D291F">
            <w:pPr>
              <w:widowControl w:val="0"/>
              <w:jc w:val="both"/>
              <w:rPr>
                <w:rFonts w:ascii="Century Gothic" w:eastAsia="Century Gothic" w:hAnsi="Century Gothic" w:cs="Century Gothic"/>
                <w:sz w:val="20"/>
                <w:szCs w:val="20"/>
              </w:rPr>
            </w:pPr>
          </w:p>
          <w:p w14:paraId="00000012" w14:textId="1ED4A7AE"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Capacidad institucional desarrollada para asistir a las víctimas y lograr una efectiva implementación de la justicia transicional para garantizar el goce efectivo de derechos.</w:t>
            </w:r>
          </w:p>
          <w:p w14:paraId="5F317ECC" w14:textId="2472FC1A" w:rsidR="00816448" w:rsidRPr="001F7FF3" w:rsidRDefault="00816448" w:rsidP="009D291F">
            <w:pPr>
              <w:widowControl w:val="0"/>
              <w:jc w:val="both"/>
              <w:rPr>
                <w:rFonts w:ascii="Century Gothic" w:eastAsia="Century Gothic" w:hAnsi="Century Gothic" w:cs="Century Gothic"/>
                <w:sz w:val="20"/>
                <w:szCs w:val="20"/>
              </w:rPr>
            </w:pPr>
          </w:p>
          <w:p w14:paraId="6A3E351A" w14:textId="2C7ED624" w:rsidR="00816448" w:rsidRPr="001F7FF3" w:rsidRDefault="00816448" w:rsidP="009D291F">
            <w:pPr>
              <w:widowControl w:val="0"/>
              <w:jc w:val="both"/>
              <w:rPr>
                <w:rFonts w:ascii="Century Gothic" w:eastAsia="Century Gothic" w:hAnsi="Century Gothic" w:cs="Century Gothic"/>
                <w:sz w:val="20"/>
                <w:szCs w:val="20"/>
              </w:rPr>
            </w:pPr>
          </w:p>
          <w:p w14:paraId="00000013" w14:textId="77777777" w:rsidR="00F1064E" w:rsidRPr="001F7FF3" w:rsidRDefault="00F1064E" w:rsidP="009D291F">
            <w:pPr>
              <w:widowControl w:val="0"/>
              <w:jc w:val="both"/>
              <w:rPr>
                <w:rFonts w:ascii="Century Gothic" w:eastAsia="Century Gothic" w:hAnsi="Century Gothic" w:cs="Century Gothic"/>
                <w:sz w:val="20"/>
                <w:szCs w:val="20"/>
              </w:rPr>
            </w:pPr>
          </w:p>
        </w:tc>
        <w:tc>
          <w:tcPr>
            <w:tcW w:w="5387" w:type="dxa"/>
            <w:shd w:val="clear" w:color="auto" w:fill="auto"/>
            <w:tcMar>
              <w:top w:w="100" w:type="dxa"/>
              <w:left w:w="100" w:type="dxa"/>
              <w:bottom w:w="100" w:type="dxa"/>
              <w:right w:w="100" w:type="dxa"/>
            </w:tcMar>
          </w:tcPr>
          <w:p w14:paraId="12560178" w14:textId="4A38A351" w:rsidR="00816448" w:rsidRPr="001F7FF3" w:rsidRDefault="00816448" w:rsidP="009D291F">
            <w:pPr>
              <w:widowControl w:val="0"/>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 xml:space="preserve">Productos del Plan Estratégico: </w:t>
            </w:r>
          </w:p>
          <w:p w14:paraId="79DE3EAD" w14:textId="76192894" w:rsidR="00816448" w:rsidRPr="001F7FF3" w:rsidRDefault="00816448" w:rsidP="009D291F">
            <w:pPr>
              <w:widowControl w:val="0"/>
              <w:jc w:val="both"/>
              <w:rPr>
                <w:rFonts w:ascii="Century Gothic" w:eastAsia="Century Gothic" w:hAnsi="Century Gothic" w:cs="Century Gothic"/>
                <w:bCs/>
                <w:sz w:val="20"/>
                <w:szCs w:val="20"/>
              </w:rPr>
            </w:pPr>
            <w:r w:rsidRPr="001F7FF3">
              <w:rPr>
                <w:rFonts w:ascii="Century Gothic" w:eastAsia="Century Gothic" w:hAnsi="Century Gothic" w:cs="Century Gothic"/>
                <w:bCs/>
                <w:sz w:val="20"/>
                <w:szCs w:val="20"/>
              </w:rPr>
              <w:t>Procesos de recuperación, reforzar la cohesión social y la confianza y permitir un rápido retorno al desarrollo sostenible.</w:t>
            </w:r>
          </w:p>
          <w:p w14:paraId="32B06371" w14:textId="0DAD0D4D" w:rsidR="00816448" w:rsidRPr="001F7FF3" w:rsidRDefault="001D0FD3" w:rsidP="009D291F">
            <w:pPr>
              <w:widowControl w:val="0"/>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Producto(s) Indicativo(s)</w:t>
            </w:r>
            <w:r w:rsidR="003A35E6" w:rsidRPr="001F7FF3">
              <w:rPr>
                <w:rFonts w:ascii="Century Gothic" w:eastAsia="Century Gothic" w:hAnsi="Century Gothic" w:cs="Century Gothic"/>
                <w:b/>
                <w:sz w:val="20"/>
                <w:szCs w:val="20"/>
              </w:rPr>
              <w:t xml:space="preserve"> del PJT</w:t>
            </w:r>
            <w:r w:rsidRPr="001F7FF3">
              <w:rPr>
                <w:rFonts w:ascii="Century Gothic" w:eastAsia="Century Gothic" w:hAnsi="Century Gothic" w:cs="Century Gothic"/>
                <w:b/>
                <w:sz w:val="20"/>
                <w:szCs w:val="20"/>
              </w:rPr>
              <w:t>:</w:t>
            </w:r>
          </w:p>
          <w:p w14:paraId="00000015" w14:textId="77777777" w:rsidR="00F1064E" w:rsidRPr="001F7FF3" w:rsidRDefault="001D0FD3"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1</w:t>
            </w:r>
          </w:p>
          <w:p w14:paraId="00000016" w14:textId="77777777"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Fortalecidos los mecanismos institucionales y de la sociedad civil para el esclarecimiento de la verdad y la memoria histórica.</w:t>
            </w:r>
          </w:p>
          <w:p w14:paraId="00000017" w14:textId="77777777" w:rsidR="00F1064E" w:rsidRPr="001F7FF3" w:rsidRDefault="001D0FD3"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2</w:t>
            </w:r>
          </w:p>
          <w:p w14:paraId="00000018" w14:textId="77777777"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Mejorada la capacidad de respuesta del Estado para promover el acceso a la justicia y prevenir la impunidad.</w:t>
            </w:r>
          </w:p>
          <w:p w14:paraId="00000019" w14:textId="77777777" w:rsidR="00F1064E" w:rsidRPr="001F7FF3" w:rsidRDefault="001D0FD3"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3</w:t>
            </w:r>
          </w:p>
          <w:p w14:paraId="0000001A" w14:textId="7C111FD6" w:rsidR="00F1064E" w:rsidRPr="001F7FF3" w:rsidRDefault="001D0FD3"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Impulsada la reparación integral de las víctimas del conflicto armado</w:t>
            </w:r>
            <w:r w:rsidR="00423576" w:rsidRPr="001F7FF3">
              <w:rPr>
                <w:rFonts w:ascii="Century Gothic" w:eastAsia="Century Gothic" w:hAnsi="Century Gothic" w:cs="Century Gothic"/>
                <w:sz w:val="20"/>
                <w:szCs w:val="20"/>
              </w:rPr>
              <w:t xml:space="preserve"> a partir del ajuste e implementación de la política pública de reparación individual y colectiva en territorios priorizados y sujetos de reparación colectiva</w:t>
            </w:r>
          </w:p>
          <w:p w14:paraId="0000001B" w14:textId="3E24E468" w:rsidR="00F1064E" w:rsidRPr="001F7FF3" w:rsidRDefault="001D0FD3"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4</w:t>
            </w:r>
          </w:p>
          <w:p w14:paraId="0000001C" w14:textId="40EBC09B" w:rsidR="00F1064E" w:rsidRPr="001F7FF3" w:rsidRDefault="001D0FD3" w:rsidP="009D291F">
            <w:pPr>
              <w:widowControl w:val="0"/>
              <w:pBdr>
                <w:bottom w:val="single" w:sz="12" w:space="1" w:color="auto"/>
              </w:pBd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Promovidos mecanismos para impulsar reformas institucionales y los procesos de inclusión, reconciliación y construcción territorial de la paz.</w:t>
            </w:r>
          </w:p>
          <w:p w14:paraId="491C050B" w14:textId="042805F3" w:rsidR="00C73ADA" w:rsidRPr="001F7FF3" w:rsidRDefault="00423576" w:rsidP="006E7956">
            <w:pPr>
              <w:pStyle w:val="Prrafodelista"/>
              <w:widowControl w:val="0"/>
              <w:numPr>
                <w:ilvl w:val="0"/>
                <w:numId w:val="11"/>
              </w:numPr>
              <w:ind w:left="330" w:hanging="300"/>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Fortalecidas las capacidades institucionales de la CEV para cumplir con su mandato de esclarecimiento de la verdad. </w:t>
            </w:r>
          </w:p>
          <w:p w14:paraId="33379DB2" w14:textId="7C2A0847" w:rsidR="00C73ADA" w:rsidRPr="001F7FF3" w:rsidRDefault="00423576" w:rsidP="009D291F">
            <w:pPr>
              <w:pStyle w:val="Prrafodelista"/>
              <w:widowControl w:val="0"/>
              <w:numPr>
                <w:ilvl w:val="0"/>
                <w:numId w:val="11"/>
              </w:numPr>
              <w:ind w:left="330" w:hanging="300"/>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Estrategias de Diálogo social y gestión de conocimiento implementadas para el esclarecimiento de la verdad y promoción de la convivencia y no repetición. </w:t>
            </w:r>
          </w:p>
          <w:p w14:paraId="69619D3C" w14:textId="77777777" w:rsidR="00C73ADA" w:rsidRPr="001F7FF3" w:rsidRDefault="00423576" w:rsidP="009D291F">
            <w:pPr>
              <w:pStyle w:val="Prrafodelista"/>
              <w:widowControl w:val="0"/>
              <w:numPr>
                <w:ilvl w:val="0"/>
                <w:numId w:val="11"/>
              </w:numPr>
              <w:ind w:left="330" w:hanging="300"/>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Apoyar la implementación de 17 esquemas especiales de acompañamiento de retornos y reubicaciones y de 4 medidas de reparación colectiva en comunidades étnicas y no étnicas en territorios PDET en alianza con la UARIV. </w:t>
            </w:r>
          </w:p>
          <w:p w14:paraId="63E7BC64" w14:textId="366381E9" w:rsidR="00D74B08" w:rsidRPr="001F7FF3" w:rsidRDefault="00D74B08" w:rsidP="009D291F">
            <w:pPr>
              <w:pStyle w:val="Prrafodelista"/>
              <w:widowControl w:val="0"/>
              <w:numPr>
                <w:ilvl w:val="0"/>
                <w:numId w:val="11"/>
              </w:numPr>
              <w:pBdr>
                <w:bottom w:val="single" w:sz="12" w:space="1" w:color="auto"/>
              </w:pBdr>
              <w:ind w:left="351" w:hanging="270"/>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Estrategia para el desarrollo de capacidades para la autoprotección de los funcionarios y personas que participan en el SIVJNRN.</w:t>
            </w:r>
          </w:p>
          <w:p w14:paraId="7D02E579" w14:textId="4CC3C7E0" w:rsidR="00D74B08" w:rsidRPr="001F7FF3" w:rsidRDefault="00D74B08" w:rsidP="006E7956">
            <w:pPr>
              <w:widowControl w:val="0"/>
              <w:rPr>
                <w:rFonts w:ascii="Century Gothic" w:eastAsia="Century Gothic" w:hAnsi="Century Gothic" w:cs="Century Gothic"/>
                <w:b/>
                <w:bCs/>
                <w:sz w:val="20"/>
                <w:szCs w:val="20"/>
                <w:u w:val="single"/>
              </w:rPr>
            </w:pPr>
            <w:r w:rsidRPr="001F7FF3">
              <w:rPr>
                <w:rFonts w:ascii="Century Gothic" w:eastAsia="Century Gothic" w:hAnsi="Century Gothic" w:cs="Century Gothic"/>
                <w:b/>
                <w:bCs/>
                <w:sz w:val="20"/>
                <w:szCs w:val="20"/>
                <w:u w:val="single"/>
              </w:rPr>
              <w:t>Resultados del PJT</w:t>
            </w:r>
          </w:p>
          <w:p w14:paraId="732A4CF0"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Derecho a la verdad y memoria histórica; acceso a la justicia y lucha contra la impunidad; </w:t>
            </w:r>
          </w:p>
          <w:p w14:paraId="38D6884D"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lastRenderedPageBreak/>
              <w:t>Acceso a la justicia y lucha contra la impunidad;</w:t>
            </w:r>
          </w:p>
          <w:p w14:paraId="1937C838"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Reparación integral; </w:t>
            </w:r>
          </w:p>
          <w:p w14:paraId="0C08C272"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Garantías de no repetición y prevención; </w:t>
            </w:r>
          </w:p>
          <w:p w14:paraId="4718486F"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Esclarecimiento de la verdad; </w:t>
            </w:r>
          </w:p>
          <w:p w14:paraId="099FACEF"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Dialogo social y gestión de conocimiento para el esclarecimiento de la verdad y promoción de la convivencia y la no repetición; </w:t>
            </w:r>
          </w:p>
          <w:p w14:paraId="4DBA01CC" w14:textId="77777777"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Apoyo al fortalecimiento de los procesos de reparación colectiva y de retornos y reubicaciones en territorios PDET; y</w:t>
            </w:r>
          </w:p>
          <w:p w14:paraId="0000001D" w14:textId="761E74B3" w:rsidR="00D74B08" w:rsidRPr="001F7FF3" w:rsidRDefault="00D74B08" w:rsidP="009D291F">
            <w:pPr>
              <w:pStyle w:val="Prrafodelista"/>
              <w:numPr>
                <w:ilvl w:val="0"/>
                <w:numId w:val="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Fortalecimiento institucional para el despliegue y funcionamiento territorial articulado del Sistema Integral de Verdad, Justicia, Reparación y No Repetición( SIVJRNR)</w:t>
            </w:r>
            <w:r w:rsidR="00AD695F">
              <w:rPr>
                <w:rFonts w:ascii="Century Gothic" w:eastAsia="Century Gothic" w:hAnsi="Century Gothic" w:cs="Century Gothic"/>
                <w:sz w:val="20"/>
                <w:szCs w:val="20"/>
                <w:lang w:val="es-CO"/>
              </w:rPr>
              <w:t>.</w:t>
            </w:r>
          </w:p>
        </w:tc>
      </w:tr>
    </w:tbl>
    <w:p w14:paraId="257D7021" w14:textId="5C3DFDF9" w:rsidR="00BB6B49" w:rsidRPr="001F7FF3" w:rsidRDefault="00BB6B49" w:rsidP="009D291F">
      <w:pPr>
        <w:spacing w:before="240" w:after="120"/>
        <w:jc w:val="both"/>
        <w:rPr>
          <w:rFonts w:ascii="Century Gothic" w:eastAsia="Century Gothic" w:hAnsi="Century Gothic" w:cs="Century Gothic"/>
          <w:sz w:val="20"/>
          <w:szCs w:val="20"/>
        </w:rPr>
      </w:pPr>
    </w:p>
    <w:p w14:paraId="00000025" w14:textId="56D9A349" w:rsidR="00F1064E" w:rsidRPr="00CF313A" w:rsidRDefault="00AA1274" w:rsidP="009D291F">
      <w:pPr>
        <w:keepNext/>
        <w:keepLines/>
        <w:spacing w:before="240" w:after="240"/>
        <w:jc w:val="both"/>
        <w:rPr>
          <w:rFonts w:ascii="Century Gothic" w:eastAsia="Century Gothic" w:hAnsi="Century Gothic" w:cs="Century Gothic"/>
          <w:color w:val="000000"/>
          <w:sz w:val="20"/>
          <w:szCs w:val="20"/>
        </w:rPr>
      </w:pPr>
      <w:bookmarkStart w:id="7" w:name="_heading=h.gjdgxs" w:colFirst="0" w:colLast="0"/>
      <w:bookmarkEnd w:id="7"/>
      <w:r w:rsidRPr="00CF313A">
        <w:rPr>
          <w:rFonts w:ascii="Century Gothic" w:eastAsia="Century Gothic" w:hAnsi="Century Gothic" w:cs="Century Gothic"/>
          <w:b/>
          <w:color w:val="2C4F8E"/>
          <w:sz w:val="20"/>
          <w:szCs w:val="20"/>
        </w:rPr>
        <w:t>T</w:t>
      </w:r>
      <w:r w:rsidR="001D0FD3" w:rsidRPr="00CF313A">
        <w:rPr>
          <w:rFonts w:ascii="Century Gothic" w:eastAsia="Century Gothic" w:hAnsi="Century Gothic" w:cs="Century Gothic"/>
          <w:b/>
          <w:color w:val="2C4F8E"/>
          <w:sz w:val="20"/>
          <w:szCs w:val="20"/>
        </w:rPr>
        <w:t>abla de contenido</w:t>
      </w:r>
    </w:p>
    <w:sdt>
      <w:sdtPr>
        <w:rPr>
          <w:rFonts w:ascii="Century Gothic" w:eastAsia="Calibri" w:hAnsi="Century Gothic"/>
          <w:sz w:val="20"/>
          <w:szCs w:val="20"/>
          <w:lang w:val="es-CO" w:eastAsia="es-CO"/>
        </w:rPr>
        <w:id w:val="-1018000717"/>
        <w:docPartObj>
          <w:docPartGallery w:val="Table of Contents"/>
          <w:docPartUnique/>
        </w:docPartObj>
      </w:sdtPr>
      <w:sdtEndPr/>
      <w:sdtContent>
        <w:p w14:paraId="0C08621C" w14:textId="3815EFC6" w:rsidR="00904CAC" w:rsidRPr="001F7FF3" w:rsidRDefault="001D0FD3" w:rsidP="009D291F">
          <w:pPr>
            <w:pStyle w:val="TDC1"/>
            <w:rPr>
              <w:rFonts w:ascii="Century Gothic" w:hAnsi="Century Gothic" w:cstheme="minorBidi"/>
              <w:noProof/>
              <w:sz w:val="20"/>
              <w:szCs w:val="20"/>
              <w:lang w:val="es-CO" w:eastAsia="en-US"/>
            </w:rPr>
          </w:pPr>
          <w:r w:rsidRPr="001F7FF3">
            <w:rPr>
              <w:rFonts w:ascii="Century Gothic" w:hAnsi="Century Gothic"/>
              <w:sz w:val="20"/>
              <w:szCs w:val="20"/>
              <w:lang w:val="es-CO"/>
            </w:rPr>
            <w:fldChar w:fldCharType="begin"/>
          </w:r>
          <w:r w:rsidRPr="001F7FF3">
            <w:rPr>
              <w:rFonts w:ascii="Century Gothic" w:hAnsi="Century Gothic"/>
              <w:sz w:val="20"/>
              <w:szCs w:val="20"/>
              <w:lang w:val="es-CO"/>
            </w:rPr>
            <w:instrText xml:space="preserve"> TOC \h \u \z </w:instrText>
          </w:r>
          <w:r w:rsidRPr="001F7FF3">
            <w:rPr>
              <w:rFonts w:ascii="Century Gothic" w:hAnsi="Century Gothic"/>
              <w:sz w:val="20"/>
              <w:szCs w:val="20"/>
              <w:lang w:val="es-CO"/>
            </w:rPr>
            <w:fldChar w:fldCharType="separate"/>
          </w:r>
          <w:hyperlink w:anchor="_Toc117261389" w:history="1">
            <w:r w:rsidR="00904CAC" w:rsidRPr="001F7FF3">
              <w:rPr>
                <w:rStyle w:val="Hipervnculo"/>
                <w:rFonts w:ascii="Century Gothic" w:eastAsia="Century Gothic" w:hAnsi="Century Gothic"/>
                <w:noProof/>
                <w:sz w:val="20"/>
                <w:szCs w:val="20"/>
                <w:lang w:val="es-CO"/>
              </w:rPr>
              <w:t>Detalles del proyecto y de la evaluación</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_Toc117261389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2</w:t>
            </w:r>
            <w:r w:rsidR="00904CAC" w:rsidRPr="001F7FF3">
              <w:rPr>
                <w:rFonts w:ascii="Century Gothic" w:hAnsi="Century Gothic"/>
                <w:noProof/>
                <w:webHidden/>
                <w:sz w:val="20"/>
                <w:szCs w:val="20"/>
                <w:lang w:val="es-CO"/>
              </w:rPr>
              <w:fldChar w:fldCharType="end"/>
            </w:r>
          </w:hyperlink>
        </w:p>
        <w:p w14:paraId="38A873BC" w14:textId="114FA28F" w:rsidR="00904CAC" w:rsidRPr="001F7FF3" w:rsidRDefault="00B84220" w:rsidP="009D291F">
          <w:pPr>
            <w:pStyle w:val="TDC1"/>
            <w:rPr>
              <w:rFonts w:ascii="Century Gothic" w:hAnsi="Century Gothic" w:cstheme="minorBidi"/>
              <w:noProof/>
              <w:sz w:val="20"/>
              <w:szCs w:val="20"/>
              <w:lang w:val="es-CO" w:eastAsia="en-US"/>
            </w:rPr>
          </w:pPr>
          <w:hyperlink w:anchor="_Toc117261390" w:history="1">
            <w:r w:rsidR="00904CAC" w:rsidRPr="001F7FF3">
              <w:rPr>
                <w:rStyle w:val="Hipervnculo"/>
                <w:rFonts w:ascii="Century Gothic" w:hAnsi="Century Gothic"/>
                <w:noProof/>
                <w:sz w:val="20"/>
                <w:szCs w:val="20"/>
                <w:lang w:val="es-CO"/>
              </w:rPr>
              <w:t>Tabla de Siglas y abreviaturas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_Toc117261390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4</w:t>
            </w:r>
            <w:r w:rsidR="00904CAC" w:rsidRPr="001F7FF3">
              <w:rPr>
                <w:rFonts w:ascii="Century Gothic" w:hAnsi="Century Gothic"/>
                <w:noProof/>
                <w:webHidden/>
                <w:sz w:val="20"/>
                <w:szCs w:val="20"/>
                <w:lang w:val="es-CO"/>
              </w:rPr>
              <w:fldChar w:fldCharType="end"/>
            </w:r>
          </w:hyperlink>
        </w:p>
        <w:p w14:paraId="316CC98A" w14:textId="59524368" w:rsidR="00904CAC" w:rsidRPr="001F7FF3" w:rsidRDefault="00B84220" w:rsidP="009D291F">
          <w:pPr>
            <w:pStyle w:val="TDC1"/>
            <w:rPr>
              <w:rFonts w:ascii="Century Gothic" w:hAnsi="Century Gothic" w:cstheme="minorBidi"/>
              <w:noProof/>
              <w:sz w:val="20"/>
              <w:szCs w:val="20"/>
              <w:lang w:val="es-CO" w:eastAsia="en-US"/>
            </w:rPr>
          </w:pPr>
          <w:hyperlink w:anchor="_Toc117261391" w:history="1">
            <w:r w:rsidR="00904CAC" w:rsidRPr="001F7FF3">
              <w:rPr>
                <w:rStyle w:val="Hipervnculo"/>
                <w:rFonts w:ascii="Century Gothic" w:hAnsi="Century Gothic"/>
                <w:noProof/>
                <w:sz w:val="20"/>
                <w:szCs w:val="20"/>
                <w:lang w:val="es-CO"/>
              </w:rPr>
              <w:t>Resumen ejecutivo</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_Toc117261391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6</w:t>
            </w:r>
            <w:r w:rsidR="00904CAC" w:rsidRPr="001F7FF3">
              <w:rPr>
                <w:rFonts w:ascii="Century Gothic" w:hAnsi="Century Gothic"/>
                <w:noProof/>
                <w:webHidden/>
                <w:sz w:val="20"/>
                <w:szCs w:val="20"/>
                <w:lang w:val="es-CO"/>
              </w:rPr>
              <w:fldChar w:fldCharType="end"/>
            </w:r>
          </w:hyperlink>
        </w:p>
        <w:p w14:paraId="357C8F98" w14:textId="5D34B670" w:rsidR="00904CAC" w:rsidRPr="001F7FF3" w:rsidRDefault="00B84220" w:rsidP="009D291F">
          <w:pPr>
            <w:pStyle w:val="TDC1"/>
            <w:rPr>
              <w:rFonts w:ascii="Century Gothic" w:hAnsi="Century Gothic" w:cstheme="minorBidi"/>
              <w:noProof/>
              <w:sz w:val="20"/>
              <w:szCs w:val="20"/>
              <w:lang w:val="es-CO" w:eastAsia="en-US"/>
            </w:rPr>
          </w:pPr>
          <w:hyperlink w:anchor="_Toc117261392" w:history="1">
            <w:r w:rsidR="00904CAC" w:rsidRPr="001F7FF3">
              <w:rPr>
                <w:rStyle w:val="Hipervnculo"/>
                <w:rFonts w:ascii="Century Gothic" w:hAnsi="Century Gothic"/>
                <w:noProof/>
                <w:sz w:val="20"/>
                <w:szCs w:val="20"/>
                <w:lang w:val="es-CO"/>
              </w:rPr>
              <w:t>1.</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hAnsi="Century Gothic"/>
                <w:noProof/>
                <w:sz w:val="20"/>
                <w:szCs w:val="20"/>
                <w:lang w:val="es-CO"/>
              </w:rPr>
              <w:t>Descripción de la intervención</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_Toc117261392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13</w:t>
            </w:r>
            <w:r w:rsidR="00904CAC" w:rsidRPr="001F7FF3">
              <w:rPr>
                <w:rFonts w:ascii="Century Gothic" w:hAnsi="Century Gothic"/>
                <w:noProof/>
                <w:webHidden/>
                <w:sz w:val="20"/>
                <w:szCs w:val="20"/>
                <w:lang w:val="es-CO"/>
              </w:rPr>
              <w:fldChar w:fldCharType="end"/>
            </w:r>
          </w:hyperlink>
        </w:p>
        <w:p w14:paraId="069D999B" w14:textId="3CE09F6F" w:rsidR="00904CAC" w:rsidRPr="001F7FF3" w:rsidRDefault="00B84220" w:rsidP="009D291F">
          <w:pPr>
            <w:pStyle w:val="TDC2"/>
            <w:rPr>
              <w:rFonts w:ascii="Century Gothic" w:hAnsi="Century Gothic" w:cstheme="minorBidi"/>
              <w:noProof/>
              <w:sz w:val="20"/>
              <w:szCs w:val="20"/>
              <w:lang w:val="es-CO" w:eastAsia="en-US"/>
            </w:rPr>
          </w:pPr>
          <w:hyperlink w:anchor="_Toc117261393" w:history="1">
            <w:r w:rsidR="00904CAC" w:rsidRPr="001F7FF3">
              <w:rPr>
                <w:rStyle w:val="Hipervnculo"/>
                <w:rFonts w:ascii="Century Gothic" w:hAnsi="Century Gothic"/>
                <w:noProof/>
                <w:sz w:val="20"/>
                <w:szCs w:val="20"/>
                <w:lang w:val="es-CO"/>
              </w:rPr>
              <w:t>Teoría de cambio</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_Toc117261393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13</w:t>
            </w:r>
            <w:r w:rsidR="00904CAC" w:rsidRPr="001F7FF3">
              <w:rPr>
                <w:rFonts w:ascii="Century Gothic" w:hAnsi="Century Gothic"/>
                <w:noProof/>
                <w:webHidden/>
                <w:sz w:val="20"/>
                <w:szCs w:val="20"/>
                <w:lang w:val="es-CO"/>
              </w:rPr>
              <w:fldChar w:fldCharType="end"/>
            </w:r>
          </w:hyperlink>
        </w:p>
        <w:p w14:paraId="671A8B8D" w14:textId="3EE41D8A" w:rsidR="00904CAC" w:rsidRPr="001F7FF3" w:rsidRDefault="00B84220" w:rsidP="009D291F">
          <w:pPr>
            <w:pStyle w:val="TDC1"/>
            <w:rPr>
              <w:rFonts w:ascii="Century Gothic" w:hAnsi="Century Gothic" w:cstheme="minorBidi"/>
              <w:noProof/>
              <w:sz w:val="20"/>
              <w:szCs w:val="20"/>
              <w:lang w:val="es-CO" w:eastAsia="en-US"/>
            </w:rPr>
          </w:pPr>
          <w:hyperlink w:anchor="_Toc117261394" w:history="1">
            <w:r w:rsidR="00904CAC" w:rsidRPr="001F7FF3">
              <w:rPr>
                <w:rStyle w:val="Hipervnculo"/>
                <w:rFonts w:ascii="Century Gothic" w:eastAsia="Century Gothic" w:hAnsi="Century Gothic"/>
                <w:noProof/>
                <w:sz w:val="20"/>
                <w:szCs w:val="20"/>
                <w:lang w:val="es-CO"/>
              </w:rPr>
              <w:t>2.</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Century Gothic" w:hAnsi="Century Gothic"/>
                <w:noProof/>
                <w:sz w:val="20"/>
                <w:szCs w:val="20"/>
                <w:lang w:val="es-CO"/>
              </w:rPr>
              <w:t>Objetivo y alcance de la evaluación</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_Toc117261394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18</w:t>
            </w:r>
            <w:r w:rsidR="00904CAC" w:rsidRPr="001F7FF3">
              <w:rPr>
                <w:rFonts w:ascii="Century Gothic" w:hAnsi="Century Gothic"/>
                <w:noProof/>
                <w:webHidden/>
                <w:sz w:val="20"/>
                <w:szCs w:val="20"/>
                <w:lang w:val="es-CO"/>
              </w:rPr>
              <w:fldChar w:fldCharType="end"/>
            </w:r>
          </w:hyperlink>
        </w:p>
        <w:p w14:paraId="00687B90" w14:textId="204D69C4" w:rsidR="00904CAC" w:rsidRPr="001F7FF3" w:rsidRDefault="00B84220" w:rsidP="009D291F">
          <w:pPr>
            <w:pStyle w:val="TDC2"/>
            <w:rPr>
              <w:rFonts w:ascii="Century Gothic" w:hAnsi="Century Gothic" w:cstheme="minorBidi"/>
              <w:noProof/>
              <w:sz w:val="20"/>
              <w:szCs w:val="20"/>
              <w:lang w:val="es-CO" w:eastAsia="en-US"/>
            </w:rPr>
          </w:pPr>
          <w:hyperlink w:anchor="_Toc117261395" w:history="1">
            <w:r w:rsidR="00904CAC" w:rsidRPr="001F7FF3">
              <w:rPr>
                <w:rStyle w:val="Hipervnculo"/>
                <w:rFonts w:ascii="Century Gothic" w:eastAsia="Century Gothic" w:hAnsi="Century Gothic"/>
                <w:noProof/>
                <w:sz w:val="20"/>
                <w:szCs w:val="20"/>
                <w:lang w:val="es-CO"/>
              </w:rPr>
              <w:t>Objetivos específicos: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_Toc117261395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18</w:t>
            </w:r>
            <w:r w:rsidR="00904CAC" w:rsidRPr="001F7FF3">
              <w:rPr>
                <w:rFonts w:ascii="Century Gothic" w:hAnsi="Century Gothic"/>
                <w:noProof/>
                <w:webHidden/>
                <w:sz w:val="20"/>
                <w:szCs w:val="20"/>
                <w:lang w:val="es-CO"/>
              </w:rPr>
              <w:fldChar w:fldCharType="end"/>
            </w:r>
          </w:hyperlink>
        </w:p>
        <w:p w14:paraId="435906E6" w14:textId="6E63B369" w:rsidR="00904CAC" w:rsidRPr="001F7FF3" w:rsidRDefault="00B84220" w:rsidP="009D291F">
          <w:pPr>
            <w:pStyle w:val="TDC1"/>
            <w:rPr>
              <w:rFonts w:ascii="Century Gothic" w:hAnsi="Century Gothic" w:cstheme="minorBidi"/>
              <w:noProof/>
              <w:sz w:val="20"/>
              <w:szCs w:val="20"/>
              <w:lang w:val="es-CO" w:eastAsia="en-US"/>
            </w:rPr>
          </w:pPr>
          <w:hyperlink w:anchor="_Toc117261396" w:history="1">
            <w:r w:rsidR="00904CAC" w:rsidRPr="001F7FF3">
              <w:rPr>
                <w:rStyle w:val="Hipervnculo"/>
                <w:rFonts w:ascii="Century Gothic" w:eastAsia="Century Gothic" w:hAnsi="Century Gothic"/>
                <w:noProof/>
                <w:sz w:val="20"/>
                <w:szCs w:val="20"/>
                <w:lang w:val="es-CO"/>
              </w:rPr>
              <w:t>3.</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Century Gothic" w:hAnsi="Century Gothic"/>
                <w:noProof/>
                <w:sz w:val="20"/>
                <w:szCs w:val="20"/>
                <w:lang w:val="es-CO"/>
              </w:rPr>
              <w:t>Metodología de evaluación</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_Toc117261396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20</w:t>
            </w:r>
            <w:r w:rsidR="00904CAC" w:rsidRPr="001F7FF3">
              <w:rPr>
                <w:rFonts w:ascii="Century Gothic" w:hAnsi="Century Gothic"/>
                <w:noProof/>
                <w:webHidden/>
                <w:sz w:val="20"/>
                <w:szCs w:val="20"/>
                <w:lang w:val="es-CO"/>
              </w:rPr>
              <w:fldChar w:fldCharType="end"/>
            </w:r>
          </w:hyperlink>
        </w:p>
        <w:p w14:paraId="496A7940" w14:textId="509301F9" w:rsidR="00904CAC" w:rsidRPr="001F7FF3" w:rsidRDefault="00B84220" w:rsidP="009D291F">
          <w:pPr>
            <w:pStyle w:val="TDC1"/>
            <w:rPr>
              <w:rFonts w:ascii="Century Gothic" w:hAnsi="Century Gothic" w:cstheme="minorBidi"/>
              <w:noProof/>
              <w:sz w:val="20"/>
              <w:szCs w:val="20"/>
              <w:lang w:val="es-CO" w:eastAsia="en-US"/>
            </w:rPr>
          </w:pPr>
          <w:hyperlink w:anchor="_Toc117261397" w:history="1">
            <w:r w:rsidR="00904CAC" w:rsidRPr="001F7FF3">
              <w:rPr>
                <w:rStyle w:val="Hipervnculo"/>
                <w:rFonts w:ascii="Century Gothic" w:hAnsi="Century Gothic"/>
                <w:noProof/>
                <w:sz w:val="20"/>
                <w:szCs w:val="20"/>
                <w:lang w:val="es-CO"/>
              </w:rPr>
              <w:t>4.</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hAnsi="Century Gothic"/>
                <w:noProof/>
                <w:sz w:val="20"/>
                <w:szCs w:val="20"/>
                <w:lang w:val="es-CO"/>
              </w:rPr>
              <w:t>Hallazgos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_Toc117261397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29</w:t>
            </w:r>
            <w:r w:rsidR="00904CAC" w:rsidRPr="001F7FF3">
              <w:rPr>
                <w:rFonts w:ascii="Century Gothic" w:hAnsi="Century Gothic"/>
                <w:noProof/>
                <w:webHidden/>
                <w:sz w:val="20"/>
                <w:szCs w:val="20"/>
                <w:lang w:val="es-CO"/>
              </w:rPr>
              <w:fldChar w:fldCharType="end"/>
            </w:r>
          </w:hyperlink>
        </w:p>
        <w:p w14:paraId="14BA705B" w14:textId="4FC80F2E" w:rsidR="00904CAC" w:rsidRPr="001F7FF3" w:rsidRDefault="00B84220" w:rsidP="009D291F">
          <w:pPr>
            <w:pStyle w:val="TDC2"/>
            <w:rPr>
              <w:rFonts w:ascii="Century Gothic" w:hAnsi="Century Gothic" w:cstheme="minorBidi"/>
              <w:noProof/>
              <w:sz w:val="20"/>
              <w:szCs w:val="20"/>
              <w:lang w:val="es-CO" w:eastAsia="en-US"/>
            </w:rPr>
          </w:pPr>
          <w:hyperlink w:anchor="_Toc117261398" w:history="1">
            <w:r w:rsidR="00904CAC" w:rsidRPr="001F7FF3">
              <w:rPr>
                <w:rStyle w:val="Hipervnculo"/>
                <w:rFonts w:ascii="Century Gothic" w:eastAsiaTheme="majorEastAsia" w:hAnsi="Century Gothic" w:cstheme="majorBidi"/>
                <w:noProof/>
                <w:sz w:val="20"/>
                <w:szCs w:val="20"/>
                <w:lang w:val="es-CO"/>
              </w:rPr>
              <w:t>Pertinencia</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_Toc117261398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29</w:t>
            </w:r>
            <w:r w:rsidR="00904CAC" w:rsidRPr="001F7FF3">
              <w:rPr>
                <w:rFonts w:ascii="Century Gothic" w:hAnsi="Century Gothic"/>
                <w:noProof/>
                <w:webHidden/>
                <w:sz w:val="20"/>
                <w:szCs w:val="20"/>
                <w:lang w:val="es-CO"/>
              </w:rPr>
              <w:fldChar w:fldCharType="end"/>
            </w:r>
          </w:hyperlink>
        </w:p>
        <w:p w14:paraId="4F75204F" w14:textId="5327E148" w:rsidR="00904CAC" w:rsidRPr="001F7FF3" w:rsidRDefault="00B84220" w:rsidP="009D291F">
          <w:pPr>
            <w:pStyle w:val="TDC2"/>
            <w:rPr>
              <w:rFonts w:ascii="Century Gothic" w:hAnsi="Century Gothic" w:cstheme="minorBidi"/>
              <w:noProof/>
              <w:sz w:val="20"/>
              <w:szCs w:val="20"/>
              <w:lang w:val="es-CO" w:eastAsia="en-US"/>
            </w:rPr>
          </w:pPr>
          <w:hyperlink w:anchor="_Toc117261399" w:history="1">
            <w:r w:rsidR="00904CAC" w:rsidRPr="001F7FF3">
              <w:rPr>
                <w:rStyle w:val="Hipervnculo"/>
                <w:rFonts w:ascii="Century Gothic" w:eastAsia="Century Gothic" w:hAnsi="Century Gothic" w:cstheme="majorBidi"/>
                <w:noProof/>
                <w:sz w:val="20"/>
                <w:szCs w:val="20"/>
                <w:lang w:val="es-CO"/>
              </w:rPr>
              <w:t>Eficiencia</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_Toc117261399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33</w:t>
            </w:r>
            <w:r w:rsidR="00904CAC" w:rsidRPr="001F7FF3">
              <w:rPr>
                <w:rFonts w:ascii="Century Gothic" w:hAnsi="Century Gothic"/>
                <w:noProof/>
                <w:webHidden/>
                <w:sz w:val="20"/>
                <w:szCs w:val="20"/>
                <w:lang w:val="es-CO"/>
              </w:rPr>
              <w:fldChar w:fldCharType="end"/>
            </w:r>
          </w:hyperlink>
        </w:p>
        <w:p w14:paraId="5B655AF4" w14:textId="34078F5F" w:rsidR="00904CAC" w:rsidRPr="001F7FF3" w:rsidRDefault="00B84220" w:rsidP="009D291F">
          <w:pPr>
            <w:pStyle w:val="TDC2"/>
            <w:rPr>
              <w:rFonts w:ascii="Century Gothic" w:hAnsi="Century Gothic" w:cstheme="minorBidi"/>
              <w:noProof/>
              <w:sz w:val="20"/>
              <w:szCs w:val="20"/>
              <w:lang w:val="es-CO" w:eastAsia="en-US"/>
            </w:rPr>
          </w:pPr>
          <w:hyperlink w:anchor="_Toc117261400" w:history="1">
            <w:r w:rsidR="00904CAC" w:rsidRPr="001F7FF3">
              <w:rPr>
                <w:rStyle w:val="Hipervnculo"/>
                <w:rFonts w:ascii="Century Gothic" w:eastAsia="Century Gothic" w:hAnsi="Century Gothic" w:cstheme="majorBidi"/>
                <w:noProof/>
                <w:sz w:val="20"/>
                <w:szCs w:val="20"/>
                <w:lang w:val="es-CO"/>
              </w:rPr>
              <w:t>Eficacia</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_Toc117261400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37</w:t>
            </w:r>
            <w:r w:rsidR="00904CAC" w:rsidRPr="001F7FF3">
              <w:rPr>
                <w:rFonts w:ascii="Century Gothic" w:hAnsi="Century Gothic"/>
                <w:noProof/>
                <w:webHidden/>
                <w:sz w:val="20"/>
                <w:szCs w:val="20"/>
                <w:lang w:val="es-CO"/>
              </w:rPr>
              <w:fldChar w:fldCharType="end"/>
            </w:r>
          </w:hyperlink>
        </w:p>
        <w:p w14:paraId="5A5F1DD4" w14:textId="73B92DE2" w:rsidR="00904CAC" w:rsidRPr="001F7FF3" w:rsidRDefault="00B84220" w:rsidP="009D291F">
          <w:pPr>
            <w:pStyle w:val="TDC2"/>
            <w:rPr>
              <w:rFonts w:ascii="Century Gothic" w:hAnsi="Century Gothic" w:cstheme="minorBidi"/>
              <w:noProof/>
              <w:sz w:val="20"/>
              <w:szCs w:val="20"/>
              <w:lang w:val="es-CO" w:eastAsia="en-US"/>
            </w:rPr>
          </w:pPr>
          <w:hyperlink w:anchor="_Toc117261401" w:history="1">
            <w:r w:rsidR="00904CAC" w:rsidRPr="001F7FF3">
              <w:rPr>
                <w:rStyle w:val="Hipervnculo"/>
                <w:rFonts w:ascii="Century Gothic" w:eastAsiaTheme="majorEastAsia" w:hAnsi="Century Gothic" w:cstheme="majorBidi"/>
                <w:noProof/>
                <w:sz w:val="20"/>
                <w:szCs w:val="20"/>
                <w:lang w:val="es-CO"/>
              </w:rPr>
              <w:t>Sostenibilidad</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_Toc117261401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44</w:t>
            </w:r>
            <w:r w:rsidR="00904CAC" w:rsidRPr="001F7FF3">
              <w:rPr>
                <w:rFonts w:ascii="Century Gothic" w:hAnsi="Century Gothic"/>
                <w:noProof/>
                <w:webHidden/>
                <w:sz w:val="20"/>
                <w:szCs w:val="20"/>
                <w:lang w:val="es-CO"/>
              </w:rPr>
              <w:fldChar w:fldCharType="end"/>
            </w:r>
          </w:hyperlink>
        </w:p>
        <w:p w14:paraId="0E082A08" w14:textId="271FDEBC" w:rsidR="00904CAC" w:rsidRPr="001F7FF3" w:rsidRDefault="00B84220" w:rsidP="009D291F">
          <w:pPr>
            <w:pStyle w:val="TDC2"/>
            <w:rPr>
              <w:rFonts w:ascii="Century Gothic" w:hAnsi="Century Gothic" w:cstheme="minorBidi"/>
              <w:noProof/>
              <w:sz w:val="20"/>
              <w:szCs w:val="20"/>
              <w:lang w:val="es-CO" w:eastAsia="en-US"/>
            </w:rPr>
          </w:pPr>
          <w:hyperlink w:anchor="_Toc117261402" w:history="1">
            <w:r w:rsidR="00904CAC" w:rsidRPr="001F7FF3">
              <w:rPr>
                <w:rStyle w:val="Hipervnculo"/>
                <w:rFonts w:ascii="Century Gothic" w:eastAsia="Century Gothic" w:hAnsi="Century Gothic" w:cstheme="majorBidi"/>
                <w:noProof/>
                <w:sz w:val="20"/>
                <w:szCs w:val="20"/>
                <w:lang w:val="es-CO"/>
              </w:rPr>
              <w:t>Enfoques Transversales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_Toc117261402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46</w:t>
            </w:r>
            <w:r w:rsidR="00904CAC" w:rsidRPr="001F7FF3">
              <w:rPr>
                <w:rFonts w:ascii="Century Gothic" w:hAnsi="Century Gothic"/>
                <w:noProof/>
                <w:webHidden/>
                <w:sz w:val="20"/>
                <w:szCs w:val="20"/>
                <w:lang w:val="es-CO"/>
              </w:rPr>
              <w:fldChar w:fldCharType="end"/>
            </w:r>
          </w:hyperlink>
        </w:p>
        <w:p w14:paraId="6A412A7A" w14:textId="49C5A50F" w:rsidR="00904CAC" w:rsidRPr="001F7FF3" w:rsidRDefault="00B84220" w:rsidP="009D291F">
          <w:pPr>
            <w:pStyle w:val="TDC1"/>
            <w:rPr>
              <w:rFonts w:ascii="Century Gothic" w:hAnsi="Century Gothic" w:cstheme="minorBidi"/>
              <w:noProof/>
              <w:sz w:val="20"/>
              <w:szCs w:val="20"/>
              <w:lang w:val="es-CO" w:eastAsia="en-US"/>
            </w:rPr>
          </w:pPr>
          <w:hyperlink w:anchor="_Toc117261403" w:history="1">
            <w:r w:rsidR="00904CAC" w:rsidRPr="001F7FF3">
              <w:rPr>
                <w:rStyle w:val="Hipervnculo"/>
                <w:rFonts w:ascii="Century Gothic" w:eastAsia="Century Gothic" w:hAnsi="Century Gothic"/>
                <w:noProof/>
                <w:sz w:val="20"/>
                <w:szCs w:val="20"/>
                <w:lang w:val="es-CO"/>
              </w:rPr>
              <w:t>5.</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Century Gothic" w:hAnsi="Century Gothic"/>
                <w:noProof/>
                <w:sz w:val="20"/>
                <w:szCs w:val="20"/>
                <w:lang w:val="es-CO"/>
              </w:rPr>
              <w:t>Buenas prácticas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_Toc117261403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49</w:t>
            </w:r>
            <w:r w:rsidR="00904CAC" w:rsidRPr="001F7FF3">
              <w:rPr>
                <w:rFonts w:ascii="Century Gothic" w:hAnsi="Century Gothic"/>
                <w:noProof/>
                <w:webHidden/>
                <w:sz w:val="20"/>
                <w:szCs w:val="20"/>
                <w:lang w:val="es-CO"/>
              </w:rPr>
              <w:fldChar w:fldCharType="end"/>
            </w:r>
          </w:hyperlink>
        </w:p>
        <w:p w14:paraId="610785A7" w14:textId="756C3067" w:rsidR="00904CAC" w:rsidRPr="001F7FF3" w:rsidRDefault="00B84220" w:rsidP="009D291F">
          <w:pPr>
            <w:pStyle w:val="TDC1"/>
            <w:rPr>
              <w:rFonts w:ascii="Century Gothic" w:hAnsi="Century Gothic" w:cstheme="minorBidi"/>
              <w:noProof/>
              <w:sz w:val="20"/>
              <w:szCs w:val="20"/>
              <w:lang w:val="es-CO" w:eastAsia="en-US"/>
            </w:rPr>
          </w:pPr>
          <w:hyperlink w:anchor="_Toc117261404" w:history="1">
            <w:r w:rsidR="00904CAC" w:rsidRPr="001F7FF3">
              <w:rPr>
                <w:rStyle w:val="Hipervnculo"/>
                <w:rFonts w:ascii="Century Gothic" w:eastAsia="Century Gothic" w:hAnsi="Century Gothic"/>
                <w:noProof/>
                <w:sz w:val="20"/>
                <w:szCs w:val="20"/>
                <w:lang w:val="es-CO"/>
              </w:rPr>
              <w:t>6.</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Century Gothic" w:hAnsi="Century Gothic"/>
                <w:noProof/>
                <w:sz w:val="20"/>
                <w:szCs w:val="20"/>
                <w:lang w:val="es-CO"/>
              </w:rPr>
              <w:t>Lecciones Aprendidas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_Toc117261404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50</w:t>
            </w:r>
            <w:r w:rsidR="00904CAC" w:rsidRPr="001F7FF3">
              <w:rPr>
                <w:rFonts w:ascii="Century Gothic" w:hAnsi="Century Gothic"/>
                <w:noProof/>
                <w:webHidden/>
                <w:sz w:val="20"/>
                <w:szCs w:val="20"/>
                <w:lang w:val="es-CO"/>
              </w:rPr>
              <w:fldChar w:fldCharType="end"/>
            </w:r>
          </w:hyperlink>
        </w:p>
        <w:p w14:paraId="789F30C1" w14:textId="104699DA" w:rsidR="00904CAC" w:rsidRPr="001F7FF3" w:rsidRDefault="00B84220" w:rsidP="009D291F">
          <w:pPr>
            <w:pStyle w:val="TDC1"/>
            <w:rPr>
              <w:rFonts w:ascii="Century Gothic" w:hAnsi="Century Gothic" w:cstheme="minorBidi"/>
              <w:noProof/>
              <w:sz w:val="20"/>
              <w:szCs w:val="20"/>
              <w:lang w:val="es-CO" w:eastAsia="en-US"/>
            </w:rPr>
          </w:pPr>
          <w:hyperlink w:anchor="_Toc117261405" w:history="1">
            <w:r w:rsidR="00904CAC" w:rsidRPr="001F7FF3">
              <w:rPr>
                <w:rStyle w:val="Hipervnculo"/>
                <w:rFonts w:ascii="Century Gothic" w:eastAsia="Times New Roman" w:hAnsi="Century Gothic"/>
                <w:noProof/>
                <w:sz w:val="20"/>
                <w:szCs w:val="20"/>
                <w:lang w:val="es-CO" w:eastAsia="es-MX"/>
              </w:rPr>
              <w:t>7.</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Times New Roman" w:hAnsi="Century Gothic"/>
                <w:noProof/>
                <w:sz w:val="20"/>
                <w:szCs w:val="20"/>
                <w:lang w:val="es-CO" w:eastAsia="es-MX"/>
              </w:rPr>
              <w:t>Conclusiones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_Toc117261405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51</w:t>
            </w:r>
            <w:r w:rsidR="00904CAC" w:rsidRPr="001F7FF3">
              <w:rPr>
                <w:rFonts w:ascii="Century Gothic" w:hAnsi="Century Gothic"/>
                <w:noProof/>
                <w:webHidden/>
                <w:sz w:val="20"/>
                <w:szCs w:val="20"/>
                <w:lang w:val="es-CO"/>
              </w:rPr>
              <w:fldChar w:fldCharType="end"/>
            </w:r>
          </w:hyperlink>
        </w:p>
        <w:p w14:paraId="0E1E5B32" w14:textId="7FF3BC96" w:rsidR="00904CAC" w:rsidRPr="001F7FF3" w:rsidRDefault="00B84220" w:rsidP="009D291F">
          <w:pPr>
            <w:pStyle w:val="TDC1"/>
            <w:rPr>
              <w:rFonts w:ascii="Century Gothic" w:hAnsi="Century Gothic" w:cstheme="minorBidi"/>
              <w:noProof/>
              <w:sz w:val="20"/>
              <w:szCs w:val="20"/>
              <w:lang w:val="es-CO" w:eastAsia="en-US"/>
            </w:rPr>
          </w:pPr>
          <w:hyperlink w:anchor="_Toc117261406" w:history="1">
            <w:r w:rsidR="00904CAC" w:rsidRPr="001F7FF3">
              <w:rPr>
                <w:rStyle w:val="Hipervnculo"/>
                <w:rFonts w:ascii="Century Gothic" w:eastAsia="Times New Roman" w:hAnsi="Century Gothic"/>
                <w:noProof/>
                <w:sz w:val="20"/>
                <w:szCs w:val="20"/>
                <w:lang w:val="es-CO" w:eastAsia="es-MX"/>
              </w:rPr>
              <w:t>8.</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Times New Roman" w:hAnsi="Century Gothic"/>
                <w:noProof/>
                <w:sz w:val="20"/>
                <w:szCs w:val="20"/>
                <w:lang w:val="es-CO" w:eastAsia="es-MX"/>
              </w:rPr>
              <w:t>Recomendaciones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_Toc117261406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52</w:t>
            </w:r>
            <w:r w:rsidR="00904CAC" w:rsidRPr="001F7FF3">
              <w:rPr>
                <w:rFonts w:ascii="Century Gothic" w:hAnsi="Century Gothic"/>
                <w:noProof/>
                <w:webHidden/>
                <w:sz w:val="20"/>
                <w:szCs w:val="20"/>
                <w:lang w:val="es-CO"/>
              </w:rPr>
              <w:fldChar w:fldCharType="end"/>
            </w:r>
          </w:hyperlink>
        </w:p>
        <w:p w14:paraId="3D9D430A" w14:textId="1A73AB9B" w:rsidR="00904CAC" w:rsidRPr="001F7FF3" w:rsidRDefault="00B84220" w:rsidP="009D291F">
          <w:pPr>
            <w:pStyle w:val="TDC1"/>
            <w:rPr>
              <w:rFonts w:ascii="Century Gothic" w:hAnsi="Century Gothic" w:cstheme="minorBidi"/>
              <w:noProof/>
              <w:sz w:val="20"/>
              <w:szCs w:val="20"/>
              <w:lang w:val="es-CO" w:eastAsia="en-US"/>
            </w:rPr>
          </w:pPr>
          <w:hyperlink w:anchor="_Toc117261407" w:history="1">
            <w:r w:rsidR="00904CAC" w:rsidRPr="001F7FF3">
              <w:rPr>
                <w:rStyle w:val="Hipervnculo"/>
                <w:rFonts w:ascii="Century Gothic" w:eastAsia="Century Gothic" w:hAnsi="Century Gothic"/>
                <w:noProof/>
                <w:sz w:val="20"/>
                <w:szCs w:val="20"/>
                <w:lang w:val="es-CO"/>
              </w:rPr>
              <w:t>9.</w:t>
            </w:r>
            <w:r w:rsidR="00904CAC" w:rsidRPr="001F7FF3">
              <w:rPr>
                <w:rFonts w:ascii="Century Gothic" w:hAnsi="Century Gothic" w:cstheme="minorBidi"/>
                <w:noProof/>
                <w:sz w:val="20"/>
                <w:szCs w:val="20"/>
                <w:lang w:val="es-CO" w:eastAsia="en-US"/>
              </w:rPr>
              <w:tab/>
            </w:r>
            <w:r w:rsidR="00904CAC" w:rsidRPr="001F7FF3">
              <w:rPr>
                <w:rStyle w:val="Hipervnculo"/>
                <w:rFonts w:ascii="Century Gothic" w:eastAsia="Century Gothic" w:hAnsi="Century Gothic"/>
                <w:noProof/>
                <w:sz w:val="20"/>
                <w:szCs w:val="20"/>
                <w:lang w:val="es-CO"/>
              </w:rPr>
              <w:t>Anexos</w:t>
            </w:r>
            <w:r w:rsidR="00904CAC" w:rsidRPr="001F7FF3">
              <w:rPr>
                <w:rFonts w:ascii="Century Gothic" w:hAnsi="Century Gothic"/>
                <w:noProof/>
                <w:webHidden/>
                <w:sz w:val="20"/>
                <w:szCs w:val="20"/>
                <w:lang w:val="es-CO"/>
              </w:rPr>
              <w:tab/>
            </w:r>
            <w:r w:rsidR="00904CAC" w:rsidRPr="001F7FF3">
              <w:rPr>
                <w:rFonts w:ascii="Century Gothic" w:hAnsi="Century Gothic"/>
                <w:noProof/>
                <w:webHidden/>
                <w:sz w:val="20"/>
                <w:szCs w:val="20"/>
                <w:lang w:val="es-CO"/>
              </w:rPr>
              <w:fldChar w:fldCharType="begin"/>
            </w:r>
            <w:r w:rsidR="00904CAC" w:rsidRPr="001F7FF3">
              <w:rPr>
                <w:rFonts w:ascii="Century Gothic" w:hAnsi="Century Gothic"/>
                <w:noProof/>
                <w:webHidden/>
                <w:sz w:val="20"/>
                <w:szCs w:val="20"/>
                <w:lang w:val="es-CO"/>
              </w:rPr>
              <w:instrText xml:space="preserve"> PAGEREF _Toc117261407 \h </w:instrText>
            </w:r>
            <w:r w:rsidR="00904CAC" w:rsidRPr="001F7FF3">
              <w:rPr>
                <w:rFonts w:ascii="Century Gothic" w:hAnsi="Century Gothic"/>
                <w:noProof/>
                <w:webHidden/>
                <w:sz w:val="20"/>
                <w:szCs w:val="20"/>
                <w:lang w:val="es-CO"/>
              </w:rPr>
            </w:r>
            <w:r w:rsidR="00904CAC" w:rsidRPr="001F7FF3">
              <w:rPr>
                <w:rFonts w:ascii="Century Gothic" w:hAnsi="Century Gothic"/>
                <w:noProof/>
                <w:webHidden/>
                <w:sz w:val="20"/>
                <w:szCs w:val="20"/>
                <w:lang w:val="es-CO"/>
              </w:rPr>
              <w:fldChar w:fldCharType="separate"/>
            </w:r>
            <w:r w:rsidR="00E96F3B">
              <w:rPr>
                <w:rFonts w:ascii="Century Gothic" w:hAnsi="Century Gothic"/>
                <w:noProof/>
                <w:webHidden/>
                <w:sz w:val="20"/>
                <w:szCs w:val="20"/>
                <w:lang w:val="es-CO"/>
              </w:rPr>
              <w:t>56</w:t>
            </w:r>
            <w:r w:rsidR="00904CAC" w:rsidRPr="001F7FF3">
              <w:rPr>
                <w:rFonts w:ascii="Century Gothic" w:hAnsi="Century Gothic"/>
                <w:noProof/>
                <w:webHidden/>
                <w:sz w:val="20"/>
                <w:szCs w:val="20"/>
                <w:lang w:val="es-CO"/>
              </w:rPr>
              <w:fldChar w:fldCharType="end"/>
            </w:r>
          </w:hyperlink>
        </w:p>
        <w:p w14:paraId="4E877B4C" w14:textId="2CC7C286" w:rsidR="002003B5" w:rsidRPr="001F7FF3" w:rsidRDefault="001D0FD3" w:rsidP="00CF313A">
          <w:pPr>
            <w:tabs>
              <w:tab w:val="center" w:pos="4419"/>
            </w:tabs>
            <w:spacing w:before="240" w:after="120"/>
            <w:jc w:val="both"/>
            <w:rPr>
              <w:rFonts w:ascii="Century Gothic" w:eastAsiaTheme="majorEastAsia" w:hAnsi="Century Gothic" w:cstheme="majorBidi"/>
              <w:b/>
              <w:bCs/>
              <w:color w:val="2D4F8E" w:themeColor="accent1" w:themeShade="B5"/>
              <w:sz w:val="20"/>
              <w:szCs w:val="20"/>
              <w:lang w:eastAsia="es-ES"/>
            </w:rPr>
          </w:pPr>
          <w:r w:rsidRPr="001F7FF3">
            <w:rPr>
              <w:rFonts w:ascii="Century Gothic" w:hAnsi="Century Gothic"/>
              <w:color w:val="4472C4" w:themeColor="accent1"/>
              <w:sz w:val="20"/>
              <w:szCs w:val="20"/>
            </w:rPr>
            <w:fldChar w:fldCharType="end"/>
          </w:r>
        </w:p>
      </w:sdtContent>
    </w:sdt>
    <w:p w14:paraId="00000046" w14:textId="30A57827" w:rsidR="00F1064E" w:rsidRPr="001F7FF3" w:rsidRDefault="001D0FD3" w:rsidP="009D291F">
      <w:pPr>
        <w:pStyle w:val="Ttulo1"/>
        <w:numPr>
          <w:ilvl w:val="0"/>
          <w:numId w:val="0"/>
        </w:numPr>
        <w:jc w:val="both"/>
        <w:rPr>
          <w:lang w:val="es-CO"/>
        </w:rPr>
      </w:pPr>
      <w:bookmarkStart w:id="8" w:name="_Toc103701276"/>
      <w:bookmarkStart w:id="9" w:name="_Toc110020355"/>
      <w:bookmarkStart w:id="10" w:name="_Toc110021056"/>
      <w:bookmarkStart w:id="11" w:name="_Toc110021112"/>
      <w:bookmarkStart w:id="12" w:name="_Toc117261390"/>
      <w:r w:rsidRPr="001F7FF3">
        <w:rPr>
          <w:lang w:val="es-CO"/>
        </w:rPr>
        <w:lastRenderedPageBreak/>
        <w:t>Tabla de Siglas y abreviaturas</w:t>
      </w:r>
      <w:bookmarkEnd w:id="8"/>
      <w:bookmarkEnd w:id="9"/>
      <w:bookmarkEnd w:id="10"/>
      <w:bookmarkEnd w:id="11"/>
      <w:bookmarkEnd w:id="12"/>
    </w:p>
    <w:tbl>
      <w:tblPr>
        <w:tblStyle w:val="5"/>
        <w:tblW w:w="8926" w:type="dxa"/>
        <w:tblInd w:w="5" w:type="dxa"/>
        <w:tblLayout w:type="fixed"/>
        <w:tblLook w:val="04A0" w:firstRow="1" w:lastRow="0" w:firstColumn="1" w:lastColumn="0" w:noHBand="0" w:noVBand="1"/>
      </w:tblPr>
      <w:tblGrid>
        <w:gridCol w:w="1886"/>
        <w:gridCol w:w="7040"/>
      </w:tblGrid>
      <w:tr w:rsidR="000A6032" w:rsidRPr="001F7FF3" w14:paraId="1EF02A6A" w14:textId="77777777" w:rsidTr="000A6032">
        <w:tc>
          <w:tcPr>
            <w:tcW w:w="1886" w:type="dxa"/>
          </w:tcPr>
          <w:p w14:paraId="1C69F4E8"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AP</w:t>
            </w:r>
          </w:p>
        </w:tc>
        <w:tc>
          <w:tcPr>
            <w:tcW w:w="7040" w:type="dxa"/>
          </w:tcPr>
          <w:p w14:paraId="27E5335C"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Acuerdo de Paz</w:t>
            </w:r>
          </w:p>
        </w:tc>
      </w:tr>
      <w:tr w:rsidR="000A6032" w:rsidRPr="001F7FF3" w14:paraId="11B40764" w14:textId="77777777" w:rsidTr="000A6032">
        <w:tc>
          <w:tcPr>
            <w:tcW w:w="1886" w:type="dxa"/>
          </w:tcPr>
          <w:p w14:paraId="7E97DDC0" w14:textId="77777777" w:rsidR="000A6032" w:rsidRPr="001F7FF3" w:rsidRDefault="000A6032" w:rsidP="009D291F">
            <w:pP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CPD</w:t>
            </w:r>
          </w:p>
        </w:tc>
        <w:tc>
          <w:tcPr>
            <w:tcW w:w="7040" w:type="dxa"/>
          </w:tcPr>
          <w:p w14:paraId="23230643" w14:textId="77777777" w:rsidR="000A6032" w:rsidRPr="001F7FF3" w:rsidRDefault="000A6032" w:rsidP="009D291F">
            <w:pP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Country Programme Document</w:t>
            </w:r>
          </w:p>
        </w:tc>
      </w:tr>
      <w:tr w:rsidR="000A6032" w:rsidRPr="001F7FF3" w14:paraId="25E2694D" w14:textId="77777777" w:rsidTr="000A6032">
        <w:tc>
          <w:tcPr>
            <w:tcW w:w="1886" w:type="dxa"/>
          </w:tcPr>
          <w:p w14:paraId="428C5302"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CEV</w:t>
            </w:r>
          </w:p>
        </w:tc>
        <w:tc>
          <w:tcPr>
            <w:tcW w:w="7040" w:type="dxa"/>
          </w:tcPr>
          <w:p w14:paraId="1C5938BD"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Comisión para el Esclarecimiento de la Verdad</w:t>
            </w:r>
          </w:p>
        </w:tc>
      </w:tr>
      <w:tr w:rsidR="000A6032" w:rsidRPr="001F7FF3" w14:paraId="136818A6" w14:textId="77777777" w:rsidTr="000A6032">
        <w:tc>
          <w:tcPr>
            <w:tcW w:w="1886" w:type="dxa"/>
          </w:tcPr>
          <w:p w14:paraId="79EE831D"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CINEP</w:t>
            </w:r>
          </w:p>
        </w:tc>
        <w:tc>
          <w:tcPr>
            <w:tcW w:w="7040" w:type="dxa"/>
          </w:tcPr>
          <w:p w14:paraId="4E28EF10"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Centro de Investigación y Educación Popular</w:t>
            </w:r>
          </w:p>
        </w:tc>
      </w:tr>
      <w:tr w:rsidR="000A6032" w:rsidRPr="001F7FF3" w14:paraId="41462115" w14:textId="77777777" w:rsidTr="000A6032">
        <w:tc>
          <w:tcPr>
            <w:tcW w:w="1886" w:type="dxa"/>
          </w:tcPr>
          <w:p w14:paraId="1B8657F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CODHES</w:t>
            </w:r>
          </w:p>
        </w:tc>
        <w:tc>
          <w:tcPr>
            <w:tcW w:w="7040" w:type="dxa"/>
          </w:tcPr>
          <w:p w14:paraId="0BEA9440"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Consultoría para los Derechos Humanos y el Desplazamiento</w:t>
            </w:r>
          </w:p>
        </w:tc>
      </w:tr>
      <w:tr w:rsidR="000A6032" w:rsidRPr="001F7FF3" w14:paraId="5B6396E9" w14:textId="77777777" w:rsidTr="000A6032">
        <w:tc>
          <w:tcPr>
            <w:tcW w:w="1886" w:type="dxa"/>
          </w:tcPr>
          <w:p w14:paraId="3A70078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DDHH</w:t>
            </w:r>
          </w:p>
        </w:tc>
        <w:tc>
          <w:tcPr>
            <w:tcW w:w="7040" w:type="dxa"/>
          </w:tcPr>
          <w:p w14:paraId="76DEC61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Derechos Humanos</w:t>
            </w:r>
          </w:p>
        </w:tc>
      </w:tr>
      <w:tr w:rsidR="000A6032" w:rsidRPr="001F7FF3" w14:paraId="0F65E825" w14:textId="77777777" w:rsidTr="000A6032">
        <w:tc>
          <w:tcPr>
            <w:tcW w:w="1886" w:type="dxa"/>
          </w:tcPr>
          <w:p w14:paraId="16A14808"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FARC-EP</w:t>
            </w:r>
          </w:p>
        </w:tc>
        <w:tc>
          <w:tcPr>
            <w:tcW w:w="7040" w:type="dxa"/>
          </w:tcPr>
          <w:p w14:paraId="44551726"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Fuerzas Armadas Revolucionarias de Colombia – Ejército del Pueblo</w:t>
            </w:r>
          </w:p>
        </w:tc>
      </w:tr>
      <w:tr w:rsidR="000A6032" w:rsidRPr="001F7FF3" w14:paraId="5750E8E1" w14:textId="77777777" w:rsidTr="000A6032">
        <w:tc>
          <w:tcPr>
            <w:tcW w:w="1886" w:type="dxa"/>
          </w:tcPr>
          <w:p w14:paraId="53879707"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GOC </w:t>
            </w:r>
          </w:p>
        </w:tc>
        <w:tc>
          <w:tcPr>
            <w:tcW w:w="7040" w:type="dxa"/>
          </w:tcPr>
          <w:p w14:paraId="13B9BB3E"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Gobierno de Colombia</w:t>
            </w:r>
          </w:p>
        </w:tc>
      </w:tr>
      <w:tr w:rsidR="000A6032" w:rsidRPr="001F7FF3" w14:paraId="6584A172" w14:textId="77777777" w:rsidTr="000A6032">
        <w:tc>
          <w:tcPr>
            <w:tcW w:w="1886" w:type="dxa"/>
          </w:tcPr>
          <w:p w14:paraId="5602D1C9"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JAC</w:t>
            </w:r>
          </w:p>
        </w:tc>
        <w:tc>
          <w:tcPr>
            <w:tcW w:w="7040" w:type="dxa"/>
          </w:tcPr>
          <w:p w14:paraId="4536E1E3"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Juntas de Acción Comunal</w:t>
            </w:r>
          </w:p>
        </w:tc>
      </w:tr>
      <w:tr w:rsidR="000A6032" w:rsidRPr="001F7FF3" w14:paraId="22D4E4C1" w14:textId="77777777" w:rsidTr="000A6032">
        <w:tc>
          <w:tcPr>
            <w:tcW w:w="1886" w:type="dxa"/>
          </w:tcPr>
          <w:p w14:paraId="2C328668"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JEP</w:t>
            </w:r>
          </w:p>
        </w:tc>
        <w:tc>
          <w:tcPr>
            <w:tcW w:w="7040" w:type="dxa"/>
          </w:tcPr>
          <w:p w14:paraId="295AFE27"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Jurisdicción Especial para la Paz</w:t>
            </w:r>
          </w:p>
        </w:tc>
      </w:tr>
      <w:tr w:rsidR="000A6032" w:rsidRPr="001F7FF3" w14:paraId="18211F88" w14:textId="77777777" w:rsidTr="000A6032">
        <w:tc>
          <w:tcPr>
            <w:tcW w:w="1886" w:type="dxa"/>
          </w:tcPr>
          <w:p w14:paraId="5C5877A2"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JT</w:t>
            </w:r>
          </w:p>
        </w:tc>
        <w:tc>
          <w:tcPr>
            <w:tcW w:w="7040" w:type="dxa"/>
          </w:tcPr>
          <w:p w14:paraId="48F2728B"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Justicia Transicional</w:t>
            </w:r>
          </w:p>
        </w:tc>
      </w:tr>
      <w:tr w:rsidR="000A6032" w:rsidRPr="001F7FF3" w14:paraId="7D55F8BE" w14:textId="77777777" w:rsidTr="000A6032">
        <w:tc>
          <w:tcPr>
            <w:tcW w:w="1886" w:type="dxa"/>
          </w:tcPr>
          <w:p w14:paraId="49C36080"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LGBTI</w:t>
            </w:r>
          </w:p>
        </w:tc>
        <w:tc>
          <w:tcPr>
            <w:tcW w:w="7040" w:type="dxa"/>
          </w:tcPr>
          <w:p w14:paraId="6759DBE6" w14:textId="7304C35A"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Lesbianas, Gay, Bisexuales, Transg</w:t>
            </w:r>
            <w:r w:rsidR="00C424DA" w:rsidRPr="001F7FF3">
              <w:rPr>
                <w:rFonts w:ascii="Century Gothic" w:eastAsia="Century Gothic" w:hAnsi="Century Gothic" w:cs="Century Gothic"/>
                <w:sz w:val="20"/>
                <w:szCs w:val="20"/>
              </w:rPr>
              <w:t xml:space="preserve">énero </w:t>
            </w:r>
            <w:r w:rsidRPr="001F7FF3">
              <w:rPr>
                <w:rFonts w:ascii="Century Gothic" w:eastAsia="Century Gothic" w:hAnsi="Century Gothic" w:cs="Century Gothic"/>
                <w:sz w:val="20"/>
                <w:szCs w:val="20"/>
              </w:rPr>
              <w:t>e Intersexuales</w:t>
            </w:r>
          </w:p>
        </w:tc>
      </w:tr>
      <w:tr w:rsidR="000A6032" w:rsidRPr="001F7FF3" w14:paraId="3F4D3758" w14:textId="77777777" w:rsidTr="000A6032">
        <w:tc>
          <w:tcPr>
            <w:tcW w:w="1886" w:type="dxa"/>
          </w:tcPr>
          <w:p w14:paraId="66348A55"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LPIC</w:t>
            </w:r>
          </w:p>
        </w:tc>
        <w:tc>
          <w:tcPr>
            <w:tcW w:w="7040" w:type="dxa"/>
          </w:tcPr>
          <w:p w14:paraId="08ABBBB8"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Lidapatty International Consulting </w:t>
            </w:r>
          </w:p>
        </w:tc>
      </w:tr>
      <w:tr w:rsidR="000A6032" w:rsidRPr="001F7FF3" w14:paraId="07F9CBAE" w14:textId="77777777" w:rsidTr="000A6032">
        <w:tc>
          <w:tcPr>
            <w:tcW w:w="1886" w:type="dxa"/>
          </w:tcPr>
          <w:p w14:paraId="1050F8F9"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M&amp;E</w:t>
            </w:r>
          </w:p>
        </w:tc>
        <w:tc>
          <w:tcPr>
            <w:tcW w:w="7040" w:type="dxa"/>
          </w:tcPr>
          <w:p w14:paraId="0D6C1F4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Monitoreo y Evaluación</w:t>
            </w:r>
          </w:p>
        </w:tc>
      </w:tr>
      <w:tr w:rsidR="000A6032" w:rsidRPr="001F7FF3" w14:paraId="1C7A216D" w14:textId="77777777" w:rsidTr="000A6032">
        <w:tc>
          <w:tcPr>
            <w:tcW w:w="1886" w:type="dxa"/>
          </w:tcPr>
          <w:p w14:paraId="15078B9C"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MPTF</w:t>
            </w:r>
          </w:p>
        </w:tc>
        <w:tc>
          <w:tcPr>
            <w:tcW w:w="7040" w:type="dxa"/>
          </w:tcPr>
          <w:p w14:paraId="5D839864" w14:textId="4B895045" w:rsidR="000A6032" w:rsidRPr="001F7FF3" w:rsidRDefault="00BA6200"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Fondo Multidonante de las Naciones Unidas para el Sostenimiento de la Paz en Colombia</w:t>
            </w:r>
          </w:p>
        </w:tc>
      </w:tr>
      <w:tr w:rsidR="00287AD7" w:rsidRPr="001F7FF3" w14:paraId="053D389B" w14:textId="77777777" w:rsidTr="000A6032">
        <w:tc>
          <w:tcPr>
            <w:tcW w:w="1886" w:type="dxa"/>
          </w:tcPr>
          <w:p w14:paraId="5C2C57A3" w14:textId="0822152D" w:rsidR="00287AD7" w:rsidRPr="001F7FF3" w:rsidRDefault="00287AD7" w:rsidP="009D291F">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OCDE</w:t>
            </w:r>
          </w:p>
        </w:tc>
        <w:tc>
          <w:tcPr>
            <w:tcW w:w="7040" w:type="dxa"/>
          </w:tcPr>
          <w:p w14:paraId="2C2AE919" w14:textId="01C7CA1C" w:rsidR="00287AD7" w:rsidRPr="001F7FF3" w:rsidRDefault="00287AD7" w:rsidP="009D291F">
            <w:pPr>
              <w:jc w:val="both"/>
              <w:rPr>
                <w:rFonts w:ascii="Century Gothic" w:eastAsia="Century Gothic" w:hAnsi="Century Gothic" w:cs="Century Gothic"/>
                <w:sz w:val="20"/>
                <w:szCs w:val="20"/>
              </w:rPr>
            </w:pPr>
            <w:r w:rsidRPr="00287AD7">
              <w:rPr>
                <w:rFonts w:ascii="Century Gothic" w:eastAsia="Century Gothic" w:hAnsi="Century Gothic" w:cs="Century Gothic"/>
                <w:sz w:val="20"/>
                <w:szCs w:val="20"/>
              </w:rPr>
              <w:t>Organización para la Cooperación y el Desarrollo Económicos</w:t>
            </w:r>
          </w:p>
        </w:tc>
      </w:tr>
      <w:tr w:rsidR="000A6032" w:rsidRPr="001F7FF3" w14:paraId="40AE9E8D" w14:textId="77777777" w:rsidTr="000A6032">
        <w:tc>
          <w:tcPr>
            <w:tcW w:w="1886" w:type="dxa"/>
          </w:tcPr>
          <w:p w14:paraId="1461180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ODS </w:t>
            </w:r>
          </w:p>
        </w:tc>
        <w:tc>
          <w:tcPr>
            <w:tcW w:w="7040" w:type="dxa"/>
          </w:tcPr>
          <w:p w14:paraId="6BE4B989"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Objetivos de Desarrollo Sostenible</w:t>
            </w:r>
          </w:p>
        </w:tc>
      </w:tr>
      <w:tr w:rsidR="000A6032" w:rsidRPr="001F7FF3" w14:paraId="3DB3AC08" w14:textId="77777777" w:rsidTr="000A6032">
        <w:tc>
          <w:tcPr>
            <w:tcW w:w="1886" w:type="dxa"/>
          </w:tcPr>
          <w:p w14:paraId="060562B7"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OIM</w:t>
            </w:r>
          </w:p>
        </w:tc>
        <w:tc>
          <w:tcPr>
            <w:tcW w:w="7040" w:type="dxa"/>
          </w:tcPr>
          <w:p w14:paraId="17A8B1A4"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Organización Internacional para las Migraciones</w:t>
            </w:r>
          </w:p>
        </w:tc>
      </w:tr>
      <w:tr w:rsidR="000A6032" w:rsidRPr="001F7FF3" w14:paraId="254850C3" w14:textId="77777777" w:rsidTr="000A6032">
        <w:tc>
          <w:tcPr>
            <w:tcW w:w="1886" w:type="dxa"/>
          </w:tcPr>
          <w:p w14:paraId="30DB8560"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ONG</w:t>
            </w:r>
          </w:p>
        </w:tc>
        <w:tc>
          <w:tcPr>
            <w:tcW w:w="7040" w:type="dxa"/>
          </w:tcPr>
          <w:p w14:paraId="70987EE0"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Organizaciones no Gubernamentales</w:t>
            </w:r>
          </w:p>
        </w:tc>
      </w:tr>
      <w:tr w:rsidR="000A6032" w:rsidRPr="001F7FF3" w14:paraId="07DE0F0B" w14:textId="77777777" w:rsidTr="000A6032">
        <w:tc>
          <w:tcPr>
            <w:tcW w:w="1886" w:type="dxa"/>
          </w:tcPr>
          <w:p w14:paraId="624F0634"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ONU</w:t>
            </w:r>
          </w:p>
        </w:tc>
        <w:tc>
          <w:tcPr>
            <w:tcW w:w="7040" w:type="dxa"/>
          </w:tcPr>
          <w:p w14:paraId="0CADF008"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Organización de las Naciones Unidas</w:t>
            </w:r>
          </w:p>
        </w:tc>
      </w:tr>
      <w:tr w:rsidR="000A6032" w:rsidRPr="001F7FF3" w14:paraId="468F87B8" w14:textId="77777777" w:rsidTr="000A6032">
        <w:tc>
          <w:tcPr>
            <w:tcW w:w="1886" w:type="dxa"/>
          </w:tcPr>
          <w:p w14:paraId="6CF3CBF2" w14:textId="639B07CC" w:rsidR="000A6032" w:rsidRPr="001F7FF3" w:rsidRDefault="00BA6200"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OACNUDH</w:t>
            </w:r>
          </w:p>
        </w:tc>
        <w:tc>
          <w:tcPr>
            <w:tcW w:w="7040" w:type="dxa"/>
          </w:tcPr>
          <w:p w14:paraId="5FE3F088" w14:textId="79CD6595" w:rsidR="000A6032" w:rsidRPr="001F7FF3" w:rsidRDefault="00BA6200"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Oficina del Alto Comisionado de las Naciones Unidas para los Derechos Humanos</w:t>
            </w:r>
          </w:p>
        </w:tc>
      </w:tr>
      <w:tr w:rsidR="000A6032" w:rsidRPr="001F7FF3" w14:paraId="00F798E3" w14:textId="77777777" w:rsidTr="000A6032">
        <w:tc>
          <w:tcPr>
            <w:tcW w:w="1886" w:type="dxa"/>
          </w:tcPr>
          <w:p w14:paraId="0B56706B"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OSC </w:t>
            </w:r>
          </w:p>
        </w:tc>
        <w:tc>
          <w:tcPr>
            <w:tcW w:w="7040" w:type="dxa"/>
          </w:tcPr>
          <w:p w14:paraId="0E2372CB"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Organizaciones de la Sociedad Civil</w:t>
            </w:r>
          </w:p>
        </w:tc>
      </w:tr>
      <w:tr w:rsidR="000A6032" w:rsidRPr="001F7FF3" w14:paraId="357FF78E" w14:textId="77777777" w:rsidTr="000A6032">
        <w:tc>
          <w:tcPr>
            <w:tcW w:w="1886" w:type="dxa"/>
          </w:tcPr>
          <w:p w14:paraId="35B0E65A"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PDET</w:t>
            </w:r>
          </w:p>
        </w:tc>
        <w:tc>
          <w:tcPr>
            <w:tcW w:w="7040" w:type="dxa"/>
          </w:tcPr>
          <w:p w14:paraId="5E81D2C7"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Programas de Desarrollo con Enfoque Territorial</w:t>
            </w:r>
          </w:p>
        </w:tc>
      </w:tr>
      <w:tr w:rsidR="000A6032" w:rsidRPr="001F7FF3" w14:paraId="0EA78E1F" w14:textId="77777777" w:rsidTr="000A6032">
        <w:tc>
          <w:tcPr>
            <w:tcW w:w="1886" w:type="dxa"/>
          </w:tcPr>
          <w:p w14:paraId="0948E592"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PJT</w:t>
            </w:r>
          </w:p>
        </w:tc>
        <w:tc>
          <w:tcPr>
            <w:tcW w:w="7040" w:type="dxa"/>
          </w:tcPr>
          <w:p w14:paraId="4C9BC37E" w14:textId="6BAEA0CE"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Portafolio de Justicia Transicional</w:t>
            </w:r>
          </w:p>
        </w:tc>
      </w:tr>
      <w:tr w:rsidR="000A6032" w:rsidRPr="001F7FF3" w14:paraId="7781F47F" w14:textId="77777777" w:rsidTr="000A6032">
        <w:tc>
          <w:tcPr>
            <w:tcW w:w="1886" w:type="dxa"/>
          </w:tcPr>
          <w:p w14:paraId="4D03EA77"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PNUD</w:t>
            </w:r>
          </w:p>
        </w:tc>
        <w:tc>
          <w:tcPr>
            <w:tcW w:w="7040" w:type="dxa"/>
          </w:tcPr>
          <w:p w14:paraId="2A46C1B5"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Programa de las Naciones Unidas para el Desarrollo</w:t>
            </w:r>
          </w:p>
        </w:tc>
      </w:tr>
      <w:tr w:rsidR="000A6032" w:rsidRPr="001F7FF3" w14:paraId="3006C02F" w14:textId="77777777" w:rsidTr="000A6032">
        <w:tc>
          <w:tcPr>
            <w:tcW w:w="1886" w:type="dxa"/>
          </w:tcPr>
          <w:p w14:paraId="4F8DB1BC"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RBM</w:t>
            </w:r>
          </w:p>
        </w:tc>
        <w:tc>
          <w:tcPr>
            <w:tcW w:w="7040" w:type="dxa"/>
          </w:tcPr>
          <w:p w14:paraId="09E84E0B"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Results-Based Management – Gestión Basada en Resultados</w:t>
            </w:r>
          </w:p>
        </w:tc>
      </w:tr>
      <w:tr w:rsidR="000A6032" w:rsidRPr="001F7FF3" w14:paraId="2B9A0E2F" w14:textId="77777777" w:rsidTr="000A6032">
        <w:tc>
          <w:tcPr>
            <w:tcW w:w="1886" w:type="dxa"/>
          </w:tcPr>
          <w:p w14:paraId="0E0789CB"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RE</w:t>
            </w:r>
          </w:p>
        </w:tc>
        <w:tc>
          <w:tcPr>
            <w:tcW w:w="7040" w:type="dxa"/>
          </w:tcPr>
          <w:p w14:paraId="523DE57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Resultado Estratégico</w:t>
            </w:r>
          </w:p>
        </w:tc>
      </w:tr>
      <w:tr w:rsidR="00C424DA" w:rsidRPr="001F7FF3" w14:paraId="2E896056" w14:textId="77777777" w:rsidTr="000A6032">
        <w:tc>
          <w:tcPr>
            <w:tcW w:w="1886" w:type="dxa"/>
          </w:tcPr>
          <w:p w14:paraId="2801D18D" w14:textId="36AA8409" w:rsidR="00C424DA" w:rsidRPr="001F7FF3" w:rsidRDefault="00C424DA"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RUV</w:t>
            </w:r>
          </w:p>
        </w:tc>
        <w:tc>
          <w:tcPr>
            <w:tcW w:w="7040" w:type="dxa"/>
          </w:tcPr>
          <w:p w14:paraId="68D0D507" w14:textId="667527CE" w:rsidR="00C424DA" w:rsidRPr="001F7FF3" w:rsidRDefault="00C424DA"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Registro Único de Víctimas</w:t>
            </w:r>
          </w:p>
        </w:tc>
      </w:tr>
      <w:tr w:rsidR="000A6032" w:rsidRPr="001F7FF3" w14:paraId="17FCDD82" w14:textId="77777777" w:rsidTr="000A6032">
        <w:tc>
          <w:tcPr>
            <w:tcW w:w="1886" w:type="dxa"/>
          </w:tcPr>
          <w:p w14:paraId="501EDAC5"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SIVJRNR</w:t>
            </w:r>
          </w:p>
        </w:tc>
        <w:tc>
          <w:tcPr>
            <w:tcW w:w="7040" w:type="dxa"/>
          </w:tcPr>
          <w:p w14:paraId="4ABB8C29" w14:textId="4292E229"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Sistema Integral </w:t>
            </w:r>
            <w:r w:rsidR="00BA6200" w:rsidRPr="001F7FF3">
              <w:rPr>
                <w:rFonts w:ascii="Century Gothic" w:eastAsia="Century Gothic" w:hAnsi="Century Gothic" w:cs="Century Gothic"/>
                <w:sz w:val="20"/>
                <w:szCs w:val="20"/>
              </w:rPr>
              <w:t>para la Paz</w:t>
            </w:r>
          </w:p>
        </w:tc>
      </w:tr>
      <w:tr w:rsidR="000A6032" w:rsidRPr="001F7FF3" w14:paraId="6BFBF8C6" w14:textId="77777777" w:rsidTr="000A6032">
        <w:tc>
          <w:tcPr>
            <w:tcW w:w="1886" w:type="dxa"/>
          </w:tcPr>
          <w:p w14:paraId="5ACA8B2F"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SNARIV</w:t>
            </w:r>
          </w:p>
        </w:tc>
        <w:tc>
          <w:tcPr>
            <w:tcW w:w="7040" w:type="dxa"/>
          </w:tcPr>
          <w:p w14:paraId="274A6471" w14:textId="4E3D2814" w:rsidR="000A6032" w:rsidRPr="001F7FF3" w:rsidRDefault="007A55A8"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Sistema Nacional de Atención y Reparación Integral a las Víctimas</w:t>
            </w:r>
          </w:p>
        </w:tc>
      </w:tr>
      <w:tr w:rsidR="000A6032" w:rsidRPr="001F7FF3" w14:paraId="32E8EA52" w14:textId="77777777" w:rsidTr="000A6032">
        <w:tc>
          <w:tcPr>
            <w:tcW w:w="1886" w:type="dxa"/>
          </w:tcPr>
          <w:p w14:paraId="3C83A6D6"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ToC</w:t>
            </w:r>
          </w:p>
        </w:tc>
        <w:tc>
          <w:tcPr>
            <w:tcW w:w="7040" w:type="dxa"/>
          </w:tcPr>
          <w:p w14:paraId="21A43098"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Teoría de Cambio</w:t>
            </w:r>
          </w:p>
        </w:tc>
      </w:tr>
      <w:tr w:rsidR="000A6032" w:rsidRPr="001F7FF3" w14:paraId="044D5011" w14:textId="77777777" w:rsidTr="000A6032">
        <w:tc>
          <w:tcPr>
            <w:tcW w:w="1886" w:type="dxa"/>
          </w:tcPr>
          <w:p w14:paraId="2C7220FC"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UARIV</w:t>
            </w:r>
          </w:p>
        </w:tc>
        <w:tc>
          <w:tcPr>
            <w:tcW w:w="7040" w:type="dxa"/>
          </w:tcPr>
          <w:p w14:paraId="31682B2E"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Unidad Administrativa Especial para la Atención y Reparación Integral a las Victimas</w:t>
            </w:r>
          </w:p>
        </w:tc>
      </w:tr>
      <w:tr w:rsidR="000A6032" w:rsidRPr="001F7FF3" w14:paraId="4254D2DB" w14:textId="77777777" w:rsidTr="000A6032">
        <w:tc>
          <w:tcPr>
            <w:tcW w:w="1886" w:type="dxa"/>
          </w:tcPr>
          <w:p w14:paraId="2505532D"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UBDP</w:t>
            </w:r>
          </w:p>
        </w:tc>
        <w:tc>
          <w:tcPr>
            <w:tcW w:w="7040" w:type="dxa"/>
          </w:tcPr>
          <w:p w14:paraId="5854A543"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Unidad de Búsqueda de Personas dadas por Desaparecidas</w:t>
            </w:r>
          </w:p>
        </w:tc>
      </w:tr>
      <w:tr w:rsidR="000A6032" w:rsidRPr="001F7FF3" w14:paraId="5F0D9F36" w14:textId="77777777" w:rsidTr="000A6032">
        <w:tc>
          <w:tcPr>
            <w:tcW w:w="1886" w:type="dxa"/>
          </w:tcPr>
          <w:p w14:paraId="4B29FB64"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V, J,R y GNR</w:t>
            </w:r>
          </w:p>
        </w:tc>
        <w:tc>
          <w:tcPr>
            <w:tcW w:w="7040" w:type="dxa"/>
          </w:tcPr>
          <w:p w14:paraId="249E1162" w14:textId="77777777" w:rsidR="000A6032" w:rsidRPr="001F7FF3" w:rsidRDefault="000A6032"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Verdad, Justicia, Reparación y Garantías de No Repetición</w:t>
            </w:r>
          </w:p>
        </w:tc>
      </w:tr>
    </w:tbl>
    <w:p w14:paraId="213A01F0" w14:textId="77777777" w:rsidR="00AA1274" w:rsidRPr="001F7FF3" w:rsidRDefault="00AA1274" w:rsidP="009D291F">
      <w:pPr>
        <w:jc w:val="both"/>
        <w:rPr>
          <w:rFonts w:ascii="Century Gothic" w:eastAsiaTheme="majorEastAsia" w:hAnsi="Century Gothic" w:cstheme="majorBidi"/>
          <w:b/>
          <w:bCs/>
          <w:color w:val="2D4F8E" w:themeColor="accent1" w:themeShade="B5"/>
          <w:sz w:val="20"/>
          <w:szCs w:val="20"/>
          <w:lang w:eastAsia="es-ES"/>
        </w:rPr>
      </w:pPr>
    </w:p>
    <w:p w14:paraId="6A5FDB66" w14:textId="4B589E66" w:rsidR="00AA1274" w:rsidRPr="001F7FF3" w:rsidRDefault="00AA1274" w:rsidP="009D291F">
      <w:pPr>
        <w:jc w:val="both"/>
        <w:rPr>
          <w:rFonts w:ascii="Century Gothic" w:eastAsiaTheme="majorEastAsia" w:hAnsi="Century Gothic" w:cstheme="majorBidi"/>
          <w:b/>
          <w:bCs/>
          <w:color w:val="2D4F8E" w:themeColor="accent1" w:themeShade="B5"/>
          <w:sz w:val="20"/>
          <w:szCs w:val="20"/>
          <w:lang w:eastAsia="es-ES"/>
        </w:rPr>
      </w:pPr>
    </w:p>
    <w:p w14:paraId="2F5B0965" w14:textId="32516C34" w:rsidR="0066515E" w:rsidRPr="00CF313A" w:rsidRDefault="00033555" w:rsidP="00CF313A">
      <w:pPr>
        <w:pStyle w:val="Ttulo1"/>
        <w:numPr>
          <w:ilvl w:val="0"/>
          <w:numId w:val="0"/>
        </w:numPr>
        <w:jc w:val="both"/>
        <w:rPr>
          <w:lang w:val="es-CO"/>
        </w:rPr>
      </w:pPr>
      <w:r>
        <w:rPr>
          <w:lang w:val="es-CO"/>
        </w:rPr>
        <w:t>Índice</w:t>
      </w:r>
      <w:r w:rsidRPr="001F7FF3">
        <w:rPr>
          <w:lang w:val="es-CO"/>
        </w:rPr>
        <w:t xml:space="preserve"> de </w:t>
      </w:r>
      <w:r w:rsidR="00CF313A">
        <w:rPr>
          <w:lang w:val="es-CO"/>
        </w:rPr>
        <w:t>Ilustraciones</w:t>
      </w:r>
    </w:p>
    <w:p w14:paraId="3832E329" w14:textId="7ABDED18" w:rsidR="00033555" w:rsidRPr="00033555" w:rsidRDefault="00033555">
      <w:pPr>
        <w:pStyle w:val="Tabladeilustraciones"/>
        <w:tabs>
          <w:tab w:val="right" w:leader="dot" w:pos="8828"/>
        </w:tabs>
        <w:rPr>
          <w:rFonts w:ascii="Century Gothic" w:hAnsi="Century Gothic" w:cstheme="minorBidi"/>
          <w:noProof/>
          <w:sz w:val="18"/>
          <w:szCs w:val="18"/>
          <w:lang w:val="en-US" w:eastAsia="en-US"/>
        </w:rPr>
      </w:pPr>
      <w:r w:rsidRPr="00033555">
        <w:rPr>
          <w:rFonts w:ascii="Century Gothic" w:eastAsiaTheme="majorEastAsia" w:hAnsi="Century Gothic" w:cstheme="majorBidi"/>
          <w:b/>
          <w:bCs/>
          <w:color w:val="2D4F8E" w:themeColor="accent1" w:themeShade="B5"/>
          <w:sz w:val="20"/>
          <w:szCs w:val="20"/>
        </w:rPr>
        <w:fldChar w:fldCharType="begin"/>
      </w:r>
      <w:r w:rsidRPr="00033555">
        <w:rPr>
          <w:rFonts w:ascii="Century Gothic" w:eastAsiaTheme="majorEastAsia" w:hAnsi="Century Gothic" w:cstheme="majorBidi"/>
          <w:b/>
          <w:bCs/>
          <w:color w:val="2D4F8E" w:themeColor="accent1" w:themeShade="B5"/>
          <w:sz w:val="20"/>
          <w:szCs w:val="20"/>
        </w:rPr>
        <w:instrText xml:space="preserve"> TOC \h \z \c "Ilustración" </w:instrText>
      </w:r>
      <w:r w:rsidRPr="00033555">
        <w:rPr>
          <w:rFonts w:ascii="Century Gothic" w:eastAsiaTheme="majorEastAsia" w:hAnsi="Century Gothic" w:cstheme="majorBidi"/>
          <w:b/>
          <w:bCs/>
          <w:color w:val="2D4F8E" w:themeColor="accent1" w:themeShade="B5"/>
          <w:sz w:val="20"/>
          <w:szCs w:val="20"/>
        </w:rPr>
        <w:fldChar w:fldCharType="separate"/>
      </w:r>
      <w:hyperlink w:anchor="_Toc117527850" w:history="1">
        <w:r w:rsidRPr="00033555">
          <w:rPr>
            <w:rStyle w:val="Hipervnculo"/>
            <w:rFonts w:ascii="Century Gothic" w:hAnsi="Century Gothic"/>
            <w:noProof/>
            <w:sz w:val="20"/>
            <w:szCs w:val="20"/>
            <w:lang w:val="es-CO"/>
          </w:rPr>
          <w:t>Ilustración 1. Lógica de intervención PJT</w:t>
        </w:r>
        <w:r w:rsidRPr="00033555">
          <w:rPr>
            <w:rFonts w:ascii="Century Gothic" w:hAnsi="Century Gothic"/>
            <w:noProof/>
            <w:webHidden/>
            <w:sz w:val="20"/>
            <w:szCs w:val="20"/>
          </w:rPr>
          <w:tab/>
        </w:r>
        <w:r w:rsidRPr="00033555">
          <w:rPr>
            <w:rFonts w:ascii="Century Gothic" w:hAnsi="Century Gothic"/>
            <w:noProof/>
            <w:webHidden/>
            <w:sz w:val="20"/>
            <w:szCs w:val="20"/>
          </w:rPr>
          <w:fldChar w:fldCharType="begin"/>
        </w:r>
        <w:r w:rsidRPr="00033555">
          <w:rPr>
            <w:rFonts w:ascii="Century Gothic" w:hAnsi="Century Gothic"/>
            <w:noProof/>
            <w:webHidden/>
            <w:sz w:val="20"/>
            <w:szCs w:val="20"/>
          </w:rPr>
          <w:instrText xml:space="preserve"> PAGEREF _Toc117527850 \h </w:instrText>
        </w:r>
        <w:r w:rsidRPr="00033555">
          <w:rPr>
            <w:rFonts w:ascii="Century Gothic" w:hAnsi="Century Gothic"/>
            <w:noProof/>
            <w:webHidden/>
            <w:sz w:val="20"/>
            <w:szCs w:val="20"/>
          </w:rPr>
        </w:r>
        <w:r w:rsidRPr="00033555">
          <w:rPr>
            <w:rFonts w:ascii="Century Gothic" w:hAnsi="Century Gothic"/>
            <w:noProof/>
            <w:webHidden/>
            <w:sz w:val="20"/>
            <w:szCs w:val="20"/>
          </w:rPr>
          <w:fldChar w:fldCharType="separate"/>
        </w:r>
        <w:r w:rsidRPr="00033555">
          <w:rPr>
            <w:rFonts w:ascii="Century Gothic" w:hAnsi="Century Gothic"/>
            <w:noProof/>
            <w:webHidden/>
            <w:sz w:val="20"/>
            <w:szCs w:val="20"/>
          </w:rPr>
          <w:t>14</w:t>
        </w:r>
        <w:r w:rsidRPr="00033555">
          <w:rPr>
            <w:rFonts w:ascii="Century Gothic" w:hAnsi="Century Gothic"/>
            <w:noProof/>
            <w:webHidden/>
            <w:sz w:val="20"/>
            <w:szCs w:val="20"/>
          </w:rPr>
          <w:fldChar w:fldCharType="end"/>
        </w:r>
      </w:hyperlink>
    </w:p>
    <w:p w14:paraId="134166C1" w14:textId="47459005"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851" w:history="1">
        <w:r w:rsidR="00033555" w:rsidRPr="00033555">
          <w:rPr>
            <w:rStyle w:val="Hipervnculo"/>
            <w:rFonts w:ascii="Century Gothic" w:hAnsi="Century Gothic"/>
            <w:noProof/>
            <w:sz w:val="20"/>
            <w:szCs w:val="20"/>
            <w:lang w:val="es-CO"/>
          </w:rPr>
          <w:t>Ilustración 2. Ámbitos de la justicia transicional vs. Resultados estratégicos del PJT</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_Toc117527851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16</w:t>
        </w:r>
        <w:r w:rsidR="00033555" w:rsidRPr="00033555">
          <w:rPr>
            <w:rFonts w:ascii="Century Gothic" w:hAnsi="Century Gothic"/>
            <w:noProof/>
            <w:webHidden/>
            <w:sz w:val="20"/>
            <w:szCs w:val="20"/>
          </w:rPr>
          <w:fldChar w:fldCharType="end"/>
        </w:r>
      </w:hyperlink>
    </w:p>
    <w:p w14:paraId="4F0FAFD6" w14:textId="4470426A"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r:id="rId14" w:anchor="_Toc117527852" w:history="1">
        <w:r w:rsidR="00033555" w:rsidRPr="00033555">
          <w:rPr>
            <w:rStyle w:val="Hipervnculo"/>
            <w:rFonts w:ascii="Century Gothic" w:hAnsi="Century Gothic"/>
            <w:noProof/>
            <w:sz w:val="20"/>
            <w:szCs w:val="20"/>
            <w:lang w:val="es-CO"/>
          </w:rPr>
          <w:t>Ilustración 3. Teoría de cambio PJT - Prodoc</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_Toc117527852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16</w:t>
        </w:r>
        <w:r w:rsidR="00033555" w:rsidRPr="00033555">
          <w:rPr>
            <w:rFonts w:ascii="Century Gothic" w:hAnsi="Century Gothic"/>
            <w:noProof/>
            <w:webHidden/>
            <w:sz w:val="20"/>
            <w:szCs w:val="20"/>
          </w:rPr>
          <w:fldChar w:fldCharType="end"/>
        </w:r>
      </w:hyperlink>
    </w:p>
    <w:p w14:paraId="27D987A6" w14:textId="4D652FB9"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853" w:history="1">
        <w:r w:rsidR="00033555" w:rsidRPr="00033555">
          <w:rPr>
            <w:rStyle w:val="Hipervnculo"/>
            <w:rFonts w:ascii="Century Gothic" w:hAnsi="Century Gothic"/>
            <w:noProof/>
            <w:sz w:val="20"/>
            <w:szCs w:val="20"/>
            <w:lang w:val="es-CO"/>
          </w:rPr>
          <w:t xml:space="preserve">Ilustración 4. Outcomes y outputs </w:t>
        </w:r>
        <w:r w:rsidR="008404F5" w:rsidRPr="00033555">
          <w:rPr>
            <w:rStyle w:val="Hipervnculo"/>
            <w:rFonts w:ascii="Century Gothic" w:hAnsi="Century Gothic"/>
            <w:noProof/>
            <w:sz w:val="20"/>
            <w:szCs w:val="20"/>
            <w:lang w:val="es-CO"/>
          </w:rPr>
          <w:t>C</w:t>
        </w:r>
        <w:r w:rsidR="008404F5">
          <w:rPr>
            <w:rStyle w:val="Hipervnculo"/>
            <w:rFonts w:ascii="Century Gothic" w:hAnsi="Century Gothic"/>
            <w:noProof/>
            <w:sz w:val="20"/>
            <w:szCs w:val="20"/>
            <w:lang w:val="es-CO"/>
          </w:rPr>
          <w:t>P</w:t>
        </w:r>
        <w:r w:rsidR="008404F5" w:rsidRPr="00033555">
          <w:rPr>
            <w:rStyle w:val="Hipervnculo"/>
            <w:rFonts w:ascii="Century Gothic" w:hAnsi="Century Gothic"/>
            <w:noProof/>
            <w:sz w:val="20"/>
            <w:szCs w:val="20"/>
            <w:lang w:val="es-CO"/>
          </w:rPr>
          <w:t xml:space="preserve">D </w:t>
        </w:r>
        <w:r w:rsidR="00033555" w:rsidRPr="00033555">
          <w:rPr>
            <w:rStyle w:val="Hipervnculo"/>
            <w:rFonts w:ascii="Century Gothic" w:hAnsi="Century Gothic"/>
            <w:noProof/>
            <w:sz w:val="20"/>
            <w:szCs w:val="20"/>
            <w:lang w:val="es-CO"/>
          </w:rPr>
          <w:t>2017-2020</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_Toc117527853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19</w:t>
        </w:r>
        <w:r w:rsidR="00033555" w:rsidRPr="00033555">
          <w:rPr>
            <w:rFonts w:ascii="Century Gothic" w:hAnsi="Century Gothic"/>
            <w:noProof/>
            <w:webHidden/>
            <w:sz w:val="20"/>
            <w:szCs w:val="20"/>
          </w:rPr>
          <w:fldChar w:fldCharType="end"/>
        </w:r>
      </w:hyperlink>
    </w:p>
    <w:p w14:paraId="5F35BC27" w14:textId="02338042"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854" w:history="1">
        <w:r w:rsidR="00033555" w:rsidRPr="00033555">
          <w:rPr>
            <w:rStyle w:val="Hipervnculo"/>
            <w:rFonts w:ascii="Century Gothic" w:hAnsi="Century Gothic"/>
            <w:noProof/>
            <w:sz w:val="20"/>
            <w:szCs w:val="20"/>
            <w:lang w:val="es-CO"/>
          </w:rPr>
          <w:t>Ilustración 5. Percepción de ejecución presupuestal por parte de las OSC</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_Toc117527854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33</w:t>
        </w:r>
        <w:r w:rsidR="00033555" w:rsidRPr="00033555">
          <w:rPr>
            <w:rFonts w:ascii="Century Gothic" w:hAnsi="Century Gothic"/>
            <w:noProof/>
            <w:webHidden/>
            <w:sz w:val="20"/>
            <w:szCs w:val="20"/>
          </w:rPr>
          <w:fldChar w:fldCharType="end"/>
        </w:r>
      </w:hyperlink>
    </w:p>
    <w:p w14:paraId="2B7FFDA2" w14:textId="2B62EDE6"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r:id="rId15" w:anchor="_Toc117527855" w:history="1">
        <w:r w:rsidR="00033555" w:rsidRPr="00033555">
          <w:rPr>
            <w:rStyle w:val="Hipervnculo"/>
            <w:rFonts w:ascii="Century Gothic" w:hAnsi="Century Gothic"/>
            <w:noProof/>
            <w:sz w:val="20"/>
            <w:szCs w:val="20"/>
            <w:lang w:val="es-CO"/>
          </w:rPr>
          <w:t>Ilustración 6. Eficiencia de los procedimientos de revisión y aprobación de los proyectos por parte del PNUD</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_Toc117527855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34</w:t>
        </w:r>
        <w:r w:rsidR="00033555" w:rsidRPr="00033555">
          <w:rPr>
            <w:rFonts w:ascii="Century Gothic" w:hAnsi="Century Gothic"/>
            <w:noProof/>
            <w:webHidden/>
            <w:sz w:val="20"/>
            <w:szCs w:val="20"/>
          </w:rPr>
          <w:fldChar w:fldCharType="end"/>
        </w:r>
      </w:hyperlink>
    </w:p>
    <w:p w14:paraId="6832050B" w14:textId="02EF83A4"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856" w:history="1">
        <w:r w:rsidR="00033555" w:rsidRPr="00033555">
          <w:rPr>
            <w:rStyle w:val="Hipervnculo"/>
            <w:rFonts w:ascii="Century Gothic" w:hAnsi="Century Gothic"/>
            <w:noProof/>
            <w:sz w:val="20"/>
            <w:szCs w:val="20"/>
            <w:lang w:val="es-CO"/>
          </w:rPr>
          <w:t>Ilustración 7. Percepción de las OSC sobre el acceso de las víctimas a procesos de V,J,R Y GNR</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_Toc117527856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37</w:t>
        </w:r>
        <w:r w:rsidR="00033555" w:rsidRPr="00033555">
          <w:rPr>
            <w:rFonts w:ascii="Century Gothic" w:hAnsi="Century Gothic"/>
            <w:noProof/>
            <w:webHidden/>
            <w:sz w:val="20"/>
            <w:szCs w:val="20"/>
          </w:rPr>
          <w:fldChar w:fldCharType="end"/>
        </w:r>
      </w:hyperlink>
    </w:p>
    <w:p w14:paraId="61F864FD" w14:textId="1341E18F"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857" w:history="1">
        <w:r w:rsidR="00033555" w:rsidRPr="00033555">
          <w:rPr>
            <w:rStyle w:val="Hipervnculo"/>
            <w:rFonts w:ascii="Century Gothic" w:hAnsi="Century Gothic"/>
            <w:noProof/>
            <w:sz w:val="20"/>
            <w:szCs w:val="20"/>
            <w:lang w:val="es-CO"/>
          </w:rPr>
          <w:t>Ilustración 8. Percepción del aumento de confianza de las víctimas en las instituciones gracias al PJT</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_Toc117527857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38</w:t>
        </w:r>
        <w:r w:rsidR="00033555" w:rsidRPr="00033555">
          <w:rPr>
            <w:rFonts w:ascii="Century Gothic" w:hAnsi="Century Gothic"/>
            <w:noProof/>
            <w:webHidden/>
            <w:sz w:val="20"/>
            <w:szCs w:val="20"/>
          </w:rPr>
          <w:fldChar w:fldCharType="end"/>
        </w:r>
      </w:hyperlink>
    </w:p>
    <w:p w14:paraId="5671ECFF" w14:textId="68BA3508"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r w:rsidRPr="00033555">
        <w:rPr>
          <w:rFonts w:ascii="Century Gothic" w:eastAsiaTheme="majorEastAsia" w:hAnsi="Century Gothic" w:cstheme="majorBidi"/>
          <w:b/>
          <w:bCs/>
          <w:color w:val="2D4F8E" w:themeColor="accent1" w:themeShade="B5"/>
          <w:sz w:val="20"/>
          <w:szCs w:val="20"/>
          <w:lang w:eastAsia="es-ES"/>
        </w:rPr>
        <w:fldChar w:fldCharType="end"/>
      </w:r>
    </w:p>
    <w:p w14:paraId="519EDF54" w14:textId="78B0CC45" w:rsidR="00033555" w:rsidRPr="00CF313A" w:rsidRDefault="00033555" w:rsidP="00CF313A">
      <w:pPr>
        <w:pStyle w:val="Ttulo1"/>
        <w:numPr>
          <w:ilvl w:val="0"/>
          <w:numId w:val="0"/>
        </w:numPr>
        <w:jc w:val="both"/>
        <w:rPr>
          <w:lang w:val="es-CO"/>
        </w:rPr>
      </w:pPr>
      <w:r>
        <w:rPr>
          <w:lang w:val="es-CO"/>
        </w:rPr>
        <w:t xml:space="preserve">Índice de Tablas </w:t>
      </w:r>
    </w:p>
    <w:p w14:paraId="1A571305" w14:textId="3DE4AA64" w:rsidR="00033555" w:rsidRPr="00033555" w:rsidRDefault="00033555">
      <w:pPr>
        <w:pStyle w:val="Tabladeilustraciones"/>
        <w:tabs>
          <w:tab w:val="right" w:leader="dot" w:pos="8828"/>
        </w:tabs>
        <w:rPr>
          <w:rFonts w:ascii="Century Gothic" w:hAnsi="Century Gothic" w:cstheme="minorBidi"/>
          <w:noProof/>
          <w:sz w:val="18"/>
          <w:szCs w:val="18"/>
          <w:lang w:val="en-US" w:eastAsia="en-US"/>
        </w:rPr>
      </w:pPr>
      <w:r>
        <w:rPr>
          <w:rFonts w:ascii="Century Gothic" w:eastAsiaTheme="majorEastAsia" w:hAnsi="Century Gothic" w:cstheme="majorBidi"/>
          <w:b/>
          <w:bCs/>
          <w:color w:val="2D4F8E" w:themeColor="accent1" w:themeShade="B5"/>
          <w:sz w:val="20"/>
          <w:szCs w:val="20"/>
        </w:rPr>
        <w:fldChar w:fldCharType="begin"/>
      </w:r>
      <w:r>
        <w:rPr>
          <w:rFonts w:ascii="Century Gothic" w:eastAsiaTheme="majorEastAsia" w:hAnsi="Century Gothic" w:cstheme="majorBidi"/>
          <w:b/>
          <w:bCs/>
          <w:color w:val="2D4F8E" w:themeColor="accent1" w:themeShade="B5"/>
          <w:sz w:val="20"/>
          <w:szCs w:val="20"/>
        </w:rPr>
        <w:instrText xml:space="preserve"> TOC \h \z \c "Tabla" </w:instrText>
      </w:r>
      <w:r>
        <w:rPr>
          <w:rFonts w:ascii="Century Gothic" w:eastAsiaTheme="majorEastAsia" w:hAnsi="Century Gothic" w:cstheme="majorBidi"/>
          <w:b/>
          <w:bCs/>
          <w:color w:val="2D4F8E" w:themeColor="accent1" w:themeShade="B5"/>
          <w:sz w:val="20"/>
          <w:szCs w:val="20"/>
        </w:rPr>
        <w:fldChar w:fldCharType="separate"/>
      </w:r>
      <w:hyperlink w:anchor="_Toc117527922" w:history="1">
        <w:r w:rsidRPr="00033555">
          <w:rPr>
            <w:rStyle w:val="Hipervnculo"/>
            <w:rFonts w:ascii="Century Gothic" w:hAnsi="Century Gothic"/>
            <w:noProof/>
            <w:sz w:val="20"/>
            <w:szCs w:val="20"/>
            <w:lang w:val="es-CO"/>
          </w:rPr>
          <w:t>Tabla 1. Resultados C</w:t>
        </w:r>
        <w:r w:rsidR="008404F5">
          <w:rPr>
            <w:rStyle w:val="Hipervnculo"/>
            <w:rFonts w:ascii="Century Gothic" w:hAnsi="Century Gothic"/>
            <w:noProof/>
            <w:sz w:val="20"/>
            <w:szCs w:val="20"/>
            <w:lang w:val="es-CO"/>
          </w:rPr>
          <w:t>P</w:t>
        </w:r>
        <w:r w:rsidRPr="00033555">
          <w:rPr>
            <w:rStyle w:val="Hipervnculo"/>
            <w:rFonts w:ascii="Century Gothic" w:hAnsi="Century Gothic"/>
            <w:noProof/>
            <w:sz w:val="20"/>
            <w:szCs w:val="20"/>
            <w:lang w:val="es-CO"/>
          </w:rPr>
          <w:t>D y Prodoc PJT</w:t>
        </w:r>
        <w:r w:rsidRPr="00033555">
          <w:rPr>
            <w:rFonts w:ascii="Century Gothic" w:hAnsi="Century Gothic"/>
            <w:noProof/>
            <w:webHidden/>
            <w:sz w:val="20"/>
            <w:szCs w:val="20"/>
          </w:rPr>
          <w:tab/>
        </w:r>
        <w:r w:rsidRPr="00033555">
          <w:rPr>
            <w:rFonts w:ascii="Century Gothic" w:hAnsi="Century Gothic"/>
            <w:noProof/>
            <w:webHidden/>
            <w:sz w:val="20"/>
            <w:szCs w:val="20"/>
          </w:rPr>
          <w:fldChar w:fldCharType="begin"/>
        </w:r>
        <w:r w:rsidRPr="00033555">
          <w:rPr>
            <w:rFonts w:ascii="Century Gothic" w:hAnsi="Century Gothic"/>
            <w:noProof/>
            <w:webHidden/>
            <w:sz w:val="20"/>
            <w:szCs w:val="20"/>
          </w:rPr>
          <w:instrText xml:space="preserve"> PAGEREF _Toc117527922 \h </w:instrText>
        </w:r>
        <w:r w:rsidRPr="00033555">
          <w:rPr>
            <w:rFonts w:ascii="Century Gothic" w:hAnsi="Century Gothic"/>
            <w:noProof/>
            <w:webHidden/>
            <w:sz w:val="20"/>
            <w:szCs w:val="20"/>
          </w:rPr>
        </w:r>
        <w:r w:rsidRPr="00033555">
          <w:rPr>
            <w:rFonts w:ascii="Century Gothic" w:hAnsi="Century Gothic"/>
            <w:noProof/>
            <w:webHidden/>
            <w:sz w:val="20"/>
            <w:szCs w:val="20"/>
          </w:rPr>
          <w:fldChar w:fldCharType="separate"/>
        </w:r>
        <w:r w:rsidRPr="00033555">
          <w:rPr>
            <w:rFonts w:ascii="Century Gothic" w:hAnsi="Century Gothic"/>
            <w:noProof/>
            <w:webHidden/>
            <w:sz w:val="20"/>
            <w:szCs w:val="20"/>
          </w:rPr>
          <w:t>19</w:t>
        </w:r>
        <w:r w:rsidRPr="00033555">
          <w:rPr>
            <w:rFonts w:ascii="Century Gothic" w:hAnsi="Century Gothic"/>
            <w:noProof/>
            <w:webHidden/>
            <w:sz w:val="20"/>
            <w:szCs w:val="20"/>
          </w:rPr>
          <w:fldChar w:fldCharType="end"/>
        </w:r>
      </w:hyperlink>
    </w:p>
    <w:p w14:paraId="198161B6" w14:textId="66A5F81C"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923" w:history="1">
        <w:r w:rsidR="00033555" w:rsidRPr="00033555">
          <w:rPr>
            <w:rStyle w:val="Hipervnculo"/>
            <w:rFonts w:ascii="Century Gothic" w:hAnsi="Century Gothic"/>
            <w:noProof/>
            <w:sz w:val="20"/>
            <w:szCs w:val="20"/>
            <w:lang w:val="es-CO"/>
          </w:rPr>
          <w:t>Tabla 2. Criterios de evaluación</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_Toc117527923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21</w:t>
        </w:r>
        <w:r w:rsidR="00033555" w:rsidRPr="00033555">
          <w:rPr>
            <w:rFonts w:ascii="Century Gothic" w:hAnsi="Century Gothic"/>
            <w:noProof/>
            <w:webHidden/>
            <w:sz w:val="20"/>
            <w:szCs w:val="20"/>
          </w:rPr>
          <w:fldChar w:fldCharType="end"/>
        </w:r>
      </w:hyperlink>
    </w:p>
    <w:p w14:paraId="138E541E" w14:textId="14AD15E4"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r:id="rId16" w:anchor="_Toc117527924" w:history="1">
        <w:r w:rsidR="00033555" w:rsidRPr="00033555">
          <w:rPr>
            <w:rStyle w:val="Hipervnculo"/>
            <w:rFonts w:ascii="Century Gothic" w:hAnsi="Century Gothic"/>
            <w:noProof/>
            <w:sz w:val="20"/>
            <w:szCs w:val="20"/>
            <w:lang w:val="es-CO"/>
          </w:rPr>
          <w:t>Tabla 3. Muestra de proyectos seleccionados</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_Toc117527924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23</w:t>
        </w:r>
        <w:r w:rsidR="00033555" w:rsidRPr="00033555">
          <w:rPr>
            <w:rFonts w:ascii="Century Gothic" w:hAnsi="Century Gothic"/>
            <w:noProof/>
            <w:webHidden/>
            <w:sz w:val="20"/>
            <w:szCs w:val="20"/>
          </w:rPr>
          <w:fldChar w:fldCharType="end"/>
        </w:r>
      </w:hyperlink>
    </w:p>
    <w:p w14:paraId="563DC3EF" w14:textId="6DB25ECF"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925" w:history="1">
        <w:r w:rsidR="00033555" w:rsidRPr="00033555">
          <w:rPr>
            <w:rStyle w:val="Hipervnculo"/>
            <w:rFonts w:ascii="Century Gothic" w:hAnsi="Century Gothic"/>
            <w:noProof/>
            <w:sz w:val="20"/>
            <w:szCs w:val="20"/>
            <w:lang w:val="es-CO"/>
          </w:rPr>
          <w:t>Tabla 4. Relación de documentos consultados y analizados fase de escritorio</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_Toc117527925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24</w:t>
        </w:r>
        <w:r w:rsidR="00033555" w:rsidRPr="00033555">
          <w:rPr>
            <w:rFonts w:ascii="Century Gothic" w:hAnsi="Century Gothic"/>
            <w:noProof/>
            <w:webHidden/>
            <w:sz w:val="20"/>
            <w:szCs w:val="20"/>
          </w:rPr>
          <w:fldChar w:fldCharType="end"/>
        </w:r>
      </w:hyperlink>
    </w:p>
    <w:p w14:paraId="1A929B24" w14:textId="4659F123"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926" w:history="1">
        <w:r w:rsidR="00033555" w:rsidRPr="00033555">
          <w:rPr>
            <w:rStyle w:val="Hipervnculo"/>
            <w:rFonts w:ascii="Century Gothic" w:hAnsi="Century Gothic"/>
            <w:noProof/>
            <w:sz w:val="20"/>
            <w:szCs w:val="20"/>
            <w:lang w:val="es-CO"/>
          </w:rPr>
          <w:t>Tabla 5. Listado de actores a consultar proporcionados por PNUD</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_Toc117527926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25</w:t>
        </w:r>
        <w:r w:rsidR="00033555" w:rsidRPr="00033555">
          <w:rPr>
            <w:rFonts w:ascii="Century Gothic" w:hAnsi="Century Gothic"/>
            <w:noProof/>
            <w:webHidden/>
            <w:sz w:val="20"/>
            <w:szCs w:val="20"/>
          </w:rPr>
          <w:fldChar w:fldCharType="end"/>
        </w:r>
      </w:hyperlink>
    </w:p>
    <w:p w14:paraId="05567C76" w14:textId="526FE26B"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927" w:history="1">
        <w:r w:rsidR="00033555" w:rsidRPr="00033555">
          <w:rPr>
            <w:rStyle w:val="Hipervnculo"/>
            <w:rFonts w:ascii="Century Gothic" w:hAnsi="Century Gothic"/>
            <w:noProof/>
            <w:sz w:val="20"/>
            <w:szCs w:val="20"/>
            <w:lang w:val="es-CO"/>
          </w:rPr>
          <w:t>Tabla 6. Actores consultados evaluación PJT PNUD</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_Toc117527927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26</w:t>
        </w:r>
        <w:r w:rsidR="00033555" w:rsidRPr="00033555">
          <w:rPr>
            <w:rFonts w:ascii="Century Gothic" w:hAnsi="Century Gothic"/>
            <w:noProof/>
            <w:webHidden/>
            <w:sz w:val="20"/>
            <w:szCs w:val="20"/>
          </w:rPr>
          <w:fldChar w:fldCharType="end"/>
        </w:r>
      </w:hyperlink>
    </w:p>
    <w:p w14:paraId="61F1802D" w14:textId="79246F97"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928" w:history="1">
        <w:r w:rsidR="00033555" w:rsidRPr="00033555">
          <w:rPr>
            <w:rStyle w:val="Hipervnculo"/>
            <w:rFonts w:ascii="Century Gothic" w:hAnsi="Century Gothic"/>
            <w:noProof/>
            <w:sz w:val="20"/>
            <w:szCs w:val="20"/>
            <w:lang w:val="es-CO"/>
          </w:rPr>
          <w:t>Tabla 7. Actores consultados por instrumento de recolección de información aplicado</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_Toc117527928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26</w:t>
        </w:r>
        <w:r w:rsidR="00033555" w:rsidRPr="00033555">
          <w:rPr>
            <w:rFonts w:ascii="Century Gothic" w:hAnsi="Century Gothic"/>
            <w:noProof/>
            <w:webHidden/>
            <w:sz w:val="20"/>
            <w:szCs w:val="20"/>
          </w:rPr>
          <w:fldChar w:fldCharType="end"/>
        </w:r>
      </w:hyperlink>
    </w:p>
    <w:p w14:paraId="08CF18DD" w14:textId="2AFACCCA" w:rsidR="00033555" w:rsidRPr="00033555" w:rsidRDefault="00B84220">
      <w:pPr>
        <w:pStyle w:val="Tabladeilustraciones"/>
        <w:tabs>
          <w:tab w:val="right" w:leader="dot" w:pos="8828"/>
        </w:tabs>
        <w:rPr>
          <w:rFonts w:ascii="Century Gothic" w:hAnsi="Century Gothic" w:cstheme="minorBidi"/>
          <w:noProof/>
          <w:sz w:val="18"/>
          <w:szCs w:val="18"/>
          <w:lang w:val="en-US" w:eastAsia="en-US"/>
        </w:rPr>
      </w:pPr>
      <w:hyperlink w:anchor="_Toc117527929" w:history="1">
        <w:r w:rsidR="00033555" w:rsidRPr="00033555">
          <w:rPr>
            <w:rStyle w:val="Hipervnculo"/>
            <w:rFonts w:ascii="Century Gothic" w:hAnsi="Century Gothic"/>
            <w:noProof/>
            <w:sz w:val="20"/>
            <w:szCs w:val="20"/>
            <w:lang w:val="es-CO"/>
          </w:rPr>
          <w:t>Tabla 8. Grupos focales - Entrevistas Evaluación componente de Reparaciones Colectivas PJT</w:t>
        </w:r>
        <w:r w:rsidR="00033555" w:rsidRPr="00033555">
          <w:rPr>
            <w:rFonts w:ascii="Century Gothic" w:hAnsi="Century Gothic"/>
            <w:noProof/>
            <w:webHidden/>
            <w:sz w:val="20"/>
            <w:szCs w:val="20"/>
          </w:rPr>
          <w:tab/>
        </w:r>
        <w:r w:rsidR="00033555" w:rsidRPr="00033555">
          <w:rPr>
            <w:rFonts w:ascii="Century Gothic" w:hAnsi="Century Gothic"/>
            <w:noProof/>
            <w:webHidden/>
            <w:sz w:val="20"/>
            <w:szCs w:val="20"/>
          </w:rPr>
          <w:fldChar w:fldCharType="begin"/>
        </w:r>
        <w:r w:rsidR="00033555" w:rsidRPr="00033555">
          <w:rPr>
            <w:rFonts w:ascii="Century Gothic" w:hAnsi="Century Gothic"/>
            <w:noProof/>
            <w:webHidden/>
            <w:sz w:val="20"/>
            <w:szCs w:val="20"/>
          </w:rPr>
          <w:instrText xml:space="preserve"> PAGEREF _Toc117527929 \h </w:instrText>
        </w:r>
        <w:r w:rsidR="00033555" w:rsidRPr="00033555">
          <w:rPr>
            <w:rFonts w:ascii="Century Gothic" w:hAnsi="Century Gothic"/>
            <w:noProof/>
            <w:webHidden/>
            <w:sz w:val="20"/>
            <w:szCs w:val="20"/>
          </w:rPr>
        </w:r>
        <w:r w:rsidR="00033555" w:rsidRPr="00033555">
          <w:rPr>
            <w:rFonts w:ascii="Century Gothic" w:hAnsi="Century Gothic"/>
            <w:noProof/>
            <w:webHidden/>
            <w:sz w:val="20"/>
            <w:szCs w:val="20"/>
          </w:rPr>
          <w:fldChar w:fldCharType="separate"/>
        </w:r>
        <w:r w:rsidR="00033555" w:rsidRPr="00033555">
          <w:rPr>
            <w:rFonts w:ascii="Century Gothic" w:hAnsi="Century Gothic"/>
            <w:noProof/>
            <w:webHidden/>
            <w:sz w:val="20"/>
            <w:szCs w:val="20"/>
          </w:rPr>
          <w:t>26</w:t>
        </w:r>
        <w:r w:rsidR="00033555" w:rsidRPr="00033555">
          <w:rPr>
            <w:rFonts w:ascii="Century Gothic" w:hAnsi="Century Gothic"/>
            <w:noProof/>
            <w:webHidden/>
            <w:sz w:val="20"/>
            <w:szCs w:val="20"/>
          </w:rPr>
          <w:fldChar w:fldCharType="end"/>
        </w:r>
      </w:hyperlink>
    </w:p>
    <w:p w14:paraId="34957522" w14:textId="0BF999F3" w:rsidR="00F17BC2" w:rsidRPr="001F7FF3" w:rsidRDefault="00033555" w:rsidP="009D291F">
      <w:pPr>
        <w:jc w:val="both"/>
        <w:rPr>
          <w:rFonts w:ascii="Century Gothic" w:eastAsiaTheme="majorEastAsia" w:hAnsi="Century Gothic" w:cstheme="majorBidi"/>
          <w:b/>
          <w:bCs/>
          <w:color w:val="2D4F8E" w:themeColor="accent1" w:themeShade="B5"/>
          <w:sz w:val="20"/>
          <w:szCs w:val="20"/>
          <w:lang w:eastAsia="es-ES"/>
        </w:rPr>
      </w:pPr>
      <w:r>
        <w:rPr>
          <w:rFonts w:ascii="Century Gothic" w:eastAsiaTheme="majorEastAsia" w:hAnsi="Century Gothic" w:cstheme="majorBidi"/>
          <w:b/>
          <w:bCs/>
          <w:color w:val="2D4F8E" w:themeColor="accent1" w:themeShade="B5"/>
          <w:sz w:val="20"/>
          <w:szCs w:val="20"/>
          <w:lang w:eastAsia="es-ES"/>
        </w:rPr>
        <w:fldChar w:fldCharType="end"/>
      </w:r>
    </w:p>
    <w:p w14:paraId="500209F4" w14:textId="6C329C8B" w:rsidR="00F17BC2" w:rsidRPr="001F7FF3" w:rsidRDefault="00F17BC2" w:rsidP="009D291F">
      <w:pPr>
        <w:jc w:val="both"/>
        <w:rPr>
          <w:rFonts w:ascii="Century Gothic" w:eastAsiaTheme="majorEastAsia" w:hAnsi="Century Gothic" w:cstheme="majorBidi"/>
          <w:b/>
          <w:bCs/>
          <w:color w:val="2D4F8E" w:themeColor="accent1" w:themeShade="B5"/>
          <w:sz w:val="20"/>
          <w:szCs w:val="20"/>
          <w:lang w:eastAsia="es-ES"/>
        </w:rPr>
      </w:pPr>
    </w:p>
    <w:p w14:paraId="6CAC7A54" w14:textId="75D9A983" w:rsidR="00F17BC2" w:rsidRPr="001F7FF3" w:rsidRDefault="00F17BC2" w:rsidP="009D291F">
      <w:pPr>
        <w:jc w:val="both"/>
        <w:rPr>
          <w:rFonts w:ascii="Century Gothic" w:eastAsiaTheme="majorEastAsia" w:hAnsi="Century Gothic" w:cstheme="majorBidi"/>
          <w:b/>
          <w:bCs/>
          <w:color w:val="2D4F8E" w:themeColor="accent1" w:themeShade="B5"/>
          <w:sz w:val="20"/>
          <w:szCs w:val="20"/>
          <w:lang w:eastAsia="es-ES"/>
        </w:rPr>
      </w:pPr>
    </w:p>
    <w:p w14:paraId="3A48EDEB" w14:textId="27D7633B" w:rsidR="00F17BC2" w:rsidRDefault="00F17BC2" w:rsidP="009D291F">
      <w:pPr>
        <w:jc w:val="both"/>
        <w:rPr>
          <w:rFonts w:ascii="Century Gothic" w:eastAsiaTheme="majorEastAsia" w:hAnsi="Century Gothic" w:cstheme="majorBidi"/>
          <w:b/>
          <w:bCs/>
          <w:color w:val="2D4F8E" w:themeColor="accent1" w:themeShade="B5"/>
          <w:sz w:val="20"/>
          <w:szCs w:val="20"/>
          <w:lang w:eastAsia="es-ES"/>
        </w:rPr>
      </w:pPr>
    </w:p>
    <w:p w14:paraId="0D069266" w14:textId="502AFCDD"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1C3391C3" w14:textId="016BB9C4"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1CC2321A" w14:textId="6108D521"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2AE5357C" w14:textId="364193CA"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CCF79A3" w14:textId="0E7A201C"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7E2E86FE" w14:textId="59FDC0A6"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76D47C3D" w14:textId="50AF2B7E"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6B245A03" w14:textId="6C9E0BBD"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6354C2C" w14:textId="45B7E6DC"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3B206C93" w14:textId="65F21765"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13786F49" w14:textId="0E520516"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7B99CDFE" w14:textId="56808188"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1AF62CC7" w14:textId="7120971F"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A526F62" w14:textId="1787C477"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4E88D61B" w14:textId="728AB195"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4DCB90EC" w14:textId="158387E0"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7200638E" w14:textId="13F82DDC"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3303FA5C" w14:textId="3AA8600F"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6879E19C" w14:textId="26D1066C"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3BF03487" w14:textId="091BE9FA"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EEBC183" w14:textId="056B8015"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81D4FAB" w14:textId="678602C6"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1B2553DA" w14:textId="020E9795"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4D9EA40" w14:textId="36FC58CB"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09E72F6B" w14:textId="0512D199"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3DFF9720" w14:textId="1155777A"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16D5366D" w14:textId="0C95A26E"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63851D97" w14:textId="04CD1C93"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4BCDEA66" w14:textId="35A63155" w:rsidR="00033555"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7779DDBB" w14:textId="77777777" w:rsidR="00033555" w:rsidRPr="001F7FF3" w:rsidRDefault="00033555" w:rsidP="009D291F">
      <w:pPr>
        <w:jc w:val="both"/>
        <w:rPr>
          <w:rFonts w:ascii="Century Gothic" w:eastAsiaTheme="majorEastAsia" w:hAnsi="Century Gothic" w:cstheme="majorBidi"/>
          <w:b/>
          <w:bCs/>
          <w:color w:val="2D4F8E" w:themeColor="accent1" w:themeShade="B5"/>
          <w:sz w:val="20"/>
          <w:szCs w:val="20"/>
          <w:lang w:eastAsia="es-ES"/>
        </w:rPr>
      </w:pPr>
    </w:p>
    <w:p w14:paraId="3F070F92" w14:textId="77777777" w:rsidR="00F17BC2" w:rsidRPr="001F7FF3" w:rsidRDefault="00F17BC2" w:rsidP="009D291F">
      <w:pPr>
        <w:jc w:val="both"/>
        <w:rPr>
          <w:rFonts w:ascii="Century Gothic" w:eastAsiaTheme="majorEastAsia" w:hAnsi="Century Gothic" w:cstheme="majorBidi"/>
          <w:b/>
          <w:bCs/>
          <w:color w:val="2D4F8E" w:themeColor="accent1" w:themeShade="B5"/>
          <w:sz w:val="20"/>
          <w:szCs w:val="20"/>
          <w:lang w:eastAsia="es-ES"/>
        </w:rPr>
      </w:pPr>
    </w:p>
    <w:p w14:paraId="081BF5F4" w14:textId="34CAFD30" w:rsidR="00347155" w:rsidRPr="001F7FF3" w:rsidRDefault="00507117" w:rsidP="009D291F">
      <w:pPr>
        <w:pStyle w:val="Ttulo1"/>
        <w:numPr>
          <w:ilvl w:val="0"/>
          <w:numId w:val="0"/>
        </w:numPr>
        <w:rPr>
          <w:rFonts w:eastAsia="Century Gothic" w:cs="Century Gothic"/>
          <w:sz w:val="22"/>
          <w:szCs w:val="22"/>
          <w:lang w:val="es-CO"/>
        </w:rPr>
      </w:pPr>
      <w:bookmarkStart w:id="13" w:name="_Toc117261391"/>
      <w:r w:rsidRPr="001F7FF3">
        <w:rPr>
          <w:sz w:val="22"/>
          <w:szCs w:val="22"/>
          <w:lang w:val="es-CO"/>
        </w:rPr>
        <w:lastRenderedPageBreak/>
        <w:t>Resumen ejecutivo</w:t>
      </w:r>
      <w:bookmarkEnd w:id="13"/>
    </w:p>
    <w:p w14:paraId="7C5FF0BF" w14:textId="77777777" w:rsidR="00AA1274" w:rsidRPr="001F7FF3" w:rsidRDefault="00AA1274" w:rsidP="009D291F">
      <w:pPr>
        <w:jc w:val="both"/>
        <w:rPr>
          <w:rFonts w:ascii="Century Gothic" w:eastAsia="Century Gothic" w:hAnsi="Century Gothic" w:cs="Century Gothic"/>
          <w:b/>
          <w:bCs/>
          <w:sz w:val="20"/>
          <w:szCs w:val="20"/>
        </w:rPr>
      </w:pPr>
    </w:p>
    <w:p w14:paraId="33B74EDC" w14:textId="03520394" w:rsidR="00347155" w:rsidRPr="001F7FF3" w:rsidRDefault="00AA1274" w:rsidP="009D291F">
      <w:pPr>
        <w:jc w:val="both"/>
        <w:rPr>
          <w:rFonts w:ascii="Century Gothic" w:eastAsia="Century Gothic" w:hAnsi="Century Gothic" w:cs="Century Gothic"/>
          <w:b/>
          <w:bCs/>
          <w:sz w:val="20"/>
          <w:szCs w:val="20"/>
        </w:rPr>
      </w:pPr>
      <w:r w:rsidRPr="001F7FF3">
        <w:rPr>
          <w:rFonts w:ascii="Century Gothic" w:eastAsia="Century Gothic" w:hAnsi="Century Gothic" w:cs="Century Gothic"/>
          <w:b/>
          <w:bCs/>
          <w:sz w:val="20"/>
          <w:szCs w:val="20"/>
        </w:rPr>
        <w:t>INTRODUCCIÓN</w:t>
      </w:r>
    </w:p>
    <w:p w14:paraId="1A5910C3" w14:textId="77777777" w:rsidR="00347155" w:rsidRPr="001F7FF3" w:rsidRDefault="00347155" w:rsidP="009D291F">
      <w:pPr>
        <w:jc w:val="both"/>
        <w:rPr>
          <w:rFonts w:ascii="Century Gothic" w:eastAsia="Century Gothic" w:hAnsi="Century Gothic" w:cs="Century Gothic"/>
          <w:sz w:val="20"/>
          <w:szCs w:val="20"/>
        </w:rPr>
      </w:pPr>
    </w:p>
    <w:p w14:paraId="65E4BD36" w14:textId="77777777"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El objetivo general del Programa de Portafolio para la Justicia Transicional (PJT) se enfoca en preparar a la institucionalidad y a la sociedad civil para la efectiva implementación de las acciones necesarias para superar las causas estructurales del conflicto, resarcir los daños causados a víctimas y sentar las bases para la construcción de paz. </w:t>
      </w:r>
    </w:p>
    <w:p w14:paraId="133BBF8C" w14:textId="77777777" w:rsidR="00347155" w:rsidRPr="001F7FF3" w:rsidRDefault="00347155" w:rsidP="009D291F">
      <w:pPr>
        <w:jc w:val="both"/>
        <w:rPr>
          <w:rFonts w:ascii="Century Gothic" w:eastAsia="Century Gothic" w:hAnsi="Century Gothic" w:cs="Century Gothic"/>
          <w:sz w:val="20"/>
          <w:szCs w:val="20"/>
        </w:rPr>
      </w:pPr>
    </w:p>
    <w:p w14:paraId="76302C28" w14:textId="77777777"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El PJT tiene dos objetivos específicos: 1) desarrollar las capacidades de las víctimas y sus instituciones para participar e incidir en los organismos de toma de decisión relacionados con la atención, asistencia y reparación; y 2) desarrollar la capacidad institucional para asistir a las víctimas y lograr una efectiva implementación de la justicia transicional. Ambos son necesarios y complementarios para garantizar un efectivo goce de los derechos de las víctimas y la sociedad colombiana en general.</w:t>
      </w:r>
    </w:p>
    <w:p w14:paraId="311AF39E" w14:textId="77777777" w:rsidR="00347155" w:rsidRPr="001F7FF3" w:rsidRDefault="00347155" w:rsidP="009D291F">
      <w:pPr>
        <w:jc w:val="both"/>
        <w:rPr>
          <w:rFonts w:ascii="Century Gothic" w:eastAsia="Century Gothic" w:hAnsi="Century Gothic" w:cs="Century Gothic"/>
          <w:sz w:val="20"/>
          <w:szCs w:val="20"/>
        </w:rPr>
      </w:pPr>
    </w:p>
    <w:p w14:paraId="7200BC40" w14:textId="3333B117"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El punto 5 del Acuerdo Final de Paz propone la creación de un Sistema Integral de la Verdad, la Justicia, la Reparación y las Garantías de No Repetición (SVJRNR)</w:t>
      </w:r>
      <w:r w:rsidR="009A07BC" w:rsidRPr="001F7FF3">
        <w:rPr>
          <w:rFonts w:ascii="Century Gothic" w:eastAsia="Century Gothic" w:hAnsi="Century Gothic" w:cs="Century Gothic"/>
          <w:sz w:val="20"/>
          <w:szCs w:val="20"/>
        </w:rPr>
        <w:t xml:space="preserve"> ahora denominado Sistema Integral para la Paz</w:t>
      </w:r>
      <w:r w:rsidR="002B2C5D">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para impulsar la transición del conflicto armado a la paz duradera. A través del Sistema, el Estado cumple su papel como garante, tanto de la restauración de los derechos de las víctimas, como de la reintegración de los excombatientes a través de procesos de perdón y reconciliación. </w:t>
      </w:r>
    </w:p>
    <w:p w14:paraId="2142EADF" w14:textId="77777777" w:rsidR="00347155" w:rsidRPr="001F7FF3" w:rsidRDefault="00347155" w:rsidP="009D291F">
      <w:pPr>
        <w:jc w:val="both"/>
        <w:rPr>
          <w:rFonts w:ascii="Century Gothic" w:eastAsia="Century Gothic" w:hAnsi="Century Gothic" w:cs="Century Gothic"/>
          <w:sz w:val="20"/>
          <w:szCs w:val="20"/>
        </w:rPr>
      </w:pPr>
    </w:p>
    <w:p w14:paraId="1F393E29" w14:textId="347BBA53"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Con el apoyo de la cooperación internacional, el </w:t>
      </w:r>
      <w:r w:rsidR="00EC54B9">
        <w:rPr>
          <w:rFonts w:ascii="Century Gothic" w:eastAsia="Century Gothic" w:hAnsi="Century Gothic" w:cs="Century Gothic"/>
          <w:sz w:val="20"/>
          <w:szCs w:val="20"/>
        </w:rPr>
        <w:t>Programa de las Naciones Unidas para el Desarrollo (</w:t>
      </w:r>
      <w:r w:rsidRPr="001F7FF3">
        <w:rPr>
          <w:rFonts w:ascii="Century Gothic" w:eastAsia="Century Gothic" w:hAnsi="Century Gothic" w:cs="Century Gothic"/>
          <w:sz w:val="20"/>
          <w:szCs w:val="20"/>
        </w:rPr>
        <w:t>PNUD</w:t>
      </w:r>
      <w:r w:rsidR="00EC54B9">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ha formulado e implementado el PJT para dar vida y efectividad a ese nuevo sistema. Se ha basado en la teoría de la justicia transicional, la cual busca reconocer a las víctimas, garantizar su derecho a la verdad, justicia, reparación y no repetición, y aumentar su confianza en las instituciones del Estado. A largo plazo, busca también aportar a la reconciliación y fortalecer el Estado de Derecho. </w:t>
      </w:r>
    </w:p>
    <w:p w14:paraId="721279DE" w14:textId="77777777" w:rsidR="00347155" w:rsidRPr="001F7FF3" w:rsidRDefault="00347155" w:rsidP="009D291F">
      <w:pPr>
        <w:jc w:val="both"/>
        <w:rPr>
          <w:rFonts w:ascii="Century Gothic" w:eastAsia="Century Gothic" w:hAnsi="Century Gothic" w:cs="Century Gothic"/>
          <w:sz w:val="20"/>
          <w:szCs w:val="20"/>
        </w:rPr>
      </w:pPr>
    </w:p>
    <w:p w14:paraId="49DA24B8" w14:textId="0DB37180" w:rsidR="00347155" w:rsidRPr="001F7FF3" w:rsidRDefault="00347155" w:rsidP="009D291F">
      <w:pP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El objetivo principal de esta evaluación fue determinar, con base en evidencia procedente de métodos cualitativos</w:t>
      </w:r>
      <w:r w:rsidR="00CA6EE3" w:rsidRPr="00CA6EE3">
        <w:rPr>
          <w:rFonts w:ascii="Century Gothic" w:eastAsia="Century Gothic" w:hAnsi="Century Gothic" w:cs="Century Gothic"/>
          <w:color w:val="000000"/>
          <w:sz w:val="20"/>
          <w:szCs w:val="20"/>
        </w:rPr>
        <w:t xml:space="preserve"> </w:t>
      </w:r>
      <w:r w:rsidR="00CA6EE3">
        <w:rPr>
          <w:rFonts w:ascii="Century Gothic" w:eastAsia="Century Gothic" w:hAnsi="Century Gothic" w:cs="Century Gothic"/>
          <w:color w:val="000000"/>
          <w:sz w:val="20"/>
          <w:szCs w:val="20"/>
        </w:rPr>
        <w:t xml:space="preserve">y </w:t>
      </w:r>
      <w:r w:rsidR="00CA6EE3" w:rsidRPr="001F7FF3">
        <w:rPr>
          <w:rFonts w:ascii="Century Gothic" w:eastAsia="Century Gothic" w:hAnsi="Century Gothic" w:cs="Century Gothic"/>
          <w:color w:val="000000"/>
          <w:sz w:val="20"/>
          <w:szCs w:val="20"/>
        </w:rPr>
        <w:t>cuantitativos</w:t>
      </w:r>
      <w:r w:rsidRPr="001F7FF3">
        <w:rPr>
          <w:rFonts w:ascii="Century Gothic" w:eastAsia="Century Gothic" w:hAnsi="Century Gothic" w:cs="Century Gothic"/>
          <w:color w:val="000000"/>
          <w:sz w:val="20"/>
          <w:szCs w:val="20"/>
        </w:rPr>
        <w:t xml:space="preserve">, la pertinencia, la eficiencia, la eficacia y la sostenibilidad de los efectos del PJT del PNUD, así como sus proyectos asociados con un capítulo especial </w:t>
      </w:r>
      <w:r w:rsidR="00CA6EE3">
        <w:rPr>
          <w:rFonts w:ascii="Century Gothic" w:eastAsia="Century Gothic" w:hAnsi="Century Gothic" w:cs="Century Gothic"/>
          <w:color w:val="000000"/>
          <w:sz w:val="20"/>
          <w:szCs w:val="20"/>
        </w:rPr>
        <w:t xml:space="preserve">de </w:t>
      </w:r>
      <w:r w:rsidRPr="001F7FF3">
        <w:rPr>
          <w:rFonts w:ascii="Century Gothic" w:eastAsia="Century Gothic" w:hAnsi="Century Gothic" w:cs="Century Gothic"/>
          <w:color w:val="000000"/>
          <w:sz w:val="20"/>
          <w:szCs w:val="20"/>
        </w:rPr>
        <w:t>análisis de la implementación de los enfoques transversales. Así mismo, se identificaron lecciones aprendidas y buenas prácticas que contribuye</w:t>
      </w:r>
      <w:r w:rsidR="00CA6EE3">
        <w:rPr>
          <w:rFonts w:ascii="Century Gothic" w:eastAsia="Century Gothic" w:hAnsi="Century Gothic" w:cs="Century Gothic"/>
          <w:color w:val="000000"/>
          <w:sz w:val="20"/>
          <w:szCs w:val="20"/>
        </w:rPr>
        <w:t>n</w:t>
      </w:r>
      <w:r w:rsidRPr="001F7FF3">
        <w:rPr>
          <w:rFonts w:ascii="Century Gothic" w:eastAsia="Century Gothic" w:hAnsi="Century Gothic" w:cs="Century Gothic"/>
          <w:color w:val="000000"/>
          <w:sz w:val="20"/>
          <w:szCs w:val="20"/>
        </w:rPr>
        <w:t xml:space="preserve"> a la gestión de conocimiento. Finalmente, se generaron recomendaciones estratégicas </w:t>
      </w:r>
      <w:r w:rsidR="00CA6EE3">
        <w:rPr>
          <w:rFonts w:ascii="Century Gothic" w:eastAsia="Century Gothic" w:hAnsi="Century Gothic" w:cs="Century Gothic"/>
          <w:color w:val="000000"/>
          <w:sz w:val="20"/>
          <w:szCs w:val="20"/>
        </w:rPr>
        <w:t>para</w:t>
      </w:r>
      <w:r w:rsidRPr="001F7FF3">
        <w:rPr>
          <w:rFonts w:ascii="Century Gothic" w:eastAsia="Century Gothic" w:hAnsi="Century Gothic" w:cs="Century Gothic"/>
          <w:color w:val="000000"/>
          <w:sz w:val="20"/>
          <w:szCs w:val="20"/>
        </w:rPr>
        <w:t xml:space="preserve"> mejorar el diseño y la puesta en marcha de otros proyectos similares.</w:t>
      </w:r>
    </w:p>
    <w:p w14:paraId="50BF9669" w14:textId="77777777" w:rsidR="00347155" w:rsidRPr="001F7FF3" w:rsidRDefault="00347155" w:rsidP="009D291F">
      <w:pPr>
        <w:jc w:val="both"/>
        <w:rPr>
          <w:rFonts w:ascii="Century Gothic" w:eastAsia="Century Gothic" w:hAnsi="Century Gothic" w:cs="Century Gothic"/>
          <w:sz w:val="20"/>
          <w:szCs w:val="20"/>
        </w:rPr>
      </w:pPr>
    </w:p>
    <w:p w14:paraId="60FA25BD" w14:textId="05033DE4" w:rsidR="00347155" w:rsidRPr="001F7FF3" w:rsidRDefault="00347155" w:rsidP="009D291F">
      <w:pPr>
        <w:jc w:val="both"/>
        <w:rPr>
          <w:rFonts w:ascii="Century Gothic" w:hAnsi="Century Gothic"/>
          <w:sz w:val="20"/>
          <w:szCs w:val="20"/>
        </w:rPr>
      </w:pPr>
      <w:r w:rsidRPr="001F7FF3">
        <w:rPr>
          <w:rFonts w:ascii="Century Gothic" w:hAnsi="Century Gothic"/>
          <w:sz w:val="20"/>
          <w:szCs w:val="20"/>
        </w:rPr>
        <w:t xml:space="preserve">Para </w:t>
      </w:r>
      <w:r w:rsidR="00CA6EE3">
        <w:rPr>
          <w:rFonts w:ascii="Century Gothic" w:hAnsi="Century Gothic"/>
          <w:sz w:val="20"/>
          <w:szCs w:val="20"/>
        </w:rPr>
        <w:t xml:space="preserve">obtener </w:t>
      </w:r>
      <w:r w:rsidRPr="001F7FF3">
        <w:rPr>
          <w:rFonts w:ascii="Century Gothic" w:hAnsi="Century Gothic"/>
          <w:sz w:val="20"/>
          <w:szCs w:val="20"/>
        </w:rPr>
        <w:t>conclusiones generales, el ejercicio</w:t>
      </w:r>
      <w:r w:rsidR="00CA6EE3">
        <w:rPr>
          <w:rFonts w:ascii="Century Gothic" w:hAnsi="Century Gothic"/>
          <w:sz w:val="20"/>
          <w:szCs w:val="20"/>
        </w:rPr>
        <w:t xml:space="preserve"> de evaluación</w:t>
      </w:r>
      <w:r w:rsidRPr="001F7FF3">
        <w:rPr>
          <w:rFonts w:ascii="Century Gothic" w:hAnsi="Century Gothic"/>
          <w:sz w:val="20"/>
          <w:szCs w:val="20"/>
        </w:rPr>
        <w:t xml:space="preserve"> se basó en una muestra de 10 proyectos considerados en su conjunto de representar un microcosmo de la totalidad del </w:t>
      </w:r>
      <w:r w:rsidR="00CA6EE3">
        <w:rPr>
          <w:rFonts w:ascii="Century Gothic" w:hAnsi="Century Gothic"/>
          <w:sz w:val="20"/>
          <w:szCs w:val="20"/>
        </w:rPr>
        <w:t>PJT</w:t>
      </w:r>
      <w:r w:rsidRPr="001F7FF3">
        <w:rPr>
          <w:rFonts w:ascii="Century Gothic" w:hAnsi="Century Gothic"/>
          <w:sz w:val="20"/>
          <w:szCs w:val="20"/>
        </w:rPr>
        <w:t>, tanto por su temática como por su tamaño, privilegiando aquellos proyectos con mayor nivel de ejecución y</w:t>
      </w:r>
      <w:r w:rsidR="00CA6EE3">
        <w:rPr>
          <w:rFonts w:ascii="Century Gothic" w:hAnsi="Century Gothic"/>
          <w:sz w:val="20"/>
          <w:szCs w:val="20"/>
        </w:rPr>
        <w:t>,</w:t>
      </w:r>
      <w:r w:rsidRPr="001F7FF3">
        <w:rPr>
          <w:rFonts w:ascii="Century Gothic" w:hAnsi="Century Gothic"/>
          <w:sz w:val="20"/>
          <w:szCs w:val="20"/>
        </w:rPr>
        <w:t xml:space="preserve"> por ende</w:t>
      </w:r>
      <w:r w:rsidR="00CA6EE3">
        <w:rPr>
          <w:rFonts w:ascii="Century Gothic" w:hAnsi="Century Gothic"/>
          <w:sz w:val="20"/>
          <w:szCs w:val="20"/>
        </w:rPr>
        <w:t>,</w:t>
      </w:r>
      <w:r w:rsidRPr="001F7FF3">
        <w:rPr>
          <w:rFonts w:ascii="Century Gothic" w:hAnsi="Century Gothic"/>
          <w:sz w:val="20"/>
          <w:szCs w:val="20"/>
        </w:rPr>
        <w:t xml:space="preserve"> con mayores resultados avanzados para evaluar. La recolección de información </w:t>
      </w:r>
      <w:r w:rsidR="00CA6EE3">
        <w:rPr>
          <w:rFonts w:ascii="Century Gothic" w:hAnsi="Century Gothic"/>
          <w:sz w:val="20"/>
          <w:szCs w:val="20"/>
        </w:rPr>
        <w:t>primaria</w:t>
      </w:r>
      <w:r w:rsidRPr="001F7FF3">
        <w:rPr>
          <w:rFonts w:ascii="Century Gothic" w:hAnsi="Century Gothic"/>
          <w:sz w:val="20"/>
          <w:szCs w:val="20"/>
        </w:rPr>
        <w:t xml:space="preserve"> se realizó de forma virtual</w:t>
      </w:r>
      <w:r w:rsidR="00CA6EE3">
        <w:rPr>
          <w:rFonts w:ascii="Century Gothic" w:hAnsi="Century Gothic"/>
          <w:sz w:val="20"/>
          <w:szCs w:val="20"/>
        </w:rPr>
        <w:t xml:space="preserve">, a través de </w:t>
      </w:r>
      <w:r w:rsidRPr="001F7FF3">
        <w:rPr>
          <w:rFonts w:ascii="Century Gothic" w:hAnsi="Century Gothic"/>
          <w:sz w:val="20"/>
          <w:szCs w:val="20"/>
        </w:rPr>
        <w:t>entrevista</w:t>
      </w:r>
      <w:r w:rsidR="00CA6EE3">
        <w:rPr>
          <w:rFonts w:ascii="Century Gothic" w:hAnsi="Century Gothic"/>
          <w:sz w:val="20"/>
          <w:szCs w:val="20"/>
        </w:rPr>
        <w:t xml:space="preserve">s, </w:t>
      </w:r>
      <w:r w:rsidRPr="001F7FF3">
        <w:rPr>
          <w:rFonts w:ascii="Century Gothic" w:hAnsi="Century Gothic"/>
          <w:sz w:val="20"/>
          <w:szCs w:val="20"/>
        </w:rPr>
        <w:t xml:space="preserve">grupos focales </w:t>
      </w:r>
      <w:r w:rsidR="00CA6EE3">
        <w:rPr>
          <w:rFonts w:ascii="Century Gothic" w:hAnsi="Century Gothic"/>
          <w:sz w:val="20"/>
          <w:szCs w:val="20"/>
        </w:rPr>
        <w:t>,</w:t>
      </w:r>
      <w:r w:rsidRPr="001F7FF3">
        <w:rPr>
          <w:rFonts w:ascii="Century Gothic" w:hAnsi="Century Gothic"/>
          <w:sz w:val="20"/>
          <w:szCs w:val="20"/>
        </w:rPr>
        <w:t>y encuestas a</w:t>
      </w:r>
      <w:r w:rsidR="00CA6EE3">
        <w:rPr>
          <w:rFonts w:ascii="Century Gothic" w:hAnsi="Century Gothic"/>
          <w:sz w:val="20"/>
          <w:szCs w:val="20"/>
        </w:rPr>
        <w:t>plicadas a</w:t>
      </w:r>
      <w:r w:rsidRPr="001F7FF3">
        <w:rPr>
          <w:rFonts w:ascii="Century Gothic" w:hAnsi="Century Gothic"/>
          <w:sz w:val="20"/>
          <w:szCs w:val="20"/>
        </w:rPr>
        <w:t xml:space="preserve"> actores clave involucrados en el desarrollo e implementación de los proyectos seleccionados. </w:t>
      </w:r>
      <w:r w:rsidR="002B2C5D">
        <w:rPr>
          <w:rFonts w:ascii="Century Gothic" w:hAnsi="Century Gothic"/>
          <w:sz w:val="20"/>
          <w:szCs w:val="20"/>
        </w:rPr>
        <w:t xml:space="preserve">A continuación, se resumen los principales hallazgos por criterio de evaluación que se obtuvieron a parir del análisis de la información recolectada: </w:t>
      </w:r>
    </w:p>
    <w:p w14:paraId="7786BD91" w14:textId="77777777" w:rsidR="00347155" w:rsidRPr="001F7FF3" w:rsidRDefault="00347155" w:rsidP="009D291F">
      <w:pPr>
        <w:jc w:val="both"/>
        <w:rPr>
          <w:rFonts w:ascii="Century Gothic" w:eastAsia="Century Gothic" w:hAnsi="Century Gothic" w:cs="Century Gothic"/>
          <w:sz w:val="20"/>
          <w:szCs w:val="20"/>
        </w:rPr>
      </w:pPr>
    </w:p>
    <w:p w14:paraId="47FA3DBF" w14:textId="77777777" w:rsidR="002B2C5D" w:rsidRDefault="002B2C5D" w:rsidP="009D291F">
      <w:pPr>
        <w:jc w:val="both"/>
        <w:rPr>
          <w:rFonts w:ascii="Century Gothic" w:eastAsia="Century Gothic" w:hAnsi="Century Gothic" w:cs="Century Gothic"/>
          <w:b/>
          <w:bCs/>
          <w:sz w:val="20"/>
          <w:szCs w:val="20"/>
        </w:rPr>
      </w:pPr>
    </w:p>
    <w:p w14:paraId="686B480C" w14:textId="77777777" w:rsidR="002B2C5D" w:rsidRDefault="002B2C5D" w:rsidP="009D291F">
      <w:pPr>
        <w:jc w:val="both"/>
        <w:rPr>
          <w:rFonts w:ascii="Century Gothic" w:eastAsia="Century Gothic" w:hAnsi="Century Gothic" w:cs="Century Gothic"/>
          <w:b/>
          <w:bCs/>
          <w:sz w:val="20"/>
          <w:szCs w:val="20"/>
        </w:rPr>
      </w:pPr>
    </w:p>
    <w:p w14:paraId="0908D72E" w14:textId="77777777" w:rsidR="002B2C5D" w:rsidRDefault="002B2C5D" w:rsidP="009D291F">
      <w:pPr>
        <w:jc w:val="both"/>
        <w:rPr>
          <w:rFonts w:ascii="Century Gothic" w:eastAsia="Century Gothic" w:hAnsi="Century Gothic" w:cs="Century Gothic"/>
          <w:b/>
          <w:bCs/>
          <w:sz w:val="20"/>
          <w:szCs w:val="20"/>
        </w:rPr>
      </w:pPr>
    </w:p>
    <w:p w14:paraId="072351D3" w14:textId="76B7ECEA" w:rsidR="00347155" w:rsidRPr="001F7FF3" w:rsidRDefault="00AA1274" w:rsidP="009D291F">
      <w:pPr>
        <w:jc w:val="both"/>
        <w:rPr>
          <w:rFonts w:ascii="Century Gothic" w:eastAsia="Century Gothic" w:hAnsi="Century Gothic" w:cs="Century Gothic"/>
          <w:b/>
          <w:bCs/>
          <w:sz w:val="20"/>
          <w:szCs w:val="20"/>
        </w:rPr>
      </w:pPr>
      <w:r w:rsidRPr="001F7FF3">
        <w:rPr>
          <w:rFonts w:ascii="Century Gothic" w:eastAsia="Century Gothic" w:hAnsi="Century Gothic" w:cs="Century Gothic"/>
          <w:b/>
          <w:bCs/>
          <w:sz w:val="20"/>
          <w:szCs w:val="20"/>
        </w:rPr>
        <w:lastRenderedPageBreak/>
        <w:t>PERTINENCIA</w:t>
      </w:r>
    </w:p>
    <w:p w14:paraId="7106BFBA" w14:textId="77777777" w:rsidR="00347155" w:rsidRPr="001F7FF3" w:rsidRDefault="00347155" w:rsidP="009D291F">
      <w:pPr>
        <w:jc w:val="both"/>
        <w:rPr>
          <w:rFonts w:ascii="Century Gothic" w:eastAsia="Century Gothic" w:hAnsi="Century Gothic" w:cs="Century Gothic"/>
          <w:sz w:val="20"/>
          <w:szCs w:val="20"/>
        </w:rPr>
      </w:pPr>
    </w:p>
    <w:p w14:paraId="2AF625A1" w14:textId="77777777"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La evaluación concluye que el PJT es altamente pertinente porque ha podido alinearse tanto con la implementación completa e integral del Punto 5 del Acuerdo Final de Paz (como política de Estado de largo plazo), como con las políticas públicas en la materia recogidas por el Gobierno Nacional en su Plan Nacional de Desarrollo. En particular, ha sido hábil en su capacidad de apoyar las prioridades del gobierno de turno sin perder de vista la necesidad de identificar y cubrir brechas en las políticas públicas que son compromisos del Estado para implementar la totalidad del Acuerdo de Paz en cuanto a justicia transicional.</w:t>
      </w:r>
    </w:p>
    <w:p w14:paraId="400E4A0F" w14:textId="77777777" w:rsidR="00347155" w:rsidRPr="001F7FF3" w:rsidRDefault="00347155" w:rsidP="009D291F">
      <w:pPr>
        <w:jc w:val="both"/>
        <w:rPr>
          <w:rFonts w:ascii="Century Gothic" w:eastAsia="Century Gothic" w:hAnsi="Century Gothic" w:cs="Century Gothic"/>
          <w:sz w:val="20"/>
          <w:szCs w:val="20"/>
        </w:rPr>
      </w:pPr>
    </w:p>
    <w:p w14:paraId="7F3C009B" w14:textId="77777777"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El PJT no solamente ha llenado un vacío institucional al apoyar la creación y puesta en funcionamiento de las tres entidades nuevas; también, ha servido como puente entre ellas y las organizaciones de víctimas para que pudieran responder adecuadamente a sus necesidades – hito fundamental para consolidar la paz en los territorios. De igual importancia, el PNUD realizó esta labor empleando una especie de liderazgo situacional de bajo perfil que aseguró el empoderamiento y autonomía de las nuevas entidades creadas, así evitando la generación de dependencia técnica y financiera a mediano y largo plazo. </w:t>
      </w:r>
    </w:p>
    <w:p w14:paraId="3BF02E60" w14:textId="77777777" w:rsidR="00347155" w:rsidRPr="001F7FF3" w:rsidRDefault="00347155" w:rsidP="009D291F">
      <w:pPr>
        <w:jc w:val="both"/>
        <w:rPr>
          <w:rFonts w:ascii="Century Gothic" w:eastAsia="Century Gothic" w:hAnsi="Century Gothic" w:cs="Century Gothic"/>
          <w:sz w:val="20"/>
          <w:szCs w:val="20"/>
        </w:rPr>
      </w:pPr>
    </w:p>
    <w:p w14:paraId="082FDA4B" w14:textId="77777777"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De manera simultánea, el PNUD fortaleció a las organizaciones sociales para que las víctimas participaran en el diseño y formación del Sistema y que éste satisficiera sus necesidades. Luego, una vez en funcionamiento, las preparó para que pudieran aprovechar los distintos mecanismos de acceso a la justicia transicional que las entidades del Sistema ofrecen. A pesar de la falta de credibilidad en el Estado por parte de las víctimas durante su arranque, se puede constatar que hay más confianza en las entidades de justicia transicional gracias al trabajo previo del PNUD con organizaciones de la sociedad civil y su experiencia en el territorio. </w:t>
      </w:r>
    </w:p>
    <w:p w14:paraId="2ED61250" w14:textId="77777777" w:rsidR="00347155" w:rsidRPr="001F7FF3" w:rsidRDefault="00347155" w:rsidP="009D291F">
      <w:pPr>
        <w:jc w:val="both"/>
        <w:rPr>
          <w:rFonts w:ascii="Century Gothic" w:eastAsia="Century Gothic" w:hAnsi="Century Gothic" w:cs="Century Gothic"/>
          <w:sz w:val="20"/>
          <w:szCs w:val="20"/>
          <w:lang w:eastAsia="de-DE"/>
        </w:rPr>
      </w:pPr>
    </w:p>
    <w:p w14:paraId="65896133" w14:textId="68124C17"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lang w:eastAsia="de-DE"/>
        </w:rPr>
        <w:t xml:space="preserve">Además de alistar el </w:t>
      </w:r>
      <w:r w:rsidR="009A07BC" w:rsidRPr="001F7FF3">
        <w:rPr>
          <w:rFonts w:ascii="Century Gothic" w:eastAsia="Century Gothic" w:hAnsi="Century Gothic" w:cs="Century Gothic"/>
          <w:sz w:val="20"/>
          <w:szCs w:val="20"/>
        </w:rPr>
        <w:t xml:space="preserve">Sistema Integral para la Paz </w:t>
      </w:r>
      <w:r w:rsidRPr="001F7FF3">
        <w:rPr>
          <w:rFonts w:ascii="Century Gothic" w:eastAsia="Century Gothic" w:hAnsi="Century Gothic" w:cs="Century Gothic"/>
          <w:sz w:val="20"/>
          <w:szCs w:val="20"/>
          <w:lang w:eastAsia="de-DE"/>
        </w:rPr>
        <w:t xml:space="preserve">y preparar a las víctimas y sus organizaciones para </w:t>
      </w:r>
      <w:r w:rsidR="002B2C5D">
        <w:rPr>
          <w:rFonts w:ascii="Century Gothic" w:eastAsia="Century Gothic" w:hAnsi="Century Gothic" w:cs="Century Gothic"/>
          <w:sz w:val="20"/>
          <w:szCs w:val="20"/>
          <w:lang w:eastAsia="de-DE"/>
        </w:rPr>
        <w:t xml:space="preserve">ponerlos </w:t>
      </w:r>
      <w:r w:rsidRPr="001F7FF3">
        <w:rPr>
          <w:rFonts w:ascii="Century Gothic" w:eastAsia="Century Gothic" w:hAnsi="Century Gothic" w:cs="Century Gothic"/>
          <w:sz w:val="20"/>
          <w:szCs w:val="20"/>
          <w:lang w:eastAsia="de-DE"/>
        </w:rPr>
        <w:t>en el centro de su labor, los proyectos del PJT mantienen un fuerte enfoque de desarrollo de capacidades institucionales. La elaboración conjunta de los proyectos con las entidades ha permitido que el sistema mantenga sus estrategias y capacidades de respuesta de manera autónoma del gobierno de turno. El apoyo y la flexibilidad que el PJT empleó para montar y poner en funcionamiento el Sistema ha servido para que el PNUD adopte una postura de actor cooperante catalítico más que de liderazgo protagónico. Sin embargo, este posicionamiento no ha sido comunicado efectivamente a los donantes para que entiendan plenamente su rol.</w:t>
      </w:r>
    </w:p>
    <w:p w14:paraId="6262CF12" w14:textId="77777777" w:rsidR="00347155" w:rsidRPr="001F7FF3" w:rsidRDefault="00347155" w:rsidP="009D291F">
      <w:pPr>
        <w:jc w:val="both"/>
        <w:rPr>
          <w:rFonts w:ascii="Century Gothic" w:eastAsia="Century Gothic" w:hAnsi="Century Gothic" w:cs="Century Gothic"/>
          <w:sz w:val="20"/>
          <w:szCs w:val="20"/>
          <w:lang w:eastAsia="de-DE"/>
        </w:rPr>
      </w:pPr>
    </w:p>
    <w:p w14:paraId="03AED4D0" w14:textId="22BA7017"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Aunque hay consenso acerca de la pertinencia de la articulación en el Sistema, es notoria su debilidad en los territorios por la falta de una entidad articulador</w:t>
      </w:r>
      <w:r w:rsidR="002B2C5D">
        <w:rPr>
          <w:rFonts w:ascii="Century Gothic" w:eastAsia="Century Gothic" w:hAnsi="Century Gothic" w:cs="Century Gothic"/>
          <w:sz w:val="20"/>
          <w:szCs w:val="20"/>
          <w:lang w:eastAsia="de-DE"/>
        </w:rPr>
        <w:t>a</w:t>
      </w:r>
      <w:r w:rsidRPr="001F7FF3">
        <w:rPr>
          <w:rFonts w:ascii="Century Gothic" w:eastAsia="Century Gothic" w:hAnsi="Century Gothic" w:cs="Century Gothic"/>
          <w:sz w:val="20"/>
          <w:szCs w:val="20"/>
          <w:lang w:eastAsia="de-DE"/>
        </w:rPr>
        <w:t>. Los proyectos de</w:t>
      </w:r>
      <w:r w:rsidR="002B2C5D">
        <w:rPr>
          <w:rFonts w:ascii="Century Gothic" w:eastAsia="Century Gothic" w:hAnsi="Century Gothic" w:cs="Century Gothic"/>
          <w:sz w:val="20"/>
          <w:szCs w:val="20"/>
          <w:lang w:eastAsia="de-DE"/>
        </w:rPr>
        <w:t xml:space="preserve">l componente de </w:t>
      </w:r>
      <w:r w:rsidRPr="001F7FF3">
        <w:rPr>
          <w:rFonts w:ascii="Century Gothic" w:eastAsia="Century Gothic" w:hAnsi="Century Gothic" w:cs="Century Gothic"/>
          <w:sz w:val="20"/>
          <w:szCs w:val="20"/>
          <w:lang w:eastAsia="de-DE"/>
        </w:rPr>
        <w:t>reparaci</w:t>
      </w:r>
      <w:r w:rsidR="002B2C5D">
        <w:rPr>
          <w:rFonts w:ascii="Century Gothic" w:eastAsia="Century Gothic" w:hAnsi="Century Gothic" w:cs="Century Gothic"/>
          <w:sz w:val="20"/>
          <w:szCs w:val="20"/>
          <w:lang w:eastAsia="de-DE"/>
        </w:rPr>
        <w:t>ones</w:t>
      </w:r>
      <w:r w:rsidRPr="001F7FF3">
        <w:rPr>
          <w:rFonts w:ascii="Century Gothic" w:eastAsia="Century Gothic" w:hAnsi="Century Gothic" w:cs="Century Gothic"/>
          <w:sz w:val="20"/>
          <w:szCs w:val="20"/>
          <w:lang w:eastAsia="de-DE"/>
        </w:rPr>
        <w:t xml:space="preserve"> colectiva</w:t>
      </w:r>
      <w:r w:rsidR="002B2C5D">
        <w:rPr>
          <w:rFonts w:ascii="Century Gothic" w:eastAsia="Century Gothic" w:hAnsi="Century Gothic" w:cs="Century Gothic"/>
          <w:sz w:val="20"/>
          <w:szCs w:val="20"/>
          <w:lang w:eastAsia="de-DE"/>
        </w:rPr>
        <w:t>s</w:t>
      </w:r>
      <w:r w:rsidRPr="001F7FF3">
        <w:rPr>
          <w:rFonts w:ascii="Century Gothic" w:eastAsia="Century Gothic" w:hAnsi="Century Gothic" w:cs="Century Gothic"/>
          <w:sz w:val="20"/>
          <w:szCs w:val="20"/>
          <w:lang w:eastAsia="de-DE"/>
        </w:rPr>
        <w:t xml:space="preserve"> </w:t>
      </w:r>
      <w:r w:rsidR="002B2C5D">
        <w:rPr>
          <w:rFonts w:ascii="Century Gothic" w:eastAsia="Century Gothic" w:hAnsi="Century Gothic" w:cs="Century Gothic"/>
          <w:sz w:val="20"/>
          <w:szCs w:val="20"/>
          <w:lang w:eastAsia="de-DE"/>
        </w:rPr>
        <w:t>a</w:t>
      </w:r>
      <w:r w:rsidRPr="001F7FF3">
        <w:rPr>
          <w:rFonts w:ascii="Century Gothic" w:eastAsia="Century Gothic" w:hAnsi="Century Gothic" w:cs="Century Gothic"/>
          <w:sz w:val="20"/>
          <w:szCs w:val="20"/>
          <w:lang w:eastAsia="de-DE"/>
        </w:rPr>
        <w:t xml:space="preserve"> las víctimas son la excepción</w:t>
      </w:r>
      <w:r w:rsidR="002B2C5D">
        <w:rPr>
          <w:rFonts w:ascii="Century Gothic" w:eastAsia="Century Gothic" w:hAnsi="Century Gothic" w:cs="Century Gothic"/>
          <w:sz w:val="20"/>
          <w:szCs w:val="20"/>
          <w:lang w:eastAsia="de-DE"/>
        </w:rPr>
        <w:t>,</w:t>
      </w:r>
      <w:r w:rsidRPr="001F7FF3">
        <w:rPr>
          <w:rFonts w:ascii="Century Gothic" w:eastAsia="Century Gothic" w:hAnsi="Century Gothic" w:cs="Century Gothic"/>
          <w:sz w:val="20"/>
          <w:szCs w:val="20"/>
          <w:lang w:eastAsia="de-DE"/>
        </w:rPr>
        <w:t xml:space="preserve"> porque son altamente articulados a nivel local por la UARIV.</w:t>
      </w:r>
      <w:r w:rsidRPr="001F7FF3">
        <w:rPr>
          <w:rFonts w:ascii="Century Gothic" w:eastAsia="Century Gothic" w:hAnsi="Century Gothic" w:cs="Century Gothic"/>
          <w:b/>
          <w:bCs/>
          <w:sz w:val="20"/>
          <w:szCs w:val="20"/>
          <w:lang w:eastAsia="de-DE"/>
        </w:rPr>
        <w:t xml:space="preserve"> </w:t>
      </w:r>
      <w:r w:rsidRPr="001F7FF3">
        <w:rPr>
          <w:rFonts w:ascii="Century Gothic" w:eastAsia="Century Gothic" w:hAnsi="Century Gothic" w:cs="Century Gothic"/>
          <w:sz w:val="20"/>
          <w:szCs w:val="20"/>
          <w:lang w:eastAsia="de-DE"/>
        </w:rPr>
        <w:t>El proceso de aterrizaje de las políticas de justicia transicional a escala territorial aun no es claro porque hasta ahora su implementación ha sido casi exclusivamente a nivel nacional. Al no haber una política de implementación nacional articulada por un único actor, la promoción de las políticas públicas en los planes de desarrollo territoriales depende de la voluntad de las autoridades locales y la capacidad de incidencia de las organizaciones de víctimas apoyadas a lo largo de los años por el PNUD.</w:t>
      </w:r>
    </w:p>
    <w:p w14:paraId="6526D8EC" w14:textId="77777777" w:rsidR="00347155" w:rsidRDefault="00347155" w:rsidP="009D291F">
      <w:pPr>
        <w:jc w:val="both"/>
        <w:rPr>
          <w:rFonts w:ascii="Century Gothic" w:eastAsia="Century Gothic" w:hAnsi="Century Gothic" w:cs="Century Gothic"/>
          <w:sz w:val="20"/>
          <w:szCs w:val="20"/>
          <w:lang w:eastAsia="de-DE"/>
        </w:rPr>
      </w:pPr>
    </w:p>
    <w:p w14:paraId="349E32DF" w14:textId="77777777" w:rsidR="00A91B7A" w:rsidRPr="001F7FF3" w:rsidRDefault="00A91B7A" w:rsidP="009D291F">
      <w:pPr>
        <w:jc w:val="both"/>
        <w:rPr>
          <w:rFonts w:ascii="Century Gothic" w:eastAsia="Century Gothic" w:hAnsi="Century Gothic" w:cs="Century Gothic"/>
          <w:sz w:val="20"/>
          <w:szCs w:val="20"/>
          <w:lang w:eastAsia="de-DE"/>
        </w:rPr>
      </w:pPr>
    </w:p>
    <w:p w14:paraId="1E5CB9C4" w14:textId="74797D70" w:rsidR="00347155" w:rsidRPr="001F7FF3" w:rsidRDefault="00AA1274" w:rsidP="009D291F">
      <w:pPr>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EFICIENCIA</w:t>
      </w:r>
    </w:p>
    <w:p w14:paraId="664F5A7C" w14:textId="77777777" w:rsidR="00347155" w:rsidRPr="001F7FF3" w:rsidRDefault="00347155" w:rsidP="009D291F">
      <w:pPr>
        <w:jc w:val="both"/>
        <w:rPr>
          <w:rFonts w:ascii="Century Gothic" w:eastAsia="Century Gothic" w:hAnsi="Century Gothic" w:cs="Century Gothic"/>
          <w:sz w:val="20"/>
          <w:szCs w:val="20"/>
          <w:lang w:eastAsia="de-DE"/>
        </w:rPr>
      </w:pPr>
    </w:p>
    <w:p w14:paraId="0D4F2F6D" w14:textId="4B7DDBD2"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lastRenderedPageBreak/>
        <w:t>La eficiencia en la ejecución de los proyectos del PJT es satisfactoria. Esto se debe a la po</w:t>
      </w:r>
      <w:r w:rsidR="001D0085">
        <w:rPr>
          <w:rFonts w:ascii="Century Gothic" w:eastAsia="Century Gothic" w:hAnsi="Century Gothic" w:cs="Century Gothic"/>
          <w:sz w:val="20"/>
          <w:szCs w:val="20"/>
          <w:lang w:eastAsia="de-DE"/>
        </w:rPr>
        <w:t xml:space="preserve">sición esencial </w:t>
      </w:r>
      <w:r w:rsidRPr="001F7FF3">
        <w:rPr>
          <w:rFonts w:ascii="Century Gothic" w:eastAsia="Century Gothic" w:hAnsi="Century Gothic" w:cs="Century Gothic"/>
          <w:sz w:val="20"/>
          <w:szCs w:val="20"/>
          <w:lang w:eastAsia="de-DE"/>
        </w:rPr>
        <w:t xml:space="preserve">de coordinación y acompañamiento del equipo técnico del PNUD para solucionar temas </w:t>
      </w:r>
      <w:r w:rsidR="001D0085">
        <w:rPr>
          <w:rFonts w:ascii="Century Gothic" w:eastAsia="Century Gothic" w:hAnsi="Century Gothic" w:cs="Century Gothic"/>
          <w:sz w:val="20"/>
          <w:szCs w:val="20"/>
          <w:lang w:eastAsia="de-DE"/>
        </w:rPr>
        <w:t>asociados a la implementación</w:t>
      </w:r>
      <w:r w:rsidRPr="001F7FF3">
        <w:rPr>
          <w:rFonts w:ascii="Century Gothic" w:eastAsia="Century Gothic" w:hAnsi="Century Gothic" w:cs="Century Gothic"/>
          <w:sz w:val="20"/>
          <w:szCs w:val="20"/>
          <w:lang w:eastAsia="de-DE"/>
        </w:rPr>
        <w:t xml:space="preserve"> </w:t>
      </w:r>
      <w:r w:rsidR="001D0085">
        <w:rPr>
          <w:rFonts w:ascii="Century Gothic" w:eastAsia="Century Gothic" w:hAnsi="Century Gothic" w:cs="Century Gothic"/>
          <w:sz w:val="20"/>
          <w:szCs w:val="20"/>
          <w:lang w:eastAsia="de-DE"/>
        </w:rPr>
        <w:t xml:space="preserve">de </w:t>
      </w:r>
      <w:r w:rsidRPr="001F7FF3">
        <w:rPr>
          <w:rFonts w:ascii="Century Gothic" w:eastAsia="Century Gothic" w:hAnsi="Century Gothic" w:cs="Century Gothic"/>
          <w:sz w:val="20"/>
          <w:szCs w:val="20"/>
          <w:lang w:eastAsia="de-DE"/>
        </w:rPr>
        <w:t>los proyectos. Además, la cofinanciación del equipo desde varios proyectos permite crear una dinámica de programa multiproyecto para establecer vínculos entre los distintos temas de justicia transicional, aunque hay mucho espacio de mejora en este respecto. Además, las alianzas y complementariedades técnicas entre los proyectos permiten operar con mayor eficiencia.</w:t>
      </w:r>
    </w:p>
    <w:p w14:paraId="31DB1D0C" w14:textId="77777777" w:rsidR="00347155" w:rsidRPr="001F7FF3" w:rsidRDefault="00347155" w:rsidP="009D291F">
      <w:pPr>
        <w:jc w:val="both"/>
        <w:rPr>
          <w:rFonts w:ascii="Century Gothic" w:eastAsia="Century Gothic" w:hAnsi="Century Gothic" w:cs="Century Gothic"/>
          <w:sz w:val="20"/>
          <w:szCs w:val="20"/>
          <w:lang w:eastAsia="de-DE"/>
        </w:rPr>
      </w:pPr>
    </w:p>
    <w:p w14:paraId="3DF634E5" w14:textId="0ED7127A"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En términos generales</w:t>
      </w:r>
      <w:r w:rsidR="001D0085">
        <w:rPr>
          <w:rFonts w:ascii="Century Gothic" w:eastAsia="Century Gothic" w:hAnsi="Century Gothic" w:cs="Century Gothic"/>
          <w:sz w:val="20"/>
          <w:szCs w:val="20"/>
          <w:lang w:eastAsia="de-DE"/>
        </w:rPr>
        <w:t>,</w:t>
      </w:r>
      <w:r w:rsidRPr="001F7FF3">
        <w:rPr>
          <w:rFonts w:ascii="Century Gothic" w:eastAsia="Century Gothic" w:hAnsi="Century Gothic" w:cs="Century Gothic"/>
          <w:sz w:val="20"/>
          <w:szCs w:val="20"/>
          <w:lang w:eastAsia="de-DE"/>
        </w:rPr>
        <w:t xml:space="preserve"> los procedimientos administrativos también son eficientes, aunque algunas veces no apropiados para las condiciones de las organizaciones en los territorios. Las entrevistas evidenciaron capacidad instalada en procesos y procedimientos administrativos en las organizaciones de la sociedad civil (OSC) que permite tr</w:t>
      </w:r>
      <w:r w:rsidR="001D0085">
        <w:rPr>
          <w:rFonts w:ascii="Century Gothic" w:eastAsia="Century Gothic" w:hAnsi="Century Gothic" w:cs="Century Gothic"/>
          <w:sz w:val="20"/>
          <w:szCs w:val="20"/>
          <w:lang w:eastAsia="de-DE"/>
        </w:rPr>
        <w:t>á</w:t>
      </w:r>
      <w:r w:rsidRPr="001F7FF3">
        <w:rPr>
          <w:rFonts w:ascii="Century Gothic" w:eastAsia="Century Gothic" w:hAnsi="Century Gothic" w:cs="Century Gothic"/>
          <w:sz w:val="20"/>
          <w:szCs w:val="20"/>
          <w:lang w:eastAsia="de-DE"/>
        </w:rPr>
        <w:t xml:space="preserve">mites más eficientes y el cumplimiento de los estándares esperados por el </w:t>
      </w:r>
      <w:r w:rsidR="001D0085">
        <w:rPr>
          <w:rFonts w:ascii="Century Gothic" w:eastAsia="Century Gothic" w:hAnsi="Century Gothic" w:cs="Century Gothic"/>
          <w:sz w:val="20"/>
          <w:szCs w:val="20"/>
          <w:lang w:eastAsia="de-DE"/>
        </w:rPr>
        <w:t>PJT</w:t>
      </w:r>
      <w:r w:rsidRPr="001F7FF3">
        <w:rPr>
          <w:rFonts w:ascii="Century Gothic" w:eastAsia="Century Gothic" w:hAnsi="Century Gothic" w:cs="Century Gothic"/>
          <w:sz w:val="20"/>
          <w:szCs w:val="20"/>
          <w:lang w:eastAsia="de-DE"/>
        </w:rPr>
        <w:t>. Sin embargo, algun</w:t>
      </w:r>
      <w:r w:rsidR="001D0085">
        <w:rPr>
          <w:rFonts w:ascii="Century Gothic" w:eastAsia="Century Gothic" w:hAnsi="Century Gothic" w:cs="Century Gothic"/>
          <w:sz w:val="20"/>
          <w:szCs w:val="20"/>
          <w:lang w:eastAsia="de-DE"/>
        </w:rPr>
        <w:t>o</w:t>
      </w:r>
      <w:r w:rsidRPr="001F7FF3">
        <w:rPr>
          <w:rFonts w:ascii="Century Gothic" w:eastAsia="Century Gothic" w:hAnsi="Century Gothic" w:cs="Century Gothic"/>
          <w:sz w:val="20"/>
          <w:szCs w:val="20"/>
          <w:lang w:eastAsia="de-DE"/>
        </w:rPr>
        <w:t xml:space="preserve">s </w:t>
      </w:r>
      <w:r w:rsidR="001D0085">
        <w:rPr>
          <w:rFonts w:ascii="Century Gothic" w:eastAsia="Century Gothic" w:hAnsi="Century Gothic" w:cs="Century Gothic"/>
          <w:sz w:val="20"/>
          <w:szCs w:val="20"/>
          <w:lang w:eastAsia="de-DE"/>
        </w:rPr>
        <w:t>entrevistados</w:t>
      </w:r>
      <w:r w:rsidRPr="001F7FF3">
        <w:rPr>
          <w:rFonts w:ascii="Century Gothic" w:eastAsia="Century Gothic" w:hAnsi="Century Gothic" w:cs="Century Gothic"/>
          <w:sz w:val="20"/>
          <w:szCs w:val="20"/>
          <w:lang w:eastAsia="de-DE"/>
        </w:rPr>
        <w:t xml:space="preserve"> resaltaron que los procedimientos a veces se alargan y no son compatibles con la realidad de la economía informal del territorio.</w:t>
      </w:r>
    </w:p>
    <w:p w14:paraId="2957FF5F" w14:textId="77777777" w:rsidR="00347155" w:rsidRPr="001F7FF3" w:rsidRDefault="00347155" w:rsidP="009D291F">
      <w:pPr>
        <w:jc w:val="both"/>
        <w:rPr>
          <w:rFonts w:ascii="Century Gothic" w:eastAsia="Century Gothic" w:hAnsi="Century Gothic" w:cs="Century Gothic"/>
          <w:sz w:val="20"/>
          <w:szCs w:val="20"/>
          <w:lang w:eastAsia="de-DE"/>
        </w:rPr>
      </w:pPr>
    </w:p>
    <w:p w14:paraId="2FECB29C" w14:textId="6BEC935B"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w:t>
      </w:r>
      <w:r w:rsidR="001D0085">
        <w:rPr>
          <w:rFonts w:ascii="Century Gothic" w:eastAsia="Century Gothic" w:hAnsi="Century Gothic" w:cs="Century Gothic"/>
          <w:sz w:val="20"/>
          <w:szCs w:val="20"/>
          <w:lang w:eastAsia="de-DE"/>
        </w:rPr>
        <w:t>PJT</w:t>
      </w:r>
      <w:r w:rsidRPr="001F7FF3">
        <w:rPr>
          <w:rFonts w:ascii="Century Gothic" w:eastAsia="Century Gothic" w:hAnsi="Century Gothic" w:cs="Century Gothic"/>
          <w:sz w:val="20"/>
          <w:szCs w:val="20"/>
          <w:lang w:eastAsia="de-DE"/>
        </w:rPr>
        <w:t xml:space="preserve"> cuenta con mecanismos definidos de monitoreo y seguimiento a los presupuestos, lo cual permite la movilización y administración de recursos</w:t>
      </w:r>
      <w:r w:rsidR="001D0085">
        <w:rPr>
          <w:rFonts w:ascii="Century Gothic" w:eastAsia="Century Gothic" w:hAnsi="Century Gothic" w:cs="Century Gothic"/>
          <w:sz w:val="20"/>
          <w:szCs w:val="20"/>
          <w:lang w:eastAsia="de-DE"/>
        </w:rPr>
        <w:t>,</w:t>
      </w:r>
      <w:r w:rsidRPr="001F7FF3">
        <w:rPr>
          <w:rFonts w:ascii="Century Gothic" w:eastAsia="Century Gothic" w:hAnsi="Century Gothic" w:cs="Century Gothic"/>
          <w:sz w:val="20"/>
          <w:szCs w:val="20"/>
          <w:lang w:eastAsia="de-DE"/>
        </w:rPr>
        <w:t xml:space="preserve"> de acuerdo con el manual de procedimientos del PNUD. Se evidenció bastante rigurosidad en la revisión de los presupuestos y en el cumplimiento de las metas, así como flexibilidad para aceptar cambios debido a factores externos como el COVID 19, los problemas de seguridad o las dificultades de carácter político.</w:t>
      </w:r>
    </w:p>
    <w:p w14:paraId="268CCF02" w14:textId="77777777" w:rsidR="00347155" w:rsidRPr="001F7FF3" w:rsidRDefault="00347155" w:rsidP="009D291F">
      <w:pPr>
        <w:jc w:val="both"/>
        <w:rPr>
          <w:rFonts w:ascii="Century Gothic" w:eastAsia="Century Gothic" w:hAnsi="Century Gothic" w:cs="Century Gothic"/>
          <w:sz w:val="20"/>
          <w:szCs w:val="20"/>
          <w:lang w:eastAsia="de-DE"/>
        </w:rPr>
      </w:pPr>
    </w:p>
    <w:p w14:paraId="02EE4C62" w14:textId="43C42DDF"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La distribución de los recursos se ha realizado de manera independiente para cada uno de los resultados del programa</w:t>
      </w:r>
      <w:r w:rsidR="001D0085">
        <w:rPr>
          <w:rFonts w:ascii="Century Gothic" w:eastAsia="Century Gothic" w:hAnsi="Century Gothic" w:cs="Century Gothic"/>
          <w:sz w:val="20"/>
          <w:szCs w:val="20"/>
          <w:lang w:eastAsia="de-DE"/>
        </w:rPr>
        <w:t>,</w:t>
      </w:r>
      <w:r w:rsidRPr="001F7FF3">
        <w:rPr>
          <w:rFonts w:ascii="Century Gothic" w:eastAsia="Century Gothic" w:hAnsi="Century Gothic" w:cs="Century Gothic"/>
          <w:sz w:val="20"/>
          <w:szCs w:val="20"/>
          <w:lang w:eastAsia="de-DE"/>
        </w:rPr>
        <w:t xml:space="preserve"> siendo una decisión discrecional y no planeada que depende del contexto o de las instituciones. La fragmentación de los aportes está ligada a la falta de una lógica de integralidad en la gestión del Portafolio ya que no cuenta con un comité técnico mixto de alto nivel y un fondo común</w:t>
      </w:r>
      <w:r w:rsidR="001D0085">
        <w:rPr>
          <w:rFonts w:ascii="Century Gothic" w:eastAsia="Century Gothic" w:hAnsi="Century Gothic" w:cs="Century Gothic"/>
          <w:sz w:val="20"/>
          <w:szCs w:val="20"/>
          <w:lang w:eastAsia="de-DE"/>
        </w:rPr>
        <w:t>,</w:t>
      </w:r>
      <w:r w:rsidRPr="001F7FF3">
        <w:rPr>
          <w:rFonts w:ascii="Century Gothic" w:eastAsia="Century Gothic" w:hAnsi="Century Gothic" w:cs="Century Gothic"/>
          <w:sz w:val="20"/>
          <w:szCs w:val="20"/>
          <w:lang w:eastAsia="de-DE"/>
        </w:rPr>
        <w:t xml:space="preserve"> que permit</w:t>
      </w:r>
      <w:r w:rsidR="001D0085">
        <w:rPr>
          <w:rFonts w:ascii="Century Gothic" w:eastAsia="Century Gothic" w:hAnsi="Century Gothic" w:cs="Century Gothic"/>
          <w:sz w:val="20"/>
          <w:szCs w:val="20"/>
          <w:lang w:eastAsia="de-DE"/>
        </w:rPr>
        <w:t>a</w:t>
      </w:r>
      <w:r w:rsidRPr="001F7FF3">
        <w:rPr>
          <w:rFonts w:ascii="Century Gothic" w:eastAsia="Century Gothic" w:hAnsi="Century Gothic" w:cs="Century Gothic"/>
          <w:sz w:val="20"/>
          <w:szCs w:val="20"/>
          <w:lang w:eastAsia="de-DE"/>
        </w:rPr>
        <w:t xml:space="preserve"> planificar conjuntamente el Portafolio y distribuir sus recursos de la manera más estratégica y consensuada. Ese vacío en su gobernanza impide una dinámica de trabajo y una comunicación fluida entre la gerencia del PNUD y los donantes sobre la ejecución del programa en su conjunto. </w:t>
      </w:r>
    </w:p>
    <w:p w14:paraId="0AF4F81D" w14:textId="77777777" w:rsidR="00347155" w:rsidRPr="001F7FF3" w:rsidRDefault="00347155" w:rsidP="009D291F">
      <w:pPr>
        <w:jc w:val="both"/>
        <w:rPr>
          <w:rFonts w:ascii="Century Gothic" w:eastAsia="Century Gothic" w:hAnsi="Century Gothic" w:cs="Century Gothic"/>
          <w:sz w:val="20"/>
          <w:szCs w:val="20"/>
          <w:lang w:eastAsia="de-DE"/>
        </w:rPr>
      </w:pPr>
    </w:p>
    <w:p w14:paraId="72DF1FF7" w14:textId="28857646" w:rsidR="00347155" w:rsidRPr="001F7FF3" w:rsidRDefault="00AA1274" w:rsidP="009D291F">
      <w:pPr>
        <w:autoSpaceDE w:val="0"/>
        <w:autoSpaceDN w:val="0"/>
        <w:ind w:right="113"/>
        <w:contextualSpacing/>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EFICACIA</w:t>
      </w:r>
    </w:p>
    <w:p w14:paraId="74DA36BC"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755E837B" w14:textId="77777777" w:rsidR="00D717D1"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En términos generales, la evaluación ha podido constatar que el PJT ha alcanzado los objetivos y resultados planteados en su inicio, al trabajar a ambos lados de la ecuación oferta-demanda del nuevo sistema de justicia transicional de manera equilibrada. </w:t>
      </w:r>
      <w:r w:rsidR="00D717D1">
        <w:rPr>
          <w:rFonts w:ascii="Century Gothic" w:eastAsia="Century Gothic" w:hAnsi="Century Gothic" w:cs="Century Gothic"/>
          <w:sz w:val="20"/>
          <w:szCs w:val="20"/>
        </w:rPr>
        <w:t>Los principales hallazgos giran en torno a resultados</w:t>
      </w:r>
      <w:r w:rsidR="00BA453E">
        <w:rPr>
          <w:rFonts w:ascii="Century Gothic" w:eastAsia="Century Gothic" w:hAnsi="Century Gothic" w:cs="Century Gothic"/>
          <w:sz w:val="20"/>
          <w:szCs w:val="20"/>
        </w:rPr>
        <w:t xml:space="preserve"> </w:t>
      </w:r>
      <w:r w:rsidR="00D717D1">
        <w:rPr>
          <w:rFonts w:ascii="Century Gothic" w:eastAsia="Century Gothic" w:hAnsi="Century Gothic" w:cs="Century Gothic"/>
          <w:sz w:val="20"/>
          <w:szCs w:val="20"/>
        </w:rPr>
        <w:t xml:space="preserve">en cuanto al derecho </w:t>
      </w:r>
      <w:r w:rsidR="00BA453E" w:rsidRPr="00BA453E">
        <w:rPr>
          <w:rFonts w:ascii="Century Gothic" w:eastAsia="Century Gothic" w:hAnsi="Century Gothic" w:cs="Century Gothic"/>
          <w:sz w:val="20"/>
          <w:szCs w:val="20"/>
        </w:rPr>
        <w:t xml:space="preserve">a la verdad y memoria histórica; </w:t>
      </w:r>
      <w:r w:rsidR="00D717D1">
        <w:rPr>
          <w:rFonts w:ascii="Century Gothic" w:eastAsia="Century Gothic" w:hAnsi="Century Gothic" w:cs="Century Gothic"/>
          <w:sz w:val="20"/>
          <w:szCs w:val="20"/>
        </w:rPr>
        <w:t xml:space="preserve">el </w:t>
      </w:r>
      <w:r w:rsidR="00BA453E" w:rsidRPr="00BA453E">
        <w:rPr>
          <w:rFonts w:ascii="Century Gothic" w:eastAsia="Century Gothic" w:hAnsi="Century Gothic" w:cs="Century Gothic"/>
          <w:sz w:val="20"/>
          <w:szCs w:val="20"/>
        </w:rPr>
        <w:t>acceso a la justicia y lucha contra la impunidad;</w:t>
      </w:r>
      <w:r w:rsidR="00BA453E">
        <w:rPr>
          <w:rFonts w:ascii="Century Gothic" w:eastAsia="Century Gothic" w:hAnsi="Century Gothic" w:cs="Century Gothic"/>
          <w:sz w:val="20"/>
          <w:szCs w:val="20"/>
        </w:rPr>
        <w:t xml:space="preserve"> </w:t>
      </w:r>
      <w:r w:rsidR="00D717D1">
        <w:rPr>
          <w:rFonts w:ascii="Century Gothic" w:eastAsia="Century Gothic" w:hAnsi="Century Gothic" w:cs="Century Gothic"/>
          <w:sz w:val="20"/>
          <w:szCs w:val="20"/>
        </w:rPr>
        <w:t>la r</w:t>
      </w:r>
      <w:r w:rsidR="00BA453E" w:rsidRPr="00BA453E">
        <w:rPr>
          <w:rFonts w:ascii="Century Gothic" w:eastAsia="Century Gothic" w:hAnsi="Century Gothic" w:cs="Century Gothic"/>
          <w:sz w:val="20"/>
          <w:szCs w:val="20"/>
        </w:rPr>
        <w:t xml:space="preserve">eparación integral; </w:t>
      </w:r>
      <w:r w:rsidR="00D717D1">
        <w:rPr>
          <w:rFonts w:ascii="Century Gothic" w:eastAsia="Century Gothic" w:hAnsi="Century Gothic" w:cs="Century Gothic"/>
          <w:sz w:val="20"/>
          <w:szCs w:val="20"/>
        </w:rPr>
        <w:t>las g</w:t>
      </w:r>
      <w:r w:rsidR="00BA453E" w:rsidRPr="00BA453E">
        <w:rPr>
          <w:rFonts w:ascii="Century Gothic" w:eastAsia="Century Gothic" w:hAnsi="Century Gothic" w:cs="Century Gothic"/>
          <w:sz w:val="20"/>
          <w:szCs w:val="20"/>
        </w:rPr>
        <w:t xml:space="preserve">arantías de no repetición y prevención; </w:t>
      </w:r>
      <w:r w:rsidR="00D717D1">
        <w:rPr>
          <w:rFonts w:ascii="Century Gothic" w:eastAsia="Century Gothic" w:hAnsi="Century Gothic" w:cs="Century Gothic"/>
          <w:sz w:val="20"/>
          <w:szCs w:val="20"/>
        </w:rPr>
        <w:t>el a</w:t>
      </w:r>
      <w:r w:rsidR="00BA453E" w:rsidRPr="00BA453E">
        <w:rPr>
          <w:rFonts w:ascii="Century Gothic" w:eastAsia="Century Gothic" w:hAnsi="Century Gothic" w:cs="Century Gothic"/>
          <w:sz w:val="20"/>
          <w:szCs w:val="20"/>
        </w:rPr>
        <w:t>poyo al fortalecimiento de los procesos de reparación colectiva y de retornos y reubicaciones en territorios PDET; y</w:t>
      </w:r>
      <w:r w:rsidR="00BA453E">
        <w:rPr>
          <w:rFonts w:ascii="Century Gothic" w:eastAsia="Century Gothic" w:hAnsi="Century Gothic" w:cs="Century Gothic"/>
          <w:sz w:val="20"/>
          <w:szCs w:val="20"/>
        </w:rPr>
        <w:t xml:space="preserve"> </w:t>
      </w:r>
      <w:r w:rsidR="00D717D1">
        <w:rPr>
          <w:rFonts w:ascii="Century Gothic" w:eastAsia="Century Gothic" w:hAnsi="Century Gothic" w:cs="Century Gothic"/>
          <w:sz w:val="20"/>
          <w:szCs w:val="20"/>
        </w:rPr>
        <w:t xml:space="preserve">el </w:t>
      </w:r>
      <w:r w:rsidR="00BA453E">
        <w:rPr>
          <w:rFonts w:ascii="Century Gothic" w:eastAsia="Century Gothic" w:hAnsi="Century Gothic" w:cs="Century Gothic"/>
          <w:sz w:val="20"/>
          <w:szCs w:val="20"/>
        </w:rPr>
        <w:t>f</w:t>
      </w:r>
      <w:r w:rsidR="00BA453E" w:rsidRPr="00BA453E">
        <w:rPr>
          <w:rFonts w:ascii="Century Gothic" w:eastAsia="Century Gothic" w:hAnsi="Century Gothic" w:cs="Century Gothic"/>
          <w:sz w:val="20"/>
          <w:szCs w:val="20"/>
        </w:rPr>
        <w:t xml:space="preserve">ortalecimiento institucional para el despliegue y funcionamiento territorial articulado del Sistema Integral </w:t>
      </w:r>
      <w:r w:rsidR="00BA453E">
        <w:rPr>
          <w:rFonts w:ascii="Century Gothic" w:eastAsia="Century Gothic" w:hAnsi="Century Gothic" w:cs="Century Gothic"/>
          <w:sz w:val="20"/>
          <w:szCs w:val="20"/>
        </w:rPr>
        <w:t xml:space="preserve">para la Paz. </w:t>
      </w:r>
      <w:r w:rsidR="00D717D1">
        <w:rPr>
          <w:rFonts w:ascii="Century Gothic" w:eastAsia="Century Gothic" w:hAnsi="Century Gothic" w:cs="Century Gothic"/>
          <w:sz w:val="20"/>
          <w:szCs w:val="20"/>
        </w:rPr>
        <w:t xml:space="preserve"> </w:t>
      </w:r>
    </w:p>
    <w:p w14:paraId="499A957E" w14:textId="77777777" w:rsidR="00D717D1" w:rsidRDefault="00D717D1" w:rsidP="009D291F">
      <w:pPr>
        <w:jc w:val="both"/>
        <w:rPr>
          <w:rFonts w:ascii="Century Gothic" w:eastAsia="Century Gothic" w:hAnsi="Century Gothic" w:cs="Century Gothic"/>
          <w:sz w:val="20"/>
          <w:szCs w:val="20"/>
        </w:rPr>
      </w:pPr>
    </w:p>
    <w:p w14:paraId="7272D07E" w14:textId="45E6FD92" w:rsidR="00347155" w:rsidRPr="001F7FF3" w:rsidRDefault="00347155"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Los dos grupos de actores que componen el </w:t>
      </w:r>
      <w:r w:rsidR="009A07BC" w:rsidRPr="001F7FF3">
        <w:rPr>
          <w:rFonts w:ascii="Century Gothic" w:eastAsia="Century Gothic" w:hAnsi="Century Gothic" w:cs="Century Gothic"/>
          <w:sz w:val="20"/>
          <w:szCs w:val="20"/>
        </w:rPr>
        <w:t>Sistema Integral para la Paz</w:t>
      </w:r>
      <w:r w:rsidR="008404F5">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 xml:space="preserve">– nuevas entidades estatales y organizaciones de víctimas - fueron acompañadas y fortalecidas por el programa para que se volvieran adecuadas para el propósito a la hora de implementar las nuevas políticas públicas de justicia transicional. Sin ese fortalecimiento, el nuevo sistema hubiera fracasado con graves consecuencias por la credibilidad del proceso de paz y la confianza de las víctimas en el Estado. </w:t>
      </w:r>
    </w:p>
    <w:p w14:paraId="39B557E7"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7CFA0292"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lastRenderedPageBreak/>
        <w:t>Mientras algunas organizaciones, principalmente los donantes, percibieron que PNUD se había convertido en un simple operador o administrador de recursos a través del PJT (y como tal ofrecía poco valor agregado), sus funcionarios y los socios (entidades del Sistema y organizaciones de víctimas) identificaron múltiples factores que según ellos hicieron único su aporte. Entre varios, destacaron que opera y tiene influencia a nivel nacional y territorial, lo cual le permite articular acciones, actores y dar soluciones cuando sea necesario; su gran flexibilidad, comunicación fluida y voluntad para resolver problemas con agilidad a la hora de crear las nuevas entidades del Sistema, a pesar de sus procedimientos complejos; y su trayectoria histórica de acompañar los procesos de justicia transicional, lo cual le permite entender mejor el proceso de justicia transicional y sus particularidades.</w:t>
      </w:r>
    </w:p>
    <w:p w14:paraId="1E418A16" w14:textId="77777777" w:rsidR="00347155" w:rsidRPr="001F7FF3" w:rsidRDefault="00347155" w:rsidP="009D291F">
      <w:pPr>
        <w:jc w:val="both"/>
        <w:rPr>
          <w:rFonts w:ascii="Century Gothic" w:eastAsia="Century Gothic" w:hAnsi="Century Gothic" w:cs="Century Gothic"/>
          <w:sz w:val="20"/>
          <w:szCs w:val="20"/>
          <w:lang w:eastAsia="de-DE"/>
        </w:rPr>
      </w:pPr>
    </w:p>
    <w:p w14:paraId="535B28F6" w14:textId="77777777"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enfoque participativo, diferencial y territorial del PJT ha sido fundamental para asegurar el acceso masivo de las víctimas a los nuevos mecanismos de justicia transicional. Esto fue gracias las estrategias de acompañamiento del PNUD para fortalecer a las entidades y sus relaciones con las víctimas, incluyendo: realizar pedagogía sobre el rol del nuevo Sistema y la justicia transicional en general; llevar a cabo análisis de seguridad en los territorios y crear medidas de protección para las víctimas convocadas; y fortalecer el protagonismo de las organizaciones sociales para que se sintieran representadas y motivadas a acreditarse e intervenir, entre otras. </w:t>
      </w:r>
    </w:p>
    <w:p w14:paraId="6B3F3D55" w14:textId="77777777" w:rsidR="00347155" w:rsidRPr="001F7FF3" w:rsidRDefault="00347155" w:rsidP="009D291F">
      <w:pPr>
        <w:jc w:val="both"/>
        <w:rPr>
          <w:rFonts w:ascii="Century Gothic" w:eastAsia="Century Gothic" w:hAnsi="Century Gothic" w:cs="Century Gothic"/>
          <w:sz w:val="20"/>
          <w:szCs w:val="20"/>
          <w:lang w:eastAsia="de-DE"/>
        </w:rPr>
      </w:pPr>
    </w:p>
    <w:p w14:paraId="7420C928" w14:textId="77777777" w:rsidR="00347155" w:rsidRPr="001F7FF3" w:rsidRDefault="00347155"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Como resultado directo de estas estrategias de participación, se ha podido constatar una creciente confianza de las víctimas en las entidades del Sistema a lo largo del tiempo. Gracias a su fortalecimiento como actor institucional autónomo, el enfoque en las víctimas como actores centrales, los múltiples espacios de participación generados por las entidades, y los beneficios concretos que resultaron de sus diferentes líneas de acción, se ha logrado superar gran parte de la desconfianza inicial hacia el Sistema y el impacto negativo del discurso antagónico del gobierno de turno antes de su implementación.</w:t>
      </w:r>
    </w:p>
    <w:p w14:paraId="28D1F74C" w14:textId="77777777" w:rsidR="00347155" w:rsidRPr="001F7FF3" w:rsidRDefault="00347155" w:rsidP="009D291F">
      <w:pPr>
        <w:jc w:val="both"/>
        <w:rPr>
          <w:rFonts w:ascii="Century Gothic" w:hAnsi="Century Gothic"/>
          <w:sz w:val="20"/>
          <w:szCs w:val="20"/>
        </w:rPr>
      </w:pPr>
    </w:p>
    <w:p w14:paraId="1A08EA84" w14:textId="26A52389" w:rsidR="00347155" w:rsidRPr="001F7FF3" w:rsidRDefault="00AA1274" w:rsidP="009D291F">
      <w:pPr>
        <w:autoSpaceDE w:val="0"/>
        <w:autoSpaceDN w:val="0"/>
        <w:ind w:right="113"/>
        <w:contextualSpacing/>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SOSTENIBILIDAD</w:t>
      </w:r>
    </w:p>
    <w:p w14:paraId="63197D81"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63F09680" w14:textId="15460549" w:rsidR="00347155" w:rsidRPr="001F7FF3" w:rsidRDefault="00DA2005" w:rsidP="009D291F">
      <w:pPr>
        <w:autoSpaceDE w:val="0"/>
        <w:autoSpaceDN w:val="0"/>
        <w:ind w:right="113"/>
        <w:contextualSpacing/>
        <w:jc w:val="both"/>
        <w:rPr>
          <w:rFonts w:ascii="Century Gothic" w:eastAsia="Century Gothic" w:hAnsi="Century Gothic" w:cs="Century Gothic"/>
          <w:sz w:val="20"/>
          <w:szCs w:val="20"/>
          <w:lang w:eastAsia="de-DE"/>
        </w:rPr>
      </w:pPr>
      <w:r w:rsidRPr="00DA2005">
        <w:rPr>
          <w:rFonts w:ascii="Century Gothic" w:eastAsia="Century Gothic" w:hAnsi="Century Gothic" w:cs="Century Gothic"/>
          <w:sz w:val="20"/>
          <w:szCs w:val="20"/>
          <w:lang w:eastAsia="de-DE"/>
        </w:rPr>
        <w:t>El portafolio ha asentado bases importantes para la sostenibilidad del proceso mediante el fortalecimiento de las capacidades institucionales a nivel técnico y operativo, pero gran parte de su continuidad dependerá en la voluntad política y en la disponibilidad financiera de próximas administraciones</w:t>
      </w:r>
      <w:r>
        <w:rPr>
          <w:rFonts w:ascii="Century Gothic" w:eastAsia="Century Gothic" w:hAnsi="Century Gothic" w:cs="Century Gothic"/>
          <w:sz w:val="20"/>
          <w:szCs w:val="20"/>
          <w:lang w:eastAsia="de-DE"/>
        </w:rPr>
        <w:t xml:space="preserve">. </w:t>
      </w:r>
      <w:r w:rsidR="00347155" w:rsidRPr="001F7FF3">
        <w:rPr>
          <w:rFonts w:ascii="Century Gothic" w:eastAsia="Century Gothic" w:hAnsi="Century Gothic" w:cs="Century Gothic"/>
          <w:sz w:val="20"/>
          <w:szCs w:val="20"/>
          <w:lang w:eastAsia="de-DE"/>
        </w:rPr>
        <w:t xml:space="preserve">Por un lado, gracias al apoyo de la cooperación internacional en su montaje y desarrollo inicial, el PJT logró movilizar recursos estatales para el funcionamiento de las entidades del Sistema. Por otro lado, se ha logrado cubrir la financiación de proyectos importantes con la cooperación internacional, específicamente con la ejecución de pequeños convenios exitosos del portafolio que sirvieron de pilotos para obtener recursos. </w:t>
      </w:r>
    </w:p>
    <w:p w14:paraId="1FCAA822"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3CA0EEF4" w14:textId="6EEE0ECF"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No obstante, las acciones apoyadas por el Portafolio no son del todo sostenibles porque muchas dependen de decisiones políticas y presupuestales. Varios de los proyectos son de trabajo directo y coordinado con las instituciones que hacen parte del sistema de justicia transicional. Sin embargo, gran parte de la sostenibilidad de las acciones no depende de estrategias del Portafolio ni de sus proyectos, sino de la voluntad política.</w:t>
      </w:r>
    </w:p>
    <w:p w14:paraId="04FBCEE0"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4B3C1EBF"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Las instituciones han logrado apropiar los resultados de los proyectos apoyados por el programa en diferentes niveles. En primer lugar, los equipos técnicos contratados en la fase inicial ahora son financiados con recursos estatales del presupuesto general. Adicionalmente, las entidades han apropiado y establecido de manera oficial metodologías, modelos, protocolos y otros productos de conocimiento que fueron desarrollados con recursos del PJT. </w:t>
      </w:r>
    </w:p>
    <w:p w14:paraId="5C746824"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78CC1659"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Existen coordinaciones entre proyectos y/o agencias de manera esporádica debido a que no hay una entidad que articule el trabajo en territorio.</w:t>
      </w:r>
      <w:r w:rsidRPr="001F7FF3">
        <w:rPr>
          <w:rFonts w:ascii="Century Gothic" w:hAnsi="Century Gothic"/>
          <w:sz w:val="20"/>
          <w:szCs w:val="20"/>
        </w:rPr>
        <w:t xml:space="preserve"> </w:t>
      </w:r>
      <w:r w:rsidRPr="001F7FF3">
        <w:rPr>
          <w:rFonts w:ascii="Century Gothic" w:eastAsia="Century Gothic" w:hAnsi="Century Gothic" w:cs="Century Gothic"/>
          <w:sz w:val="20"/>
          <w:szCs w:val="20"/>
          <w:lang w:eastAsia="de-DE"/>
        </w:rPr>
        <w:t>Los entrevistados indican que existe buena coordinación entre proyectos y las agencias, aunque hay mucho margen de mejora todavía.</w:t>
      </w:r>
    </w:p>
    <w:p w14:paraId="48825C67"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4C1FAFDD" w14:textId="4B14EF58" w:rsidR="00347155" w:rsidRPr="001F7FF3" w:rsidRDefault="00AA1274" w:rsidP="009D291F">
      <w:pPr>
        <w:autoSpaceDE w:val="0"/>
        <w:autoSpaceDN w:val="0"/>
        <w:ind w:right="113"/>
        <w:contextualSpacing/>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TEMAS TRANSVERSALES</w:t>
      </w:r>
    </w:p>
    <w:p w14:paraId="76AA7FF5"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05FBCF92"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Las poblaciones indígenas y afro, personas con discapacidades físicas, las mujeres, LGBTI+ y otros grupos vulnerables se han beneficiado de la implementación de los proyectos del PJT. En las entrevistas a las instituciones y las OSC se ha podido constatar que todos los proyectos que hacen parte del PJT implementan enfoques transversales desde la propia concepción de su diseño. </w:t>
      </w:r>
    </w:p>
    <w:p w14:paraId="2856C75E"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242B24E3"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No obstante, es notorio en las entrevistas que, si bien los proyectos incorporan algunos enfoques transversales desde su diseño, no se tienen en cuenta en la misma proporción a todos los grupos poblacionales. En la mayoría de los proyectos están debidamente incorporados los enfoques de género y étnicos, pero los enfoques para personas con discapacidades físicas y/o para población LGTBI+ no están debidamente enfatizados.</w:t>
      </w:r>
    </w:p>
    <w:p w14:paraId="2632D3BC"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06F1A0C7"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A pesar de los obstáculos, se pudo evidenciar la inclusión del enfoque de género en varios de los proyectos del Portafolio con un apoyo muy importante por parte del PNUD. Las personas entrevistadas manifestaron, por un lado, que gracias al apoyo del PNUD se incluyó el enfoque de género en el diseño de los proyectos y en su implementación. Por otro lado, reconocen un alto nivel de participación y empoderamiento de las mujeres en los diversos proyectos gracias a las estrategias implementadas.</w:t>
      </w:r>
    </w:p>
    <w:p w14:paraId="7EB19EB9"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7F231464"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Sin embargo, hay limitantes para avanzar hacia los resultados esperados en cuanto al empoderamiento de las mujeres y la equidad de género a nivel del Portafolio y de los proyectos implementados. Algunos de los obstáculos identificados por los entrevistados durante el arranque del Sistema fueron superados con estrategias claras durante su implementación. </w:t>
      </w:r>
    </w:p>
    <w:p w14:paraId="7FD243D3"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4080ED77"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Los proyectos se han adaptado a las realidades de los pueblos étnicos, así como a sus expresiones culturales e identitarias y sus mecanismos de gobierno propios.  Se puede evidenciar que los proyectos incluyen, en su mayoría, un enfoque étnico, con lineamientos claros, sobre todo cuando se ejecutan en el territorio.</w:t>
      </w:r>
    </w:p>
    <w:p w14:paraId="2D22B2CB"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2731D0F1"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Aunque se debe incluir un enfoque de derechos humanos en el formato de propuesta de proyecto y en sus informes, existe un debate al interior del PNUD y de las organizaciones sociales sobre como mejor abordar su inclusión. El enfoque de DDHH es algo implícito porque hace parte del ADN o razón de ser del Portafolio como programa que reconoce y luego restablece los derechos perdidos de las víctimas, pero no está debidamente enfatizado en su justificación.</w:t>
      </w:r>
    </w:p>
    <w:p w14:paraId="3D29740F"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7A563A5D"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Existen estrategias de entrada y algunas de salida en la ejecución de los diferentes proyectos financiados para reducir o evitar la acción con daño. En la mayoría de los proyectos revisados se pudo identificar de manera clara las estrategias de entrada de los proyectos, la coordinación con OSC, con beneficiarios, y con las instituciones según el caso. Sin embargo, las estrategias de salida no eran tan claras.</w:t>
      </w:r>
    </w:p>
    <w:p w14:paraId="5909F699"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6E462C50" w14:textId="77777777" w:rsidR="00347155" w:rsidRPr="001F7FF3" w:rsidRDefault="00347155" w:rsidP="009D291F">
      <w:pPr>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t>RECOMENDACIONES</w:t>
      </w:r>
    </w:p>
    <w:p w14:paraId="151EE603" w14:textId="77777777" w:rsidR="00347155" w:rsidRPr="001F7FF3" w:rsidRDefault="00347155" w:rsidP="009D291F">
      <w:pPr>
        <w:rPr>
          <w:rFonts w:ascii="Century Gothic" w:eastAsia="Times New Roman" w:hAnsi="Century Gothic" w:cs="Times New Roman"/>
          <w:b/>
          <w:bCs/>
          <w:sz w:val="20"/>
          <w:szCs w:val="20"/>
          <w:lang w:eastAsia="es-MX"/>
        </w:rPr>
      </w:pPr>
    </w:p>
    <w:p w14:paraId="5D6AB8C3" w14:textId="421716B8" w:rsidR="00347155" w:rsidRPr="001F7FF3" w:rsidRDefault="00A340DB" w:rsidP="00A340DB">
      <w:pPr>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lastRenderedPageBreak/>
        <w:t xml:space="preserve">PNUD – Gerencia del Portafolio de Justicia Transicional </w:t>
      </w:r>
    </w:p>
    <w:p w14:paraId="0D946A2E" w14:textId="77777777" w:rsidR="00E37987" w:rsidRDefault="00E37987" w:rsidP="00E37987">
      <w:pPr>
        <w:rPr>
          <w:rFonts w:ascii="Century Gothic" w:eastAsia="Century Gothic" w:hAnsi="Century Gothic" w:cs="Century Gothic"/>
          <w:sz w:val="20"/>
          <w:szCs w:val="20"/>
        </w:rPr>
      </w:pPr>
    </w:p>
    <w:p w14:paraId="11BA22E2" w14:textId="77777777" w:rsidR="00E37987" w:rsidRPr="00D30359"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Asistir al Gobierno Nacional para fortalecer la Dirección de Justicia Transicional del Ministerio de Justicia para que juegue el rol de articulador e impulsor del Sistema.</w:t>
      </w:r>
    </w:p>
    <w:p w14:paraId="2CD8E61C" w14:textId="77777777" w:rsidR="00E37987" w:rsidRPr="00D30359"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Junto con los donantes, mantener un diálogo constante con el Gobierno Nacional sobre la pertinencia y los resultados del Sistema.</w:t>
      </w:r>
    </w:p>
    <w:p w14:paraId="180087E2"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Promover la coordinación de los proyectos entre las OSC y entidades especialmente en la ejecución de actividades en el territorio para aprovechar sinergias y mejorar la eficiencia de la ejecución de recursos y trabajo con los beneficiarios finales. </w:t>
      </w:r>
    </w:p>
    <w:p w14:paraId="6769960E" w14:textId="77777777" w:rsidR="00E37987" w:rsidRDefault="00E37987" w:rsidP="00E37987">
      <w:pPr>
        <w:pStyle w:val="Prrafodelista"/>
        <w:numPr>
          <w:ilvl w:val="0"/>
          <w:numId w:val="12"/>
        </w:numPr>
        <w:rPr>
          <w:rFonts w:ascii="Century Gothic" w:hAnsi="Century Gothic"/>
          <w:sz w:val="20"/>
          <w:szCs w:val="20"/>
          <w:lang w:val="es-CO"/>
        </w:rPr>
      </w:pPr>
      <w:r w:rsidRPr="001F7FF3">
        <w:rPr>
          <w:rFonts w:ascii="Century Gothic" w:hAnsi="Century Gothic"/>
          <w:sz w:val="20"/>
          <w:szCs w:val="20"/>
          <w:lang w:val="es-CO"/>
        </w:rPr>
        <w:t>Los tomadores de decisiones del Portafolio deben apoyarse en los comités técnicos para tener una visión estratégica e integral del Portafolio.</w:t>
      </w:r>
    </w:p>
    <w:p w14:paraId="58AE96B0" w14:textId="77777777" w:rsidR="00E37987" w:rsidRPr="00D30359" w:rsidRDefault="00E37987" w:rsidP="00E37987">
      <w:pPr>
        <w:pStyle w:val="Prrafodelista"/>
        <w:numPr>
          <w:ilvl w:val="0"/>
          <w:numId w:val="12"/>
        </w:numPr>
        <w:rPr>
          <w:rFonts w:ascii="Century Gothic" w:hAnsi="Century Gothic"/>
          <w:sz w:val="20"/>
          <w:szCs w:val="20"/>
          <w:lang w:val="es-CO"/>
        </w:rPr>
      </w:pPr>
      <w:r w:rsidRPr="00D30359">
        <w:rPr>
          <w:rFonts w:ascii="Century Gothic" w:eastAsia="Century Gothic" w:hAnsi="Century Gothic" w:cs="Century Gothic"/>
          <w:sz w:val="20"/>
          <w:szCs w:val="20"/>
        </w:rPr>
        <w:t>Evidenciar el valor agregado del PNUD en el portafolio ante los donantes.</w:t>
      </w:r>
    </w:p>
    <w:p w14:paraId="3CD7C497"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Crear e implementar un sistema de monitoreo, evaluación y aprendizaje con capacidad de medir el impacto de las acciones, no solamente sus efectos</w:t>
      </w:r>
    </w:p>
    <w:p w14:paraId="3C9DA8DA"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Crear una estrategia de sistematización que permita identificar buenas prácticas y lecciones aprendidas a nivel del proyecto y a nivel del portafolio.</w:t>
      </w:r>
    </w:p>
    <w:p w14:paraId="07637E6D" w14:textId="77777777" w:rsidR="00E37987" w:rsidRPr="001A06A5"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Gestionar un presupuesto propio para poder invertir en gestión de conocimiento y medición de impacto.</w:t>
      </w:r>
    </w:p>
    <w:p w14:paraId="0EF5DD2A" w14:textId="77777777" w:rsidR="00E37987"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Elevar las acciones de construcción de confianza a una estrategia clave y explícita del Portafolio.</w:t>
      </w:r>
    </w:p>
    <w:p w14:paraId="09324544"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Consolidar la participación ciudadana como un pilar fundamental del Sistema de Integral para la Paz en los territorios. </w:t>
      </w:r>
    </w:p>
    <w:p w14:paraId="6897ED3C"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Manejar las expectativas de las víctimas que participan de manera masiva en los espacios del Sistema con metodologías que permitan aclarar el rol y el alcance de las Entidades en el marco de la justicia transicional, sobre todo la JEP.</w:t>
      </w:r>
    </w:p>
    <w:p w14:paraId="27750518" w14:textId="77777777" w:rsidR="00E37987" w:rsidRPr="001A06A5" w:rsidRDefault="00E37987" w:rsidP="00E37987">
      <w:pPr>
        <w:pStyle w:val="Prrafodelista"/>
        <w:numPr>
          <w:ilvl w:val="0"/>
          <w:numId w:val="12"/>
        </w:numPr>
        <w:rPr>
          <w:rFonts w:ascii="Century Gothic" w:eastAsia="Century Gothic" w:hAnsi="Century Gothic" w:cs="Century Gothic"/>
          <w:sz w:val="20"/>
          <w:szCs w:val="20"/>
          <w:lang w:val="es-CO"/>
        </w:rPr>
      </w:pPr>
      <w:r w:rsidRPr="00D30359">
        <w:rPr>
          <w:rFonts w:ascii="Century Gothic" w:eastAsia="Century Gothic" w:hAnsi="Century Gothic" w:cs="Century Gothic"/>
          <w:sz w:val="20"/>
          <w:szCs w:val="20"/>
        </w:rPr>
        <w:t>Adoptar un sistema de monitoreo de la confianza de las víctimas (por ejemplo, en el trabajo de las instituciones del Sistema) a través de la identificación y seguimiento de indicadores de impacto.</w:t>
      </w:r>
    </w:p>
    <w:p w14:paraId="4F512B95"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Incorporar desde el diseño de los proyectos, con sus respectivos indicadores y asignaciones presupuestales, a diferentes grupos poblacionales.</w:t>
      </w:r>
    </w:p>
    <w:p w14:paraId="7801C001"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Aunque se han desarrollado acciones transformadoras para las mujeres, estas pueden incorporar enfoques más innovadores y centrados en la superación de los roles y estereotipos tradicionales de género.  </w:t>
      </w:r>
    </w:p>
    <w:p w14:paraId="762FCE23"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Incluir el enfoque de género con un análisis interseccional.</w:t>
      </w:r>
    </w:p>
    <w:p w14:paraId="23040496" w14:textId="77777777" w:rsidR="00E37987" w:rsidRPr="001F7FF3"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El enfoque de derechos humanos requiere de un conjunto de herramientas que trasciendan la fase de diseño de las propuestas e incidan en las dinámicas de planificación, decisión e implementación. Se recomienda realizar un análisis que sea parte de la teoría de cambio, con un seguimiento específico.</w:t>
      </w:r>
    </w:p>
    <w:p w14:paraId="6C30A94F" w14:textId="77777777" w:rsidR="00E37987" w:rsidRDefault="00E37987" w:rsidP="00E37987">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Pensar en la sostenibilidad de las acciones y en una estrategia de salida desde el diseño de los proyectos.</w:t>
      </w:r>
    </w:p>
    <w:p w14:paraId="48CA2258" w14:textId="03857E1E" w:rsidR="00E37987" w:rsidRPr="00E37987" w:rsidRDefault="00E37987" w:rsidP="009D291F">
      <w:pPr>
        <w:pStyle w:val="Prrafodelista"/>
        <w:numPr>
          <w:ilvl w:val="0"/>
          <w:numId w:val="12"/>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Considerar la inclusión de un capítulo de procedimientos simplificados en el manual del PNUD para territorios donde la situación es precaria administrativa y contablemente.</w:t>
      </w:r>
    </w:p>
    <w:p w14:paraId="5AD447C2" w14:textId="77777777" w:rsidR="00347155" w:rsidRPr="001F7FF3" w:rsidRDefault="00347155" w:rsidP="0064170E">
      <w:pPr>
        <w:autoSpaceDE w:val="0"/>
        <w:autoSpaceDN w:val="0"/>
        <w:ind w:right="113"/>
        <w:contextualSpacing/>
        <w:jc w:val="both"/>
        <w:rPr>
          <w:rFonts w:ascii="Century Gothic" w:eastAsia="Century Gothic" w:hAnsi="Century Gothic" w:cs="Century Gothic"/>
          <w:sz w:val="20"/>
          <w:szCs w:val="20"/>
        </w:rPr>
      </w:pPr>
    </w:p>
    <w:p w14:paraId="1CD1BF1C" w14:textId="32E418EE" w:rsidR="00347155" w:rsidRPr="001F7FF3" w:rsidRDefault="00A340DB" w:rsidP="0064170E">
      <w:pPr>
        <w:jc w:val="both"/>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t>Gobierno Nacional</w:t>
      </w:r>
    </w:p>
    <w:p w14:paraId="359D62A6" w14:textId="77777777" w:rsidR="00347155" w:rsidRPr="001F7FF3" w:rsidRDefault="00347155" w:rsidP="0064170E">
      <w:pPr>
        <w:autoSpaceDE w:val="0"/>
        <w:autoSpaceDN w:val="0"/>
        <w:ind w:right="113"/>
        <w:contextualSpacing/>
        <w:jc w:val="both"/>
        <w:rPr>
          <w:rFonts w:ascii="Century Gothic" w:eastAsia="Century Gothic" w:hAnsi="Century Gothic" w:cs="Century Gothic"/>
          <w:sz w:val="20"/>
          <w:szCs w:val="20"/>
          <w:lang w:eastAsia="de-DE"/>
        </w:rPr>
      </w:pPr>
    </w:p>
    <w:p w14:paraId="7840AD44" w14:textId="76FEDCF7" w:rsidR="00347155" w:rsidRPr="001F7FF3" w:rsidRDefault="00347155" w:rsidP="0064170E">
      <w:pPr>
        <w:pStyle w:val="Prrafodelista"/>
        <w:numPr>
          <w:ilvl w:val="0"/>
          <w:numId w:val="13"/>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Fortalecer la Dirección de Justicia Transicional del Ministerio de Justicia para que juegue el rol de articulador e impulsor del Sistema.</w:t>
      </w:r>
    </w:p>
    <w:p w14:paraId="21BB5557" w14:textId="66FDC2B7" w:rsidR="00347155" w:rsidRPr="001F7FF3" w:rsidRDefault="00347155" w:rsidP="0064170E">
      <w:pPr>
        <w:pStyle w:val="Prrafodelista"/>
        <w:numPr>
          <w:ilvl w:val="0"/>
          <w:numId w:val="13"/>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Presupuestar a partir de 2023 para que cofinancie el Sistema con la cooperación internacional.</w:t>
      </w:r>
    </w:p>
    <w:p w14:paraId="2AC5AF17" w14:textId="77777777" w:rsidR="00347155" w:rsidRPr="001F7FF3" w:rsidRDefault="00347155" w:rsidP="0064170E">
      <w:pPr>
        <w:pStyle w:val="Prrafodelista"/>
        <w:numPr>
          <w:ilvl w:val="0"/>
          <w:numId w:val="13"/>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Continuar el respeto de la autonomía del Sistema y transmitir mensajes constructivos sobre la labor de sus entidades.</w:t>
      </w:r>
    </w:p>
    <w:p w14:paraId="7CDADFF1" w14:textId="77777777" w:rsidR="00347155" w:rsidRPr="001F7FF3" w:rsidRDefault="00347155" w:rsidP="0064170E">
      <w:pPr>
        <w:autoSpaceDE w:val="0"/>
        <w:autoSpaceDN w:val="0"/>
        <w:ind w:right="113"/>
        <w:contextualSpacing/>
        <w:jc w:val="both"/>
        <w:rPr>
          <w:rFonts w:ascii="Century Gothic" w:eastAsia="Century Gothic" w:hAnsi="Century Gothic" w:cs="Century Gothic"/>
          <w:sz w:val="20"/>
          <w:szCs w:val="20"/>
        </w:rPr>
      </w:pPr>
    </w:p>
    <w:p w14:paraId="73CE118A" w14:textId="45FC5CEF" w:rsidR="00347155" w:rsidRPr="001F7FF3" w:rsidRDefault="00A340DB" w:rsidP="0064170E">
      <w:pPr>
        <w:jc w:val="both"/>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t>Donantes</w:t>
      </w:r>
    </w:p>
    <w:p w14:paraId="4383D80A" w14:textId="77777777" w:rsidR="00347155" w:rsidRPr="001F7FF3" w:rsidRDefault="00347155" w:rsidP="0064170E">
      <w:pPr>
        <w:jc w:val="both"/>
        <w:rPr>
          <w:rFonts w:ascii="Century Gothic" w:eastAsia="Times New Roman" w:hAnsi="Century Gothic" w:cs="Times New Roman"/>
          <w:b/>
          <w:bCs/>
          <w:sz w:val="20"/>
          <w:szCs w:val="20"/>
          <w:lang w:eastAsia="es-MX"/>
        </w:rPr>
      </w:pPr>
    </w:p>
    <w:p w14:paraId="105CEE15" w14:textId="1913D04A" w:rsidR="00347155" w:rsidRPr="001F7FF3" w:rsidRDefault="00347155" w:rsidP="0064170E">
      <w:pPr>
        <w:pStyle w:val="Prrafodelista"/>
        <w:numPr>
          <w:ilvl w:val="0"/>
          <w:numId w:val="1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Financiar actividades de gestión de conocimiento, de calidad y de impacto y estrategias para la construcción de confianza de manera organizada.</w:t>
      </w:r>
    </w:p>
    <w:p w14:paraId="51A145E0" w14:textId="2B8C8C42" w:rsidR="00347155" w:rsidRPr="001F7FF3" w:rsidRDefault="00347155" w:rsidP="0064170E">
      <w:pPr>
        <w:pStyle w:val="Prrafodelista"/>
        <w:numPr>
          <w:ilvl w:val="0"/>
          <w:numId w:val="1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Junto c</w:t>
      </w:r>
      <w:r w:rsidR="0064170E" w:rsidRPr="001F7FF3">
        <w:rPr>
          <w:rFonts w:ascii="Century Gothic" w:eastAsia="Century Gothic" w:hAnsi="Century Gothic" w:cs="Century Gothic"/>
          <w:sz w:val="20"/>
          <w:szCs w:val="20"/>
          <w:lang w:val="es-CO"/>
        </w:rPr>
        <w:t>o</w:t>
      </w:r>
      <w:r w:rsidRPr="001F7FF3">
        <w:rPr>
          <w:rFonts w:ascii="Century Gothic" w:eastAsia="Century Gothic" w:hAnsi="Century Gothic" w:cs="Century Gothic"/>
          <w:sz w:val="20"/>
          <w:szCs w:val="20"/>
          <w:lang w:val="es-CO"/>
        </w:rPr>
        <w:t>n el PNUD, sostener un diálogo constante con el Gobierno Nacional sobre la importancia del Sistema y sus impactos.</w:t>
      </w:r>
    </w:p>
    <w:p w14:paraId="026C8FC2" w14:textId="2FDD1BC7" w:rsidR="00347155" w:rsidRPr="001F7FF3" w:rsidRDefault="00347155" w:rsidP="0064170E">
      <w:pPr>
        <w:pStyle w:val="Prrafodelista"/>
        <w:numPr>
          <w:ilvl w:val="0"/>
          <w:numId w:val="1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Monitorear la asignación presupuestaria por parte del Estado y negociar en sus marcos de cooperación para que sus aportes a las instituciones del Sistema sean </w:t>
      </w:r>
      <w:r w:rsidR="0064170E" w:rsidRPr="001F7FF3">
        <w:rPr>
          <w:rFonts w:ascii="Century Gothic" w:eastAsia="Century Gothic" w:hAnsi="Century Gothic" w:cs="Century Gothic"/>
          <w:sz w:val="20"/>
          <w:szCs w:val="20"/>
          <w:lang w:val="es-CO"/>
        </w:rPr>
        <w:t>cofinanciados</w:t>
      </w:r>
      <w:r w:rsidRPr="001F7FF3">
        <w:rPr>
          <w:rFonts w:ascii="Century Gothic" w:eastAsia="Century Gothic" w:hAnsi="Century Gothic" w:cs="Century Gothic"/>
          <w:sz w:val="20"/>
          <w:szCs w:val="20"/>
          <w:lang w:val="es-CO"/>
        </w:rPr>
        <w:t xml:space="preserve"> por el presupuesto nacional.</w:t>
      </w:r>
    </w:p>
    <w:p w14:paraId="19D3BD00" w14:textId="77777777" w:rsidR="00347155" w:rsidRPr="001F7FF3" w:rsidRDefault="00347155" w:rsidP="0064170E">
      <w:pPr>
        <w:pStyle w:val="Prrafodelista"/>
        <w:numPr>
          <w:ilvl w:val="0"/>
          <w:numId w:val="1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Canalizar sus aportes a través de un fondo colectivo para el Portafolio y asignar su distribución según prioridades estratégicas discutidas y acordadas en el comité técnico de alto nivel.</w:t>
      </w:r>
    </w:p>
    <w:p w14:paraId="6B067354" w14:textId="77777777" w:rsidR="00347155" w:rsidRPr="001F7FF3" w:rsidRDefault="00347155" w:rsidP="009D291F">
      <w:pPr>
        <w:autoSpaceDE w:val="0"/>
        <w:autoSpaceDN w:val="0"/>
        <w:ind w:right="113"/>
        <w:contextualSpacing/>
        <w:jc w:val="both"/>
        <w:rPr>
          <w:rFonts w:ascii="Century Gothic" w:eastAsia="Century Gothic" w:hAnsi="Century Gothic" w:cs="Century Gothic"/>
          <w:sz w:val="20"/>
          <w:szCs w:val="20"/>
          <w:lang w:eastAsia="de-DE"/>
        </w:rPr>
      </w:pPr>
    </w:p>
    <w:p w14:paraId="7183558C" w14:textId="77777777" w:rsidR="00347155" w:rsidRPr="001F7FF3" w:rsidRDefault="00347155" w:rsidP="009D291F">
      <w:pPr>
        <w:rPr>
          <w:rFonts w:ascii="Century Gothic" w:eastAsia="Times New Roman" w:hAnsi="Century Gothic" w:cs="Times New Roman"/>
          <w:b/>
          <w:bCs/>
          <w:sz w:val="20"/>
          <w:szCs w:val="20"/>
          <w:lang w:eastAsia="es-MX"/>
        </w:rPr>
      </w:pPr>
    </w:p>
    <w:p w14:paraId="482C16AA" w14:textId="5E6E57E4" w:rsidR="0064170E" w:rsidRPr="001F7FF3" w:rsidRDefault="0064170E" w:rsidP="0064170E">
      <w:pPr>
        <w:rPr>
          <w:rFonts w:ascii="Century Gothic" w:hAnsi="Century Gothic"/>
          <w:sz w:val="20"/>
          <w:szCs w:val="20"/>
        </w:rPr>
      </w:pPr>
    </w:p>
    <w:p w14:paraId="4954E63F" w14:textId="04064E8D" w:rsidR="00A340DB" w:rsidRDefault="00A340DB" w:rsidP="0064170E">
      <w:pPr>
        <w:rPr>
          <w:rFonts w:ascii="Century Gothic" w:hAnsi="Century Gothic"/>
          <w:sz w:val="20"/>
          <w:szCs w:val="20"/>
        </w:rPr>
      </w:pPr>
    </w:p>
    <w:p w14:paraId="01003711" w14:textId="004D315D" w:rsidR="00FA591A" w:rsidRDefault="00FA591A" w:rsidP="0064170E">
      <w:pPr>
        <w:rPr>
          <w:rFonts w:ascii="Century Gothic" w:hAnsi="Century Gothic"/>
          <w:sz w:val="20"/>
          <w:szCs w:val="20"/>
        </w:rPr>
      </w:pPr>
    </w:p>
    <w:p w14:paraId="2C6B7A61" w14:textId="3242A60E" w:rsidR="00FA591A" w:rsidRDefault="00FA591A" w:rsidP="0064170E">
      <w:pPr>
        <w:rPr>
          <w:rFonts w:ascii="Century Gothic" w:hAnsi="Century Gothic"/>
          <w:sz w:val="20"/>
          <w:szCs w:val="20"/>
        </w:rPr>
      </w:pPr>
    </w:p>
    <w:p w14:paraId="41E927C0" w14:textId="28A6C13A" w:rsidR="00FA591A" w:rsidRDefault="00FA591A" w:rsidP="0064170E">
      <w:pPr>
        <w:rPr>
          <w:rFonts w:ascii="Century Gothic" w:hAnsi="Century Gothic"/>
          <w:sz w:val="20"/>
          <w:szCs w:val="20"/>
        </w:rPr>
      </w:pPr>
    </w:p>
    <w:p w14:paraId="204F84B2" w14:textId="25A2641A" w:rsidR="00FA591A" w:rsidRDefault="00FA591A" w:rsidP="0064170E">
      <w:pPr>
        <w:rPr>
          <w:rFonts w:ascii="Century Gothic" w:hAnsi="Century Gothic"/>
          <w:sz w:val="20"/>
          <w:szCs w:val="20"/>
        </w:rPr>
      </w:pPr>
    </w:p>
    <w:p w14:paraId="61E6FF34" w14:textId="75D94BD9" w:rsidR="00FA591A" w:rsidRDefault="00FA591A" w:rsidP="0064170E">
      <w:pPr>
        <w:rPr>
          <w:rFonts w:ascii="Century Gothic" w:hAnsi="Century Gothic"/>
          <w:sz w:val="20"/>
          <w:szCs w:val="20"/>
        </w:rPr>
      </w:pPr>
    </w:p>
    <w:p w14:paraId="2C3FBB7E" w14:textId="2408ADC3" w:rsidR="00FA591A" w:rsidRDefault="00FA591A" w:rsidP="0064170E">
      <w:pPr>
        <w:rPr>
          <w:rFonts w:ascii="Century Gothic" w:hAnsi="Century Gothic"/>
          <w:sz w:val="20"/>
          <w:szCs w:val="20"/>
        </w:rPr>
      </w:pPr>
    </w:p>
    <w:p w14:paraId="7BFED546" w14:textId="7A48CA8C" w:rsidR="00FA591A" w:rsidRDefault="00FA591A" w:rsidP="0064170E">
      <w:pPr>
        <w:rPr>
          <w:rFonts w:ascii="Century Gothic" w:hAnsi="Century Gothic"/>
          <w:sz w:val="20"/>
          <w:szCs w:val="20"/>
        </w:rPr>
      </w:pPr>
    </w:p>
    <w:p w14:paraId="558F6142" w14:textId="7892F950" w:rsidR="00FA591A" w:rsidRDefault="00FA591A" w:rsidP="0064170E">
      <w:pPr>
        <w:rPr>
          <w:rFonts w:ascii="Century Gothic" w:hAnsi="Century Gothic"/>
          <w:sz w:val="20"/>
          <w:szCs w:val="20"/>
        </w:rPr>
      </w:pPr>
    </w:p>
    <w:p w14:paraId="3973782F" w14:textId="1DD6824F" w:rsidR="00FA591A" w:rsidRDefault="00FA591A" w:rsidP="0064170E">
      <w:pPr>
        <w:rPr>
          <w:rFonts w:ascii="Century Gothic" w:hAnsi="Century Gothic"/>
          <w:sz w:val="20"/>
          <w:szCs w:val="20"/>
        </w:rPr>
      </w:pPr>
    </w:p>
    <w:p w14:paraId="4951E55E" w14:textId="65D92ABA" w:rsidR="00FA591A" w:rsidRDefault="00FA591A" w:rsidP="0064170E">
      <w:pPr>
        <w:rPr>
          <w:rFonts w:ascii="Century Gothic" w:hAnsi="Century Gothic"/>
          <w:sz w:val="20"/>
          <w:szCs w:val="20"/>
        </w:rPr>
      </w:pPr>
    </w:p>
    <w:p w14:paraId="57490AC5" w14:textId="282F024E" w:rsidR="00FA591A" w:rsidRDefault="00FA591A" w:rsidP="0064170E">
      <w:pPr>
        <w:rPr>
          <w:rFonts w:ascii="Century Gothic" w:hAnsi="Century Gothic"/>
          <w:sz w:val="20"/>
          <w:szCs w:val="20"/>
        </w:rPr>
      </w:pPr>
    </w:p>
    <w:p w14:paraId="2E7842E7" w14:textId="56AB6638" w:rsidR="00FA591A" w:rsidRDefault="00FA591A" w:rsidP="0064170E">
      <w:pPr>
        <w:rPr>
          <w:rFonts w:ascii="Century Gothic" w:hAnsi="Century Gothic"/>
          <w:sz w:val="20"/>
          <w:szCs w:val="20"/>
        </w:rPr>
      </w:pPr>
    </w:p>
    <w:p w14:paraId="087D4511" w14:textId="48CF6508" w:rsidR="00FA591A" w:rsidRDefault="00FA591A" w:rsidP="0064170E">
      <w:pPr>
        <w:rPr>
          <w:rFonts w:ascii="Century Gothic" w:hAnsi="Century Gothic"/>
          <w:sz w:val="20"/>
          <w:szCs w:val="20"/>
        </w:rPr>
      </w:pPr>
    </w:p>
    <w:p w14:paraId="5763C529" w14:textId="298FAD42" w:rsidR="00FA591A" w:rsidRDefault="00FA591A" w:rsidP="0064170E">
      <w:pPr>
        <w:rPr>
          <w:rFonts w:ascii="Century Gothic" w:hAnsi="Century Gothic"/>
          <w:sz w:val="20"/>
          <w:szCs w:val="20"/>
        </w:rPr>
      </w:pPr>
    </w:p>
    <w:p w14:paraId="07F67E05" w14:textId="164D2C68" w:rsidR="00FA591A" w:rsidRDefault="00FA591A" w:rsidP="0064170E">
      <w:pPr>
        <w:rPr>
          <w:rFonts w:ascii="Century Gothic" w:hAnsi="Century Gothic"/>
          <w:sz w:val="20"/>
          <w:szCs w:val="20"/>
        </w:rPr>
      </w:pPr>
    </w:p>
    <w:p w14:paraId="29AD5A2A" w14:textId="7A68C290" w:rsidR="00FA591A" w:rsidRDefault="00FA591A" w:rsidP="0064170E">
      <w:pPr>
        <w:rPr>
          <w:rFonts w:ascii="Century Gothic" w:hAnsi="Century Gothic"/>
          <w:sz w:val="20"/>
          <w:szCs w:val="20"/>
        </w:rPr>
      </w:pPr>
    </w:p>
    <w:p w14:paraId="1FFD0F31" w14:textId="4A3C8E76" w:rsidR="00FA591A" w:rsidRDefault="00FA591A" w:rsidP="0064170E">
      <w:pPr>
        <w:rPr>
          <w:rFonts w:ascii="Century Gothic" w:hAnsi="Century Gothic"/>
          <w:sz w:val="20"/>
          <w:szCs w:val="20"/>
        </w:rPr>
      </w:pPr>
    </w:p>
    <w:p w14:paraId="10321F89" w14:textId="6DF07600" w:rsidR="00FA591A" w:rsidRDefault="00FA591A" w:rsidP="0064170E">
      <w:pPr>
        <w:rPr>
          <w:rFonts w:ascii="Century Gothic" w:hAnsi="Century Gothic"/>
          <w:sz w:val="20"/>
          <w:szCs w:val="20"/>
        </w:rPr>
      </w:pPr>
    </w:p>
    <w:p w14:paraId="3CEBD6C9" w14:textId="3E9BAF5E" w:rsidR="00FA591A" w:rsidRDefault="00FA591A" w:rsidP="0064170E">
      <w:pPr>
        <w:rPr>
          <w:rFonts w:ascii="Century Gothic" w:hAnsi="Century Gothic"/>
          <w:sz w:val="20"/>
          <w:szCs w:val="20"/>
        </w:rPr>
      </w:pPr>
    </w:p>
    <w:p w14:paraId="75A37486" w14:textId="1ABA2E8B" w:rsidR="00FA591A" w:rsidRDefault="00FA591A" w:rsidP="0064170E">
      <w:pPr>
        <w:rPr>
          <w:rFonts w:ascii="Century Gothic" w:hAnsi="Century Gothic"/>
          <w:sz w:val="20"/>
          <w:szCs w:val="20"/>
        </w:rPr>
      </w:pPr>
    </w:p>
    <w:p w14:paraId="739859B1" w14:textId="36B5DB47" w:rsidR="00FA591A" w:rsidRDefault="00FA591A" w:rsidP="0064170E">
      <w:pPr>
        <w:rPr>
          <w:rFonts w:ascii="Century Gothic" w:hAnsi="Century Gothic"/>
          <w:sz w:val="20"/>
          <w:szCs w:val="20"/>
        </w:rPr>
      </w:pPr>
    </w:p>
    <w:p w14:paraId="79AA15EB" w14:textId="0D17E47E" w:rsidR="00FA591A" w:rsidRDefault="00FA591A" w:rsidP="0064170E">
      <w:pPr>
        <w:rPr>
          <w:rFonts w:ascii="Century Gothic" w:hAnsi="Century Gothic"/>
          <w:sz w:val="20"/>
          <w:szCs w:val="20"/>
        </w:rPr>
      </w:pPr>
    </w:p>
    <w:p w14:paraId="68A55CA9" w14:textId="2AE0A3A6" w:rsidR="00FA591A" w:rsidRDefault="00FA591A" w:rsidP="0064170E">
      <w:pPr>
        <w:rPr>
          <w:rFonts w:ascii="Century Gothic" w:hAnsi="Century Gothic"/>
          <w:sz w:val="20"/>
          <w:szCs w:val="20"/>
        </w:rPr>
      </w:pPr>
    </w:p>
    <w:p w14:paraId="06F2F27F" w14:textId="314DA7C9" w:rsidR="00FA591A" w:rsidRDefault="00FA591A" w:rsidP="0064170E">
      <w:pPr>
        <w:rPr>
          <w:rFonts w:ascii="Century Gothic" w:hAnsi="Century Gothic"/>
          <w:sz w:val="20"/>
          <w:szCs w:val="20"/>
        </w:rPr>
      </w:pPr>
    </w:p>
    <w:p w14:paraId="0B2AA5F6" w14:textId="7E2D7CF8" w:rsidR="00FA591A" w:rsidRDefault="00FA591A" w:rsidP="0064170E">
      <w:pPr>
        <w:rPr>
          <w:rFonts w:ascii="Century Gothic" w:hAnsi="Century Gothic"/>
          <w:sz w:val="20"/>
          <w:szCs w:val="20"/>
        </w:rPr>
      </w:pPr>
    </w:p>
    <w:p w14:paraId="3220358C" w14:textId="18B314A7" w:rsidR="00FA591A" w:rsidRDefault="00FA591A" w:rsidP="0064170E">
      <w:pPr>
        <w:rPr>
          <w:rFonts w:ascii="Century Gothic" w:hAnsi="Century Gothic"/>
          <w:sz w:val="20"/>
          <w:szCs w:val="20"/>
        </w:rPr>
      </w:pPr>
    </w:p>
    <w:p w14:paraId="292C0783" w14:textId="1928F2F3" w:rsidR="00FA591A" w:rsidRDefault="00FA591A" w:rsidP="0064170E">
      <w:pPr>
        <w:rPr>
          <w:rFonts w:ascii="Century Gothic" w:hAnsi="Century Gothic"/>
          <w:sz w:val="20"/>
          <w:szCs w:val="20"/>
        </w:rPr>
      </w:pPr>
    </w:p>
    <w:p w14:paraId="52FD1D42" w14:textId="535843AB" w:rsidR="00FA591A" w:rsidRDefault="00FA591A" w:rsidP="0064170E">
      <w:pPr>
        <w:rPr>
          <w:rFonts w:ascii="Century Gothic" w:hAnsi="Century Gothic"/>
          <w:sz w:val="20"/>
          <w:szCs w:val="20"/>
        </w:rPr>
      </w:pPr>
    </w:p>
    <w:p w14:paraId="7C28D707" w14:textId="45CE1490" w:rsidR="00FA591A" w:rsidRDefault="00FA591A" w:rsidP="0064170E">
      <w:pPr>
        <w:rPr>
          <w:rFonts w:ascii="Century Gothic" w:hAnsi="Century Gothic"/>
          <w:sz w:val="20"/>
          <w:szCs w:val="20"/>
        </w:rPr>
      </w:pPr>
    </w:p>
    <w:p w14:paraId="0DF7BD3F" w14:textId="7423C0B2" w:rsidR="00FA591A" w:rsidRDefault="00FA591A" w:rsidP="0064170E">
      <w:pPr>
        <w:rPr>
          <w:rFonts w:ascii="Century Gothic" w:hAnsi="Century Gothic"/>
          <w:sz w:val="20"/>
          <w:szCs w:val="20"/>
        </w:rPr>
      </w:pPr>
    </w:p>
    <w:p w14:paraId="1AA47051" w14:textId="31758C73" w:rsidR="00FA591A" w:rsidRDefault="00FA591A" w:rsidP="0064170E">
      <w:pPr>
        <w:rPr>
          <w:rFonts w:ascii="Century Gothic" w:hAnsi="Century Gothic"/>
          <w:sz w:val="20"/>
          <w:szCs w:val="20"/>
        </w:rPr>
      </w:pPr>
    </w:p>
    <w:p w14:paraId="0599D406" w14:textId="79679F27" w:rsidR="00FA591A" w:rsidRDefault="00FA591A" w:rsidP="0064170E">
      <w:pPr>
        <w:rPr>
          <w:rFonts w:ascii="Century Gothic" w:hAnsi="Century Gothic"/>
          <w:sz w:val="20"/>
          <w:szCs w:val="20"/>
        </w:rPr>
      </w:pPr>
    </w:p>
    <w:p w14:paraId="1751851F" w14:textId="2D6CA3BF" w:rsidR="00FA591A" w:rsidRDefault="00FA591A" w:rsidP="0064170E">
      <w:pPr>
        <w:rPr>
          <w:rFonts w:ascii="Century Gothic" w:hAnsi="Century Gothic"/>
          <w:sz w:val="20"/>
          <w:szCs w:val="20"/>
        </w:rPr>
      </w:pPr>
    </w:p>
    <w:p w14:paraId="3BD293AE" w14:textId="18784405" w:rsidR="00FA591A" w:rsidRDefault="00FA591A" w:rsidP="0064170E">
      <w:pPr>
        <w:rPr>
          <w:rFonts w:ascii="Century Gothic" w:hAnsi="Century Gothic"/>
          <w:sz w:val="20"/>
          <w:szCs w:val="20"/>
        </w:rPr>
      </w:pPr>
    </w:p>
    <w:p w14:paraId="58D62412" w14:textId="2A329F7B" w:rsidR="00FA591A" w:rsidRDefault="00FA591A" w:rsidP="0064170E">
      <w:pPr>
        <w:rPr>
          <w:rFonts w:ascii="Century Gothic" w:hAnsi="Century Gothic"/>
          <w:sz w:val="20"/>
          <w:szCs w:val="20"/>
        </w:rPr>
      </w:pPr>
    </w:p>
    <w:p w14:paraId="731CFC76" w14:textId="77777777" w:rsidR="00FA591A" w:rsidRPr="001F7FF3" w:rsidRDefault="00FA591A" w:rsidP="0064170E">
      <w:pPr>
        <w:rPr>
          <w:rFonts w:ascii="Century Gothic" w:hAnsi="Century Gothic"/>
          <w:sz w:val="20"/>
          <w:szCs w:val="20"/>
        </w:rPr>
      </w:pPr>
    </w:p>
    <w:p w14:paraId="1F158DD4" w14:textId="18EEB9BC" w:rsidR="00A340DB" w:rsidRPr="001F7FF3" w:rsidRDefault="00A340DB" w:rsidP="0064170E">
      <w:pPr>
        <w:rPr>
          <w:rFonts w:ascii="Century Gothic" w:hAnsi="Century Gothic"/>
          <w:sz w:val="20"/>
          <w:szCs w:val="20"/>
        </w:rPr>
      </w:pPr>
    </w:p>
    <w:p w14:paraId="19583239" w14:textId="68465961" w:rsidR="00A340DB" w:rsidRPr="001F7FF3" w:rsidRDefault="00A340DB" w:rsidP="0064170E">
      <w:pPr>
        <w:rPr>
          <w:rFonts w:ascii="Century Gothic" w:hAnsi="Century Gothic"/>
          <w:sz w:val="22"/>
          <w:szCs w:val="22"/>
        </w:rPr>
      </w:pPr>
      <w:r w:rsidRPr="001F7FF3">
        <w:rPr>
          <w:rFonts w:ascii="Century Gothic" w:eastAsiaTheme="majorEastAsia" w:hAnsi="Century Gothic" w:cstheme="majorBidi"/>
          <w:b/>
          <w:bCs/>
          <w:color w:val="2D4F8E" w:themeColor="accent1" w:themeShade="B5"/>
          <w:sz w:val="22"/>
          <w:szCs w:val="22"/>
          <w:lang w:eastAsia="es-ES"/>
        </w:rPr>
        <w:t>Informe Final de Evaluación Portafolio de Justicia Transicional - PNUD</w:t>
      </w:r>
    </w:p>
    <w:p w14:paraId="6B25995D" w14:textId="77777777" w:rsidR="00A340DB" w:rsidRPr="001F7FF3" w:rsidRDefault="00A340DB" w:rsidP="0064170E">
      <w:pPr>
        <w:rPr>
          <w:rFonts w:ascii="Century Gothic" w:hAnsi="Century Gothic"/>
          <w:sz w:val="20"/>
          <w:szCs w:val="20"/>
        </w:rPr>
      </w:pPr>
    </w:p>
    <w:p w14:paraId="0000009E" w14:textId="3C1C4031" w:rsidR="00F1064E" w:rsidRPr="001F7FF3" w:rsidRDefault="001D0FD3" w:rsidP="009D291F">
      <w:pPr>
        <w:pStyle w:val="Ttulo1"/>
        <w:numPr>
          <w:ilvl w:val="0"/>
          <w:numId w:val="2"/>
        </w:numPr>
        <w:jc w:val="both"/>
        <w:rPr>
          <w:lang w:val="es-CO"/>
        </w:rPr>
      </w:pPr>
      <w:bookmarkStart w:id="14" w:name="_Toc117261392"/>
      <w:r w:rsidRPr="001F7FF3">
        <w:rPr>
          <w:lang w:val="es-CO"/>
        </w:rPr>
        <w:t>Descripción de la intervención</w:t>
      </w:r>
      <w:bookmarkEnd w:id="14"/>
      <w:r w:rsidRPr="001F7FF3">
        <w:rPr>
          <w:lang w:val="es-CO"/>
        </w:rPr>
        <w:t xml:space="preserve"> </w:t>
      </w:r>
    </w:p>
    <w:p w14:paraId="0000009F" w14:textId="1287926E" w:rsidR="00F1064E" w:rsidRPr="001F7FF3" w:rsidRDefault="001D0FD3" w:rsidP="009D291F">
      <w:pPr>
        <w:pStyle w:val="Ttulo2"/>
        <w:numPr>
          <w:ilvl w:val="0"/>
          <w:numId w:val="0"/>
        </w:numPr>
        <w:ind w:left="720"/>
        <w:jc w:val="both"/>
        <w:rPr>
          <w:b/>
        </w:rPr>
      </w:pPr>
      <w:bookmarkStart w:id="15" w:name="_Toc117261393"/>
      <w:r w:rsidRPr="001F7FF3">
        <w:rPr>
          <w:b/>
        </w:rPr>
        <w:t>Teoría de cambio</w:t>
      </w:r>
      <w:bookmarkEnd w:id="15"/>
      <w:r w:rsidRPr="001F7FF3">
        <w:rPr>
          <w:b/>
        </w:rPr>
        <w:t xml:space="preserve"> </w:t>
      </w:r>
    </w:p>
    <w:p w14:paraId="000000A0" w14:textId="77777777" w:rsidR="00F1064E" w:rsidRPr="001F7FF3" w:rsidRDefault="00F1064E" w:rsidP="009D291F">
      <w:pPr>
        <w:pBdr>
          <w:top w:val="nil"/>
          <w:left w:val="nil"/>
          <w:bottom w:val="nil"/>
          <w:right w:val="nil"/>
          <w:between w:val="nil"/>
        </w:pBdr>
        <w:ind w:left="720" w:right="113"/>
        <w:jc w:val="both"/>
        <w:rPr>
          <w:rFonts w:ascii="Century Gothic" w:eastAsia="Arial" w:hAnsi="Century Gothic" w:cs="Arial"/>
          <w:color w:val="000000"/>
          <w:sz w:val="20"/>
          <w:szCs w:val="20"/>
        </w:rPr>
      </w:pPr>
    </w:p>
    <w:p w14:paraId="000000A1" w14:textId="2AEC98F2"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Partiendo de la Teoría de Cambio (ToC) propuesta en el </w:t>
      </w:r>
      <w:r w:rsidR="00B06859" w:rsidRPr="001F7FF3">
        <w:rPr>
          <w:rFonts w:ascii="Century Gothic" w:eastAsia="Century Gothic" w:hAnsi="Century Gothic" w:cs="Century Gothic"/>
          <w:sz w:val="20"/>
          <w:szCs w:val="20"/>
        </w:rPr>
        <w:t>documento de proyecto (</w:t>
      </w:r>
      <w:r w:rsidRPr="001F7FF3">
        <w:rPr>
          <w:rFonts w:ascii="Century Gothic" w:eastAsia="Century Gothic" w:hAnsi="Century Gothic" w:cs="Century Gothic"/>
          <w:sz w:val="20"/>
          <w:szCs w:val="20"/>
        </w:rPr>
        <w:t>Pro</w:t>
      </w:r>
      <w:r w:rsidR="00363F6A" w:rsidRPr="001F7FF3">
        <w:rPr>
          <w:rFonts w:ascii="Century Gothic" w:eastAsia="Century Gothic" w:hAnsi="Century Gothic" w:cs="Century Gothic"/>
          <w:sz w:val="20"/>
          <w:szCs w:val="20"/>
        </w:rPr>
        <w:t>d</w:t>
      </w:r>
      <w:r w:rsidRPr="001F7FF3">
        <w:rPr>
          <w:rFonts w:ascii="Century Gothic" w:eastAsia="Century Gothic" w:hAnsi="Century Gothic" w:cs="Century Gothic"/>
          <w:sz w:val="20"/>
          <w:szCs w:val="20"/>
        </w:rPr>
        <w:t>oc</w:t>
      </w:r>
      <w:r w:rsidR="00B06859"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el P</w:t>
      </w:r>
      <w:r w:rsidR="00D16A22" w:rsidRPr="001F7FF3">
        <w:rPr>
          <w:rFonts w:ascii="Century Gothic" w:eastAsia="Century Gothic" w:hAnsi="Century Gothic" w:cs="Century Gothic"/>
          <w:sz w:val="20"/>
          <w:szCs w:val="20"/>
        </w:rPr>
        <w:t xml:space="preserve">rograma de </w:t>
      </w:r>
      <w:r w:rsidRPr="001F7FF3">
        <w:rPr>
          <w:rFonts w:ascii="Century Gothic" w:eastAsia="Century Gothic" w:hAnsi="Century Gothic" w:cs="Century Gothic"/>
          <w:sz w:val="20"/>
          <w:szCs w:val="20"/>
        </w:rPr>
        <w:t>J</w:t>
      </w:r>
      <w:r w:rsidR="00D16A22" w:rsidRPr="001F7FF3">
        <w:rPr>
          <w:rFonts w:ascii="Century Gothic" w:eastAsia="Century Gothic" w:hAnsi="Century Gothic" w:cs="Century Gothic"/>
          <w:sz w:val="20"/>
          <w:szCs w:val="20"/>
        </w:rPr>
        <w:t xml:space="preserve">usticia </w:t>
      </w:r>
      <w:r w:rsidRPr="001F7FF3">
        <w:rPr>
          <w:rFonts w:ascii="Century Gothic" w:eastAsia="Century Gothic" w:hAnsi="Century Gothic" w:cs="Century Gothic"/>
          <w:sz w:val="20"/>
          <w:szCs w:val="20"/>
        </w:rPr>
        <w:t>T</w:t>
      </w:r>
      <w:r w:rsidR="00D16A22" w:rsidRPr="001F7FF3">
        <w:rPr>
          <w:rFonts w:ascii="Century Gothic" w:eastAsia="Century Gothic" w:hAnsi="Century Gothic" w:cs="Century Gothic"/>
          <w:sz w:val="20"/>
          <w:szCs w:val="20"/>
        </w:rPr>
        <w:t>ransicional (PJT)</w:t>
      </w:r>
      <w:r w:rsidRPr="001F7FF3">
        <w:rPr>
          <w:rFonts w:ascii="Century Gothic" w:eastAsia="Century Gothic" w:hAnsi="Century Gothic" w:cs="Century Gothic"/>
          <w:sz w:val="20"/>
          <w:szCs w:val="20"/>
        </w:rPr>
        <w:t xml:space="preserve"> </w:t>
      </w:r>
      <w:r w:rsidR="008D1BD1" w:rsidRPr="001F7FF3">
        <w:rPr>
          <w:rFonts w:ascii="Century Gothic" w:eastAsia="Century Gothic" w:hAnsi="Century Gothic" w:cs="Century Gothic"/>
          <w:sz w:val="20"/>
          <w:szCs w:val="20"/>
        </w:rPr>
        <w:t xml:space="preserve">del Programa de las Naciones Unidas para el Desarrollo (PNUD), </w:t>
      </w:r>
      <w:r w:rsidRPr="001F7FF3">
        <w:rPr>
          <w:rFonts w:ascii="Century Gothic" w:eastAsia="Century Gothic" w:hAnsi="Century Gothic" w:cs="Century Gothic"/>
          <w:sz w:val="20"/>
          <w:szCs w:val="20"/>
        </w:rPr>
        <w:t>basa su acción en el contexto de</w:t>
      </w:r>
      <w:r w:rsidR="007A3534" w:rsidRPr="001F7FF3">
        <w:rPr>
          <w:rFonts w:ascii="Century Gothic" w:eastAsia="Century Gothic" w:hAnsi="Century Gothic" w:cs="Century Gothic"/>
          <w:sz w:val="20"/>
          <w:szCs w:val="20"/>
        </w:rPr>
        <w:t>l</w:t>
      </w:r>
      <w:r w:rsidRPr="001F7FF3">
        <w:rPr>
          <w:rFonts w:ascii="Century Gothic" w:eastAsia="Century Gothic" w:hAnsi="Century Gothic" w:cs="Century Gothic"/>
          <w:sz w:val="20"/>
          <w:szCs w:val="20"/>
        </w:rPr>
        <w:t xml:space="preserve"> pos</w:t>
      </w:r>
      <w:r w:rsidR="00363F6A" w:rsidRPr="001F7FF3">
        <w:rPr>
          <w:rFonts w:ascii="Century Gothic" w:eastAsia="Century Gothic" w:hAnsi="Century Gothic" w:cs="Century Gothic"/>
          <w:sz w:val="20"/>
          <w:szCs w:val="20"/>
        </w:rPr>
        <w:t xml:space="preserve">t </w:t>
      </w:r>
      <w:r w:rsidRPr="001F7FF3">
        <w:rPr>
          <w:rFonts w:ascii="Century Gothic" w:eastAsia="Century Gothic" w:hAnsi="Century Gothic" w:cs="Century Gothic"/>
          <w:sz w:val="20"/>
          <w:szCs w:val="20"/>
        </w:rPr>
        <w:t>acuerdo</w:t>
      </w:r>
      <w:r w:rsidR="00527E01"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e identifica los principales desafíos estructurales y condiciones habilitantes para la implementación del Acuerdo de Paz (AP). De esta mane</w:t>
      </w:r>
      <w:r w:rsidR="00692238" w:rsidRPr="001F7FF3">
        <w:rPr>
          <w:rFonts w:ascii="Century Gothic" w:eastAsia="Century Gothic" w:hAnsi="Century Gothic" w:cs="Century Gothic"/>
          <w:sz w:val="20"/>
          <w:szCs w:val="20"/>
        </w:rPr>
        <w:t>ra</w:t>
      </w:r>
      <w:r w:rsidR="006B5263"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establece la población objetivo y sus principales necesidades para diseñar proyectos basados en ellas. En este sentido, se visibiliza que</w:t>
      </w:r>
      <w:r w:rsidR="00F31E94"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en Colombia, </w:t>
      </w:r>
      <w:r w:rsidR="00F116F7" w:rsidRPr="001F7FF3">
        <w:rPr>
          <w:rFonts w:ascii="Century Gothic" w:eastAsia="Century Gothic" w:hAnsi="Century Gothic" w:cs="Century Gothic"/>
          <w:sz w:val="20"/>
          <w:szCs w:val="20"/>
        </w:rPr>
        <w:t>hay 9,294,225</w:t>
      </w:r>
      <w:r w:rsidR="00F116F7" w:rsidRPr="001F7FF3">
        <w:rPr>
          <w:rStyle w:val="Refdenotaalpie"/>
          <w:rFonts w:ascii="Century Gothic" w:eastAsia="Century Gothic" w:hAnsi="Century Gothic" w:cs="Century Gothic"/>
          <w:sz w:val="20"/>
          <w:szCs w:val="20"/>
        </w:rPr>
        <w:footnoteReference w:id="2"/>
      </w:r>
      <w:r w:rsidR="00F116F7"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de víctimas, de las cuales 48,9% son mujeres, 5,2% indígenas y 12,5% afrocolombianos</w:t>
      </w:r>
      <w:r w:rsidRPr="001F7FF3">
        <w:rPr>
          <w:rFonts w:ascii="Century Gothic" w:eastAsia="Century Gothic" w:hAnsi="Century Gothic" w:cs="Century Gothic"/>
          <w:sz w:val="20"/>
          <w:szCs w:val="20"/>
          <w:vertAlign w:val="superscript"/>
        </w:rPr>
        <w:footnoteReference w:id="3"/>
      </w:r>
      <w:r w:rsidRPr="001F7FF3">
        <w:rPr>
          <w:rFonts w:ascii="Century Gothic" w:eastAsia="Century Gothic" w:hAnsi="Century Gothic" w:cs="Century Gothic"/>
          <w:sz w:val="20"/>
          <w:szCs w:val="20"/>
        </w:rPr>
        <w:t xml:space="preserve">, ejercen una gran demanda de verdad, justicia, reparación y garantías de no repetición, con especial énfasis en las poblaciones más vulnerables y con más altos niveles de victimización, como las mujeres y los integrantes de las comunidades étnicas. </w:t>
      </w:r>
    </w:p>
    <w:p w14:paraId="000000A2" w14:textId="77777777" w:rsidR="00F1064E" w:rsidRPr="001F7FF3" w:rsidRDefault="00F1064E" w:rsidP="009D291F">
      <w:pPr>
        <w:jc w:val="both"/>
        <w:rPr>
          <w:rFonts w:ascii="Century Gothic" w:eastAsia="Century Gothic" w:hAnsi="Century Gothic" w:cs="Century Gothic"/>
          <w:sz w:val="20"/>
          <w:szCs w:val="20"/>
        </w:rPr>
      </w:pPr>
    </w:p>
    <w:p w14:paraId="000000A3" w14:textId="09B83033"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En relación con las limitantes identificadas por el PJT </w:t>
      </w:r>
      <w:r w:rsidR="00A16AF3" w:rsidRPr="001F7FF3">
        <w:rPr>
          <w:rFonts w:ascii="Century Gothic" w:eastAsia="Century Gothic" w:hAnsi="Century Gothic" w:cs="Century Gothic"/>
          <w:sz w:val="20"/>
          <w:szCs w:val="20"/>
        </w:rPr>
        <w:t xml:space="preserve">del PNUD </w:t>
      </w:r>
      <w:r w:rsidRPr="001F7FF3">
        <w:rPr>
          <w:rFonts w:ascii="Century Gothic" w:eastAsia="Century Gothic" w:hAnsi="Century Gothic" w:cs="Century Gothic"/>
          <w:sz w:val="20"/>
          <w:szCs w:val="20"/>
        </w:rPr>
        <w:t xml:space="preserve">para satisfacer el acceso a la verdad, justicia y garantías de no repetición, y a las cuales pretende dar respuesta, se </w:t>
      </w:r>
      <w:r w:rsidR="00AD3FF5" w:rsidRPr="001F7FF3">
        <w:rPr>
          <w:rFonts w:ascii="Century Gothic" w:eastAsia="Century Gothic" w:hAnsi="Century Gothic" w:cs="Century Gothic"/>
          <w:sz w:val="20"/>
          <w:szCs w:val="20"/>
        </w:rPr>
        <w:t>evidencia</w:t>
      </w:r>
      <w:r w:rsidRPr="001F7FF3">
        <w:rPr>
          <w:rFonts w:ascii="Century Gothic" w:eastAsia="Century Gothic" w:hAnsi="Century Gothic" w:cs="Century Gothic"/>
          <w:sz w:val="20"/>
          <w:szCs w:val="20"/>
        </w:rPr>
        <w:t xml:space="preserve"> que el Estado ha desbordado/superado su capacidad institucional, reduciendo o ralentizando su capacidad de respuesta, lo cual ha generado desconfianza en las instituciones en cuanto a su compromiso hacia la reconciliación y la implementación del </w:t>
      </w:r>
      <w:r w:rsidR="009D6BC7" w:rsidRPr="001F7FF3">
        <w:rPr>
          <w:rFonts w:ascii="Century Gothic" w:eastAsia="Century Gothic" w:hAnsi="Century Gothic" w:cs="Century Gothic"/>
          <w:sz w:val="20"/>
          <w:szCs w:val="20"/>
        </w:rPr>
        <w:t>AP</w:t>
      </w:r>
      <w:r w:rsidRPr="001F7FF3">
        <w:rPr>
          <w:rFonts w:ascii="Century Gothic" w:eastAsia="Century Gothic" w:hAnsi="Century Gothic" w:cs="Century Gothic"/>
          <w:sz w:val="20"/>
          <w:szCs w:val="20"/>
        </w:rPr>
        <w:t xml:space="preserve">. </w:t>
      </w:r>
    </w:p>
    <w:p w14:paraId="000000A4" w14:textId="77777777" w:rsidR="00F1064E" w:rsidRPr="001F7FF3" w:rsidRDefault="00F1064E" w:rsidP="009D291F">
      <w:pPr>
        <w:jc w:val="both"/>
        <w:rPr>
          <w:rFonts w:ascii="Century Gothic" w:eastAsia="Century Gothic" w:hAnsi="Century Gothic" w:cs="Century Gothic"/>
          <w:sz w:val="20"/>
          <w:szCs w:val="20"/>
        </w:rPr>
      </w:pPr>
    </w:p>
    <w:p w14:paraId="000000A5" w14:textId="188F77FF"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En este marco, el PJT cuenta con cuatro principales estrategias que se pueden traducir en objetivos estratégicos y resultados a través del proceso de diseño e implementación. Estas estrategias se enfocan en: </w:t>
      </w:r>
      <w:r w:rsidRPr="001F7FF3">
        <w:rPr>
          <w:rFonts w:ascii="Century Gothic" w:hAnsi="Century Gothic"/>
          <w:sz w:val="20"/>
          <w:szCs w:val="20"/>
        </w:rPr>
        <w:t>1) el fortalecimiento de las capacidades institucionales y de organizaciones en temas de justicia transicional</w:t>
      </w:r>
      <w:r w:rsidRPr="001F7FF3">
        <w:rPr>
          <w:rFonts w:ascii="Century Gothic" w:eastAsia="Century Gothic" w:hAnsi="Century Gothic" w:cs="Century Gothic"/>
          <w:sz w:val="20"/>
          <w:szCs w:val="20"/>
        </w:rPr>
        <w:t xml:space="preserve">; </w:t>
      </w:r>
      <w:r w:rsidRPr="001F7FF3">
        <w:rPr>
          <w:rFonts w:ascii="Century Gothic" w:hAnsi="Century Gothic"/>
          <w:sz w:val="20"/>
          <w:szCs w:val="20"/>
        </w:rPr>
        <w:t>2) la mejora de la oferta y respuesta institucional</w:t>
      </w:r>
      <w:r w:rsidRPr="001F7FF3">
        <w:rPr>
          <w:rFonts w:ascii="Century Gothic" w:eastAsia="Century Gothic" w:hAnsi="Century Gothic" w:cs="Century Gothic"/>
          <w:sz w:val="20"/>
          <w:szCs w:val="20"/>
        </w:rPr>
        <w:t xml:space="preserve">; </w:t>
      </w:r>
      <w:r w:rsidRPr="001F7FF3">
        <w:rPr>
          <w:rFonts w:ascii="Century Gothic" w:hAnsi="Century Gothic"/>
          <w:sz w:val="20"/>
          <w:szCs w:val="20"/>
        </w:rPr>
        <w:t>3) la mejora de la confianza en el Estado, la reconciliación y en el proceso de paz;</w:t>
      </w:r>
      <w:r w:rsidRPr="001F7FF3">
        <w:rPr>
          <w:rFonts w:ascii="Century Gothic" w:eastAsia="Century Gothic" w:hAnsi="Century Gothic" w:cs="Century Gothic"/>
          <w:sz w:val="20"/>
          <w:szCs w:val="20"/>
        </w:rPr>
        <w:t xml:space="preserve"> y 4</w:t>
      </w:r>
      <w:r w:rsidRPr="001F7FF3">
        <w:rPr>
          <w:rFonts w:ascii="Century Gothic" w:hAnsi="Century Gothic"/>
          <w:sz w:val="20"/>
          <w:szCs w:val="20"/>
        </w:rPr>
        <w:t xml:space="preserve">) la promoción del goce efectivo de los derechos. A su vez, plantea su intervención en las cuatro aproximaciones, enfoques o </w:t>
      </w:r>
      <w:r w:rsidR="00944EED" w:rsidRPr="001F7FF3">
        <w:rPr>
          <w:rFonts w:ascii="Century Gothic" w:hAnsi="Century Gothic"/>
          <w:sz w:val="20"/>
          <w:szCs w:val="20"/>
        </w:rPr>
        <w:t>categorías</w:t>
      </w:r>
      <w:r w:rsidRPr="001F7FF3">
        <w:rPr>
          <w:rFonts w:ascii="Century Gothic" w:hAnsi="Century Gothic"/>
          <w:sz w:val="20"/>
          <w:szCs w:val="20"/>
        </w:rPr>
        <w:t xml:space="preserve"> de </w:t>
      </w:r>
      <w:r w:rsidR="009378EC" w:rsidRPr="001F7FF3">
        <w:rPr>
          <w:rFonts w:ascii="Century Gothic" w:hAnsi="Century Gothic"/>
          <w:sz w:val="20"/>
          <w:szCs w:val="20"/>
        </w:rPr>
        <w:t xml:space="preserve">los </w:t>
      </w:r>
      <w:r w:rsidRPr="001F7FF3">
        <w:rPr>
          <w:rFonts w:ascii="Century Gothic" w:hAnsi="Century Gothic"/>
          <w:sz w:val="20"/>
          <w:szCs w:val="20"/>
        </w:rPr>
        <w:t xml:space="preserve">derechos asociados a la justicia transicional: </w:t>
      </w:r>
      <w:r w:rsidR="00F17698" w:rsidRPr="001F7FF3">
        <w:rPr>
          <w:rFonts w:ascii="Century Gothic" w:hAnsi="Century Gothic"/>
          <w:sz w:val="20"/>
          <w:szCs w:val="20"/>
        </w:rPr>
        <w:t>d</w:t>
      </w:r>
      <w:r w:rsidRPr="001F7FF3">
        <w:rPr>
          <w:rFonts w:ascii="Century Gothic" w:hAnsi="Century Gothic"/>
          <w:sz w:val="20"/>
          <w:szCs w:val="20"/>
        </w:rPr>
        <w:t xml:space="preserve">erecho a la verdad y la memoria </w:t>
      </w:r>
      <w:r w:rsidR="00944EED" w:rsidRPr="001F7FF3">
        <w:rPr>
          <w:rFonts w:ascii="Century Gothic" w:hAnsi="Century Gothic"/>
          <w:sz w:val="20"/>
          <w:szCs w:val="20"/>
        </w:rPr>
        <w:t>histórica</w:t>
      </w:r>
      <w:r w:rsidR="00F17698"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acceso a la justicia y lucha contra la impunidad</w:t>
      </w:r>
      <w:r w:rsidR="00F17698"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reparación integral</w:t>
      </w:r>
      <w:r w:rsidR="00924350"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y</w:t>
      </w:r>
      <w:r w:rsidR="00F17698"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garantías de no repetición. </w:t>
      </w:r>
    </w:p>
    <w:p w14:paraId="000000A6" w14:textId="77777777" w:rsidR="00F1064E" w:rsidRPr="001F7FF3" w:rsidRDefault="00F1064E" w:rsidP="009D291F">
      <w:pPr>
        <w:jc w:val="both"/>
        <w:rPr>
          <w:rFonts w:ascii="Century Gothic" w:eastAsia="Century Gothic" w:hAnsi="Century Gothic" w:cs="Century Gothic"/>
          <w:sz w:val="20"/>
          <w:szCs w:val="20"/>
        </w:rPr>
      </w:pPr>
    </w:p>
    <w:p w14:paraId="7C45B5B9" w14:textId="2DCFB7F0" w:rsidR="00944EED"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Adicionalmente, vincula en su accionar enfoques como </w:t>
      </w:r>
      <w:r w:rsidR="0056724F" w:rsidRPr="001F7FF3">
        <w:rPr>
          <w:rFonts w:ascii="Century Gothic" w:eastAsia="Century Gothic" w:hAnsi="Century Gothic" w:cs="Century Gothic"/>
          <w:sz w:val="20"/>
          <w:szCs w:val="20"/>
        </w:rPr>
        <w:t xml:space="preserve">el de </w:t>
      </w:r>
      <w:r w:rsidR="00E814AD" w:rsidRPr="001F7FF3">
        <w:rPr>
          <w:rFonts w:ascii="Century Gothic" w:eastAsia="Century Gothic" w:hAnsi="Century Gothic" w:cs="Century Gothic"/>
          <w:sz w:val="20"/>
          <w:szCs w:val="20"/>
        </w:rPr>
        <w:t xml:space="preserve">gestión </w:t>
      </w:r>
      <w:r w:rsidR="0056724F" w:rsidRPr="001F7FF3">
        <w:rPr>
          <w:rFonts w:ascii="Century Gothic" w:eastAsia="Century Gothic" w:hAnsi="Century Gothic" w:cs="Century Gothic"/>
          <w:sz w:val="20"/>
          <w:szCs w:val="20"/>
        </w:rPr>
        <w:t>por resultados</w:t>
      </w:r>
      <w:r w:rsidRPr="001F7FF3">
        <w:rPr>
          <w:rFonts w:ascii="Century Gothic" w:eastAsia="Century Gothic" w:hAnsi="Century Gothic" w:cs="Century Gothic"/>
          <w:sz w:val="20"/>
          <w:szCs w:val="20"/>
        </w:rPr>
        <w:t xml:space="preserve">, el diálogo y el desarrollo de capacidades. Además, cuenta con enfoques transversales que hacen parte fundamental de las acciones y estrategias implementadas por medio de sus proyectos, a decir: </w:t>
      </w:r>
    </w:p>
    <w:p w14:paraId="5B1810A1" w14:textId="77777777" w:rsidR="00576877" w:rsidRPr="001F7FF3" w:rsidRDefault="00576877" w:rsidP="009D291F">
      <w:pPr>
        <w:jc w:val="both"/>
        <w:rPr>
          <w:rFonts w:ascii="Century Gothic" w:eastAsia="Century Gothic" w:hAnsi="Century Gothic" w:cs="Century Gothic"/>
          <w:sz w:val="20"/>
          <w:szCs w:val="20"/>
        </w:rPr>
      </w:pPr>
    </w:p>
    <w:p w14:paraId="000000AA" w14:textId="295268CB"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b/>
          <w:sz w:val="20"/>
          <w:szCs w:val="20"/>
        </w:rPr>
        <w:t>Enfoque de género:</w:t>
      </w:r>
      <w:r w:rsidRPr="001F7FF3">
        <w:rPr>
          <w:rFonts w:ascii="Century Gothic" w:eastAsia="Century Gothic" w:hAnsi="Century Gothic" w:cs="Century Gothic"/>
          <w:sz w:val="20"/>
          <w:szCs w:val="20"/>
        </w:rPr>
        <w:t xml:space="preserve"> El conflicto armado ha tenido un impacto desproporcionado contra las mujeres</w:t>
      </w:r>
      <w:r w:rsidR="00942AE5"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en especial por afectaciones de discriminación, violencia basada en género</w:t>
      </w:r>
      <w:r w:rsidR="00AD6C10" w:rsidRPr="001F7FF3">
        <w:rPr>
          <w:rFonts w:ascii="Century Gothic" w:eastAsia="Century Gothic" w:hAnsi="Century Gothic" w:cs="Century Gothic"/>
          <w:sz w:val="20"/>
          <w:szCs w:val="20"/>
        </w:rPr>
        <w:t xml:space="preserve"> (VBG)</w:t>
      </w:r>
      <w:r w:rsidRPr="001F7FF3">
        <w:rPr>
          <w:rFonts w:ascii="Century Gothic" w:eastAsia="Century Gothic" w:hAnsi="Century Gothic" w:cs="Century Gothic"/>
          <w:sz w:val="20"/>
          <w:szCs w:val="20"/>
        </w:rPr>
        <w:t xml:space="preserve">, violencia sexual, entre otros, </w:t>
      </w:r>
      <w:r w:rsidR="008E1788" w:rsidRPr="001F7FF3">
        <w:rPr>
          <w:rFonts w:ascii="Century Gothic" w:eastAsia="Century Gothic" w:hAnsi="Century Gothic" w:cs="Century Gothic"/>
          <w:sz w:val="20"/>
          <w:szCs w:val="20"/>
        </w:rPr>
        <w:t xml:space="preserve">tal y </w:t>
      </w:r>
      <w:r w:rsidRPr="001F7FF3">
        <w:rPr>
          <w:rFonts w:ascii="Century Gothic" w:eastAsia="Century Gothic" w:hAnsi="Century Gothic" w:cs="Century Gothic"/>
          <w:sz w:val="20"/>
          <w:szCs w:val="20"/>
        </w:rPr>
        <w:t xml:space="preserve">como lo indica la Comisión Interamericana de </w:t>
      </w:r>
      <w:r w:rsidR="00C225B7" w:rsidRPr="001F7FF3">
        <w:rPr>
          <w:rFonts w:ascii="Century Gothic" w:eastAsia="Century Gothic" w:hAnsi="Century Gothic" w:cs="Century Gothic"/>
          <w:sz w:val="20"/>
          <w:szCs w:val="20"/>
        </w:rPr>
        <w:t>D</w:t>
      </w:r>
      <w:r w:rsidRPr="001F7FF3">
        <w:rPr>
          <w:rFonts w:ascii="Century Gothic" w:eastAsia="Century Gothic" w:hAnsi="Century Gothic" w:cs="Century Gothic"/>
          <w:sz w:val="20"/>
          <w:szCs w:val="20"/>
        </w:rPr>
        <w:t xml:space="preserve">erechos Humanos </w:t>
      </w:r>
      <w:r w:rsidR="00AD6C10" w:rsidRPr="001F7FF3">
        <w:rPr>
          <w:rFonts w:ascii="Century Gothic" w:eastAsia="Century Gothic" w:hAnsi="Century Gothic" w:cs="Century Gothic"/>
          <w:sz w:val="20"/>
          <w:szCs w:val="20"/>
        </w:rPr>
        <w:t xml:space="preserve">(CIDH) </w:t>
      </w:r>
      <w:r w:rsidRPr="001F7FF3">
        <w:rPr>
          <w:rFonts w:ascii="Century Gothic" w:eastAsia="Century Gothic" w:hAnsi="Century Gothic" w:cs="Century Gothic"/>
          <w:sz w:val="20"/>
          <w:szCs w:val="20"/>
        </w:rPr>
        <w:t xml:space="preserve">en el apartado de las </w:t>
      </w:r>
      <w:r w:rsidR="008E1788"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Mujeres frente a la violencia y la discriminación derivadas del conflicto armado en Colombia</w:t>
      </w:r>
      <w:r w:rsidR="008E1788"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La Alianza “las cinco claves” se conformó en el marco de las negociaciones del Acuerdo de Paz a partir de la </w:t>
      </w:r>
      <w:r w:rsidRPr="001F7FF3">
        <w:rPr>
          <w:rFonts w:ascii="Century Gothic" w:eastAsia="Century Gothic" w:hAnsi="Century Gothic" w:cs="Century Gothic"/>
          <w:sz w:val="20"/>
          <w:szCs w:val="20"/>
        </w:rPr>
        <w:lastRenderedPageBreak/>
        <w:t>experiencia de personas y organizaciones de mujeres y víctimas en casos de violencia sexual en el marco del conflicto armado</w:t>
      </w:r>
      <w:r w:rsidR="00757D42" w:rsidRPr="001F7FF3">
        <w:rPr>
          <w:rFonts w:ascii="Century Gothic" w:eastAsia="Century Gothic" w:hAnsi="Century Gothic" w:cs="Century Gothic"/>
          <w:sz w:val="20"/>
          <w:szCs w:val="20"/>
        </w:rPr>
        <w:t>. Esto aportó</w:t>
      </w:r>
      <w:r w:rsidR="00BA71A8" w:rsidRPr="001F7FF3">
        <w:rPr>
          <w:rFonts w:ascii="Century Gothic" w:eastAsia="Century Gothic" w:hAnsi="Century Gothic" w:cs="Century Gothic"/>
          <w:sz w:val="20"/>
          <w:szCs w:val="20"/>
        </w:rPr>
        <w:t xml:space="preserve"> una serie de recomendaciones</w:t>
      </w:r>
      <w:r w:rsidR="00D536CA" w:rsidRPr="001F7FF3">
        <w:rPr>
          <w:rFonts w:ascii="Century Gothic" w:eastAsia="Century Gothic" w:hAnsi="Century Gothic" w:cs="Century Gothic"/>
          <w:sz w:val="20"/>
          <w:szCs w:val="20"/>
        </w:rPr>
        <w:t xml:space="preserve"> que fueran tenidas en cuenta en el </w:t>
      </w:r>
      <w:r w:rsidR="009D6BC7" w:rsidRPr="001F7FF3">
        <w:rPr>
          <w:rFonts w:ascii="Century Gothic" w:eastAsia="Century Gothic" w:hAnsi="Century Gothic" w:cs="Century Gothic"/>
          <w:sz w:val="20"/>
          <w:szCs w:val="20"/>
        </w:rPr>
        <w:t xml:space="preserve">AP </w:t>
      </w:r>
      <w:r w:rsidR="00D536CA" w:rsidRPr="001F7FF3">
        <w:rPr>
          <w:rFonts w:ascii="Century Gothic" w:eastAsia="Century Gothic" w:hAnsi="Century Gothic" w:cs="Century Gothic"/>
          <w:sz w:val="20"/>
          <w:szCs w:val="20"/>
        </w:rPr>
        <w:t xml:space="preserve">en materia de género. </w:t>
      </w:r>
      <w:r w:rsidR="00BA71A8" w:rsidRPr="001F7FF3">
        <w:rPr>
          <w:rFonts w:ascii="Century Gothic" w:eastAsia="Century Gothic" w:hAnsi="Century Gothic" w:cs="Century Gothic"/>
          <w:sz w:val="20"/>
          <w:szCs w:val="20"/>
        </w:rPr>
        <w:t xml:space="preserve"> </w:t>
      </w:r>
    </w:p>
    <w:p w14:paraId="74DEA046" w14:textId="77777777" w:rsidR="00757D42" w:rsidRPr="001F7FF3" w:rsidRDefault="00757D42" w:rsidP="009D291F">
      <w:pPr>
        <w:jc w:val="both"/>
        <w:rPr>
          <w:rFonts w:ascii="Century Gothic" w:eastAsia="Century Gothic" w:hAnsi="Century Gothic" w:cs="Century Gothic"/>
          <w:sz w:val="20"/>
          <w:szCs w:val="20"/>
        </w:rPr>
      </w:pPr>
    </w:p>
    <w:p w14:paraId="000000AB" w14:textId="6EE77082"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Adicionalmente, este </w:t>
      </w:r>
      <w:r w:rsidR="00E814AD" w:rsidRPr="001F7FF3">
        <w:rPr>
          <w:rFonts w:ascii="Century Gothic" w:eastAsia="Century Gothic" w:hAnsi="Century Gothic" w:cs="Century Gothic"/>
          <w:sz w:val="20"/>
          <w:szCs w:val="20"/>
        </w:rPr>
        <w:t>abordaje</w:t>
      </w:r>
      <w:r w:rsidRPr="001F7FF3">
        <w:rPr>
          <w:rFonts w:ascii="Century Gothic" w:eastAsia="Century Gothic" w:hAnsi="Century Gothic" w:cs="Century Gothic"/>
          <w:sz w:val="20"/>
          <w:szCs w:val="20"/>
        </w:rPr>
        <w:t xml:space="preserve"> </w:t>
      </w:r>
      <w:r w:rsidR="00BA7666" w:rsidRPr="001F7FF3">
        <w:rPr>
          <w:rFonts w:ascii="Century Gothic" w:eastAsia="Century Gothic" w:hAnsi="Century Gothic" w:cs="Century Gothic"/>
          <w:sz w:val="20"/>
          <w:szCs w:val="20"/>
        </w:rPr>
        <w:t>guarda relación con el mandato que asume</w:t>
      </w:r>
      <w:r w:rsidRPr="001F7FF3">
        <w:rPr>
          <w:rFonts w:ascii="Century Gothic" w:eastAsia="Century Gothic" w:hAnsi="Century Gothic" w:cs="Century Gothic"/>
          <w:sz w:val="20"/>
          <w:szCs w:val="20"/>
        </w:rPr>
        <w:t xml:space="preserve"> el Sistema de Naciones Unidas, </w:t>
      </w:r>
      <w:r w:rsidR="00BA7666" w:rsidRPr="001F7FF3">
        <w:rPr>
          <w:rFonts w:ascii="Century Gothic" w:eastAsia="Century Gothic" w:hAnsi="Century Gothic" w:cs="Century Gothic"/>
          <w:sz w:val="20"/>
          <w:szCs w:val="20"/>
        </w:rPr>
        <w:t>el cual</w:t>
      </w:r>
      <w:r w:rsidRPr="001F7FF3">
        <w:rPr>
          <w:rFonts w:ascii="Century Gothic" w:eastAsia="Century Gothic" w:hAnsi="Century Gothic" w:cs="Century Gothic"/>
          <w:sz w:val="20"/>
          <w:szCs w:val="20"/>
        </w:rPr>
        <w:t xml:space="preserve"> implica una visión </w:t>
      </w:r>
      <w:r w:rsidR="00C82551" w:rsidRPr="001F7FF3">
        <w:rPr>
          <w:rFonts w:ascii="Century Gothic" w:eastAsia="Century Gothic" w:hAnsi="Century Gothic" w:cs="Century Gothic"/>
          <w:sz w:val="20"/>
          <w:szCs w:val="20"/>
        </w:rPr>
        <w:t xml:space="preserve">más amplia </w:t>
      </w:r>
      <w:r w:rsidRPr="001F7FF3">
        <w:rPr>
          <w:rFonts w:ascii="Century Gothic" w:eastAsia="Century Gothic" w:hAnsi="Century Gothic" w:cs="Century Gothic"/>
          <w:sz w:val="20"/>
          <w:szCs w:val="20"/>
        </w:rPr>
        <w:t>del enfoque de género, comprendiendo no solo a las mujeres y su participación sino</w:t>
      </w:r>
      <w:r w:rsidR="00C82551" w:rsidRPr="001F7FF3">
        <w:rPr>
          <w:rFonts w:ascii="Century Gothic" w:eastAsia="Century Gothic" w:hAnsi="Century Gothic" w:cs="Century Gothic"/>
          <w:sz w:val="20"/>
          <w:szCs w:val="20"/>
        </w:rPr>
        <w:t xml:space="preserve"> también</w:t>
      </w:r>
      <w:r w:rsidRPr="001F7FF3">
        <w:rPr>
          <w:rFonts w:ascii="Century Gothic" w:eastAsia="Century Gothic" w:hAnsi="Century Gothic" w:cs="Century Gothic"/>
          <w:sz w:val="20"/>
          <w:szCs w:val="20"/>
        </w:rPr>
        <w:t xml:space="preserve"> diferentes orientaciones e identidades sexuales, así como el trabajo en masculinidades con enfoque de género, sin dejar de lado y darle un trato diferente a situaciones conexas como la violencia basada en género</w:t>
      </w:r>
      <w:r w:rsidR="00AD6C10"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y el impacto de</w:t>
      </w:r>
      <w:r w:rsidR="00757D42" w:rsidRPr="001F7FF3">
        <w:rPr>
          <w:rFonts w:ascii="Century Gothic" w:eastAsia="Century Gothic" w:hAnsi="Century Gothic" w:cs="Century Gothic"/>
          <w:sz w:val="20"/>
          <w:szCs w:val="20"/>
        </w:rPr>
        <w:t>l</w:t>
      </w:r>
      <w:r w:rsidRPr="001F7FF3">
        <w:rPr>
          <w:rFonts w:ascii="Century Gothic" w:eastAsia="Century Gothic" w:hAnsi="Century Gothic" w:cs="Century Gothic"/>
          <w:sz w:val="20"/>
          <w:szCs w:val="20"/>
        </w:rPr>
        <w:t xml:space="preserve"> conflicto armado en las mujeres. En </w:t>
      </w:r>
      <w:r w:rsidR="00C82551" w:rsidRPr="001F7FF3">
        <w:rPr>
          <w:rFonts w:ascii="Century Gothic" w:eastAsia="Century Gothic" w:hAnsi="Century Gothic" w:cs="Century Gothic"/>
          <w:sz w:val="20"/>
          <w:szCs w:val="20"/>
        </w:rPr>
        <w:t xml:space="preserve">dichos </w:t>
      </w:r>
      <w:r w:rsidRPr="001F7FF3">
        <w:rPr>
          <w:rFonts w:ascii="Century Gothic" w:eastAsia="Century Gothic" w:hAnsi="Century Gothic" w:cs="Century Gothic"/>
          <w:sz w:val="20"/>
          <w:szCs w:val="20"/>
        </w:rPr>
        <w:t>casos</w:t>
      </w:r>
      <w:r w:rsidR="00AD6C10"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se desarrollan acciones y metodologías puntuales para evitar su revictimización. </w:t>
      </w:r>
    </w:p>
    <w:p w14:paraId="000000AC" w14:textId="77777777" w:rsidR="00F1064E" w:rsidRPr="001F7FF3" w:rsidRDefault="00F1064E" w:rsidP="009D291F">
      <w:pPr>
        <w:jc w:val="both"/>
        <w:rPr>
          <w:rFonts w:ascii="Century Gothic" w:eastAsia="Century Gothic" w:hAnsi="Century Gothic" w:cs="Century Gothic"/>
          <w:sz w:val="20"/>
          <w:szCs w:val="20"/>
        </w:rPr>
      </w:pPr>
    </w:p>
    <w:p w14:paraId="000000AD" w14:textId="0EF40949"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b/>
          <w:sz w:val="20"/>
          <w:szCs w:val="20"/>
        </w:rPr>
        <w:t>Enfoque étnico:</w:t>
      </w:r>
      <w:r w:rsidRPr="001F7FF3">
        <w:rPr>
          <w:rFonts w:ascii="Century Gothic" w:eastAsia="Century Gothic" w:hAnsi="Century Gothic" w:cs="Century Gothic"/>
          <w:sz w:val="20"/>
          <w:szCs w:val="20"/>
        </w:rPr>
        <w:t xml:space="preserve"> Los pueblos indígenas y las comunidades </w:t>
      </w:r>
      <w:r w:rsidR="00944EED" w:rsidRPr="001F7FF3">
        <w:rPr>
          <w:rFonts w:ascii="Century Gothic" w:eastAsia="Century Gothic" w:hAnsi="Century Gothic" w:cs="Century Gothic"/>
          <w:sz w:val="20"/>
          <w:szCs w:val="20"/>
        </w:rPr>
        <w:t>afrocolombianas</w:t>
      </w:r>
      <w:r w:rsidRPr="001F7FF3">
        <w:rPr>
          <w:rFonts w:ascii="Century Gothic" w:eastAsia="Century Gothic" w:hAnsi="Century Gothic" w:cs="Century Gothic"/>
          <w:sz w:val="20"/>
          <w:szCs w:val="20"/>
        </w:rPr>
        <w:t xml:space="preserve"> han estado en una situación crítica derivada del conflicto armado al estar ubicados en las zonas más afectadas por la violencia y más necesitadas en términos de:  altos niveles de pobreza, debilidad institucional y presencia de economías y grupos ilegales que impactan negativamente su territorio.</w:t>
      </w:r>
    </w:p>
    <w:p w14:paraId="000000AE" w14:textId="77777777" w:rsidR="00F1064E" w:rsidRPr="001F7FF3" w:rsidRDefault="00F1064E" w:rsidP="009D291F">
      <w:pPr>
        <w:jc w:val="both"/>
        <w:rPr>
          <w:rFonts w:ascii="Century Gothic" w:eastAsia="Century Gothic" w:hAnsi="Century Gothic" w:cs="Century Gothic"/>
          <w:sz w:val="20"/>
          <w:szCs w:val="20"/>
        </w:rPr>
      </w:pPr>
    </w:p>
    <w:p w14:paraId="000000AF" w14:textId="0DE68D5A"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b/>
          <w:sz w:val="20"/>
          <w:szCs w:val="20"/>
        </w:rPr>
        <w:t xml:space="preserve">Enfoque Derechos Humanos: </w:t>
      </w:r>
      <w:r w:rsidR="00E814AD" w:rsidRPr="001F7FF3">
        <w:rPr>
          <w:rFonts w:ascii="Century Gothic" w:eastAsia="Century Gothic" w:hAnsi="Century Gothic" w:cs="Century Gothic"/>
          <w:sz w:val="20"/>
          <w:szCs w:val="20"/>
        </w:rPr>
        <w:t>E</w:t>
      </w:r>
      <w:r w:rsidRPr="001F7FF3">
        <w:rPr>
          <w:rFonts w:ascii="Century Gothic" w:eastAsia="Century Gothic" w:hAnsi="Century Gothic" w:cs="Century Gothic"/>
          <w:sz w:val="20"/>
          <w:szCs w:val="20"/>
        </w:rPr>
        <w:t xml:space="preserve">s transversal a todas las acciones que financia </w:t>
      </w:r>
      <w:r w:rsidR="00D1320B" w:rsidRPr="001F7FF3">
        <w:rPr>
          <w:rFonts w:ascii="Century Gothic" w:eastAsia="Century Gothic" w:hAnsi="Century Gothic" w:cs="Century Gothic"/>
          <w:sz w:val="20"/>
          <w:szCs w:val="20"/>
        </w:rPr>
        <w:t xml:space="preserve">e implementa </w:t>
      </w:r>
      <w:r w:rsidRPr="001F7FF3">
        <w:rPr>
          <w:rFonts w:ascii="Century Gothic" w:eastAsia="Century Gothic" w:hAnsi="Century Gothic" w:cs="Century Gothic"/>
          <w:sz w:val="20"/>
          <w:szCs w:val="20"/>
        </w:rPr>
        <w:t xml:space="preserve">el PJT, dada la naturaleza de los </w:t>
      </w:r>
      <w:r w:rsidR="00A42175" w:rsidRPr="001F7FF3">
        <w:rPr>
          <w:rFonts w:ascii="Century Gothic" w:eastAsia="Century Gothic" w:hAnsi="Century Gothic" w:cs="Century Gothic"/>
          <w:sz w:val="20"/>
          <w:szCs w:val="20"/>
        </w:rPr>
        <w:t>proyectos puestos</w:t>
      </w:r>
      <w:r w:rsidR="00B653FE" w:rsidRPr="001F7FF3">
        <w:rPr>
          <w:rFonts w:ascii="Century Gothic" w:eastAsia="Century Gothic" w:hAnsi="Century Gothic" w:cs="Century Gothic"/>
          <w:sz w:val="20"/>
          <w:szCs w:val="20"/>
        </w:rPr>
        <w:t xml:space="preserve"> en práctica a partir de los </w:t>
      </w:r>
      <w:r w:rsidRPr="001F7FF3">
        <w:rPr>
          <w:rFonts w:ascii="Century Gothic" w:eastAsia="Century Gothic" w:hAnsi="Century Gothic" w:cs="Century Gothic"/>
          <w:sz w:val="20"/>
          <w:szCs w:val="20"/>
        </w:rPr>
        <w:t>mecanismos para garantizar los derechos de las víctimas a la verdad, la justicia, la reparación y la no repetición.</w:t>
      </w:r>
    </w:p>
    <w:p w14:paraId="000000B0" w14:textId="4FD577FE" w:rsidR="00F1064E" w:rsidRPr="001F7FF3" w:rsidRDefault="00F1064E" w:rsidP="009D291F">
      <w:pPr>
        <w:jc w:val="both"/>
        <w:rPr>
          <w:rFonts w:ascii="Century Gothic" w:eastAsia="Century Gothic" w:hAnsi="Century Gothic" w:cs="Century Gothic"/>
          <w:sz w:val="20"/>
          <w:szCs w:val="20"/>
        </w:rPr>
      </w:pPr>
    </w:p>
    <w:p w14:paraId="116FC5AD" w14:textId="768C22A0" w:rsidR="00F1064E" w:rsidRPr="00AB3637" w:rsidRDefault="0084401E" w:rsidP="009D291F">
      <w:pPr>
        <w:jc w:val="both"/>
        <w:rPr>
          <w:rFonts w:ascii="Century Gothic" w:eastAsia="Century Gothic" w:hAnsi="Century Gothic" w:cs="Century Gothic"/>
          <w:b/>
          <w:bCs/>
          <w:sz w:val="20"/>
          <w:szCs w:val="20"/>
        </w:rPr>
      </w:pPr>
      <w:r w:rsidRPr="001F7FF3">
        <w:rPr>
          <w:rFonts w:ascii="Century Gothic" w:eastAsia="Century Gothic" w:hAnsi="Century Gothic" w:cs="Century Gothic"/>
          <w:b/>
          <w:bCs/>
          <w:sz w:val="20"/>
          <w:szCs w:val="20"/>
        </w:rPr>
        <w:t>Lógica de intervención</w:t>
      </w:r>
      <w:r w:rsidR="00AB3637">
        <w:rPr>
          <w:rFonts w:ascii="Century Gothic" w:eastAsia="Century Gothic" w:hAnsi="Century Gothic" w:cs="Century Gothic"/>
          <w:b/>
          <w:bCs/>
          <w:sz w:val="20"/>
          <w:szCs w:val="20"/>
        </w:rPr>
        <w:t xml:space="preserve">: </w:t>
      </w:r>
      <w:r w:rsidR="001D0FD3" w:rsidRPr="001F7FF3">
        <w:rPr>
          <w:rFonts w:ascii="Century Gothic" w:eastAsia="Century Gothic" w:hAnsi="Century Gothic" w:cs="Century Gothic"/>
          <w:sz w:val="20"/>
          <w:szCs w:val="20"/>
        </w:rPr>
        <w:t>La lógica de intervención del PJT está reflejada en las acciones, estrategias, líneas de trabajo y actividades orientadas al logro de los resultados específicos (cambios) contemplados en la teoría de cambio</w:t>
      </w:r>
      <w:r w:rsidR="00935A40" w:rsidRPr="001F7FF3">
        <w:rPr>
          <w:rFonts w:ascii="Century Gothic" w:eastAsia="Century Gothic" w:hAnsi="Century Gothic" w:cs="Century Gothic"/>
          <w:sz w:val="20"/>
          <w:szCs w:val="20"/>
        </w:rPr>
        <w:t xml:space="preserve"> y en el documento de proyecto</w:t>
      </w:r>
      <w:r w:rsidR="001D0FD3" w:rsidRPr="001F7FF3">
        <w:rPr>
          <w:rFonts w:ascii="Century Gothic" w:eastAsia="Century Gothic" w:hAnsi="Century Gothic" w:cs="Century Gothic"/>
          <w:sz w:val="20"/>
          <w:szCs w:val="20"/>
        </w:rPr>
        <w:t>. Para que se apreci</w:t>
      </w:r>
      <w:r w:rsidR="00AD6C10" w:rsidRPr="001F7FF3">
        <w:rPr>
          <w:rFonts w:ascii="Century Gothic" w:eastAsia="Century Gothic" w:hAnsi="Century Gothic" w:cs="Century Gothic"/>
          <w:sz w:val="20"/>
          <w:szCs w:val="20"/>
        </w:rPr>
        <w:t>e</w:t>
      </w:r>
      <w:r w:rsidR="001D0FD3" w:rsidRPr="001F7FF3">
        <w:rPr>
          <w:rFonts w:ascii="Century Gothic" w:eastAsia="Century Gothic" w:hAnsi="Century Gothic" w:cs="Century Gothic"/>
          <w:sz w:val="20"/>
          <w:szCs w:val="20"/>
        </w:rPr>
        <w:t xml:space="preserve"> mejor la relación causa-efecto entre los objetivos, estrategias y resultados, el equipo consultor </w:t>
      </w:r>
      <w:r w:rsidR="00202BDD" w:rsidRPr="001F7FF3">
        <w:rPr>
          <w:rFonts w:ascii="Century Gothic" w:eastAsia="Century Gothic" w:hAnsi="Century Gothic" w:cs="Century Gothic"/>
          <w:sz w:val="20"/>
          <w:szCs w:val="20"/>
        </w:rPr>
        <w:t>propuso</w:t>
      </w:r>
      <w:r w:rsidR="001D0FD3" w:rsidRPr="001F7FF3">
        <w:rPr>
          <w:rFonts w:ascii="Century Gothic" w:eastAsia="Century Gothic" w:hAnsi="Century Gothic" w:cs="Century Gothic"/>
          <w:sz w:val="20"/>
          <w:szCs w:val="20"/>
        </w:rPr>
        <w:t xml:space="preserve"> una </w:t>
      </w:r>
      <w:r w:rsidR="00935A40" w:rsidRPr="001F7FF3">
        <w:rPr>
          <w:rFonts w:ascii="Century Gothic" w:eastAsia="Century Gothic" w:hAnsi="Century Gothic" w:cs="Century Gothic"/>
          <w:sz w:val="20"/>
          <w:szCs w:val="20"/>
        </w:rPr>
        <w:t xml:space="preserve">representación gráfica </w:t>
      </w:r>
      <w:r w:rsidR="001D0FD3" w:rsidRPr="001F7FF3">
        <w:rPr>
          <w:rFonts w:ascii="Century Gothic" w:eastAsia="Century Gothic" w:hAnsi="Century Gothic" w:cs="Century Gothic"/>
          <w:sz w:val="20"/>
          <w:szCs w:val="20"/>
        </w:rPr>
        <w:t>de</w:t>
      </w:r>
      <w:r w:rsidR="00202BDD" w:rsidRPr="001F7FF3">
        <w:rPr>
          <w:rFonts w:ascii="Century Gothic" w:eastAsia="Century Gothic" w:hAnsi="Century Gothic" w:cs="Century Gothic"/>
          <w:sz w:val="20"/>
          <w:szCs w:val="20"/>
        </w:rPr>
        <w:t>l PJT partiendo del Marco de resultados y el Prodoc</w:t>
      </w:r>
      <w:r w:rsidR="008207D7" w:rsidRPr="001F7FF3">
        <w:rPr>
          <w:rFonts w:ascii="Century Gothic" w:eastAsia="Century Gothic" w:hAnsi="Century Gothic" w:cs="Century Gothic"/>
          <w:sz w:val="20"/>
          <w:szCs w:val="20"/>
        </w:rPr>
        <w:t>, con el fin de</w:t>
      </w:r>
      <w:r w:rsidR="001D0FD3" w:rsidRPr="001F7FF3">
        <w:rPr>
          <w:rFonts w:ascii="Century Gothic" w:eastAsia="Century Gothic" w:hAnsi="Century Gothic" w:cs="Century Gothic"/>
          <w:sz w:val="20"/>
          <w:szCs w:val="20"/>
        </w:rPr>
        <w:t xml:space="preserve"> mejorar su comprensión y facilitar el desarroll</w:t>
      </w:r>
      <w:r w:rsidR="008207D7" w:rsidRPr="001F7FF3">
        <w:rPr>
          <w:rFonts w:ascii="Century Gothic" w:eastAsia="Century Gothic" w:hAnsi="Century Gothic" w:cs="Century Gothic"/>
          <w:sz w:val="20"/>
          <w:szCs w:val="20"/>
        </w:rPr>
        <w:t>o</w:t>
      </w:r>
      <w:r w:rsidR="001D0FD3" w:rsidRPr="001F7FF3">
        <w:rPr>
          <w:rFonts w:ascii="Century Gothic" w:eastAsia="Century Gothic" w:hAnsi="Century Gothic" w:cs="Century Gothic"/>
          <w:sz w:val="20"/>
          <w:szCs w:val="20"/>
        </w:rPr>
        <w:t xml:space="preserve"> de la evaluación. </w:t>
      </w:r>
      <w:r w:rsidR="001828FA" w:rsidRPr="001F7FF3">
        <w:rPr>
          <w:rFonts w:ascii="Century Gothic" w:eastAsia="Century Gothic" w:hAnsi="Century Gothic" w:cs="Century Gothic"/>
          <w:sz w:val="20"/>
          <w:szCs w:val="20"/>
        </w:rPr>
        <w:t>E</w:t>
      </w:r>
      <w:r w:rsidRPr="001F7FF3">
        <w:rPr>
          <w:rFonts w:ascii="Century Gothic" w:eastAsia="Century Gothic" w:hAnsi="Century Gothic" w:cs="Century Gothic"/>
          <w:sz w:val="20"/>
          <w:szCs w:val="20"/>
        </w:rPr>
        <w:t>st</w:t>
      </w:r>
      <w:r w:rsidR="008207D7" w:rsidRPr="001F7FF3">
        <w:rPr>
          <w:rFonts w:ascii="Century Gothic" w:eastAsia="Century Gothic" w:hAnsi="Century Gothic" w:cs="Century Gothic"/>
          <w:sz w:val="20"/>
          <w:szCs w:val="20"/>
        </w:rPr>
        <w:t>a gráfica fue sujeta a aprobación por parte del equipo técnico de PNUD durante un taller virtual, donde se presentó</w:t>
      </w:r>
      <w:r w:rsidR="00420CA7" w:rsidRPr="001F7FF3">
        <w:rPr>
          <w:rFonts w:ascii="Century Gothic" w:eastAsia="Century Gothic" w:hAnsi="Century Gothic" w:cs="Century Gothic"/>
          <w:sz w:val="20"/>
          <w:szCs w:val="20"/>
        </w:rPr>
        <w:t xml:space="preserve"> y discutió el insumo</w:t>
      </w:r>
      <w:r w:rsidR="008207D7" w:rsidRPr="001F7FF3">
        <w:rPr>
          <w:rFonts w:ascii="Century Gothic" w:eastAsia="Century Gothic" w:hAnsi="Century Gothic" w:cs="Century Gothic"/>
          <w:sz w:val="20"/>
          <w:szCs w:val="20"/>
        </w:rPr>
        <w:t xml:space="preserve"> en la fase inicial de</w:t>
      </w:r>
      <w:r w:rsidR="00420CA7" w:rsidRPr="001F7FF3">
        <w:rPr>
          <w:rFonts w:ascii="Century Gothic" w:eastAsia="Century Gothic" w:hAnsi="Century Gothic" w:cs="Century Gothic"/>
          <w:sz w:val="20"/>
          <w:szCs w:val="20"/>
        </w:rPr>
        <w:t xml:space="preserve"> la evaluación. </w:t>
      </w:r>
      <w:r w:rsidR="001D0FD3" w:rsidRPr="001F7FF3">
        <w:rPr>
          <w:rFonts w:ascii="Century Gothic" w:eastAsia="Century Gothic" w:hAnsi="Century Gothic" w:cs="Century Gothic"/>
          <w:sz w:val="20"/>
          <w:szCs w:val="20"/>
        </w:rPr>
        <w:t xml:space="preserve">Según </w:t>
      </w:r>
      <w:r w:rsidR="008207D7" w:rsidRPr="001F7FF3">
        <w:rPr>
          <w:rFonts w:ascii="Century Gothic" w:eastAsia="Century Gothic" w:hAnsi="Century Gothic" w:cs="Century Gothic"/>
          <w:sz w:val="20"/>
          <w:szCs w:val="20"/>
        </w:rPr>
        <w:t xml:space="preserve">dicho esquema </w:t>
      </w:r>
      <w:r w:rsidR="001D0FD3" w:rsidRPr="001F7FF3">
        <w:rPr>
          <w:rFonts w:ascii="Century Gothic" w:eastAsia="Century Gothic" w:hAnsi="Century Gothic" w:cs="Century Gothic"/>
          <w:sz w:val="20"/>
          <w:szCs w:val="20"/>
        </w:rPr>
        <w:t xml:space="preserve">, el </w:t>
      </w:r>
      <w:r w:rsidR="00AD6C10" w:rsidRPr="001F7FF3">
        <w:rPr>
          <w:rFonts w:ascii="Century Gothic" w:eastAsia="Century Gothic" w:hAnsi="Century Gothic" w:cs="Century Gothic"/>
          <w:sz w:val="20"/>
          <w:szCs w:val="20"/>
        </w:rPr>
        <w:t>PJT</w:t>
      </w:r>
      <w:r w:rsidR="00420CA7" w:rsidRPr="001F7FF3">
        <w:rPr>
          <w:rFonts w:ascii="Century Gothic" w:eastAsia="Century Gothic" w:hAnsi="Century Gothic" w:cs="Century Gothic"/>
          <w:sz w:val="20"/>
          <w:szCs w:val="20"/>
        </w:rPr>
        <w:t xml:space="preserve"> es entendido de la siguiente manera</w:t>
      </w:r>
      <w:r w:rsidR="00576877" w:rsidRPr="001F7FF3">
        <w:rPr>
          <w:rFonts w:ascii="Century Gothic" w:eastAsia="Century Gothic" w:hAnsi="Century Gothic" w:cs="Century Gothic"/>
          <w:sz w:val="20"/>
          <w:szCs w:val="20"/>
        </w:rPr>
        <w:t xml:space="preserve">. </w:t>
      </w:r>
      <w:r w:rsidR="00420CA7" w:rsidRPr="001F7FF3">
        <w:rPr>
          <w:rFonts w:ascii="Century Gothic" w:eastAsia="Century Gothic" w:hAnsi="Century Gothic" w:cs="Century Gothic"/>
          <w:sz w:val="20"/>
          <w:szCs w:val="20"/>
        </w:rPr>
        <w:t>A continuación, se presenta el diagrama de la l</w:t>
      </w:r>
      <w:r w:rsidR="001D0FD3" w:rsidRPr="001F7FF3">
        <w:rPr>
          <w:rFonts w:ascii="Century Gothic" w:eastAsia="Century Gothic" w:hAnsi="Century Gothic" w:cs="Century Gothic"/>
          <w:sz w:val="20"/>
          <w:szCs w:val="20"/>
        </w:rPr>
        <w:t xml:space="preserve">ógica de intervención </w:t>
      </w:r>
      <w:r w:rsidR="00420CA7" w:rsidRPr="001F7FF3">
        <w:rPr>
          <w:rFonts w:ascii="Century Gothic" w:eastAsia="Century Gothic" w:hAnsi="Century Gothic" w:cs="Century Gothic"/>
          <w:sz w:val="20"/>
          <w:szCs w:val="20"/>
        </w:rPr>
        <w:t xml:space="preserve">del PJT </w:t>
      </w:r>
      <w:r w:rsidR="001D0FD3" w:rsidRPr="001F7FF3">
        <w:rPr>
          <w:rFonts w:ascii="Century Gothic" w:eastAsia="Century Gothic" w:hAnsi="Century Gothic" w:cs="Century Gothic"/>
          <w:sz w:val="20"/>
          <w:szCs w:val="20"/>
        </w:rPr>
        <w:t>construid</w:t>
      </w:r>
      <w:r w:rsidR="00017F2D" w:rsidRPr="001F7FF3">
        <w:rPr>
          <w:rFonts w:ascii="Century Gothic" w:eastAsia="Century Gothic" w:hAnsi="Century Gothic" w:cs="Century Gothic"/>
          <w:sz w:val="20"/>
          <w:szCs w:val="20"/>
        </w:rPr>
        <w:t>o</w:t>
      </w:r>
      <w:r w:rsidR="001D0FD3" w:rsidRPr="001F7FF3">
        <w:rPr>
          <w:rFonts w:ascii="Century Gothic" w:eastAsia="Century Gothic" w:hAnsi="Century Gothic" w:cs="Century Gothic"/>
          <w:sz w:val="20"/>
          <w:szCs w:val="20"/>
        </w:rPr>
        <w:t xml:space="preserve"> por LPI</w:t>
      </w:r>
      <w:r w:rsidR="00576877" w:rsidRPr="001F7FF3">
        <w:rPr>
          <w:rFonts w:ascii="Century Gothic" w:eastAsia="Century Gothic" w:hAnsi="Century Gothic" w:cs="Century Gothic"/>
          <w:sz w:val="20"/>
          <w:szCs w:val="20"/>
        </w:rPr>
        <w:t>C:</w:t>
      </w:r>
    </w:p>
    <w:p w14:paraId="7E87C8AA" w14:textId="77777777" w:rsidR="0084401E" w:rsidRPr="001F7FF3" w:rsidRDefault="0084401E" w:rsidP="009D291F">
      <w:pPr>
        <w:jc w:val="both"/>
        <w:rPr>
          <w:rFonts w:ascii="Century Gothic" w:eastAsia="Century Gothic" w:hAnsi="Century Gothic" w:cs="Century Gothic"/>
          <w:sz w:val="20"/>
          <w:szCs w:val="20"/>
        </w:rPr>
      </w:pPr>
    </w:p>
    <w:p w14:paraId="000000B2" w14:textId="40EDD16B" w:rsidR="0084401E" w:rsidRPr="001F7FF3" w:rsidRDefault="0084401E" w:rsidP="009D291F">
      <w:pPr>
        <w:jc w:val="both"/>
        <w:rPr>
          <w:rFonts w:ascii="Century Gothic" w:eastAsia="Century Gothic" w:hAnsi="Century Gothic" w:cs="Century Gothic"/>
          <w:sz w:val="20"/>
          <w:szCs w:val="20"/>
        </w:rPr>
        <w:sectPr w:rsidR="0084401E" w:rsidRPr="001F7FF3" w:rsidSect="00FF1F49">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docGrid w:linePitch="326"/>
        </w:sectPr>
      </w:pPr>
    </w:p>
    <w:p w14:paraId="1C2783AD" w14:textId="5848AF56" w:rsidR="00490B6B" w:rsidRPr="001F7FF3" w:rsidRDefault="000565AB" w:rsidP="000565AB">
      <w:pPr>
        <w:pStyle w:val="Descripcin"/>
        <w:keepNext/>
        <w:jc w:val="both"/>
        <w:rPr>
          <w:rFonts w:ascii="Century Gothic" w:hAnsi="Century Gothic"/>
          <w:lang w:val="es-CO"/>
        </w:rPr>
      </w:pPr>
      <w:bookmarkStart w:id="16" w:name="_Toc117527850"/>
      <w:r w:rsidRPr="001F7FF3">
        <w:rPr>
          <w:rFonts w:ascii="Century Gothic" w:hAnsi="Century Gothic"/>
          <w:lang w:val="es-CO"/>
        </w:rPr>
        <w:lastRenderedPageBreak/>
        <w:t xml:space="preserve">Ilustración </w:t>
      </w:r>
      <w:r w:rsidRPr="001F7FF3">
        <w:rPr>
          <w:rFonts w:ascii="Century Gothic" w:hAnsi="Century Gothic"/>
          <w:lang w:val="es-CO"/>
        </w:rPr>
        <w:fldChar w:fldCharType="begin"/>
      </w:r>
      <w:r w:rsidRPr="001F7FF3">
        <w:rPr>
          <w:rFonts w:ascii="Century Gothic" w:hAnsi="Century Gothic"/>
          <w:lang w:val="es-CO"/>
        </w:rPr>
        <w:instrText xml:space="preserve"> SEQ Ilustración \* ARABIC </w:instrText>
      </w:r>
      <w:r w:rsidRPr="001F7FF3">
        <w:rPr>
          <w:rFonts w:ascii="Century Gothic" w:hAnsi="Century Gothic"/>
          <w:lang w:val="es-CO"/>
        </w:rPr>
        <w:fldChar w:fldCharType="separate"/>
      </w:r>
      <w:r w:rsidR="00295D29">
        <w:rPr>
          <w:rFonts w:ascii="Century Gothic" w:hAnsi="Century Gothic"/>
          <w:noProof/>
          <w:lang w:val="es-CO"/>
        </w:rPr>
        <w:t>1</w:t>
      </w:r>
      <w:r w:rsidRPr="001F7FF3">
        <w:rPr>
          <w:rFonts w:ascii="Century Gothic" w:hAnsi="Century Gothic"/>
          <w:lang w:val="es-CO"/>
        </w:rPr>
        <w:fldChar w:fldCharType="end"/>
      </w:r>
      <w:r w:rsidRPr="001F7FF3">
        <w:rPr>
          <w:rFonts w:ascii="Century Gothic" w:hAnsi="Century Gothic"/>
          <w:lang w:val="es-CO"/>
        </w:rPr>
        <w:t>. Lógica de intervención PJT</w:t>
      </w:r>
      <w:r w:rsidR="00AD6C10" w:rsidRPr="001F7FF3">
        <w:rPr>
          <w:rFonts w:ascii="Century Gothic" w:hAnsi="Century Gothic"/>
          <w:b w:val="0"/>
          <w:noProof/>
          <w:sz w:val="20"/>
          <w:szCs w:val="20"/>
          <w:lang w:val="es-CO"/>
        </w:rPr>
        <w:drawing>
          <wp:anchor distT="0" distB="0" distL="0" distR="0" simplePos="0" relativeHeight="251679744" behindDoc="1" locked="0" layoutInCell="1" hidden="0" allowOverlap="1" wp14:anchorId="61637446" wp14:editId="4455179A">
            <wp:simplePos x="0" y="0"/>
            <wp:positionH relativeFrom="page">
              <wp:posOffset>0</wp:posOffset>
            </wp:positionH>
            <wp:positionV relativeFrom="paragraph">
              <wp:posOffset>300990</wp:posOffset>
            </wp:positionV>
            <wp:extent cx="10058400" cy="4998720"/>
            <wp:effectExtent l="0" t="0" r="0" b="0"/>
            <wp:wrapSquare wrapText="bothSides"/>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0058400" cy="4998720"/>
                    </a:xfrm>
                    <a:prstGeom prst="rect">
                      <a:avLst/>
                    </a:prstGeom>
                    <a:ln/>
                  </pic:spPr>
                </pic:pic>
              </a:graphicData>
            </a:graphic>
            <wp14:sizeRelH relativeFrom="margin">
              <wp14:pctWidth>0</wp14:pctWidth>
            </wp14:sizeRelH>
            <wp14:sizeRelV relativeFrom="margin">
              <wp14:pctHeight>0</wp14:pctHeight>
            </wp14:sizeRelV>
          </wp:anchor>
        </w:drawing>
      </w:r>
      <w:r w:rsidR="009F1B48" w:rsidRPr="001F7FF3">
        <w:rPr>
          <w:rFonts w:ascii="Century Gothic" w:hAnsi="Century Gothic"/>
          <w:b w:val="0"/>
          <w:noProof/>
          <w:sz w:val="20"/>
          <w:szCs w:val="20"/>
          <w:lang w:val="es-CO"/>
        </w:rPr>
        <w:drawing>
          <wp:anchor distT="0" distB="0" distL="0" distR="0" simplePos="0" relativeHeight="251659264" behindDoc="1" locked="0" layoutInCell="1" hidden="0" allowOverlap="1" wp14:anchorId="61637446" wp14:editId="743A5F43">
            <wp:simplePos x="0" y="0"/>
            <wp:positionH relativeFrom="page">
              <wp:align>right</wp:align>
            </wp:positionH>
            <wp:positionV relativeFrom="paragraph">
              <wp:posOffset>310573</wp:posOffset>
            </wp:positionV>
            <wp:extent cx="10058400" cy="4983480"/>
            <wp:effectExtent l="0" t="0" r="0" b="0"/>
            <wp:wrapSquare wrapText="bothSides"/>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0058400" cy="4983480"/>
                    </a:xfrm>
                    <a:prstGeom prst="rect">
                      <a:avLst/>
                    </a:prstGeom>
                    <a:ln/>
                  </pic:spPr>
                </pic:pic>
              </a:graphicData>
            </a:graphic>
            <wp14:sizeRelH relativeFrom="margin">
              <wp14:pctWidth>0</wp14:pctWidth>
            </wp14:sizeRelH>
            <wp14:sizeRelV relativeFrom="margin">
              <wp14:pctHeight>0</wp14:pctHeight>
            </wp14:sizeRelV>
          </wp:anchor>
        </w:drawing>
      </w:r>
      <w:bookmarkEnd w:id="16"/>
    </w:p>
    <w:p w14:paraId="334BC3BC" w14:textId="77777777" w:rsidR="002843E0" w:rsidRPr="001F7FF3" w:rsidRDefault="002843E0" w:rsidP="009D291F">
      <w:pPr>
        <w:jc w:val="both"/>
        <w:rPr>
          <w:rFonts w:ascii="Century Gothic" w:eastAsia="Times New Roman" w:hAnsi="Century Gothic" w:cs="Times New Roman"/>
          <w:b/>
          <w:sz w:val="20"/>
          <w:szCs w:val="20"/>
          <w:lang w:eastAsia="de-DE"/>
        </w:rPr>
      </w:pPr>
    </w:p>
    <w:p w14:paraId="64380B7A" w14:textId="30012EB0" w:rsidR="005933A5" w:rsidRPr="001F7FF3" w:rsidRDefault="005933A5" w:rsidP="009D291F">
      <w:pPr>
        <w:tabs>
          <w:tab w:val="left" w:pos="2146"/>
        </w:tabs>
        <w:rPr>
          <w:rFonts w:ascii="Century Gothic" w:eastAsia="Century Gothic" w:hAnsi="Century Gothic" w:cs="Century Gothic"/>
          <w:sz w:val="18"/>
          <w:szCs w:val="18"/>
        </w:rPr>
      </w:pPr>
      <w:r w:rsidRPr="001F7FF3">
        <w:rPr>
          <w:rFonts w:ascii="Century Gothic" w:eastAsia="Century Gothic" w:hAnsi="Century Gothic" w:cs="Century Gothic"/>
          <w:sz w:val="20"/>
          <w:szCs w:val="20"/>
        </w:rPr>
        <w:tab/>
      </w:r>
      <w:r w:rsidRPr="001F7FF3">
        <w:rPr>
          <w:rFonts w:ascii="Century Gothic" w:eastAsia="Century Gothic" w:hAnsi="Century Gothic" w:cs="Century Gothic"/>
          <w:b/>
          <w:bCs/>
          <w:sz w:val="18"/>
          <w:szCs w:val="18"/>
        </w:rPr>
        <w:t>Fuente</w:t>
      </w:r>
      <w:r w:rsidRPr="001F7FF3">
        <w:rPr>
          <w:rFonts w:ascii="Century Gothic" w:eastAsia="Century Gothic" w:hAnsi="Century Gothic" w:cs="Century Gothic"/>
          <w:sz w:val="18"/>
          <w:szCs w:val="18"/>
        </w:rPr>
        <w:t>: Elaboración propia con base en Prodoc y Marco de resultados</w:t>
      </w:r>
    </w:p>
    <w:p w14:paraId="34A7B242" w14:textId="1715136E" w:rsidR="005933A5" w:rsidRPr="001F7FF3" w:rsidRDefault="005933A5" w:rsidP="009D291F">
      <w:pPr>
        <w:rPr>
          <w:rFonts w:ascii="Century Gothic" w:eastAsia="Century Gothic" w:hAnsi="Century Gothic" w:cs="Century Gothic"/>
          <w:sz w:val="20"/>
          <w:szCs w:val="20"/>
        </w:rPr>
        <w:sectPr w:rsidR="005933A5" w:rsidRPr="001F7FF3" w:rsidSect="002843E0">
          <w:headerReference w:type="default" r:id="rId22"/>
          <w:footerReference w:type="default" r:id="rId23"/>
          <w:pgSz w:w="15840" w:h="12240" w:orient="landscape" w:code="1"/>
          <w:pgMar w:top="1701" w:right="1418" w:bottom="1610" w:left="1418" w:header="709" w:footer="709" w:gutter="0"/>
          <w:cols w:space="720"/>
          <w:docGrid w:linePitch="326"/>
        </w:sectPr>
      </w:pPr>
    </w:p>
    <w:p w14:paraId="000000D3" w14:textId="7DF2CAE3"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lastRenderedPageBreak/>
        <w:t xml:space="preserve">De acuerdo con la lógica causal planteada, el </w:t>
      </w:r>
      <w:r w:rsidR="00C04EE3" w:rsidRPr="001F7FF3">
        <w:rPr>
          <w:rFonts w:ascii="Century Gothic" w:eastAsia="Century Gothic" w:hAnsi="Century Gothic" w:cs="Century Gothic"/>
          <w:sz w:val="20"/>
          <w:szCs w:val="20"/>
        </w:rPr>
        <w:t>o</w:t>
      </w:r>
      <w:r w:rsidRPr="001F7FF3">
        <w:rPr>
          <w:rFonts w:ascii="Century Gothic" w:eastAsia="Century Gothic" w:hAnsi="Century Gothic" w:cs="Century Gothic"/>
          <w:sz w:val="20"/>
          <w:szCs w:val="20"/>
        </w:rPr>
        <w:t xml:space="preserve">bjetivo </w:t>
      </w:r>
      <w:r w:rsidR="00C04EE3" w:rsidRPr="001F7FF3">
        <w:rPr>
          <w:rFonts w:ascii="Century Gothic" w:eastAsia="Century Gothic" w:hAnsi="Century Gothic" w:cs="Century Gothic"/>
          <w:sz w:val="20"/>
          <w:szCs w:val="20"/>
        </w:rPr>
        <w:t>g</w:t>
      </w:r>
      <w:r w:rsidRPr="001F7FF3">
        <w:rPr>
          <w:rFonts w:ascii="Century Gothic" w:eastAsia="Century Gothic" w:hAnsi="Century Gothic" w:cs="Century Gothic"/>
          <w:sz w:val="20"/>
          <w:szCs w:val="20"/>
        </w:rPr>
        <w:t>eneral se enfoca en preparar a la institucionalidad y a la sociedad civil para la efectiva implementación de las acciones necesarias para la superación de las causas estructurales del conflicto</w:t>
      </w:r>
      <w:r w:rsidR="00AD6C10" w:rsidRPr="001F7FF3">
        <w:rPr>
          <w:rFonts w:ascii="Century Gothic" w:eastAsia="Century Gothic" w:hAnsi="Century Gothic" w:cs="Century Gothic"/>
          <w:sz w:val="20"/>
          <w:szCs w:val="20"/>
        </w:rPr>
        <w:t xml:space="preserve"> armado</w:t>
      </w:r>
      <w:r w:rsidRPr="001F7FF3">
        <w:rPr>
          <w:rFonts w:ascii="Century Gothic" w:eastAsia="Century Gothic" w:hAnsi="Century Gothic" w:cs="Century Gothic"/>
          <w:sz w:val="20"/>
          <w:szCs w:val="20"/>
        </w:rPr>
        <w:t xml:space="preserve"> y, de esta manera, resarcir los daños causados a víctimas. </w:t>
      </w:r>
    </w:p>
    <w:p w14:paraId="000000D4" w14:textId="77777777" w:rsidR="00F1064E" w:rsidRPr="001F7FF3" w:rsidRDefault="00F1064E" w:rsidP="009D291F">
      <w:pPr>
        <w:jc w:val="both"/>
        <w:rPr>
          <w:rFonts w:ascii="Century Gothic" w:eastAsia="Century Gothic" w:hAnsi="Century Gothic" w:cs="Century Gothic"/>
          <w:sz w:val="20"/>
          <w:szCs w:val="20"/>
        </w:rPr>
      </w:pPr>
    </w:p>
    <w:p w14:paraId="2651E8F4" w14:textId="77777777" w:rsidR="00437E32"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A nivel de objetivos específicos para lograr el objetivo general se identifican:</w:t>
      </w:r>
    </w:p>
    <w:p w14:paraId="6F42569E" w14:textId="77777777" w:rsidR="00437E32" w:rsidRPr="001F7FF3" w:rsidRDefault="00437E32" w:rsidP="009D291F">
      <w:pPr>
        <w:jc w:val="both"/>
        <w:rPr>
          <w:rFonts w:ascii="Century Gothic" w:eastAsia="Century Gothic" w:hAnsi="Century Gothic" w:cs="Century Gothic"/>
          <w:sz w:val="20"/>
          <w:szCs w:val="20"/>
        </w:rPr>
      </w:pPr>
    </w:p>
    <w:p w14:paraId="5171EBCD" w14:textId="17CE6C68" w:rsidR="00E814AD" w:rsidRPr="001F7FF3" w:rsidRDefault="001D0FD3" w:rsidP="009D291F">
      <w:pPr>
        <w:pStyle w:val="Prrafodelista"/>
        <w:numPr>
          <w:ilvl w:val="0"/>
          <w:numId w:val="8"/>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Capacidades desarrolladas de las víctimas y sus instituciones para participar e incidir en los organismos de toma de decisión relacionados con la atención, asistencia y reparación; </w:t>
      </w:r>
    </w:p>
    <w:p w14:paraId="01BA040E" w14:textId="65218D59" w:rsidR="00437E32" w:rsidRPr="001F7FF3" w:rsidRDefault="001D0FD3" w:rsidP="009D291F">
      <w:pPr>
        <w:pStyle w:val="Prrafodelista"/>
        <w:numPr>
          <w:ilvl w:val="0"/>
          <w:numId w:val="8"/>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Capacidad institucional desarrollada para asistir a las víctimas y lograr una efectiva implementación de la justicia transicional. </w:t>
      </w:r>
    </w:p>
    <w:p w14:paraId="25604E0C" w14:textId="77777777" w:rsidR="00437E32" w:rsidRPr="001F7FF3" w:rsidRDefault="00437E32" w:rsidP="009D291F">
      <w:pPr>
        <w:rPr>
          <w:rFonts w:ascii="Century Gothic" w:eastAsia="Century Gothic" w:hAnsi="Century Gothic" w:cs="Century Gothic"/>
          <w:sz w:val="20"/>
          <w:szCs w:val="20"/>
        </w:rPr>
      </w:pPr>
    </w:p>
    <w:p w14:paraId="000000D5" w14:textId="0291907A" w:rsidR="00F1064E" w:rsidRPr="001F7FF3" w:rsidRDefault="001D0FD3" w:rsidP="009D291F">
      <w:pPr>
        <w:ind w:right="-161"/>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Ambos objetivos son necesarios y complementarios para garantizar un efectivo goce de los derechos de las víctimas y la sociedad colombiana en general.</w:t>
      </w:r>
    </w:p>
    <w:p w14:paraId="000000D6" w14:textId="77777777" w:rsidR="00F1064E" w:rsidRPr="001F7FF3" w:rsidRDefault="00F1064E" w:rsidP="009D291F">
      <w:pPr>
        <w:jc w:val="both"/>
        <w:rPr>
          <w:rFonts w:ascii="Century Gothic" w:eastAsia="Century Gothic" w:hAnsi="Century Gothic" w:cs="Century Gothic"/>
          <w:sz w:val="20"/>
          <w:szCs w:val="20"/>
        </w:rPr>
      </w:pPr>
    </w:p>
    <w:p w14:paraId="3A9B0970" w14:textId="5A1C8EFF" w:rsidR="00437E32"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El PJT fundamenta su programa en los </w:t>
      </w:r>
      <w:r w:rsidR="0048648B" w:rsidRPr="001F7FF3">
        <w:rPr>
          <w:rFonts w:ascii="Century Gothic" w:eastAsia="Century Gothic" w:hAnsi="Century Gothic" w:cs="Century Gothic"/>
          <w:sz w:val="20"/>
          <w:szCs w:val="20"/>
        </w:rPr>
        <w:t>siguientes resultados estratégicos, que a su vez hacen parte fundamental de la justicia transicional, como lo es la verdad, justicia, reparación y no repetición:</w:t>
      </w:r>
      <w:r w:rsidRPr="001F7FF3">
        <w:rPr>
          <w:rFonts w:ascii="Century Gothic" w:eastAsia="Century Gothic" w:hAnsi="Century Gothic" w:cs="Century Gothic"/>
          <w:sz w:val="20"/>
          <w:szCs w:val="20"/>
        </w:rPr>
        <w:t xml:space="preserve"> </w:t>
      </w:r>
    </w:p>
    <w:p w14:paraId="0E39939E" w14:textId="77777777" w:rsidR="00437E32" w:rsidRPr="001F7FF3" w:rsidRDefault="00437E32" w:rsidP="009D291F">
      <w:pPr>
        <w:jc w:val="both"/>
        <w:rPr>
          <w:rFonts w:ascii="Century Gothic" w:eastAsia="Century Gothic" w:hAnsi="Century Gothic" w:cs="Century Gothic"/>
          <w:sz w:val="20"/>
          <w:szCs w:val="20"/>
        </w:rPr>
      </w:pPr>
    </w:p>
    <w:p w14:paraId="6F01917C" w14:textId="43A05060"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D</w:t>
      </w:r>
      <w:r w:rsidR="001D0FD3" w:rsidRPr="001F7FF3">
        <w:rPr>
          <w:rFonts w:ascii="Century Gothic" w:eastAsia="Century Gothic" w:hAnsi="Century Gothic" w:cs="Century Gothic"/>
          <w:sz w:val="20"/>
          <w:szCs w:val="20"/>
          <w:lang w:val="es-CO"/>
        </w:rPr>
        <w:t xml:space="preserve">erecho a la verdad y memoria histórica; acceso a la justicia y lucha contra la impunidad; </w:t>
      </w:r>
    </w:p>
    <w:p w14:paraId="78384225" w14:textId="059E47D0" w:rsidR="0048648B" w:rsidRPr="001F7FF3" w:rsidRDefault="0048648B"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Acceso a la justicia y lucha contra la impunidad;</w:t>
      </w:r>
    </w:p>
    <w:p w14:paraId="6EDAF895" w14:textId="1EE62EAF"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R</w:t>
      </w:r>
      <w:r w:rsidR="001D0FD3" w:rsidRPr="001F7FF3">
        <w:rPr>
          <w:rFonts w:ascii="Century Gothic" w:eastAsia="Century Gothic" w:hAnsi="Century Gothic" w:cs="Century Gothic"/>
          <w:sz w:val="20"/>
          <w:szCs w:val="20"/>
          <w:lang w:val="es-CO"/>
        </w:rPr>
        <w:t xml:space="preserve">eparación integral; </w:t>
      </w:r>
    </w:p>
    <w:p w14:paraId="1A084E05" w14:textId="4901C27E"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G</w:t>
      </w:r>
      <w:r w:rsidR="001D0FD3" w:rsidRPr="001F7FF3">
        <w:rPr>
          <w:rFonts w:ascii="Century Gothic" w:eastAsia="Century Gothic" w:hAnsi="Century Gothic" w:cs="Century Gothic"/>
          <w:sz w:val="20"/>
          <w:szCs w:val="20"/>
          <w:lang w:val="es-CO"/>
        </w:rPr>
        <w:t xml:space="preserve">arantías de no repetición y prevención; </w:t>
      </w:r>
    </w:p>
    <w:p w14:paraId="053EDE93" w14:textId="06762BD1"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E</w:t>
      </w:r>
      <w:r w:rsidR="001D0FD3" w:rsidRPr="001F7FF3">
        <w:rPr>
          <w:rFonts w:ascii="Century Gothic" w:eastAsia="Century Gothic" w:hAnsi="Century Gothic" w:cs="Century Gothic"/>
          <w:sz w:val="20"/>
          <w:szCs w:val="20"/>
          <w:lang w:val="es-CO"/>
        </w:rPr>
        <w:t xml:space="preserve">sclarecimiento de la verdad; </w:t>
      </w:r>
    </w:p>
    <w:p w14:paraId="0398A192" w14:textId="68871347"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D</w:t>
      </w:r>
      <w:r w:rsidR="001D0FD3" w:rsidRPr="001F7FF3">
        <w:rPr>
          <w:rFonts w:ascii="Century Gothic" w:eastAsia="Century Gothic" w:hAnsi="Century Gothic" w:cs="Century Gothic"/>
          <w:sz w:val="20"/>
          <w:szCs w:val="20"/>
          <w:lang w:val="es-CO"/>
        </w:rPr>
        <w:t xml:space="preserve">ialogo social y gestión de conocimiento para el esclarecimiento de la verdad y promoción de la convivencia y </w:t>
      </w:r>
      <w:r w:rsidR="005D561F" w:rsidRPr="001F7FF3">
        <w:rPr>
          <w:rFonts w:ascii="Century Gothic" w:eastAsia="Century Gothic" w:hAnsi="Century Gothic" w:cs="Century Gothic"/>
          <w:sz w:val="20"/>
          <w:szCs w:val="20"/>
          <w:lang w:val="es-CO"/>
        </w:rPr>
        <w:t xml:space="preserve">la </w:t>
      </w:r>
      <w:r w:rsidR="001D0FD3" w:rsidRPr="001F7FF3">
        <w:rPr>
          <w:rFonts w:ascii="Century Gothic" w:eastAsia="Century Gothic" w:hAnsi="Century Gothic" w:cs="Century Gothic"/>
          <w:sz w:val="20"/>
          <w:szCs w:val="20"/>
          <w:lang w:val="es-CO"/>
        </w:rPr>
        <w:t xml:space="preserve">no repetición; </w:t>
      </w:r>
    </w:p>
    <w:p w14:paraId="187B4BA4" w14:textId="6A194C73"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A</w:t>
      </w:r>
      <w:r w:rsidR="001D0FD3" w:rsidRPr="001F7FF3">
        <w:rPr>
          <w:rFonts w:ascii="Century Gothic" w:eastAsia="Century Gothic" w:hAnsi="Century Gothic" w:cs="Century Gothic"/>
          <w:sz w:val="20"/>
          <w:szCs w:val="20"/>
          <w:lang w:val="es-CO"/>
        </w:rPr>
        <w:t xml:space="preserve">poyo al fortalecimiento de los procesos de reparación colectiva y de retornos y reubicaciones en territorios PDET; </w:t>
      </w:r>
      <w:r w:rsidR="00437E32" w:rsidRPr="001F7FF3">
        <w:rPr>
          <w:rFonts w:ascii="Century Gothic" w:eastAsia="Century Gothic" w:hAnsi="Century Gothic" w:cs="Century Gothic"/>
          <w:sz w:val="20"/>
          <w:szCs w:val="20"/>
          <w:lang w:val="es-CO"/>
        </w:rPr>
        <w:t>y</w:t>
      </w:r>
    </w:p>
    <w:p w14:paraId="515295CE" w14:textId="1EB27EEE" w:rsidR="00437E32" w:rsidRPr="001F7FF3" w:rsidRDefault="0010573A" w:rsidP="009D291F">
      <w:pPr>
        <w:pStyle w:val="Prrafodelista"/>
        <w:numPr>
          <w:ilvl w:val="0"/>
          <w:numId w:val="1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F</w:t>
      </w:r>
      <w:r w:rsidR="001D0FD3" w:rsidRPr="001F7FF3">
        <w:rPr>
          <w:rFonts w:ascii="Century Gothic" w:eastAsia="Century Gothic" w:hAnsi="Century Gothic" w:cs="Century Gothic"/>
          <w:sz w:val="20"/>
          <w:szCs w:val="20"/>
          <w:lang w:val="es-CO"/>
        </w:rPr>
        <w:t>ortalecimiento institucional para el despliegue y funcionamiento territorial articulado del Sistema Integral de Verdad, Justicia, Reparación y No Repetición</w:t>
      </w:r>
      <w:r w:rsidR="001E1C69" w:rsidRPr="001F7FF3">
        <w:rPr>
          <w:rFonts w:ascii="Century Gothic" w:eastAsia="Century Gothic" w:hAnsi="Century Gothic" w:cs="Century Gothic"/>
          <w:sz w:val="20"/>
          <w:szCs w:val="20"/>
          <w:lang w:val="es-CO"/>
        </w:rPr>
        <w:t>( SIVJRNR)</w:t>
      </w:r>
      <w:r w:rsidR="009A07BC" w:rsidRPr="001F7FF3">
        <w:rPr>
          <w:rFonts w:ascii="Century Gothic" w:eastAsia="Century Gothic" w:hAnsi="Century Gothic" w:cs="Century Gothic"/>
          <w:sz w:val="20"/>
          <w:szCs w:val="20"/>
          <w:lang w:val="es-CO"/>
        </w:rPr>
        <w:t xml:space="preserve">, actualmente denominado el </w:t>
      </w:r>
      <w:r w:rsidR="00A04B59" w:rsidRPr="001F7FF3">
        <w:rPr>
          <w:rFonts w:ascii="Century Gothic" w:eastAsia="Century Gothic" w:hAnsi="Century Gothic" w:cs="Century Gothic"/>
          <w:sz w:val="20"/>
          <w:szCs w:val="20"/>
          <w:lang w:val="es-CO"/>
        </w:rPr>
        <w:t>Sistema</w:t>
      </w:r>
      <w:r w:rsidR="009A07BC" w:rsidRPr="001F7FF3">
        <w:rPr>
          <w:rFonts w:ascii="Century Gothic" w:eastAsia="Century Gothic" w:hAnsi="Century Gothic" w:cs="Century Gothic"/>
          <w:sz w:val="20"/>
          <w:szCs w:val="20"/>
          <w:lang w:val="es-CO"/>
        </w:rPr>
        <w:t xml:space="preserve"> Integral para la Paz</w:t>
      </w:r>
      <w:r w:rsidR="001D0FD3" w:rsidRPr="001F7FF3">
        <w:rPr>
          <w:rFonts w:ascii="Century Gothic" w:eastAsia="Century Gothic" w:hAnsi="Century Gothic"/>
          <w:sz w:val="20"/>
          <w:szCs w:val="20"/>
          <w:vertAlign w:val="superscript"/>
          <w:lang w:val="es-CO"/>
        </w:rPr>
        <w:footnoteReference w:id="4"/>
      </w:r>
      <w:r w:rsidR="001E1C69" w:rsidRPr="001F7FF3">
        <w:rPr>
          <w:rFonts w:ascii="Century Gothic" w:eastAsia="Century Gothic" w:hAnsi="Century Gothic" w:cs="Century Gothic"/>
          <w:sz w:val="20"/>
          <w:szCs w:val="20"/>
          <w:lang w:val="es-CO"/>
        </w:rPr>
        <w:t>.</w:t>
      </w:r>
      <w:r w:rsidR="001D0FD3" w:rsidRPr="001F7FF3">
        <w:rPr>
          <w:rFonts w:ascii="Century Gothic" w:eastAsia="Century Gothic" w:hAnsi="Century Gothic" w:cs="Century Gothic"/>
          <w:sz w:val="20"/>
          <w:szCs w:val="20"/>
          <w:lang w:val="es-CO"/>
        </w:rPr>
        <w:t xml:space="preserve"> </w:t>
      </w:r>
    </w:p>
    <w:p w14:paraId="0BBDBC52" w14:textId="77777777" w:rsidR="00437E32" w:rsidRPr="001F7FF3" w:rsidRDefault="00437E32" w:rsidP="009D291F">
      <w:pPr>
        <w:jc w:val="both"/>
        <w:rPr>
          <w:rFonts w:ascii="Century Gothic" w:eastAsia="Century Gothic" w:hAnsi="Century Gothic" w:cs="Century Gothic"/>
          <w:sz w:val="20"/>
          <w:szCs w:val="20"/>
        </w:rPr>
      </w:pPr>
    </w:p>
    <w:p w14:paraId="000000D7" w14:textId="56624AD7"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Para cada</w:t>
      </w:r>
      <w:r w:rsidR="00AD6C10" w:rsidRPr="001F7FF3">
        <w:rPr>
          <w:rFonts w:ascii="Century Gothic" w:eastAsia="Century Gothic" w:hAnsi="Century Gothic" w:cs="Century Gothic"/>
          <w:sz w:val="20"/>
          <w:szCs w:val="20"/>
        </w:rPr>
        <w:t xml:space="preserve"> uno de los resultados estratégicos planteados en el documento de proyecto</w:t>
      </w:r>
      <w:r w:rsidR="00585978"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se han identifica</w:t>
      </w:r>
      <w:r w:rsidR="00AD6C10" w:rsidRPr="001F7FF3">
        <w:rPr>
          <w:rFonts w:ascii="Century Gothic" w:eastAsia="Century Gothic" w:hAnsi="Century Gothic" w:cs="Century Gothic"/>
          <w:sz w:val="20"/>
          <w:szCs w:val="20"/>
        </w:rPr>
        <w:t>ron</w:t>
      </w:r>
      <w:r w:rsidRPr="001F7FF3">
        <w:rPr>
          <w:rFonts w:ascii="Century Gothic" w:eastAsia="Century Gothic" w:hAnsi="Century Gothic" w:cs="Century Gothic"/>
          <w:sz w:val="20"/>
          <w:szCs w:val="20"/>
        </w:rPr>
        <w:t xml:space="preserve"> una serie de estrategias que contribuyen directamente al cumplimiento de los dos objetivos específicos del programa. Finalmente, a partir de las estrategias se establecen acciones puntuales para llevar a cabo </w:t>
      </w:r>
      <w:r w:rsidR="00FA58C8" w:rsidRPr="001F7FF3">
        <w:rPr>
          <w:rFonts w:ascii="Century Gothic" w:eastAsia="Century Gothic" w:hAnsi="Century Gothic" w:cs="Century Gothic"/>
          <w:sz w:val="20"/>
          <w:szCs w:val="20"/>
        </w:rPr>
        <w:t xml:space="preserve">la consecución de resultados y cambios esperados. </w:t>
      </w:r>
      <w:r w:rsidRPr="001F7FF3">
        <w:rPr>
          <w:rFonts w:ascii="Century Gothic" w:eastAsia="Century Gothic" w:hAnsi="Century Gothic" w:cs="Century Gothic"/>
          <w:sz w:val="20"/>
          <w:szCs w:val="20"/>
        </w:rPr>
        <w:t xml:space="preserve">. </w:t>
      </w:r>
    </w:p>
    <w:p w14:paraId="000000D8" w14:textId="23C3E92F" w:rsidR="00F1064E" w:rsidRPr="001F7FF3" w:rsidRDefault="00F1064E" w:rsidP="009D291F">
      <w:pPr>
        <w:jc w:val="both"/>
        <w:rPr>
          <w:rFonts w:ascii="Century Gothic" w:eastAsia="Century Gothic" w:hAnsi="Century Gothic" w:cs="Century Gothic"/>
          <w:sz w:val="20"/>
          <w:szCs w:val="20"/>
        </w:rPr>
      </w:pPr>
    </w:p>
    <w:p w14:paraId="2DD57E87" w14:textId="2B74B37B" w:rsidR="006B7BBC" w:rsidRPr="001F7FF3" w:rsidRDefault="006B7BBC"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En el taller de socialización de la representación gráfica del PJT elaborada por el equipo consultor, el equipo técnico de PNUD aclaró la importancia de la organización de estos resultados estratégicos bajo los cuatro ámbitos de la justicia transicional, a decir: verdad, justicia, reparación y no repetición. Adicionalmente, se indicó cómo a partir de necesidades administrativas para la gestión de algunos proyectos se crearon cuatro resultados estratégicos vinculados también a los ámbitos mencionados anteriormente</w:t>
      </w:r>
      <w:r w:rsidRPr="001F7FF3">
        <w:rPr>
          <w:rStyle w:val="Refdenotaalpie"/>
          <w:rFonts w:ascii="Century Gothic" w:eastAsia="Century Gothic" w:hAnsi="Century Gothic" w:cs="Century Gothic"/>
          <w:sz w:val="20"/>
          <w:szCs w:val="20"/>
        </w:rPr>
        <w:footnoteReference w:id="5"/>
      </w:r>
      <w:r w:rsidRPr="001F7FF3">
        <w:rPr>
          <w:rFonts w:ascii="Century Gothic" w:eastAsia="Century Gothic" w:hAnsi="Century Gothic" w:cs="Century Gothic"/>
          <w:sz w:val="20"/>
          <w:szCs w:val="20"/>
        </w:rPr>
        <w:t>. A partir de esto, existen 8 resultados estratégicos del PJT. Siguiendo el gráfico presentado anteriormente</w:t>
      </w:r>
      <w:r w:rsidR="00585978" w:rsidRPr="001F7FF3">
        <w:rPr>
          <w:rFonts w:ascii="Century Gothic" w:eastAsia="Century Gothic" w:hAnsi="Century Gothic" w:cs="Century Gothic"/>
          <w:sz w:val="20"/>
          <w:szCs w:val="20"/>
        </w:rPr>
        <w:t xml:space="preserve">:  </w:t>
      </w:r>
    </w:p>
    <w:p w14:paraId="737B7572" w14:textId="0E5EC3C1" w:rsidR="00B4060A" w:rsidRPr="001F7FF3" w:rsidRDefault="00B4060A" w:rsidP="00B4060A">
      <w:pPr>
        <w:pStyle w:val="Descripcin"/>
        <w:keepNext/>
        <w:jc w:val="both"/>
        <w:rPr>
          <w:rFonts w:ascii="Century Gothic" w:hAnsi="Century Gothic"/>
          <w:lang w:val="es-CO"/>
        </w:rPr>
      </w:pPr>
      <w:bookmarkStart w:id="17" w:name="_Toc117527851"/>
      <w:r w:rsidRPr="001F7FF3">
        <w:rPr>
          <w:rFonts w:ascii="Century Gothic" w:hAnsi="Century Gothic"/>
          <w:lang w:val="es-CO"/>
        </w:rPr>
        <w:lastRenderedPageBreak/>
        <w:t xml:space="preserve">Ilustración </w:t>
      </w:r>
      <w:r w:rsidRPr="001F7FF3">
        <w:rPr>
          <w:rFonts w:ascii="Century Gothic" w:hAnsi="Century Gothic"/>
          <w:lang w:val="es-CO"/>
        </w:rPr>
        <w:fldChar w:fldCharType="begin"/>
      </w:r>
      <w:r w:rsidRPr="001F7FF3">
        <w:rPr>
          <w:rFonts w:ascii="Century Gothic" w:hAnsi="Century Gothic"/>
          <w:lang w:val="es-CO"/>
        </w:rPr>
        <w:instrText xml:space="preserve"> SEQ Ilustración \* ARABIC </w:instrText>
      </w:r>
      <w:r w:rsidRPr="001F7FF3">
        <w:rPr>
          <w:rFonts w:ascii="Century Gothic" w:hAnsi="Century Gothic"/>
          <w:lang w:val="es-CO"/>
        </w:rPr>
        <w:fldChar w:fldCharType="separate"/>
      </w:r>
      <w:r w:rsidR="00295D29">
        <w:rPr>
          <w:rFonts w:ascii="Century Gothic" w:hAnsi="Century Gothic"/>
          <w:noProof/>
          <w:lang w:val="es-CO"/>
        </w:rPr>
        <w:t>2</w:t>
      </w:r>
      <w:r w:rsidRPr="001F7FF3">
        <w:rPr>
          <w:rFonts w:ascii="Century Gothic" w:hAnsi="Century Gothic"/>
          <w:lang w:val="es-CO"/>
        </w:rPr>
        <w:fldChar w:fldCharType="end"/>
      </w:r>
      <w:r w:rsidRPr="001F7FF3">
        <w:rPr>
          <w:rFonts w:ascii="Century Gothic" w:hAnsi="Century Gothic"/>
          <w:lang w:val="es-CO"/>
        </w:rPr>
        <w:t>. Ámbitos de la justicia transicional vs. Resultados estratégicos del PJT</w:t>
      </w:r>
      <w:bookmarkEnd w:id="17"/>
    </w:p>
    <w:p w14:paraId="2849EE15" w14:textId="6239A8BA" w:rsidR="00585978" w:rsidRPr="001F7FF3" w:rsidRDefault="00585978"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noProof/>
          <w:sz w:val="20"/>
          <w:szCs w:val="20"/>
        </w:rPr>
        <w:drawing>
          <wp:inline distT="0" distB="0" distL="0" distR="0" wp14:anchorId="590AD437" wp14:editId="793B6E48">
            <wp:extent cx="5534025" cy="2969702"/>
            <wp:effectExtent l="1905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D7548DE" w14:textId="6DDEB444" w:rsidR="00A74E3E" w:rsidRPr="001F7FF3" w:rsidRDefault="00A74E3E" w:rsidP="009D291F">
      <w:pPr>
        <w:rPr>
          <w:rFonts w:ascii="Century Gothic" w:eastAsia="Century Gothic" w:hAnsi="Century Gothic" w:cs="Century Gothic"/>
          <w:sz w:val="20"/>
          <w:szCs w:val="20"/>
        </w:rPr>
      </w:pPr>
      <w:r w:rsidRPr="001F7FF3">
        <w:rPr>
          <w:rFonts w:ascii="Century Gothic" w:eastAsia="Century Gothic" w:hAnsi="Century Gothic" w:cs="Century Gothic"/>
          <w:b/>
          <w:bCs/>
          <w:noProof/>
          <w:sz w:val="20"/>
          <w:szCs w:val="20"/>
        </w:rPr>
        <w:drawing>
          <wp:inline distT="0" distB="0" distL="0" distR="0" wp14:anchorId="13E2CE11" wp14:editId="589F2E3A">
            <wp:extent cx="5486400" cy="871537"/>
            <wp:effectExtent l="38100" t="0" r="190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3478754" w14:textId="38C3EB2B" w:rsidR="00427841" w:rsidRPr="001F7FF3" w:rsidRDefault="00A74E3E" w:rsidP="00EE7BD5">
      <w:pPr>
        <w:jc w:val="center"/>
        <w:rPr>
          <w:rFonts w:ascii="Century Gothic" w:eastAsia="Century Gothic" w:hAnsi="Century Gothic" w:cs="Century Gothic"/>
          <w:sz w:val="20"/>
          <w:szCs w:val="20"/>
        </w:rPr>
      </w:pPr>
      <w:r w:rsidRPr="001F7FF3">
        <w:rPr>
          <w:rFonts w:ascii="Century Gothic" w:eastAsia="Century Gothic" w:hAnsi="Century Gothic" w:cs="Century Gothic"/>
          <w:b/>
          <w:bCs/>
          <w:sz w:val="18"/>
          <w:szCs w:val="18"/>
        </w:rPr>
        <w:t>Fuente</w:t>
      </w:r>
      <w:r w:rsidRPr="001F7FF3">
        <w:rPr>
          <w:rFonts w:ascii="Century Gothic" w:eastAsia="Century Gothic" w:hAnsi="Century Gothic" w:cs="Century Gothic"/>
          <w:sz w:val="18"/>
          <w:szCs w:val="18"/>
        </w:rPr>
        <w:t>: elaboración propia con base en Prodoc y reuniones con equipo técnico.</w:t>
      </w:r>
    </w:p>
    <w:p w14:paraId="403206CF" w14:textId="77777777" w:rsidR="00427841" w:rsidRPr="001F7FF3" w:rsidRDefault="00427841" w:rsidP="009D291F">
      <w:pPr>
        <w:jc w:val="both"/>
        <w:rPr>
          <w:rFonts w:ascii="Century Gothic" w:eastAsia="Century Gothic" w:hAnsi="Century Gothic" w:cs="Century Gothic"/>
          <w:sz w:val="20"/>
          <w:szCs w:val="20"/>
        </w:rPr>
      </w:pPr>
    </w:p>
    <w:p w14:paraId="0A9B34A3" w14:textId="24B00B6C" w:rsidR="00D063A9" w:rsidRPr="001F7FF3" w:rsidRDefault="00D063A9" w:rsidP="00B4060A">
      <w:pPr>
        <w:jc w:val="both"/>
        <w:rPr>
          <w:rFonts w:ascii="Century Gothic" w:eastAsia="Century Gothic" w:hAnsi="Century Gothic" w:cs="Century Gothic"/>
          <w:sz w:val="20"/>
          <w:szCs w:val="20"/>
        </w:rPr>
      </w:pPr>
      <w:r w:rsidRPr="001F7FF3">
        <w:rPr>
          <w:noProof/>
        </w:rPr>
        <mc:AlternateContent>
          <mc:Choice Requires="wps">
            <w:drawing>
              <wp:anchor distT="0" distB="0" distL="114300" distR="114300" simplePos="0" relativeHeight="251704320" behindDoc="0" locked="0" layoutInCell="1" allowOverlap="1" wp14:anchorId="45C18468" wp14:editId="3705D1ED">
                <wp:simplePos x="0" y="0"/>
                <wp:positionH relativeFrom="column">
                  <wp:posOffset>-761365</wp:posOffset>
                </wp:positionH>
                <wp:positionV relativeFrom="paragraph">
                  <wp:posOffset>458307</wp:posOffset>
                </wp:positionV>
                <wp:extent cx="7038340" cy="20955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7038340" cy="209550"/>
                        </a:xfrm>
                        <a:prstGeom prst="rect">
                          <a:avLst/>
                        </a:prstGeom>
                        <a:solidFill>
                          <a:prstClr val="white"/>
                        </a:solidFill>
                        <a:ln>
                          <a:noFill/>
                        </a:ln>
                      </wps:spPr>
                      <wps:txbx>
                        <w:txbxContent>
                          <w:p w14:paraId="1B604CE7" w14:textId="40F443D0" w:rsidR="00B4060A" w:rsidRPr="00B4060A" w:rsidRDefault="00B4060A" w:rsidP="00B4060A">
                            <w:pPr>
                              <w:pStyle w:val="Descripcin"/>
                              <w:rPr>
                                <w:rFonts w:ascii="Century Gothic" w:eastAsia="Calibri" w:hAnsi="Century Gothic" w:cs="Calibri"/>
                                <w:sz w:val="20"/>
                                <w:szCs w:val="20"/>
                                <w:lang w:val="es-CO" w:eastAsia="es-CO"/>
                              </w:rPr>
                            </w:pPr>
                            <w:bookmarkStart w:id="18" w:name="_Toc117527852"/>
                            <w:r w:rsidRPr="00B4060A">
                              <w:rPr>
                                <w:rFonts w:ascii="Century Gothic" w:hAnsi="Century Gothic"/>
                                <w:lang w:val="es-CO"/>
                              </w:rPr>
                              <w:t xml:space="preserve">Ilustración </w:t>
                            </w:r>
                            <w:r w:rsidRPr="00B4060A">
                              <w:rPr>
                                <w:rFonts w:ascii="Century Gothic" w:hAnsi="Century Gothic"/>
                                <w:lang w:val="es-CO"/>
                              </w:rPr>
                              <w:fldChar w:fldCharType="begin"/>
                            </w:r>
                            <w:r w:rsidRPr="00B4060A">
                              <w:rPr>
                                <w:rFonts w:ascii="Century Gothic" w:hAnsi="Century Gothic"/>
                                <w:lang w:val="es-CO"/>
                              </w:rPr>
                              <w:instrText xml:space="preserve"> SEQ Ilustración \* ARABIC </w:instrText>
                            </w:r>
                            <w:r w:rsidRPr="00B4060A">
                              <w:rPr>
                                <w:rFonts w:ascii="Century Gothic" w:hAnsi="Century Gothic"/>
                                <w:lang w:val="es-CO"/>
                              </w:rPr>
                              <w:fldChar w:fldCharType="separate"/>
                            </w:r>
                            <w:r w:rsidR="00295D29">
                              <w:rPr>
                                <w:rFonts w:ascii="Century Gothic" w:hAnsi="Century Gothic"/>
                                <w:noProof/>
                                <w:lang w:val="es-CO"/>
                              </w:rPr>
                              <w:t>3</w:t>
                            </w:r>
                            <w:r w:rsidRPr="00B4060A">
                              <w:rPr>
                                <w:rFonts w:ascii="Century Gothic" w:hAnsi="Century Gothic"/>
                                <w:lang w:val="es-CO"/>
                              </w:rPr>
                              <w:fldChar w:fldCharType="end"/>
                            </w:r>
                            <w:r w:rsidRPr="00B4060A">
                              <w:rPr>
                                <w:rFonts w:ascii="Century Gothic" w:hAnsi="Century Gothic"/>
                                <w:lang w:val="es-CO"/>
                              </w:rPr>
                              <w:t>. Teoría de cambio PJT - Prodoc</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18468" id="Cuadro de texto 4" o:spid="_x0000_s1030" type="#_x0000_t202" style="position:absolute;left:0;text-align:left;margin-left:-59.95pt;margin-top:36.1pt;width:554.2pt;height:1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" stroked="f">
                <v:textbox inset="0,0,0,0">
                  <w:txbxContent>
                    <w:p w14:paraId="1B604CE7" w14:textId="40F443D0" w:rsidR="00B4060A" w:rsidRPr="00B4060A" w:rsidRDefault="00B4060A" w:rsidP="00B4060A">
                      <w:pPr>
                        <w:pStyle w:val="Descripcin"/>
                        <w:rPr>
                          <w:rFonts w:ascii="Century Gothic" w:eastAsia="Calibri" w:hAnsi="Century Gothic" w:cs="Calibri"/>
                          <w:sz w:val="20"/>
                          <w:szCs w:val="20"/>
                          <w:lang w:val="es-CO" w:eastAsia="es-CO"/>
                        </w:rPr>
                      </w:pPr>
                      <w:bookmarkStart w:id="19" w:name="_Toc117527852"/>
                      <w:r w:rsidRPr="00B4060A">
                        <w:rPr>
                          <w:rFonts w:ascii="Century Gothic" w:hAnsi="Century Gothic"/>
                          <w:lang w:val="es-CO"/>
                        </w:rPr>
                        <w:t xml:space="preserve">Ilustración </w:t>
                      </w:r>
                      <w:r w:rsidRPr="00B4060A">
                        <w:rPr>
                          <w:rFonts w:ascii="Century Gothic" w:hAnsi="Century Gothic"/>
                          <w:lang w:val="es-CO"/>
                        </w:rPr>
                        <w:fldChar w:fldCharType="begin"/>
                      </w:r>
                      <w:r w:rsidRPr="00B4060A">
                        <w:rPr>
                          <w:rFonts w:ascii="Century Gothic" w:hAnsi="Century Gothic"/>
                          <w:lang w:val="es-CO"/>
                        </w:rPr>
                        <w:instrText xml:space="preserve"> SEQ Ilustración \* ARABIC </w:instrText>
                      </w:r>
                      <w:r w:rsidRPr="00B4060A">
                        <w:rPr>
                          <w:rFonts w:ascii="Century Gothic" w:hAnsi="Century Gothic"/>
                          <w:lang w:val="es-CO"/>
                        </w:rPr>
                        <w:fldChar w:fldCharType="separate"/>
                      </w:r>
                      <w:r w:rsidR="00295D29">
                        <w:rPr>
                          <w:rFonts w:ascii="Century Gothic" w:hAnsi="Century Gothic"/>
                          <w:noProof/>
                          <w:lang w:val="es-CO"/>
                        </w:rPr>
                        <w:t>3</w:t>
                      </w:r>
                      <w:r w:rsidRPr="00B4060A">
                        <w:rPr>
                          <w:rFonts w:ascii="Century Gothic" w:hAnsi="Century Gothic"/>
                          <w:lang w:val="es-CO"/>
                        </w:rPr>
                        <w:fldChar w:fldCharType="end"/>
                      </w:r>
                      <w:r w:rsidRPr="00B4060A">
                        <w:rPr>
                          <w:rFonts w:ascii="Century Gothic" w:hAnsi="Century Gothic"/>
                          <w:lang w:val="es-CO"/>
                        </w:rPr>
                        <w:t>. Teoría de cambio PJT - Prodoc</w:t>
                      </w:r>
                      <w:bookmarkEnd w:id="19"/>
                    </w:p>
                  </w:txbxContent>
                </v:textbox>
                <w10:wrap type="square"/>
              </v:shape>
            </w:pict>
          </mc:Fallback>
        </mc:AlternateContent>
      </w:r>
      <w:r w:rsidRPr="001F7FF3">
        <w:rPr>
          <w:rFonts w:ascii="Century Gothic" w:hAnsi="Century Gothic"/>
          <w:noProof/>
          <w:sz w:val="20"/>
          <w:szCs w:val="20"/>
        </w:rPr>
        <w:drawing>
          <wp:anchor distT="0" distB="0" distL="114300" distR="114300" simplePos="0" relativeHeight="251702272" behindDoc="0" locked="0" layoutInCell="1" hidden="0" allowOverlap="1" wp14:anchorId="5E767DE0" wp14:editId="7D9A7432">
            <wp:simplePos x="0" y="0"/>
            <wp:positionH relativeFrom="margin">
              <wp:posOffset>-694591</wp:posOffset>
            </wp:positionH>
            <wp:positionV relativeFrom="paragraph">
              <wp:posOffset>651545</wp:posOffset>
            </wp:positionV>
            <wp:extent cx="7080250" cy="2465705"/>
            <wp:effectExtent l="0" t="0" r="0" b="0"/>
            <wp:wrapSquare wrapText="bothSides"/>
            <wp:docPr id="17" name="image1.png" descr="Imagen de la pantalla de un celular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Imagen de la pantalla de un celular con letras&#10;&#10;Descripción generada automáticamente con confianza baja"/>
                    <pic:cNvPicPr preferRelativeResize="0"/>
                  </pic:nvPicPr>
                  <pic:blipFill>
                    <a:blip r:embed="rId34"/>
                    <a:srcRect/>
                    <a:stretch>
                      <a:fillRect/>
                    </a:stretch>
                  </pic:blipFill>
                  <pic:spPr>
                    <a:xfrm>
                      <a:off x="0" y="0"/>
                      <a:ext cx="7080250" cy="2465705"/>
                    </a:xfrm>
                    <a:prstGeom prst="rect">
                      <a:avLst/>
                    </a:prstGeom>
                    <a:ln/>
                  </pic:spPr>
                </pic:pic>
              </a:graphicData>
            </a:graphic>
            <wp14:sizeRelH relativeFrom="margin">
              <wp14:pctWidth>0</wp14:pctWidth>
            </wp14:sizeRelH>
            <wp14:sizeRelV relativeFrom="margin">
              <wp14:pctHeight>0</wp14:pctHeight>
            </wp14:sizeRelV>
          </wp:anchor>
        </w:drawing>
      </w:r>
      <w:r w:rsidR="00362F4C" w:rsidRPr="001F7FF3">
        <w:rPr>
          <w:rFonts w:ascii="Century Gothic" w:eastAsia="Century Gothic" w:hAnsi="Century Gothic" w:cs="Century Gothic"/>
          <w:sz w:val="20"/>
          <w:szCs w:val="20"/>
        </w:rPr>
        <w:t>La presentación gráfi</w:t>
      </w:r>
      <w:r w:rsidR="00EE7BD5" w:rsidRPr="001F7FF3">
        <w:rPr>
          <w:rFonts w:ascii="Century Gothic" w:eastAsia="Century Gothic" w:hAnsi="Century Gothic" w:cs="Century Gothic"/>
          <w:sz w:val="20"/>
          <w:szCs w:val="20"/>
        </w:rPr>
        <w:t>ca</w:t>
      </w:r>
      <w:r w:rsidR="00362F4C" w:rsidRPr="001F7FF3">
        <w:rPr>
          <w:rFonts w:ascii="Century Gothic" w:eastAsia="Century Gothic" w:hAnsi="Century Gothic" w:cs="Century Gothic"/>
          <w:sz w:val="20"/>
          <w:szCs w:val="20"/>
        </w:rPr>
        <w:t xml:space="preserve"> de la lógica de intervención facilitó la identificación de la siguiente teoría de cambio (</w:t>
      </w:r>
      <w:r w:rsidR="00EE7BD5" w:rsidRPr="001F7FF3">
        <w:rPr>
          <w:rFonts w:ascii="Century Gothic" w:eastAsia="Century Gothic" w:hAnsi="Century Gothic" w:cs="Century Gothic"/>
          <w:sz w:val="20"/>
          <w:szCs w:val="20"/>
        </w:rPr>
        <w:t>ToC</w:t>
      </w:r>
      <w:r w:rsidR="00362F4C" w:rsidRPr="001F7FF3">
        <w:rPr>
          <w:rFonts w:ascii="Century Gothic" w:eastAsia="Century Gothic" w:hAnsi="Century Gothic" w:cs="Century Gothic"/>
          <w:sz w:val="20"/>
          <w:szCs w:val="20"/>
        </w:rPr>
        <w:t xml:space="preserve">) del Programa, la cual fue retomada del Prodoc. </w:t>
      </w:r>
      <w:bookmarkStart w:id="20" w:name="_heading=h.3dy6vkm" w:colFirst="0" w:colLast="0"/>
      <w:bookmarkEnd w:id="20"/>
    </w:p>
    <w:p w14:paraId="195DEF3F" w14:textId="47CAA9E6" w:rsidR="005933A5" w:rsidRPr="001F7FF3" w:rsidRDefault="005933A5" w:rsidP="009D291F">
      <w:pPr>
        <w:jc w:val="center"/>
        <w:rPr>
          <w:rFonts w:ascii="Century Gothic" w:eastAsia="Century Gothic" w:hAnsi="Century Gothic" w:cs="Century Gothic"/>
          <w:b/>
          <w:bCs/>
          <w:sz w:val="20"/>
          <w:szCs w:val="20"/>
        </w:rPr>
      </w:pPr>
    </w:p>
    <w:p w14:paraId="03976F8C" w14:textId="2BFD2472" w:rsidR="00427841" w:rsidRPr="001F7FF3" w:rsidRDefault="00427841" w:rsidP="009D291F">
      <w:pPr>
        <w:jc w:val="center"/>
        <w:rPr>
          <w:rFonts w:ascii="Century Gothic" w:eastAsia="Century Gothic" w:hAnsi="Century Gothic" w:cs="Century Gothic"/>
          <w:sz w:val="18"/>
          <w:szCs w:val="18"/>
        </w:rPr>
      </w:pPr>
      <w:r w:rsidRPr="001F7FF3">
        <w:rPr>
          <w:rFonts w:ascii="Century Gothic" w:eastAsia="Century Gothic" w:hAnsi="Century Gothic" w:cs="Century Gothic"/>
          <w:b/>
          <w:bCs/>
          <w:sz w:val="18"/>
          <w:szCs w:val="18"/>
        </w:rPr>
        <w:t xml:space="preserve">Fuente: </w:t>
      </w:r>
      <w:r w:rsidRPr="001F7FF3">
        <w:rPr>
          <w:rFonts w:ascii="Century Gothic" w:eastAsia="Century Gothic" w:hAnsi="Century Gothic" w:cs="Century Gothic"/>
          <w:sz w:val="18"/>
          <w:szCs w:val="18"/>
        </w:rPr>
        <w:t>elaboración propia con base en el Prodoc</w:t>
      </w:r>
    </w:p>
    <w:p w14:paraId="27D64080" w14:textId="57C7A98F" w:rsidR="00017F2D" w:rsidRPr="001F7FF3" w:rsidRDefault="00017F2D" w:rsidP="009D291F">
      <w:pPr>
        <w:jc w:val="both"/>
        <w:rPr>
          <w:rFonts w:ascii="Century Gothic" w:eastAsia="Century Gothic" w:hAnsi="Century Gothic" w:cs="Century Gothic"/>
          <w:sz w:val="20"/>
          <w:szCs w:val="20"/>
        </w:rPr>
      </w:pPr>
    </w:p>
    <w:p w14:paraId="000000E8" w14:textId="51B552D5"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lastRenderedPageBreak/>
        <w:t>Colombia enfrenta una serie de desafíos estructurales para fortalecer la construcción de una paz estable y duradera. Si bien</w:t>
      </w:r>
      <w:r w:rsidR="00717364"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la firma del Acuerdo Final de Paz fue un hito fundamental para alcanzar este objetivo, las transformaciones de desarrollo social, político y económico que requiere el país dependen, entre otros factores, de su adecuada implementación por parte del Estado. </w:t>
      </w:r>
    </w:p>
    <w:p w14:paraId="000000E9" w14:textId="10A90595" w:rsidR="00F1064E" w:rsidRPr="001F7FF3" w:rsidRDefault="00F1064E" w:rsidP="009D291F">
      <w:pPr>
        <w:jc w:val="both"/>
        <w:rPr>
          <w:rFonts w:ascii="Century Gothic" w:eastAsia="Century Gothic" w:hAnsi="Century Gothic" w:cs="Century Gothic"/>
          <w:sz w:val="20"/>
          <w:szCs w:val="20"/>
        </w:rPr>
      </w:pPr>
    </w:p>
    <w:p w14:paraId="000000EA" w14:textId="37F818F4"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El punto número 5 del </w:t>
      </w:r>
      <w:r w:rsidR="00717364" w:rsidRPr="001F7FF3">
        <w:rPr>
          <w:rFonts w:ascii="Century Gothic" w:eastAsia="Century Gothic" w:hAnsi="Century Gothic" w:cs="Century Gothic"/>
          <w:sz w:val="20"/>
          <w:szCs w:val="20"/>
        </w:rPr>
        <w:t xml:space="preserve">AP </w:t>
      </w:r>
      <w:r w:rsidRPr="001F7FF3">
        <w:rPr>
          <w:rFonts w:ascii="Century Gothic" w:eastAsia="Century Gothic" w:hAnsi="Century Gothic" w:cs="Century Gothic"/>
          <w:sz w:val="20"/>
          <w:szCs w:val="20"/>
        </w:rPr>
        <w:t>propone la creación de un SIVJR</w:t>
      </w:r>
      <w:r w:rsidR="001B2983" w:rsidRPr="001F7FF3">
        <w:rPr>
          <w:rFonts w:ascii="Century Gothic" w:eastAsia="Century Gothic" w:hAnsi="Century Gothic" w:cs="Century Gothic"/>
          <w:sz w:val="20"/>
          <w:szCs w:val="20"/>
        </w:rPr>
        <w:t>NR</w:t>
      </w:r>
      <w:r w:rsidR="001E1C69"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para impulsar la transición del conflicto armado a la paz. A través del SIVJR</w:t>
      </w:r>
      <w:r w:rsidR="001B2983" w:rsidRPr="001F7FF3">
        <w:rPr>
          <w:rFonts w:ascii="Century Gothic" w:eastAsia="Century Gothic" w:hAnsi="Century Gothic" w:cs="Century Gothic"/>
          <w:sz w:val="20"/>
          <w:szCs w:val="20"/>
        </w:rPr>
        <w:t>NR</w:t>
      </w:r>
      <w:r w:rsidRPr="001F7FF3">
        <w:rPr>
          <w:rFonts w:ascii="Century Gothic" w:eastAsia="Century Gothic" w:hAnsi="Century Gothic" w:cs="Century Gothic"/>
          <w:sz w:val="20"/>
          <w:szCs w:val="20"/>
        </w:rPr>
        <w:t xml:space="preserve">, el Estado cumple su papel como garante, tanto de la restauración de los derechos de las víctimas, como de la reintegración de los excombatientes a través de procesos de perdón y reconciliación. </w:t>
      </w:r>
    </w:p>
    <w:p w14:paraId="000000EB" w14:textId="0B6C6C79" w:rsidR="00F1064E" w:rsidRPr="001F7FF3" w:rsidRDefault="00F1064E" w:rsidP="009D291F">
      <w:pPr>
        <w:jc w:val="both"/>
        <w:rPr>
          <w:rFonts w:ascii="Century Gothic" w:eastAsia="Century Gothic" w:hAnsi="Century Gothic" w:cs="Century Gothic"/>
          <w:sz w:val="20"/>
          <w:szCs w:val="20"/>
        </w:rPr>
      </w:pPr>
    </w:p>
    <w:p w14:paraId="000000EC" w14:textId="2601DF16"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Para ese fin, el PNUD ha formulado e implementado el </w:t>
      </w:r>
      <w:r w:rsidR="002C3AF6" w:rsidRPr="001F7FF3">
        <w:rPr>
          <w:rFonts w:ascii="Century Gothic" w:eastAsia="Century Gothic" w:hAnsi="Century Gothic" w:cs="Century Gothic"/>
          <w:sz w:val="20"/>
          <w:szCs w:val="20"/>
        </w:rPr>
        <w:t>PJT</w:t>
      </w:r>
      <w:r w:rsidRPr="001F7FF3">
        <w:rPr>
          <w:rFonts w:ascii="Century Gothic" w:eastAsia="Century Gothic" w:hAnsi="Century Gothic" w:cs="Century Gothic"/>
          <w:sz w:val="20"/>
          <w:szCs w:val="20"/>
        </w:rPr>
        <w:t xml:space="preserve">. </w:t>
      </w:r>
      <w:r w:rsidR="002C3AF6" w:rsidRPr="001F7FF3">
        <w:rPr>
          <w:rFonts w:ascii="Century Gothic" w:eastAsia="Century Gothic" w:hAnsi="Century Gothic" w:cs="Century Gothic"/>
          <w:sz w:val="20"/>
          <w:szCs w:val="20"/>
        </w:rPr>
        <w:t xml:space="preserve">Este </w:t>
      </w:r>
      <w:r w:rsidRPr="001F7FF3">
        <w:rPr>
          <w:rFonts w:ascii="Century Gothic" w:eastAsia="Century Gothic" w:hAnsi="Century Gothic" w:cs="Century Gothic"/>
          <w:sz w:val="20"/>
          <w:szCs w:val="20"/>
        </w:rPr>
        <w:t xml:space="preserve">se basa en la teoría de la justicia transicional, la cual busca reconocer a las víctimas, garantizar su derecho a la verdad, justicia, reparación y no repetición, y aumentar su confianza en las instituciones del Estado. A largo plazo, busca también aportar a la reconciliación y fortalecer el Estado de Derecho. </w:t>
      </w:r>
    </w:p>
    <w:p w14:paraId="000000ED" w14:textId="472C0009" w:rsidR="00F1064E" w:rsidRPr="001F7FF3" w:rsidRDefault="00F1064E" w:rsidP="009D291F">
      <w:pPr>
        <w:jc w:val="both"/>
        <w:rPr>
          <w:rFonts w:ascii="Century Gothic" w:eastAsia="Century Gothic" w:hAnsi="Century Gothic" w:cs="Century Gothic"/>
          <w:sz w:val="20"/>
          <w:szCs w:val="20"/>
        </w:rPr>
      </w:pPr>
    </w:p>
    <w:p w14:paraId="000000EE" w14:textId="79B84DB5" w:rsidR="00F1064E" w:rsidRPr="001F7FF3" w:rsidRDefault="001D0FD3" w:rsidP="009D291F">
      <w:pPr>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El PJT busca generar transformaciones en dos tipos de actores fundamentales para la construcción de la paz: las instituciones del Estado y las víctimas y sus organizaciones. Por un lado, si se fortalece la capacidad institucional para garantizar y restituir los derechos de las víctimas, entonces aumentará la confianza de la sociedad en el compromiso del Estado con la paz. Por otro lado, si se fortalecen las capacidades de las víctimas para participar e incidir en la toma de decisiones, entonces se logrará el goce efectivo de sus derechos, generando un círculo virtuoso entre el Estado, las víctimas y la ciudadanía para la construcción de una paz estable y duradera</w:t>
      </w:r>
      <w:r w:rsidRPr="001F7FF3">
        <w:rPr>
          <w:rFonts w:ascii="Century Gothic" w:eastAsia="Century Gothic" w:hAnsi="Century Gothic" w:cs="Century Gothic"/>
          <w:sz w:val="20"/>
          <w:szCs w:val="20"/>
          <w:vertAlign w:val="superscript"/>
        </w:rPr>
        <w:footnoteReference w:id="6"/>
      </w:r>
      <w:r w:rsidRPr="001F7FF3">
        <w:rPr>
          <w:rFonts w:ascii="Century Gothic" w:eastAsia="Century Gothic" w:hAnsi="Century Gothic" w:cs="Century Gothic"/>
          <w:sz w:val="20"/>
          <w:szCs w:val="20"/>
        </w:rPr>
        <w:t xml:space="preserve">. </w:t>
      </w:r>
    </w:p>
    <w:p w14:paraId="34474B5B" w14:textId="48AB99BD"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3C5AFFF7" w14:textId="0F79E324" w:rsidR="003043DE" w:rsidRPr="001F7FF3" w:rsidRDefault="003043DE" w:rsidP="009D291F">
      <w:pPr>
        <w:pStyle w:val="Ttulo1"/>
        <w:numPr>
          <w:ilvl w:val="0"/>
          <w:numId w:val="2"/>
        </w:numPr>
        <w:rPr>
          <w:rFonts w:eastAsia="Century Gothic"/>
          <w:lang w:val="es-CO"/>
        </w:rPr>
      </w:pPr>
      <w:bookmarkStart w:id="21" w:name="_Toc117261394"/>
      <w:r w:rsidRPr="001F7FF3">
        <w:rPr>
          <w:rFonts w:eastAsia="Century Gothic"/>
          <w:lang w:val="es-CO"/>
        </w:rPr>
        <w:t>Objetivo y alcance de la evaluación</w:t>
      </w:r>
      <w:bookmarkEnd w:id="21"/>
    </w:p>
    <w:p w14:paraId="620A9404" w14:textId="59C142FC"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 xml:space="preserve">El objetivo principal de esta evaluación </w:t>
      </w:r>
      <w:r w:rsidR="00A42D84" w:rsidRPr="001F7FF3">
        <w:rPr>
          <w:rFonts w:ascii="Century Gothic" w:eastAsia="Century Gothic" w:hAnsi="Century Gothic" w:cs="Century Gothic"/>
          <w:color w:val="000000"/>
          <w:sz w:val="20"/>
          <w:szCs w:val="20"/>
        </w:rPr>
        <w:t xml:space="preserve">fue </w:t>
      </w:r>
      <w:r w:rsidRPr="001F7FF3">
        <w:rPr>
          <w:rFonts w:ascii="Century Gothic" w:eastAsia="Century Gothic" w:hAnsi="Century Gothic" w:cs="Century Gothic"/>
          <w:color w:val="000000"/>
          <w:sz w:val="20"/>
          <w:szCs w:val="20"/>
        </w:rPr>
        <w:t>determinar, con base en evidencia procedente de métodos cuantitativos y cualitativos, la pertinencia, la eficiencia, la eficacia y la sostenibilidad de los efectos del portafolio del Programa de Justicia Transicional del PNUD, así como</w:t>
      </w:r>
      <w:r w:rsidR="00A42D84" w:rsidRPr="001F7FF3">
        <w:rPr>
          <w:rFonts w:ascii="Century Gothic" w:eastAsia="Century Gothic" w:hAnsi="Century Gothic" w:cs="Century Gothic"/>
          <w:color w:val="000000"/>
          <w:sz w:val="20"/>
          <w:szCs w:val="20"/>
        </w:rPr>
        <w:t xml:space="preserve"> de</w:t>
      </w:r>
      <w:r w:rsidRPr="001F7FF3">
        <w:rPr>
          <w:rFonts w:ascii="Century Gothic" w:eastAsia="Century Gothic" w:hAnsi="Century Gothic" w:cs="Century Gothic"/>
          <w:color w:val="000000"/>
          <w:sz w:val="20"/>
          <w:szCs w:val="20"/>
        </w:rPr>
        <w:t xml:space="preserve"> </w:t>
      </w:r>
      <w:r w:rsidR="00A42D84" w:rsidRPr="001F7FF3">
        <w:rPr>
          <w:rFonts w:ascii="Century Gothic" w:eastAsia="Century Gothic" w:hAnsi="Century Gothic" w:cs="Century Gothic"/>
          <w:color w:val="000000"/>
          <w:sz w:val="20"/>
          <w:szCs w:val="20"/>
        </w:rPr>
        <w:t xml:space="preserve">una muestra de </w:t>
      </w:r>
      <w:r w:rsidRPr="001F7FF3">
        <w:rPr>
          <w:rFonts w:ascii="Century Gothic" w:eastAsia="Century Gothic" w:hAnsi="Century Gothic" w:cs="Century Gothic"/>
          <w:color w:val="000000"/>
          <w:sz w:val="20"/>
          <w:szCs w:val="20"/>
        </w:rPr>
        <w:t>sus proyectos asociados</w:t>
      </w:r>
      <w:r w:rsidR="006A5712" w:rsidRPr="001F7FF3">
        <w:rPr>
          <w:rFonts w:ascii="Century Gothic" w:eastAsia="Century Gothic" w:hAnsi="Century Gothic" w:cs="Century Gothic"/>
          <w:color w:val="000000"/>
          <w:sz w:val="20"/>
          <w:szCs w:val="20"/>
        </w:rPr>
        <w:t xml:space="preserve">. Así mismo, se analizó la implementación de </w:t>
      </w:r>
      <w:r w:rsidRPr="001F7FF3">
        <w:rPr>
          <w:rFonts w:ascii="Century Gothic" w:eastAsia="Century Gothic" w:hAnsi="Century Gothic" w:cs="Century Gothic"/>
          <w:color w:val="000000"/>
          <w:sz w:val="20"/>
          <w:szCs w:val="20"/>
        </w:rPr>
        <w:t>los enfoques transversales</w:t>
      </w:r>
      <w:r w:rsidR="00B443D0" w:rsidRPr="001F7FF3">
        <w:rPr>
          <w:rFonts w:ascii="Century Gothic" w:eastAsia="Century Gothic" w:hAnsi="Century Gothic" w:cs="Century Gothic"/>
          <w:color w:val="000000"/>
          <w:sz w:val="20"/>
          <w:szCs w:val="20"/>
        </w:rPr>
        <w:t xml:space="preserve">; y </w:t>
      </w:r>
      <w:bookmarkStart w:id="22" w:name="_Hlk116969211"/>
      <w:r w:rsidR="00B443D0" w:rsidRPr="001F7FF3">
        <w:rPr>
          <w:rFonts w:ascii="Century Gothic" w:eastAsia="Century Gothic" w:hAnsi="Century Gothic" w:cs="Century Gothic"/>
          <w:color w:val="000000"/>
          <w:sz w:val="20"/>
          <w:szCs w:val="20"/>
        </w:rPr>
        <w:t xml:space="preserve">se identificaron lecciones aprendidas y buenas prácticas que contribuyeron a la gestión de conocimiento. Finalmente, se generaron recomendaciones estratégicas que permitan mejorar el diseño y la puesta en marcha de otros proyectos similares. </w:t>
      </w:r>
      <w:bookmarkEnd w:id="22"/>
      <w:r w:rsidR="00B443D0" w:rsidRPr="001F7FF3">
        <w:rPr>
          <w:rFonts w:ascii="Century Gothic" w:eastAsia="Century Gothic" w:hAnsi="Century Gothic" w:cs="Century Gothic"/>
          <w:color w:val="000000"/>
          <w:sz w:val="20"/>
          <w:szCs w:val="20"/>
        </w:rPr>
        <w:t>El . La evaluación se orientó con base en lo establecido en sus marcos de resultados.</w:t>
      </w:r>
    </w:p>
    <w:p w14:paraId="4ADD5616" w14:textId="77777777" w:rsidR="003043DE" w:rsidRPr="001F7FF3" w:rsidRDefault="003043DE" w:rsidP="009D291F">
      <w:pPr>
        <w:pBdr>
          <w:top w:val="nil"/>
          <w:left w:val="nil"/>
          <w:bottom w:val="nil"/>
          <w:right w:val="nil"/>
          <w:between w:val="nil"/>
        </w:pBdr>
        <w:ind w:left="360"/>
        <w:jc w:val="both"/>
        <w:rPr>
          <w:rFonts w:ascii="Century Gothic" w:eastAsia="Century Gothic" w:hAnsi="Century Gothic" w:cs="Century Gothic"/>
          <w:color w:val="000000"/>
          <w:sz w:val="20"/>
          <w:szCs w:val="20"/>
        </w:rPr>
      </w:pPr>
    </w:p>
    <w:p w14:paraId="283C74C4" w14:textId="722DFCF2" w:rsidR="003043DE" w:rsidRPr="001F7FF3" w:rsidRDefault="003043DE" w:rsidP="009D291F">
      <w:pPr>
        <w:pStyle w:val="Ttulo2"/>
        <w:numPr>
          <w:ilvl w:val="0"/>
          <w:numId w:val="0"/>
        </w:numPr>
        <w:ind w:left="1440"/>
        <w:rPr>
          <w:rFonts w:eastAsia="Century Gothic"/>
          <w:b/>
          <w:bCs/>
        </w:rPr>
      </w:pPr>
      <w:bookmarkStart w:id="23" w:name="_Toc117261395"/>
      <w:r w:rsidRPr="001F7FF3">
        <w:rPr>
          <w:rFonts w:eastAsia="Century Gothic"/>
          <w:b/>
          <w:bCs/>
        </w:rPr>
        <w:t>Objetivos específicos:</w:t>
      </w:r>
      <w:bookmarkEnd w:id="23"/>
    </w:p>
    <w:p w14:paraId="34CEDDB4" w14:textId="77777777"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65357DBA" w14:textId="5254C7DB" w:rsidR="00DB713A" w:rsidRPr="001F7FF3" w:rsidRDefault="003043DE" w:rsidP="009D291F">
      <w:pPr>
        <w:pStyle w:val="Prrafodelista"/>
        <w:numPr>
          <w:ilvl w:val="0"/>
          <w:numId w:val="3"/>
        </w:numPr>
        <w:pBdr>
          <w:top w:val="nil"/>
          <w:left w:val="nil"/>
          <w:bottom w:val="nil"/>
          <w:right w:val="nil"/>
          <w:between w:val="nil"/>
        </w:pBdr>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color w:val="000000"/>
          <w:sz w:val="20"/>
          <w:szCs w:val="20"/>
          <w:lang w:val="es-CO"/>
        </w:rPr>
        <w:t xml:space="preserve">Identificar aquellos efectos </w:t>
      </w:r>
      <w:r w:rsidRPr="001F7FF3">
        <w:rPr>
          <w:rFonts w:ascii="Century Gothic" w:eastAsia="Century Gothic" w:hAnsi="Century Gothic"/>
          <w:color w:val="000000"/>
          <w:sz w:val="20"/>
          <w:szCs w:val="20"/>
          <w:lang w:val="es-CO"/>
        </w:rPr>
        <w:t>o transformaciones tempranas que se</w:t>
      </w:r>
      <w:r w:rsidR="005D68E9" w:rsidRPr="001F7FF3">
        <w:rPr>
          <w:rFonts w:ascii="Century Gothic" w:eastAsia="Century Gothic" w:hAnsi="Century Gothic"/>
          <w:color w:val="000000"/>
          <w:sz w:val="20"/>
          <w:szCs w:val="20"/>
          <w:lang w:val="es-CO"/>
        </w:rPr>
        <w:t xml:space="preserve"> han derivado</w:t>
      </w:r>
      <w:r w:rsidRPr="001F7FF3">
        <w:rPr>
          <w:rFonts w:ascii="Century Gothic" w:eastAsia="Century Gothic" w:hAnsi="Century Gothic"/>
          <w:color w:val="000000"/>
          <w:sz w:val="20"/>
          <w:szCs w:val="20"/>
          <w:lang w:val="es-CO"/>
        </w:rPr>
        <w:t xml:space="preserve"> de las diferentes intervenciones,</w:t>
      </w:r>
      <w:r w:rsidRPr="001F7FF3">
        <w:rPr>
          <w:rFonts w:ascii="Century Gothic" w:eastAsia="Century Gothic" w:hAnsi="Century Gothic" w:cs="Century Gothic"/>
          <w:color w:val="000000"/>
          <w:sz w:val="20"/>
          <w:szCs w:val="20"/>
          <w:lang w:val="es-CO"/>
        </w:rPr>
        <w:t xml:space="preserve"> así como los mecanismos que</w:t>
      </w:r>
      <w:r w:rsidR="005D68E9" w:rsidRPr="001F7FF3">
        <w:rPr>
          <w:rFonts w:ascii="Century Gothic" w:eastAsia="Century Gothic" w:hAnsi="Century Gothic" w:cs="Century Gothic"/>
          <w:color w:val="000000"/>
          <w:sz w:val="20"/>
          <w:szCs w:val="20"/>
          <w:lang w:val="es-CO"/>
        </w:rPr>
        <w:t xml:space="preserve"> han</w:t>
      </w:r>
      <w:r w:rsidRPr="001F7FF3">
        <w:rPr>
          <w:rFonts w:ascii="Century Gothic" w:eastAsia="Century Gothic" w:hAnsi="Century Gothic" w:cs="Century Gothic"/>
          <w:color w:val="000000"/>
          <w:sz w:val="20"/>
          <w:szCs w:val="20"/>
          <w:lang w:val="es-CO"/>
        </w:rPr>
        <w:t xml:space="preserve"> habilita</w:t>
      </w:r>
      <w:r w:rsidR="005D68E9" w:rsidRPr="001F7FF3">
        <w:rPr>
          <w:rFonts w:ascii="Century Gothic" w:eastAsia="Century Gothic" w:hAnsi="Century Gothic" w:cs="Century Gothic"/>
          <w:color w:val="000000"/>
          <w:sz w:val="20"/>
          <w:szCs w:val="20"/>
          <w:lang w:val="es-CO"/>
        </w:rPr>
        <w:t>do</w:t>
      </w:r>
      <w:r w:rsidRPr="001F7FF3">
        <w:rPr>
          <w:rFonts w:ascii="Century Gothic" w:eastAsia="Century Gothic" w:hAnsi="Century Gothic" w:cs="Century Gothic"/>
          <w:color w:val="000000"/>
          <w:sz w:val="20"/>
          <w:szCs w:val="20"/>
          <w:lang w:val="es-CO"/>
        </w:rPr>
        <w:t xml:space="preserve"> y/o limita</w:t>
      </w:r>
      <w:r w:rsidR="005D68E9" w:rsidRPr="001F7FF3">
        <w:rPr>
          <w:rFonts w:ascii="Century Gothic" w:eastAsia="Century Gothic" w:hAnsi="Century Gothic" w:cs="Century Gothic"/>
          <w:color w:val="000000"/>
          <w:sz w:val="20"/>
          <w:szCs w:val="20"/>
          <w:lang w:val="es-CO"/>
        </w:rPr>
        <w:t>do</w:t>
      </w:r>
      <w:r w:rsidRPr="001F7FF3">
        <w:rPr>
          <w:rFonts w:ascii="Century Gothic" w:eastAsia="Century Gothic" w:hAnsi="Century Gothic" w:cs="Century Gothic"/>
          <w:color w:val="000000"/>
          <w:sz w:val="20"/>
          <w:szCs w:val="20"/>
          <w:lang w:val="es-CO"/>
        </w:rPr>
        <w:t xml:space="preserve"> dichos cambios. Desde una perspectiva transversal, mapear qué tipo de resultados se</w:t>
      </w:r>
      <w:r w:rsidR="005D68E9" w:rsidRPr="001F7FF3">
        <w:rPr>
          <w:rFonts w:ascii="Century Gothic" w:eastAsia="Century Gothic" w:hAnsi="Century Gothic" w:cs="Century Gothic"/>
          <w:color w:val="000000"/>
          <w:sz w:val="20"/>
          <w:szCs w:val="20"/>
          <w:lang w:val="es-CO"/>
        </w:rPr>
        <w:t xml:space="preserve"> han producido</w:t>
      </w:r>
      <w:r w:rsidRPr="001F7FF3">
        <w:rPr>
          <w:rFonts w:ascii="Century Gothic" w:eastAsia="Century Gothic" w:hAnsi="Century Gothic" w:cs="Century Gothic"/>
          <w:color w:val="000000"/>
          <w:sz w:val="20"/>
          <w:szCs w:val="20"/>
          <w:lang w:val="es-CO"/>
        </w:rPr>
        <w:t xml:space="preserve"> en campo y cómo se expresan estos a nivel institucional, organizacional y/o comunitario.</w:t>
      </w:r>
    </w:p>
    <w:p w14:paraId="2A44B193" w14:textId="78BDBE42" w:rsidR="005D68E9" w:rsidRPr="001F7FF3" w:rsidRDefault="005D68E9" w:rsidP="009D291F">
      <w:pPr>
        <w:pStyle w:val="Prrafodelista"/>
        <w:numPr>
          <w:ilvl w:val="0"/>
          <w:numId w:val="3"/>
        </w:numPr>
        <w:pBdr>
          <w:top w:val="nil"/>
          <w:left w:val="nil"/>
          <w:bottom w:val="nil"/>
          <w:right w:val="nil"/>
          <w:between w:val="nil"/>
        </w:pBdr>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color w:val="000000"/>
          <w:sz w:val="20"/>
          <w:szCs w:val="20"/>
          <w:lang w:val="es-CO"/>
        </w:rPr>
        <w:t xml:space="preserve">Identificar la contribución que ha tenido el PJT respecto a las metas del CPD, en concordancia con el propio documento de proyecto y su marco de resultados. </w:t>
      </w:r>
    </w:p>
    <w:p w14:paraId="27FB8B56" w14:textId="74AD0C22" w:rsidR="00DB713A" w:rsidRPr="001F7FF3" w:rsidRDefault="003043DE" w:rsidP="009D291F">
      <w:pPr>
        <w:pStyle w:val="Prrafodelista"/>
        <w:numPr>
          <w:ilvl w:val="0"/>
          <w:numId w:val="3"/>
        </w:numPr>
        <w:pBdr>
          <w:top w:val="nil"/>
          <w:left w:val="nil"/>
          <w:bottom w:val="nil"/>
          <w:right w:val="nil"/>
          <w:between w:val="nil"/>
        </w:pBdr>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color w:val="000000"/>
          <w:sz w:val="20"/>
          <w:szCs w:val="20"/>
          <w:lang w:val="es-CO"/>
        </w:rPr>
        <w:lastRenderedPageBreak/>
        <w:t xml:space="preserve">Identificar y describir los desafíos, riesgos o las </w:t>
      </w:r>
      <w:r w:rsidRPr="001F7FF3">
        <w:rPr>
          <w:rFonts w:ascii="Century Gothic" w:eastAsia="Century Gothic" w:hAnsi="Century Gothic"/>
          <w:color w:val="000000"/>
          <w:sz w:val="20"/>
          <w:szCs w:val="20"/>
          <w:lang w:val="es-CO"/>
        </w:rPr>
        <w:t xml:space="preserve">circunstancias que </w:t>
      </w:r>
      <w:r w:rsidR="005D68E9" w:rsidRPr="001F7FF3">
        <w:rPr>
          <w:rFonts w:ascii="Century Gothic" w:eastAsia="Century Gothic" w:hAnsi="Century Gothic"/>
          <w:color w:val="000000"/>
          <w:sz w:val="20"/>
          <w:szCs w:val="20"/>
          <w:lang w:val="es-CO"/>
        </w:rPr>
        <w:t>limitaron</w:t>
      </w:r>
      <w:r w:rsidRPr="001F7FF3">
        <w:rPr>
          <w:rFonts w:ascii="Century Gothic" w:eastAsia="Century Gothic" w:hAnsi="Century Gothic"/>
          <w:color w:val="000000"/>
          <w:sz w:val="20"/>
          <w:szCs w:val="20"/>
          <w:lang w:val="es-CO"/>
        </w:rPr>
        <w:t xml:space="preserve"> la implementación de todos o algunos de los proyectos o el logro de los resultados a nivel de los efectos y los productos esperados</w:t>
      </w:r>
      <w:r w:rsidRPr="001F7FF3">
        <w:rPr>
          <w:rFonts w:ascii="Century Gothic" w:eastAsia="Century Gothic" w:hAnsi="Century Gothic" w:cs="Century Gothic"/>
          <w:color w:val="000000"/>
          <w:sz w:val="20"/>
          <w:szCs w:val="20"/>
          <w:lang w:val="es-CO"/>
        </w:rPr>
        <w:t xml:space="preserve">, hayan sido estos previstos o no previstos. A través de las recomendaciones orientadas a cada actor interesado, plantear una serie de cambios o ajustes prácticos que podrán ofrecer soluciones oportunas para cada uno de los factores de limitación identificados. </w:t>
      </w:r>
    </w:p>
    <w:p w14:paraId="7042F353" w14:textId="37AAC382" w:rsidR="003043DE" w:rsidRPr="001F7FF3" w:rsidRDefault="003043DE" w:rsidP="009D291F">
      <w:pPr>
        <w:pStyle w:val="Prrafodelista"/>
        <w:numPr>
          <w:ilvl w:val="0"/>
          <w:numId w:val="3"/>
        </w:numPr>
        <w:pBdr>
          <w:top w:val="nil"/>
          <w:left w:val="nil"/>
          <w:bottom w:val="nil"/>
          <w:right w:val="nil"/>
          <w:between w:val="nil"/>
        </w:pBdr>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color w:val="000000"/>
          <w:sz w:val="20"/>
          <w:szCs w:val="20"/>
          <w:lang w:val="es-CO"/>
        </w:rPr>
        <w:t xml:space="preserve">Identificar las principales </w:t>
      </w:r>
      <w:r w:rsidRPr="001F7FF3">
        <w:rPr>
          <w:rFonts w:ascii="Century Gothic" w:eastAsia="Century Gothic" w:hAnsi="Century Gothic"/>
          <w:color w:val="000000"/>
          <w:sz w:val="20"/>
          <w:szCs w:val="20"/>
          <w:lang w:val="es-CO"/>
        </w:rPr>
        <w:t>lecciones aprendidas y buenas prácticas</w:t>
      </w:r>
      <w:r w:rsidRPr="001F7FF3">
        <w:rPr>
          <w:rFonts w:ascii="Century Gothic" w:eastAsia="Century Gothic" w:hAnsi="Century Gothic" w:cs="Century Gothic"/>
          <w:color w:val="000000"/>
          <w:sz w:val="20"/>
          <w:szCs w:val="20"/>
          <w:lang w:val="es-CO"/>
        </w:rPr>
        <w:t xml:space="preserve"> para ser compartidas con proyectos similares y con los actores implicados en la implementación del portafolio, contribuyendo así con la generación de conocimiento. De esa manera, </w:t>
      </w:r>
      <w:r w:rsidR="005D68E9" w:rsidRPr="001F7FF3">
        <w:rPr>
          <w:rFonts w:ascii="Century Gothic" w:eastAsia="Century Gothic" w:hAnsi="Century Gothic" w:cs="Century Gothic"/>
          <w:color w:val="000000"/>
          <w:sz w:val="20"/>
          <w:szCs w:val="20"/>
          <w:lang w:val="es-CO"/>
        </w:rPr>
        <w:t>indagar sobre la medida en la que</w:t>
      </w:r>
      <w:r w:rsidRPr="001F7FF3">
        <w:rPr>
          <w:rFonts w:ascii="Century Gothic" w:eastAsia="Century Gothic" w:hAnsi="Century Gothic" w:cs="Century Gothic"/>
          <w:color w:val="000000"/>
          <w:sz w:val="20"/>
          <w:szCs w:val="20"/>
          <w:lang w:val="es-CO"/>
        </w:rPr>
        <w:t xml:space="preserve"> el PNUD fomenta una comunidad de aprendizaje alrededor del Portafolio que se adapte a los conocimientos identificados y mejorar</w:t>
      </w:r>
      <w:r w:rsidR="000F1EDA" w:rsidRPr="001F7FF3">
        <w:rPr>
          <w:rFonts w:ascii="Century Gothic" w:eastAsia="Century Gothic" w:hAnsi="Century Gothic" w:cs="Century Gothic"/>
          <w:color w:val="000000"/>
          <w:sz w:val="20"/>
          <w:szCs w:val="20"/>
          <w:lang w:val="es-CO"/>
        </w:rPr>
        <w:t>e</w:t>
      </w:r>
      <w:r w:rsidRPr="001F7FF3">
        <w:rPr>
          <w:rFonts w:ascii="Century Gothic" w:eastAsia="Century Gothic" w:hAnsi="Century Gothic" w:cs="Century Gothic"/>
          <w:color w:val="000000"/>
          <w:sz w:val="20"/>
          <w:szCs w:val="20"/>
          <w:lang w:val="es-CO"/>
        </w:rPr>
        <w:t xml:space="preserve"> el desempeño de todos los involucrados. </w:t>
      </w:r>
    </w:p>
    <w:p w14:paraId="75232D37" w14:textId="77777777"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103C0CFE" w14:textId="0FA5A6E8" w:rsidR="00DD5C77"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La evaluación ha valorado estratégicamente la contribución al logro de los resultados a nivel de efecto según el CPD (2017/2020) en el</w:t>
      </w:r>
      <w:r w:rsidR="00DD5C77" w:rsidRPr="001F7FF3">
        <w:rPr>
          <w:rFonts w:ascii="Century Gothic" w:eastAsia="Century Gothic" w:hAnsi="Century Gothic" w:cs="Century Gothic"/>
          <w:color w:val="000000"/>
          <w:sz w:val="20"/>
          <w:szCs w:val="20"/>
        </w:rPr>
        <w:t xml:space="preserve"> que se establece: </w:t>
      </w:r>
    </w:p>
    <w:p w14:paraId="0C51A8A7" w14:textId="77777777" w:rsidR="00DD5C77" w:rsidRPr="001F7FF3" w:rsidRDefault="00DD5C77"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0CAAA81D" w14:textId="24D22D11" w:rsidR="001F0E68" w:rsidRPr="001F7FF3" w:rsidRDefault="001F0E68" w:rsidP="001F0E68">
      <w:pPr>
        <w:pStyle w:val="Descripcin"/>
        <w:keepNext/>
        <w:rPr>
          <w:rFonts w:ascii="Century Gothic" w:hAnsi="Century Gothic"/>
          <w:lang w:val="es-CO"/>
        </w:rPr>
      </w:pPr>
      <w:bookmarkStart w:id="24" w:name="_Toc117527922"/>
      <w:r w:rsidRPr="001F7FF3">
        <w:rPr>
          <w:rFonts w:ascii="Century Gothic" w:hAnsi="Century Gothic"/>
          <w:lang w:val="es-CO"/>
        </w:rPr>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001F7FF3" w:rsidRPr="001F7FF3">
        <w:rPr>
          <w:rFonts w:ascii="Century Gothic" w:hAnsi="Century Gothic"/>
          <w:lang w:val="es-CO"/>
        </w:rPr>
        <w:t>1</w:t>
      </w:r>
      <w:r w:rsidRPr="001F7FF3">
        <w:rPr>
          <w:rFonts w:ascii="Century Gothic" w:hAnsi="Century Gothic"/>
          <w:lang w:val="es-CO"/>
        </w:rPr>
        <w:fldChar w:fldCharType="end"/>
      </w:r>
      <w:r w:rsidRPr="001F7FF3">
        <w:rPr>
          <w:rFonts w:ascii="Century Gothic" w:hAnsi="Century Gothic"/>
          <w:lang w:val="es-CO"/>
        </w:rPr>
        <w:t>. Resultados CpD y Prodoc PJT</w:t>
      </w:r>
      <w:bookmarkEnd w:id="24"/>
    </w:p>
    <w:tbl>
      <w:tblPr>
        <w:tblStyle w:val="6"/>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4170"/>
      </w:tblGrid>
      <w:tr w:rsidR="00D60990" w:rsidRPr="001F7FF3" w14:paraId="3767F13F" w14:textId="77777777" w:rsidTr="0051717F">
        <w:tc>
          <w:tcPr>
            <w:tcW w:w="4668" w:type="dxa"/>
            <w:shd w:val="clear" w:color="auto" w:fill="auto"/>
            <w:tcMar>
              <w:top w:w="100" w:type="dxa"/>
              <w:left w:w="100" w:type="dxa"/>
              <w:bottom w:w="100" w:type="dxa"/>
              <w:right w:w="100" w:type="dxa"/>
            </w:tcMar>
          </w:tcPr>
          <w:p w14:paraId="2544EE1A" w14:textId="0CA6F5F8" w:rsidR="00D60990" w:rsidRPr="001F7FF3" w:rsidRDefault="00A609AA" w:rsidP="009D291F">
            <w:pPr>
              <w:widowControl w:val="0"/>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Prioridades y asociaciones del CPD</w:t>
            </w:r>
            <w:r w:rsidR="00D60990" w:rsidRPr="001F7FF3">
              <w:rPr>
                <w:rFonts w:ascii="Century Gothic" w:eastAsia="Century Gothic" w:hAnsi="Century Gothic" w:cs="Century Gothic"/>
                <w:b/>
                <w:sz w:val="20"/>
                <w:szCs w:val="20"/>
              </w:rPr>
              <w:t xml:space="preserve"> a los que contribuye el proyecto </w:t>
            </w:r>
          </w:p>
          <w:p w14:paraId="606F1510" w14:textId="77777777" w:rsidR="00D60990" w:rsidRPr="001F7FF3" w:rsidRDefault="00D60990" w:rsidP="009D291F">
            <w:pPr>
              <w:widowControl w:val="0"/>
              <w:jc w:val="both"/>
              <w:rPr>
                <w:rFonts w:ascii="Century Gothic" w:eastAsia="Century Gothic" w:hAnsi="Century Gothic" w:cs="Century Gothic"/>
                <w:sz w:val="20"/>
                <w:szCs w:val="20"/>
              </w:rPr>
            </w:pPr>
          </w:p>
          <w:p w14:paraId="59592685" w14:textId="0AAEE1C5" w:rsidR="00A609AA" w:rsidRPr="001F7FF3" w:rsidRDefault="00A609A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Consolidación de la paz y transformación pacífica de los conflictos (CDP 2015-2019)</w:t>
            </w:r>
            <w:r w:rsidR="00C73ADA" w:rsidRPr="001F7FF3">
              <w:rPr>
                <w:rFonts w:ascii="Century Gothic" w:eastAsia="Century Gothic" w:hAnsi="Century Gothic" w:cs="Century Gothic"/>
                <w:sz w:val="20"/>
                <w:szCs w:val="20"/>
              </w:rPr>
              <w:t xml:space="preserve">. </w:t>
            </w:r>
          </w:p>
          <w:p w14:paraId="7218045A" w14:textId="49433DB7" w:rsidR="00C73ADA" w:rsidRPr="001F7FF3" w:rsidRDefault="00C73ADA" w:rsidP="009D291F">
            <w:pPr>
              <w:widowControl w:val="0"/>
              <w:jc w:val="both"/>
              <w:rPr>
                <w:rFonts w:ascii="Century Gothic" w:eastAsia="Century Gothic" w:hAnsi="Century Gothic" w:cs="Century Gothic"/>
                <w:sz w:val="20"/>
                <w:szCs w:val="20"/>
              </w:rPr>
            </w:pPr>
          </w:p>
          <w:p w14:paraId="33A36DD2" w14:textId="37961A8F"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Estabilización: “Paz con legalidad” (2021-2024).</w:t>
            </w:r>
          </w:p>
          <w:p w14:paraId="5DAF873E" w14:textId="53C63EA7" w:rsidR="00C73ADA" w:rsidRPr="001F7FF3" w:rsidRDefault="00C73ADA" w:rsidP="009D291F">
            <w:pPr>
              <w:widowControl w:val="0"/>
              <w:jc w:val="both"/>
              <w:rPr>
                <w:rFonts w:ascii="Century Gothic" w:eastAsia="Century Gothic" w:hAnsi="Century Gothic" w:cs="Century Gothic"/>
                <w:sz w:val="20"/>
                <w:szCs w:val="20"/>
              </w:rPr>
            </w:pPr>
          </w:p>
          <w:p w14:paraId="775E7E68" w14:textId="1F708818" w:rsidR="00C73ADA" w:rsidRPr="001F7FF3" w:rsidRDefault="00C73ADA" w:rsidP="009D291F">
            <w:pPr>
              <w:widowControl w:val="0"/>
              <w:jc w:val="both"/>
              <w:rPr>
                <w:rFonts w:ascii="Century Gothic" w:eastAsia="Century Gothic" w:hAnsi="Century Gothic" w:cs="Century Gothic"/>
                <w:b/>
                <w:bCs/>
                <w:sz w:val="20"/>
                <w:szCs w:val="20"/>
                <w:u w:val="single"/>
              </w:rPr>
            </w:pPr>
            <w:r w:rsidRPr="001F7FF3">
              <w:rPr>
                <w:rFonts w:ascii="Century Gothic" w:eastAsia="Century Gothic" w:hAnsi="Century Gothic" w:cs="Century Gothic"/>
                <w:b/>
                <w:bCs/>
                <w:sz w:val="20"/>
                <w:szCs w:val="20"/>
                <w:u w:val="single"/>
              </w:rPr>
              <w:t>Resultado del MANUD</w:t>
            </w:r>
          </w:p>
          <w:p w14:paraId="3B21B3BF" w14:textId="47A066A9"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1.3. Fortalecer la capacidad nacional y territorial para la transición a la paz. </w:t>
            </w:r>
          </w:p>
          <w:p w14:paraId="6F8F2D72" w14:textId="5F35FE44" w:rsidR="00C73ADA" w:rsidRPr="001F7FF3" w:rsidRDefault="00C73ADA" w:rsidP="009D291F">
            <w:pPr>
              <w:widowControl w:val="0"/>
              <w:jc w:val="both"/>
              <w:rPr>
                <w:rFonts w:ascii="Century Gothic" w:eastAsia="Century Gothic" w:hAnsi="Century Gothic" w:cs="Century Gothic"/>
                <w:sz w:val="20"/>
                <w:szCs w:val="20"/>
              </w:rPr>
            </w:pPr>
          </w:p>
          <w:p w14:paraId="5B758912" w14:textId="77777777"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u w:val="single"/>
              </w:rPr>
              <w:t>Resultado conexo del Plan Estratégico (para el Plan Estratégico 2014-2017)</w:t>
            </w:r>
          </w:p>
          <w:p w14:paraId="35686F1D" w14:textId="4B879190"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6. Pronta recuperación y regreso rápido a vías sostenibles de desarrollo en situaciones posteriores a conflictos y desastres. </w:t>
            </w:r>
          </w:p>
          <w:p w14:paraId="2AE81276" w14:textId="5E1DCF3E" w:rsidR="00C73ADA" w:rsidRPr="001F7FF3" w:rsidRDefault="00C73ADA" w:rsidP="009D291F">
            <w:pPr>
              <w:widowControl w:val="0"/>
              <w:jc w:val="both"/>
              <w:rPr>
                <w:rFonts w:ascii="Century Gothic" w:eastAsia="Century Gothic" w:hAnsi="Century Gothic" w:cs="Century Gothic"/>
                <w:sz w:val="20"/>
                <w:szCs w:val="20"/>
              </w:rPr>
            </w:pPr>
          </w:p>
          <w:p w14:paraId="03301D70" w14:textId="6D147F4A"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u w:val="single"/>
              </w:rPr>
              <w:t>Resultado conexo del Plan Estratégico (para el Plan Estratégico 20</w:t>
            </w:r>
            <w:r w:rsidR="00D74B08" w:rsidRPr="001F7FF3">
              <w:rPr>
                <w:rFonts w:ascii="Century Gothic" w:eastAsia="Century Gothic" w:hAnsi="Century Gothic" w:cs="Century Gothic"/>
                <w:b/>
                <w:bCs/>
                <w:sz w:val="20"/>
                <w:szCs w:val="20"/>
                <w:u w:val="single"/>
              </w:rPr>
              <w:t>21</w:t>
            </w:r>
            <w:r w:rsidRPr="001F7FF3">
              <w:rPr>
                <w:rFonts w:ascii="Century Gothic" w:eastAsia="Century Gothic" w:hAnsi="Century Gothic" w:cs="Century Gothic"/>
                <w:b/>
                <w:bCs/>
                <w:sz w:val="20"/>
                <w:szCs w:val="20"/>
                <w:u w:val="single"/>
              </w:rPr>
              <w:t>-20</w:t>
            </w:r>
            <w:r w:rsidR="00D74B08" w:rsidRPr="001F7FF3">
              <w:rPr>
                <w:rFonts w:ascii="Century Gothic" w:eastAsia="Century Gothic" w:hAnsi="Century Gothic" w:cs="Century Gothic"/>
                <w:b/>
                <w:bCs/>
                <w:sz w:val="20"/>
                <w:szCs w:val="20"/>
                <w:u w:val="single"/>
              </w:rPr>
              <w:t>24</w:t>
            </w:r>
            <w:r w:rsidRPr="001F7FF3">
              <w:rPr>
                <w:rFonts w:ascii="Century Gothic" w:eastAsia="Century Gothic" w:hAnsi="Century Gothic" w:cs="Century Gothic"/>
                <w:b/>
                <w:bCs/>
                <w:sz w:val="20"/>
                <w:szCs w:val="20"/>
                <w:u w:val="single"/>
              </w:rPr>
              <w:t>)</w:t>
            </w:r>
          </w:p>
          <w:p w14:paraId="38A475B6" w14:textId="2BD8BCCF"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3. Crear resiliencia ante perturbaciones y crisis.</w:t>
            </w:r>
          </w:p>
          <w:p w14:paraId="005CB34D" w14:textId="1E0433C7" w:rsidR="00C73ADA" w:rsidRPr="001F7FF3" w:rsidRDefault="00C73ADA" w:rsidP="009D291F">
            <w:pPr>
              <w:widowControl w:val="0"/>
              <w:jc w:val="both"/>
              <w:rPr>
                <w:rFonts w:ascii="Century Gothic" w:eastAsia="Century Gothic" w:hAnsi="Century Gothic" w:cs="Century Gothic"/>
                <w:sz w:val="20"/>
                <w:szCs w:val="20"/>
              </w:rPr>
            </w:pPr>
          </w:p>
          <w:p w14:paraId="2087FACE" w14:textId="02D5A64A" w:rsidR="00D60990" w:rsidRPr="001F7FF3" w:rsidRDefault="00D60990"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Capacidades de las víctimas y las instituciones desarrolladas para participar e incidir en los organismos de toma de decisión relacionados con la atención, asistencia y reparación, que fomentan el goce efectivo de derechos.</w:t>
            </w:r>
          </w:p>
          <w:p w14:paraId="1BAD6B35" w14:textId="77777777" w:rsidR="00D60990" w:rsidRPr="001F7FF3" w:rsidRDefault="00D60990" w:rsidP="009D291F">
            <w:pPr>
              <w:widowControl w:val="0"/>
              <w:jc w:val="both"/>
              <w:rPr>
                <w:rFonts w:ascii="Century Gothic" w:eastAsia="Century Gothic" w:hAnsi="Century Gothic" w:cs="Century Gothic"/>
                <w:sz w:val="20"/>
                <w:szCs w:val="20"/>
              </w:rPr>
            </w:pPr>
          </w:p>
          <w:p w14:paraId="66F696D6" w14:textId="77777777" w:rsidR="00D60990" w:rsidRPr="001F7FF3" w:rsidRDefault="00D60990"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Capacidad institucional desarrollada para asistir a las víctimas y lograr una efectiva implementación de la justicia transicional para garantizar el goce efectivo de derechos.</w:t>
            </w:r>
          </w:p>
          <w:p w14:paraId="1D056DA1" w14:textId="77777777" w:rsidR="00D60990" w:rsidRPr="001F7FF3" w:rsidRDefault="00D60990" w:rsidP="009D291F">
            <w:pPr>
              <w:widowControl w:val="0"/>
              <w:jc w:val="both"/>
              <w:rPr>
                <w:rFonts w:ascii="Century Gothic" w:eastAsia="Century Gothic" w:hAnsi="Century Gothic" w:cs="Century Gothic"/>
                <w:sz w:val="20"/>
                <w:szCs w:val="20"/>
              </w:rPr>
            </w:pPr>
          </w:p>
        </w:tc>
        <w:tc>
          <w:tcPr>
            <w:tcW w:w="4170" w:type="dxa"/>
            <w:shd w:val="clear" w:color="auto" w:fill="auto"/>
            <w:tcMar>
              <w:top w:w="100" w:type="dxa"/>
              <w:left w:w="100" w:type="dxa"/>
              <w:bottom w:w="100" w:type="dxa"/>
              <w:right w:w="100" w:type="dxa"/>
            </w:tcMar>
          </w:tcPr>
          <w:p w14:paraId="744B83D0" w14:textId="72D77951" w:rsidR="00D60990" w:rsidRPr="001F7FF3" w:rsidRDefault="00D60990" w:rsidP="009D291F">
            <w:pPr>
              <w:widowControl w:val="0"/>
              <w:jc w:val="both"/>
              <w:rPr>
                <w:rFonts w:ascii="Century Gothic" w:eastAsia="Century Gothic" w:hAnsi="Century Gothic" w:cs="Century Gothic"/>
                <w:b/>
                <w:sz w:val="20"/>
                <w:szCs w:val="20"/>
              </w:rPr>
            </w:pPr>
            <w:r w:rsidRPr="001F7FF3">
              <w:rPr>
                <w:rFonts w:ascii="Century Gothic" w:eastAsia="Century Gothic" w:hAnsi="Century Gothic" w:cs="Century Gothic"/>
                <w:b/>
                <w:sz w:val="20"/>
                <w:szCs w:val="20"/>
              </w:rPr>
              <w:t>Producto(s) Indicativo(s)</w:t>
            </w:r>
            <w:r w:rsidR="00603282" w:rsidRPr="001F7FF3">
              <w:rPr>
                <w:rFonts w:ascii="Century Gothic" w:eastAsia="Century Gothic" w:hAnsi="Century Gothic" w:cs="Century Gothic"/>
                <w:b/>
                <w:sz w:val="20"/>
                <w:szCs w:val="20"/>
              </w:rPr>
              <w:t xml:space="preserve"> Prodoc</w:t>
            </w:r>
            <w:r w:rsidRPr="001F7FF3">
              <w:rPr>
                <w:rFonts w:ascii="Century Gothic" w:eastAsia="Century Gothic" w:hAnsi="Century Gothic" w:cs="Century Gothic"/>
                <w:b/>
                <w:sz w:val="20"/>
                <w:szCs w:val="20"/>
              </w:rPr>
              <w:t>:</w:t>
            </w:r>
          </w:p>
          <w:p w14:paraId="322F2DBF" w14:textId="77777777" w:rsidR="00C73ADA" w:rsidRPr="001F7FF3" w:rsidRDefault="00C73ADA"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1</w:t>
            </w:r>
          </w:p>
          <w:p w14:paraId="56FACF3A" w14:textId="77777777"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Fortalecidos los mecanismos institucionales y de la sociedad civil para el esclarecimiento de la verdad y la memoria histórica.</w:t>
            </w:r>
          </w:p>
          <w:p w14:paraId="6EECD1EA" w14:textId="77777777" w:rsidR="00C73ADA" w:rsidRPr="001F7FF3" w:rsidRDefault="00C73ADA"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2</w:t>
            </w:r>
          </w:p>
          <w:p w14:paraId="0E3DE2CA" w14:textId="77777777"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Mejorada la capacidad de respuesta del Estado para promover el acceso a la justicia y prevenir la impunidad.</w:t>
            </w:r>
          </w:p>
          <w:p w14:paraId="77321EB2" w14:textId="77777777" w:rsidR="00C73ADA" w:rsidRPr="001F7FF3" w:rsidRDefault="00C73ADA"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3</w:t>
            </w:r>
          </w:p>
          <w:p w14:paraId="58D07F29" w14:textId="77777777"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Impulsada la reparación integral de las víctimas del conflicto armado a partir del ajuste e implementación de la política pública de reparación individual y colectiva en territorios priorizados y sujetos de reparación colectiva</w:t>
            </w:r>
          </w:p>
          <w:p w14:paraId="51AB2255" w14:textId="77777777" w:rsidR="00C73ADA" w:rsidRPr="001F7FF3" w:rsidRDefault="00C73ADA" w:rsidP="009D291F">
            <w:pPr>
              <w:widowControl w:val="0"/>
              <w:jc w:val="both"/>
              <w:rPr>
                <w:rFonts w:ascii="Century Gothic" w:eastAsia="Century Gothic" w:hAnsi="Century Gothic" w:cs="Century Gothic"/>
                <w:i/>
                <w:iCs/>
                <w:sz w:val="20"/>
                <w:szCs w:val="20"/>
                <w:u w:val="single"/>
              </w:rPr>
            </w:pPr>
            <w:r w:rsidRPr="001F7FF3">
              <w:rPr>
                <w:rFonts w:ascii="Century Gothic" w:eastAsia="Century Gothic" w:hAnsi="Century Gothic" w:cs="Century Gothic"/>
                <w:i/>
                <w:iCs/>
                <w:sz w:val="20"/>
                <w:szCs w:val="20"/>
                <w:u w:val="single"/>
              </w:rPr>
              <w:t>Producto 4</w:t>
            </w:r>
          </w:p>
          <w:p w14:paraId="2D50F9F0" w14:textId="77777777" w:rsidR="00C73ADA" w:rsidRPr="001F7FF3" w:rsidRDefault="00C73ADA" w:rsidP="009D291F">
            <w:pPr>
              <w:widowControl w:val="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Promovidos mecanismos para impulsar reformas institucionales y los procesos de inclusión, reconciliación y construcción territorial de la paz.</w:t>
            </w:r>
          </w:p>
          <w:p w14:paraId="6F129841" w14:textId="77777777" w:rsidR="00D60990" w:rsidRPr="001F7FF3" w:rsidRDefault="00D60990" w:rsidP="009D291F">
            <w:pPr>
              <w:widowControl w:val="0"/>
              <w:jc w:val="both"/>
              <w:rPr>
                <w:rFonts w:ascii="Century Gothic" w:eastAsia="Century Gothic" w:hAnsi="Century Gothic" w:cs="Century Gothic"/>
                <w:sz w:val="20"/>
                <w:szCs w:val="20"/>
              </w:rPr>
            </w:pPr>
          </w:p>
        </w:tc>
      </w:tr>
    </w:tbl>
    <w:p w14:paraId="66FEAD4B" w14:textId="2B5B008B" w:rsidR="0051717F" w:rsidRPr="001F7FF3" w:rsidRDefault="0051717F" w:rsidP="0051717F">
      <w:pPr>
        <w:pStyle w:val="Descripcin"/>
        <w:keepNext/>
        <w:rPr>
          <w:rFonts w:ascii="Century Gothic" w:hAnsi="Century Gothic"/>
          <w:lang w:val="es-CO"/>
        </w:rPr>
      </w:pPr>
      <w:bookmarkStart w:id="25" w:name="_Toc117527853"/>
      <w:r w:rsidRPr="001F7FF3">
        <w:rPr>
          <w:rFonts w:ascii="Century Gothic" w:hAnsi="Century Gothic"/>
          <w:lang w:val="es-CO"/>
        </w:rPr>
        <w:lastRenderedPageBreak/>
        <w:t xml:space="preserve">Ilustración </w:t>
      </w:r>
      <w:r w:rsidRPr="001F7FF3">
        <w:rPr>
          <w:rFonts w:ascii="Century Gothic" w:hAnsi="Century Gothic"/>
          <w:lang w:val="es-CO"/>
        </w:rPr>
        <w:fldChar w:fldCharType="begin"/>
      </w:r>
      <w:r w:rsidRPr="001F7FF3">
        <w:rPr>
          <w:rFonts w:ascii="Century Gothic" w:hAnsi="Century Gothic"/>
          <w:lang w:val="es-CO"/>
        </w:rPr>
        <w:instrText xml:space="preserve"> SEQ Ilustración \* ARABIC </w:instrText>
      </w:r>
      <w:r w:rsidRPr="001F7FF3">
        <w:rPr>
          <w:rFonts w:ascii="Century Gothic" w:hAnsi="Century Gothic"/>
          <w:lang w:val="es-CO"/>
        </w:rPr>
        <w:fldChar w:fldCharType="separate"/>
      </w:r>
      <w:r w:rsidR="00295D29">
        <w:rPr>
          <w:rFonts w:ascii="Century Gothic" w:hAnsi="Century Gothic"/>
          <w:noProof/>
          <w:lang w:val="es-CO"/>
        </w:rPr>
        <w:t>4</w:t>
      </w:r>
      <w:r w:rsidRPr="001F7FF3">
        <w:rPr>
          <w:rFonts w:ascii="Century Gothic" w:hAnsi="Century Gothic"/>
          <w:lang w:val="es-CO"/>
        </w:rPr>
        <w:fldChar w:fldCharType="end"/>
      </w:r>
      <w:r w:rsidRPr="001F7FF3">
        <w:rPr>
          <w:rFonts w:ascii="Century Gothic" w:hAnsi="Century Gothic"/>
          <w:lang w:val="es-CO"/>
        </w:rPr>
        <w:t>. Outcomes y outputs CpD 2017-2020</w:t>
      </w:r>
      <w:bookmarkEnd w:id="25"/>
    </w:p>
    <w:p w14:paraId="1348B96B" w14:textId="723019D4" w:rsidR="007D5397" w:rsidRPr="001F7FF3" w:rsidRDefault="007D5397"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hAnsi="Century Gothic"/>
          <w:noProof/>
          <w:sz w:val="20"/>
          <w:szCs w:val="20"/>
          <w:bdr w:val="none" w:sz="0" w:space="0" w:color="auto" w:frame="1"/>
        </w:rPr>
        <w:drawing>
          <wp:inline distT="0" distB="0" distL="0" distR="0" wp14:anchorId="10913B07" wp14:editId="5611567F">
            <wp:extent cx="5671185" cy="2093595"/>
            <wp:effectExtent l="0" t="0" r="5715" b="1905"/>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1185" cy="2093595"/>
                    </a:xfrm>
                    <a:prstGeom prst="rect">
                      <a:avLst/>
                    </a:prstGeom>
                    <a:noFill/>
                    <a:ln>
                      <a:noFill/>
                    </a:ln>
                  </pic:spPr>
                </pic:pic>
              </a:graphicData>
            </a:graphic>
          </wp:inline>
        </w:drawing>
      </w:r>
    </w:p>
    <w:p w14:paraId="086C2B2E" w14:textId="77777777" w:rsidR="00DB713A" w:rsidRPr="001F7FF3" w:rsidRDefault="007D5397" w:rsidP="009D291F">
      <w:pPr>
        <w:keepNext/>
        <w:pBdr>
          <w:top w:val="nil"/>
          <w:left w:val="nil"/>
          <w:bottom w:val="nil"/>
          <w:right w:val="nil"/>
          <w:between w:val="nil"/>
        </w:pBdr>
        <w:jc w:val="both"/>
        <w:rPr>
          <w:rFonts w:ascii="Century Gothic" w:hAnsi="Century Gothic"/>
          <w:sz w:val="20"/>
          <w:szCs w:val="20"/>
        </w:rPr>
      </w:pPr>
      <w:r w:rsidRPr="001F7FF3">
        <w:rPr>
          <w:rFonts w:ascii="Century Gothic" w:hAnsi="Century Gothic"/>
          <w:noProof/>
          <w:sz w:val="20"/>
          <w:szCs w:val="20"/>
          <w:bdr w:val="none" w:sz="0" w:space="0" w:color="auto" w:frame="1"/>
        </w:rPr>
        <w:drawing>
          <wp:inline distT="0" distB="0" distL="0" distR="0" wp14:anchorId="5AAE6502" wp14:editId="739A6ABA">
            <wp:extent cx="5671185" cy="2564130"/>
            <wp:effectExtent l="0" t="0" r="5715" b="7620"/>
            <wp:docPr id="234" name="Imagen 2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234" descr="Interfaz de usuario gráfica, Texto, Aplicación&#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1185" cy="2564130"/>
                    </a:xfrm>
                    <a:prstGeom prst="rect">
                      <a:avLst/>
                    </a:prstGeom>
                    <a:noFill/>
                    <a:ln>
                      <a:noFill/>
                    </a:ln>
                  </pic:spPr>
                </pic:pic>
              </a:graphicData>
            </a:graphic>
          </wp:inline>
        </w:drawing>
      </w:r>
    </w:p>
    <w:p w14:paraId="33051AFC" w14:textId="77777777" w:rsidR="007D5397" w:rsidRPr="001F7FF3" w:rsidRDefault="007D5397" w:rsidP="009D291F">
      <w:pPr>
        <w:pBdr>
          <w:top w:val="nil"/>
          <w:left w:val="nil"/>
          <w:bottom w:val="nil"/>
          <w:right w:val="nil"/>
          <w:between w:val="nil"/>
        </w:pBdr>
        <w:jc w:val="both"/>
        <w:rPr>
          <w:rFonts w:ascii="Century Gothic" w:eastAsia="Century Gothic" w:hAnsi="Century Gothic" w:cs="Century Gothic"/>
          <w:b/>
          <w:bCs/>
          <w:color w:val="000000"/>
          <w:sz w:val="20"/>
          <w:szCs w:val="20"/>
        </w:rPr>
      </w:pPr>
    </w:p>
    <w:p w14:paraId="29BD95D5" w14:textId="4E14091A" w:rsidR="00262F93" w:rsidRPr="001F7FF3" w:rsidRDefault="00262F93" w:rsidP="009D291F">
      <w:pPr>
        <w:pStyle w:val="Ttulo1"/>
        <w:numPr>
          <w:ilvl w:val="0"/>
          <w:numId w:val="2"/>
        </w:numPr>
        <w:rPr>
          <w:rFonts w:eastAsia="Century Gothic"/>
          <w:lang w:val="es-CO"/>
        </w:rPr>
      </w:pPr>
      <w:bookmarkStart w:id="26" w:name="_Toc117261396"/>
      <w:r w:rsidRPr="001F7FF3">
        <w:rPr>
          <w:rFonts w:eastAsia="Century Gothic"/>
          <w:lang w:val="es-CO"/>
        </w:rPr>
        <w:t>Metodología de evaluación</w:t>
      </w:r>
      <w:bookmarkEnd w:id="26"/>
      <w:r w:rsidRPr="001F7FF3">
        <w:rPr>
          <w:rFonts w:eastAsia="Century Gothic"/>
          <w:lang w:val="es-CO"/>
        </w:rPr>
        <w:t xml:space="preserve"> </w:t>
      </w:r>
    </w:p>
    <w:p w14:paraId="05F89E47" w14:textId="285F1D54" w:rsidR="00262F93" w:rsidRPr="001F7FF3" w:rsidRDefault="00262F93"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Para </w:t>
      </w:r>
      <w:r w:rsidR="00F23A06" w:rsidRPr="001F7FF3">
        <w:rPr>
          <w:rFonts w:ascii="Century Gothic" w:eastAsia="Century Gothic" w:hAnsi="Century Gothic" w:cs="Century Gothic"/>
          <w:sz w:val="20"/>
          <w:szCs w:val="20"/>
        </w:rPr>
        <w:t>desarrollar</w:t>
      </w:r>
      <w:r w:rsidRPr="001F7FF3">
        <w:rPr>
          <w:rFonts w:ascii="Century Gothic" w:eastAsia="Century Gothic" w:hAnsi="Century Gothic" w:cs="Century Gothic"/>
          <w:sz w:val="20"/>
          <w:szCs w:val="20"/>
        </w:rPr>
        <w:t xml:space="preserve"> la evaluación, se tom</w:t>
      </w:r>
      <w:r w:rsidR="00F23A06" w:rsidRPr="001F7FF3">
        <w:rPr>
          <w:rFonts w:ascii="Century Gothic" w:eastAsia="Century Gothic" w:hAnsi="Century Gothic" w:cs="Century Gothic"/>
          <w:sz w:val="20"/>
          <w:szCs w:val="20"/>
        </w:rPr>
        <w:t>aron</w:t>
      </w:r>
      <w:r w:rsidRPr="001F7FF3">
        <w:rPr>
          <w:rFonts w:ascii="Century Gothic" w:eastAsia="Century Gothic" w:hAnsi="Century Gothic" w:cs="Century Gothic"/>
          <w:sz w:val="20"/>
          <w:szCs w:val="20"/>
        </w:rPr>
        <w:t xml:space="preserve"> como </w:t>
      </w:r>
      <w:r w:rsidR="00F23A06" w:rsidRPr="001F7FF3">
        <w:rPr>
          <w:rFonts w:ascii="Century Gothic" w:eastAsia="Century Gothic" w:hAnsi="Century Gothic" w:cs="Century Gothic"/>
          <w:sz w:val="20"/>
          <w:szCs w:val="20"/>
        </w:rPr>
        <w:t>base</w:t>
      </w:r>
      <w:r w:rsidRPr="001F7FF3">
        <w:rPr>
          <w:rFonts w:ascii="Century Gothic" w:eastAsia="Century Gothic" w:hAnsi="Century Gothic" w:cs="Century Gothic"/>
          <w:sz w:val="20"/>
          <w:szCs w:val="20"/>
        </w:rPr>
        <w:t xml:space="preserve"> el </w:t>
      </w:r>
      <w:r w:rsidRPr="001F7FF3">
        <w:rPr>
          <w:rFonts w:ascii="Century Gothic" w:eastAsia="Century Gothic" w:hAnsi="Century Gothic" w:cs="Century Gothic"/>
          <w:i/>
          <w:iCs/>
          <w:sz w:val="20"/>
          <w:szCs w:val="20"/>
        </w:rPr>
        <w:t>Results Based Management Handbook</w:t>
      </w:r>
      <w:r w:rsidRPr="001F7FF3">
        <w:rPr>
          <w:rFonts w:ascii="Century Gothic" w:eastAsia="Century Gothic" w:hAnsi="Century Gothic" w:cs="Century Gothic"/>
          <w:sz w:val="20"/>
          <w:szCs w:val="20"/>
        </w:rPr>
        <w:t xml:space="preserve"> del Grupo de Desarrollo de Naciones Unidas (2012), el Manual de Planificación, Monitoreo y Evaluación de Resultados del PNUD (2009), y el Manual de Lineamientos Base para Evaluadores de Outcomes</w:t>
      </w:r>
      <w:r w:rsidR="002A06F9"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también del PNUD (2002) y UNDP </w:t>
      </w:r>
      <w:r w:rsidRPr="001F7FF3">
        <w:rPr>
          <w:rFonts w:ascii="Century Gothic" w:eastAsia="Century Gothic" w:hAnsi="Century Gothic" w:cs="Century Gothic"/>
          <w:i/>
          <w:iCs/>
          <w:sz w:val="20"/>
          <w:szCs w:val="20"/>
        </w:rPr>
        <w:t>Evaluation Guidelines</w:t>
      </w:r>
      <w:r w:rsidRPr="001F7FF3">
        <w:rPr>
          <w:rFonts w:ascii="Century Gothic" w:eastAsia="Century Gothic" w:hAnsi="Century Gothic" w:cs="Century Gothic"/>
          <w:sz w:val="20"/>
          <w:szCs w:val="20"/>
        </w:rPr>
        <w:t xml:space="preserve"> June 2021. Así mismo, el ejercicio fue guiado por los criterios promovidos por el </w:t>
      </w:r>
      <w:r w:rsidR="00F23A06" w:rsidRPr="001F7FF3">
        <w:rPr>
          <w:rFonts w:ascii="Century Gothic" w:eastAsia="Century Gothic" w:hAnsi="Century Gothic" w:cs="Century Gothic"/>
          <w:sz w:val="20"/>
          <w:szCs w:val="20"/>
        </w:rPr>
        <w:t xml:space="preserve">Comité de Ayuda al Desarrollo (CAD) </w:t>
      </w:r>
      <w:r w:rsidRPr="001F7FF3">
        <w:rPr>
          <w:rFonts w:ascii="Century Gothic" w:eastAsia="Century Gothic" w:hAnsi="Century Gothic" w:cs="Century Gothic"/>
          <w:sz w:val="20"/>
          <w:szCs w:val="20"/>
        </w:rPr>
        <w:t xml:space="preserve">de la </w:t>
      </w:r>
      <w:r w:rsidR="00F23A06" w:rsidRPr="001F7FF3">
        <w:rPr>
          <w:rFonts w:ascii="Century Gothic" w:eastAsia="Century Gothic" w:hAnsi="Century Gothic" w:cs="Century Gothic"/>
          <w:sz w:val="20"/>
          <w:szCs w:val="20"/>
        </w:rPr>
        <w:t>Organización para la Cooperación y el Desarrollo Económicos (</w:t>
      </w:r>
      <w:r w:rsidRPr="001F7FF3">
        <w:rPr>
          <w:rFonts w:ascii="Century Gothic" w:eastAsia="Century Gothic" w:hAnsi="Century Gothic" w:cs="Century Gothic"/>
          <w:sz w:val="20"/>
          <w:szCs w:val="20"/>
        </w:rPr>
        <w:t>OECD</w:t>
      </w:r>
      <w:r w:rsidR="00F23A06" w:rsidRPr="001F7FF3">
        <w:rPr>
          <w:rFonts w:ascii="Century Gothic" w:eastAsia="Century Gothic" w:hAnsi="Century Gothic" w:cs="Century Gothic"/>
          <w:sz w:val="20"/>
          <w:szCs w:val="20"/>
        </w:rPr>
        <w:t>)</w:t>
      </w:r>
      <w:r w:rsidRPr="001F7FF3">
        <w:rPr>
          <w:rFonts w:ascii="Century Gothic" w:eastAsia="Century Gothic" w:hAnsi="Century Gothic" w:cs="Century Gothic"/>
          <w:sz w:val="20"/>
          <w:szCs w:val="20"/>
        </w:rPr>
        <w:t xml:space="preserve">. </w:t>
      </w:r>
    </w:p>
    <w:p w14:paraId="2DF91E84" w14:textId="5A2E960B" w:rsidR="008816B2" w:rsidRPr="001F7FF3" w:rsidRDefault="008816B2"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El </w:t>
      </w:r>
      <w:r w:rsidRPr="001F7FF3">
        <w:rPr>
          <w:rFonts w:ascii="Century Gothic" w:hAnsi="Century Gothic"/>
          <w:sz w:val="20"/>
          <w:szCs w:val="20"/>
        </w:rPr>
        <w:t>Results Based Management (RBM)</w:t>
      </w:r>
      <w:r w:rsidRPr="001F7FF3">
        <w:rPr>
          <w:rFonts w:ascii="Century Gothic" w:eastAsia="Century Gothic" w:hAnsi="Century Gothic" w:cs="Century Gothic"/>
          <w:sz w:val="20"/>
          <w:szCs w:val="20"/>
        </w:rPr>
        <w:t xml:space="preserve"> es una estrategia de gestión basada en resultados, en la que todos los actores contribuyen de manera directa o indirecta a alcanzar los cambios, a través de sus procesos, productos y servicios. Luego, estos actores usan la información y evidencia de los resultados para informar a tomadores de decisiones sobre el impacto de los programas para su respectivo seguimiento y reporte. RBM es un ciclo constante en el cual se planea, se implementa y se monitorea para asegurar que se alcancen los resultados esperados. </w:t>
      </w:r>
    </w:p>
    <w:p w14:paraId="7724C4AC" w14:textId="7772A601" w:rsidR="00262F93" w:rsidRPr="001F7FF3" w:rsidRDefault="00262F93" w:rsidP="00387ED4">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lastRenderedPageBreak/>
        <w:t xml:space="preserve">La evaluación se desarrolló bajo metodologías mixtas de investigación, a decir cualitativas y cuantitativas, dando un mayor peso al análisis cualitativo. A continuación, se presenta la metodología utilizada a mayor detalle. </w:t>
      </w:r>
    </w:p>
    <w:p w14:paraId="534A17E4" w14:textId="605145A3" w:rsidR="003043DE" w:rsidRPr="001F7FF3" w:rsidRDefault="003043DE" w:rsidP="009D291F">
      <w:pPr>
        <w:rPr>
          <w:rFonts w:ascii="Century Gothic" w:hAnsi="Century Gothic"/>
          <w:b/>
          <w:bCs/>
          <w:sz w:val="20"/>
          <w:szCs w:val="20"/>
        </w:rPr>
      </w:pPr>
      <w:r w:rsidRPr="001F7FF3">
        <w:rPr>
          <w:rFonts w:ascii="Century Gothic" w:hAnsi="Century Gothic"/>
          <w:b/>
          <w:bCs/>
          <w:sz w:val="20"/>
          <w:szCs w:val="20"/>
        </w:rPr>
        <w:t xml:space="preserve">Criterios </w:t>
      </w:r>
      <w:r w:rsidR="00247E9B" w:rsidRPr="001F7FF3">
        <w:rPr>
          <w:rFonts w:ascii="Century Gothic" w:hAnsi="Century Gothic"/>
          <w:b/>
          <w:bCs/>
          <w:sz w:val="20"/>
          <w:szCs w:val="20"/>
        </w:rPr>
        <w:t xml:space="preserve">y preguntas </w:t>
      </w:r>
      <w:r w:rsidRPr="001F7FF3">
        <w:rPr>
          <w:rFonts w:ascii="Century Gothic" w:hAnsi="Century Gothic"/>
          <w:b/>
          <w:bCs/>
          <w:sz w:val="20"/>
          <w:szCs w:val="20"/>
        </w:rPr>
        <w:t>de evaluación</w:t>
      </w:r>
    </w:p>
    <w:p w14:paraId="36363BB5" w14:textId="77777777"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399D7667" w14:textId="201727AD"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 xml:space="preserve">Las preguntas de evaluación se organizaron de acuerdo con los criterios de evaluación </w:t>
      </w:r>
      <w:r w:rsidR="002740B8" w:rsidRPr="001F7FF3">
        <w:rPr>
          <w:rFonts w:ascii="Century Gothic" w:eastAsia="Century Gothic" w:hAnsi="Century Gothic" w:cs="Century Gothic"/>
          <w:color w:val="000000"/>
          <w:sz w:val="20"/>
          <w:szCs w:val="20"/>
        </w:rPr>
        <w:t>promovidos por la OECD/</w:t>
      </w:r>
      <w:r w:rsidR="00624A54" w:rsidRPr="001F7FF3">
        <w:rPr>
          <w:rFonts w:ascii="Century Gothic" w:eastAsia="Century Gothic" w:hAnsi="Century Gothic" w:cs="Century Gothic"/>
          <w:color w:val="000000"/>
          <w:sz w:val="20"/>
          <w:szCs w:val="20"/>
        </w:rPr>
        <w:t>CAD</w:t>
      </w:r>
      <w:r w:rsidR="006A2723" w:rsidRPr="001F7FF3">
        <w:rPr>
          <w:rFonts w:ascii="Century Gothic" w:eastAsia="Century Gothic" w:hAnsi="Century Gothic" w:cs="Century Gothic"/>
          <w:color w:val="000000"/>
          <w:sz w:val="20"/>
          <w:szCs w:val="20"/>
        </w:rPr>
        <w:t xml:space="preserve">, </w:t>
      </w:r>
      <w:r w:rsidR="008816B2" w:rsidRPr="001F7FF3">
        <w:rPr>
          <w:rFonts w:ascii="Century Gothic" w:eastAsia="Century Gothic" w:hAnsi="Century Gothic" w:cs="Century Gothic"/>
          <w:color w:val="000000"/>
          <w:sz w:val="20"/>
          <w:szCs w:val="20"/>
        </w:rPr>
        <w:t xml:space="preserve">los cuales han sido </w:t>
      </w:r>
      <w:r w:rsidR="006A2723" w:rsidRPr="001F7FF3">
        <w:rPr>
          <w:rFonts w:ascii="Century Gothic" w:eastAsia="Century Gothic" w:hAnsi="Century Gothic" w:cs="Century Gothic"/>
          <w:color w:val="000000"/>
          <w:sz w:val="20"/>
          <w:szCs w:val="20"/>
        </w:rPr>
        <w:t xml:space="preserve">apropiados por las agencias de </w:t>
      </w:r>
      <w:r w:rsidR="00CB0548" w:rsidRPr="001F7FF3">
        <w:rPr>
          <w:rFonts w:ascii="Century Gothic" w:eastAsia="Century Gothic" w:hAnsi="Century Gothic" w:cs="Century Gothic"/>
          <w:color w:val="000000"/>
          <w:sz w:val="20"/>
          <w:szCs w:val="20"/>
        </w:rPr>
        <w:t>Naciones Unidas en sus documentos estratégicos y lineamientos</w:t>
      </w:r>
      <w:r w:rsidR="002740B8" w:rsidRPr="001F7FF3">
        <w:rPr>
          <w:rFonts w:ascii="Century Gothic" w:eastAsia="Century Gothic" w:hAnsi="Century Gothic" w:cs="Century Gothic"/>
          <w:color w:val="000000"/>
          <w:sz w:val="20"/>
          <w:szCs w:val="20"/>
        </w:rPr>
        <w:t xml:space="preserve"> y </w:t>
      </w:r>
      <w:r w:rsidRPr="001F7FF3">
        <w:rPr>
          <w:rFonts w:ascii="Century Gothic" w:eastAsia="Century Gothic" w:hAnsi="Century Gothic" w:cs="Century Gothic"/>
          <w:color w:val="000000"/>
          <w:sz w:val="20"/>
          <w:szCs w:val="20"/>
        </w:rPr>
        <w:t xml:space="preserve">establecidos en los </w:t>
      </w:r>
      <w:r w:rsidR="006C6379" w:rsidRPr="001F7FF3">
        <w:rPr>
          <w:rFonts w:ascii="Century Gothic" w:eastAsia="Century Gothic" w:hAnsi="Century Gothic" w:cs="Century Gothic"/>
          <w:color w:val="000000"/>
          <w:sz w:val="20"/>
          <w:szCs w:val="20"/>
        </w:rPr>
        <w:t>T</w:t>
      </w:r>
      <w:r w:rsidRPr="001F7FF3">
        <w:rPr>
          <w:rFonts w:ascii="Century Gothic" w:eastAsia="Century Gothic" w:hAnsi="Century Gothic" w:cs="Century Gothic"/>
          <w:color w:val="000000"/>
          <w:sz w:val="20"/>
          <w:szCs w:val="20"/>
        </w:rPr>
        <w:t xml:space="preserve">érminos de </w:t>
      </w:r>
      <w:r w:rsidR="006C6379" w:rsidRPr="001F7FF3">
        <w:rPr>
          <w:rFonts w:ascii="Century Gothic" w:eastAsia="Century Gothic" w:hAnsi="Century Gothic" w:cs="Century Gothic"/>
          <w:color w:val="000000"/>
          <w:sz w:val="20"/>
          <w:szCs w:val="20"/>
        </w:rPr>
        <w:t>R</w:t>
      </w:r>
      <w:r w:rsidRPr="001F7FF3">
        <w:rPr>
          <w:rFonts w:ascii="Century Gothic" w:eastAsia="Century Gothic" w:hAnsi="Century Gothic" w:cs="Century Gothic"/>
          <w:color w:val="000000"/>
          <w:sz w:val="20"/>
          <w:szCs w:val="20"/>
        </w:rPr>
        <w:t>eferencia</w:t>
      </w:r>
      <w:r w:rsidR="00484CC3" w:rsidRPr="001F7FF3">
        <w:rPr>
          <w:rFonts w:ascii="Century Gothic" w:eastAsia="Century Gothic" w:hAnsi="Century Gothic" w:cs="Century Gothic"/>
          <w:color w:val="000000"/>
          <w:sz w:val="20"/>
          <w:szCs w:val="20"/>
        </w:rPr>
        <w:t xml:space="preserve"> (T</w:t>
      </w:r>
      <w:r w:rsidR="00CE5D94" w:rsidRPr="001F7FF3">
        <w:rPr>
          <w:rFonts w:ascii="Century Gothic" w:eastAsia="Century Gothic" w:hAnsi="Century Gothic" w:cs="Century Gothic"/>
          <w:color w:val="000000"/>
          <w:sz w:val="20"/>
          <w:szCs w:val="20"/>
        </w:rPr>
        <w:t>d</w:t>
      </w:r>
      <w:r w:rsidR="00484CC3" w:rsidRPr="001F7FF3">
        <w:rPr>
          <w:rFonts w:ascii="Century Gothic" w:eastAsia="Century Gothic" w:hAnsi="Century Gothic" w:cs="Century Gothic"/>
          <w:color w:val="000000"/>
          <w:sz w:val="20"/>
          <w:szCs w:val="20"/>
        </w:rPr>
        <w:t>R)</w:t>
      </w:r>
      <w:r w:rsidR="007D6F9D" w:rsidRPr="001F7FF3">
        <w:rPr>
          <w:rFonts w:ascii="Century Gothic" w:eastAsia="Century Gothic" w:hAnsi="Century Gothic" w:cs="Century Gothic"/>
          <w:color w:val="000000"/>
          <w:sz w:val="20"/>
          <w:szCs w:val="20"/>
        </w:rPr>
        <w:t xml:space="preserve"> de la presente evaluación</w:t>
      </w:r>
      <w:r w:rsidR="002740B8" w:rsidRPr="001F7FF3">
        <w:rPr>
          <w:rFonts w:ascii="Century Gothic" w:eastAsia="Century Gothic" w:hAnsi="Century Gothic" w:cs="Century Gothic"/>
          <w:color w:val="000000"/>
          <w:sz w:val="20"/>
          <w:szCs w:val="20"/>
        </w:rPr>
        <w:t xml:space="preserve">: </w:t>
      </w:r>
      <w:r w:rsidR="00DE408F" w:rsidRPr="001F7FF3">
        <w:rPr>
          <w:rFonts w:ascii="Century Gothic" w:eastAsia="Century Gothic" w:hAnsi="Century Gothic" w:cs="Century Gothic"/>
          <w:color w:val="000000"/>
          <w:sz w:val="20"/>
          <w:szCs w:val="20"/>
        </w:rPr>
        <w:t>p</w:t>
      </w:r>
      <w:r w:rsidRPr="001F7FF3">
        <w:rPr>
          <w:rFonts w:ascii="Century Gothic" w:eastAsia="Century Gothic" w:hAnsi="Century Gothic" w:cs="Century Gothic"/>
          <w:color w:val="000000"/>
          <w:sz w:val="20"/>
          <w:szCs w:val="20"/>
        </w:rPr>
        <w:t xml:space="preserve">ertinencia, </w:t>
      </w:r>
      <w:r w:rsidR="00DE408F" w:rsidRPr="001F7FF3">
        <w:rPr>
          <w:rFonts w:ascii="Century Gothic" w:eastAsia="Century Gothic" w:hAnsi="Century Gothic" w:cs="Century Gothic"/>
          <w:color w:val="000000"/>
          <w:sz w:val="20"/>
          <w:szCs w:val="20"/>
        </w:rPr>
        <w:t>e</w:t>
      </w:r>
      <w:r w:rsidRPr="001F7FF3">
        <w:rPr>
          <w:rFonts w:ascii="Century Gothic" w:eastAsia="Century Gothic" w:hAnsi="Century Gothic" w:cs="Century Gothic"/>
          <w:color w:val="000000"/>
          <w:sz w:val="20"/>
          <w:szCs w:val="20"/>
        </w:rPr>
        <w:t xml:space="preserve">ficiencia, </w:t>
      </w:r>
      <w:r w:rsidR="00DE408F" w:rsidRPr="001F7FF3">
        <w:rPr>
          <w:rFonts w:ascii="Century Gothic" w:eastAsia="Century Gothic" w:hAnsi="Century Gothic" w:cs="Century Gothic"/>
          <w:color w:val="000000"/>
          <w:sz w:val="20"/>
          <w:szCs w:val="20"/>
        </w:rPr>
        <w:t>e</w:t>
      </w:r>
      <w:r w:rsidRPr="001F7FF3">
        <w:rPr>
          <w:rFonts w:ascii="Century Gothic" w:eastAsia="Century Gothic" w:hAnsi="Century Gothic" w:cs="Century Gothic"/>
          <w:color w:val="000000"/>
          <w:sz w:val="20"/>
          <w:szCs w:val="20"/>
        </w:rPr>
        <w:t xml:space="preserve">ficacia y </w:t>
      </w:r>
      <w:r w:rsidR="00DE408F" w:rsidRPr="001F7FF3">
        <w:rPr>
          <w:rFonts w:ascii="Century Gothic" w:eastAsia="Century Gothic" w:hAnsi="Century Gothic" w:cs="Century Gothic"/>
          <w:color w:val="000000"/>
          <w:sz w:val="20"/>
          <w:szCs w:val="20"/>
        </w:rPr>
        <w:t>s</w:t>
      </w:r>
      <w:r w:rsidRPr="001F7FF3">
        <w:rPr>
          <w:rFonts w:ascii="Century Gothic" w:eastAsia="Century Gothic" w:hAnsi="Century Gothic" w:cs="Century Gothic"/>
          <w:color w:val="000000"/>
          <w:sz w:val="20"/>
          <w:szCs w:val="20"/>
        </w:rPr>
        <w:t>ostenibilidad. Además, se adicionó un criterio de enfoques transversales que cuenta con una sección particular</w:t>
      </w:r>
      <w:r w:rsidR="008816B2" w:rsidRPr="001F7FF3">
        <w:rPr>
          <w:rFonts w:ascii="Century Gothic" w:eastAsia="Century Gothic" w:hAnsi="Century Gothic" w:cs="Century Gothic"/>
          <w:color w:val="000000"/>
          <w:sz w:val="20"/>
          <w:szCs w:val="20"/>
        </w:rPr>
        <w:t xml:space="preserve">. </w:t>
      </w:r>
      <w:r w:rsidRPr="001F7FF3">
        <w:rPr>
          <w:rFonts w:ascii="Century Gothic" w:eastAsia="Century Gothic" w:hAnsi="Century Gothic" w:cs="Century Gothic"/>
          <w:color w:val="000000"/>
          <w:sz w:val="20"/>
          <w:szCs w:val="20"/>
        </w:rPr>
        <w:t>A continuación, se describe cada uno de los criterios</w:t>
      </w:r>
      <w:r w:rsidR="00247E9B" w:rsidRPr="001F7FF3">
        <w:rPr>
          <w:rFonts w:ascii="Century Gothic" w:eastAsia="Century Gothic" w:hAnsi="Century Gothic" w:cs="Century Gothic"/>
          <w:color w:val="000000"/>
          <w:sz w:val="20"/>
          <w:szCs w:val="20"/>
        </w:rPr>
        <w:t>.</w:t>
      </w:r>
      <w:r w:rsidRPr="001F7FF3">
        <w:rPr>
          <w:rFonts w:ascii="Century Gothic" w:eastAsia="Century Gothic" w:hAnsi="Century Gothic" w:cs="Century Gothic"/>
          <w:color w:val="000000"/>
          <w:sz w:val="20"/>
          <w:szCs w:val="20"/>
        </w:rPr>
        <w:t xml:space="preserve"> </w:t>
      </w:r>
    </w:p>
    <w:p w14:paraId="2C7A5197" w14:textId="725FE300"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7392C29F" w14:textId="6DA29F8B" w:rsidR="00624A54" w:rsidRPr="001F7FF3" w:rsidRDefault="00624A54" w:rsidP="00624A54">
      <w:pPr>
        <w:pStyle w:val="Descripcin"/>
        <w:keepNext/>
        <w:rPr>
          <w:rFonts w:ascii="Century Gothic" w:hAnsi="Century Gothic"/>
          <w:lang w:val="es-CO"/>
        </w:rPr>
      </w:pPr>
      <w:bookmarkStart w:id="27" w:name="_Toc117527923"/>
      <w:r w:rsidRPr="001F7FF3">
        <w:rPr>
          <w:rFonts w:ascii="Century Gothic" w:hAnsi="Century Gothic"/>
          <w:lang w:val="es-CO"/>
        </w:rPr>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001F7FF3" w:rsidRPr="001F7FF3">
        <w:rPr>
          <w:rFonts w:ascii="Century Gothic" w:hAnsi="Century Gothic"/>
          <w:lang w:val="es-CO"/>
        </w:rPr>
        <w:t>2</w:t>
      </w:r>
      <w:r w:rsidRPr="001F7FF3">
        <w:rPr>
          <w:rFonts w:ascii="Century Gothic" w:hAnsi="Century Gothic"/>
          <w:lang w:val="es-CO"/>
        </w:rPr>
        <w:fldChar w:fldCharType="end"/>
      </w:r>
      <w:r w:rsidRPr="001F7FF3">
        <w:rPr>
          <w:rFonts w:ascii="Century Gothic" w:hAnsi="Century Gothic"/>
          <w:lang w:val="es-CO"/>
        </w:rPr>
        <w:t>. Criterios de evaluación</w:t>
      </w:r>
      <w:bookmarkEnd w:id="27"/>
    </w:p>
    <w:tbl>
      <w:tblPr>
        <w:tblStyle w:val="Tablaconcuadrcula"/>
        <w:tblW w:w="0" w:type="auto"/>
        <w:tblLook w:val="04A0" w:firstRow="1" w:lastRow="0" w:firstColumn="1" w:lastColumn="0" w:noHBand="0" w:noVBand="1"/>
      </w:tblPr>
      <w:tblGrid>
        <w:gridCol w:w="8919"/>
      </w:tblGrid>
      <w:tr w:rsidR="007D5397" w:rsidRPr="001F7FF3" w14:paraId="5CF6995D" w14:textId="77777777" w:rsidTr="00624A54">
        <w:tc>
          <w:tcPr>
            <w:tcW w:w="8919" w:type="dxa"/>
            <w:shd w:val="clear" w:color="auto" w:fill="2E74B5" w:themeFill="accent5" w:themeFillShade="BF"/>
          </w:tcPr>
          <w:p w14:paraId="59B3ACBC" w14:textId="2F693F1D" w:rsidR="007D5397" w:rsidRPr="001F7FF3" w:rsidRDefault="007D5397" w:rsidP="009D291F">
            <w:pPr>
              <w:jc w:val="both"/>
              <w:rPr>
                <w:rFonts w:ascii="Century Gothic" w:eastAsia="Century Gothic" w:hAnsi="Century Gothic" w:cs="Century Gothic"/>
                <w:b/>
                <w:bCs/>
                <w:color w:val="000000"/>
                <w:sz w:val="20"/>
                <w:szCs w:val="20"/>
                <w:lang w:val="es-CO"/>
              </w:rPr>
            </w:pPr>
            <w:r w:rsidRPr="001F7FF3">
              <w:rPr>
                <w:rFonts w:ascii="Century Gothic" w:eastAsia="Century Gothic" w:hAnsi="Century Gothic" w:cs="Century Gothic"/>
                <w:b/>
                <w:bCs/>
                <w:color w:val="FFFFFF" w:themeColor="background1"/>
                <w:sz w:val="20"/>
                <w:szCs w:val="20"/>
                <w:lang w:val="es-CO"/>
              </w:rPr>
              <w:t>Criterio de evaluación</w:t>
            </w:r>
          </w:p>
        </w:tc>
      </w:tr>
      <w:tr w:rsidR="007D5397" w:rsidRPr="001F7FF3" w14:paraId="21D5CB76" w14:textId="77777777" w:rsidTr="00624A54">
        <w:tc>
          <w:tcPr>
            <w:tcW w:w="8919" w:type="dxa"/>
          </w:tcPr>
          <w:p w14:paraId="7B66624B" w14:textId="4837FCF7" w:rsidR="007D5397" w:rsidRPr="001F7FF3" w:rsidRDefault="007D5397" w:rsidP="009D291F">
            <w:pPr>
              <w:jc w:val="both"/>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i/>
                <w:iCs/>
                <w:color w:val="000000"/>
                <w:sz w:val="20"/>
                <w:szCs w:val="20"/>
                <w:u w:val="single"/>
                <w:lang w:val="es-CO"/>
              </w:rPr>
              <w:t>Pertinencia:</w:t>
            </w:r>
            <w:r w:rsidRPr="001F7FF3">
              <w:rPr>
                <w:rFonts w:ascii="Century Gothic" w:eastAsia="Century Gothic" w:hAnsi="Century Gothic" w:cs="Century Gothic"/>
                <w:color w:val="000000"/>
                <w:sz w:val="20"/>
                <w:szCs w:val="20"/>
                <w:lang w:val="es-CO"/>
              </w:rPr>
              <w:t xml:space="preserve"> Capacidad para dar una respuesta acertada a las necesidades identificadas inicialmente en los grupos meta, partiendo de sus condiciones particulares, es decir, en qué medida el proyecto contribuyó a solucionar o a reducir la problemática por la cual fue implementado, las preguntas orientadoras.</w:t>
            </w:r>
          </w:p>
        </w:tc>
      </w:tr>
      <w:tr w:rsidR="007D5397" w:rsidRPr="001F7FF3" w14:paraId="58984E88" w14:textId="77777777" w:rsidTr="00624A54">
        <w:tc>
          <w:tcPr>
            <w:tcW w:w="8919" w:type="dxa"/>
          </w:tcPr>
          <w:p w14:paraId="209BBDD1" w14:textId="77777777" w:rsidR="007D5397" w:rsidRPr="001F7FF3" w:rsidRDefault="007D5397" w:rsidP="009D291F">
            <w:pPr>
              <w:jc w:val="both"/>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i/>
                <w:iCs/>
                <w:color w:val="000000"/>
                <w:sz w:val="20"/>
                <w:szCs w:val="20"/>
                <w:u w:val="single"/>
                <w:lang w:val="es-CO"/>
              </w:rPr>
              <w:t>Eficiencia:</w:t>
            </w:r>
            <w:r w:rsidRPr="001F7FF3">
              <w:rPr>
                <w:rFonts w:ascii="Century Gothic" w:eastAsia="Century Gothic" w:hAnsi="Century Gothic" w:cs="Century Gothic"/>
                <w:color w:val="000000"/>
                <w:sz w:val="20"/>
                <w:szCs w:val="20"/>
                <w:lang w:val="es-CO"/>
              </w:rPr>
              <w:t xml:space="preserve"> Comprendiéndose como la manera en la que han sido organizados y</w:t>
            </w:r>
          </w:p>
          <w:p w14:paraId="21EB3D38" w14:textId="11CDACB8" w:rsidR="007D5397" w:rsidRPr="001F7FF3" w:rsidRDefault="007D5397" w:rsidP="009D291F">
            <w:pPr>
              <w:jc w:val="both"/>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color w:val="000000"/>
                <w:sz w:val="20"/>
                <w:szCs w:val="20"/>
                <w:lang w:val="es-CO"/>
              </w:rPr>
              <w:t>empleados los recursos humanos y financieros en la ejecución del portafolio para lograr los objetivos y los resultados esperados.</w:t>
            </w:r>
          </w:p>
        </w:tc>
      </w:tr>
      <w:tr w:rsidR="007D5397" w:rsidRPr="001F7FF3" w14:paraId="183E2DC0" w14:textId="77777777" w:rsidTr="00624A54">
        <w:tc>
          <w:tcPr>
            <w:tcW w:w="8919" w:type="dxa"/>
          </w:tcPr>
          <w:p w14:paraId="6609924B" w14:textId="50BE8133" w:rsidR="007D5397" w:rsidRPr="001F7FF3" w:rsidRDefault="007D5397" w:rsidP="009D291F">
            <w:pPr>
              <w:jc w:val="both"/>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i/>
                <w:iCs/>
                <w:color w:val="000000"/>
                <w:sz w:val="20"/>
                <w:szCs w:val="20"/>
                <w:u w:val="single"/>
                <w:lang w:val="es-CO"/>
              </w:rPr>
              <w:t>Eficacia:</w:t>
            </w:r>
            <w:r w:rsidRPr="001F7FF3">
              <w:rPr>
                <w:rFonts w:ascii="Century Gothic" w:eastAsia="Century Gothic" w:hAnsi="Century Gothic" w:cs="Century Gothic"/>
                <w:color w:val="000000"/>
                <w:sz w:val="20"/>
                <w:szCs w:val="20"/>
                <w:lang w:val="es-CO"/>
              </w:rPr>
              <w:t xml:space="preserve"> Percibiéndose como el grado en el que han sido alcanzado los objetivos y los resultados como consecuencia de las intervenciones desarrolladas</w:t>
            </w:r>
          </w:p>
        </w:tc>
      </w:tr>
      <w:tr w:rsidR="007D5397" w:rsidRPr="001F7FF3" w14:paraId="26EFACAC" w14:textId="77777777" w:rsidTr="00624A54">
        <w:tc>
          <w:tcPr>
            <w:tcW w:w="8919" w:type="dxa"/>
          </w:tcPr>
          <w:p w14:paraId="246DE4CF" w14:textId="1895280F" w:rsidR="007D5397" w:rsidRPr="001F7FF3" w:rsidRDefault="007D5397" w:rsidP="009D291F">
            <w:pPr>
              <w:jc w:val="both"/>
              <w:rPr>
                <w:rFonts w:ascii="Century Gothic" w:eastAsia="Century Gothic" w:hAnsi="Century Gothic" w:cs="Century Gothic"/>
                <w:color w:val="000000"/>
                <w:sz w:val="20"/>
                <w:szCs w:val="20"/>
                <w:lang w:val="es-CO"/>
              </w:rPr>
            </w:pPr>
            <w:r w:rsidRPr="001F7FF3">
              <w:rPr>
                <w:rFonts w:ascii="Century Gothic" w:eastAsia="Century Gothic" w:hAnsi="Century Gothic" w:cs="Century Gothic"/>
                <w:i/>
                <w:iCs/>
                <w:color w:val="000000"/>
                <w:sz w:val="20"/>
                <w:szCs w:val="20"/>
                <w:u w:val="single"/>
                <w:lang w:val="es-CO"/>
              </w:rPr>
              <w:t>Sostenibilidad:</w:t>
            </w:r>
            <w:r w:rsidRPr="001F7FF3">
              <w:rPr>
                <w:rFonts w:ascii="Century Gothic" w:eastAsia="Century Gothic" w:hAnsi="Century Gothic" w:cs="Century Gothic"/>
                <w:color w:val="000000"/>
                <w:sz w:val="20"/>
                <w:szCs w:val="20"/>
                <w:lang w:val="es-CO"/>
              </w:rPr>
              <w:t xml:space="preserve"> Entendiéndose como las estrategias y mecanismos que se han incorporado para asegurar e incentivar la sostenibilidad de las intervenciones.</w:t>
            </w:r>
          </w:p>
        </w:tc>
      </w:tr>
    </w:tbl>
    <w:p w14:paraId="639469A3" w14:textId="5F944C9E" w:rsidR="007D5397" w:rsidRPr="001F7FF3" w:rsidRDefault="007D5397"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1E051E1B" w14:textId="4EB6BD87" w:rsidR="003043DE" w:rsidRPr="001F7FF3" w:rsidRDefault="007D5397" w:rsidP="009D291F">
      <w:pPr>
        <w:rPr>
          <w:rFonts w:ascii="Century Gothic" w:hAnsi="Century Gothic"/>
          <w:b/>
          <w:bCs/>
          <w:sz w:val="20"/>
          <w:szCs w:val="20"/>
        </w:rPr>
      </w:pPr>
      <w:r w:rsidRPr="001F7FF3">
        <w:rPr>
          <w:rFonts w:ascii="Century Gothic" w:hAnsi="Century Gothic"/>
          <w:b/>
          <w:bCs/>
          <w:sz w:val="20"/>
          <w:szCs w:val="20"/>
        </w:rPr>
        <w:t xml:space="preserve">Enfoques transversales </w:t>
      </w:r>
    </w:p>
    <w:p w14:paraId="4C1A2073" w14:textId="77777777" w:rsidR="00A07999" w:rsidRPr="001F7FF3" w:rsidRDefault="00A07999"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002C9641" w14:textId="1A02D918"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 xml:space="preserve">La presente evaluación comprende la importancia estratégica que los enfoques transversales tienen en el marco del Acuerdo de Paz y en el enfoque de trabajo del PJT del PNUD. Por esta razón, y con el objetivo de dar mayor especificidad y profundidad al análisis, se </w:t>
      </w:r>
      <w:r w:rsidR="00021A9B" w:rsidRPr="001F7FF3">
        <w:rPr>
          <w:rFonts w:ascii="Century Gothic" w:eastAsia="Century Gothic" w:hAnsi="Century Gothic" w:cs="Century Gothic"/>
          <w:color w:val="000000"/>
          <w:sz w:val="20"/>
          <w:szCs w:val="20"/>
        </w:rPr>
        <w:t>creó</w:t>
      </w:r>
      <w:r w:rsidRPr="001F7FF3">
        <w:rPr>
          <w:rFonts w:ascii="Century Gothic" w:eastAsia="Century Gothic" w:hAnsi="Century Gothic" w:cs="Century Gothic"/>
          <w:color w:val="000000"/>
          <w:sz w:val="20"/>
          <w:szCs w:val="20"/>
        </w:rPr>
        <w:t xml:space="preserve"> un "criterio de evaluación" que anali</w:t>
      </w:r>
      <w:r w:rsidR="00021A9B" w:rsidRPr="001F7FF3">
        <w:rPr>
          <w:rFonts w:ascii="Century Gothic" w:eastAsia="Century Gothic" w:hAnsi="Century Gothic" w:cs="Century Gothic"/>
          <w:color w:val="000000"/>
          <w:sz w:val="20"/>
          <w:szCs w:val="20"/>
        </w:rPr>
        <w:t>zó</w:t>
      </w:r>
      <w:r w:rsidRPr="001F7FF3">
        <w:rPr>
          <w:rFonts w:ascii="Century Gothic" w:eastAsia="Century Gothic" w:hAnsi="Century Gothic" w:cs="Century Gothic"/>
          <w:color w:val="000000"/>
          <w:sz w:val="20"/>
          <w:szCs w:val="20"/>
        </w:rPr>
        <w:t xml:space="preserve"> de manera concreta </w:t>
      </w:r>
      <w:r w:rsidR="00021A9B" w:rsidRPr="001F7FF3">
        <w:rPr>
          <w:rFonts w:ascii="Century Gothic" w:eastAsia="Century Gothic" w:hAnsi="Century Gothic" w:cs="Century Gothic"/>
          <w:color w:val="000000"/>
          <w:sz w:val="20"/>
          <w:szCs w:val="20"/>
        </w:rPr>
        <w:t>cuál</w:t>
      </w:r>
      <w:r w:rsidRPr="001F7FF3">
        <w:rPr>
          <w:rFonts w:ascii="Century Gothic" w:eastAsia="Century Gothic" w:hAnsi="Century Gothic" w:cs="Century Gothic"/>
          <w:color w:val="000000"/>
          <w:sz w:val="20"/>
          <w:szCs w:val="20"/>
        </w:rPr>
        <w:t xml:space="preserve"> es el nivel de inclusión de los diversos enfoques transversales en cada una de las etapas de diseño, formulación, implementación y monitoreo de las intervenciones. Los enfoques </w:t>
      </w:r>
      <w:r w:rsidR="00247E9B" w:rsidRPr="001F7FF3">
        <w:rPr>
          <w:rFonts w:ascii="Century Gothic" w:eastAsia="Century Gothic" w:hAnsi="Century Gothic" w:cs="Century Gothic"/>
          <w:color w:val="000000"/>
          <w:sz w:val="20"/>
          <w:szCs w:val="20"/>
        </w:rPr>
        <w:t xml:space="preserve">fueron </w:t>
      </w:r>
      <w:r w:rsidRPr="001F7FF3">
        <w:rPr>
          <w:rFonts w:ascii="Century Gothic" w:eastAsia="Century Gothic" w:hAnsi="Century Gothic" w:cs="Century Gothic"/>
          <w:color w:val="000000"/>
          <w:sz w:val="20"/>
          <w:szCs w:val="20"/>
        </w:rPr>
        <w:t>priorizados</w:t>
      </w:r>
      <w:r w:rsidR="00247E9B" w:rsidRPr="001F7FF3">
        <w:rPr>
          <w:rFonts w:ascii="Century Gothic" w:eastAsia="Century Gothic" w:hAnsi="Century Gothic" w:cs="Century Gothic"/>
          <w:color w:val="000000"/>
          <w:sz w:val="20"/>
          <w:szCs w:val="20"/>
        </w:rPr>
        <w:t xml:space="preserve"> con base en la información provista en el Prodoc</w:t>
      </w:r>
      <w:r w:rsidRPr="001F7FF3">
        <w:rPr>
          <w:rFonts w:ascii="Century Gothic" w:eastAsia="Century Gothic" w:hAnsi="Century Gothic" w:cs="Century Gothic"/>
          <w:color w:val="000000"/>
          <w:sz w:val="20"/>
          <w:szCs w:val="20"/>
        </w:rPr>
        <w:t xml:space="preserve"> </w:t>
      </w:r>
      <w:r w:rsidR="00021A9B" w:rsidRPr="001F7FF3">
        <w:rPr>
          <w:rFonts w:ascii="Century Gothic" w:eastAsia="Century Gothic" w:hAnsi="Century Gothic" w:cs="Century Gothic"/>
          <w:color w:val="000000"/>
          <w:sz w:val="20"/>
          <w:szCs w:val="20"/>
        </w:rPr>
        <w:t xml:space="preserve">fueron </w:t>
      </w:r>
      <w:r w:rsidRPr="001F7FF3">
        <w:rPr>
          <w:rFonts w:ascii="Century Gothic" w:eastAsia="Century Gothic" w:hAnsi="Century Gothic" w:cs="Century Gothic"/>
          <w:color w:val="000000"/>
          <w:sz w:val="20"/>
          <w:szCs w:val="20"/>
        </w:rPr>
        <w:t>los siguientes: género, étnico, derechos humanos y acción sin daño.</w:t>
      </w:r>
    </w:p>
    <w:p w14:paraId="2C9CBA8C" w14:textId="77777777"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498CF5D5" w14:textId="5D13077F" w:rsidR="003043DE" w:rsidRPr="001F7FF3" w:rsidRDefault="00021A9B"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Este análisis se desarrolló</w:t>
      </w:r>
      <w:r w:rsidR="00CE5D94" w:rsidRPr="001F7FF3">
        <w:rPr>
          <w:rFonts w:ascii="Century Gothic" w:eastAsia="Century Gothic" w:hAnsi="Century Gothic" w:cs="Century Gothic"/>
          <w:color w:val="000000"/>
          <w:sz w:val="20"/>
          <w:szCs w:val="20"/>
        </w:rPr>
        <w:t xml:space="preserve"> </w:t>
      </w:r>
      <w:r w:rsidR="003043DE" w:rsidRPr="001F7FF3">
        <w:rPr>
          <w:rFonts w:ascii="Century Gothic" w:eastAsia="Century Gothic" w:hAnsi="Century Gothic" w:cs="Century Gothic"/>
          <w:color w:val="000000"/>
          <w:sz w:val="20"/>
          <w:szCs w:val="20"/>
        </w:rPr>
        <w:t>debido a las implicaciones que ha tenido el conflicto armado en Colombia, en especial para las mujeres y grupos étnicos.</w:t>
      </w:r>
      <w:r w:rsidR="00A13A97" w:rsidRPr="001F7FF3">
        <w:rPr>
          <w:rFonts w:ascii="Century Gothic" w:eastAsia="Century Gothic" w:hAnsi="Century Gothic" w:cs="Century Gothic"/>
          <w:color w:val="000000"/>
          <w:sz w:val="20"/>
          <w:szCs w:val="20"/>
        </w:rPr>
        <w:t xml:space="preserve"> </w:t>
      </w:r>
      <w:r w:rsidR="003043DE" w:rsidRPr="001F7FF3">
        <w:rPr>
          <w:rFonts w:ascii="Century Gothic" w:eastAsia="Century Gothic" w:hAnsi="Century Gothic" w:cs="Century Gothic"/>
          <w:color w:val="000000"/>
          <w:sz w:val="20"/>
          <w:szCs w:val="20"/>
        </w:rPr>
        <w:t xml:space="preserve">A </w:t>
      </w:r>
      <w:r w:rsidR="004874C8" w:rsidRPr="001F7FF3">
        <w:rPr>
          <w:rFonts w:ascii="Century Gothic" w:eastAsia="Century Gothic" w:hAnsi="Century Gothic" w:cs="Century Gothic"/>
          <w:color w:val="000000"/>
          <w:sz w:val="20"/>
          <w:szCs w:val="20"/>
        </w:rPr>
        <w:t>continuación,</w:t>
      </w:r>
      <w:r w:rsidR="003043DE" w:rsidRPr="001F7FF3">
        <w:rPr>
          <w:rFonts w:ascii="Century Gothic" w:eastAsia="Century Gothic" w:hAnsi="Century Gothic" w:cs="Century Gothic"/>
          <w:color w:val="000000"/>
          <w:sz w:val="20"/>
          <w:szCs w:val="20"/>
        </w:rPr>
        <w:t xml:space="preserve"> </w:t>
      </w:r>
      <w:r w:rsidR="008934B8" w:rsidRPr="001F7FF3">
        <w:rPr>
          <w:rFonts w:ascii="Century Gothic" w:eastAsia="Century Gothic" w:hAnsi="Century Gothic" w:cs="Century Gothic"/>
          <w:color w:val="000000"/>
          <w:sz w:val="20"/>
          <w:szCs w:val="20"/>
        </w:rPr>
        <w:t xml:space="preserve">se describe </w:t>
      </w:r>
      <w:r w:rsidR="003043DE" w:rsidRPr="001F7FF3">
        <w:rPr>
          <w:rFonts w:ascii="Century Gothic" w:eastAsia="Century Gothic" w:hAnsi="Century Gothic" w:cs="Century Gothic"/>
          <w:color w:val="000000"/>
          <w:sz w:val="20"/>
          <w:szCs w:val="20"/>
        </w:rPr>
        <w:t xml:space="preserve">cada uno de ellos: </w:t>
      </w:r>
    </w:p>
    <w:p w14:paraId="7DEDB6D6" w14:textId="77777777"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50CB0EAF" w14:textId="722CFD86" w:rsidR="003043DE" w:rsidRPr="001F7FF3" w:rsidRDefault="007D5397"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hAnsi="Century Gothic"/>
          <w:i/>
          <w:iCs/>
          <w:noProof/>
          <w:color w:val="000000"/>
          <w:sz w:val="20"/>
          <w:szCs w:val="20"/>
          <w:u w:val="single"/>
          <w:bdr w:val="none" w:sz="0" w:space="0" w:color="auto" w:frame="1"/>
        </w:rPr>
        <w:drawing>
          <wp:anchor distT="0" distB="0" distL="114300" distR="114300" simplePos="0" relativeHeight="251661312" behindDoc="0" locked="0" layoutInCell="1" allowOverlap="1" wp14:anchorId="3DCC0536" wp14:editId="6F283A15">
            <wp:simplePos x="0" y="0"/>
            <wp:positionH relativeFrom="column">
              <wp:posOffset>-4370</wp:posOffset>
            </wp:positionH>
            <wp:positionV relativeFrom="paragraph">
              <wp:posOffset>1830</wp:posOffset>
            </wp:positionV>
            <wp:extent cx="358775" cy="618490"/>
            <wp:effectExtent l="0" t="0" r="3175" b="0"/>
            <wp:wrapSquare wrapText="bothSides"/>
            <wp:docPr id="235" name="Imagen 23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descr="Icon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77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3DE" w:rsidRPr="001F7FF3">
        <w:rPr>
          <w:rFonts w:ascii="Century Gothic" w:eastAsia="Century Gothic" w:hAnsi="Century Gothic" w:cs="Century Gothic"/>
          <w:i/>
          <w:iCs/>
          <w:color w:val="000000"/>
          <w:sz w:val="20"/>
          <w:szCs w:val="20"/>
          <w:u w:val="single"/>
        </w:rPr>
        <w:t>Enfoque de género:</w:t>
      </w:r>
      <w:r w:rsidR="003043DE" w:rsidRPr="001F7FF3">
        <w:rPr>
          <w:rFonts w:ascii="Century Gothic" w:eastAsia="Century Gothic" w:hAnsi="Century Gothic" w:cs="Century Gothic"/>
          <w:color w:val="000000"/>
          <w:sz w:val="20"/>
          <w:szCs w:val="20"/>
        </w:rPr>
        <w:t xml:space="preserve"> El conflicto armado ha tenido un impacto desproporcionado contra las mujeres en especial por afectaciones de discriminación, violencia basada en género, violencia sexual, entre otros</w:t>
      </w:r>
      <w:r w:rsidR="00191FA7" w:rsidRPr="001F7FF3">
        <w:rPr>
          <w:rFonts w:ascii="Century Gothic" w:eastAsia="Century Gothic" w:hAnsi="Century Gothic" w:cs="Century Gothic"/>
          <w:color w:val="000000"/>
          <w:sz w:val="20"/>
          <w:szCs w:val="20"/>
        </w:rPr>
        <w:t>. Así lo indica</w:t>
      </w:r>
      <w:r w:rsidR="003043DE" w:rsidRPr="001F7FF3">
        <w:rPr>
          <w:rFonts w:ascii="Century Gothic" w:eastAsia="Century Gothic" w:hAnsi="Century Gothic" w:cs="Century Gothic"/>
          <w:color w:val="000000"/>
          <w:sz w:val="20"/>
          <w:szCs w:val="20"/>
        </w:rPr>
        <w:t xml:space="preserve"> la Comisión Interamericana de </w:t>
      </w:r>
      <w:r w:rsidR="00191FA7" w:rsidRPr="001F7FF3">
        <w:rPr>
          <w:rFonts w:ascii="Century Gothic" w:eastAsia="Century Gothic" w:hAnsi="Century Gothic" w:cs="Century Gothic"/>
          <w:color w:val="000000"/>
          <w:sz w:val="20"/>
          <w:szCs w:val="20"/>
        </w:rPr>
        <w:t>D</w:t>
      </w:r>
      <w:r w:rsidR="003043DE" w:rsidRPr="001F7FF3">
        <w:rPr>
          <w:rFonts w:ascii="Century Gothic" w:eastAsia="Century Gothic" w:hAnsi="Century Gothic" w:cs="Century Gothic"/>
          <w:color w:val="000000"/>
          <w:sz w:val="20"/>
          <w:szCs w:val="20"/>
        </w:rPr>
        <w:t>erechos Humanos en el apartado de las Mujeres frente a la violencia y la discriminación derivadas del conflicto armado en Colombia.</w:t>
      </w:r>
    </w:p>
    <w:p w14:paraId="77C4C9DE" w14:textId="77777777" w:rsidR="0086723C" w:rsidRPr="001F7FF3" w:rsidRDefault="0086723C" w:rsidP="009D291F">
      <w:pPr>
        <w:pBdr>
          <w:top w:val="nil"/>
          <w:left w:val="nil"/>
          <w:bottom w:val="nil"/>
          <w:right w:val="nil"/>
          <w:between w:val="nil"/>
        </w:pBdr>
        <w:jc w:val="both"/>
        <w:rPr>
          <w:rFonts w:ascii="Century Gothic" w:eastAsia="Century Gothic" w:hAnsi="Century Gothic" w:cs="Century Gothic"/>
          <w:i/>
          <w:iCs/>
          <w:color w:val="000000"/>
          <w:sz w:val="20"/>
          <w:szCs w:val="20"/>
          <w:u w:val="single"/>
        </w:rPr>
      </w:pPr>
      <w:r w:rsidRPr="001F7FF3">
        <w:rPr>
          <w:rFonts w:ascii="Century Gothic" w:eastAsia="Century Gothic" w:hAnsi="Century Gothic" w:cs="Century Gothic"/>
          <w:i/>
          <w:iCs/>
          <w:noProof/>
          <w:color w:val="000000"/>
          <w:sz w:val="20"/>
          <w:szCs w:val="20"/>
          <w:u w:val="single"/>
        </w:rPr>
        <w:drawing>
          <wp:anchor distT="0" distB="0" distL="114300" distR="114300" simplePos="0" relativeHeight="251705344" behindDoc="0" locked="0" layoutInCell="1" allowOverlap="1" wp14:anchorId="65393FC1" wp14:editId="05923516">
            <wp:simplePos x="0" y="0"/>
            <wp:positionH relativeFrom="margin">
              <wp:posOffset>-191556</wp:posOffset>
            </wp:positionH>
            <wp:positionV relativeFrom="paragraph">
              <wp:posOffset>48314</wp:posOffset>
            </wp:positionV>
            <wp:extent cx="768985" cy="614680"/>
            <wp:effectExtent l="0" t="0" r="0" b="0"/>
            <wp:wrapSquare wrapText="bothSides"/>
            <wp:docPr id="8" name="Imagen 8"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10;&#10;Descripción generada automáticamente con confianza baja"/>
                    <pic:cNvPicPr/>
                  </pic:nvPicPr>
                  <pic:blipFill rotWithShape="1">
                    <a:blip r:embed="rId38" cstate="print">
                      <a:duotone>
                        <a:schemeClr val="accent6">
                          <a:shade val="45000"/>
                          <a:satMod val="135000"/>
                        </a:schemeClr>
                        <a:prstClr val="white"/>
                      </a:duotone>
                      <a:extLst>
                        <a:ext uri="{28A0092B-C50C-407E-A947-70E740481C1C}">
                          <a14:useLocalDpi xmlns:a14="http://schemas.microsoft.com/office/drawing/2010/main" val="0"/>
                        </a:ext>
                      </a:extLst>
                    </a:blip>
                    <a:srcRect l="3617" t="5125" r="8815" b="24030"/>
                    <a:stretch/>
                  </pic:blipFill>
                  <pic:spPr bwMode="auto">
                    <a:xfrm>
                      <a:off x="0" y="0"/>
                      <a:ext cx="768985" cy="61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0E3B2" w14:textId="3842DA7D" w:rsidR="003043DE" w:rsidRPr="001F7FF3" w:rsidRDefault="003043DE" w:rsidP="009D291F">
      <w:pPr>
        <w:pBdr>
          <w:top w:val="nil"/>
          <w:left w:val="nil"/>
          <w:bottom w:val="nil"/>
          <w:right w:val="nil"/>
          <w:between w:val="nil"/>
        </w:pBdr>
        <w:jc w:val="both"/>
        <w:rPr>
          <w:rFonts w:ascii="Century Gothic" w:eastAsia="Century Gothic" w:hAnsi="Century Gothic" w:cs="Century Gothic"/>
          <w:i/>
          <w:iCs/>
          <w:color w:val="000000"/>
          <w:sz w:val="20"/>
          <w:szCs w:val="20"/>
          <w:u w:val="single"/>
        </w:rPr>
      </w:pPr>
      <w:r w:rsidRPr="001F7FF3">
        <w:rPr>
          <w:rFonts w:ascii="Century Gothic" w:eastAsia="Century Gothic" w:hAnsi="Century Gothic" w:cs="Century Gothic"/>
          <w:i/>
          <w:iCs/>
          <w:color w:val="000000"/>
          <w:sz w:val="20"/>
          <w:szCs w:val="20"/>
          <w:u w:val="single"/>
        </w:rPr>
        <w:t>Enfoque étnico:</w:t>
      </w:r>
      <w:r w:rsidRPr="001F7FF3">
        <w:rPr>
          <w:rFonts w:ascii="Century Gothic" w:eastAsia="Century Gothic" w:hAnsi="Century Gothic" w:cs="Century Gothic"/>
          <w:color w:val="000000"/>
          <w:sz w:val="20"/>
          <w:szCs w:val="20"/>
        </w:rPr>
        <w:t xml:space="preserve"> Los pueblos indígenas y las comunidades afrocolombianas han estado en una situación crítica derivada del conflicto armado debido a que están ubicados en las zonas más afectadas por la violencia y más necesitadas </w:t>
      </w:r>
      <w:r w:rsidRPr="001F7FF3">
        <w:rPr>
          <w:rFonts w:ascii="Century Gothic" w:eastAsia="Century Gothic" w:hAnsi="Century Gothic" w:cs="Century Gothic"/>
          <w:color w:val="000000"/>
          <w:sz w:val="20"/>
          <w:szCs w:val="20"/>
        </w:rPr>
        <w:lastRenderedPageBreak/>
        <w:t xml:space="preserve">por los niveles de pobreza, debilidad institucional y presencia de economías y grupos ilegales que impactan negativamente su territorio y su cultura. </w:t>
      </w:r>
    </w:p>
    <w:p w14:paraId="0E77899B" w14:textId="2F0FDA8A" w:rsidR="003043DE" w:rsidRPr="001F7FF3" w:rsidRDefault="007D5397"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hAnsi="Century Gothic"/>
          <w:noProof/>
          <w:color w:val="000000"/>
          <w:sz w:val="20"/>
          <w:szCs w:val="20"/>
          <w:bdr w:val="none" w:sz="0" w:space="0" w:color="auto" w:frame="1"/>
        </w:rPr>
        <w:drawing>
          <wp:anchor distT="0" distB="0" distL="114300" distR="114300" simplePos="0" relativeHeight="251663360" behindDoc="0" locked="0" layoutInCell="1" allowOverlap="1" wp14:anchorId="0C7B27F0" wp14:editId="12958791">
            <wp:simplePos x="0" y="0"/>
            <wp:positionH relativeFrom="margin">
              <wp:align>left</wp:align>
            </wp:positionH>
            <wp:positionV relativeFrom="paragraph">
              <wp:posOffset>204844</wp:posOffset>
            </wp:positionV>
            <wp:extent cx="555625" cy="618490"/>
            <wp:effectExtent l="0" t="0" r="0" b="0"/>
            <wp:wrapSquare wrapText="bothSides"/>
            <wp:docPr id="237" name="Imagen 23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descr="Icon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62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9263E" w14:textId="0C918D10"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i/>
          <w:iCs/>
          <w:color w:val="000000"/>
          <w:sz w:val="20"/>
          <w:szCs w:val="20"/>
          <w:u w:val="single"/>
        </w:rPr>
        <w:t>Enfoque Derechos Humanos:</w:t>
      </w:r>
      <w:r w:rsidRPr="001F7FF3">
        <w:rPr>
          <w:rFonts w:ascii="Century Gothic" w:eastAsia="Century Gothic" w:hAnsi="Century Gothic" w:cs="Century Gothic"/>
          <w:color w:val="000000"/>
          <w:sz w:val="20"/>
          <w:szCs w:val="20"/>
        </w:rPr>
        <w:t xml:space="preserve"> El enfoque de derechos humanos es transversal a todas las acciones que financia el Portafolio debido a la naturaleza de los proyectos derivados del conjunto de mecanismos para garantizar los derechos de las víctimas a la verdad, la justicia, la reparación y la no repetición. </w:t>
      </w:r>
    </w:p>
    <w:p w14:paraId="4AFCEACB" w14:textId="77777777" w:rsidR="003043DE" w:rsidRPr="001F7FF3" w:rsidRDefault="003043DE" w:rsidP="009D291F">
      <w:pPr>
        <w:pBdr>
          <w:top w:val="nil"/>
          <w:left w:val="nil"/>
          <w:bottom w:val="nil"/>
          <w:right w:val="nil"/>
          <w:between w:val="nil"/>
        </w:pBdr>
        <w:ind w:left="360"/>
        <w:jc w:val="both"/>
        <w:rPr>
          <w:rFonts w:ascii="Century Gothic" w:eastAsia="Century Gothic" w:hAnsi="Century Gothic" w:cs="Century Gothic"/>
          <w:color w:val="000000"/>
          <w:sz w:val="20"/>
          <w:szCs w:val="20"/>
        </w:rPr>
      </w:pPr>
    </w:p>
    <w:p w14:paraId="0FA0F662" w14:textId="77777777"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63C85884" w14:textId="6223AA28" w:rsidR="003043DE" w:rsidRPr="001F7FF3" w:rsidRDefault="007D5397"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hAnsi="Century Gothic"/>
          <w:i/>
          <w:iCs/>
          <w:noProof/>
          <w:color w:val="000000"/>
          <w:sz w:val="20"/>
          <w:szCs w:val="20"/>
          <w:u w:val="single"/>
          <w:bdr w:val="none" w:sz="0" w:space="0" w:color="auto" w:frame="1"/>
        </w:rPr>
        <w:drawing>
          <wp:anchor distT="0" distB="0" distL="114300" distR="114300" simplePos="0" relativeHeight="251664384" behindDoc="0" locked="0" layoutInCell="1" allowOverlap="1" wp14:anchorId="01B2B203" wp14:editId="00F45686">
            <wp:simplePos x="0" y="0"/>
            <wp:positionH relativeFrom="column">
              <wp:posOffset>-4370</wp:posOffset>
            </wp:positionH>
            <wp:positionV relativeFrom="paragraph">
              <wp:posOffset>374</wp:posOffset>
            </wp:positionV>
            <wp:extent cx="439420" cy="439420"/>
            <wp:effectExtent l="0" t="0" r="0" b="0"/>
            <wp:wrapSquare wrapText="bothSides"/>
            <wp:docPr id="238" name="Imagen 23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descr="Icon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3DE" w:rsidRPr="001F7FF3">
        <w:rPr>
          <w:rFonts w:ascii="Century Gothic" w:eastAsia="Century Gothic" w:hAnsi="Century Gothic" w:cs="Century Gothic"/>
          <w:i/>
          <w:iCs/>
          <w:color w:val="000000"/>
          <w:sz w:val="20"/>
          <w:szCs w:val="20"/>
          <w:u w:val="single"/>
        </w:rPr>
        <w:t>Enfoque Acción sin daño:</w:t>
      </w:r>
      <w:r w:rsidR="003043DE" w:rsidRPr="001F7FF3">
        <w:rPr>
          <w:rFonts w:ascii="Century Gothic" w:eastAsia="Century Gothic" w:hAnsi="Century Gothic" w:cs="Century Gothic"/>
          <w:color w:val="000000"/>
          <w:sz w:val="20"/>
          <w:szCs w:val="20"/>
        </w:rPr>
        <w:t xml:space="preserve"> </w:t>
      </w:r>
      <w:r w:rsidR="00CF687F" w:rsidRPr="001F7FF3">
        <w:rPr>
          <w:rFonts w:ascii="Century Gothic" w:eastAsia="Century Gothic" w:hAnsi="Century Gothic" w:cs="Century Gothic"/>
          <w:color w:val="000000"/>
          <w:sz w:val="20"/>
          <w:szCs w:val="20"/>
        </w:rPr>
        <w:t>E</w:t>
      </w:r>
      <w:r w:rsidR="003043DE" w:rsidRPr="001F7FF3">
        <w:rPr>
          <w:rFonts w:ascii="Century Gothic" w:eastAsia="Century Gothic" w:hAnsi="Century Gothic" w:cs="Century Gothic"/>
          <w:color w:val="000000"/>
          <w:sz w:val="20"/>
          <w:szCs w:val="20"/>
        </w:rPr>
        <w:t xml:space="preserve">s un enfoque transversal que será analizado en esta evaluación porque permite garantizar que las acciones financiadas por el Portafolio no son contraproducentes. Es decir, las acciones financiadas por la cooperación internacional o actores humanitarios no están exentas del riesgo de hacer daño a través de sus acciones y es necesario hacer un análisis de manera transversal. </w:t>
      </w:r>
    </w:p>
    <w:p w14:paraId="17F8B9F0" w14:textId="77777777" w:rsidR="003043DE" w:rsidRPr="001F7FF3" w:rsidRDefault="003043DE" w:rsidP="009D291F">
      <w:pPr>
        <w:pBdr>
          <w:top w:val="nil"/>
          <w:left w:val="nil"/>
          <w:bottom w:val="nil"/>
          <w:right w:val="nil"/>
          <w:between w:val="nil"/>
        </w:pBdr>
        <w:ind w:left="360"/>
        <w:jc w:val="both"/>
        <w:rPr>
          <w:rFonts w:ascii="Century Gothic" w:eastAsia="Century Gothic" w:hAnsi="Century Gothic" w:cs="Century Gothic"/>
          <w:color w:val="000000"/>
          <w:sz w:val="20"/>
          <w:szCs w:val="20"/>
        </w:rPr>
      </w:pPr>
    </w:p>
    <w:p w14:paraId="01FA417C" w14:textId="1802EEAB" w:rsidR="003043DE" w:rsidRPr="001F7FF3" w:rsidRDefault="003043DE"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Estos elementos representan una característica clave tanto de la implementación como del seguimiento a esta y albergan aprendizajes potenciales de gran interés y utilidad. Por ello, la evaluación las ha identificado como categorías prioritarias de análisis, de manera que puedan presentarse hallazgos, reflexiones y recomendaciones por cada una de ellas, lo que da mayor claridad y especificidad.</w:t>
      </w:r>
    </w:p>
    <w:p w14:paraId="438AE4DF" w14:textId="5C53D257" w:rsidR="000D4E5A" w:rsidRPr="001F7FF3" w:rsidRDefault="000D4E5A"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16B94C05" w14:textId="6B1AC12A" w:rsidR="00247E9B" w:rsidRPr="001F7FF3" w:rsidRDefault="00247E9B" w:rsidP="009D291F">
      <w:pPr>
        <w:pBdr>
          <w:top w:val="nil"/>
          <w:left w:val="nil"/>
          <w:bottom w:val="nil"/>
          <w:right w:val="nil"/>
          <w:between w:val="nil"/>
        </w:pBdr>
        <w:jc w:val="both"/>
        <w:rPr>
          <w:rFonts w:ascii="Century Gothic" w:eastAsia="Century Gothic" w:hAnsi="Century Gothic" w:cstheme="majorBidi"/>
          <w:b/>
          <w:bCs/>
          <w:color w:val="2F5496" w:themeColor="accent1" w:themeShade="BF"/>
          <w:sz w:val="20"/>
          <w:szCs w:val="20"/>
        </w:rPr>
      </w:pPr>
      <w:r w:rsidRPr="001F7FF3">
        <w:rPr>
          <w:rFonts w:ascii="Century Gothic" w:eastAsia="Century Gothic" w:hAnsi="Century Gothic" w:cstheme="majorBidi"/>
          <w:b/>
          <w:bCs/>
          <w:color w:val="2F5496" w:themeColor="accent1" w:themeShade="BF"/>
          <w:sz w:val="20"/>
          <w:szCs w:val="20"/>
        </w:rPr>
        <w:t>Preguntas de evaluación</w:t>
      </w:r>
    </w:p>
    <w:p w14:paraId="7C71476A" w14:textId="23B6F8C6" w:rsidR="00247E9B" w:rsidRPr="001F7FF3" w:rsidRDefault="00247E9B" w:rsidP="009D291F">
      <w:pPr>
        <w:pBdr>
          <w:top w:val="nil"/>
          <w:left w:val="nil"/>
          <w:bottom w:val="nil"/>
          <w:right w:val="nil"/>
          <w:between w:val="nil"/>
        </w:pBdr>
        <w:jc w:val="both"/>
        <w:rPr>
          <w:rFonts w:ascii="Century Gothic" w:eastAsia="Century Gothic" w:hAnsi="Century Gothic" w:cs="Century Gothic"/>
          <w:b/>
          <w:bCs/>
          <w:color w:val="000000"/>
          <w:sz w:val="20"/>
          <w:szCs w:val="20"/>
        </w:rPr>
      </w:pPr>
    </w:p>
    <w:p w14:paraId="552E8001" w14:textId="39573447" w:rsidR="003043DE" w:rsidRPr="001F7FF3" w:rsidRDefault="00247E9B" w:rsidP="009D291F">
      <w:pPr>
        <w:pBdr>
          <w:top w:val="nil"/>
          <w:left w:val="nil"/>
          <w:bottom w:val="nil"/>
          <w:right w:val="nil"/>
          <w:between w:val="nil"/>
        </w:pBdr>
        <w:jc w:val="both"/>
        <w:rPr>
          <w:rFonts w:ascii="Century Gothic" w:eastAsia="Century Gothic" w:hAnsi="Century Gothic" w:cs="Century Gothic"/>
          <w:color w:val="000000"/>
          <w:sz w:val="20"/>
          <w:szCs w:val="20"/>
        </w:rPr>
      </w:pPr>
      <w:r w:rsidRPr="001F7FF3">
        <w:rPr>
          <w:rFonts w:ascii="Century Gothic" w:eastAsia="Century Gothic" w:hAnsi="Century Gothic" w:cs="Century Gothic"/>
          <w:color w:val="000000"/>
          <w:sz w:val="20"/>
          <w:szCs w:val="20"/>
        </w:rPr>
        <w:t xml:space="preserve">Las preguntas de evaluación para cada uno de los criterios de evaluación y los enfoques transversales fueron socializadas en la fase de escritorio </w:t>
      </w:r>
      <w:r w:rsidR="00F12554" w:rsidRPr="001F7FF3">
        <w:rPr>
          <w:rFonts w:ascii="Century Gothic" w:eastAsia="Century Gothic" w:hAnsi="Century Gothic" w:cs="Century Gothic"/>
          <w:color w:val="000000"/>
          <w:sz w:val="20"/>
          <w:szCs w:val="20"/>
        </w:rPr>
        <w:t>y</w:t>
      </w:r>
      <w:r w:rsidRPr="001F7FF3">
        <w:rPr>
          <w:rFonts w:ascii="Century Gothic" w:eastAsia="Century Gothic" w:hAnsi="Century Gothic" w:cs="Century Gothic"/>
          <w:color w:val="000000"/>
          <w:sz w:val="20"/>
          <w:szCs w:val="20"/>
        </w:rPr>
        <w:t xml:space="preserve"> se presentan en el anexo 1 junto con la matriz de la evaluación.  </w:t>
      </w:r>
    </w:p>
    <w:p w14:paraId="4475E73D" w14:textId="79CB62DE" w:rsidR="00247E9B" w:rsidRPr="001F7FF3" w:rsidRDefault="00247E9B" w:rsidP="009D291F">
      <w:pPr>
        <w:pBdr>
          <w:top w:val="nil"/>
          <w:left w:val="nil"/>
          <w:bottom w:val="nil"/>
          <w:right w:val="nil"/>
          <w:between w:val="nil"/>
        </w:pBdr>
        <w:jc w:val="both"/>
        <w:rPr>
          <w:rFonts w:ascii="Century Gothic" w:eastAsia="Century Gothic" w:hAnsi="Century Gothic" w:cs="Century Gothic"/>
          <w:color w:val="000000"/>
          <w:sz w:val="20"/>
          <w:szCs w:val="20"/>
        </w:rPr>
      </w:pPr>
    </w:p>
    <w:p w14:paraId="0A9CD0FE" w14:textId="0E15C9CB" w:rsidR="00247E9B" w:rsidRPr="001F7FF3" w:rsidRDefault="00247E9B" w:rsidP="009D291F">
      <w:pPr>
        <w:pBdr>
          <w:top w:val="nil"/>
          <w:left w:val="nil"/>
          <w:bottom w:val="nil"/>
          <w:right w:val="nil"/>
          <w:between w:val="nil"/>
        </w:pBdr>
        <w:jc w:val="both"/>
        <w:rPr>
          <w:rFonts w:ascii="Century Gothic" w:eastAsia="Century Gothic" w:hAnsi="Century Gothic" w:cstheme="majorBidi"/>
          <w:b/>
          <w:bCs/>
          <w:color w:val="2F5496" w:themeColor="accent1" w:themeShade="BF"/>
          <w:sz w:val="20"/>
          <w:szCs w:val="20"/>
        </w:rPr>
      </w:pPr>
      <w:r w:rsidRPr="001F7FF3">
        <w:rPr>
          <w:rFonts w:ascii="Century Gothic" w:eastAsia="Century Gothic" w:hAnsi="Century Gothic" w:cstheme="majorBidi"/>
          <w:b/>
          <w:bCs/>
          <w:color w:val="2F5496" w:themeColor="accent1" w:themeShade="BF"/>
          <w:sz w:val="20"/>
          <w:szCs w:val="20"/>
        </w:rPr>
        <w:t xml:space="preserve">Selección de la muestra de proyectos </w:t>
      </w:r>
    </w:p>
    <w:p w14:paraId="3B1C5738" w14:textId="77777777" w:rsidR="00247E9B" w:rsidRPr="001F7FF3" w:rsidRDefault="00247E9B" w:rsidP="009D291F">
      <w:pPr>
        <w:spacing w:before="240" w:after="240"/>
        <w:ind w:right="142"/>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La evaluación tuvo un alcance definido a partir de la muestra de proyectos seleccionada teniendo en cuenta los criterios propuestos y validados conjuntamente con PNUD en el informe de inicio. Esta muestra representativa de la totalidad de los proyectos financiados por el PJT se escogió teniendo en cuenta los siguientes criterios: </w:t>
      </w:r>
    </w:p>
    <w:tbl>
      <w:tblPr>
        <w:tblStyle w:val="Tablaconcuadrcula"/>
        <w:tblW w:w="0" w:type="auto"/>
        <w:tblLook w:val="04A0" w:firstRow="1" w:lastRow="0" w:firstColumn="1" w:lastColumn="0" w:noHBand="0" w:noVBand="1"/>
      </w:tblPr>
      <w:tblGrid>
        <w:gridCol w:w="421"/>
        <w:gridCol w:w="8498"/>
      </w:tblGrid>
      <w:tr w:rsidR="00247E9B" w:rsidRPr="001F7FF3" w14:paraId="03D7BEDD" w14:textId="77777777" w:rsidTr="008F497C">
        <w:tc>
          <w:tcPr>
            <w:tcW w:w="421" w:type="dxa"/>
          </w:tcPr>
          <w:p w14:paraId="494AC540"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1.</w:t>
            </w:r>
          </w:p>
        </w:tc>
        <w:tc>
          <w:tcPr>
            <w:tcW w:w="8498" w:type="dxa"/>
          </w:tcPr>
          <w:p w14:paraId="547E1425"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Al menos un proyecto por outcome y output evaluado.</w:t>
            </w:r>
          </w:p>
        </w:tc>
      </w:tr>
      <w:tr w:rsidR="00247E9B" w:rsidRPr="001F7FF3" w14:paraId="01D60468" w14:textId="77777777" w:rsidTr="008F497C">
        <w:tc>
          <w:tcPr>
            <w:tcW w:w="421" w:type="dxa"/>
          </w:tcPr>
          <w:p w14:paraId="06C1DB96"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2.</w:t>
            </w:r>
          </w:p>
        </w:tc>
        <w:tc>
          <w:tcPr>
            <w:tcW w:w="8498" w:type="dxa"/>
          </w:tcPr>
          <w:p w14:paraId="5611BEEA"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El nivel de ejecución superior al 60% o finalizado.</w:t>
            </w:r>
          </w:p>
        </w:tc>
      </w:tr>
      <w:tr w:rsidR="00247E9B" w:rsidRPr="001F7FF3" w14:paraId="0F2D53C2" w14:textId="77777777" w:rsidTr="008F497C">
        <w:tc>
          <w:tcPr>
            <w:tcW w:w="421" w:type="dxa"/>
          </w:tcPr>
          <w:p w14:paraId="0A73C4C1"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3.</w:t>
            </w:r>
          </w:p>
        </w:tc>
        <w:tc>
          <w:tcPr>
            <w:tcW w:w="8498" w:type="dxa"/>
          </w:tcPr>
          <w:p w14:paraId="164FD1B9"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Diferentes socios implementadores de agencias de Naciones Unidas y de la sociedad civil.</w:t>
            </w:r>
          </w:p>
        </w:tc>
      </w:tr>
      <w:tr w:rsidR="00247E9B" w:rsidRPr="001F7FF3" w14:paraId="6830373F" w14:textId="77777777" w:rsidTr="008F497C">
        <w:tc>
          <w:tcPr>
            <w:tcW w:w="421" w:type="dxa"/>
          </w:tcPr>
          <w:p w14:paraId="58F2EE7D"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4.</w:t>
            </w:r>
          </w:p>
        </w:tc>
        <w:tc>
          <w:tcPr>
            <w:tcW w:w="8498" w:type="dxa"/>
          </w:tcPr>
          <w:p w14:paraId="7AB40BA8"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Zonas de implementación de los proyectos.</w:t>
            </w:r>
          </w:p>
        </w:tc>
      </w:tr>
      <w:tr w:rsidR="00247E9B" w:rsidRPr="001F7FF3" w14:paraId="087FDA5D" w14:textId="77777777" w:rsidTr="008F497C">
        <w:tc>
          <w:tcPr>
            <w:tcW w:w="421" w:type="dxa"/>
          </w:tcPr>
          <w:p w14:paraId="1CC4589C"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5.</w:t>
            </w:r>
          </w:p>
        </w:tc>
        <w:tc>
          <w:tcPr>
            <w:tcW w:w="8498" w:type="dxa"/>
          </w:tcPr>
          <w:p w14:paraId="338821A7"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Monto del proyecto.</w:t>
            </w:r>
          </w:p>
        </w:tc>
      </w:tr>
      <w:tr w:rsidR="00247E9B" w:rsidRPr="001F7FF3" w14:paraId="055AF6A0" w14:textId="77777777" w:rsidTr="008F497C">
        <w:tc>
          <w:tcPr>
            <w:tcW w:w="421" w:type="dxa"/>
          </w:tcPr>
          <w:p w14:paraId="2BE8DB55"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6.</w:t>
            </w:r>
          </w:p>
        </w:tc>
        <w:tc>
          <w:tcPr>
            <w:tcW w:w="8498" w:type="dxa"/>
          </w:tcPr>
          <w:p w14:paraId="1F33128A"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Fechas de ejecución de los proyectos.</w:t>
            </w:r>
          </w:p>
        </w:tc>
      </w:tr>
      <w:tr w:rsidR="00247E9B" w:rsidRPr="001F7FF3" w14:paraId="5F6BC374" w14:textId="77777777" w:rsidTr="008F497C">
        <w:tc>
          <w:tcPr>
            <w:tcW w:w="421" w:type="dxa"/>
          </w:tcPr>
          <w:p w14:paraId="0DB41E56"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7.</w:t>
            </w:r>
          </w:p>
        </w:tc>
        <w:tc>
          <w:tcPr>
            <w:tcW w:w="8498" w:type="dxa"/>
          </w:tcPr>
          <w:p w14:paraId="51FC8449" w14:textId="77777777" w:rsidR="00247E9B" w:rsidRPr="001F7FF3" w:rsidRDefault="00247E9B" w:rsidP="009D291F">
            <w:pPr>
              <w:jc w:val="both"/>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Cuentan con los documentos de propuesta y reportes suficientes y necesarios para llevar a cabo la evaluación.</w:t>
            </w:r>
          </w:p>
        </w:tc>
      </w:tr>
    </w:tbl>
    <w:p w14:paraId="4436184D" w14:textId="3738FBD9" w:rsidR="00247E9B" w:rsidRPr="001F7FF3" w:rsidRDefault="00247E9B"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Los 10 proyectos seleccionados como resultado de la aplicación de los criterios representan los objetivos y las estrategias del Portafolio como se puede ver en la ilustración a continuación. Estos proyectos suman un total de $18.311.985 USD, ejecutados, es decir, el 62% del total de los fondos, aun cuando se escogieron proyectos de diferentes montos, en un rango desde 300 mil dólares a 4.717.416 USD. Esta es una muestra significativa debido a que corresponde a más de la mitad de los fondos ejecutados. </w:t>
      </w:r>
    </w:p>
    <w:p w14:paraId="202272C6" w14:textId="1CC61B28" w:rsidR="00247E9B" w:rsidRPr="001F7FF3" w:rsidRDefault="00247E9B" w:rsidP="009D291F">
      <w:pPr>
        <w:spacing w:before="240" w:after="240"/>
        <w:jc w:val="both"/>
        <w:rPr>
          <w:rFonts w:ascii="Century Gothic" w:eastAsia="Century Gothic" w:hAnsi="Century Gothic" w:cs="Century Gothic"/>
          <w:sz w:val="20"/>
          <w:szCs w:val="20"/>
        </w:rPr>
      </w:pPr>
    </w:p>
    <w:p w14:paraId="69A349B2" w14:textId="568534D6" w:rsidR="00F75091" w:rsidRPr="001F7FF3" w:rsidRDefault="00F75091" w:rsidP="009D291F">
      <w:pPr>
        <w:spacing w:before="240" w:after="240"/>
        <w:jc w:val="both"/>
        <w:rPr>
          <w:rFonts w:ascii="Century Gothic" w:eastAsia="Century Gothic" w:hAnsi="Century Gothic" w:cs="Century Gothic"/>
          <w:sz w:val="20"/>
          <w:szCs w:val="20"/>
        </w:rPr>
      </w:pPr>
      <w:r w:rsidRPr="001F7FF3">
        <w:rPr>
          <w:rFonts w:ascii="Century Gothic" w:hAnsi="Century Gothic"/>
          <w:noProof/>
          <w:sz w:val="20"/>
          <w:szCs w:val="20"/>
        </w:rPr>
        <w:lastRenderedPageBreak/>
        <w:drawing>
          <wp:anchor distT="0" distB="0" distL="114300" distR="114300" simplePos="0" relativeHeight="251699200" behindDoc="0" locked="0" layoutInCell="1" allowOverlap="1" wp14:anchorId="063A9E8A" wp14:editId="5F7926D9">
            <wp:simplePos x="0" y="0"/>
            <wp:positionH relativeFrom="column">
              <wp:posOffset>773827</wp:posOffset>
            </wp:positionH>
            <wp:positionV relativeFrom="paragraph">
              <wp:posOffset>204500</wp:posOffset>
            </wp:positionV>
            <wp:extent cx="3976370" cy="3812540"/>
            <wp:effectExtent l="0" t="0" r="5080" b="0"/>
            <wp:wrapSquare wrapText="bothSides"/>
            <wp:docPr id="3" name="image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Chart&#10;&#10;Description automatically generated"/>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3976370" cy="3812540"/>
                    </a:xfrm>
                    <a:prstGeom prst="rect">
                      <a:avLst/>
                    </a:prstGeom>
                    <a:ln/>
                  </pic:spPr>
                </pic:pic>
              </a:graphicData>
            </a:graphic>
            <wp14:sizeRelH relativeFrom="page">
              <wp14:pctWidth>0</wp14:pctWidth>
            </wp14:sizeRelH>
            <wp14:sizeRelV relativeFrom="page">
              <wp14:pctHeight>0</wp14:pctHeight>
            </wp14:sizeRelV>
          </wp:anchor>
        </w:drawing>
      </w:r>
      <w:r w:rsidRPr="001F7FF3">
        <w:rPr>
          <w:noProof/>
        </w:rPr>
        <mc:AlternateContent>
          <mc:Choice Requires="wps">
            <w:drawing>
              <wp:anchor distT="0" distB="0" distL="114300" distR="114300" simplePos="0" relativeHeight="251707392" behindDoc="0" locked="0" layoutInCell="1" allowOverlap="1" wp14:anchorId="673C3934" wp14:editId="124AC574">
                <wp:simplePos x="0" y="0"/>
                <wp:positionH relativeFrom="column">
                  <wp:posOffset>697230</wp:posOffset>
                </wp:positionH>
                <wp:positionV relativeFrom="paragraph">
                  <wp:posOffset>0</wp:posOffset>
                </wp:positionV>
                <wp:extent cx="3976370" cy="179070"/>
                <wp:effectExtent l="0" t="0" r="508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976370" cy="179070"/>
                        </a:xfrm>
                        <a:prstGeom prst="rect">
                          <a:avLst/>
                        </a:prstGeom>
                        <a:solidFill>
                          <a:prstClr val="white"/>
                        </a:solidFill>
                        <a:ln>
                          <a:noFill/>
                        </a:ln>
                      </wps:spPr>
                      <wps:txbx>
                        <w:txbxContent>
                          <w:p w14:paraId="5FCC55B2" w14:textId="61908A5B" w:rsidR="00F75091" w:rsidRPr="00F75091" w:rsidRDefault="00F75091" w:rsidP="00F75091">
                            <w:pPr>
                              <w:pStyle w:val="Descripcin"/>
                              <w:rPr>
                                <w:rFonts w:ascii="Century Gothic" w:eastAsia="Calibri" w:hAnsi="Century Gothic" w:cs="Calibri"/>
                                <w:sz w:val="20"/>
                                <w:szCs w:val="20"/>
                                <w:lang w:val="es-CO" w:eastAsia="es-CO"/>
                              </w:rPr>
                            </w:pPr>
                            <w:bookmarkStart w:id="28" w:name="_Toc117527924"/>
                            <w:r w:rsidRPr="00F75091">
                              <w:rPr>
                                <w:rFonts w:ascii="Century Gothic" w:hAnsi="Century Gothic"/>
                                <w:lang w:val="es-CO"/>
                              </w:rPr>
                              <w:t xml:space="preserve">Tabla </w:t>
                            </w:r>
                            <w:r w:rsidRPr="00F75091">
                              <w:rPr>
                                <w:rFonts w:ascii="Century Gothic" w:hAnsi="Century Gothic"/>
                                <w:lang w:val="es-CO"/>
                              </w:rPr>
                              <w:fldChar w:fldCharType="begin"/>
                            </w:r>
                            <w:r w:rsidRPr="00F75091">
                              <w:rPr>
                                <w:rFonts w:ascii="Century Gothic" w:hAnsi="Century Gothic"/>
                                <w:lang w:val="es-CO"/>
                              </w:rPr>
                              <w:instrText xml:space="preserve"> SEQ Tabla \* ARABIC </w:instrText>
                            </w:r>
                            <w:r w:rsidRPr="00F75091">
                              <w:rPr>
                                <w:rFonts w:ascii="Century Gothic" w:hAnsi="Century Gothic"/>
                                <w:lang w:val="es-CO"/>
                              </w:rPr>
                              <w:fldChar w:fldCharType="separate"/>
                            </w:r>
                            <w:r w:rsidR="001F7FF3">
                              <w:rPr>
                                <w:rFonts w:ascii="Century Gothic" w:hAnsi="Century Gothic"/>
                                <w:noProof/>
                                <w:lang w:val="es-CO"/>
                              </w:rPr>
                              <w:t>3</w:t>
                            </w:r>
                            <w:r w:rsidRPr="00F75091">
                              <w:rPr>
                                <w:rFonts w:ascii="Century Gothic" w:hAnsi="Century Gothic"/>
                                <w:lang w:val="es-CO"/>
                              </w:rPr>
                              <w:fldChar w:fldCharType="end"/>
                            </w:r>
                            <w:r w:rsidRPr="00F75091">
                              <w:rPr>
                                <w:rFonts w:ascii="Century Gothic" w:hAnsi="Century Gothic"/>
                                <w:lang w:val="es-CO"/>
                              </w:rPr>
                              <w:t>. Muestra de proyectos seleccionados</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C3934" id="Cuadro de texto 9" o:spid="_x0000_s1031" type="#_x0000_t202" style="position:absolute;left:0;text-align:left;margin-left:54.9pt;margin-top:0;width:313.1pt;height:14.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" stroked="f">
                <v:textbox inset="0,0,0,0">
                  <w:txbxContent>
                    <w:p w14:paraId="5FCC55B2" w14:textId="61908A5B" w:rsidR="00F75091" w:rsidRPr="00F75091" w:rsidRDefault="00F75091" w:rsidP="00F75091">
                      <w:pPr>
                        <w:pStyle w:val="Descripcin"/>
                        <w:rPr>
                          <w:rFonts w:ascii="Century Gothic" w:eastAsia="Calibri" w:hAnsi="Century Gothic" w:cs="Calibri"/>
                          <w:sz w:val="20"/>
                          <w:szCs w:val="20"/>
                          <w:lang w:val="es-CO" w:eastAsia="es-CO"/>
                        </w:rPr>
                      </w:pPr>
                      <w:bookmarkStart w:id="29" w:name="_Toc117527924"/>
                      <w:r w:rsidRPr="00F75091">
                        <w:rPr>
                          <w:rFonts w:ascii="Century Gothic" w:hAnsi="Century Gothic"/>
                          <w:lang w:val="es-CO"/>
                        </w:rPr>
                        <w:t xml:space="preserve">Tabla </w:t>
                      </w:r>
                      <w:r w:rsidRPr="00F75091">
                        <w:rPr>
                          <w:rFonts w:ascii="Century Gothic" w:hAnsi="Century Gothic"/>
                          <w:lang w:val="es-CO"/>
                        </w:rPr>
                        <w:fldChar w:fldCharType="begin"/>
                      </w:r>
                      <w:r w:rsidRPr="00F75091">
                        <w:rPr>
                          <w:rFonts w:ascii="Century Gothic" w:hAnsi="Century Gothic"/>
                          <w:lang w:val="es-CO"/>
                        </w:rPr>
                        <w:instrText xml:space="preserve"> SEQ Tabla \* ARABIC </w:instrText>
                      </w:r>
                      <w:r w:rsidRPr="00F75091">
                        <w:rPr>
                          <w:rFonts w:ascii="Century Gothic" w:hAnsi="Century Gothic"/>
                          <w:lang w:val="es-CO"/>
                        </w:rPr>
                        <w:fldChar w:fldCharType="separate"/>
                      </w:r>
                      <w:r w:rsidR="001F7FF3">
                        <w:rPr>
                          <w:rFonts w:ascii="Century Gothic" w:hAnsi="Century Gothic"/>
                          <w:noProof/>
                          <w:lang w:val="es-CO"/>
                        </w:rPr>
                        <w:t>3</w:t>
                      </w:r>
                      <w:r w:rsidRPr="00F75091">
                        <w:rPr>
                          <w:rFonts w:ascii="Century Gothic" w:hAnsi="Century Gothic"/>
                          <w:lang w:val="es-CO"/>
                        </w:rPr>
                        <w:fldChar w:fldCharType="end"/>
                      </w:r>
                      <w:r w:rsidRPr="00F75091">
                        <w:rPr>
                          <w:rFonts w:ascii="Century Gothic" w:hAnsi="Century Gothic"/>
                          <w:lang w:val="es-CO"/>
                        </w:rPr>
                        <w:t>. Muestra de proyectos seleccionados</w:t>
                      </w:r>
                      <w:bookmarkEnd w:id="29"/>
                    </w:p>
                  </w:txbxContent>
                </v:textbox>
                <w10:wrap type="square"/>
              </v:shape>
            </w:pict>
          </mc:Fallback>
        </mc:AlternateContent>
      </w:r>
    </w:p>
    <w:p w14:paraId="7619212F" w14:textId="150E093D" w:rsidR="00247E9B" w:rsidRPr="001F7FF3" w:rsidRDefault="00247E9B" w:rsidP="009D291F">
      <w:pPr>
        <w:spacing w:before="240" w:after="240"/>
        <w:jc w:val="both"/>
        <w:rPr>
          <w:rFonts w:ascii="Century Gothic" w:eastAsia="Century Gothic" w:hAnsi="Century Gothic" w:cs="Century Gothic"/>
          <w:color w:val="FF0000"/>
          <w:sz w:val="20"/>
          <w:szCs w:val="20"/>
        </w:rPr>
      </w:pPr>
    </w:p>
    <w:p w14:paraId="3D1AF0E6" w14:textId="77777777" w:rsidR="00247E9B" w:rsidRPr="001F7FF3" w:rsidRDefault="00247E9B" w:rsidP="009D291F">
      <w:pPr>
        <w:jc w:val="both"/>
        <w:rPr>
          <w:rFonts w:ascii="Century Gothic" w:hAnsi="Century Gothic"/>
          <w:sz w:val="20"/>
          <w:szCs w:val="20"/>
        </w:rPr>
      </w:pPr>
    </w:p>
    <w:p w14:paraId="4D9885E4" w14:textId="77777777" w:rsidR="00247E9B" w:rsidRPr="001F7FF3" w:rsidRDefault="00247E9B" w:rsidP="009D291F">
      <w:pPr>
        <w:jc w:val="both"/>
        <w:rPr>
          <w:rFonts w:ascii="Century Gothic" w:hAnsi="Century Gothic"/>
          <w:sz w:val="20"/>
          <w:szCs w:val="20"/>
        </w:rPr>
      </w:pPr>
    </w:p>
    <w:p w14:paraId="6F55499A" w14:textId="6DCC298A" w:rsidR="00247E9B" w:rsidRPr="001F7FF3" w:rsidRDefault="00247E9B" w:rsidP="009D291F">
      <w:pPr>
        <w:jc w:val="both"/>
        <w:rPr>
          <w:rFonts w:ascii="Century Gothic" w:hAnsi="Century Gothic"/>
          <w:sz w:val="20"/>
          <w:szCs w:val="20"/>
        </w:rPr>
      </w:pPr>
    </w:p>
    <w:p w14:paraId="35F5879E" w14:textId="77777777" w:rsidR="00247E9B" w:rsidRPr="001F7FF3" w:rsidRDefault="00247E9B" w:rsidP="009D291F">
      <w:pPr>
        <w:jc w:val="both"/>
        <w:rPr>
          <w:rFonts w:ascii="Century Gothic" w:hAnsi="Century Gothic"/>
          <w:sz w:val="20"/>
          <w:szCs w:val="20"/>
        </w:rPr>
      </w:pPr>
    </w:p>
    <w:p w14:paraId="276076D1" w14:textId="524ED2D5" w:rsidR="00247E9B" w:rsidRPr="001F7FF3" w:rsidRDefault="00247E9B" w:rsidP="009D291F">
      <w:pPr>
        <w:jc w:val="both"/>
        <w:rPr>
          <w:rFonts w:ascii="Century Gothic" w:hAnsi="Century Gothic"/>
          <w:sz w:val="20"/>
          <w:szCs w:val="20"/>
        </w:rPr>
      </w:pPr>
    </w:p>
    <w:p w14:paraId="3ABAEF2A" w14:textId="77777777" w:rsidR="00247E9B" w:rsidRPr="001F7FF3" w:rsidRDefault="00247E9B" w:rsidP="009D291F">
      <w:pPr>
        <w:jc w:val="both"/>
        <w:rPr>
          <w:rFonts w:ascii="Century Gothic" w:hAnsi="Century Gothic"/>
          <w:sz w:val="20"/>
          <w:szCs w:val="20"/>
        </w:rPr>
      </w:pPr>
    </w:p>
    <w:p w14:paraId="307603C9" w14:textId="6DB3164E" w:rsidR="00247E9B" w:rsidRPr="001F7FF3" w:rsidRDefault="00247E9B" w:rsidP="009D291F">
      <w:pPr>
        <w:jc w:val="both"/>
        <w:rPr>
          <w:rFonts w:ascii="Century Gothic" w:hAnsi="Century Gothic"/>
          <w:sz w:val="20"/>
          <w:szCs w:val="20"/>
        </w:rPr>
      </w:pPr>
    </w:p>
    <w:p w14:paraId="3A7C1494" w14:textId="77777777" w:rsidR="00247E9B" w:rsidRPr="001F7FF3" w:rsidRDefault="00247E9B" w:rsidP="009D291F">
      <w:pPr>
        <w:jc w:val="both"/>
        <w:rPr>
          <w:rFonts w:ascii="Century Gothic" w:hAnsi="Century Gothic"/>
          <w:sz w:val="20"/>
          <w:szCs w:val="20"/>
        </w:rPr>
      </w:pPr>
    </w:p>
    <w:p w14:paraId="452E5472" w14:textId="70093B64" w:rsidR="00247E9B" w:rsidRPr="001F7FF3" w:rsidRDefault="00247E9B" w:rsidP="009D291F">
      <w:pPr>
        <w:jc w:val="both"/>
        <w:rPr>
          <w:rFonts w:ascii="Century Gothic" w:hAnsi="Century Gothic"/>
          <w:sz w:val="20"/>
          <w:szCs w:val="20"/>
        </w:rPr>
      </w:pPr>
    </w:p>
    <w:p w14:paraId="1D6A7BB9" w14:textId="53AB11DD" w:rsidR="00247E9B" w:rsidRPr="001F7FF3" w:rsidRDefault="00247E9B" w:rsidP="009D291F">
      <w:pPr>
        <w:jc w:val="both"/>
        <w:rPr>
          <w:rFonts w:ascii="Century Gothic" w:hAnsi="Century Gothic"/>
          <w:sz w:val="20"/>
          <w:szCs w:val="20"/>
        </w:rPr>
      </w:pPr>
    </w:p>
    <w:p w14:paraId="191927AD" w14:textId="77777777" w:rsidR="00247E9B" w:rsidRPr="001F7FF3" w:rsidRDefault="00247E9B" w:rsidP="009D291F">
      <w:pPr>
        <w:jc w:val="both"/>
        <w:rPr>
          <w:rFonts w:ascii="Century Gothic" w:hAnsi="Century Gothic"/>
          <w:sz w:val="20"/>
          <w:szCs w:val="20"/>
        </w:rPr>
      </w:pPr>
    </w:p>
    <w:p w14:paraId="7513C58D" w14:textId="09560A60" w:rsidR="00247E9B" w:rsidRPr="001F7FF3" w:rsidRDefault="00247E9B" w:rsidP="009D291F">
      <w:pPr>
        <w:jc w:val="both"/>
        <w:rPr>
          <w:rFonts w:ascii="Century Gothic" w:hAnsi="Century Gothic"/>
          <w:sz w:val="20"/>
          <w:szCs w:val="20"/>
        </w:rPr>
      </w:pPr>
    </w:p>
    <w:p w14:paraId="44D8AE76" w14:textId="31F92B18" w:rsidR="00247E9B" w:rsidRPr="001F7FF3" w:rsidRDefault="00247E9B" w:rsidP="009D291F">
      <w:pPr>
        <w:jc w:val="both"/>
        <w:rPr>
          <w:rFonts w:ascii="Century Gothic" w:hAnsi="Century Gothic"/>
          <w:sz w:val="20"/>
          <w:szCs w:val="20"/>
        </w:rPr>
      </w:pPr>
    </w:p>
    <w:p w14:paraId="3EF6FF20" w14:textId="6E79B92E" w:rsidR="00247E9B" w:rsidRPr="001F7FF3" w:rsidRDefault="00247E9B" w:rsidP="009D291F">
      <w:pPr>
        <w:jc w:val="both"/>
        <w:rPr>
          <w:rFonts w:ascii="Century Gothic" w:hAnsi="Century Gothic"/>
          <w:sz w:val="20"/>
          <w:szCs w:val="20"/>
        </w:rPr>
      </w:pPr>
    </w:p>
    <w:p w14:paraId="4EC20575" w14:textId="46567D72" w:rsidR="00247E9B" w:rsidRPr="001F7FF3" w:rsidRDefault="00247E9B" w:rsidP="009D291F">
      <w:pPr>
        <w:jc w:val="both"/>
        <w:rPr>
          <w:rFonts w:ascii="Century Gothic" w:hAnsi="Century Gothic"/>
          <w:sz w:val="20"/>
          <w:szCs w:val="20"/>
        </w:rPr>
      </w:pPr>
    </w:p>
    <w:p w14:paraId="7F176151" w14:textId="1C104F5B" w:rsidR="00247E9B" w:rsidRPr="001F7FF3" w:rsidRDefault="00247E9B" w:rsidP="009D291F">
      <w:pPr>
        <w:jc w:val="both"/>
        <w:rPr>
          <w:rFonts w:ascii="Century Gothic" w:hAnsi="Century Gothic"/>
          <w:sz w:val="20"/>
          <w:szCs w:val="20"/>
        </w:rPr>
      </w:pPr>
    </w:p>
    <w:p w14:paraId="38C105F0" w14:textId="42AC9A67" w:rsidR="00247E9B" w:rsidRPr="001F7FF3" w:rsidRDefault="00247E9B" w:rsidP="009D291F">
      <w:pPr>
        <w:jc w:val="both"/>
        <w:rPr>
          <w:rFonts w:ascii="Century Gothic" w:hAnsi="Century Gothic"/>
          <w:sz w:val="20"/>
          <w:szCs w:val="20"/>
        </w:rPr>
      </w:pPr>
    </w:p>
    <w:p w14:paraId="72AC3975" w14:textId="6DA1886A" w:rsidR="00247E9B" w:rsidRPr="001F7FF3" w:rsidRDefault="00247E9B" w:rsidP="009D291F">
      <w:pPr>
        <w:jc w:val="both"/>
        <w:rPr>
          <w:rFonts w:ascii="Century Gothic" w:hAnsi="Century Gothic"/>
          <w:sz w:val="20"/>
          <w:szCs w:val="20"/>
        </w:rPr>
      </w:pPr>
    </w:p>
    <w:p w14:paraId="178F7C22" w14:textId="77777777" w:rsidR="003F3D1B" w:rsidRPr="001F7FF3" w:rsidRDefault="003F3D1B" w:rsidP="009D291F">
      <w:pPr>
        <w:jc w:val="both"/>
        <w:rPr>
          <w:rFonts w:ascii="Century Gothic" w:hAnsi="Century Gothic"/>
          <w:sz w:val="20"/>
          <w:szCs w:val="20"/>
        </w:rPr>
      </w:pPr>
    </w:p>
    <w:p w14:paraId="09FD9168" w14:textId="5985B168" w:rsidR="00D51DA8" w:rsidRPr="001F7FF3" w:rsidRDefault="00D51DA8" w:rsidP="009D291F">
      <w:pPr>
        <w:jc w:val="both"/>
        <w:rPr>
          <w:rFonts w:ascii="Century Gothic" w:hAnsi="Century Gothic"/>
          <w:sz w:val="20"/>
          <w:szCs w:val="20"/>
        </w:rPr>
      </w:pPr>
    </w:p>
    <w:p w14:paraId="78F3BA72" w14:textId="3944952F" w:rsidR="00F75091" w:rsidRPr="001F7FF3" w:rsidRDefault="00F75091" w:rsidP="009D291F">
      <w:pPr>
        <w:jc w:val="both"/>
        <w:rPr>
          <w:rFonts w:ascii="Century Gothic" w:hAnsi="Century Gothic"/>
          <w:sz w:val="20"/>
          <w:szCs w:val="20"/>
        </w:rPr>
      </w:pPr>
    </w:p>
    <w:p w14:paraId="171C09F6" w14:textId="77777777" w:rsidR="00F75091" w:rsidRPr="001F7FF3" w:rsidRDefault="00F75091" w:rsidP="009D291F">
      <w:pPr>
        <w:jc w:val="both"/>
        <w:rPr>
          <w:rFonts w:ascii="Century Gothic" w:hAnsi="Century Gothic"/>
          <w:sz w:val="20"/>
          <w:szCs w:val="20"/>
        </w:rPr>
      </w:pPr>
    </w:p>
    <w:p w14:paraId="0B436397" w14:textId="77777777" w:rsidR="00F75091" w:rsidRPr="001F7FF3" w:rsidRDefault="00F75091" w:rsidP="009D291F">
      <w:pPr>
        <w:jc w:val="both"/>
        <w:rPr>
          <w:rFonts w:ascii="Century Gothic" w:hAnsi="Century Gothic"/>
          <w:sz w:val="20"/>
          <w:szCs w:val="20"/>
        </w:rPr>
      </w:pPr>
    </w:p>
    <w:p w14:paraId="68FB2C23" w14:textId="7BAFC0F8" w:rsidR="00245CD3" w:rsidRPr="001F7FF3" w:rsidRDefault="00245CD3" w:rsidP="009D291F">
      <w:pPr>
        <w:jc w:val="both"/>
        <w:rPr>
          <w:rFonts w:ascii="Century Gothic" w:hAnsi="Century Gothic"/>
          <w:sz w:val="20"/>
          <w:szCs w:val="20"/>
        </w:rPr>
      </w:pPr>
      <w:r w:rsidRPr="001F7FF3">
        <w:rPr>
          <w:rFonts w:ascii="Century Gothic" w:hAnsi="Century Gothic"/>
          <w:sz w:val="20"/>
          <w:szCs w:val="20"/>
        </w:rPr>
        <w:t xml:space="preserve">Como se evidencia en la </w:t>
      </w:r>
      <w:r w:rsidR="00F75091" w:rsidRPr="001F7FF3">
        <w:rPr>
          <w:rFonts w:ascii="Century Gothic" w:hAnsi="Century Gothic"/>
          <w:sz w:val="20"/>
          <w:szCs w:val="20"/>
        </w:rPr>
        <w:t>tabla 3 la</w:t>
      </w:r>
      <w:r w:rsidRPr="001F7FF3">
        <w:rPr>
          <w:rFonts w:ascii="Century Gothic" w:hAnsi="Century Gothic"/>
          <w:sz w:val="20"/>
          <w:szCs w:val="20"/>
        </w:rPr>
        <w:t xml:space="preserve"> muestra incluyó proyectos de outputs del PJT y proyectos independientes del portafolio. Esta inclusión fue clave para garantizar un mayor alcance en términos de análisis de la evaluación. </w:t>
      </w:r>
    </w:p>
    <w:p w14:paraId="5668BCDB" w14:textId="3BFF0F0E" w:rsidR="0047412B" w:rsidRPr="001F7FF3" w:rsidRDefault="0047412B" w:rsidP="009D291F">
      <w:pPr>
        <w:jc w:val="both"/>
        <w:rPr>
          <w:rFonts w:ascii="Century Gothic" w:hAnsi="Century Gothic"/>
          <w:sz w:val="20"/>
          <w:szCs w:val="20"/>
        </w:rPr>
      </w:pPr>
    </w:p>
    <w:p w14:paraId="69782119" w14:textId="083A2847" w:rsidR="007F6F80" w:rsidRPr="001F7FF3" w:rsidRDefault="0047412B" w:rsidP="009D291F">
      <w:pPr>
        <w:jc w:val="both"/>
        <w:rPr>
          <w:rFonts w:ascii="Century Gothic" w:hAnsi="Century Gothic"/>
          <w:sz w:val="20"/>
          <w:szCs w:val="20"/>
        </w:rPr>
      </w:pPr>
      <w:r w:rsidRPr="001F7FF3">
        <w:rPr>
          <w:rFonts w:ascii="Century Gothic" w:hAnsi="Century Gothic"/>
          <w:sz w:val="20"/>
          <w:szCs w:val="20"/>
        </w:rPr>
        <w:t>Resulta pertinente aclarar que, a solicitud del PNUD</w:t>
      </w:r>
      <w:r w:rsidR="00E67A6D" w:rsidRPr="001F7FF3">
        <w:rPr>
          <w:rFonts w:ascii="Century Gothic" w:hAnsi="Century Gothic"/>
          <w:sz w:val="20"/>
          <w:szCs w:val="20"/>
        </w:rPr>
        <w:t>,</w:t>
      </w:r>
      <w:r w:rsidRPr="001F7FF3">
        <w:rPr>
          <w:rFonts w:ascii="Century Gothic" w:hAnsi="Century Gothic"/>
          <w:sz w:val="20"/>
          <w:szCs w:val="20"/>
        </w:rPr>
        <w:t xml:space="preserve"> </w:t>
      </w:r>
      <w:r w:rsidR="00E67A6D" w:rsidRPr="001F7FF3">
        <w:rPr>
          <w:rFonts w:ascii="Century Gothic" w:hAnsi="Century Gothic"/>
          <w:sz w:val="20"/>
          <w:szCs w:val="20"/>
        </w:rPr>
        <w:t>los proyectos atados al resultado estratégico de reparaciones colectivas contaron</w:t>
      </w:r>
      <w:r w:rsidRPr="001F7FF3">
        <w:rPr>
          <w:rFonts w:ascii="Century Gothic" w:hAnsi="Century Gothic"/>
          <w:sz w:val="20"/>
          <w:szCs w:val="20"/>
        </w:rPr>
        <w:t xml:space="preserve"> con una evaluación particular, que a su vez se recoge en la evaluación del PJT en general. Dicha </w:t>
      </w:r>
      <w:r w:rsidR="00E67A6D" w:rsidRPr="001F7FF3">
        <w:rPr>
          <w:rFonts w:ascii="Century Gothic" w:hAnsi="Century Gothic"/>
          <w:sz w:val="20"/>
          <w:szCs w:val="20"/>
        </w:rPr>
        <w:t xml:space="preserve">evaluación fue conducida por LPIC y a diferencia de la evaluación del PJT, realizó visitas a campo </w:t>
      </w:r>
      <w:r w:rsidR="00C706F5" w:rsidRPr="001F7FF3">
        <w:rPr>
          <w:rFonts w:ascii="Century Gothic" w:hAnsi="Century Gothic" w:cs="Century Gothic"/>
          <w:sz w:val="20"/>
          <w:szCs w:val="20"/>
        </w:rPr>
        <w:t>a Apartadó, Urabá Antioqueño y otro a San Jacinto, Bolívar</w:t>
      </w:r>
      <w:r w:rsidR="00E67A6D" w:rsidRPr="001F7FF3">
        <w:rPr>
          <w:rFonts w:ascii="Century Gothic" w:hAnsi="Century Gothic"/>
          <w:sz w:val="20"/>
          <w:szCs w:val="20"/>
        </w:rPr>
        <w:t xml:space="preserve">. Los hallazgos de dicha evaluación fueron utilizados como parte del análisis para el desarrollo de los hallazgos, lecciones aprendidas, buenas prácticas y recomendaciones.  </w:t>
      </w:r>
    </w:p>
    <w:p w14:paraId="00000117" w14:textId="3FB5CF0C" w:rsidR="00F1064E" w:rsidRPr="001F7FF3" w:rsidRDefault="00245CD3" w:rsidP="009D291F">
      <w:pPr>
        <w:pBdr>
          <w:top w:val="nil"/>
          <w:left w:val="nil"/>
          <w:bottom w:val="nil"/>
          <w:right w:val="nil"/>
          <w:between w:val="nil"/>
        </w:pBdr>
        <w:spacing w:before="240" w:after="240"/>
        <w:ind w:left="720" w:right="113"/>
        <w:jc w:val="both"/>
        <w:rPr>
          <w:rFonts w:ascii="Century Gothic" w:eastAsia="Century Gothic" w:hAnsi="Century Gothic" w:cs="Century Gothic"/>
          <w:b/>
          <w:color w:val="2C4F8E"/>
          <w:sz w:val="20"/>
          <w:szCs w:val="20"/>
        </w:rPr>
      </w:pPr>
      <w:r w:rsidRPr="001F7FF3">
        <w:rPr>
          <w:rFonts w:ascii="Century Gothic" w:eastAsia="Century Gothic" w:hAnsi="Century Gothic" w:cs="Century Gothic"/>
          <w:b/>
          <w:color w:val="2C4F8E"/>
          <w:sz w:val="20"/>
          <w:szCs w:val="20"/>
        </w:rPr>
        <w:t xml:space="preserve">Recolección de información </w:t>
      </w:r>
    </w:p>
    <w:p w14:paraId="0802534C" w14:textId="4660EF41" w:rsidR="00F12554" w:rsidRPr="001F7FF3" w:rsidRDefault="00F12554" w:rsidP="009D291F">
      <w:pPr>
        <w:jc w:val="both"/>
        <w:rPr>
          <w:rFonts w:ascii="Century Gothic" w:hAnsi="Century Gothic"/>
          <w:sz w:val="20"/>
          <w:szCs w:val="20"/>
        </w:rPr>
      </w:pPr>
      <w:r w:rsidRPr="001F7FF3">
        <w:rPr>
          <w:rFonts w:ascii="Century Gothic" w:eastAsia="Century Gothic" w:hAnsi="Century Gothic" w:cs="Century Gothic"/>
          <w:sz w:val="20"/>
          <w:szCs w:val="20"/>
        </w:rPr>
        <w:t>Para el desarrollo de la evaluación, en la fase de escritorio s</w:t>
      </w:r>
      <w:r w:rsidRPr="001F7FF3">
        <w:rPr>
          <w:rFonts w:ascii="Century Gothic" w:hAnsi="Century Gothic"/>
          <w:sz w:val="20"/>
          <w:szCs w:val="20"/>
        </w:rPr>
        <w:t xml:space="preserve">e revisaron los documentos sugeridos en los ToR de la evaluación, así como los documentos programáticos y de cada uno de los proyectos de la muestra seleccionada </w:t>
      </w:r>
      <w:r w:rsidR="001C47AD" w:rsidRPr="001F7FF3">
        <w:rPr>
          <w:rFonts w:ascii="Century Gothic" w:hAnsi="Century Gothic"/>
          <w:sz w:val="20"/>
          <w:szCs w:val="20"/>
        </w:rPr>
        <w:t>proporcion</w:t>
      </w:r>
      <w:r w:rsidRPr="001F7FF3">
        <w:rPr>
          <w:rFonts w:ascii="Century Gothic" w:hAnsi="Century Gothic"/>
          <w:sz w:val="20"/>
          <w:szCs w:val="20"/>
        </w:rPr>
        <w:t>ados por PNUD. En total, se revisaron 30 documentos de proyectos distribuidos</w:t>
      </w:r>
      <w:r w:rsidR="001C47AD" w:rsidRPr="001F7FF3">
        <w:rPr>
          <w:rFonts w:ascii="Century Gothic" w:hAnsi="Century Gothic"/>
          <w:sz w:val="20"/>
          <w:szCs w:val="20"/>
        </w:rPr>
        <w:t xml:space="preserve"> de la siguiente manera</w:t>
      </w:r>
      <w:r w:rsidRPr="001F7FF3">
        <w:rPr>
          <w:rFonts w:ascii="Century Gothic" w:hAnsi="Century Gothic"/>
          <w:sz w:val="20"/>
          <w:szCs w:val="20"/>
        </w:rPr>
        <w:t>:</w:t>
      </w:r>
    </w:p>
    <w:p w14:paraId="24C1574F" w14:textId="77777777" w:rsidR="00F12554" w:rsidRPr="001F7FF3" w:rsidRDefault="00F12554" w:rsidP="009D291F">
      <w:pPr>
        <w:jc w:val="both"/>
        <w:rPr>
          <w:rFonts w:ascii="Century Gothic" w:hAnsi="Century Gothic"/>
          <w:sz w:val="20"/>
          <w:szCs w:val="20"/>
        </w:rPr>
      </w:pPr>
    </w:p>
    <w:p w14:paraId="3F6AF847" w14:textId="4C0D7882" w:rsidR="00F75091" w:rsidRPr="001F7FF3" w:rsidRDefault="00F75091" w:rsidP="00F75091">
      <w:pPr>
        <w:pStyle w:val="Descripcin"/>
        <w:keepNext/>
        <w:rPr>
          <w:rFonts w:ascii="Century Gothic" w:hAnsi="Century Gothic"/>
          <w:lang w:val="es-CO"/>
        </w:rPr>
      </w:pPr>
      <w:bookmarkStart w:id="30" w:name="_Toc117527925"/>
      <w:r w:rsidRPr="001F7FF3">
        <w:rPr>
          <w:rFonts w:ascii="Century Gothic" w:hAnsi="Century Gothic"/>
          <w:lang w:val="es-CO"/>
        </w:rPr>
        <w:lastRenderedPageBreak/>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001F7FF3" w:rsidRPr="001F7FF3">
        <w:rPr>
          <w:rFonts w:ascii="Century Gothic" w:hAnsi="Century Gothic"/>
          <w:lang w:val="es-CO"/>
        </w:rPr>
        <w:t>4</w:t>
      </w:r>
      <w:r w:rsidRPr="001F7FF3">
        <w:rPr>
          <w:rFonts w:ascii="Century Gothic" w:hAnsi="Century Gothic"/>
          <w:lang w:val="es-CO"/>
        </w:rPr>
        <w:fldChar w:fldCharType="end"/>
      </w:r>
      <w:r w:rsidRPr="001F7FF3">
        <w:rPr>
          <w:rFonts w:ascii="Century Gothic" w:hAnsi="Century Gothic"/>
          <w:lang w:val="es-CO"/>
        </w:rPr>
        <w:t>. Relación de documentos consultados y analizados fase de escritorio</w:t>
      </w:r>
      <w:bookmarkEnd w:id="30"/>
    </w:p>
    <w:tbl>
      <w:tblPr>
        <w:tblpPr w:leftFromText="141" w:rightFromText="141" w:vertAnchor="text" w:horzAnchor="margin" w:tblpX="92" w:tblpY="-59"/>
        <w:tblW w:w="8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266"/>
      </w:tblGrid>
      <w:tr w:rsidR="00F12554" w:rsidRPr="001F7FF3" w14:paraId="74853C7C" w14:textId="77777777" w:rsidTr="007358F1">
        <w:trPr>
          <w:trHeight w:val="307"/>
        </w:trPr>
        <w:tc>
          <w:tcPr>
            <w:tcW w:w="4410" w:type="dxa"/>
            <w:shd w:val="clear" w:color="auto" w:fill="389B9D"/>
            <w:tcMar>
              <w:top w:w="100" w:type="dxa"/>
              <w:left w:w="100" w:type="dxa"/>
              <w:bottom w:w="100" w:type="dxa"/>
              <w:right w:w="100" w:type="dxa"/>
            </w:tcMar>
          </w:tcPr>
          <w:p w14:paraId="19CB79AD" w14:textId="77777777" w:rsidR="00F12554" w:rsidRPr="001F7FF3" w:rsidRDefault="00F12554" w:rsidP="007358F1">
            <w:pPr>
              <w:pStyle w:val="Descripcin"/>
              <w:spacing w:line="240" w:lineRule="auto"/>
              <w:rPr>
                <w:rFonts w:ascii="Century Gothic" w:hAnsi="Century Gothic"/>
                <w:color w:val="FFFFFF" w:themeColor="background1"/>
                <w:sz w:val="20"/>
                <w:szCs w:val="20"/>
                <w:lang w:val="es-CO"/>
              </w:rPr>
            </w:pPr>
            <w:r w:rsidRPr="001F7FF3">
              <w:rPr>
                <w:rFonts w:ascii="Century Gothic" w:hAnsi="Century Gothic"/>
                <w:color w:val="FFFFFF" w:themeColor="background1"/>
                <w:sz w:val="20"/>
                <w:szCs w:val="20"/>
                <w:lang w:val="es-CO"/>
              </w:rPr>
              <w:t>Proyecto</w:t>
            </w:r>
          </w:p>
        </w:tc>
        <w:tc>
          <w:tcPr>
            <w:tcW w:w="4266" w:type="dxa"/>
            <w:shd w:val="clear" w:color="auto" w:fill="389B9D"/>
            <w:tcMar>
              <w:top w:w="100" w:type="dxa"/>
              <w:left w:w="100" w:type="dxa"/>
              <w:bottom w:w="100" w:type="dxa"/>
              <w:right w:w="100" w:type="dxa"/>
            </w:tcMar>
          </w:tcPr>
          <w:p w14:paraId="2E0798FF" w14:textId="77777777" w:rsidR="00F12554" w:rsidRPr="001F7FF3" w:rsidRDefault="00F12554" w:rsidP="007358F1">
            <w:pPr>
              <w:pStyle w:val="Descripcin"/>
              <w:spacing w:line="240" w:lineRule="auto"/>
              <w:rPr>
                <w:rFonts w:ascii="Century Gothic" w:hAnsi="Century Gothic"/>
                <w:color w:val="FFFFFF" w:themeColor="background1"/>
                <w:sz w:val="20"/>
                <w:szCs w:val="20"/>
                <w:lang w:val="es-CO"/>
              </w:rPr>
            </w:pPr>
            <w:r w:rsidRPr="001F7FF3">
              <w:rPr>
                <w:rFonts w:ascii="Century Gothic" w:hAnsi="Century Gothic"/>
                <w:color w:val="FFFFFF" w:themeColor="background1"/>
                <w:sz w:val="20"/>
                <w:szCs w:val="20"/>
                <w:lang w:val="es-CO"/>
              </w:rPr>
              <w:t>Documentación suministrada por PNUD</w:t>
            </w:r>
          </w:p>
        </w:tc>
      </w:tr>
      <w:tr w:rsidR="00F12554" w:rsidRPr="001F7FF3" w14:paraId="22489549" w14:textId="77777777" w:rsidTr="007358F1">
        <w:trPr>
          <w:trHeight w:val="221"/>
        </w:trPr>
        <w:tc>
          <w:tcPr>
            <w:tcW w:w="4410" w:type="dxa"/>
            <w:shd w:val="clear" w:color="auto" w:fill="auto"/>
            <w:tcMar>
              <w:top w:w="100" w:type="dxa"/>
              <w:left w:w="100" w:type="dxa"/>
              <w:bottom w:w="100" w:type="dxa"/>
              <w:right w:w="100" w:type="dxa"/>
            </w:tcMar>
          </w:tcPr>
          <w:p w14:paraId="366E56AF"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UBDP (00109496)</w:t>
            </w:r>
          </w:p>
        </w:tc>
        <w:tc>
          <w:tcPr>
            <w:tcW w:w="4266" w:type="dxa"/>
            <w:shd w:val="clear" w:color="auto" w:fill="auto"/>
            <w:tcMar>
              <w:top w:w="100" w:type="dxa"/>
              <w:left w:w="100" w:type="dxa"/>
              <w:bottom w:w="100" w:type="dxa"/>
              <w:right w:w="100" w:type="dxa"/>
            </w:tcMar>
          </w:tcPr>
          <w:p w14:paraId="4200584F"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 xml:space="preserve">Prodoc,  Lecciones aprendidas e Informe final </w:t>
            </w:r>
          </w:p>
        </w:tc>
      </w:tr>
      <w:tr w:rsidR="00F12554" w:rsidRPr="001F7FF3" w14:paraId="5765D22F" w14:textId="77777777" w:rsidTr="007358F1">
        <w:trPr>
          <w:trHeight w:val="607"/>
        </w:trPr>
        <w:tc>
          <w:tcPr>
            <w:tcW w:w="4410" w:type="dxa"/>
            <w:shd w:val="clear" w:color="auto" w:fill="auto"/>
            <w:tcMar>
              <w:top w:w="100" w:type="dxa"/>
              <w:left w:w="100" w:type="dxa"/>
              <w:bottom w:w="100" w:type="dxa"/>
              <w:right w:w="100" w:type="dxa"/>
            </w:tcMar>
          </w:tcPr>
          <w:p w14:paraId="5593C90A"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Proyecto representación judicial I (98331 - 101700)</w:t>
            </w:r>
          </w:p>
        </w:tc>
        <w:tc>
          <w:tcPr>
            <w:tcW w:w="4266" w:type="dxa"/>
            <w:shd w:val="clear" w:color="auto" w:fill="auto"/>
            <w:tcMar>
              <w:top w:w="100" w:type="dxa"/>
              <w:left w:w="100" w:type="dxa"/>
              <w:bottom w:w="100" w:type="dxa"/>
              <w:right w:w="100" w:type="dxa"/>
            </w:tcMar>
          </w:tcPr>
          <w:p w14:paraId="21947554"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e informe final</w:t>
            </w:r>
          </w:p>
        </w:tc>
      </w:tr>
      <w:tr w:rsidR="00F12554" w:rsidRPr="001F7FF3" w14:paraId="05B8B61B" w14:textId="77777777" w:rsidTr="007358F1">
        <w:trPr>
          <w:trHeight w:val="67"/>
        </w:trPr>
        <w:tc>
          <w:tcPr>
            <w:tcW w:w="4410" w:type="dxa"/>
            <w:shd w:val="clear" w:color="auto" w:fill="auto"/>
            <w:tcMar>
              <w:top w:w="100" w:type="dxa"/>
              <w:left w:w="100" w:type="dxa"/>
              <w:bottom w:w="100" w:type="dxa"/>
              <w:right w:w="100" w:type="dxa"/>
            </w:tcMar>
          </w:tcPr>
          <w:p w14:paraId="783D3787"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Proyecto Protección SIVJRNR (00120784)</w:t>
            </w:r>
          </w:p>
        </w:tc>
        <w:tc>
          <w:tcPr>
            <w:tcW w:w="4266" w:type="dxa"/>
            <w:shd w:val="clear" w:color="auto" w:fill="auto"/>
            <w:tcMar>
              <w:top w:w="100" w:type="dxa"/>
              <w:left w:w="100" w:type="dxa"/>
              <w:bottom w:w="100" w:type="dxa"/>
              <w:right w:w="100" w:type="dxa"/>
            </w:tcMar>
          </w:tcPr>
          <w:p w14:paraId="5F8829CE" w14:textId="390E9282"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 xml:space="preserve">Prodoc, Informe final, y </w:t>
            </w:r>
            <w:r w:rsidR="00A04B59" w:rsidRPr="001F7FF3">
              <w:rPr>
                <w:rFonts w:ascii="Century Gothic" w:hAnsi="Century Gothic"/>
                <w:b w:val="0"/>
                <w:bCs/>
                <w:sz w:val="20"/>
                <w:szCs w:val="20"/>
                <w:lang w:val="es-CO"/>
              </w:rPr>
              <w:t>séptimo</w:t>
            </w:r>
            <w:r w:rsidRPr="001F7FF3">
              <w:rPr>
                <w:rFonts w:ascii="Century Gothic" w:hAnsi="Century Gothic"/>
                <w:b w:val="0"/>
                <w:bCs/>
                <w:sz w:val="20"/>
                <w:szCs w:val="20"/>
                <w:lang w:val="es-CO"/>
              </w:rPr>
              <w:t xml:space="preserve"> informe trimestral </w:t>
            </w:r>
          </w:p>
        </w:tc>
      </w:tr>
      <w:tr w:rsidR="00F12554" w:rsidRPr="001F7FF3" w14:paraId="72BC9A14" w14:textId="77777777" w:rsidTr="007358F1">
        <w:trPr>
          <w:trHeight w:val="70"/>
        </w:trPr>
        <w:tc>
          <w:tcPr>
            <w:tcW w:w="4410" w:type="dxa"/>
            <w:shd w:val="clear" w:color="auto" w:fill="auto"/>
            <w:tcMar>
              <w:top w:w="100" w:type="dxa"/>
              <w:left w:w="100" w:type="dxa"/>
              <w:bottom w:w="100" w:type="dxa"/>
              <w:right w:w="100" w:type="dxa"/>
            </w:tcMar>
          </w:tcPr>
          <w:p w14:paraId="1A2EDD5D"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Proyecto PJT (98331)</w:t>
            </w:r>
          </w:p>
        </w:tc>
        <w:tc>
          <w:tcPr>
            <w:tcW w:w="4266" w:type="dxa"/>
            <w:shd w:val="clear" w:color="auto" w:fill="auto"/>
            <w:tcMar>
              <w:top w:w="100" w:type="dxa"/>
              <w:left w:w="100" w:type="dxa"/>
              <w:bottom w:w="100" w:type="dxa"/>
              <w:right w:w="100" w:type="dxa"/>
            </w:tcMar>
          </w:tcPr>
          <w:p w14:paraId="12EEEB11"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e Informe anual PJT 2020</w:t>
            </w:r>
          </w:p>
        </w:tc>
      </w:tr>
      <w:tr w:rsidR="00F12554" w:rsidRPr="001F7FF3" w14:paraId="3E47905D" w14:textId="77777777" w:rsidTr="007358F1">
        <w:trPr>
          <w:trHeight w:val="441"/>
        </w:trPr>
        <w:tc>
          <w:tcPr>
            <w:tcW w:w="4410" w:type="dxa"/>
            <w:shd w:val="clear" w:color="auto" w:fill="auto"/>
            <w:tcMar>
              <w:top w:w="100" w:type="dxa"/>
              <w:left w:w="100" w:type="dxa"/>
              <w:bottom w:w="100" w:type="dxa"/>
              <w:right w:w="100" w:type="dxa"/>
            </w:tcMar>
          </w:tcPr>
          <w:p w14:paraId="486FE63A"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Porticus Programa (98331 - 101700)</w:t>
            </w:r>
          </w:p>
        </w:tc>
        <w:tc>
          <w:tcPr>
            <w:tcW w:w="4266" w:type="dxa"/>
            <w:shd w:val="clear" w:color="auto" w:fill="auto"/>
            <w:tcMar>
              <w:top w:w="100" w:type="dxa"/>
              <w:left w:w="100" w:type="dxa"/>
              <w:bottom w:w="100" w:type="dxa"/>
              <w:right w:w="100" w:type="dxa"/>
            </w:tcMar>
          </w:tcPr>
          <w:p w14:paraId="07E02DBE"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Anexo técnico, Informe técnico, CSA firmado</w:t>
            </w:r>
          </w:p>
        </w:tc>
      </w:tr>
      <w:tr w:rsidR="00F12554" w:rsidRPr="001F7FF3" w14:paraId="54984480" w14:textId="77777777" w:rsidTr="007358F1">
        <w:trPr>
          <w:trHeight w:val="70"/>
        </w:trPr>
        <w:tc>
          <w:tcPr>
            <w:tcW w:w="4410" w:type="dxa"/>
            <w:shd w:val="clear" w:color="auto" w:fill="auto"/>
            <w:tcMar>
              <w:top w:w="100" w:type="dxa"/>
              <w:left w:w="100" w:type="dxa"/>
              <w:bottom w:w="100" w:type="dxa"/>
              <w:right w:w="100" w:type="dxa"/>
            </w:tcMar>
          </w:tcPr>
          <w:p w14:paraId="5A7A1E6B"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JEP (00102322)</w:t>
            </w:r>
          </w:p>
        </w:tc>
        <w:tc>
          <w:tcPr>
            <w:tcW w:w="4266" w:type="dxa"/>
            <w:shd w:val="clear" w:color="auto" w:fill="auto"/>
            <w:tcMar>
              <w:top w:w="100" w:type="dxa"/>
              <w:left w:w="100" w:type="dxa"/>
              <w:bottom w:w="100" w:type="dxa"/>
              <w:right w:w="100" w:type="dxa"/>
            </w:tcMar>
          </w:tcPr>
          <w:p w14:paraId="19EDD886"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lecciones aprendidas e informe final</w:t>
            </w:r>
          </w:p>
        </w:tc>
      </w:tr>
      <w:tr w:rsidR="00F12554" w:rsidRPr="001F7FF3" w14:paraId="6F87E837" w14:textId="77777777" w:rsidTr="007358F1">
        <w:trPr>
          <w:trHeight w:val="448"/>
        </w:trPr>
        <w:tc>
          <w:tcPr>
            <w:tcW w:w="4410" w:type="dxa"/>
            <w:shd w:val="clear" w:color="auto" w:fill="auto"/>
            <w:tcMar>
              <w:top w:w="100" w:type="dxa"/>
              <w:left w:w="100" w:type="dxa"/>
              <w:bottom w:w="100" w:type="dxa"/>
              <w:right w:w="100" w:type="dxa"/>
            </w:tcMar>
          </w:tcPr>
          <w:p w14:paraId="7088C8B3"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Fundación Ford</w:t>
            </w:r>
          </w:p>
        </w:tc>
        <w:tc>
          <w:tcPr>
            <w:tcW w:w="4266" w:type="dxa"/>
            <w:shd w:val="clear" w:color="auto" w:fill="auto"/>
            <w:tcMar>
              <w:top w:w="100" w:type="dxa"/>
              <w:left w:w="100" w:type="dxa"/>
              <w:bottom w:w="100" w:type="dxa"/>
              <w:right w:w="100" w:type="dxa"/>
            </w:tcMar>
          </w:tcPr>
          <w:p w14:paraId="4A8871F0"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Informe técnico, Anexo técnico y Acuerdo de proyecto</w:t>
            </w:r>
          </w:p>
        </w:tc>
      </w:tr>
      <w:tr w:rsidR="00F12554" w:rsidRPr="001F7FF3" w14:paraId="3D9F650E" w14:textId="77777777" w:rsidTr="007358F1">
        <w:trPr>
          <w:trHeight w:val="70"/>
        </w:trPr>
        <w:tc>
          <w:tcPr>
            <w:tcW w:w="4410" w:type="dxa"/>
            <w:shd w:val="clear" w:color="auto" w:fill="auto"/>
            <w:tcMar>
              <w:top w:w="100" w:type="dxa"/>
              <w:left w:w="100" w:type="dxa"/>
              <w:bottom w:w="100" w:type="dxa"/>
              <w:right w:w="100" w:type="dxa"/>
            </w:tcMar>
          </w:tcPr>
          <w:p w14:paraId="4BE472A0"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Comité de Escogencia (00103165)</w:t>
            </w:r>
          </w:p>
        </w:tc>
        <w:tc>
          <w:tcPr>
            <w:tcW w:w="4266" w:type="dxa"/>
            <w:shd w:val="clear" w:color="auto" w:fill="auto"/>
            <w:tcMar>
              <w:top w:w="100" w:type="dxa"/>
              <w:left w:w="100" w:type="dxa"/>
              <w:bottom w:w="100" w:type="dxa"/>
              <w:right w:w="100" w:type="dxa"/>
            </w:tcMar>
          </w:tcPr>
          <w:p w14:paraId="160E4CA7"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lecciones aprendidas e informe final</w:t>
            </w:r>
          </w:p>
        </w:tc>
      </w:tr>
      <w:tr w:rsidR="00F12554" w:rsidRPr="001F7FF3" w14:paraId="52682AAC" w14:textId="77777777" w:rsidTr="007358F1">
        <w:trPr>
          <w:trHeight w:val="117"/>
        </w:trPr>
        <w:tc>
          <w:tcPr>
            <w:tcW w:w="4410" w:type="dxa"/>
            <w:shd w:val="clear" w:color="auto" w:fill="auto"/>
            <w:tcMar>
              <w:top w:w="100" w:type="dxa"/>
              <w:left w:w="100" w:type="dxa"/>
              <w:bottom w:w="100" w:type="dxa"/>
              <w:right w:w="100" w:type="dxa"/>
            </w:tcMar>
          </w:tcPr>
          <w:p w14:paraId="26F4A161"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CEV 2 MPTF y PBF (98331 - 119320)</w:t>
            </w:r>
          </w:p>
        </w:tc>
        <w:tc>
          <w:tcPr>
            <w:tcW w:w="4266" w:type="dxa"/>
            <w:shd w:val="clear" w:color="auto" w:fill="auto"/>
            <w:tcMar>
              <w:top w:w="100" w:type="dxa"/>
              <w:left w:w="100" w:type="dxa"/>
              <w:bottom w:w="100" w:type="dxa"/>
              <w:right w:w="100" w:type="dxa"/>
            </w:tcMar>
          </w:tcPr>
          <w:p w14:paraId="11DFD12B"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e informe final</w:t>
            </w:r>
          </w:p>
        </w:tc>
      </w:tr>
      <w:tr w:rsidR="00F12554" w:rsidRPr="001F7FF3" w14:paraId="10BAE09A" w14:textId="77777777" w:rsidTr="007358F1">
        <w:trPr>
          <w:trHeight w:val="70"/>
        </w:trPr>
        <w:tc>
          <w:tcPr>
            <w:tcW w:w="4410" w:type="dxa"/>
            <w:shd w:val="clear" w:color="auto" w:fill="auto"/>
            <w:tcMar>
              <w:top w:w="100" w:type="dxa"/>
              <w:left w:w="100" w:type="dxa"/>
              <w:bottom w:w="100" w:type="dxa"/>
              <w:right w:w="100" w:type="dxa"/>
            </w:tcMar>
          </w:tcPr>
          <w:p w14:paraId="0139F057"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CEV 1 MPTF y PBF (108118)</w:t>
            </w:r>
          </w:p>
        </w:tc>
        <w:tc>
          <w:tcPr>
            <w:tcW w:w="4266" w:type="dxa"/>
            <w:shd w:val="clear" w:color="auto" w:fill="auto"/>
            <w:tcMar>
              <w:top w:w="100" w:type="dxa"/>
              <w:left w:w="100" w:type="dxa"/>
              <w:bottom w:w="100" w:type="dxa"/>
              <w:right w:w="100" w:type="dxa"/>
            </w:tcMar>
          </w:tcPr>
          <w:p w14:paraId="26C5E3A4"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lecciones aprendidas e informe final</w:t>
            </w:r>
          </w:p>
        </w:tc>
      </w:tr>
      <w:tr w:rsidR="00F12554" w:rsidRPr="001F7FF3" w14:paraId="6B7CCD9A" w14:textId="77777777" w:rsidTr="007358F1">
        <w:trPr>
          <w:trHeight w:val="174"/>
        </w:trPr>
        <w:tc>
          <w:tcPr>
            <w:tcW w:w="4410" w:type="dxa"/>
            <w:shd w:val="clear" w:color="auto" w:fill="auto"/>
            <w:tcMar>
              <w:top w:w="100" w:type="dxa"/>
              <w:left w:w="100" w:type="dxa"/>
              <w:bottom w:w="100" w:type="dxa"/>
              <w:right w:w="100" w:type="dxa"/>
            </w:tcMar>
          </w:tcPr>
          <w:p w14:paraId="6C4720A3"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Cataluña Verdad</w:t>
            </w:r>
          </w:p>
        </w:tc>
        <w:tc>
          <w:tcPr>
            <w:tcW w:w="4266" w:type="dxa"/>
            <w:shd w:val="clear" w:color="auto" w:fill="auto"/>
            <w:tcMar>
              <w:top w:w="100" w:type="dxa"/>
              <w:left w:w="100" w:type="dxa"/>
              <w:bottom w:w="100" w:type="dxa"/>
              <w:right w:w="100" w:type="dxa"/>
            </w:tcMar>
          </w:tcPr>
          <w:p w14:paraId="7FBC079B"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e Informe final</w:t>
            </w:r>
          </w:p>
        </w:tc>
      </w:tr>
      <w:tr w:rsidR="00F12554" w:rsidRPr="001F7FF3" w14:paraId="2B5F8ED2" w14:textId="77777777" w:rsidTr="007358F1">
        <w:trPr>
          <w:trHeight w:val="412"/>
        </w:trPr>
        <w:tc>
          <w:tcPr>
            <w:tcW w:w="4410" w:type="dxa"/>
            <w:shd w:val="clear" w:color="auto" w:fill="auto"/>
            <w:tcMar>
              <w:top w:w="100" w:type="dxa"/>
              <w:left w:w="100" w:type="dxa"/>
              <w:bottom w:w="100" w:type="dxa"/>
              <w:right w:w="100" w:type="dxa"/>
            </w:tcMar>
          </w:tcPr>
          <w:p w14:paraId="2DE8765F"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Cataluña UBDP Desaparición forzada</w:t>
            </w:r>
          </w:p>
        </w:tc>
        <w:tc>
          <w:tcPr>
            <w:tcW w:w="4266" w:type="dxa"/>
            <w:shd w:val="clear" w:color="auto" w:fill="auto"/>
            <w:tcMar>
              <w:top w:w="100" w:type="dxa"/>
              <w:left w:w="100" w:type="dxa"/>
              <w:bottom w:w="100" w:type="dxa"/>
              <w:right w:w="100" w:type="dxa"/>
            </w:tcMar>
          </w:tcPr>
          <w:p w14:paraId="4A11E3DE" w14:textId="77777777" w:rsidR="00F12554" w:rsidRPr="001F7FF3" w:rsidRDefault="00F12554" w:rsidP="007358F1">
            <w:pPr>
              <w:pStyle w:val="Descripcin"/>
              <w:spacing w:line="240" w:lineRule="auto"/>
              <w:rPr>
                <w:rFonts w:ascii="Century Gothic" w:hAnsi="Century Gothic"/>
                <w:b w:val="0"/>
                <w:bCs/>
                <w:sz w:val="20"/>
                <w:szCs w:val="20"/>
                <w:lang w:val="es-CO"/>
              </w:rPr>
            </w:pPr>
            <w:r w:rsidRPr="001F7FF3">
              <w:rPr>
                <w:rFonts w:ascii="Century Gothic" w:hAnsi="Century Gothic"/>
                <w:b w:val="0"/>
                <w:bCs/>
                <w:sz w:val="20"/>
                <w:szCs w:val="20"/>
                <w:lang w:val="es-CO"/>
              </w:rPr>
              <w:t>Prodoc e informe final</w:t>
            </w:r>
          </w:p>
        </w:tc>
      </w:tr>
    </w:tbl>
    <w:p w14:paraId="180664C1" w14:textId="4109AE11" w:rsidR="00F12554" w:rsidRPr="001F7FF3" w:rsidRDefault="002472B0" w:rsidP="009D291F">
      <w:pPr>
        <w:spacing w:before="240" w:after="240"/>
        <w:jc w:val="both"/>
        <w:rPr>
          <w:rFonts w:ascii="Century Gothic" w:eastAsia="Century Gothic" w:hAnsi="Century Gothic" w:cs="Century Gothic"/>
          <w:sz w:val="20"/>
          <w:szCs w:val="20"/>
        </w:rPr>
      </w:pPr>
      <w:r w:rsidRPr="001F7FF3">
        <w:rPr>
          <w:rFonts w:ascii="Century Gothic" w:hAnsi="Century Gothic"/>
          <w:sz w:val="20"/>
          <w:szCs w:val="20"/>
        </w:rPr>
        <w:t xml:space="preserve">En el caso del análisis cualitativo, se realizó un balance de las fuentes de información disponibles, tanto primarias como secundarias, entre ellas la documentación programática y de monitoreo y evaluación del Programa y los proyectos (informes de avance de los proyectos, evaluación previa 2014, sistematizaciones), que permiten evidenciar los avances </w:t>
      </w:r>
      <w:r w:rsidRPr="001F7FF3">
        <w:rPr>
          <w:rFonts w:ascii="Century Gothic" w:hAnsi="Century Gothic"/>
          <w:sz w:val="20"/>
          <w:szCs w:val="20"/>
        </w:rPr>
        <w:lastRenderedPageBreak/>
        <w:t xml:space="preserve">del programa. </w:t>
      </w:r>
      <w:r w:rsidRPr="001F7FF3">
        <w:rPr>
          <w:rFonts w:ascii="Century Gothic" w:eastAsia="Century Gothic" w:hAnsi="Century Gothic" w:cs="Century Gothic"/>
          <w:sz w:val="20"/>
          <w:szCs w:val="20"/>
        </w:rPr>
        <w:t>El PNUD compartió información complementaria compuesta de 11 documentos entre ellos informes finales y bases de datos.</w:t>
      </w:r>
    </w:p>
    <w:p w14:paraId="6C6A4553" w14:textId="0D89CD18" w:rsidR="005243B8" w:rsidRPr="001F7FF3" w:rsidRDefault="001C47AD"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Al ser una evaluación participativa, </w:t>
      </w:r>
      <w:r w:rsidR="00EB6FF6" w:rsidRPr="001F7FF3">
        <w:rPr>
          <w:rFonts w:ascii="Century Gothic" w:eastAsia="Century Gothic" w:hAnsi="Century Gothic" w:cs="Century Gothic"/>
          <w:sz w:val="20"/>
          <w:szCs w:val="20"/>
        </w:rPr>
        <w:t>el ejercicio de evaluación s</w:t>
      </w:r>
      <w:r w:rsidR="005243B8" w:rsidRPr="001F7FF3">
        <w:rPr>
          <w:rFonts w:ascii="Century Gothic" w:eastAsia="Century Gothic" w:hAnsi="Century Gothic" w:cs="Century Gothic"/>
          <w:sz w:val="20"/>
          <w:szCs w:val="20"/>
        </w:rPr>
        <w:t xml:space="preserve">e complementó con la información proveniente de fuentes primarias (actores clave que participaron en la implementación del Programa).  </w:t>
      </w:r>
    </w:p>
    <w:p w14:paraId="67C8B1F5" w14:textId="16291C90" w:rsidR="001C47AD" w:rsidRPr="001F7FF3" w:rsidRDefault="003F3D1B"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w:t>
      </w:r>
      <w:r w:rsidR="008B3AAD" w:rsidRPr="001F7FF3">
        <w:rPr>
          <w:rFonts w:ascii="Century Gothic" w:eastAsia="Century Gothic" w:hAnsi="Century Gothic" w:cs="Century Gothic"/>
          <w:sz w:val="20"/>
          <w:szCs w:val="20"/>
        </w:rPr>
        <w:t xml:space="preserve">n ese sentido, la evaluación recogió información a partir de los instrumentos de recolección </w:t>
      </w:r>
      <w:r w:rsidR="007C4DDA" w:rsidRPr="001F7FF3">
        <w:rPr>
          <w:rFonts w:ascii="Century Gothic" w:eastAsia="Century Gothic" w:hAnsi="Century Gothic" w:cs="Century Gothic"/>
          <w:sz w:val="20"/>
          <w:szCs w:val="20"/>
        </w:rPr>
        <w:t xml:space="preserve">de información </w:t>
      </w:r>
      <w:r w:rsidR="008B3AAD" w:rsidRPr="001F7FF3">
        <w:rPr>
          <w:rFonts w:ascii="Century Gothic" w:eastAsia="Century Gothic" w:hAnsi="Century Gothic" w:cs="Century Gothic"/>
          <w:sz w:val="20"/>
          <w:szCs w:val="20"/>
        </w:rPr>
        <w:t>diseñados y validados en la fase de escritorio</w:t>
      </w:r>
      <w:r w:rsidR="001C47AD" w:rsidRPr="001F7FF3">
        <w:rPr>
          <w:rFonts w:ascii="Century Gothic" w:eastAsia="Century Gothic" w:hAnsi="Century Gothic" w:cs="Century Gothic"/>
          <w:sz w:val="20"/>
          <w:szCs w:val="20"/>
        </w:rPr>
        <w:t>,</w:t>
      </w:r>
      <w:r w:rsidR="007C4DDA" w:rsidRPr="001F7FF3">
        <w:rPr>
          <w:rFonts w:ascii="Century Gothic" w:eastAsia="Century Gothic" w:hAnsi="Century Gothic" w:cs="Century Gothic"/>
          <w:sz w:val="20"/>
          <w:szCs w:val="20"/>
        </w:rPr>
        <w:t xml:space="preserve"> tomando como base los indicadores creados para cada criterio de evaluación</w:t>
      </w:r>
      <w:r w:rsidR="001F511E" w:rsidRPr="001F7FF3">
        <w:rPr>
          <w:rFonts w:ascii="Century Gothic" w:eastAsia="Century Gothic" w:hAnsi="Century Gothic" w:cs="Century Gothic"/>
          <w:sz w:val="20"/>
          <w:szCs w:val="20"/>
        </w:rPr>
        <w:t xml:space="preserve">. </w:t>
      </w:r>
      <w:r w:rsidR="001C47AD" w:rsidRPr="001F7FF3">
        <w:rPr>
          <w:rFonts w:ascii="Century Gothic" w:eastAsia="Century Gothic" w:hAnsi="Century Gothic" w:cs="Century Gothic"/>
          <w:sz w:val="20"/>
          <w:szCs w:val="20"/>
        </w:rPr>
        <w:t>Se desarrollaron entrevistas semi estructuradas individuales a instituciones del SIVJRNR, grupos focales a</w:t>
      </w:r>
      <w:r w:rsidR="006D3C08" w:rsidRPr="001F7FF3">
        <w:rPr>
          <w:rFonts w:ascii="Century Gothic" w:eastAsia="Century Gothic" w:hAnsi="Century Gothic" w:cs="Century Gothic"/>
          <w:sz w:val="20"/>
          <w:szCs w:val="20"/>
        </w:rPr>
        <w:t>l equipo técnico del PNUD,</w:t>
      </w:r>
      <w:r w:rsidR="001C47AD" w:rsidRPr="001F7FF3">
        <w:rPr>
          <w:rFonts w:ascii="Century Gothic" w:eastAsia="Century Gothic" w:hAnsi="Century Gothic" w:cs="Century Gothic"/>
          <w:sz w:val="20"/>
          <w:szCs w:val="20"/>
        </w:rPr>
        <w:t xml:space="preserve"> donantes y </w:t>
      </w:r>
      <w:r w:rsidR="006D3C08" w:rsidRPr="001F7FF3">
        <w:rPr>
          <w:rFonts w:ascii="Century Gothic" w:eastAsia="Century Gothic" w:hAnsi="Century Gothic" w:cs="Century Gothic"/>
          <w:sz w:val="20"/>
          <w:szCs w:val="20"/>
        </w:rPr>
        <w:t>O</w:t>
      </w:r>
      <w:r w:rsidR="001C47AD" w:rsidRPr="001F7FF3">
        <w:rPr>
          <w:rFonts w:ascii="Century Gothic" w:eastAsia="Century Gothic" w:hAnsi="Century Gothic" w:cs="Century Gothic"/>
          <w:sz w:val="20"/>
          <w:szCs w:val="20"/>
        </w:rPr>
        <w:t xml:space="preserve">rganizaciones de la </w:t>
      </w:r>
      <w:r w:rsidR="006D3C08" w:rsidRPr="001F7FF3">
        <w:rPr>
          <w:rFonts w:ascii="Century Gothic" w:eastAsia="Century Gothic" w:hAnsi="Century Gothic" w:cs="Century Gothic"/>
          <w:sz w:val="20"/>
          <w:szCs w:val="20"/>
        </w:rPr>
        <w:t>S</w:t>
      </w:r>
      <w:r w:rsidR="001C47AD" w:rsidRPr="001F7FF3">
        <w:rPr>
          <w:rFonts w:ascii="Century Gothic" w:eastAsia="Century Gothic" w:hAnsi="Century Gothic" w:cs="Century Gothic"/>
          <w:sz w:val="20"/>
          <w:szCs w:val="20"/>
        </w:rPr>
        <w:t xml:space="preserve">ociedad </w:t>
      </w:r>
      <w:r w:rsidR="006D3C08" w:rsidRPr="001F7FF3">
        <w:rPr>
          <w:rFonts w:ascii="Century Gothic" w:eastAsia="Century Gothic" w:hAnsi="Century Gothic" w:cs="Century Gothic"/>
          <w:sz w:val="20"/>
          <w:szCs w:val="20"/>
        </w:rPr>
        <w:t>C</w:t>
      </w:r>
      <w:r w:rsidR="001C47AD" w:rsidRPr="001F7FF3">
        <w:rPr>
          <w:rFonts w:ascii="Century Gothic" w:eastAsia="Century Gothic" w:hAnsi="Century Gothic" w:cs="Century Gothic"/>
          <w:sz w:val="20"/>
          <w:szCs w:val="20"/>
        </w:rPr>
        <w:t xml:space="preserve">ivil </w:t>
      </w:r>
      <w:r w:rsidR="006D3C08" w:rsidRPr="001F7FF3">
        <w:rPr>
          <w:rFonts w:ascii="Century Gothic" w:eastAsia="Century Gothic" w:hAnsi="Century Gothic" w:cs="Century Gothic"/>
          <w:sz w:val="20"/>
          <w:szCs w:val="20"/>
        </w:rPr>
        <w:t xml:space="preserve">(OSC), </w:t>
      </w:r>
      <w:r w:rsidR="001C47AD" w:rsidRPr="001F7FF3">
        <w:rPr>
          <w:rFonts w:ascii="Century Gothic" w:eastAsia="Century Gothic" w:hAnsi="Century Gothic" w:cs="Century Gothic"/>
          <w:sz w:val="20"/>
          <w:szCs w:val="20"/>
        </w:rPr>
        <w:t>y se aplicaron encuestas a</w:t>
      </w:r>
      <w:r w:rsidR="006D3C08" w:rsidRPr="001F7FF3">
        <w:rPr>
          <w:rFonts w:ascii="Century Gothic" w:eastAsia="Century Gothic" w:hAnsi="Century Gothic" w:cs="Century Gothic"/>
          <w:sz w:val="20"/>
          <w:szCs w:val="20"/>
        </w:rPr>
        <w:t xml:space="preserve"> </w:t>
      </w:r>
      <w:r w:rsidR="001C47AD" w:rsidRPr="001F7FF3">
        <w:rPr>
          <w:rFonts w:ascii="Century Gothic" w:eastAsia="Century Gothic" w:hAnsi="Century Gothic" w:cs="Century Gothic"/>
          <w:sz w:val="20"/>
          <w:szCs w:val="20"/>
        </w:rPr>
        <w:t>OSC, con el fin de identificar información adicional que pudiese servir a la evaluación</w:t>
      </w:r>
      <w:r w:rsidR="006D3C08" w:rsidRPr="001F7FF3">
        <w:rPr>
          <w:rFonts w:ascii="Century Gothic" w:eastAsia="Century Gothic" w:hAnsi="Century Gothic" w:cs="Century Gothic"/>
          <w:sz w:val="20"/>
          <w:szCs w:val="20"/>
        </w:rPr>
        <w:t>, y así mismo, poder realizar un análisis para validar con algo de datos cuantitativos, hallazgos que surgieron de</w:t>
      </w:r>
      <w:r w:rsidR="00117B51" w:rsidRPr="001F7FF3">
        <w:rPr>
          <w:rFonts w:ascii="Century Gothic" w:eastAsia="Century Gothic" w:hAnsi="Century Gothic" w:cs="Century Gothic"/>
          <w:sz w:val="20"/>
          <w:szCs w:val="20"/>
        </w:rPr>
        <w:t xml:space="preserve"> la recolección de información cualitativa</w:t>
      </w:r>
      <w:r w:rsidR="001C47AD" w:rsidRPr="001F7FF3">
        <w:rPr>
          <w:rFonts w:ascii="Century Gothic" w:eastAsia="Century Gothic" w:hAnsi="Century Gothic" w:cs="Century Gothic"/>
          <w:sz w:val="20"/>
          <w:szCs w:val="20"/>
        </w:rPr>
        <w:t xml:space="preserve">. </w:t>
      </w:r>
    </w:p>
    <w:p w14:paraId="5BA516FB" w14:textId="0FD83132" w:rsidR="001B28AC" w:rsidRPr="001F7FF3" w:rsidRDefault="00117B51"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La</w:t>
      </w:r>
      <w:r w:rsidR="008B3AAD" w:rsidRPr="001F7FF3">
        <w:rPr>
          <w:rFonts w:ascii="Century Gothic" w:eastAsia="Century Gothic" w:hAnsi="Century Gothic" w:cs="Century Gothic"/>
          <w:sz w:val="20"/>
          <w:szCs w:val="20"/>
        </w:rPr>
        <w:t xml:space="preserve"> </w:t>
      </w:r>
      <w:r w:rsidR="001F511E" w:rsidRPr="001F7FF3">
        <w:rPr>
          <w:rFonts w:ascii="Century Gothic" w:eastAsia="Century Gothic" w:hAnsi="Century Gothic" w:cs="Century Gothic"/>
          <w:sz w:val="20"/>
          <w:szCs w:val="20"/>
        </w:rPr>
        <w:t xml:space="preserve">información </w:t>
      </w:r>
      <w:r w:rsidRPr="001F7FF3">
        <w:rPr>
          <w:rFonts w:ascii="Century Gothic" w:eastAsia="Century Gothic" w:hAnsi="Century Gothic" w:cs="Century Gothic"/>
          <w:sz w:val="20"/>
          <w:szCs w:val="20"/>
        </w:rPr>
        <w:t xml:space="preserve">cualitativa </w:t>
      </w:r>
      <w:r w:rsidR="008B3AAD" w:rsidRPr="001F7FF3">
        <w:rPr>
          <w:rFonts w:ascii="Century Gothic" w:eastAsia="Century Gothic" w:hAnsi="Century Gothic" w:cs="Century Gothic"/>
          <w:sz w:val="20"/>
          <w:szCs w:val="20"/>
        </w:rPr>
        <w:t>fue sistematizada</w:t>
      </w:r>
      <w:r w:rsidR="001F511E" w:rsidRPr="001F7FF3">
        <w:rPr>
          <w:rFonts w:ascii="Century Gothic" w:eastAsia="Century Gothic" w:hAnsi="Century Gothic" w:cs="Century Gothic"/>
          <w:sz w:val="20"/>
          <w:szCs w:val="20"/>
        </w:rPr>
        <w:t xml:space="preserve"> en una matriz de recolección de información </w:t>
      </w:r>
      <w:r w:rsidR="007F4574" w:rsidRPr="001F7FF3">
        <w:rPr>
          <w:rFonts w:ascii="Century Gothic" w:eastAsia="Century Gothic" w:hAnsi="Century Gothic" w:cs="Century Gothic"/>
          <w:sz w:val="20"/>
          <w:szCs w:val="20"/>
        </w:rPr>
        <w:t xml:space="preserve">(Anexo 1) </w:t>
      </w:r>
      <w:r w:rsidR="001F511E" w:rsidRPr="001F7FF3">
        <w:rPr>
          <w:rFonts w:ascii="Century Gothic" w:eastAsia="Century Gothic" w:hAnsi="Century Gothic" w:cs="Century Gothic"/>
          <w:sz w:val="20"/>
          <w:szCs w:val="20"/>
        </w:rPr>
        <w:t xml:space="preserve">y analizada </w:t>
      </w:r>
      <w:r w:rsidR="008B3AAD" w:rsidRPr="001F7FF3">
        <w:rPr>
          <w:rFonts w:ascii="Century Gothic" w:eastAsia="Century Gothic" w:hAnsi="Century Gothic" w:cs="Century Gothic"/>
          <w:sz w:val="20"/>
          <w:szCs w:val="20"/>
        </w:rPr>
        <w:t>a partir de una combinación de métodos de análisis cualitativos</w:t>
      </w:r>
      <w:r w:rsidR="009355E6" w:rsidRPr="001F7FF3">
        <w:rPr>
          <w:rFonts w:ascii="Century Gothic" w:eastAsia="Century Gothic" w:hAnsi="Century Gothic" w:cs="Century Gothic"/>
          <w:sz w:val="20"/>
          <w:szCs w:val="20"/>
        </w:rPr>
        <w:t xml:space="preserve"> que </w:t>
      </w:r>
      <w:r w:rsidR="00A42175" w:rsidRPr="001F7FF3">
        <w:rPr>
          <w:rFonts w:ascii="Century Gothic" w:eastAsia="Century Gothic" w:hAnsi="Century Gothic" w:cs="Century Gothic"/>
          <w:sz w:val="20"/>
          <w:szCs w:val="20"/>
        </w:rPr>
        <w:t>permit</w:t>
      </w:r>
      <w:r w:rsidRPr="001F7FF3">
        <w:rPr>
          <w:rFonts w:ascii="Century Gothic" w:eastAsia="Century Gothic" w:hAnsi="Century Gothic" w:cs="Century Gothic"/>
          <w:sz w:val="20"/>
          <w:szCs w:val="20"/>
        </w:rPr>
        <w:t xml:space="preserve">ió </w:t>
      </w:r>
      <w:r w:rsidR="00A42175" w:rsidRPr="001F7FF3">
        <w:rPr>
          <w:rFonts w:ascii="Century Gothic" w:eastAsia="Century Gothic" w:hAnsi="Century Gothic" w:cs="Century Gothic"/>
          <w:sz w:val="20"/>
          <w:szCs w:val="20"/>
        </w:rPr>
        <w:t>a</w:t>
      </w:r>
      <w:r w:rsidR="009355E6" w:rsidRPr="001F7FF3">
        <w:rPr>
          <w:rFonts w:ascii="Century Gothic" w:eastAsia="Century Gothic" w:hAnsi="Century Gothic" w:cs="Century Gothic"/>
          <w:sz w:val="20"/>
          <w:szCs w:val="20"/>
        </w:rPr>
        <w:t xml:space="preserve"> </w:t>
      </w:r>
      <w:r w:rsidR="008B3AAD" w:rsidRPr="001F7FF3">
        <w:rPr>
          <w:rFonts w:ascii="Century Gothic" w:eastAsia="Century Gothic" w:hAnsi="Century Gothic" w:cs="Century Gothic"/>
          <w:sz w:val="20"/>
          <w:szCs w:val="20"/>
        </w:rPr>
        <w:t xml:space="preserve">triangulación </w:t>
      </w:r>
      <w:r w:rsidR="00A42175" w:rsidRPr="001F7FF3">
        <w:rPr>
          <w:rFonts w:ascii="Century Gothic" w:eastAsia="Century Gothic" w:hAnsi="Century Gothic" w:cs="Century Gothic"/>
          <w:sz w:val="20"/>
          <w:szCs w:val="20"/>
        </w:rPr>
        <w:t>de datos</w:t>
      </w:r>
      <w:r w:rsidRPr="001F7FF3">
        <w:rPr>
          <w:rFonts w:ascii="Century Gothic" w:eastAsia="Century Gothic" w:hAnsi="Century Gothic" w:cs="Century Gothic"/>
          <w:sz w:val="20"/>
          <w:szCs w:val="20"/>
        </w:rPr>
        <w:t>,</w:t>
      </w:r>
      <w:r w:rsidR="008B3AAD" w:rsidRPr="001F7FF3">
        <w:rPr>
          <w:rFonts w:ascii="Century Gothic" w:eastAsia="Century Gothic" w:hAnsi="Century Gothic" w:cs="Century Gothic"/>
          <w:sz w:val="20"/>
          <w:szCs w:val="20"/>
        </w:rPr>
        <w:t xml:space="preserve"> con el fin de asegurar la credibilidad y rigurosidad de los hallazgos.</w:t>
      </w:r>
      <w:r w:rsidRPr="001F7FF3">
        <w:rPr>
          <w:rFonts w:ascii="Century Gothic" w:eastAsia="Century Gothic" w:hAnsi="Century Gothic" w:cs="Century Gothic"/>
          <w:sz w:val="20"/>
          <w:szCs w:val="20"/>
        </w:rPr>
        <w:t xml:space="preserve"> A partir de este análisis se generaron los hallazgos de la evaluación; los cuales fueron contrastados con información cuantitativa proveniente de las encuestas para poder verificarlos.</w:t>
      </w:r>
    </w:p>
    <w:p w14:paraId="1D834109" w14:textId="4950E947" w:rsidR="00287B50" w:rsidRPr="001F7FF3" w:rsidRDefault="00117B51" w:rsidP="00EC4DF3">
      <w:pPr>
        <w:spacing w:before="240" w:after="240"/>
        <w:jc w:val="both"/>
        <w:rPr>
          <w:rFonts w:ascii="Century Gothic" w:eastAsia="Century Gothic" w:hAnsi="Century Gothic" w:cs="Century Gothic"/>
          <w:b/>
          <w:bCs/>
          <w:sz w:val="20"/>
          <w:szCs w:val="20"/>
        </w:rPr>
      </w:pPr>
      <w:r w:rsidRPr="001F7FF3">
        <w:rPr>
          <w:rFonts w:ascii="Century Gothic" w:eastAsia="Century Gothic" w:hAnsi="Century Gothic" w:cs="Century Gothic"/>
          <w:sz w:val="20"/>
          <w:szCs w:val="20"/>
        </w:rPr>
        <w:t>En la evaluación</w:t>
      </w:r>
      <w:r w:rsidR="001B28AC" w:rsidRPr="001F7FF3">
        <w:rPr>
          <w:rFonts w:ascii="Century Gothic" w:eastAsia="Century Gothic" w:hAnsi="Century Gothic" w:cs="Century Gothic"/>
          <w:sz w:val="20"/>
          <w:szCs w:val="20"/>
        </w:rPr>
        <w:t xml:space="preserve"> del PJT </w:t>
      </w:r>
      <w:r w:rsidRPr="001F7FF3">
        <w:rPr>
          <w:rFonts w:ascii="Century Gothic" w:eastAsia="Century Gothic" w:hAnsi="Century Gothic" w:cs="Century Gothic"/>
          <w:sz w:val="20"/>
          <w:szCs w:val="20"/>
        </w:rPr>
        <w:t xml:space="preserve">se contó con una muestra de 56 contactos para considerarlos en la fase de recolección de información (entrevistas o grupos focales), dicha información fue suministrada en parte por el PNUD y en ocasiones, el equipo evaluador, identificó otros actores que podrían tener información útil para le evaluación. En este sentido el equipo evaluador realizó un primer contacto con las 56 personas, distribuidas de la siguiente manera:  </w:t>
      </w:r>
    </w:p>
    <w:p w14:paraId="3178CAF2" w14:textId="373772DB" w:rsidR="00EC4DF3" w:rsidRPr="001F7FF3" w:rsidRDefault="00EC4DF3" w:rsidP="00EC4DF3">
      <w:pPr>
        <w:pStyle w:val="Descripcin"/>
        <w:keepNext/>
        <w:rPr>
          <w:rFonts w:ascii="Century Gothic" w:hAnsi="Century Gothic"/>
          <w:lang w:val="es-CO"/>
        </w:rPr>
      </w:pPr>
      <w:bookmarkStart w:id="31" w:name="_Toc117527926"/>
      <w:r w:rsidRPr="001F7FF3">
        <w:rPr>
          <w:rFonts w:ascii="Century Gothic" w:hAnsi="Century Gothic"/>
          <w:lang w:val="es-CO"/>
        </w:rPr>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001F7FF3" w:rsidRPr="001F7FF3">
        <w:rPr>
          <w:rFonts w:ascii="Century Gothic" w:hAnsi="Century Gothic"/>
          <w:lang w:val="es-CO"/>
        </w:rPr>
        <w:t>5</w:t>
      </w:r>
      <w:r w:rsidRPr="001F7FF3">
        <w:rPr>
          <w:rFonts w:ascii="Century Gothic" w:hAnsi="Century Gothic"/>
          <w:lang w:val="es-CO"/>
        </w:rPr>
        <w:fldChar w:fldCharType="end"/>
      </w:r>
      <w:r w:rsidRPr="001F7FF3">
        <w:rPr>
          <w:rFonts w:ascii="Century Gothic" w:hAnsi="Century Gothic"/>
          <w:lang w:val="es-CO"/>
        </w:rPr>
        <w:t>. Listado de actores a consultar proporcionados por PNUD</w:t>
      </w:r>
      <w:bookmarkEnd w:id="31"/>
    </w:p>
    <w:tbl>
      <w:tblPr>
        <w:tblW w:w="8910" w:type="dxa"/>
        <w:tblLook w:val="04A0" w:firstRow="1" w:lastRow="0" w:firstColumn="1" w:lastColumn="0" w:noHBand="0" w:noVBand="1"/>
      </w:tblPr>
      <w:tblGrid>
        <w:gridCol w:w="2000"/>
        <w:gridCol w:w="6910"/>
      </w:tblGrid>
      <w:tr w:rsidR="00067BA5" w:rsidRPr="001F7FF3" w14:paraId="7F6CE515" w14:textId="77777777" w:rsidTr="001B28AC">
        <w:trPr>
          <w:trHeight w:val="288"/>
        </w:trPr>
        <w:tc>
          <w:tcPr>
            <w:tcW w:w="2000" w:type="dxa"/>
            <w:tcBorders>
              <w:top w:val="nil"/>
              <w:left w:val="nil"/>
              <w:bottom w:val="single" w:sz="4" w:space="0" w:color="8EA9DB"/>
              <w:right w:val="nil"/>
            </w:tcBorders>
            <w:shd w:val="clear" w:color="D9E1F2" w:fill="D9E1F2"/>
            <w:noWrap/>
            <w:vAlign w:val="bottom"/>
            <w:hideMark/>
          </w:tcPr>
          <w:p w14:paraId="313E087A" w14:textId="0903011F" w:rsidR="00067BA5" w:rsidRPr="001F7FF3" w:rsidRDefault="00067BA5" w:rsidP="009D291F">
            <w:pPr>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Tipo de actor</w:t>
            </w:r>
          </w:p>
        </w:tc>
        <w:tc>
          <w:tcPr>
            <w:tcW w:w="6910" w:type="dxa"/>
            <w:tcBorders>
              <w:top w:val="nil"/>
              <w:left w:val="nil"/>
              <w:bottom w:val="single" w:sz="4" w:space="0" w:color="8EA9DB"/>
              <w:right w:val="nil"/>
            </w:tcBorders>
            <w:shd w:val="clear" w:color="D9E1F2" w:fill="D9E1F2"/>
            <w:noWrap/>
            <w:vAlign w:val="bottom"/>
            <w:hideMark/>
          </w:tcPr>
          <w:p w14:paraId="33D7F8B4" w14:textId="09193447" w:rsidR="00067BA5" w:rsidRPr="001F7FF3" w:rsidRDefault="00067BA5" w:rsidP="009D291F">
            <w:pPr>
              <w:jc w:val="center"/>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Personas</w:t>
            </w:r>
            <w:r w:rsidR="00DD09AE" w:rsidRPr="001F7FF3">
              <w:rPr>
                <w:rFonts w:ascii="Century Gothic" w:eastAsia="Times New Roman" w:hAnsi="Century Gothic"/>
                <w:b/>
                <w:bCs/>
                <w:color w:val="000000"/>
                <w:sz w:val="20"/>
                <w:szCs w:val="20"/>
                <w:lang w:eastAsia="en-US"/>
              </w:rPr>
              <w:t xml:space="preserve"> a</w:t>
            </w:r>
            <w:r w:rsidRPr="001F7FF3">
              <w:rPr>
                <w:rFonts w:ascii="Century Gothic" w:eastAsia="Times New Roman" w:hAnsi="Century Gothic"/>
                <w:b/>
                <w:bCs/>
                <w:color w:val="000000"/>
                <w:sz w:val="20"/>
                <w:szCs w:val="20"/>
                <w:lang w:eastAsia="en-US"/>
              </w:rPr>
              <w:t xml:space="preserve"> contacta</w:t>
            </w:r>
            <w:r w:rsidR="00DD09AE" w:rsidRPr="001F7FF3">
              <w:rPr>
                <w:rFonts w:ascii="Century Gothic" w:eastAsia="Times New Roman" w:hAnsi="Century Gothic"/>
                <w:b/>
                <w:bCs/>
                <w:color w:val="000000"/>
                <w:sz w:val="20"/>
                <w:szCs w:val="20"/>
                <w:lang w:eastAsia="en-US"/>
              </w:rPr>
              <w:t>r</w:t>
            </w:r>
            <w:r w:rsidR="001B28AC" w:rsidRPr="001F7FF3">
              <w:rPr>
                <w:rFonts w:ascii="Century Gothic" w:eastAsia="Times New Roman" w:hAnsi="Century Gothic"/>
                <w:b/>
                <w:bCs/>
                <w:color w:val="000000"/>
                <w:sz w:val="20"/>
                <w:szCs w:val="20"/>
                <w:lang w:eastAsia="en-US"/>
              </w:rPr>
              <w:t xml:space="preserve"> evaluación PJT</w:t>
            </w:r>
          </w:p>
        </w:tc>
      </w:tr>
      <w:tr w:rsidR="00067BA5" w:rsidRPr="001F7FF3" w14:paraId="02433B21" w14:textId="77777777" w:rsidTr="001B28AC">
        <w:trPr>
          <w:trHeight w:val="288"/>
        </w:trPr>
        <w:tc>
          <w:tcPr>
            <w:tcW w:w="2000" w:type="dxa"/>
            <w:tcBorders>
              <w:top w:val="nil"/>
              <w:left w:val="nil"/>
              <w:bottom w:val="nil"/>
              <w:right w:val="nil"/>
            </w:tcBorders>
            <w:shd w:val="clear" w:color="auto" w:fill="auto"/>
            <w:noWrap/>
            <w:vAlign w:val="bottom"/>
            <w:hideMark/>
          </w:tcPr>
          <w:p w14:paraId="0F9D52B7"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PNUD</w:t>
            </w:r>
          </w:p>
        </w:tc>
        <w:tc>
          <w:tcPr>
            <w:tcW w:w="6910" w:type="dxa"/>
            <w:tcBorders>
              <w:top w:val="nil"/>
              <w:left w:val="nil"/>
              <w:bottom w:val="nil"/>
              <w:right w:val="nil"/>
            </w:tcBorders>
            <w:shd w:val="clear" w:color="auto" w:fill="auto"/>
            <w:noWrap/>
            <w:vAlign w:val="bottom"/>
            <w:hideMark/>
          </w:tcPr>
          <w:p w14:paraId="217AE22A"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7</w:t>
            </w:r>
          </w:p>
        </w:tc>
      </w:tr>
      <w:tr w:rsidR="00067BA5" w:rsidRPr="001F7FF3" w14:paraId="69977B58" w14:textId="77777777" w:rsidTr="001B28AC">
        <w:trPr>
          <w:trHeight w:val="288"/>
        </w:trPr>
        <w:tc>
          <w:tcPr>
            <w:tcW w:w="2000" w:type="dxa"/>
            <w:tcBorders>
              <w:top w:val="nil"/>
              <w:left w:val="nil"/>
              <w:bottom w:val="nil"/>
              <w:right w:val="nil"/>
            </w:tcBorders>
            <w:shd w:val="clear" w:color="auto" w:fill="auto"/>
            <w:noWrap/>
            <w:vAlign w:val="bottom"/>
            <w:hideMark/>
          </w:tcPr>
          <w:p w14:paraId="68401A9B"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Socios cooperantes</w:t>
            </w:r>
          </w:p>
        </w:tc>
        <w:tc>
          <w:tcPr>
            <w:tcW w:w="6910" w:type="dxa"/>
            <w:tcBorders>
              <w:top w:val="nil"/>
              <w:left w:val="nil"/>
              <w:bottom w:val="nil"/>
              <w:right w:val="nil"/>
            </w:tcBorders>
            <w:shd w:val="clear" w:color="auto" w:fill="auto"/>
            <w:noWrap/>
            <w:vAlign w:val="bottom"/>
            <w:hideMark/>
          </w:tcPr>
          <w:p w14:paraId="7E49A04C"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9</w:t>
            </w:r>
          </w:p>
        </w:tc>
      </w:tr>
      <w:tr w:rsidR="00067BA5" w:rsidRPr="001F7FF3" w14:paraId="116ABBAF" w14:textId="77777777" w:rsidTr="001B28AC">
        <w:trPr>
          <w:trHeight w:val="288"/>
        </w:trPr>
        <w:tc>
          <w:tcPr>
            <w:tcW w:w="2000" w:type="dxa"/>
            <w:tcBorders>
              <w:top w:val="nil"/>
              <w:left w:val="nil"/>
              <w:bottom w:val="nil"/>
              <w:right w:val="nil"/>
            </w:tcBorders>
            <w:shd w:val="clear" w:color="auto" w:fill="auto"/>
            <w:noWrap/>
            <w:vAlign w:val="bottom"/>
            <w:hideMark/>
          </w:tcPr>
          <w:p w14:paraId="7363C2FF"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Socios institucionales</w:t>
            </w:r>
          </w:p>
        </w:tc>
        <w:tc>
          <w:tcPr>
            <w:tcW w:w="6910" w:type="dxa"/>
            <w:tcBorders>
              <w:top w:val="nil"/>
              <w:left w:val="nil"/>
              <w:bottom w:val="nil"/>
              <w:right w:val="nil"/>
            </w:tcBorders>
            <w:shd w:val="clear" w:color="auto" w:fill="auto"/>
            <w:noWrap/>
            <w:vAlign w:val="bottom"/>
            <w:hideMark/>
          </w:tcPr>
          <w:p w14:paraId="553C9D48"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15</w:t>
            </w:r>
          </w:p>
        </w:tc>
      </w:tr>
      <w:tr w:rsidR="00067BA5" w:rsidRPr="001F7FF3" w14:paraId="15043C53" w14:textId="77777777" w:rsidTr="001B28AC">
        <w:trPr>
          <w:trHeight w:val="288"/>
        </w:trPr>
        <w:tc>
          <w:tcPr>
            <w:tcW w:w="2000" w:type="dxa"/>
            <w:tcBorders>
              <w:top w:val="nil"/>
              <w:left w:val="nil"/>
              <w:bottom w:val="nil"/>
              <w:right w:val="nil"/>
            </w:tcBorders>
            <w:shd w:val="clear" w:color="auto" w:fill="auto"/>
            <w:noWrap/>
            <w:vAlign w:val="bottom"/>
            <w:hideMark/>
          </w:tcPr>
          <w:p w14:paraId="46AEEAF6"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Socios OSCs</w:t>
            </w:r>
          </w:p>
        </w:tc>
        <w:tc>
          <w:tcPr>
            <w:tcW w:w="6910" w:type="dxa"/>
            <w:tcBorders>
              <w:top w:val="nil"/>
              <w:left w:val="nil"/>
              <w:bottom w:val="nil"/>
              <w:right w:val="nil"/>
            </w:tcBorders>
            <w:shd w:val="clear" w:color="auto" w:fill="auto"/>
            <w:noWrap/>
            <w:vAlign w:val="bottom"/>
            <w:hideMark/>
          </w:tcPr>
          <w:p w14:paraId="3F78B6A9"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19</w:t>
            </w:r>
          </w:p>
        </w:tc>
      </w:tr>
      <w:tr w:rsidR="00067BA5" w:rsidRPr="001F7FF3" w14:paraId="5C2B3B6C" w14:textId="77777777" w:rsidTr="001B28AC">
        <w:trPr>
          <w:trHeight w:val="288"/>
        </w:trPr>
        <w:tc>
          <w:tcPr>
            <w:tcW w:w="2000" w:type="dxa"/>
            <w:tcBorders>
              <w:top w:val="nil"/>
              <w:left w:val="nil"/>
              <w:bottom w:val="nil"/>
              <w:right w:val="nil"/>
            </w:tcBorders>
            <w:shd w:val="clear" w:color="auto" w:fill="auto"/>
            <w:noWrap/>
            <w:vAlign w:val="bottom"/>
            <w:hideMark/>
          </w:tcPr>
          <w:p w14:paraId="5E8B0834"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Víctimas</w:t>
            </w:r>
          </w:p>
        </w:tc>
        <w:tc>
          <w:tcPr>
            <w:tcW w:w="6910" w:type="dxa"/>
            <w:tcBorders>
              <w:top w:val="nil"/>
              <w:left w:val="nil"/>
              <w:bottom w:val="nil"/>
              <w:right w:val="nil"/>
            </w:tcBorders>
            <w:shd w:val="clear" w:color="auto" w:fill="auto"/>
            <w:noWrap/>
            <w:vAlign w:val="bottom"/>
            <w:hideMark/>
          </w:tcPr>
          <w:p w14:paraId="16C69ABE"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6</w:t>
            </w:r>
          </w:p>
        </w:tc>
      </w:tr>
      <w:tr w:rsidR="00067BA5" w:rsidRPr="001F7FF3" w14:paraId="6F69C25E" w14:textId="77777777" w:rsidTr="001B28AC">
        <w:trPr>
          <w:trHeight w:val="288"/>
        </w:trPr>
        <w:tc>
          <w:tcPr>
            <w:tcW w:w="2000" w:type="dxa"/>
            <w:tcBorders>
              <w:top w:val="single" w:sz="4" w:space="0" w:color="8EA9DB"/>
              <w:left w:val="nil"/>
              <w:bottom w:val="nil"/>
              <w:right w:val="nil"/>
            </w:tcBorders>
            <w:shd w:val="clear" w:color="D9E1F2" w:fill="D9E1F2"/>
            <w:noWrap/>
            <w:vAlign w:val="bottom"/>
            <w:hideMark/>
          </w:tcPr>
          <w:p w14:paraId="01937442" w14:textId="38BB4C7A" w:rsidR="00067BA5" w:rsidRPr="001F7FF3" w:rsidRDefault="00067BA5" w:rsidP="009D291F">
            <w:pPr>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Total</w:t>
            </w:r>
          </w:p>
        </w:tc>
        <w:tc>
          <w:tcPr>
            <w:tcW w:w="6910" w:type="dxa"/>
            <w:tcBorders>
              <w:top w:val="single" w:sz="4" w:space="0" w:color="8EA9DB"/>
              <w:left w:val="nil"/>
              <w:bottom w:val="nil"/>
              <w:right w:val="nil"/>
            </w:tcBorders>
            <w:shd w:val="clear" w:color="D9E1F2" w:fill="D9E1F2"/>
            <w:noWrap/>
            <w:vAlign w:val="bottom"/>
            <w:hideMark/>
          </w:tcPr>
          <w:p w14:paraId="10DFA92C" w14:textId="77777777" w:rsidR="00067BA5" w:rsidRPr="001F7FF3" w:rsidRDefault="00067BA5" w:rsidP="009D291F">
            <w:pPr>
              <w:jc w:val="right"/>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56</w:t>
            </w:r>
          </w:p>
        </w:tc>
      </w:tr>
    </w:tbl>
    <w:p w14:paraId="5A920B5C" w14:textId="7BCFA3B1" w:rsidR="00067BA5" w:rsidRPr="001F7FF3" w:rsidRDefault="00067BA5"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De los 56 contactos, efectivamente se estableció contacto con 36 personas para el desarrollo de entrevistas y grupos focales. Esto equivale a una tasa de respuesta del 64.28%. La distribución de las personas que participaron de entrevistas semiestructuradas o grupos focales, se distribuyen de esa manera:</w:t>
      </w:r>
    </w:p>
    <w:p w14:paraId="67C7B6C2" w14:textId="73BB1B3F" w:rsidR="00287B50" w:rsidRPr="001F7FF3" w:rsidRDefault="00287B50" w:rsidP="009D291F">
      <w:pPr>
        <w:spacing w:before="240" w:after="240"/>
        <w:jc w:val="both"/>
        <w:rPr>
          <w:rFonts w:ascii="Century Gothic" w:eastAsia="Century Gothic" w:hAnsi="Century Gothic" w:cs="Century Gothic"/>
          <w:sz w:val="20"/>
          <w:szCs w:val="20"/>
        </w:rPr>
      </w:pPr>
    </w:p>
    <w:p w14:paraId="6C1139DE" w14:textId="609DD268" w:rsidR="00287B50" w:rsidRPr="001F7FF3" w:rsidRDefault="00287B50" w:rsidP="009D291F">
      <w:pPr>
        <w:spacing w:before="240" w:after="240"/>
        <w:jc w:val="both"/>
        <w:rPr>
          <w:rFonts w:ascii="Century Gothic" w:eastAsia="Century Gothic" w:hAnsi="Century Gothic" w:cs="Century Gothic"/>
          <w:sz w:val="20"/>
          <w:szCs w:val="20"/>
        </w:rPr>
      </w:pPr>
    </w:p>
    <w:p w14:paraId="219DC9B2" w14:textId="77777777" w:rsidR="00A04B59" w:rsidRPr="001F7FF3" w:rsidRDefault="00A04B59" w:rsidP="009D291F">
      <w:pPr>
        <w:spacing w:before="240" w:after="240"/>
        <w:jc w:val="both"/>
        <w:rPr>
          <w:rFonts w:ascii="Century Gothic" w:eastAsia="Century Gothic" w:hAnsi="Century Gothic" w:cs="Century Gothic"/>
          <w:sz w:val="20"/>
          <w:szCs w:val="20"/>
        </w:rPr>
      </w:pPr>
    </w:p>
    <w:p w14:paraId="21367030" w14:textId="7469E2B3" w:rsidR="005C7AE9" w:rsidRPr="001F7FF3" w:rsidRDefault="005C7AE9" w:rsidP="005C7AE9">
      <w:pPr>
        <w:pStyle w:val="Descripcin"/>
        <w:keepNext/>
        <w:rPr>
          <w:rFonts w:ascii="Century Gothic" w:hAnsi="Century Gothic"/>
          <w:lang w:val="es-CO"/>
        </w:rPr>
      </w:pPr>
      <w:bookmarkStart w:id="32" w:name="_Toc117527927"/>
      <w:r w:rsidRPr="001F7FF3">
        <w:rPr>
          <w:rFonts w:ascii="Century Gothic" w:hAnsi="Century Gothic"/>
          <w:lang w:val="es-CO"/>
        </w:rPr>
        <w:lastRenderedPageBreak/>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001F7FF3" w:rsidRPr="001F7FF3">
        <w:rPr>
          <w:rFonts w:ascii="Century Gothic" w:hAnsi="Century Gothic"/>
          <w:lang w:val="es-CO"/>
        </w:rPr>
        <w:t>6</w:t>
      </w:r>
      <w:r w:rsidRPr="001F7FF3">
        <w:rPr>
          <w:rFonts w:ascii="Century Gothic" w:hAnsi="Century Gothic"/>
          <w:lang w:val="es-CO"/>
        </w:rPr>
        <w:fldChar w:fldCharType="end"/>
      </w:r>
      <w:r w:rsidRPr="001F7FF3">
        <w:rPr>
          <w:rFonts w:ascii="Century Gothic" w:hAnsi="Century Gothic"/>
          <w:lang w:val="es-CO"/>
        </w:rPr>
        <w:t>. Actores consultados evaluación PJT PNUD</w:t>
      </w:r>
      <w:bookmarkEnd w:id="32"/>
    </w:p>
    <w:tbl>
      <w:tblPr>
        <w:tblW w:w="8910" w:type="dxa"/>
        <w:tblLook w:val="04A0" w:firstRow="1" w:lastRow="0" w:firstColumn="1" w:lastColumn="0" w:noHBand="0" w:noVBand="1"/>
      </w:tblPr>
      <w:tblGrid>
        <w:gridCol w:w="2000"/>
        <w:gridCol w:w="6910"/>
      </w:tblGrid>
      <w:tr w:rsidR="00067BA5" w:rsidRPr="001F7FF3" w14:paraId="628D5CAF" w14:textId="77777777" w:rsidTr="001B28AC">
        <w:trPr>
          <w:trHeight w:val="288"/>
        </w:trPr>
        <w:tc>
          <w:tcPr>
            <w:tcW w:w="2000" w:type="dxa"/>
            <w:tcBorders>
              <w:top w:val="nil"/>
              <w:left w:val="nil"/>
              <w:bottom w:val="single" w:sz="4" w:space="0" w:color="8EA9DB"/>
              <w:right w:val="nil"/>
            </w:tcBorders>
            <w:shd w:val="clear" w:color="D9E1F2" w:fill="D9E1F2"/>
            <w:noWrap/>
            <w:vAlign w:val="bottom"/>
            <w:hideMark/>
          </w:tcPr>
          <w:p w14:paraId="77B871CB" w14:textId="4706E159" w:rsidR="00067BA5" w:rsidRPr="001F7FF3" w:rsidRDefault="00067BA5" w:rsidP="009D291F">
            <w:pPr>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Tipo de actor</w:t>
            </w:r>
          </w:p>
        </w:tc>
        <w:tc>
          <w:tcPr>
            <w:tcW w:w="6910" w:type="dxa"/>
            <w:tcBorders>
              <w:top w:val="nil"/>
              <w:left w:val="nil"/>
              <w:bottom w:val="single" w:sz="4" w:space="0" w:color="8EA9DB"/>
              <w:right w:val="nil"/>
            </w:tcBorders>
            <w:shd w:val="clear" w:color="D9E1F2" w:fill="D9E1F2"/>
            <w:noWrap/>
            <w:vAlign w:val="bottom"/>
            <w:hideMark/>
          </w:tcPr>
          <w:p w14:paraId="79F26158" w14:textId="1B0DB84B" w:rsidR="00067BA5" w:rsidRPr="001F7FF3" w:rsidRDefault="00067BA5" w:rsidP="009D291F">
            <w:pPr>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Número de personas contactadas</w:t>
            </w:r>
          </w:p>
        </w:tc>
      </w:tr>
      <w:tr w:rsidR="00067BA5" w:rsidRPr="001F7FF3" w14:paraId="64303ABD" w14:textId="77777777" w:rsidTr="001B28AC">
        <w:trPr>
          <w:trHeight w:val="288"/>
        </w:trPr>
        <w:tc>
          <w:tcPr>
            <w:tcW w:w="2000" w:type="dxa"/>
            <w:tcBorders>
              <w:top w:val="nil"/>
              <w:left w:val="nil"/>
              <w:bottom w:val="nil"/>
              <w:right w:val="nil"/>
            </w:tcBorders>
            <w:shd w:val="clear" w:color="auto" w:fill="auto"/>
            <w:noWrap/>
            <w:vAlign w:val="bottom"/>
            <w:hideMark/>
          </w:tcPr>
          <w:p w14:paraId="64299F2E"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PNUD</w:t>
            </w:r>
          </w:p>
        </w:tc>
        <w:tc>
          <w:tcPr>
            <w:tcW w:w="6910" w:type="dxa"/>
            <w:tcBorders>
              <w:top w:val="nil"/>
              <w:left w:val="nil"/>
              <w:bottom w:val="nil"/>
              <w:right w:val="nil"/>
            </w:tcBorders>
            <w:shd w:val="clear" w:color="auto" w:fill="auto"/>
            <w:noWrap/>
            <w:vAlign w:val="bottom"/>
            <w:hideMark/>
          </w:tcPr>
          <w:p w14:paraId="2BCCA059"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7</w:t>
            </w:r>
          </w:p>
        </w:tc>
      </w:tr>
      <w:tr w:rsidR="00067BA5" w:rsidRPr="001F7FF3" w14:paraId="7EC39277" w14:textId="77777777" w:rsidTr="001B28AC">
        <w:trPr>
          <w:trHeight w:val="288"/>
        </w:trPr>
        <w:tc>
          <w:tcPr>
            <w:tcW w:w="2000" w:type="dxa"/>
            <w:tcBorders>
              <w:top w:val="nil"/>
              <w:left w:val="nil"/>
              <w:bottom w:val="nil"/>
              <w:right w:val="nil"/>
            </w:tcBorders>
            <w:shd w:val="clear" w:color="auto" w:fill="auto"/>
            <w:noWrap/>
            <w:vAlign w:val="bottom"/>
            <w:hideMark/>
          </w:tcPr>
          <w:p w14:paraId="294A5EA5"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Socios cooperantes</w:t>
            </w:r>
          </w:p>
        </w:tc>
        <w:tc>
          <w:tcPr>
            <w:tcW w:w="6910" w:type="dxa"/>
            <w:tcBorders>
              <w:top w:val="nil"/>
              <w:left w:val="nil"/>
              <w:bottom w:val="nil"/>
              <w:right w:val="nil"/>
            </w:tcBorders>
            <w:shd w:val="clear" w:color="auto" w:fill="auto"/>
            <w:noWrap/>
            <w:vAlign w:val="bottom"/>
            <w:hideMark/>
          </w:tcPr>
          <w:p w14:paraId="251DAEB1"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5</w:t>
            </w:r>
          </w:p>
        </w:tc>
      </w:tr>
      <w:tr w:rsidR="00067BA5" w:rsidRPr="001F7FF3" w14:paraId="6B5ED03C" w14:textId="77777777" w:rsidTr="001B28AC">
        <w:trPr>
          <w:trHeight w:val="288"/>
        </w:trPr>
        <w:tc>
          <w:tcPr>
            <w:tcW w:w="2000" w:type="dxa"/>
            <w:tcBorders>
              <w:top w:val="nil"/>
              <w:left w:val="nil"/>
              <w:bottom w:val="nil"/>
              <w:right w:val="nil"/>
            </w:tcBorders>
            <w:shd w:val="clear" w:color="auto" w:fill="auto"/>
            <w:noWrap/>
            <w:vAlign w:val="bottom"/>
            <w:hideMark/>
          </w:tcPr>
          <w:p w14:paraId="2FD6DB17"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Socios institucionales</w:t>
            </w:r>
          </w:p>
        </w:tc>
        <w:tc>
          <w:tcPr>
            <w:tcW w:w="6910" w:type="dxa"/>
            <w:tcBorders>
              <w:top w:val="nil"/>
              <w:left w:val="nil"/>
              <w:bottom w:val="nil"/>
              <w:right w:val="nil"/>
            </w:tcBorders>
            <w:shd w:val="clear" w:color="auto" w:fill="auto"/>
            <w:noWrap/>
            <w:vAlign w:val="bottom"/>
            <w:hideMark/>
          </w:tcPr>
          <w:p w14:paraId="609FBE92" w14:textId="3F463A14"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12</w:t>
            </w:r>
          </w:p>
        </w:tc>
      </w:tr>
      <w:tr w:rsidR="00067BA5" w:rsidRPr="001F7FF3" w14:paraId="1F48E16F" w14:textId="77777777" w:rsidTr="001B28AC">
        <w:trPr>
          <w:trHeight w:val="288"/>
        </w:trPr>
        <w:tc>
          <w:tcPr>
            <w:tcW w:w="2000" w:type="dxa"/>
            <w:tcBorders>
              <w:top w:val="nil"/>
              <w:left w:val="nil"/>
              <w:bottom w:val="nil"/>
              <w:right w:val="nil"/>
            </w:tcBorders>
            <w:shd w:val="clear" w:color="auto" w:fill="auto"/>
            <w:noWrap/>
            <w:vAlign w:val="bottom"/>
            <w:hideMark/>
          </w:tcPr>
          <w:p w14:paraId="2F678EE6"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Socios OSCs</w:t>
            </w:r>
          </w:p>
        </w:tc>
        <w:tc>
          <w:tcPr>
            <w:tcW w:w="6910" w:type="dxa"/>
            <w:tcBorders>
              <w:top w:val="nil"/>
              <w:left w:val="nil"/>
              <w:bottom w:val="nil"/>
              <w:right w:val="nil"/>
            </w:tcBorders>
            <w:shd w:val="clear" w:color="auto" w:fill="auto"/>
            <w:noWrap/>
            <w:vAlign w:val="bottom"/>
            <w:hideMark/>
          </w:tcPr>
          <w:p w14:paraId="32E1E632"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8</w:t>
            </w:r>
          </w:p>
        </w:tc>
      </w:tr>
      <w:tr w:rsidR="00067BA5" w:rsidRPr="001F7FF3" w14:paraId="3BEE6540" w14:textId="77777777" w:rsidTr="001B28AC">
        <w:trPr>
          <w:trHeight w:val="288"/>
        </w:trPr>
        <w:tc>
          <w:tcPr>
            <w:tcW w:w="2000" w:type="dxa"/>
            <w:tcBorders>
              <w:top w:val="nil"/>
              <w:left w:val="nil"/>
              <w:bottom w:val="nil"/>
              <w:right w:val="nil"/>
            </w:tcBorders>
            <w:shd w:val="clear" w:color="auto" w:fill="auto"/>
            <w:noWrap/>
            <w:vAlign w:val="bottom"/>
            <w:hideMark/>
          </w:tcPr>
          <w:p w14:paraId="49FD2DEC" w14:textId="77777777" w:rsidR="00067BA5" w:rsidRPr="001F7FF3" w:rsidRDefault="00067BA5" w:rsidP="009D291F">
            <w:pPr>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Víctimas</w:t>
            </w:r>
          </w:p>
        </w:tc>
        <w:tc>
          <w:tcPr>
            <w:tcW w:w="6910" w:type="dxa"/>
            <w:tcBorders>
              <w:top w:val="nil"/>
              <w:left w:val="nil"/>
              <w:bottom w:val="nil"/>
              <w:right w:val="nil"/>
            </w:tcBorders>
            <w:shd w:val="clear" w:color="auto" w:fill="auto"/>
            <w:noWrap/>
            <w:vAlign w:val="bottom"/>
            <w:hideMark/>
          </w:tcPr>
          <w:p w14:paraId="10D7A555" w14:textId="77777777" w:rsidR="00067BA5" w:rsidRPr="001F7FF3" w:rsidRDefault="00067BA5" w:rsidP="009D291F">
            <w:pPr>
              <w:jc w:val="right"/>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4</w:t>
            </w:r>
          </w:p>
        </w:tc>
      </w:tr>
      <w:tr w:rsidR="00067BA5" w:rsidRPr="001F7FF3" w14:paraId="6B6584EB" w14:textId="77777777" w:rsidTr="001B28AC">
        <w:trPr>
          <w:trHeight w:val="288"/>
        </w:trPr>
        <w:tc>
          <w:tcPr>
            <w:tcW w:w="2000" w:type="dxa"/>
            <w:tcBorders>
              <w:top w:val="single" w:sz="4" w:space="0" w:color="8EA9DB"/>
              <w:left w:val="nil"/>
              <w:bottom w:val="nil"/>
              <w:right w:val="nil"/>
            </w:tcBorders>
            <w:shd w:val="clear" w:color="D9E1F2" w:fill="D9E1F2"/>
            <w:noWrap/>
            <w:vAlign w:val="bottom"/>
            <w:hideMark/>
          </w:tcPr>
          <w:p w14:paraId="43AF2B01" w14:textId="77777777" w:rsidR="00067BA5" w:rsidRPr="001F7FF3" w:rsidRDefault="00067BA5" w:rsidP="009D291F">
            <w:pPr>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Grand Total</w:t>
            </w:r>
          </w:p>
        </w:tc>
        <w:tc>
          <w:tcPr>
            <w:tcW w:w="6910" w:type="dxa"/>
            <w:tcBorders>
              <w:top w:val="single" w:sz="4" w:space="0" w:color="8EA9DB"/>
              <w:left w:val="nil"/>
              <w:bottom w:val="nil"/>
              <w:right w:val="nil"/>
            </w:tcBorders>
            <w:shd w:val="clear" w:color="D9E1F2" w:fill="D9E1F2"/>
            <w:noWrap/>
            <w:vAlign w:val="bottom"/>
            <w:hideMark/>
          </w:tcPr>
          <w:p w14:paraId="3211AEA4" w14:textId="1CC62DBC" w:rsidR="00067BA5" w:rsidRPr="001F7FF3" w:rsidRDefault="00067BA5" w:rsidP="009D291F">
            <w:pPr>
              <w:jc w:val="right"/>
              <w:rPr>
                <w:rFonts w:ascii="Century Gothic" w:eastAsia="Times New Roman" w:hAnsi="Century Gothic"/>
                <w:b/>
                <w:bCs/>
                <w:color w:val="000000"/>
                <w:sz w:val="20"/>
                <w:szCs w:val="20"/>
                <w:lang w:eastAsia="en-US"/>
              </w:rPr>
            </w:pPr>
            <w:r w:rsidRPr="001F7FF3">
              <w:rPr>
                <w:rFonts w:ascii="Century Gothic" w:eastAsia="Times New Roman" w:hAnsi="Century Gothic"/>
                <w:b/>
                <w:bCs/>
                <w:color w:val="000000"/>
                <w:sz w:val="20"/>
                <w:szCs w:val="20"/>
                <w:lang w:eastAsia="en-US"/>
              </w:rPr>
              <w:t>36</w:t>
            </w:r>
          </w:p>
        </w:tc>
      </w:tr>
    </w:tbl>
    <w:p w14:paraId="48870FBE" w14:textId="0116C530" w:rsidR="00067BA5" w:rsidRPr="001F7FF3" w:rsidRDefault="00067BA5"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De las 36 personas que fueron contactadas, 19 </w:t>
      </w:r>
      <w:r w:rsidR="006E41C8" w:rsidRPr="001F7FF3">
        <w:rPr>
          <w:rFonts w:ascii="Century Gothic" w:eastAsia="Century Gothic" w:hAnsi="Century Gothic" w:cs="Century Gothic"/>
          <w:sz w:val="20"/>
          <w:szCs w:val="20"/>
        </w:rPr>
        <w:t>p</w:t>
      </w:r>
      <w:r w:rsidRPr="001F7FF3">
        <w:rPr>
          <w:rFonts w:ascii="Century Gothic" w:eastAsia="Century Gothic" w:hAnsi="Century Gothic" w:cs="Century Gothic"/>
          <w:sz w:val="20"/>
          <w:szCs w:val="20"/>
        </w:rPr>
        <w:t xml:space="preserve">articiparon de entrevistas semiestructuradas; y 17 de </w:t>
      </w:r>
      <w:r w:rsidR="006C1866" w:rsidRPr="001F7FF3">
        <w:rPr>
          <w:rFonts w:ascii="Century Gothic" w:eastAsia="Century Gothic" w:hAnsi="Century Gothic" w:cs="Century Gothic"/>
          <w:sz w:val="20"/>
          <w:szCs w:val="20"/>
        </w:rPr>
        <w:t>4</w:t>
      </w:r>
      <w:r w:rsidRPr="001F7FF3">
        <w:rPr>
          <w:rFonts w:ascii="Century Gothic" w:eastAsia="Century Gothic" w:hAnsi="Century Gothic" w:cs="Century Gothic"/>
          <w:sz w:val="20"/>
          <w:szCs w:val="20"/>
        </w:rPr>
        <w:t xml:space="preserve"> grupos focales que fueron desarrollaron. A continuación, se presenta la discriminación por tipo de actor: </w:t>
      </w:r>
    </w:p>
    <w:p w14:paraId="62B7239B" w14:textId="5058AD2A" w:rsidR="005C7AE9" w:rsidRPr="001F7FF3" w:rsidRDefault="005C7AE9" w:rsidP="005C7AE9">
      <w:pPr>
        <w:pStyle w:val="Descripcin"/>
        <w:keepNext/>
        <w:rPr>
          <w:rFonts w:ascii="Century Gothic" w:hAnsi="Century Gothic"/>
          <w:lang w:val="es-CO"/>
        </w:rPr>
      </w:pPr>
      <w:bookmarkStart w:id="33" w:name="_Toc117527928"/>
      <w:r w:rsidRPr="001F7FF3">
        <w:rPr>
          <w:rFonts w:ascii="Century Gothic" w:hAnsi="Century Gothic"/>
          <w:lang w:val="es-CO"/>
        </w:rPr>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001F7FF3" w:rsidRPr="001F7FF3">
        <w:rPr>
          <w:rFonts w:ascii="Century Gothic" w:hAnsi="Century Gothic"/>
          <w:lang w:val="es-CO"/>
        </w:rPr>
        <w:t>7</w:t>
      </w:r>
      <w:r w:rsidRPr="001F7FF3">
        <w:rPr>
          <w:rFonts w:ascii="Century Gothic" w:hAnsi="Century Gothic"/>
          <w:lang w:val="es-CO"/>
        </w:rPr>
        <w:fldChar w:fldCharType="end"/>
      </w:r>
      <w:r w:rsidRPr="001F7FF3">
        <w:rPr>
          <w:rFonts w:ascii="Century Gothic" w:hAnsi="Century Gothic"/>
          <w:lang w:val="es-CO"/>
        </w:rPr>
        <w:t>. Actores consultados por instrumento de recolección de información aplicado</w:t>
      </w:r>
      <w:bookmarkEnd w:id="33"/>
    </w:p>
    <w:tbl>
      <w:tblPr>
        <w:tblStyle w:val="Tablaconcuadrcula2-nfasis5"/>
        <w:tblW w:w="8910" w:type="dxa"/>
        <w:tblLook w:val="04A0" w:firstRow="1" w:lastRow="0" w:firstColumn="1" w:lastColumn="0" w:noHBand="0" w:noVBand="1"/>
      </w:tblPr>
      <w:tblGrid>
        <w:gridCol w:w="3040"/>
        <w:gridCol w:w="2660"/>
        <w:gridCol w:w="1680"/>
        <w:gridCol w:w="1530"/>
      </w:tblGrid>
      <w:tr w:rsidR="002A6413" w:rsidRPr="001F7FF3" w14:paraId="3D3A2E00" w14:textId="77777777" w:rsidTr="00F748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970BA8B" w14:textId="09BD9B4A" w:rsidR="002A6413" w:rsidRPr="001F7FF3" w:rsidRDefault="0006150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Tipo de actor</w:t>
            </w:r>
          </w:p>
        </w:tc>
        <w:tc>
          <w:tcPr>
            <w:tcW w:w="2660" w:type="dxa"/>
            <w:noWrap/>
            <w:hideMark/>
          </w:tcPr>
          <w:p w14:paraId="14B1230B" w14:textId="77777777" w:rsidR="002A6413" w:rsidRPr="001F7FF3" w:rsidRDefault="002A6413" w:rsidP="009D291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Entrevista semiestructurada</w:t>
            </w:r>
          </w:p>
        </w:tc>
        <w:tc>
          <w:tcPr>
            <w:tcW w:w="1680" w:type="dxa"/>
            <w:noWrap/>
            <w:hideMark/>
          </w:tcPr>
          <w:p w14:paraId="6A9A077A" w14:textId="77777777" w:rsidR="002A6413" w:rsidRPr="001F7FF3" w:rsidRDefault="002A6413" w:rsidP="009D291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Grupo focal</w:t>
            </w:r>
          </w:p>
        </w:tc>
        <w:tc>
          <w:tcPr>
            <w:tcW w:w="1530" w:type="dxa"/>
            <w:noWrap/>
            <w:hideMark/>
          </w:tcPr>
          <w:p w14:paraId="321DD326" w14:textId="3A6245B8" w:rsidR="002A6413" w:rsidRPr="001F7FF3" w:rsidRDefault="002A6413" w:rsidP="009D291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Total</w:t>
            </w:r>
          </w:p>
        </w:tc>
      </w:tr>
      <w:tr w:rsidR="002A6413" w:rsidRPr="001F7FF3" w14:paraId="00163974" w14:textId="77777777" w:rsidTr="00F74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7C037DA1" w14:textId="77777777" w:rsidR="002A6413" w:rsidRPr="001F7FF3" w:rsidRDefault="002A641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Socios cooperantes</w:t>
            </w:r>
          </w:p>
        </w:tc>
        <w:tc>
          <w:tcPr>
            <w:tcW w:w="2660" w:type="dxa"/>
            <w:noWrap/>
            <w:hideMark/>
          </w:tcPr>
          <w:p w14:paraId="2CF77C34"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w:t>
            </w:r>
          </w:p>
        </w:tc>
        <w:tc>
          <w:tcPr>
            <w:tcW w:w="1680" w:type="dxa"/>
            <w:noWrap/>
            <w:hideMark/>
          </w:tcPr>
          <w:p w14:paraId="2D64B454"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3</w:t>
            </w:r>
          </w:p>
        </w:tc>
        <w:tc>
          <w:tcPr>
            <w:tcW w:w="1530" w:type="dxa"/>
            <w:noWrap/>
            <w:hideMark/>
          </w:tcPr>
          <w:p w14:paraId="0B66C167"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4</w:t>
            </w:r>
          </w:p>
        </w:tc>
      </w:tr>
      <w:tr w:rsidR="002A6413" w:rsidRPr="001F7FF3" w14:paraId="5D855FEB" w14:textId="77777777" w:rsidTr="00F748F0">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FA6D0FC" w14:textId="77777777" w:rsidR="002A6413" w:rsidRPr="001F7FF3" w:rsidRDefault="002A641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Víctimas</w:t>
            </w:r>
          </w:p>
        </w:tc>
        <w:tc>
          <w:tcPr>
            <w:tcW w:w="2660" w:type="dxa"/>
            <w:noWrap/>
            <w:hideMark/>
          </w:tcPr>
          <w:p w14:paraId="6DAC3614"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2</w:t>
            </w:r>
          </w:p>
        </w:tc>
        <w:tc>
          <w:tcPr>
            <w:tcW w:w="1680" w:type="dxa"/>
            <w:noWrap/>
            <w:hideMark/>
          </w:tcPr>
          <w:p w14:paraId="02A37F5A"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2</w:t>
            </w:r>
          </w:p>
        </w:tc>
        <w:tc>
          <w:tcPr>
            <w:tcW w:w="1530" w:type="dxa"/>
            <w:noWrap/>
            <w:hideMark/>
          </w:tcPr>
          <w:p w14:paraId="55594A54"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4</w:t>
            </w:r>
          </w:p>
        </w:tc>
      </w:tr>
      <w:tr w:rsidR="002A6413" w:rsidRPr="001F7FF3" w14:paraId="124D9B9A" w14:textId="77777777" w:rsidTr="00F74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0BD9E53" w14:textId="77777777" w:rsidR="002A6413" w:rsidRPr="001F7FF3" w:rsidRDefault="002A641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Socios OSCs</w:t>
            </w:r>
          </w:p>
        </w:tc>
        <w:tc>
          <w:tcPr>
            <w:tcW w:w="2660" w:type="dxa"/>
            <w:noWrap/>
            <w:hideMark/>
          </w:tcPr>
          <w:p w14:paraId="656FBBD4"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p>
        </w:tc>
        <w:tc>
          <w:tcPr>
            <w:tcW w:w="1680" w:type="dxa"/>
            <w:noWrap/>
            <w:hideMark/>
          </w:tcPr>
          <w:p w14:paraId="0A85A084"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8</w:t>
            </w:r>
          </w:p>
        </w:tc>
        <w:tc>
          <w:tcPr>
            <w:tcW w:w="1530" w:type="dxa"/>
            <w:noWrap/>
            <w:hideMark/>
          </w:tcPr>
          <w:p w14:paraId="436B9C07"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8</w:t>
            </w:r>
          </w:p>
        </w:tc>
      </w:tr>
      <w:tr w:rsidR="002A6413" w:rsidRPr="001F7FF3" w14:paraId="706A9739" w14:textId="77777777" w:rsidTr="00F748F0">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46571B5E" w14:textId="77777777" w:rsidR="002A6413" w:rsidRPr="001F7FF3" w:rsidRDefault="002A641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PNUD</w:t>
            </w:r>
          </w:p>
        </w:tc>
        <w:tc>
          <w:tcPr>
            <w:tcW w:w="2660" w:type="dxa"/>
            <w:noWrap/>
            <w:hideMark/>
          </w:tcPr>
          <w:p w14:paraId="16C1B660"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4</w:t>
            </w:r>
          </w:p>
        </w:tc>
        <w:tc>
          <w:tcPr>
            <w:tcW w:w="1680" w:type="dxa"/>
            <w:noWrap/>
            <w:hideMark/>
          </w:tcPr>
          <w:p w14:paraId="207E3075"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4</w:t>
            </w:r>
          </w:p>
        </w:tc>
        <w:tc>
          <w:tcPr>
            <w:tcW w:w="1530" w:type="dxa"/>
            <w:noWrap/>
            <w:hideMark/>
          </w:tcPr>
          <w:p w14:paraId="2415B918"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8</w:t>
            </w:r>
          </w:p>
        </w:tc>
      </w:tr>
      <w:tr w:rsidR="002A6413" w:rsidRPr="001F7FF3" w14:paraId="4E431EC9" w14:textId="77777777" w:rsidTr="00F74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443846D0" w14:textId="77777777" w:rsidR="002A6413" w:rsidRPr="001F7FF3" w:rsidRDefault="002A641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Socios institucionales</w:t>
            </w:r>
          </w:p>
        </w:tc>
        <w:tc>
          <w:tcPr>
            <w:tcW w:w="2660" w:type="dxa"/>
            <w:noWrap/>
            <w:hideMark/>
          </w:tcPr>
          <w:p w14:paraId="3E0182FD"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12</w:t>
            </w:r>
          </w:p>
        </w:tc>
        <w:tc>
          <w:tcPr>
            <w:tcW w:w="1680" w:type="dxa"/>
            <w:noWrap/>
            <w:hideMark/>
          </w:tcPr>
          <w:p w14:paraId="5B0AED30"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p>
        </w:tc>
        <w:tc>
          <w:tcPr>
            <w:tcW w:w="1530" w:type="dxa"/>
            <w:noWrap/>
            <w:hideMark/>
          </w:tcPr>
          <w:p w14:paraId="4D3A3D01" w14:textId="77777777" w:rsidR="002A6413" w:rsidRPr="001F7FF3" w:rsidRDefault="002A6413" w:rsidP="009D291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12</w:t>
            </w:r>
          </w:p>
        </w:tc>
      </w:tr>
      <w:tr w:rsidR="002A6413" w:rsidRPr="001F7FF3" w14:paraId="0BADDE5C" w14:textId="77777777" w:rsidTr="00F748F0">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0000F38B" w14:textId="11FD1F92" w:rsidR="002A6413" w:rsidRPr="001F7FF3" w:rsidRDefault="002A6413"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Total</w:t>
            </w:r>
          </w:p>
        </w:tc>
        <w:tc>
          <w:tcPr>
            <w:tcW w:w="2660" w:type="dxa"/>
            <w:noWrap/>
            <w:hideMark/>
          </w:tcPr>
          <w:p w14:paraId="3F8BCBE6"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19</w:t>
            </w:r>
          </w:p>
        </w:tc>
        <w:tc>
          <w:tcPr>
            <w:tcW w:w="1680" w:type="dxa"/>
            <w:noWrap/>
            <w:hideMark/>
          </w:tcPr>
          <w:p w14:paraId="711A1D6E"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17</w:t>
            </w:r>
          </w:p>
        </w:tc>
        <w:tc>
          <w:tcPr>
            <w:tcW w:w="1530" w:type="dxa"/>
            <w:noWrap/>
            <w:hideMark/>
          </w:tcPr>
          <w:p w14:paraId="11E7FBA7" w14:textId="77777777" w:rsidR="002A6413" w:rsidRPr="001F7FF3" w:rsidRDefault="002A6413" w:rsidP="009D291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36</w:t>
            </w:r>
          </w:p>
        </w:tc>
      </w:tr>
    </w:tbl>
    <w:p w14:paraId="3ECA01C1" w14:textId="77777777" w:rsidR="00C706F5" w:rsidRPr="001F7FF3" w:rsidRDefault="00C706F5" w:rsidP="009D291F">
      <w:pPr>
        <w:pStyle w:val="Default"/>
        <w:jc w:val="both"/>
        <w:rPr>
          <w:rFonts w:ascii="Century Gothic" w:eastAsia="Century Gothic" w:hAnsi="Century Gothic" w:cs="Century Gothic"/>
          <w:sz w:val="20"/>
          <w:szCs w:val="20"/>
        </w:rPr>
      </w:pPr>
    </w:p>
    <w:p w14:paraId="5DC3827B" w14:textId="77777777" w:rsidR="001B28AC" w:rsidRPr="001F7FF3" w:rsidRDefault="006B7533" w:rsidP="009D291F">
      <w:pPr>
        <w:pStyle w:val="Default"/>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Dado el contexto de emergencia sanitaria causada por el Covid-19 y, en atención a las regulaciones y medidas de bioseguridad, LPIC adaptó sus metodologías para responder a esta situación, manteniendo altos estándares de calidad y eficiencia, lo cual permitió realizar la recolección de información de forma remota a través de herramientas virtuales para facilitar el desarrollo de entrevistas, grupos focales y la aplicación de la encuesta. Sin embargo, para la evaluación de reparaciones colectivas se entrevistaron a víctimas y a beneficiarios finales de la acción de manera presencial. </w:t>
      </w:r>
    </w:p>
    <w:p w14:paraId="0D1F2690" w14:textId="07CD8825" w:rsidR="001B28AC" w:rsidRPr="001F7FF3" w:rsidRDefault="001B28AC" w:rsidP="009D291F">
      <w:pPr>
        <w:pStyle w:val="Default"/>
        <w:jc w:val="both"/>
        <w:rPr>
          <w:rFonts w:ascii="Century Gothic" w:eastAsia="Century Gothic" w:hAnsi="Century Gothic" w:cs="Century Gothic"/>
          <w:sz w:val="20"/>
          <w:szCs w:val="20"/>
        </w:rPr>
      </w:pPr>
    </w:p>
    <w:p w14:paraId="7C18F46A" w14:textId="525E9548" w:rsidR="006428A2" w:rsidRPr="001F7FF3" w:rsidRDefault="001B28AC" w:rsidP="009D291F">
      <w:pPr>
        <w:pStyle w:val="Default"/>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Para la evaluación de reparaciones colectivas se contactaron a un total de 47 personas, la muestra a decir: los sujetos de reparación colectivas, los funcionarios y otros funcionarios relevantes para el análisis fueron identificado s previo al inicio de la evaluación con el equipo PNUD. Las personas contactadas se distribuyeron de la siguiente manera</w:t>
      </w:r>
      <w:r w:rsidR="005A7AB3" w:rsidRPr="001F7FF3">
        <w:rPr>
          <w:rStyle w:val="Refdenotaalpie"/>
          <w:rFonts w:ascii="Century Gothic" w:eastAsia="Century Gothic" w:hAnsi="Century Gothic" w:cs="Century Gothic"/>
          <w:sz w:val="20"/>
          <w:szCs w:val="20"/>
        </w:rPr>
        <w:footnoteReference w:id="7"/>
      </w:r>
      <w:r w:rsidRPr="001F7FF3">
        <w:rPr>
          <w:rFonts w:ascii="Century Gothic" w:eastAsia="Century Gothic" w:hAnsi="Century Gothic" w:cs="Century Gothic"/>
          <w:sz w:val="20"/>
          <w:szCs w:val="20"/>
        </w:rPr>
        <w:t xml:space="preserve">: </w:t>
      </w:r>
    </w:p>
    <w:p w14:paraId="4FC4B46A" w14:textId="77777777" w:rsidR="001B28AC" w:rsidRPr="001F7FF3" w:rsidRDefault="001B28AC" w:rsidP="009D291F">
      <w:pPr>
        <w:pStyle w:val="Default"/>
        <w:jc w:val="both"/>
        <w:rPr>
          <w:rFonts w:ascii="Century Gothic" w:eastAsia="Century Gothic" w:hAnsi="Century Gothic" w:cs="Century Gothic"/>
          <w:sz w:val="20"/>
          <w:szCs w:val="20"/>
        </w:rPr>
      </w:pPr>
    </w:p>
    <w:p w14:paraId="4E9E6728" w14:textId="219B041E" w:rsidR="001F7FF3" w:rsidRPr="001F7FF3" w:rsidRDefault="001F7FF3" w:rsidP="001F7FF3">
      <w:pPr>
        <w:pStyle w:val="Descripcin"/>
        <w:keepNext/>
        <w:rPr>
          <w:rFonts w:ascii="Century Gothic" w:hAnsi="Century Gothic"/>
          <w:lang w:val="es-CO"/>
        </w:rPr>
      </w:pPr>
      <w:bookmarkStart w:id="34" w:name="_Toc117527929"/>
      <w:r w:rsidRPr="001F7FF3">
        <w:rPr>
          <w:rFonts w:ascii="Century Gothic" w:hAnsi="Century Gothic"/>
          <w:lang w:val="es-CO"/>
        </w:rPr>
        <w:t xml:space="preserve">Tabla </w:t>
      </w:r>
      <w:r w:rsidRPr="001F7FF3">
        <w:rPr>
          <w:rFonts w:ascii="Century Gothic" w:hAnsi="Century Gothic"/>
          <w:lang w:val="es-CO"/>
        </w:rPr>
        <w:fldChar w:fldCharType="begin"/>
      </w:r>
      <w:r w:rsidRPr="001F7FF3">
        <w:rPr>
          <w:rFonts w:ascii="Century Gothic" w:hAnsi="Century Gothic"/>
          <w:lang w:val="es-CO"/>
        </w:rPr>
        <w:instrText xml:space="preserve"> SEQ Tabla \* ARABIC </w:instrText>
      </w:r>
      <w:r w:rsidRPr="001F7FF3">
        <w:rPr>
          <w:rFonts w:ascii="Century Gothic" w:hAnsi="Century Gothic"/>
          <w:lang w:val="es-CO"/>
        </w:rPr>
        <w:fldChar w:fldCharType="separate"/>
      </w:r>
      <w:r w:rsidRPr="001F7FF3">
        <w:rPr>
          <w:rFonts w:ascii="Century Gothic" w:hAnsi="Century Gothic"/>
          <w:lang w:val="es-CO"/>
        </w:rPr>
        <w:t>8</w:t>
      </w:r>
      <w:r w:rsidRPr="001F7FF3">
        <w:rPr>
          <w:rFonts w:ascii="Century Gothic" w:hAnsi="Century Gothic"/>
          <w:lang w:val="es-CO"/>
        </w:rPr>
        <w:fldChar w:fldCharType="end"/>
      </w:r>
      <w:r w:rsidRPr="001F7FF3">
        <w:rPr>
          <w:rFonts w:ascii="Century Gothic" w:hAnsi="Century Gothic"/>
          <w:lang w:val="es-CO"/>
        </w:rPr>
        <w:t>. Grupos focales - Entrevistas Evaluación componente de Reparaciones Colectivas PJT</w:t>
      </w:r>
      <w:bookmarkEnd w:id="34"/>
    </w:p>
    <w:tbl>
      <w:tblPr>
        <w:tblStyle w:val="Tablaconcuadrcula2-nfasis5"/>
        <w:tblW w:w="8820" w:type="dxa"/>
        <w:tblLook w:val="04A0" w:firstRow="1" w:lastRow="0" w:firstColumn="1" w:lastColumn="0" w:noHBand="0" w:noVBand="1"/>
      </w:tblPr>
      <w:tblGrid>
        <w:gridCol w:w="3040"/>
        <w:gridCol w:w="5780"/>
      </w:tblGrid>
      <w:tr w:rsidR="001B28AC" w:rsidRPr="001F7FF3" w14:paraId="620952C2" w14:textId="77777777" w:rsidTr="001F7FF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006CA58B" w14:textId="29A36A23" w:rsidR="001B28AC" w:rsidRPr="001F7FF3" w:rsidRDefault="001B28AC"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Tipo de instrumento</w:t>
            </w:r>
          </w:p>
        </w:tc>
        <w:tc>
          <w:tcPr>
            <w:tcW w:w="5780" w:type="dxa"/>
            <w:noWrap/>
            <w:hideMark/>
          </w:tcPr>
          <w:p w14:paraId="63177B38" w14:textId="2CF02A08" w:rsidR="001B28AC" w:rsidRPr="001F7FF3" w:rsidRDefault="001B28AC" w:rsidP="009D291F">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000000"/>
                <w:sz w:val="20"/>
                <w:szCs w:val="20"/>
                <w:lang w:eastAsia="en-US"/>
              </w:rPr>
            </w:pPr>
            <w:r w:rsidRPr="001F7FF3">
              <w:rPr>
                <w:rFonts w:ascii="Century Gothic" w:eastAsia="Times New Roman" w:hAnsi="Century Gothic"/>
                <w:color w:val="000000"/>
                <w:sz w:val="20"/>
                <w:szCs w:val="20"/>
                <w:lang w:eastAsia="en-US"/>
              </w:rPr>
              <w:t>Número</w:t>
            </w:r>
          </w:p>
        </w:tc>
      </w:tr>
      <w:tr w:rsidR="001B28AC" w:rsidRPr="001F7FF3" w14:paraId="223EE4D7" w14:textId="77777777" w:rsidTr="001F7F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AB8C754" w14:textId="43977EFE" w:rsidR="001B28AC" w:rsidRPr="001F7FF3" w:rsidRDefault="001B28AC"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Grupos focales</w:t>
            </w:r>
          </w:p>
        </w:tc>
        <w:tc>
          <w:tcPr>
            <w:tcW w:w="5780" w:type="dxa"/>
            <w:noWrap/>
            <w:hideMark/>
          </w:tcPr>
          <w:p w14:paraId="3DC3ACBE" w14:textId="743BFD1F" w:rsidR="001B28AC" w:rsidRPr="001F7FF3" w:rsidRDefault="001B28AC" w:rsidP="009D291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3</w:t>
            </w:r>
          </w:p>
        </w:tc>
      </w:tr>
      <w:tr w:rsidR="001B28AC" w:rsidRPr="001F7FF3" w14:paraId="05185615" w14:textId="77777777" w:rsidTr="001F7FF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1DDD409" w14:textId="328441FE" w:rsidR="001B28AC" w:rsidRPr="001F7FF3" w:rsidRDefault="001B28AC" w:rsidP="009D291F">
            <w:pPr>
              <w:rPr>
                <w:rFonts w:ascii="Century Gothic" w:eastAsia="Times New Roman" w:hAnsi="Century Gothic"/>
                <w:b w:val="0"/>
                <w:bCs w:val="0"/>
                <w:color w:val="000000"/>
                <w:sz w:val="20"/>
                <w:szCs w:val="20"/>
                <w:lang w:eastAsia="en-US"/>
              </w:rPr>
            </w:pPr>
            <w:r w:rsidRPr="001F7FF3">
              <w:rPr>
                <w:rFonts w:ascii="Century Gothic" w:eastAsia="Times New Roman" w:hAnsi="Century Gothic"/>
                <w:b w:val="0"/>
                <w:bCs w:val="0"/>
                <w:color w:val="000000"/>
                <w:sz w:val="20"/>
                <w:szCs w:val="20"/>
                <w:lang w:eastAsia="en-US"/>
              </w:rPr>
              <w:t>Entrevistas</w:t>
            </w:r>
          </w:p>
        </w:tc>
        <w:tc>
          <w:tcPr>
            <w:tcW w:w="5780" w:type="dxa"/>
            <w:noWrap/>
            <w:hideMark/>
          </w:tcPr>
          <w:p w14:paraId="161C457F" w14:textId="41DC5D2F" w:rsidR="001B28AC" w:rsidRPr="001F7FF3" w:rsidRDefault="00F05FD5" w:rsidP="009D291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eastAsia="en-US"/>
              </w:rPr>
            </w:pPr>
            <w:r w:rsidRPr="001F7FF3">
              <w:rPr>
                <w:rFonts w:ascii="Century Gothic" w:eastAsia="Times New Roman" w:hAnsi="Century Gothic"/>
                <w:color w:val="000000"/>
                <w:sz w:val="20"/>
                <w:szCs w:val="20"/>
                <w:lang w:eastAsia="en-US"/>
              </w:rPr>
              <w:t>28</w:t>
            </w:r>
          </w:p>
        </w:tc>
      </w:tr>
    </w:tbl>
    <w:p w14:paraId="173EDADC" w14:textId="77777777" w:rsidR="001B28AC" w:rsidRPr="001F7FF3" w:rsidRDefault="001B28AC" w:rsidP="009D291F">
      <w:pPr>
        <w:pStyle w:val="Default"/>
        <w:jc w:val="both"/>
        <w:rPr>
          <w:rFonts w:ascii="Century Gothic" w:eastAsia="Century Gothic" w:hAnsi="Century Gothic" w:cs="Century Gothic"/>
          <w:sz w:val="20"/>
          <w:szCs w:val="20"/>
        </w:rPr>
      </w:pPr>
    </w:p>
    <w:p w14:paraId="1B3B9346" w14:textId="44678651" w:rsidR="00067BA5" w:rsidRPr="001F7FF3" w:rsidRDefault="006E41C8" w:rsidP="009D291F">
      <w:pPr>
        <w:pStyle w:val="Default"/>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Los resultados de la aplicación de los instrumentos se resumen de la siguiente manera: </w:t>
      </w:r>
    </w:p>
    <w:p w14:paraId="142335BD" w14:textId="3B587BF2" w:rsidR="008B3AAD" w:rsidRPr="001F7FF3" w:rsidRDefault="008B3AAD"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rPr>
        <w:lastRenderedPageBreak/>
        <w:t>Entrevistas</w:t>
      </w:r>
      <w:r w:rsidR="00B22F89" w:rsidRPr="001F7FF3">
        <w:rPr>
          <w:rFonts w:ascii="Century Gothic" w:eastAsia="Century Gothic" w:hAnsi="Century Gothic" w:cs="Century Gothic"/>
          <w:b/>
          <w:bCs/>
          <w:sz w:val="20"/>
          <w:szCs w:val="20"/>
        </w:rPr>
        <w:t xml:space="preserve"> </w:t>
      </w:r>
      <w:r w:rsidR="00B8418E" w:rsidRPr="001F7FF3">
        <w:rPr>
          <w:rFonts w:ascii="Century Gothic" w:eastAsia="Century Gothic" w:hAnsi="Century Gothic" w:cs="Century Gothic"/>
          <w:b/>
          <w:bCs/>
          <w:sz w:val="20"/>
          <w:szCs w:val="20"/>
        </w:rPr>
        <w:t>semiestructuradas</w:t>
      </w:r>
      <w:r w:rsidR="00B22F89" w:rsidRPr="001F7FF3">
        <w:rPr>
          <w:rFonts w:ascii="Century Gothic" w:eastAsia="Century Gothic" w:hAnsi="Century Gothic" w:cs="Century Gothic"/>
          <w:b/>
          <w:bCs/>
          <w:sz w:val="20"/>
          <w:szCs w:val="20"/>
        </w:rPr>
        <w:t>:</w:t>
      </w:r>
      <w:r w:rsidR="00A42175" w:rsidRPr="001F7FF3">
        <w:rPr>
          <w:rFonts w:ascii="Century Gothic" w:eastAsia="Century Gothic" w:hAnsi="Century Gothic" w:cs="Century Gothic"/>
          <w:sz w:val="20"/>
          <w:szCs w:val="20"/>
        </w:rPr>
        <w:t xml:space="preserve"> </w:t>
      </w:r>
      <w:r w:rsidR="00C706F5" w:rsidRPr="001F7FF3">
        <w:rPr>
          <w:rFonts w:ascii="Century Gothic" w:eastAsia="Century Gothic" w:hAnsi="Century Gothic" w:cs="Century Gothic"/>
          <w:sz w:val="20"/>
          <w:szCs w:val="20"/>
        </w:rPr>
        <w:t xml:space="preserve">se buscó generar espacios con todos los contactos provistos por PNUD o aquellas personas referidas de las entidades e instituciones consultadas. Asimismo, </w:t>
      </w:r>
      <w:r w:rsidR="006E41C8" w:rsidRPr="001F7FF3">
        <w:rPr>
          <w:rFonts w:ascii="Century Gothic" w:eastAsia="Century Gothic" w:hAnsi="Century Gothic" w:cs="Century Gothic"/>
          <w:sz w:val="20"/>
          <w:szCs w:val="20"/>
        </w:rPr>
        <w:t xml:space="preserve">se aplicaron entrevistas </w:t>
      </w:r>
      <w:r w:rsidR="002472B0" w:rsidRPr="001F7FF3">
        <w:rPr>
          <w:rFonts w:ascii="Century Gothic" w:eastAsia="Century Gothic" w:hAnsi="Century Gothic" w:cs="Century Gothic"/>
          <w:sz w:val="20"/>
          <w:szCs w:val="20"/>
        </w:rPr>
        <w:t xml:space="preserve">de manera virtual </w:t>
      </w:r>
      <w:r w:rsidR="006E41C8" w:rsidRPr="001F7FF3">
        <w:rPr>
          <w:rFonts w:ascii="Century Gothic" w:eastAsia="Century Gothic" w:hAnsi="Century Gothic" w:cs="Century Gothic"/>
          <w:sz w:val="20"/>
          <w:szCs w:val="20"/>
        </w:rPr>
        <w:t>de aproximadamente una hora y media de duración a socios institucionales/instituciones del SIVNR, a la gerencia del PJT, al representante residente adjunto del PNUD y a la Coordinadora de la Secretaría representante del Fondo Multidonante de las Naciones Unidas para el Sostenimiento de la Paz en Colombia (MPTF)</w:t>
      </w:r>
      <w:r w:rsidR="006C1866" w:rsidRPr="001F7FF3">
        <w:rPr>
          <w:rFonts w:ascii="Century Gothic" w:eastAsia="Century Gothic" w:hAnsi="Century Gothic" w:cs="Century Gothic"/>
          <w:sz w:val="20"/>
          <w:szCs w:val="20"/>
        </w:rPr>
        <w:t xml:space="preserve">. </w:t>
      </w:r>
      <w:r w:rsidRPr="001F7FF3">
        <w:rPr>
          <w:rFonts w:ascii="Century Gothic" w:eastAsia="Century Gothic" w:hAnsi="Century Gothic" w:cs="Century Gothic"/>
          <w:sz w:val="20"/>
          <w:szCs w:val="20"/>
        </w:rPr>
        <w:t>Este método</w:t>
      </w:r>
      <w:r w:rsidR="006E41C8" w:rsidRPr="001F7FF3">
        <w:rPr>
          <w:rFonts w:ascii="Century Gothic" w:eastAsia="Century Gothic" w:hAnsi="Century Gothic" w:cs="Century Gothic"/>
          <w:sz w:val="20"/>
          <w:szCs w:val="20"/>
        </w:rPr>
        <w:t xml:space="preserve"> de recolección de información</w:t>
      </w:r>
      <w:r w:rsidRPr="001F7FF3">
        <w:rPr>
          <w:rFonts w:ascii="Century Gothic" w:eastAsia="Century Gothic" w:hAnsi="Century Gothic" w:cs="Century Gothic"/>
          <w:sz w:val="20"/>
          <w:szCs w:val="20"/>
        </w:rPr>
        <w:t xml:space="preserve"> permitió </w:t>
      </w:r>
      <w:r w:rsidR="00B22F89" w:rsidRPr="001F7FF3">
        <w:rPr>
          <w:rFonts w:ascii="Century Gothic" w:eastAsia="Century Gothic" w:hAnsi="Century Gothic" w:cs="Century Gothic"/>
          <w:sz w:val="20"/>
          <w:szCs w:val="20"/>
        </w:rPr>
        <w:t xml:space="preserve">establecer un diálogo </w:t>
      </w:r>
      <w:r w:rsidRPr="001F7FF3">
        <w:rPr>
          <w:rFonts w:ascii="Century Gothic" w:eastAsia="Century Gothic" w:hAnsi="Century Gothic" w:cs="Century Gothic"/>
          <w:sz w:val="20"/>
          <w:szCs w:val="20"/>
        </w:rPr>
        <w:t xml:space="preserve">con cada actor y profundizar </w:t>
      </w:r>
      <w:r w:rsidR="00B22F89" w:rsidRPr="001F7FF3">
        <w:rPr>
          <w:rFonts w:ascii="Century Gothic" w:eastAsia="Century Gothic" w:hAnsi="Century Gothic" w:cs="Century Gothic"/>
          <w:sz w:val="20"/>
          <w:szCs w:val="20"/>
        </w:rPr>
        <w:t>en los criterios relevantes según su rol.</w:t>
      </w:r>
      <w:r w:rsidRPr="001F7FF3">
        <w:rPr>
          <w:rFonts w:ascii="Century Gothic" w:eastAsia="Century Gothic" w:hAnsi="Century Gothic" w:cs="Century Gothic"/>
          <w:sz w:val="20"/>
          <w:szCs w:val="20"/>
        </w:rPr>
        <w:t xml:space="preserve"> </w:t>
      </w:r>
      <w:r w:rsidR="006C1866" w:rsidRPr="001F7FF3">
        <w:rPr>
          <w:rFonts w:ascii="Century Gothic" w:eastAsia="Century Gothic" w:hAnsi="Century Gothic" w:cs="Century Gothic"/>
          <w:sz w:val="20"/>
          <w:szCs w:val="20"/>
        </w:rPr>
        <w:t>E</w:t>
      </w:r>
      <w:r w:rsidRPr="001F7FF3">
        <w:rPr>
          <w:rFonts w:ascii="Century Gothic" w:eastAsia="Century Gothic" w:hAnsi="Century Gothic" w:cs="Century Gothic"/>
          <w:sz w:val="20"/>
          <w:szCs w:val="20"/>
        </w:rPr>
        <w:t xml:space="preserve">n algunos </w:t>
      </w:r>
      <w:r w:rsidR="00A42175" w:rsidRPr="001F7FF3">
        <w:rPr>
          <w:rFonts w:ascii="Century Gothic" w:eastAsia="Century Gothic" w:hAnsi="Century Gothic" w:cs="Century Gothic"/>
          <w:sz w:val="20"/>
          <w:szCs w:val="20"/>
        </w:rPr>
        <w:t>casos se</w:t>
      </w:r>
      <w:r w:rsidR="00B22F89" w:rsidRPr="001F7FF3">
        <w:rPr>
          <w:rFonts w:ascii="Century Gothic" w:eastAsia="Century Gothic" w:hAnsi="Century Gothic" w:cs="Century Gothic"/>
          <w:sz w:val="20"/>
          <w:szCs w:val="20"/>
        </w:rPr>
        <w:t xml:space="preserve"> realizaron</w:t>
      </w:r>
      <w:r w:rsidRPr="001F7FF3">
        <w:rPr>
          <w:rFonts w:ascii="Century Gothic" w:eastAsia="Century Gothic" w:hAnsi="Century Gothic" w:cs="Century Gothic"/>
          <w:sz w:val="20"/>
          <w:szCs w:val="20"/>
        </w:rPr>
        <w:t xml:space="preserve"> 2 entrevistas a la misma persona o </w:t>
      </w:r>
      <w:r w:rsidR="00B22F89" w:rsidRPr="001F7FF3">
        <w:rPr>
          <w:rFonts w:ascii="Century Gothic" w:eastAsia="Century Gothic" w:hAnsi="Century Gothic" w:cs="Century Gothic"/>
          <w:sz w:val="20"/>
          <w:szCs w:val="20"/>
        </w:rPr>
        <w:t>se solicit</w:t>
      </w:r>
      <w:r w:rsidR="004A65C5" w:rsidRPr="001F7FF3">
        <w:rPr>
          <w:rFonts w:ascii="Century Gothic" w:eastAsia="Century Gothic" w:hAnsi="Century Gothic" w:cs="Century Gothic"/>
          <w:sz w:val="20"/>
          <w:szCs w:val="20"/>
        </w:rPr>
        <w:t>aron</w:t>
      </w:r>
      <w:r w:rsidRPr="001F7FF3">
        <w:rPr>
          <w:rFonts w:ascii="Century Gothic" w:eastAsia="Century Gothic" w:hAnsi="Century Gothic" w:cs="Century Gothic"/>
          <w:sz w:val="20"/>
          <w:szCs w:val="20"/>
        </w:rPr>
        <w:t xml:space="preserve"> respuestas por escrito para complementar </w:t>
      </w:r>
      <w:r w:rsidR="004A65C5" w:rsidRPr="001F7FF3">
        <w:rPr>
          <w:rFonts w:ascii="Century Gothic" w:eastAsia="Century Gothic" w:hAnsi="Century Gothic" w:cs="Century Gothic"/>
          <w:sz w:val="20"/>
          <w:szCs w:val="20"/>
        </w:rPr>
        <w:t xml:space="preserve">información requerida en la identificación de hallazgos.  </w:t>
      </w:r>
    </w:p>
    <w:p w14:paraId="616C088F" w14:textId="1EADFE26" w:rsidR="0047412B" w:rsidRPr="001F7FF3" w:rsidRDefault="00923FE0"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rPr>
        <w:t>G</w:t>
      </w:r>
      <w:r w:rsidR="008B3AAD" w:rsidRPr="001F7FF3">
        <w:rPr>
          <w:rFonts w:ascii="Century Gothic" w:eastAsia="Century Gothic" w:hAnsi="Century Gothic" w:cs="Century Gothic"/>
          <w:b/>
          <w:bCs/>
          <w:sz w:val="20"/>
          <w:szCs w:val="20"/>
        </w:rPr>
        <w:t xml:space="preserve">rupos </w:t>
      </w:r>
      <w:r w:rsidR="004A65C5" w:rsidRPr="001F7FF3">
        <w:rPr>
          <w:rFonts w:ascii="Century Gothic" w:eastAsia="Century Gothic" w:hAnsi="Century Gothic" w:cs="Century Gothic"/>
          <w:b/>
          <w:bCs/>
          <w:sz w:val="20"/>
          <w:szCs w:val="20"/>
        </w:rPr>
        <w:t>f</w:t>
      </w:r>
      <w:r w:rsidR="008B3AAD" w:rsidRPr="001F7FF3">
        <w:rPr>
          <w:rFonts w:ascii="Century Gothic" w:eastAsia="Century Gothic" w:hAnsi="Century Gothic" w:cs="Century Gothic"/>
          <w:b/>
          <w:bCs/>
          <w:sz w:val="20"/>
          <w:szCs w:val="20"/>
        </w:rPr>
        <w:t>ocales</w:t>
      </w:r>
      <w:r w:rsidR="008B3AAD" w:rsidRPr="001F7FF3">
        <w:rPr>
          <w:rFonts w:ascii="Century Gothic" w:eastAsia="Century Gothic" w:hAnsi="Century Gothic" w:cs="Century Gothic"/>
          <w:sz w:val="20"/>
          <w:szCs w:val="20"/>
        </w:rPr>
        <w:t xml:space="preserve">: </w:t>
      </w:r>
      <w:r w:rsidR="002472B0" w:rsidRPr="001F7FF3">
        <w:rPr>
          <w:rFonts w:ascii="Century Gothic" w:eastAsia="Century Gothic" w:hAnsi="Century Gothic" w:cs="Century Gothic"/>
          <w:sz w:val="20"/>
          <w:szCs w:val="20"/>
        </w:rPr>
        <w:t xml:space="preserve">se condujeron de manera virtual </w:t>
      </w:r>
      <w:r w:rsidR="008B3AAD" w:rsidRPr="001F7FF3">
        <w:rPr>
          <w:rFonts w:ascii="Century Gothic" w:eastAsia="Century Gothic" w:hAnsi="Century Gothic" w:cs="Century Gothic"/>
          <w:sz w:val="20"/>
          <w:szCs w:val="20"/>
        </w:rPr>
        <w:t xml:space="preserve">para los donantes, las OSC, las víctimas y el equipo técnico del PNUD se realizaron grupos focales </w:t>
      </w:r>
      <w:r w:rsidR="004A65C5" w:rsidRPr="001F7FF3">
        <w:rPr>
          <w:rFonts w:ascii="Century Gothic" w:eastAsia="Century Gothic" w:hAnsi="Century Gothic" w:cs="Century Gothic"/>
          <w:sz w:val="20"/>
          <w:szCs w:val="20"/>
        </w:rPr>
        <w:t>con una</w:t>
      </w:r>
      <w:r w:rsidR="008B3AAD" w:rsidRPr="001F7FF3">
        <w:rPr>
          <w:rFonts w:ascii="Century Gothic" w:eastAsia="Century Gothic" w:hAnsi="Century Gothic" w:cs="Century Gothic"/>
          <w:sz w:val="20"/>
          <w:szCs w:val="20"/>
        </w:rPr>
        <w:t xml:space="preserve"> duración</w:t>
      </w:r>
      <w:r w:rsidR="004A65C5" w:rsidRPr="001F7FF3">
        <w:rPr>
          <w:rFonts w:ascii="Century Gothic" w:eastAsia="Century Gothic" w:hAnsi="Century Gothic" w:cs="Century Gothic"/>
          <w:sz w:val="20"/>
          <w:szCs w:val="20"/>
        </w:rPr>
        <w:t xml:space="preserve"> </w:t>
      </w:r>
      <w:r w:rsidR="00230C15" w:rsidRPr="001F7FF3">
        <w:rPr>
          <w:rFonts w:ascii="Century Gothic" w:eastAsia="Century Gothic" w:hAnsi="Century Gothic" w:cs="Century Gothic"/>
          <w:sz w:val="20"/>
          <w:szCs w:val="20"/>
        </w:rPr>
        <w:t xml:space="preserve">máxima </w:t>
      </w:r>
      <w:r w:rsidR="004A65C5" w:rsidRPr="001F7FF3">
        <w:rPr>
          <w:rFonts w:ascii="Century Gothic" w:eastAsia="Century Gothic" w:hAnsi="Century Gothic" w:cs="Century Gothic"/>
          <w:sz w:val="20"/>
          <w:szCs w:val="20"/>
        </w:rPr>
        <w:t>de dos horas</w:t>
      </w:r>
      <w:r w:rsidR="008B3AAD" w:rsidRPr="001F7FF3">
        <w:rPr>
          <w:rFonts w:ascii="Century Gothic" w:eastAsia="Century Gothic" w:hAnsi="Century Gothic" w:cs="Century Gothic"/>
          <w:sz w:val="20"/>
          <w:szCs w:val="20"/>
        </w:rPr>
        <w:t xml:space="preserve">. </w:t>
      </w:r>
      <w:r w:rsidR="004A65C5" w:rsidRPr="001F7FF3">
        <w:rPr>
          <w:rFonts w:ascii="Century Gothic" w:eastAsia="Century Gothic" w:hAnsi="Century Gothic" w:cs="Century Gothic"/>
          <w:sz w:val="20"/>
          <w:szCs w:val="20"/>
        </w:rPr>
        <w:t xml:space="preserve">En estos, </w:t>
      </w:r>
      <w:r w:rsidR="00C706F5" w:rsidRPr="001F7FF3">
        <w:rPr>
          <w:rFonts w:ascii="Century Gothic" w:eastAsia="Century Gothic" w:hAnsi="Century Gothic" w:cs="Century Gothic"/>
          <w:sz w:val="20"/>
          <w:szCs w:val="20"/>
        </w:rPr>
        <w:t xml:space="preserve">las características de conformación de </w:t>
      </w:r>
      <w:r w:rsidR="00722204" w:rsidRPr="001F7FF3">
        <w:rPr>
          <w:rFonts w:ascii="Century Gothic" w:eastAsia="Century Gothic" w:hAnsi="Century Gothic" w:cs="Century Gothic"/>
          <w:sz w:val="20"/>
          <w:szCs w:val="20"/>
        </w:rPr>
        <w:t xml:space="preserve">estos espacios fue convocar personas por tipo de actor, donde en cada uno de ellos </w:t>
      </w:r>
      <w:r w:rsidR="004A65C5" w:rsidRPr="001F7FF3">
        <w:rPr>
          <w:rFonts w:ascii="Century Gothic" w:eastAsia="Century Gothic" w:hAnsi="Century Gothic" w:cs="Century Gothic"/>
          <w:sz w:val="20"/>
          <w:szCs w:val="20"/>
        </w:rPr>
        <w:t xml:space="preserve">participaron </w:t>
      </w:r>
      <w:r w:rsidR="00230C15" w:rsidRPr="001F7FF3">
        <w:rPr>
          <w:rFonts w:ascii="Century Gothic" w:eastAsia="Century Gothic" w:hAnsi="Century Gothic" w:cs="Century Gothic"/>
          <w:sz w:val="20"/>
          <w:szCs w:val="20"/>
        </w:rPr>
        <w:t xml:space="preserve">alrededor de </w:t>
      </w:r>
      <w:r w:rsidR="008B3AAD" w:rsidRPr="001F7FF3">
        <w:rPr>
          <w:rFonts w:ascii="Century Gothic" w:eastAsia="Century Gothic" w:hAnsi="Century Gothic" w:cs="Century Gothic"/>
          <w:sz w:val="20"/>
          <w:szCs w:val="20"/>
        </w:rPr>
        <w:t xml:space="preserve">5 personas </w:t>
      </w:r>
      <w:r w:rsidR="00230C15" w:rsidRPr="001F7FF3">
        <w:rPr>
          <w:rFonts w:ascii="Century Gothic" w:eastAsia="Century Gothic" w:hAnsi="Century Gothic" w:cs="Century Gothic"/>
          <w:sz w:val="20"/>
          <w:szCs w:val="20"/>
        </w:rPr>
        <w:t xml:space="preserve">que permitió </w:t>
      </w:r>
      <w:r w:rsidR="008B3AAD" w:rsidRPr="001F7FF3">
        <w:rPr>
          <w:rFonts w:ascii="Century Gothic" w:eastAsia="Century Gothic" w:hAnsi="Century Gothic" w:cs="Century Gothic"/>
          <w:sz w:val="20"/>
          <w:szCs w:val="20"/>
        </w:rPr>
        <w:t xml:space="preserve">un “debate” entre </w:t>
      </w:r>
      <w:r w:rsidR="00722204" w:rsidRPr="001F7FF3">
        <w:rPr>
          <w:rFonts w:ascii="Century Gothic" w:eastAsia="Century Gothic" w:hAnsi="Century Gothic" w:cs="Century Gothic"/>
          <w:sz w:val="20"/>
          <w:szCs w:val="20"/>
        </w:rPr>
        <w:t xml:space="preserve">las partes, </w:t>
      </w:r>
      <w:r w:rsidR="008B3AAD" w:rsidRPr="001F7FF3">
        <w:rPr>
          <w:rFonts w:ascii="Century Gothic" w:eastAsia="Century Gothic" w:hAnsi="Century Gothic" w:cs="Century Gothic"/>
          <w:sz w:val="20"/>
          <w:szCs w:val="20"/>
        </w:rPr>
        <w:t>mostrando distintas experiencias</w:t>
      </w:r>
      <w:r w:rsidR="00230C15" w:rsidRPr="001F7FF3">
        <w:rPr>
          <w:rFonts w:ascii="Century Gothic" w:eastAsia="Century Gothic" w:hAnsi="Century Gothic" w:cs="Century Gothic"/>
          <w:sz w:val="20"/>
          <w:szCs w:val="20"/>
        </w:rPr>
        <w:t xml:space="preserve"> o complementando otras</w:t>
      </w:r>
      <w:r w:rsidR="008B3AAD" w:rsidRPr="001F7FF3">
        <w:rPr>
          <w:rFonts w:ascii="Century Gothic" w:eastAsia="Century Gothic" w:hAnsi="Century Gothic" w:cs="Century Gothic"/>
          <w:sz w:val="20"/>
          <w:szCs w:val="20"/>
        </w:rPr>
        <w:t>.  En los grupos focales</w:t>
      </w:r>
      <w:r w:rsidR="00722204" w:rsidRPr="001F7FF3">
        <w:rPr>
          <w:rFonts w:ascii="Century Gothic" w:eastAsia="Century Gothic" w:hAnsi="Century Gothic" w:cs="Century Gothic"/>
          <w:sz w:val="20"/>
          <w:szCs w:val="20"/>
        </w:rPr>
        <w:t xml:space="preserve"> se evidenció una limitante en materia de tiempo y en comparación a la cantidad de preguntas existentes en la matriz de evaluación, por tal motivo, en cada uno de ellos se seleccionaron preguntas clave y específicas para cada uno de los criterios a los cuales pudieran aportar información desde su conocimiento y rol en el PJT. </w:t>
      </w:r>
    </w:p>
    <w:p w14:paraId="47277A4A" w14:textId="39906E4D" w:rsidR="0047412B" w:rsidRPr="001F7FF3" w:rsidRDefault="0047412B"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Es importante aclarar que dado a la sensibilidad de la temática de la evaluación y teniendo en cuenta el cuidado de la privacidad y seguridad de las víctimas, aquellas que participaron de la evaluación fueron representantes de las víctimas que también hacen parte de OSC o de organizaciones que trabajan con ellas directamente. Lo anterior, debido a que el trabajo con víctimas no fue un enfoque principal de la evaluación a causa de que no existe un trabajo directo de PNUD con las víctimas, sino que este se realiza a través de las OSC que trabajan con ellas.  </w:t>
      </w:r>
    </w:p>
    <w:p w14:paraId="79FDFCF8" w14:textId="053C695B" w:rsidR="0047412B" w:rsidRPr="001F7FF3" w:rsidRDefault="0047412B"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Vale la pena indicar que, este enfoque en beneficiarios finales/víctimas sí se pensó desde el diseño de la presente evaluación, con el objetivo de recoger su experiencia y recomendaciones. Por lo tanto, se tomó información de la evaluación del proyecto de Reparaciones Colectivas, que hace parte integral de la presente evaluación y que tuvo contacto directo con beneficiarios finales en el territorio. </w:t>
      </w:r>
    </w:p>
    <w:p w14:paraId="6C714F8B" w14:textId="11F8B4DB" w:rsidR="008B3AAD" w:rsidRPr="001F7FF3" w:rsidRDefault="008B3AAD"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rPr>
        <w:t>Encuesta:</w:t>
      </w:r>
      <w:r w:rsidRPr="001F7FF3">
        <w:rPr>
          <w:rFonts w:ascii="Century Gothic" w:eastAsia="Century Gothic" w:hAnsi="Century Gothic" w:cs="Century Gothic"/>
          <w:sz w:val="20"/>
          <w:szCs w:val="20"/>
        </w:rPr>
        <w:t xml:space="preserve"> </w:t>
      </w:r>
      <w:r w:rsidR="00577C6E" w:rsidRPr="001F7FF3">
        <w:rPr>
          <w:rFonts w:ascii="Century Gothic" w:eastAsia="Century Gothic" w:hAnsi="Century Gothic" w:cs="Century Gothic"/>
          <w:sz w:val="20"/>
          <w:szCs w:val="20"/>
        </w:rPr>
        <w:t xml:space="preserve">para </w:t>
      </w:r>
      <w:r w:rsidR="006C1866" w:rsidRPr="001F7FF3">
        <w:rPr>
          <w:rFonts w:ascii="Century Gothic" w:eastAsia="Century Gothic" w:hAnsi="Century Gothic" w:cs="Century Gothic"/>
          <w:sz w:val="20"/>
          <w:szCs w:val="20"/>
        </w:rPr>
        <w:t>la aplicación de la encuesta se</w:t>
      </w:r>
      <w:r w:rsidR="00577C6E" w:rsidRPr="001F7FF3">
        <w:rPr>
          <w:rFonts w:ascii="Century Gothic" w:eastAsia="Century Gothic" w:hAnsi="Century Gothic" w:cs="Century Gothic"/>
          <w:sz w:val="20"/>
          <w:szCs w:val="20"/>
        </w:rPr>
        <w:t xml:space="preserve"> contó con la colaboración del equipo técnico de PNUD, quienes brindaron los datos de contacto de las 80 OSC participantes del proyecto. Esta encuesta fue aplicada para complementar la información recibida en las entrevistas y grupos focales, a partir de la cual se buscó dar mayor voz a OSC que no participaron de los demás métodos de recolección de información. </w:t>
      </w:r>
      <w:r w:rsidRPr="001F7FF3">
        <w:rPr>
          <w:rFonts w:ascii="Century Gothic" w:eastAsia="Century Gothic" w:hAnsi="Century Gothic" w:cs="Century Gothic"/>
          <w:sz w:val="20"/>
          <w:szCs w:val="20"/>
        </w:rPr>
        <w:t xml:space="preserve"> Esta encuesta </w:t>
      </w:r>
      <w:r w:rsidR="00577C6E" w:rsidRPr="001F7FF3">
        <w:rPr>
          <w:rFonts w:ascii="Century Gothic" w:eastAsia="Century Gothic" w:hAnsi="Century Gothic" w:cs="Century Gothic"/>
          <w:sz w:val="20"/>
          <w:szCs w:val="20"/>
        </w:rPr>
        <w:t xml:space="preserve">fue enviada efectivamente a </w:t>
      </w:r>
      <w:r w:rsidRPr="001F7FF3">
        <w:rPr>
          <w:rFonts w:ascii="Century Gothic" w:eastAsia="Century Gothic" w:hAnsi="Century Gothic" w:cs="Century Gothic"/>
          <w:sz w:val="20"/>
          <w:szCs w:val="20"/>
        </w:rPr>
        <w:t>un total de 76</w:t>
      </w:r>
      <w:r w:rsidR="00577C6E" w:rsidRPr="001F7FF3">
        <w:rPr>
          <w:rFonts w:ascii="Century Gothic" w:eastAsia="Century Gothic" w:hAnsi="Century Gothic" w:cs="Century Gothic"/>
          <w:sz w:val="20"/>
          <w:szCs w:val="20"/>
        </w:rPr>
        <w:t xml:space="preserve"> de las 80</w:t>
      </w:r>
      <w:r w:rsidRPr="001F7FF3">
        <w:rPr>
          <w:rFonts w:ascii="Century Gothic" w:eastAsia="Century Gothic" w:hAnsi="Century Gothic" w:cs="Century Gothic"/>
          <w:sz w:val="20"/>
          <w:szCs w:val="20"/>
        </w:rPr>
        <w:t xml:space="preserve"> </w:t>
      </w:r>
      <w:r w:rsidR="00577C6E" w:rsidRPr="001F7FF3">
        <w:rPr>
          <w:rFonts w:ascii="Century Gothic" w:eastAsia="Century Gothic" w:hAnsi="Century Gothic" w:cs="Century Gothic"/>
          <w:sz w:val="20"/>
          <w:szCs w:val="20"/>
        </w:rPr>
        <w:t xml:space="preserve">OSC </w:t>
      </w:r>
      <w:r w:rsidRPr="001F7FF3">
        <w:rPr>
          <w:rFonts w:ascii="Century Gothic" w:eastAsia="Century Gothic" w:hAnsi="Century Gothic" w:cs="Century Gothic"/>
          <w:sz w:val="20"/>
          <w:szCs w:val="20"/>
        </w:rPr>
        <w:t xml:space="preserve">de las cuales </w:t>
      </w:r>
      <w:r w:rsidR="00D851A7" w:rsidRPr="001F7FF3">
        <w:rPr>
          <w:rFonts w:ascii="Century Gothic" w:eastAsia="Century Gothic" w:hAnsi="Century Gothic" w:cs="Century Gothic"/>
          <w:sz w:val="20"/>
          <w:szCs w:val="20"/>
        </w:rPr>
        <w:t>respondieron</w:t>
      </w:r>
      <w:r w:rsidRPr="001F7FF3">
        <w:rPr>
          <w:rFonts w:ascii="Century Gothic" w:eastAsia="Century Gothic" w:hAnsi="Century Gothic" w:cs="Century Gothic"/>
          <w:sz w:val="20"/>
          <w:szCs w:val="20"/>
        </w:rPr>
        <w:t xml:space="preserve">, </w:t>
      </w:r>
      <w:r w:rsidR="00DA149C" w:rsidRPr="001F7FF3">
        <w:rPr>
          <w:rFonts w:ascii="Century Gothic" w:eastAsia="Century Gothic" w:hAnsi="Century Gothic" w:cs="Century Gothic"/>
          <w:sz w:val="20"/>
          <w:szCs w:val="20"/>
        </w:rPr>
        <w:t>30</w:t>
      </w:r>
      <w:r w:rsidRPr="001F7FF3">
        <w:rPr>
          <w:rFonts w:ascii="Century Gothic" w:eastAsia="Century Gothic" w:hAnsi="Century Gothic" w:cs="Century Gothic"/>
          <w:sz w:val="20"/>
          <w:szCs w:val="20"/>
        </w:rPr>
        <w:t xml:space="preserve"> personas</w:t>
      </w:r>
      <w:r w:rsidR="003D4E58" w:rsidRPr="001F7FF3">
        <w:rPr>
          <w:rFonts w:ascii="Century Gothic" w:eastAsia="Century Gothic" w:hAnsi="Century Gothic" w:cs="Century Gothic"/>
          <w:sz w:val="20"/>
          <w:szCs w:val="20"/>
        </w:rPr>
        <w:t xml:space="preserve"> (39.47% de respuesta)</w:t>
      </w:r>
      <w:r w:rsidRPr="001F7FF3">
        <w:rPr>
          <w:rFonts w:ascii="Century Gothic" w:eastAsia="Century Gothic" w:hAnsi="Century Gothic" w:cs="Century Gothic"/>
          <w:sz w:val="20"/>
          <w:szCs w:val="20"/>
        </w:rPr>
        <w:t xml:space="preserve">.  </w:t>
      </w:r>
      <w:r w:rsidR="00DA149C" w:rsidRPr="001F7FF3">
        <w:rPr>
          <w:rFonts w:ascii="Century Gothic" w:eastAsia="Century Gothic" w:hAnsi="Century Gothic" w:cs="Century Gothic"/>
          <w:sz w:val="20"/>
          <w:szCs w:val="20"/>
        </w:rPr>
        <w:t>La encuesta se divulgó a través de Google Forms y permitió tener un mayor alcance dando voz a personas de las OSC que no pudieron ser entrevistadas, para garantizar el enfoque participativo del ejercicio y cuantificar algunas percepciones.</w:t>
      </w:r>
      <w:r w:rsidR="003D4E58" w:rsidRPr="001F7FF3">
        <w:rPr>
          <w:rFonts w:ascii="Century Gothic" w:eastAsia="Century Gothic" w:hAnsi="Century Gothic" w:cs="Century Gothic"/>
          <w:sz w:val="20"/>
          <w:szCs w:val="20"/>
        </w:rPr>
        <w:t xml:space="preserve"> Si bien es baja la respuesta al instrumento, este</w:t>
      </w:r>
      <w:r w:rsidR="00217A20" w:rsidRPr="001F7FF3">
        <w:rPr>
          <w:rFonts w:ascii="Century Gothic" w:eastAsia="Century Gothic" w:hAnsi="Century Gothic" w:cs="Century Gothic"/>
          <w:sz w:val="20"/>
          <w:szCs w:val="20"/>
        </w:rPr>
        <w:t xml:space="preserve"> no</w:t>
      </w:r>
      <w:r w:rsidR="003D4E58" w:rsidRPr="001F7FF3">
        <w:rPr>
          <w:rFonts w:ascii="Century Gothic" w:eastAsia="Century Gothic" w:hAnsi="Century Gothic" w:cs="Century Gothic"/>
          <w:sz w:val="20"/>
          <w:szCs w:val="20"/>
        </w:rPr>
        <w:t xml:space="preserve"> se categorizó dentro de la evaluación como una fuente principal de recolección de información, a diferencia de las entrevistas y los grupos focales. Como se mencionó anteriormente, este instrumento buscó recoger </w:t>
      </w:r>
      <w:r w:rsidR="007D370E" w:rsidRPr="001F7FF3">
        <w:rPr>
          <w:rFonts w:ascii="Century Gothic" w:eastAsia="Century Gothic" w:hAnsi="Century Gothic" w:cs="Century Gothic"/>
          <w:sz w:val="20"/>
          <w:szCs w:val="20"/>
        </w:rPr>
        <w:t>más información</w:t>
      </w:r>
      <w:r w:rsidR="003D4E58" w:rsidRPr="001F7FF3">
        <w:rPr>
          <w:rFonts w:ascii="Century Gothic" w:eastAsia="Century Gothic" w:hAnsi="Century Gothic" w:cs="Century Gothic"/>
          <w:sz w:val="20"/>
          <w:szCs w:val="20"/>
        </w:rPr>
        <w:t xml:space="preserve"> y darle mayor alcance a la evaluación para poder dotar de mayor robustez al análisis, hallazgos y recomendaciones. </w:t>
      </w:r>
    </w:p>
    <w:p w14:paraId="5E61AA31" w14:textId="45F9E9B7" w:rsidR="006B7533" w:rsidRPr="001F7FF3" w:rsidRDefault="007D370E" w:rsidP="009D291F">
      <w:pPr>
        <w:spacing w:before="240" w:after="240"/>
        <w:jc w:val="both"/>
        <w:rPr>
          <w:rFonts w:ascii="Century Gothic" w:hAnsi="Century Gothic" w:cs="Century Gothic"/>
          <w:sz w:val="20"/>
          <w:szCs w:val="20"/>
        </w:rPr>
      </w:pPr>
      <w:r w:rsidRPr="001F7FF3">
        <w:rPr>
          <w:rFonts w:ascii="Century Gothic" w:eastAsia="Century Gothic" w:hAnsi="Century Gothic" w:cs="Century Gothic"/>
          <w:b/>
          <w:bCs/>
          <w:sz w:val="20"/>
          <w:szCs w:val="20"/>
        </w:rPr>
        <w:t xml:space="preserve">Visitas a campo: </w:t>
      </w:r>
      <w:r w:rsidR="002472B0" w:rsidRPr="001F7FF3">
        <w:rPr>
          <w:rFonts w:ascii="Century Gothic" w:eastAsia="Century Gothic" w:hAnsi="Century Gothic" w:cs="Century Gothic"/>
          <w:sz w:val="20"/>
          <w:szCs w:val="20"/>
        </w:rPr>
        <w:t xml:space="preserve">a pesar de las limitaciones a causa del Covid-19, </w:t>
      </w:r>
      <w:r w:rsidRPr="001F7FF3">
        <w:rPr>
          <w:rFonts w:ascii="Century Gothic" w:eastAsia="Century Gothic" w:hAnsi="Century Gothic" w:cs="Century Gothic"/>
          <w:sz w:val="20"/>
          <w:szCs w:val="20"/>
        </w:rPr>
        <w:t xml:space="preserve">estas fueron fuente principal de información para la evaluación de reparaciones colectivas, la cual como se </w:t>
      </w:r>
      <w:r w:rsidRPr="001F7FF3">
        <w:rPr>
          <w:rFonts w:ascii="Century Gothic" w:eastAsia="Century Gothic" w:hAnsi="Century Gothic" w:cs="Century Gothic"/>
          <w:sz w:val="20"/>
          <w:szCs w:val="20"/>
        </w:rPr>
        <w:lastRenderedPageBreak/>
        <w:t>mencionó anteriormente fue aparte del proceso evaluativo de la presente evaluación, pero fue integrado al análisis de la evaluación del PJT. En este sentido,</w:t>
      </w:r>
      <w:r w:rsidR="006B7533" w:rsidRPr="001F7FF3">
        <w:rPr>
          <w:rFonts w:ascii="Century Gothic" w:eastAsia="Century Gothic" w:hAnsi="Century Gothic" w:cs="Century Gothic"/>
          <w:sz w:val="20"/>
          <w:szCs w:val="20"/>
        </w:rPr>
        <w:t xml:space="preserve"> y como se indica en dicha evaluación: “</w:t>
      </w:r>
      <w:r w:rsidR="006B7533" w:rsidRPr="001F7FF3">
        <w:rPr>
          <w:rFonts w:ascii="Century Gothic" w:hAnsi="Century Gothic" w:cs="Century Gothic"/>
          <w:sz w:val="20"/>
          <w:szCs w:val="20"/>
        </w:rPr>
        <w:t>Teniendo en cuenta el rol protagónico de las comunidades en todo el proceso de la implementación de las medidas de reparación colectiva, de reubicación y de retorno, la realización de entrevistas y grupos focales con participación de diversos actores locales fue esencial para poder tener acceso a información y percepciones de la población beneficiaria. Para tener una muestra representativa de los diferentes territorios y comunidades, la evaluación combinó diferentes métodos de recolección de información que permitan alcanzar un número significativo de beneficiarios, organizaciones y entidades que participaron tanto en los proyectos dinamizadores de retorno y reubicaciones como en las medidas y acciones de reparación colectiva.  La evaluación</w:t>
      </w:r>
      <w:r w:rsidR="00DE7022" w:rsidRPr="001F7FF3">
        <w:rPr>
          <w:rFonts w:ascii="Century Gothic" w:hAnsi="Century Gothic" w:cs="Century Gothic"/>
          <w:sz w:val="20"/>
          <w:szCs w:val="20"/>
        </w:rPr>
        <w:t xml:space="preserve"> de reparaciones colectivas</w:t>
      </w:r>
      <w:r w:rsidR="006B7533" w:rsidRPr="001F7FF3">
        <w:rPr>
          <w:rFonts w:ascii="Century Gothic" w:hAnsi="Century Gothic" w:cs="Century Gothic"/>
          <w:sz w:val="20"/>
          <w:szCs w:val="20"/>
        </w:rPr>
        <w:t xml:space="preserve"> contó con </w:t>
      </w:r>
      <w:r w:rsidR="006B7533" w:rsidRPr="001F7FF3">
        <w:rPr>
          <w:rFonts w:ascii="Century Gothic" w:hAnsi="Century Gothic" w:cs="Century Gothic"/>
          <w:b/>
          <w:bCs/>
          <w:sz w:val="20"/>
          <w:szCs w:val="20"/>
        </w:rPr>
        <w:t>dos viajes a terreno</w:t>
      </w:r>
      <w:r w:rsidR="006B7533" w:rsidRPr="001F7FF3">
        <w:rPr>
          <w:rFonts w:ascii="Century Gothic" w:hAnsi="Century Gothic" w:cs="Century Gothic"/>
          <w:sz w:val="20"/>
          <w:szCs w:val="20"/>
        </w:rPr>
        <w:t>, uno a Apartadó, Urabá Antioqueño y otro a San Jacinto, Bolívar. En estas visitas se hicieron grupos focales y entrevistas a actores estratégicos como líderes de Juntas de Acción Comunal (JAC), participantes de los Comités de Impulso, funcionarios de la Unidad Administrativa Especial para la Atención y Reparación Integral a las Victimas (UARIV), etc. Las reuniones presenciales facilitaron la generación de confianza para el ejercicio evaluativo y permitieron ampliar la información a través del contacto directo y la observación.”</w:t>
      </w:r>
      <w:r w:rsidR="006B7533" w:rsidRPr="001F7FF3">
        <w:rPr>
          <w:rStyle w:val="Refdenotaalpie"/>
          <w:rFonts w:ascii="Century Gothic" w:hAnsi="Century Gothic" w:cs="Century Gothic"/>
          <w:sz w:val="20"/>
          <w:szCs w:val="20"/>
        </w:rPr>
        <w:footnoteReference w:id="8"/>
      </w:r>
    </w:p>
    <w:p w14:paraId="6404981A" w14:textId="3416400A" w:rsidR="007D370E" w:rsidRPr="001F7FF3" w:rsidRDefault="007D370E"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 xml:space="preserve">A su vez, la recolección de información tuvo una perspectiva de identificación de buenas prácticas y lecciones aprendidas, en un marco de gestión por resultados y rendición de cuentas. En esencia, los hallazgos presentados en este informe son un insumo para la toma de decisiones estratégicas para futuras programaciones y para promover el aprendizaje institucional. La identificación de riesgos a nivel social y político también fue parte fundamental de la recolección de información. </w:t>
      </w:r>
    </w:p>
    <w:p w14:paraId="1F4BF75D" w14:textId="2E663CC4" w:rsidR="007D370E" w:rsidRPr="001F7FF3" w:rsidRDefault="007D370E"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En cuanto a</w:t>
      </w:r>
      <w:r w:rsidR="006B7533" w:rsidRPr="001F7FF3">
        <w:rPr>
          <w:rFonts w:ascii="Century Gothic" w:eastAsia="Century Gothic" w:hAnsi="Century Gothic" w:cs="Century Gothic"/>
          <w:sz w:val="20"/>
          <w:szCs w:val="20"/>
        </w:rPr>
        <w:t xml:space="preserve"> los dos</w:t>
      </w:r>
      <w:r w:rsidRPr="001F7FF3">
        <w:rPr>
          <w:rFonts w:ascii="Century Gothic" w:eastAsia="Century Gothic" w:hAnsi="Century Gothic" w:cs="Century Gothic"/>
          <w:sz w:val="20"/>
          <w:szCs w:val="20"/>
        </w:rPr>
        <w:t xml:space="preserve"> Marco</w:t>
      </w:r>
      <w:r w:rsidR="006B7533" w:rsidRPr="001F7FF3">
        <w:rPr>
          <w:rFonts w:ascii="Century Gothic" w:eastAsia="Century Gothic" w:hAnsi="Century Gothic" w:cs="Century Gothic"/>
          <w:sz w:val="20"/>
          <w:szCs w:val="20"/>
        </w:rPr>
        <w:t>s</w:t>
      </w:r>
      <w:r w:rsidRPr="001F7FF3">
        <w:rPr>
          <w:rFonts w:ascii="Century Gothic" w:eastAsia="Century Gothic" w:hAnsi="Century Gothic" w:cs="Century Gothic"/>
          <w:sz w:val="20"/>
          <w:szCs w:val="20"/>
        </w:rPr>
        <w:t xml:space="preserve"> de Cooperación y </w:t>
      </w:r>
      <w:r w:rsidR="006B7533" w:rsidRPr="001F7FF3">
        <w:rPr>
          <w:rFonts w:ascii="Century Gothic" w:eastAsia="Century Gothic" w:hAnsi="Century Gothic" w:cs="Century Gothic"/>
          <w:sz w:val="20"/>
          <w:szCs w:val="20"/>
        </w:rPr>
        <w:t xml:space="preserve">el </w:t>
      </w:r>
      <w:r w:rsidRPr="001F7FF3">
        <w:rPr>
          <w:rFonts w:ascii="Century Gothic" w:eastAsia="Century Gothic" w:hAnsi="Century Gothic" w:cs="Century Gothic"/>
          <w:sz w:val="20"/>
          <w:szCs w:val="20"/>
        </w:rPr>
        <w:t>Plan Estratégico del PNUD,</w:t>
      </w:r>
      <w:r w:rsidR="006B7533" w:rsidRPr="001F7FF3">
        <w:rPr>
          <w:rFonts w:ascii="Century Gothic" w:eastAsia="Century Gothic" w:hAnsi="Century Gothic" w:cs="Century Gothic"/>
          <w:sz w:val="20"/>
          <w:szCs w:val="20"/>
        </w:rPr>
        <w:t xml:space="preserve"> que ha atravesado el PJT, </w:t>
      </w:r>
      <w:r w:rsidRPr="001F7FF3">
        <w:rPr>
          <w:rFonts w:ascii="Century Gothic" w:eastAsia="Century Gothic" w:hAnsi="Century Gothic" w:cs="Century Gothic"/>
          <w:sz w:val="20"/>
          <w:szCs w:val="20"/>
        </w:rPr>
        <w:t xml:space="preserve">la evaluación </w:t>
      </w:r>
      <w:r w:rsidR="006B7533" w:rsidRPr="001F7FF3">
        <w:rPr>
          <w:rFonts w:ascii="Century Gothic" w:eastAsia="Century Gothic" w:hAnsi="Century Gothic" w:cs="Century Gothic"/>
          <w:sz w:val="20"/>
          <w:szCs w:val="20"/>
        </w:rPr>
        <w:t xml:space="preserve">tuvo </w:t>
      </w:r>
      <w:r w:rsidRPr="001F7FF3">
        <w:rPr>
          <w:rFonts w:ascii="Century Gothic" w:eastAsia="Century Gothic" w:hAnsi="Century Gothic" w:cs="Century Gothic"/>
          <w:sz w:val="20"/>
          <w:szCs w:val="20"/>
        </w:rPr>
        <w:t xml:space="preserve">en cuenta la contribución del portafolio a la implementación de la Política Paz con Legalidad y, en consecuencia, al fortalecimiento de la arquitectura institucional para la implementación del Acuerdo de Paz, específicamente en el fortalecimiento institucional para la puesta en marcha de las instancias del SIVJRNR en los ámbitos que conciernen al acceso a la justicia, a la verdad y por supuesto a la atención, reparación, restitución y dignificación de las víctimas. </w:t>
      </w:r>
    </w:p>
    <w:p w14:paraId="405D5D10" w14:textId="77777777" w:rsidR="007D370E" w:rsidRPr="001F7FF3" w:rsidRDefault="007D370E" w:rsidP="009D291F">
      <w:pPr>
        <w:spacing w:before="240" w:after="240"/>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rPr>
        <w:t>Lo anterior, se enmarcó de forma general en la medición del avance frente a los Objetivos de Desarrollo Sostenibles (ODS), desde la teoría del cambio planteada en el Marco de Cooperación y en el Prodoc del PJT. Esta evaluación se enmarca en la primera área estratégica priorizada por el Gobierno y las Naciones Unidas en el marco de cooperación: apoyo a la política Paz con Legalidad, fortaleciendo la implementación de los PDET, la reincorporación de los excombatientes y el apoyo a la sustitución de cultivos ilícitos.</w:t>
      </w:r>
    </w:p>
    <w:p w14:paraId="786F84DB" w14:textId="77777777" w:rsidR="002472B0" w:rsidRPr="001F7FF3" w:rsidRDefault="002472B0" w:rsidP="009D291F">
      <w:pPr>
        <w:jc w:val="both"/>
        <w:rPr>
          <w:rFonts w:ascii="Century Gothic" w:hAnsi="Century Gothic"/>
          <w:sz w:val="20"/>
          <w:szCs w:val="20"/>
        </w:rPr>
      </w:pPr>
      <w:r w:rsidRPr="001F7FF3">
        <w:rPr>
          <w:rFonts w:ascii="Century Gothic" w:hAnsi="Century Gothic"/>
          <w:sz w:val="20"/>
          <w:szCs w:val="20"/>
        </w:rPr>
        <w:t>E</w:t>
      </w:r>
      <w:r w:rsidR="007D370E" w:rsidRPr="001F7FF3">
        <w:rPr>
          <w:rFonts w:ascii="Century Gothic" w:hAnsi="Century Gothic"/>
          <w:sz w:val="20"/>
          <w:szCs w:val="20"/>
        </w:rPr>
        <w:t>n cada una de las entrevistas y grupos focales un consultor senior del equipo LPIC dirigió la conversación con el entrevistado y un consultor junior to</w:t>
      </w:r>
      <w:r w:rsidRPr="001F7FF3">
        <w:rPr>
          <w:rFonts w:ascii="Century Gothic" w:hAnsi="Century Gothic"/>
          <w:sz w:val="20"/>
          <w:szCs w:val="20"/>
        </w:rPr>
        <w:t>ó</w:t>
      </w:r>
      <w:r w:rsidR="007D370E" w:rsidRPr="001F7FF3">
        <w:rPr>
          <w:rFonts w:ascii="Century Gothic" w:hAnsi="Century Gothic"/>
          <w:sz w:val="20"/>
          <w:szCs w:val="20"/>
        </w:rPr>
        <w:t xml:space="preserve"> nota y organiz</w:t>
      </w:r>
      <w:r w:rsidRPr="001F7FF3">
        <w:rPr>
          <w:rFonts w:ascii="Century Gothic" w:hAnsi="Century Gothic"/>
          <w:sz w:val="20"/>
          <w:szCs w:val="20"/>
        </w:rPr>
        <w:t>ó</w:t>
      </w:r>
      <w:r w:rsidR="007D370E" w:rsidRPr="001F7FF3">
        <w:rPr>
          <w:rFonts w:ascii="Century Gothic" w:hAnsi="Century Gothic"/>
          <w:sz w:val="20"/>
          <w:szCs w:val="20"/>
        </w:rPr>
        <w:t xml:space="preserve"> la información obtenida para facilitar la sistematización y posteriormente el análisis cualitativo. Las notas fueron recopiladas y subidas a una carpeta segura de trabajo del equipo consultor, donde se clasificaron en subcarpetas por actor entrevistado a partir de una codificación para facilitar su búsqueda y consulta. </w:t>
      </w:r>
    </w:p>
    <w:p w14:paraId="76BC8D1E" w14:textId="77777777" w:rsidR="002472B0" w:rsidRPr="001F7FF3" w:rsidRDefault="002472B0" w:rsidP="009D291F">
      <w:pPr>
        <w:jc w:val="both"/>
        <w:rPr>
          <w:rFonts w:ascii="Century Gothic" w:hAnsi="Century Gothic"/>
          <w:sz w:val="20"/>
          <w:szCs w:val="20"/>
        </w:rPr>
      </w:pPr>
    </w:p>
    <w:p w14:paraId="1D34C722" w14:textId="14AFC730" w:rsidR="007D370E" w:rsidRPr="001F7FF3" w:rsidRDefault="007D370E" w:rsidP="009D291F">
      <w:pPr>
        <w:jc w:val="both"/>
        <w:rPr>
          <w:rFonts w:ascii="Century Gothic" w:hAnsi="Century Gothic"/>
          <w:sz w:val="20"/>
          <w:szCs w:val="20"/>
        </w:rPr>
      </w:pPr>
      <w:r w:rsidRPr="001F7FF3">
        <w:rPr>
          <w:rFonts w:ascii="Century Gothic" w:hAnsi="Century Gothic"/>
          <w:sz w:val="20"/>
          <w:szCs w:val="20"/>
        </w:rPr>
        <w:t>Posteriormente, estas notas individuales fueron digitalizadas en la matriz de evaluación presentada en el informe de inicio (Ver anexo 1).</w:t>
      </w:r>
      <w:r w:rsidR="002472B0" w:rsidRPr="001F7FF3">
        <w:rPr>
          <w:rFonts w:ascii="Century Gothic" w:hAnsi="Century Gothic"/>
          <w:sz w:val="20"/>
          <w:szCs w:val="20"/>
        </w:rPr>
        <w:t xml:space="preserve"> Una vez fueron trasladadas a la matriz de </w:t>
      </w:r>
      <w:r w:rsidR="002472B0" w:rsidRPr="001F7FF3">
        <w:rPr>
          <w:rFonts w:ascii="Century Gothic" w:hAnsi="Century Gothic"/>
          <w:sz w:val="20"/>
          <w:szCs w:val="20"/>
        </w:rPr>
        <w:lastRenderedPageBreak/>
        <w:t xml:space="preserve">evaluación, se procedió a codificar el nombre de </w:t>
      </w:r>
      <w:r w:rsidR="00507117" w:rsidRPr="001F7FF3">
        <w:rPr>
          <w:rFonts w:ascii="Century Gothic" w:hAnsi="Century Gothic"/>
          <w:sz w:val="20"/>
          <w:szCs w:val="20"/>
        </w:rPr>
        <w:t>los actores para preservar la confidencialidad de los participantes y evitar cualqui</w:t>
      </w:r>
      <w:r w:rsidRPr="001F7FF3">
        <w:rPr>
          <w:rFonts w:ascii="Century Gothic" w:hAnsi="Century Gothic"/>
          <w:sz w:val="20"/>
          <w:szCs w:val="20"/>
        </w:rPr>
        <w:t>er tipo de riesgo para ellos/as.</w:t>
      </w:r>
    </w:p>
    <w:p w14:paraId="0CC837CD" w14:textId="77777777" w:rsidR="007D370E" w:rsidRPr="001F7FF3" w:rsidRDefault="007D370E" w:rsidP="009D291F">
      <w:pPr>
        <w:jc w:val="both"/>
        <w:rPr>
          <w:rFonts w:ascii="Century Gothic" w:hAnsi="Century Gothic"/>
          <w:sz w:val="20"/>
          <w:szCs w:val="20"/>
        </w:rPr>
      </w:pPr>
    </w:p>
    <w:p w14:paraId="3C854253" w14:textId="6B8392B7" w:rsidR="00A87857" w:rsidRPr="001F7FF3" w:rsidRDefault="007D370E" w:rsidP="009D291F">
      <w:pPr>
        <w:spacing w:before="240" w:after="240"/>
        <w:jc w:val="both"/>
        <w:rPr>
          <w:rFonts w:ascii="Century Gothic" w:hAnsi="Century Gothic" w:cs="Century Gothic"/>
          <w:sz w:val="20"/>
          <w:szCs w:val="20"/>
        </w:rPr>
      </w:pPr>
      <w:r w:rsidRPr="001F7FF3">
        <w:rPr>
          <w:rFonts w:ascii="Century Gothic" w:hAnsi="Century Gothic"/>
          <w:sz w:val="20"/>
          <w:szCs w:val="20"/>
        </w:rPr>
        <w:t xml:space="preserve">Una vez la matriz de evaluación estuvo diligenciada con las notas de las entrevistas y grupos focales, se utilizó una combinación de métodos cuantitativos y cualitativos para triangular la información obtenida de diferentes actores y fuentes de información e identificar patrones, consensos y disensos entre ellos y a partir de este análisis preliminar poder formular hallazgos iniciales. Estos hallazgos han sido contrastados también a partir de la revisión y el análisis documental. </w:t>
      </w:r>
      <w:r w:rsidR="002472B0" w:rsidRPr="001F7FF3">
        <w:rPr>
          <w:rFonts w:ascii="Century Gothic" w:eastAsia="Century Gothic" w:hAnsi="Century Gothic" w:cs="Century Gothic"/>
          <w:sz w:val="20"/>
          <w:szCs w:val="20"/>
        </w:rPr>
        <w:t xml:space="preserve">En la matriz </w:t>
      </w:r>
      <w:r w:rsidR="002472B0" w:rsidRPr="001F7FF3">
        <w:rPr>
          <w:rFonts w:ascii="Century Gothic" w:eastAsia="Century Gothic" w:hAnsi="Century Gothic" w:cs="Century Gothic"/>
          <w:b/>
          <w:bCs/>
          <w:i/>
          <w:iCs/>
          <w:sz w:val="20"/>
          <w:szCs w:val="20"/>
        </w:rPr>
        <w:t>anexo 1</w:t>
      </w:r>
      <w:r w:rsidR="002472B0" w:rsidRPr="001F7FF3">
        <w:rPr>
          <w:rFonts w:ascii="Century Gothic" w:eastAsia="Century Gothic" w:hAnsi="Century Gothic" w:cs="Century Gothic"/>
          <w:sz w:val="20"/>
          <w:szCs w:val="20"/>
        </w:rPr>
        <w:t xml:space="preserve"> se relacionan los actores y el instrumento de recolección de información utilizado para recoger información de acuerdo con cada </w:t>
      </w:r>
      <w:r w:rsidR="00507117" w:rsidRPr="001F7FF3">
        <w:rPr>
          <w:rFonts w:ascii="Century Gothic" w:eastAsia="Century Gothic" w:hAnsi="Century Gothic" w:cs="Century Gothic"/>
          <w:sz w:val="20"/>
          <w:szCs w:val="20"/>
        </w:rPr>
        <w:t>criterio de</w:t>
      </w:r>
      <w:r w:rsidR="002472B0" w:rsidRPr="001F7FF3">
        <w:rPr>
          <w:rFonts w:ascii="Century Gothic" w:eastAsia="Century Gothic" w:hAnsi="Century Gothic" w:cs="Century Gothic"/>
          <w:sz w:val="20"/>
          <w:szCs w:val="20"/>
        </w:rPr>
        <w:t xml:space="preserve"> evaluación, las preguntas realizadas, las notas de cada entrevistado y los hallazgos preliminares identificados hasta el momento.</w:t>
      </w:r>
    </w:p>
    <w:p w14:paraId="53C347A5" w14:textId="26808149" w:rsidR="00717364" w:rsidRPr="001F7FF3" w:rsidRDefault="00717364" w:rsidP="009D291F">
      <w:pPr>
        <w:pStyle w:val="Ttulo1"/>
        <w:numPr>
          <w:ilvl w:val="0"/>
          <w:numId w:val="2"/>
        </w:numPr>
        <w:jc w:val="both"/>
        <w:rPr>
          <w:lang w:val="es-CO"/>
        </w:rPr>
      </w:pPr>
      <w:bookmarkStart w:id="35" w:name="_Toc117261397"/>
      <w:r w:rsidRPr="001F7FF3">
        <w:rPr>
          <w:lang w:val="es-CO"/>
        </w:rPr>
        <w:t>Hallazgos</w:t>
      </w:r>
      <w:bookmarkEnd w:id="35"/>
      <w:r w:rsidRPr="001F7FF3">
        <w:rPr>
          <w:lang w:val="es-CO"/>
        </w:rPr>
        <w:t xml:space="preserve"> </w:t>
      </w:r>
    </w:p>
    <w:p w14:paraId="05A074AA" w14:textId="6D03FFBC" w:rsidR="00717364" w:rsidRPr="001F7FF3" w:rsidRDefault="00717364" w:rsidP="009D291F">
      <w:pPr>
        <w:jc w:val="both"/>
        <w:rPr>
          <w:rFonts w:ascii="Century Gothic" w:hAnsi="Century Gothic"/>
          <w:sz w:val="20"/>
          <w:szCs w:val="20"/>
          <w:lang w:eastAsia="es-ES"/>
        </w:rPr>
      </w:pPr>
      <w:r w:rsidRPr="001F7FF3">
        <w:rPr>
          <w:rFonts w:ascii="Century Gothic" w:hAnsi="Century Gothic"/>
          <w:sz w:val="20"/>
          <w:szCs w:val="20"/>
          <w:lang w:eastAsia="es-ES"/>
        </w:rPr>
        <w:t>Los siguientes hallazgos son el resultado de la aplicación de los criterios de evaluación promovidas por la OECD/DAC, utilizando las herramientas de recolección y la triangulación de fuentes descritas en la sección metodológica anterior de este informe. Ofrecen una mirada integral del desempeño del PJT en cuanto al cumplimiento de los dos resultados de más alto nivel planteados en su lógica de intervención – el fortalecimiento de las nuevas entidades del Sistema y el empoderamiento de las víctimas para participar activamente en él – incluyendo la forma con la cual esos resultados se han logrado y su sostenibilidad en el tiempo. Las ideas que se presentan a continuación toman insumos y realizan análisis cualitativo de los datos recogidos a través de las encuestas, pero especialmente de las conclusiones compartidas por los diversos actores durante las entrevistas en profundidad</w:t>
      </w:r>
      <w:r w:rsidR="00507117" w:rsidRPr="001F7FF3">
        <w:rPr>
          <w:rFonts w:ascii="Century Gothic" w:hAnsi="Century Gothic"/>
          <w:sz w:val="20"/>
          <w:szCs w:val="20"/>
          <w:lang w:eastAsia="es-ES"/>
        </w:rPr>
        <w:t xml:space="preserve"> y los grupos focales</w:t>
      </w:r>
      <w:r w:rsidRPr="001F7FF3">
        <w:rPr>
          <w:rFonts w:ascii="Century Gothic" w:hAnsi="Century Gothic"/>
          <w:sz w:val="20"/>
          <w:szCs w:val="20"/>
          <w:lang w:eastAsia="es-ES"/>
        </w:rPr>
        <w:t>. En ese sentido, se trata de ideas fuerza, que se han expresado de manera transversal a lo largo de los diálogos y que representan aspectos claves para el análisis de resultados y para el aprendizaje institucional.</w:t>
      </w:r>
    </w:p>
    <w:p w14:paraId="0E4167FB" w14:textId="77777777" w:rsidR="00717364" w:rsidRPr="001F7FF3" w:rsidRDefault="00717364" w:rsidP="009D291F">
      <w:pPr>
        <w:rPr>
          <w:rFonts w:ascii="Century Gothic" w:hAnsi="Century Gothic"/>
          <w:sz w:val="20"/>
          <w:szCs w:val="20"/>
        </w:rPr>
      </w:pPr>
    </w:p>
    <w:p w14:paraId="7E3ED0C9" w14:textId="4DF5756E" w:rsidR="00717364" w:rsidRPr="001F7FF3" w:rsidRDefault="00717364" w:rsidP="009D291F">
      <w:pPr>
        <w:keepNext/>
        <w:keepLines/>
        <w:numPr>
          <w:ilvl w:val="1"/>
          <w:numId w:val="0"/>
        </w:numPr>
        <w:spacing w:before="40"/>
        <w:ind w:left="1440" w:hanging="360"/>
        <w:outlineLvl w:val="1"/>
        <w:rPr>
          <w:rFonts w:ascii="Century Gothic" w:eastAsiaTheme="majorEastAsia" w:hAnsi="Century Gothic" w:cstheme="majorBidi"/>
          <w:b/>
          <w:bCs/>
          <w:color w:val="2F5496" w:themeColor="accent1" w:themeShade="BF"/>
          <w:sz w:val="20"/>
          <w:szCs w:val="20"/>
          <w:lang w:eastAsia="es-ES"/>
        </w:rPr>
      </w:pPr>
      <w:bookmarkStart w:id="36" w:name="_Toc117261398"/>
      <w:r w:rsidRPr="001F7FF3">
        <w:rPr>
          <w:rFonts w:ascii="Century Gothic" w:eastAsiaTheme="majorEastAsia" w:hAnsi="Century Gothic" w:cstheme="majorBidi"/>
          <w:b/>
          <w:bCs/>
          <w:color w:val="2F5496" w:themeColor="accent1" w:themeShade="BF"/>
          <w:sz w:val="20"/>
          <w:szCs w:val="20"/>
          <w:lang w:eastAsia="es-ES"/>
        </w:rPr>
        <w:t>Pertinencia</w:t>
      </w:r>
      <w:bookmarkEnd w:id="36"/>
      <w:r w:rsidRPr="001F7FF3">
        <w:rPr>
          <w:rFonts w:ascii="Century Gothic" w:eastAsiaTheme="majorEastAsia" w:hAnsi="Century Gothic" w:cstheme="majorBidi"/>
          <w:b/>
          <w:bCs/>
          <w:color w:val="2F5496" w:themeColor="accent1" w:themeShade="BF"/>
          <w:sz w:val="20"/>
          <w:szCs w:val="20"/>
          <w:lang w:eastAsia="es-ES"/>
        </w:rPr>
        <w:t xml:space="preserve"> </w:t>
      </w:r>
    </w:p>
    <w:p w14:paraId="4ADCAF99" w14:textId="77777777" w:rsidR="00717364" w:rsidRPr="001F7FF3" w:rsidRDefault="00717364" w:rsidP="009D291F">
      <w:pPr>
        <w:rPr>
          <w:rFonts w:ascii="Century Gothic" w:hAnsi="Century Gothic"/>
          <w:sz w:val="20"/>
          <w:szCs w:val="20"/>
          <w:lang w:eastAsia="es-ES"/>
        </w:rPr>
      </w:pPr>
    </w:p>
    <w:p w14:paraId="0F494EBC"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Times New Roman" w:hAnsi="Century Gothic" w:cs="Times New Roman"/>
          <w:b/>
          <w:bCs/>
          <w:sz w:val="20"/>
          <w:szCs w:val="20"/>
          <w:lang w:eastAsia="es-MX"/>
        </w:rPr>
        <w:t>El PJT ha hecho aportes concretos a los efectos y resultados previstos en los marcos estratégicos de más alto nivel del sistema de las Naciones Unidas y del Estado</w:t>
      </w:r>
      <w:r w:rsidRPr="001F7FF3">
        <w:rPr>
          <w:rFonts w:ascii="Century Gothic" w:eastAsia="Times New Roman" w:hAnsi="Century Gothic" w:cs="Times New Roman"/>
          <w:sz w:val="20"/>
          <w:szCs w:val="20"/>
          <w:lang w:eastAsia="es-MX"/>
        </w:rPr>
        <w:t>, incluyendo el CPD, el UNSDCF y UNDAF, los ODS, el Plan Estratégico del PNUD y las prioridades nacionales en materia de Justicia Transicional.</w:t>
      </w:r>
      <w:r w:rsidRPr="001F7FF3">
        <w:rPr>
          <w:rFonts w:ascii="Century Gothic" w:eastAsia="Times New Roman" w:hAnsi="Century Gothic" w:cs="Arial"/>
          <w:sz w:val="20"/>
          <w:szCs w:val="20"/>
          <w:lang w:eastAsia="de-DE"/>
        </w:rPr>
        <w:t xml:space="preserve"> </w:t>
      </w:r>
      <w:r w:rsidRPr="001F7FF3">
        <w:rPr>
          <w:rFonts w:ascii="Century Gothic" w:eastAsia="Times New Roman" w:hAnsi="Century Gothic" w:cs="Times New Roman"/>
          <w:sz w:val="20"/>
          <w:szCs w:val="20"/>
          <w:lang w:eastAsia="es-MX"/>
        </w:rPr>
        <w:t xml:space="preserve">El Programa estableció un plan de trabajo de acuerdo con las prioridades y necesidades expuestas en el Plan Nacional de Desarrollo desde el año 2015, que a su vez estaban alineadas con las metas de los marcos estratégicos del PNUD (UNSDCF, CPD y Plan Estratégico). En términos de contribuciones concretas se destacan el CPD, UNSDCF y el Plan estratégico. </w:t>
      </w:r>
    </w:p>
    <w:p w14:paraId="0A5E4716"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p>
    <w:p w14:paraId="5DD9C0BA" w14:textId="336CE3F6"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Times New Roman" w:hAnsi="Century Gothic" w:cs="Times New Roman"/>
          <w:sz w:val="20"/>
          <w:szCs w:val="20"/>
          <w:lang w:eastAsia="es-MX"/>
        </w:rPr>
        <w:t xml:space="preserve">Según los resultados de indicadores que el Portafolio reportó en el ROAR 2021 del CPD 2020-2023, se logró promover la restitución de derechos de cerca de 5.212 víctimas del conflicto armado a partir del impulso de estrategias conjuntas en articulación con las entidades del Sistema Integral </w:t>
      </w:r>
      <w:r w:rsidR="009A07BC" w:rsidRPr="001F7FF3">
        <w:rPr>
          <w:rFonts w:ascii="Century Gothic" w:eastAsia="Times New Roman" w:hAnsi="Century Gothic" w:cs="Times New Roman"/>
          <w:sz w:val="20"/>
          <w:szCs w:val="20"/>
          <w:lang w:eastAsia="es-MX"/>
        </w:rPr>
        <w:t>para la Paz</w:t>
      </w:r>
      <w:r w:rsidRPr="001F7FF3">
        <w:rPr>
          <w:rFonts w:ascii="Century Gothic" w:eastAsia="Times New Roman" w:hAnsi="Century Gothic" w:cs="Times New Roman"/>
          <w:sz w:val="20"/>
          <w:szCs w:val="20"/>
          <w:lang w:eastAsia="es-MX"/>
        </w:rPr>
        <w:t xml:space="preserve">, y demás entidades competentes. </w:t>
      </w:r>
    </w:p>
    <w:p w14:paraId="05C38015"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p>
    <w:p w14:paraId="3815574F"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Times New Roman" w:hAnsi="Century Gothic" w:cs="Times New Roman"/>
          <w:sz w:val="20"/>
          <w:szCs w:val="20"/>
          <w:lang w:eastAsia="es-MX"/>
        </w:rPr>
        <w:t>En cuanto a los ODS, el Portafolio aporta al ODS 16: Promover sociedades justas, pacíficas e inclusivas, particularmente con el impulso a la creación de las entidades del SIVJRNR. Contribuye con 2 metas clave:</w:t>
      </w:r>
      <w:r w:rsidRPr="001F7FF3">
        <w:rPr>
          <w:rFonts w:ascii="Century Gothic" w:eastAsia="Times New Roman" w:hAnsi="Century Gothic" w:cs="Arial"/>
          <w:sz w:val="20"/>
          <w:szCs w:val="20"/>
          <w:lang w:eastAsia="de-DE"/>
        </w:rPr>
        <w:t xml:space="preserve"> </w:t>
      </w:r>
      <w:r w:rsidRPr="001F7FF3">
        <w:rPr>
          <w:rFonts w:ascii="Century Gothic" w:eastAsia="Times New Roman" w:hAnsi="Century Gothic" w:cs="Times New Roman"/>
          <w:sz w:val="20"/>
          <w:szCs w:val="20"/>
          <w:lang w:eastAsia="es-MX"/>
        </w:rPr>
        <w:t>16.3: Promover el estado de derecho en los planos nacional e internacional y garantizar la igualdad de acceso a la justicia para todos</w:t>
      </w:r>
      <w:r w:rsidRPr="001F7FF3">
        <w:rPr>
          <w:rFonts w:ascii="Century Gothic" w:eastAsia="Times New Roman" w:hAnsi="Century Gothic" w:cs="Arial"/>
          <w:sz w:val="20"/>
          <w:szCs w:val="20"/>
          <w:lang w:eastAsia="de-DE"/>
        </w:rPr>
        <w:t>; y</w:t>
      </w:r>
      <w:r w:rsidRPr="001F7FF3">
        <w:rPr>
          <w:rFonts w:ascii="Century Gothic" w:eastAsia="Times New Roman" w:hAnsi="Century Gothic" w:cs="Times New Roman"/>
          <w:sz w:val="20"/>
          <w:szCs w:val="20"/>
          <w:lang w:eastAsia="es-MX"/>
        </w:rPr>
        <w:t xml:space="preserve">16.6: Crear a todos los niveles instituciones eficaces y transparentes que rindan cuentas: </w:t>
      </w:r>
      <w:r w:rsidRPr="001F7FF3">
        <w:rPr>
          <w:rFonts w:ascii="Century Gothic" w:eastAsia="Times New Roman" w:hAnsi="Century Gothic" w:cs="Times New Roman"/>
          <w:i/>
          <w:iCs/>
          <w:sz w:val="20"/>
          <w:szCs w:val="20"/>
          <w:lang w:eastAsia="es-MX"/>
        </w:rPr>
        <w:t xml:space="preserve">“La contribución del PNUD se da en el interés del goce de derechos para ciertas poblaciones que están en </w:t>
      </w:r>
      <w:r w:rsidRPr="001F7FF3">
        <w:rPr>
          <w:rFonts w:ascii="Century Gothic" w:eastAsia="Times New Roman" w:hAnsi="Century Gothic" w:cs="Times New Roman"/>
          <w:i/>
          <w:iCs/>
          <w:sz w:val="20"/>
          <w:szCs w:val="20"/>
          <w:lang w:eastAsia="es-MX"/>
        </w:rPr>
        <w:lastRenderedPageBreak/>
        <w:t xml:space="preserve">riesgo de dejar atrás, en este caso víctimas. Es un marco amplio, en particular de Estado de Derecho, es decir que se garantice el acceso a la justicia y demás derechos conexos. Eso está reflejado en nuestro marco estratégico general y luego en el país los marcos sufren un proceso de negociación” </w:t>
      </w:r>
      <w:r w:rsidRPr="001F7FF3">
        <w:rPr>
          <w:rFonts w:ascii="Century Gothic" w:eastAsia="Times New Roman" w:hAnsi="Century Gothic" w:cs="Times New Roman"/>
          <w:sz w:val="20"/>
          <w:szCs w:val="20"/>
          <w:lang w:eastAsia="es-MX"/>
        </w:rPr>
        <w:t>(Entrevista con gerente del PNUD).</w:t>
      </w:r>
    </w:p>
    <w:p w14:paraId="25C33596" w14:textId="77777777" w:rsidR="00717364" w:rsidRPr="001F7FF3" w:rsidRDefault="00717364" w:rsidP="009D291F">
      <w:pPr>
        <w:rPr>
          <w:rFonts w:ascii="Century Gothic" w:eastAsia="Times New Roman" w:hAnsi="Century Gothic" w:cs="Times New Roman"/>
          <w:sz w:val="20"/>
          <w:szCs w:val="20"/>
          <w:lang w:eastAsia="es-MX"/>
        </w:rPr>
      </w:pPr>
    </w:p>
    <w:p w14:paraId="4CEB84B2"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El PJT ha fortalecido los tres niveles de actores considerados imprescindibles para el buen funcionamiento del Sistema</w:t>
      </w:r>
      <w:r w:rsidRPr="001F7FF3">
        <w:rPr>
          <w:rFonts w:ascii="Century Gothic" w:eastAsia="Century Gothic" w:hAnsi="Century Gothic" w:cs="Century Gothic"/>
          <w:sz w:val="20"/>
          <w:szCs w:val="20"/>
          <w:lang w:eastAsia="de-DE"/>
        </w:rPr>
        <w:t xml:space="preserve">. Primero, ayudó a crear y consolidar las tres nuevas entidades estatales, dotándolas con los recursos materiales y humanos necesarios para operar. Una vez en funcionamiento, los proyectos fortalecieron sus capacidades institucionales para facilitar el acceso de las víctimas a los varios mecanismos de justicia transicional. </w:t>
      </w:r>
      <w:r w:rsidRPr="001F7FF3">
        <w:rPr>
          <w:rFonts w:ascii="Century Gothic" w:eastAsia="Times New Roman" w:hAnsi="Century Gothic" w:cs="Times New Roman"/>
          <w:i/>
          <w:iCs/>
          <w:color w:val="000000"/>
          <w:sz w:val="20"/>
          <w:szCs w:val="20"/>
          <w:lang w:eastAsia="es-MX"/>
        </w:rPr>
        <w:t xml:space="preserve">“La capacidad institucional se dio en el tema de alistamiento y articulación de las tres entidades en territorio para lograr más participación de víctimas” </w:t>
      </w:r>
      <w:r w:rsidRPr="001F7FF3">
        <w:rPr>
          <w:rFonts w:ascii="Century Gothic" w:eastAsia="Times New Roman" w:hAnsi="Century Gothic" w:cs="Times New Roman"/>
          <w:color w:val="000000"/>
          <w:sz w:val="20"/>
          <w:szCs w:val="20"/>
          <w:lang w:eastAsia="es-MX"/>
        </w:rPr>
        <w:t>(entrevistado de la JEP)</w:t>
      </w:r>
      <w:r w:rsidRPr="001F7FF3">
        <w:rPr>
          <w:rFonts w:ascii="Century Gothic" w:eastAsia="Times New Roman" w:hAnsi="Century Gothic" w:cs="Times New Roman"/>
          <w:i/>
          <w:iCs/>
          <w:color w:val="000000"/>
          <w:sz w:val="20"/>
          <w:szCs w:val="20"/>
          <w:lang w:eastAsia="es-MX"/>
        </w:rPr>
        <w:t>.</w:t>
      </w:r>
      <w:r w:rsidRPr="001F7FF3">
        <w:rPr>
          <w:rFonts w:ascii="Century Gothic" w:eastAsia="Times New Roman" w:hAnsi="Century Gothic" w:cs="Times New Roman"/>
          <w:sz w:val="20"/>
          <w:szCs w:val="20"/>
          <w:lang w:eastAsia="es-MX"/>
        </w:rPr>
        <w:t xml:space="preserve"> </w:t>
      </w:r>
      <w:r w:rsidRPr="001F7FF3">
        <w:rPr>
          <w:rFonts w:ascii="Century Gothic" w:eastAsia="Century Gothic" w:hAnsi="Century Gothic" w:cs="Century Gothic"/>
          <w:sz w:val="20"/>
          <w:szCs w:val="20"/>
          <w:lang w:eastAsia="de-DE"/>
        </w:rPr>
        <w:t xml:space="preserve">Estos incluyeron los procesos judiciales de la JEP con el desarrollo de herramientas técnico-jurídicos y metodologías para las demás instancias del Sistema, sobre todo para facilitar la participación y acceso de las víctimas. </w:t>
      </w:r>
    </w:p>
    <w:p w14:paraId="024E8C44"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1A67B9E3"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sz w:val="20"/>
          <w:szCs w:val="20"/>
          <w:lang w:eastAsia="de-DE"/>
        </w:rPr>
        <w:t xml:space="preserve">De manera paralela, prepararon a las víctimas y sus organizaciones acompañantes para impulsar su participación ante las instituciones del Sistema y así acceder a sus derechos de verdad, justicia, reparación y garantías de no repetición. A nivel organizacional y comunitario, la contribución al fortalecimiento de capacidades más significativa fue a través del componente de reparación colectiva. Para que los proyectos cumplieran con las necesidades más apremiantes de las víctimas, se aplicó un abordaje desde abajo hacia arriba para asegurar que las comunidades beneficiarias estuvieran consultadas e involucradas en todas las etapas de su diseño y ejecución. Para tal fin, se fortalecieron las capacidades de gestión y comunicación e interlocución de las organizaciones sociales a través de comités de impulso y comunidades sujeto de reparación colectiva de la UARIV. Para los procesos judiciales de la JEP, se identificaron y capacitaron a los líderes de las comunidades con enfoque diferencial y de género para que representaran a sus comunidades, incluyendo líderes afrocolombianos, indígenas, campesinos y población LGBTI+. Igualmente, convocaron a las víctimas y las capacitaron para aportar a la construcción de la metodología participativa de recolección de información de la CEV y contaran sus historias personales como insumos clave de los informes de esclarecimiento a la verdad. </w:t>
      </w:r>
    </w:p>
    <w:p w14:paraId="18530140"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4363BF2E"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El PJT ha jugado un rol fundamental en apoyar e influir en las políticas del Estado para el arranque y la consolidación del Sistema.</w:t>
      </w:r>
      <w:r w:rsidRPr="001F7FF3">
        <w:rPr>
          <w:rFonts w:ascii="Century Gothic" w:eastAsia="Century Gothic" w:hAnsi="Century Gothic" w:cs="Century Gothic"/>
          <w:sz w:val="20"/>
          <w:szCs w:val="20"/>
          <w:lang w:eastAsia="de-DE"/>
        </w:rPr>
        <w:t xml:space="preserve"> Por un lado, PNUD aseguró la creación de las tres nuevas entidades en cumplimiento del Punto 5 del Acuerdo de Paz cuando no había ningún otro actor con la capacidad de hacerlo. </w:t>
      </w:r>
    </w:p>
    <w:p w14:paraId="64AA13C3"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6BC507B0" w14:textId="77777777" w:rsidR="00717364" w:rsidRPr="001F7FF3" w:rsidRDefault="00717364" w:rsidP="009D291F">
      <w:pPr>
        <w:autoSpaceDE w:val="0"/>
        <w:autoSpaceDN w:val="0"/>
        <w:ind w:right="113"/>
        <w:contextualSpacing/>
        <w:jc w:val="both"/>
        <w:rPr>
          <w:rFonts w:ascii="Century Gothic" w:eastAsia="Times New Roman" w:hAnsi="Century Gothic" w:cs="Arial"/>
          <w:i/>
          <w:iCs/>
          <w:sz w:val="20"/>
          <w:szCs w:val="20"/>
          <w:lang w:eastAsia="de-DE"/>
        </w:rPr>
      </w:pPr>
      <w:r w:rsidRPr="001F7FF3">
        <w:rPr>
          <w:rFonts w:ascii="Century Gothic" w:eastAsia="Century Gothic" w:hAnsi="Century Gothic" w:cs="Century Gothic"/>
          <w:sz w:val="20"/>
          <w:szCs w:val="20"/>
          <w:lang w:eastAsia="de-DE"/>
        </w:rPr>
        <w:t xml:space="preserve">En el caso de la CEV, un representante entrevistado aseveró que </w:t>
      </w:r>
      <w:r w:rsidRPr="001F7FF3">
        <w:rPr>
          <w:rFonts w:ascii="Century Gothic" w:eastAsia="Times New Roman" w:hAnsi="Century Gothic" w:cs="Arial"/>
          <w:i/>
          <w:iCs/>
          <w:sz w:val="20"/>
          <w:szCs w:val="20"/>
          <w:lang w:eastAsia="de-DE"/>
        </w:rPr>
        <w:t xml:space="preserve">“[el] proceso de aprestamiento que duró un año fue posible gracias al apoyo del programa y mucho de lo que hemos hecho en adelante ha sido por esa razón; lo cual, combinado con otros recursos de manera más general, la comprensión general del Sistema ha permitido dos características de su desarrollo: 1) brindar un soporte político importantísimo en un entorno hostil para la implementación del sistema integral para la paz; 2) acompañamiento en el día a día de diversas formas, a través de recursos propios o a través de la canalización de recursos provenientes de distintas fuentes y por distintos actores.” </w:t>
      </w:r>
    </w:p>
    <w:p w14:paraId="00C4E1B4" w14:textId="77777777" w:rsidR="00717364" w:rsidRPr="001F7FF3" w:rsidRDefault="00717364" w:rsidP="009D291F">
      <w:pPr>
        <w:autoSpaceDE w:val="0"/>
        <w:autoSpaceDN w:val="0"/>
        <w:ind w:right="113"/>
        <w:contextualSpacing/>
        <w:jc w:val="both"/>
        <w:rPr>
          <w:rFonts w:ascii="Century Gothic" w:eastAsia="Times New Roman" w:hAnsi="Century Gothic" w:cs="Arial"/>
          <w:i/>
          <w:iCs/>
          <w:sz w:val="20"/>
          <w:szCs w:val="20"/>
          <w:lang w:eastAsia="de-DE"/>
        </w:rPr>
      </w:pPr>
    </w:p>
    <w:p w14:paraId="1C13661F"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Por otro lado, el Portafolio aseguró el buen arranque de la política pública en el marco del Plan Nacional de Desarrollo, fortaleciendo tanto a la institucionalidad como a las organizaciones de la sociedad civil para que pudieran participar plenamente en todos los procesos de justicia transicional. Un entrevistado de la UBPD explicó lo siguiente: </w:t>
      </w:r>
      <w:r w:rsidRPr="001F7FF3">
        <w:rPr>
          <w:rFonts w:ascii="Century Gothic" w:eastAsia="Times New Roman" w:hAnsi="Century Gothic" w:cs="Arial"/>
          <w:i/>
          <w:iCs/>
          <w:color w:val="000000"/>
          <w:sz w:val="20"/>
          <w:szCs w:val="20"/>
          <w:lang w:eastAsia="de-DE"/>
        </w:rPr>
        <w:t xml:space="preserve">“Para la Unidad los insumos de PNUD eran muy importantes y la experiencia con el anterior modelo </w:t>
      </w:r>
      <w:r w:rsidRPr="001F7FF3">
        <w:rPr>
          <w:rFonts w:ascii="Century Gothic" w:eastAsia="Times New Roman" w:hAnsi="Century Gothic" w:cs="Arial"/>
          <w:i/>
          <w:iCs/>
          <w:color w:val="000000"/>
          <w:sz w:val="20"/>
          <w:szCs w:val="20"/>
          <w:lang w:eastAsia="de-DE"/>
        </w:rPr>
        <w:lastRenderedPageBreak/>
        <w:t>de justicia transicional, para saber cuáles eran las lecciones aprendidas y recomendaciones en temas importantes, especialmente en lo relacionado con el manejo de información que tenía el Instituto Nacional de Medicina Legal y habían identificado necesidades de trabajo y articulación entre entidades. Es decir que facilitó un punto de arranque”</w:t>
      </w:r>
      <w:r w:rsidRPr="001F7FF3">
        <w:rPr>
          <w:rFonts w:ascii="Century Gothic" w:eastAsia="Century Gothic" w:hAnsi="Century Gothic" w:cs="Century Gothic"/>
          <w:sz w:val="20"/>
          <w:szCs w:val="20"/>
          <w:lang w:eastAsia="de-DE"/>
        </w:rPr>
        <w:t xml:space="preserve">. </w:t>
      </w:r>
    </w:p>
    <w:p w14:paraId="2F4181CA"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7F1CEF25" w14:textId="77777777" w:rsidR="00717364" w:rsidRPr="001F7FF3" w:rsidRDefault="00717364" w:rsidP="009D291F">
      <w:pPr>
        <w:jc w:val="both"/>
        <w:rPr>
          <w:rFonts w:ascii="Century Gothic" w:eastAsia="Times New Roman" w:hAnsi="Century Gothic" w:cstheme="majorHAnsi"/>
          <w:sz w:val="20"/>
          <w:szCs w:val="20"/>
          <w:lang w:eastAsia="es-MX"/>
        </w:rPr>
      </w:pPr>
      <w:r w:rsidRPr="001F7FF3">
        <w:rPr>
          <w:rFonts w:ascii="Century Gothic" w:eastAsia="Century Gothic" w:hAnsi="Century Gothic" w:cs="Century Gothic"/>
          <w:sz w:val="20"/>
          <w:szCs w:val="20"/>
          <w:lang w:eastAsia="de-DE"/>
        </w:rPr>
        <w:t xml:space="preserve">Por su parte, una representante de la JEP responsable para el convenio con PNUD aseveró que el apoyo de la PJT fue fundamental para hacer realidad la representación de las victimas ante macro casos de la entidad en los siguientes términos: </w:t>
      </w:r>
      <w:r w:rsidRPr="001F7FF3">
        <w:rPr>
          <w:rFonts w:ascii="Century Gothic" w:eastAsia="Century Gothic" w:hAnsi="Century Gothic" w:cs="Century Gothic"/>
          <w:i/>
          <w:iCs/>
          <w:sz w:val="20"/>
          <w:szCs w:val="20"/>
          <w:lang w:eastAsia="de-DE"/>
        </w:rPr>
        <w:t xml:space="preserve">“a </w:t>
      </w:r>
      <w:r w:rsidRPr="001F7FF3">
        <w:rPr>
          <w:rFonts w:ascii="Century Gothic" w:eastAsia="Times New Roman" w:hAnsi="Century Gothic" w:cs="Times New Roman"/>
          <w:i/>
          <w:iCs/>
          <w:sz w:val="20"/>
          <w:szCs w:val="20"/>
          <w:lang w:eastAsia="es-MX"/>
        </w:rPr>
        <w:t xml:space="preserve">través de este convenio PNUD apoya para que las víctimas puedan participar brindando representación judicial a partir de abogados. La alianza que comenzó en el 2018 facilitó a la secretaría ejecutiva brindar este servicio de asesoría y representación judicial a quien no cuente con recursos para garantizarse su propia representación a través de organizaciones de la sociedad civil […] </w:t>
      </w:r>
      <w:r w:rsidRPr="001F7FF3">
        <w:rPr>
          <w:rFonts w:ascii="Century Gothic" w:eastAsia="Times New Roman" w:hAnsi="Century Gothic" w:cstheme="majorHAnsi"/>
          <w:i/>
          <w:iCs/>
          <w:sz w:val="20"/>
          <w:szCs w:val="20"/>
          <w:lang w:eastAsia="es-MX"/>
        </w:rPr>
        <w:t>La ley 1957 establece la posibilidad de que la secretaría ejecutiva brinde este servicio […] a través de abogados competentes o a través de organizaciones de la  sociedad civil con experiencias y la posibilidad de aliarse con organizaciones étnicas y de derechos humanos. La facultad para aliarse estaba pero el conocimiento, la experiencia y la administración de recursos a apoyar labores de la OSC no la tenía la entidad y sí la tenía el PNUD. Conoce el territorio y las OSCs y ha construido lazos de confianza con ellos, tiene una estructura de administración y apoyo técnico a las OSC. Esta experticia se ha puesto al servicio de esta representación judicial de víctimas ante la JEP.”</w:t>
      </w:r>
    </w:p>
    <w:p w14:paraId="140F4EF3" w14:textId="77777777" w:rsidR="00717364" w:rsidRPr="001F7FF3" w:rsidRDefault="00717364" w:rsidP="009D291F">
      <w:pPr>
        <w:rPr>
          <w:rFonts w:ascii="Century Gothic" w:eastAsia="Times New Roman" w:hAnsi="Century Gothic" w:cs="Times New Roman"/>
          <w:sz w:val="20"/>
          <w:szCs w:val="20"/>
          <w:lang w:eastAsia="es-MX"/>
        </w:rPr>
      </w:pPr>
    </w:p>
    <w:p w14:paraId="3E998F4A" w14:textId="77777777" w:rsidR="00717364" w:rsidRPr="001F7FF3" w:rsidRDefault="00717364" w:rsidP="009D291F">
      <w:pPr>
        <w:autoSpaceDE w:val="0"/>
        <w:autoSpaceDN w:val="0"/>
        <w:ind w:right="113"/>
        <w:contextualSpacing/>
        <w:jc w:val="both"/>
        <w:rPr>
          <w:rFonts w:ascii="Century Gothic" w:eastAsia="Times New Roman" w:hAnsi="Century Gothic" w:cs="Arial"/>
          <w:i/>
          <w:iCs/>
          <w:sz w:val="20"/>
          <w:szCs w:val="20"/>
          <w:lang w:eastAsia="de-DE"/>
        </w:rPr>
      </w:pPr>
      <w:r w:rsidRPr="001F7FF3">
        <w:rPr>
          <w:rFonts w:ascii="Century Gothic" w:eastAsia="Century Gothic" w:hAnsi="Century Gothic" w:cs="Century Gothic"/>
          <w:sz w:val="20"/>
          <w:szCs w:val="20"/>
          <w:lang w:eastAsia="de-DE"/>
        </w:rPr>
        <w:t xml:space="preserve">A través del Portafolio, el PNUD también tendió puentes que facilitaron la articulación interinstitucional entre las entidades y la sociedad civil. </w:t>
      </w:r>
      <w:r w:rsidRPr="001F7FF3">
        <w:rPr>
          <w:rFonts w:ascii="Century Gothic" w:eastAsia="Times New Roman" w:hAnsi="Century Gothic" w:cs="Arial"/>
          <w:sz w:val="20"/>
          <w:szCs w:val="20"/>
          <w:lang w:eastAsia="de-DE"/>
        </w:rPr>
        <w:t xml:space="preserve">Finalmente, los proyectos de reparación colectiva han demostrado alta pertinencia para impulsar el desarrollo estructural de las zonas de postconflicto en un momento histórico, facilitando los procesos de retorno y reubicación de las víctimas: </w:t>
      </w:r>
      <w:r w:rsidRPr="001F7FF3">
        <w:rPr>
          <w:rFonts w:ascii="Century Gothic" w:eastAsia="Times New Roman" w:hAnsi="Century Gothic" w:cs="Arial"/>
          <w:i/>
          <w:iCs/>
          <w:sz w:val="20"/>
          <w:szCs w:val="20"/>
          <w:lang w:eastAsia="de-DE"/>
        </w:rPr>
        <w:t xml:space="preserve">“Los proyectos del PNUD se articulan a esos esfuerzos [del Estado] y su valor agregado, de acuerdo con las entidades y los actores entrevistados, es impulsar, concretar y, en varios casos, ayudar a cerrar los procesos de reparación colectiva, retorno y reubicación”. </w:t>
      </w:r>
      <w:r w:rsidRPr="001F7FF3">
        <w:rPr>
          <w:rFonts w:ascii="Century Gothic" w:eastAsia="Times New Roman" w:hAnsi="Century Gothic" w:cs="Arial"/>
          <w:sz w:val="20"/>
          <w:szCs w:val="20"/>
          <w:vertAlign w:val="superscript"/>
          <w:lang w:eastAsia="de-DE"/>
        </w:rPr>
        <w:footnoteReference w:id="9"/>
      </w:r>
    </w:p>
    <w:p w14:paraId="241ADEB4"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35DE6A8B" w14:textId="77777777" w:rsidR="00717364" w:rsidRPr="001F7FF3" w:rsidRDefault="00717364" w:rsidP="009D291F">
      <w:pPr>
        <w:rPr>
          <w:rFonts w:ascii="Century Gothic" w:eastAsia="Century Gothic" w:hAnsi="Century Gothic" w:cs="Century Gothic"/>
          <w:sz w:val="20"/>
          <w:szCs w:val="20"/>
        </w:rPr>
      </w:pPr>
    </w:p>
    <w:p w14:paraId="30AA3774"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b/>
          <w:bCs/>
          <w:sz w:val="20"/>
          <w:szCs w:val="20"/>
          <w:lang w:eastAsia="de-DE"/>
        </w:rPr>
        <w:t xml:space="preserve">El PJT ha podido alinearse tanto con la implementación completa e integral del Punto 5 del Acuerdo Final de Paz (como política de Estado de largo plazo), como con las políticas públicas en la materia recogidas por el Gobierno Nacional en su Plan Nacional de Desarrollo. </w:t>
      </w:r>
      <w:r w:rsidRPr="001F7FF3">
        <w:rPr>
          <w:rFonts w:ascii="Century Gothic" w:eastAsia="Century Gothic" w:hAnsi="Century Gothic" w:cs="Century Gothic"/>
          <w:sz w:val="20"/>
          <w:szCs w:val="20"/>
          <w:lang w:eastAsia="de-DE"/>
        </w:rPr>
        <w:t xml:space="preserve">PJT ha sido hábil en su capacidad de apoyar las prioridades del gobierno de turno sin perder de vista la necesidad de identificar y cubrir brechas en las políticas públicas que son compromisos del Estado para implementar la totalidad del Acuerdo de Paz en cuanto a justicia transicional. Un gerente del PNUD explicó ese esfuerzo de equilibrio de la siguiente manera: </w:t>
      </w:r>
      <w:r w:rsidRPr="001F7FF3">
        <w:rPr>
          <w:rFonts w:ascii="Century Gothic" w:eastAsia="Century Gothic" w:hAnsi="Century Gothic" w:cs="Century Gothic"/>
          <w:i/>
          <w:iCs/>
          <w:sz w:val="20"/>
          <w:szCs w:val="20"/>
          <w:lang w:eastAsia="de-DE"/>
        </w:rPr>
        <w:t>“</w:t>
      </w:r>
      <w:r w:rsidRPr="001F7FF3">
        <w:rPr>
          <w:rFonts w:ascii="Century Gothic" w:eastAsia="Times New Roman" w:hAnsi="Century Gothic" w:cs="Times New Roman"/>
          <w:i/>
          <w:iCs/>
          <w:sz w:val="20"/>
          <w:szCs w:val="20"/>
          <w:lang w:eastAsia="es-MX"/>
        </w:rPr>
        <w:t>El marco de cooperación lo da el gobierno, pero no necesariamente refleja o representa las necesidades del Estado. Eso corresponde con la visión política de focalizar todo en los temas que más le interesan al gobierno, pero que no necesariamente representan las necesidades del Estado. Siempre tratamos de empujar por la integralidad del acuerdo que incluye los temas de JT y frente a eso el gobierno no se ha opuesto, pero no es fácil porque no está con el énfasis que debería tener”.</w:t>
      </w:r>
      <w:r w:rsidRPr="001F7FF3">
        <w:rPr>
          <w:rFonts w:ascii="Century Gothic" w:eastAsia="Times New Roman" w:hAnsi="Century Gothic" w:cs="Times New Roman"/>
          <w:sz w:val="20"/>
          <w:szCs w:val="20"/>
          <w:lang w:eastAsia="es-MX"/>
        </w:rPr>
        <w:t xml:space="preserve"> </w:t>
      </w:r>
      <w:r w:rsidRPr="001F7FF3">
        <w:rPr>
          <w:rFonts w:ascii="Century Gothic" w:eastAsia="Century Gothic" w:hAnsi="Century Gothic" w:cs="Century Gothic"/>
          <w:sz w:val="20"/>
          <w:szCs w:val="20"/>
          <w:lang w:eastAsia="de-DE"/>
        </w:rPr>
        <w:t xml:space="preserve">Por el lado de los donantes se resumió el dilema de la siguiente manera: </w:t>
      </w:r>
      <w:r w:rsidRPr="001F7FF3">
        <w:rPr>
          <w:rFonts w:ascii="Century Gothic" w:eastAsia="Century Gothic" w:hAnsi="Century Gothic" w:cs="Century Gothic"/>
          <w:i/>
          <w:iCs/>
          <w:sz w:val="20"/>
          <w:szCs w:val="20"/>
          <w:lang w:eastAsia="de-DE"/>
        </w:rPr>
        <w:t>“</w:t>
      </w:r>
      <w:r w:rsidRPr="001F7FF3">
        <w:rPr>
          <w:rFonts w:ascii="Century Gothic" w:eastAsia="Times New Roman" w:hAnsi="Century Gothic" w:cs="Times New Roman"/>
          <w:i/>
          <w:iCs/>
          <w:sz w:val="20"/>
          <w:szCs w:val="20"/>
          <w:lang w:eastAsia="es-MX"/>
        </w:rPr>
        <w:t xml:space="preserve">Si uno habla de alineación con este gobierno el tema de justicia no es una prioridad, pero las entidades se crearon en línea con el acuerdo. Los proyectos que el Fondo financia y lo que hemos hecho con sociedad civil han ido muy en línea con la institucionalidad dado que los proyectos son muy liderados por ellos” </w:t>
      </w:r>
      <w:r w:rsidRPr="001F7FF3">
        <w:rPr>
          <w:rFonts w:ascii="Century Gothic" w:eastAsia="Times New Roman" w:hAnsi="Century Gothic" w:cs="Times New Roman"/>
          <w:sz w:val="20"/>
          <w:szCs w:val="20"/>
          <w:lang w:eastAsia="es-MX"/>
        </w:rPr>
        <w:t>(representante del MPTF).</w:t>
      </w:r>
    </w:p>
    <w:p w14:paraId="0D1E38A2" w14:textId="2B54F754" w:rsidR="00717364" w:rsidRPr="001F7FF3" w:rsidRDefault="00717364" w:rsidP="009D291F">
      <w:pPr>
        <w:spacing w:before="100" w:beforeAutospacing="1" w:after="100" w:afterAutospacing="1"/>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lastRenderedPageBreak/>
        <w:t xml:space="preserve">Aunque la articulación del Sistema es pertinente a nivel nacional, se siente la falta del rol de una entidad articuladora para impulsar sus esfuerzos de manera integral a nivel territorial, como ha hecho hasta ahora el PNUD, para articular el trabajo de las tres entidades entre </w:t>
      </w:r>
      <w:r w:rsidR="00A04B59" w:rsidRPr="001F7FF3">
        <w:rPr>
          <w:rFonts w:ascii="Century Gothic" w:eastAsia="Century Gothic" w:hAnsi="Century Gothic" w:cs="Century Gothic"/>
          <w:b/>
          <w:bCs/>
          <w:sz w:val="20"/>
          <w:szCs w:val="20"/>
          <w:lang w:eastAsia="de-DE"/>
        </w:rPr>
        <w:t>sí</w:t>
      </w:r>
      <w:r w:rsidRPr="001F7FF3">
        <w:rPr>
          <w:rFonts w:ascii="Century Gothic" w:eastAsia="Century Gothic" w:hAnsi="Century Gothic" w:cs="Century Gothic"/>
          <w:b/>
          <w:bCs/>
          <w:sz w:val="20"/>
          <w:szCs w:val="20"/>
          <w:lang w:eastAsia="de-DE"/>
        </w:rPr>
        <w:t xml:space="preserve"> y para representarlas ante las autoridades territoriales. Los proyectos de reparación colectiva de las víctimas son la excepción porque son debidamente articulados en el nivel local a través de la UARIV. </w:t>
      </w:r>
      <w:r w:rsidRPr="001F7FF3">
        <w:rPr>
          <w:rFonts w:ascii="Century Gothic" w:eastAsia="Century Gothic" w:hAnsi="Century Gothic" w:cs="Century Gothic"/>
          <w:sz w:val="20"/>
          <w:szCs w:val="20"/>
          <w:lang w:eastAsia="de-DE"/>
        </w:rPr>
        <w:t xml:space="preserve">El proceso de aterrizaje de las políticas de justicia transicional a escala territorial aun no es claro porque hasta ahora su implementación ha sido casi exclusivamente a nivel nacional. Al no haber una política de implementación nacional articulada por un único actor, la promoción de las políticas de JT en los planes de desarrollo departamentales y municipales depende de la voluntad política y las prioridades de las autoridades locales. </w:t>
      </w:r>
    </w:p>
    <w:p w14:paraId="5B6F4A02" w14:textId="77777777" w:rsidR="00717364" w:rsidRPr="001F7FF3" w:rsidRDefault="00717364" w:rsidP="009D291F">
      <w:pPr>
        <w:spacing w:before="100" w:beforeAutospacing="1" w:after="100" w:afterAutospacing="1"/>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De momento, la alineación del PJT con las prioridades municipales se ha asegurado a través de la articulación del Sistema con las organizaciones de víctimas y de su presencia en los municipios PDET (Programas de Desarrollo con Enfoque Territorial) más afectados por el conflicto armado. Por ejemplo, el PJT realizó estudios de contexto relacionados con macro casos de la JEP para identificar las organizaciones sociales que trabajan en las zonas y podrían luego presentar propuestas para representar a las víctimas. </w:t>
      </w:r>
    </w:p>
    <w:p w14:paraId="5777208B" w14:textId="73722776" w:rsidR="00717364" w:rsidRPr="001F7FF3" w:rsidRDefault="00717364" w:rsidP="009D291F">
      <w:pPr>
        <w:spacing w:before="100" w:beforeAutospacing="1" w:after="100" w:afterAutospacing="1"/>
        <w:jc w:val="both"/>
        <w:rPr>
          <w:rFonts w:ascii="Century Gothic" w:eastAsia="Times New Roman" w:hAnsi="Century Gothic" w:cs="Times New Roman"/>
          <w:sz w:val="20"/>
          <w:szCs w:val="20"/>
          <w:lang w:eastAsia="es-MX"/>
        </w:rPr>
      </w:pPr>
      <w:r w:rsidRPr="001F7FF3">
        <w:rPr>
          <w:rFonts w:ascii="Century Gothic" w:eastAsia="Times New Roman" w:hAnsi="Century Gothic" w:cs="Times New Roman"/>
          <w:sz w:val="20"/>
          <w:szCs w:val="20"/>
          <w:lang w:eastAsia="es-MX"/>
        </w:rPr>
        <w:t xml:space="preserve">Los proyectos de reparación colectiva </w:t>
      </w:r>
      <w:r w:rsidRPr="001F7FF3">
        <w:rPr>
          <w:rFonts w:ascii="Century Gothic" w:eastAsia="Century Gothic" w:hAnsi="Century Gothic" w:cs="Century Gothic"/>
          <w:sz w:val="20"/>
          <w:szCs w:val="20"/>
          <w:lang w:eastAsia="de-DE"/>
        </w:rPr>
        <w:t>son la excepción. Gracias a la coordinación de la UARIV, se</w:t>
      </w:r>
      <w:r w:rsidRPr="001F7FF3">
        <w:rPr>
          <w:rFonts w:ascii="Century Gothic" w:eastAsia="Times New Roman" w:hAnsi="Century Gothic" w:cs="Times New Roman"/>
          <w:sz w:val="20"/>
          <w:szCs w:val="20"/>
          <w:lang w:eastAsia="es-MX"/>
        </w:rPr>
        <w:t xml:space="preserve"> han integrado exitosamente en las dinámicas de desarrollo territorial y fortalecimiento institucional a través de los PDET, articulándose en todas sus partes con entidades territoriales en el nivel municipal y las oficinas descentralizadas de la Unidad. Los proyectos de reparación colectiva contribuyen directamente a esos programas de pequeña y mediana infraestructura en comunidades con altos niveles de victimización, pobreza y vulnerabilidad: “Durante las entrevistas y grupos focales se destacó́ principalmente que la implementaci</w:t>
      </w:r>
      <w:r w:rsidRPr="001F7FF3">
        <w:rPr>
          <w:rFonts w:ascii="Century Gothic" w:eastAsia="Times New Roman" w:hAnsi="Century Gothic" w:cs="Century Gothic"/>
          <w:sz w:val="20"/>
          <w:szCs w:val="20"/>
          <w:lang w:eastAsia="es-MX"/>
        </w:rPr>
        <w:t>ó</w:t>
      </w:r>
      <w:r w:rsidRPr="001F7FF3">
        <w:rPr>
          <w:rFonts w:ascii="Century Gothic" w:eastAsia="Times New Roman" w:hAnsi="Century Gothic" w:cs="Times New Roman"/>
          <w:sz w:val="20"/>
          <w:szCs w:val="20"/>
          <w:lang w:eastAsia="es-MX"/>
        </w:rPr>
        <w:t>n de los proyectos fue participativa, incluyente, concertada y las comunidades pudieron involucrarse directamente en el dise</w:t>
      </w:r>
      <w:r w:rsidRPr="001F7FF3">
        <w:rPr>
          <w:rFonts w:ascii="Century Gothic" w:eastAsia="Times New Roman" w:hAnsi="Century Gothic" w:cs="Century Gothic"/>
          <w:sz w:val="20"/>
          <w:szCs w:val="20"/>
          <w:lang w:eastAsia="es-MX"/>
        </w:rPr>
        <w:t>ñ</w:t>
      </w:r>
      <w:r w:rsidRPr="001F7FF3">
        <w:rPr>
          <w:rFonts w:ascii="Century Gothic" w:eastAsia="Times New Roman" w:hAnsi="Century Gothic" w:cs="Times New Roman"/>
          <w:sz w:val="20"/>
          <w:szCs w:val="20"/>
          <w:lang w:eastAsia="es-MX"/>
        </w:rPr>
        <w:t xml:space="preserve">o, estudios, provisión de mano de obra para la construcción, seguimiento y mantenimiento”. </w:t>
      </w:r>
      <w:r w:rsidRPr="001F7FF3">
        <w:rPr>
          <w:rFonts w:ascii="Century Gothic" w:eastAsia="Times New Roman" w:hAnsi="Century Gothic" w:cs="Times New Roman"/>
          <w:sz w:val="20"/>
          <w:szCs w:val="20"/>
          <w:vertAlign w:val="superscript"/>
          <w:lang w:eastAsia="es-MX"/>
        </w:rPr>
        <w:footnoteReference w:id="10"/>
      </w:r>
    </w:p>
    <w:p w14:paraId="10284AF7" w14:textId="57D52175" w:rsidR="00717364" w:rsidRPr="001F7FF3" w:rsidRDefault="00717364" w:rsidP="009D291F">
      <w:pPr>
        <w:autoSpaceDE w:val="0"/>
        <w:autoSpaceDN w:val="0"/>
        <w:ind w:right="113"/>
        <w:contextualSpacing/>
        <w:jc w:val="both"/>
        <w:rPr>
          <w:rFonts w:ascii="Century Gothic" w:eastAsia="Times New Roman" w:hAnsi="Century Gothic" w:cs="Arial"/>
          <w:sz w:val="20"/>
          <w:szCs w:val="20"/>
          <w:lang w:eastAsia="de-DE"/>
        </w:rPr>
      </w:pPr>
      <w:r w:rsidRPr="001F7FF3">
        <w:rPr>
          <w:rFonts w:ascii="Century Gothic" w:eastAsia="Century Gothic" w:hAnsi="Century Gothic" w:cs="Century Gothic"/>
          <w:b/>
          <w:bCs/>
          <w:sz w:val="20"/>
          <w:szCs w:val="20"/>
          <w:lang w:eastAsia="de-DE"/>
        </w:rPr>
        <w:t>El apoyo del PJT al Sistema es pertinente en la medida que existe una alineación entre el diseño del programa y las necesidades de las víctimas</w:t>
      </w:r>
      <w:r w:rsidRPr="001F7FF3">
        <w:rPr>
          <w:rFonts w:ascii="Century Gothic" w:eastAsia="Century Gothic" w:hAnsi="Century Gothic" w:cs="Century Gothic"/>
          <w:sz w:val="20"/>
          <w:szCs w:val="20"/>
          <w:lang w:eastAsia="de-DE"/>
        </w:rPr>
        <w:t>. El Fondo de Justicia Transicional y luego el PJT fueron creados para implementar el Punto 5 del Acuerdo de Paz, el cual sitúa la participación de las víctimas y la reparación de sus derechos en el centro de su intervención. El PNUD aseguró la participación de las víctimas en las negociaciones de La Habana sobre el Punto 5, lo cual creó una continuidad estratégica centrada en las víctimas y sus prioridades desde antes de la firma del Acuerdo y por ende la creación del Sistema integral</w:t>
      </w:r>
      <w:r w:rsidR="00236DCE" w:rsidRPr="001F7FF3">
        <w:rPr>
          <w:rFonts w:ascii="Century Gothic" w:eastAsia="Century Gothic" w:hAnsi="Century Gothic" w:cs="Century Gothic"/>
          <w:sz w:val="20"/>
          <w:szCs w:val="20"/>
          <w:lang w:eastAsia="de-DE"/>
        </w:rPr>
        <w:t xml:space="preserve"> para la Paz</w:t>
      </w:r>
      <w:r w:rsidRPr="001F7FF3">
        <w:rPr>
          <w:rFonts w:ascii="Century Gothic" w:eastAsia="Century Gothic" w:hAnsi="Century Gothic" w:cs="Century Gothic"/>
          <w:sz w:val="20"/>
          <w:szCs w:val="20"/>
          <w:lang w:eastAsia="de-DE"/>
        </w:rPr>
        <w:t xml:space="preserve">. El PNUD también ha asegurado una metodología participativa a través de la cual creó espacios donde las víctimas fueron escuchadas para identificar sus expectativas y luego llevar sus demandas a los espacios públicos de reconocimiento de derechos. Dependiendo del caso y la caracterización de las víctimas que intervienen, PJT ha identificado la organización social más idónea para representarlas de manera continua en el tiempo. De esa forma, aplicando un enfoque psicosocial, diferencial y territorial, las estrategias del PJT se alinearon automáticamente con los intereses y las necesidades más importantes de las víctimas y sus organizaciones. El Portafolio cuenta con una estrategia transversal de empoderamiento en todas las entidades, que asegura: 1) el fortalecimiento de sus organizaciones y su articulación con el trabajo de las tres entidades del Sistema; 2) su representación judicial con enfoque diferencial ante la JEP; 3) el apoyo en la documentación de los casos y los informes ante la CEV; 4) su participación en la elaboración de los planes regionales de búsqueda de la UBDP; y 5) un acompañamiento para que ayudaran a definir los planes territoriales de reparación colectiva. Un participante </w:t>
      </w:r>
      <w:r w:rsidRPr="001F7FF3">
        <w:rPr>
          <w:rFonts w:ascii="Century Gothic" w:eastAsia="Century Gothic" w:hAnsi="Century Gothic" w:cs="Century Gothic"/>
          <w:sz w:val="20"/>
          <w:szCs w:val="20"/>
          <w:lang w:eastAsia="de-DE"/>
        </w:rPr>
        <w:lastRenderedPageBreak/>
        <w:t xml:space="preserve">de un grupo focal de OSC lo resumió así: </w:t>
      </w:r>
      <w:r w:rsidRPr="001F7FF3">
        <w:rPr>
          <w:rFonts w:ascii="Century Gothic" w:eastAsia="Times New Roman" w:hAnsi="Century Gothic" w:cs="Arial"/>
          <w:i/>
          <w:iCs/>
          <w:color w:val="000000"/>
          <w:sz w:val="20"/>
          <w:szCs w:val="20"/>
          <w:lang w:eastAsia="de-DE"/>
        </w:rPr>
        <w:t>“Desde la construcción de la propuesta fue un trabajo muy respetuoso y autónomo en función del objetivo de la dirección de pueblos étnicos. Construimos una propuesta cercana y que podía ser implementada en los territorios. Desde el primer momento tuvimos la oportunidad de autonomía y mucho diálogo con el equipo del PNUD, lo cual contribuyó al éxito de la implementación”</w:t>
      </w:r>
      <w:r w:rsidRPr="001F7FF3">
        <w:rPr>
          <w:rFonts w:ascii="Century Gothic" w:eastAsia="Times New Roman" w:hAnsi="Century Gothic" w:cs="Arial"/>
          <w:color w:val="000000"/>
          <w:sz w:val="20"/>
          <w:szCs w:val="20"/>
          <w:lang w:eastAsia="de-DE"/>
        </w:rPr>
        <w:t>.</w:t>
      </w:r>
    </w:p>
    <w:p w14:paraId="74D0B0BB" w14:textId="77777777" w:rsidR="00717364" w:rsidRPr="001F7FF3" w:rsidRDefault="00717364" w:rsidP="009D291F">
      <w:pPr>
        <w:rPr>
          <w:rFonts w:ascii="Century Gothic" w:eastAsia="Century Gothic" w:hAnsi="Century Gothic" w:cs="Century Gothic"/>
          <w:sz w:val="20"/>
          <w:szCs w:val="20"/>
        </w:rPr>
      </w:pPr>
    </w:p>
    <w:p w14:paraId="0518EF52" w14:textId="118F4CB2"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La creación del Sistema fue posible gracias a la financiación y al diseño del PJT promovida por PNUD y </w:t>
      </w:r>
      <w:r w:rsidR="00AA1274" w:rsidRPr="001F7FF3">
        <w:rPr>
          <w:rFonts w:ascii="Century Gothic" w:eastAsia="Century Gothic" w:hAnsi="Century Gothic" w:cs="Century Gothic"/>
          <w:b/>
          <w:bCs/>
          <w:sz w:val="20"/>
          <w:szCs w:val="20"/>
          <w:lang w:eastAsia="de-DE"/>
        </w:rPr>
        <w:t>la Oficina del Alto Comisionado de las Naciones Unidas para los Derechos Humanos (</w:t>
      </w:r>
      <w:r w:rsidRPr="001F7FF3">
        <w:rPr>
          <w:rFonts w:ascii="Century Gothic" w:eastAsia="Century Gothic" w:hAnsi="Century Gothic" w:cs="Century Gothic"/>
          <w:b/>
          <w:bCs/>
          <w:sz w:val="20"/>
          <w:szCs w:val="20"/>
          <w:lang w:eastAsia="de-DE"/>
        </w:rPr>
        <w:t>O</w:t>
      </w:r>
      <w:r w:rsidR="00AA1274" w:rsidRPr="001F7FF3">
        <w:rPr>
          <w:rFonts w:ascii="Century Gothic" w:eastAsia="Century Gothic" w:hAnsi="Century Gothic" w:cs="Century Gothic"/>
          <w:b/>
          <w:bCs/>
          <w:sz w:val="20"/>
          <w:szCs w:val="20"/>
          <w:lang w:eastAsia="de-DE"/>
        </w:rPr>
        <w:t>AC</w:t>
      </w:r>
      <w:r w:rsidRPr="001F7FF3">
        <w:rPr>
          <w:rFonts w:ascii="Century Gothic" w:eastAsia="Century Gothic" w:hAnsi="Century Gothic" w:cs="Century Gothic"/>
          <w:b/>
          <w:bCs/>
          <w:sz w:val="20"/>
          <w:szCs w:val="20"/>
          <w:lang w:eastAsia="de-DE"/>
        </w:rPr>
        <w:t>NUD</w:t>
      </w:r>
      <w:r w:rsidR="00D57538" w:rsidRPr="001F7FF3">
        <w:rPr>
          <w:rFonts w:ascii="Century Gothic" w:eastAsia="Century Gothic" w:hAnsi="Century Gothic" w:cs="Century Gothic"/>
          <w:b/>
          <w:bCs/>
          <w:sz w:val="20"/>
          <w:szCs w:val="20"/>
          <w:lang w:eastAsia="de-DE"/>
        </w:rPr>
        <w:t>H</w:t>
      </w:r>
      <w:r w:rsidR="00AA1274" w:rsidRPr="001F7FF3">
        <w:rPr>
          <w:rFonts w:ascii="Century Gothic" w:eastAsia="Century Gothic" w:hAnsi="Century Gothic" w:cs="Century Gothic"/>
          <w:b/>
          <w:bCs/>
          <w:sz w:val="20"/>
          <w:szCs w:val="20"/>
          <w:lang w:eastAsia="de-DE"/>
        </w:rPr>
        <w:t>)</w:t>
      </w:r>
      <w:r w:rsidRPr="001F7FF3">
        <w:rPr>
          <w:rFonts w:ascii="Century Gothic" w:eastAsia="Century Gothic" w:hAnsi="Century Gothic" w:cs="Century Gothic"/>
          <w:b/>
          <w:bCs/>
          <w:sz w:val="20"/>
          <w:szCs w:val="20"/>
          <w:lang w:eastAsia="de-DE"/>
        </w:rPr>
        <w:t xml:space="preserve">. </w:t>
      </w:r>
      <w:r w:rsidRPr="001F7FF3">
        <w:rPr>
          <w:rFonts w:ascii="Century Gothic" w:eastAsia="Century Gothic" w:hAnsi="Century Gothic" w:cs="Century Gothic"/>
          <w:sz w:val="20"/>
          <w:szCs w:val="20"/>
          <w:lang w:eastAsia="de-DE"/>
        </w:rPr>
        <w:t xml:space="preserve">Las dos agencias basaron la propuesta estratégica en los mandatos institucionales que salieron del Punto 5 del Acuerdo de Paz y su conocimiento previo de las necesidades de las víctimas y sus organizaciones. Una vez constituidas las entidades del Sistema, el PJT pudo alinearse con las solicitudes de fortalecimiento emergentes y las acciones a desarrollar a través de un diálogo permanente con sus representantes y sus equipos técnicos. </w:t>
      </w:r>
    </w:p>
    <w:p w14:paraId="28A1DA28"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643B014D" w14:textId="5D6FA140" w:rsidR="00717364" w:rsidRPr="001F7FF3" w:rsidRDefault="00717364" w:rsidP="009D291F">
      <w:pPr>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sz w:val="20"/>
          <w:szCs w:val="20"/>
          <w:lang w:eastAsia="de-DE"/>
        </w:rPr>
        <w:t xml:space="preserve">Según los entrevistados del Sistema, el PJT ha adoptado una postura de mucha apertura, flexibilidad y diálogo para "ponerse al servicio" de lo que necesitaran las entidades en sus etapas de puesta en marcha y consolidación. Consideraron que ese abordaje adaptable y flexible ha sido fundamental para respetar y fortalecer la autonomía de la nueva institucionalidad. Por ejemplo, un entrevistado de la CEV hizo las siguientes apreciaciones respecto al valor de la relación: </w:t>
      </w:r>
      <w:r w:rsidRPr="001F7FF3">
        <w:rPr>
          <w:rFonts w:ascii="Century Gothic" w:eastAsia="Century Gothic" w:hAnsi="Century Gothic" w:cs="Century Gothic"/>
          <w:i/>
          <w:iCs/>
          <w:sz w:val="20"/>
          <w:szCs w:val="20"/>
          <w:lang w:eastAsia="de-DE"/>
        </w:rPr>
        <w:t>“</w:t>
      </w:r>
      <w:r w:rsidRPr="001F7FF3">
        <w:rPr>
          <w:rFonts w:ascii="Century Gothic" w:eastAsia="Times New Roman" w:hAnsi="Century Gothic" w:cs="Times New Roman"/>
          <w:i/>
          <w:iCs/>
          <w:sz w:val="20"/>
          <w:szCs w:val="20"/>
          <w:lang w:eastAsia="es-MX"/>
        </w:rPr>
        <w:t xml:space="preserve">Yo podría decir de lo que conozco que hay una [apertura y fluidez] con relación a las necesidades de la CEV. Yo he conocido en estos tiempos unas de las posturas </w:t>
      </w:r>
      <w:r w:rsidR="00C04B5A" w:rsidRPr="001F7FF3">
        <w:rPr>
          <w:rFonts w:ascii="Century Gothic" w:eastAsia="Times New Roman" w:hAnsi="Century Gothic" w:cs="Times New Roman"/>
          <w:i/>
          <w:iCs/>
          <w:sz w:val="20"/>
          <w:szCs w:val="20"/>
          <w:lang w:eastAsia="es-MX"/>
        </w:rPr>
        <w:t>más flexibles y dialógicas</w:t>
      </w:r>
      <w:r w:rsidRPr="001F7FF3">
        <w:rPr>
          <w:rFonts w:ascii="Century Gothic" w:eastAsia="Times New Roman" w:hAnsi="Century Gothic" w:cs="Times New Roman"/>
          <w:i/>
          <w:iCs/>
          <w:sz w:val="20"/>
          <w:szCs w:val="20"/>
          <w:lang w:eastAsia="es-MX"/>
        </w:rPr>
        <w:t xml:space="preserve"> del sistema en toda la historia de mis relaciones con ellas. En particular el programa”</w:t>
      </w:r>
      <w:r w:rsidRPr="001F7FF3">
        <w:rPr>
          <w:rFonts w:ascii="Century Gothic" w:eastAsia="Times New Roman" w:hAnsi="Century Gothic" w:cs="Times New Roman"/>
          <w:sz w:val="20"/>
          <w:szCs w:val="20"/>
          <w:lang w:eastAsia="es-MX"/>
        </w:rPr>
        <w:t xml:space="preserve">. Precisó que esa flexibilidad se debía </w:t>
      </w:r>
      <w:r w:rsidRPr="001F7FF3">
        <w:rPr>
          <w:rFonts w:ascii="Century Gothic" w:eastAsia="Times New Roman" w:hAnsi="Century Gothic" w:cs="Times New Roman"/>
          <w:i/>
          <w:iCs/>
          <w:sz w:val="20"/>
          <w:szCs w:val="20"/>
          <w:lang w:eastAsia="es-MX"/>
        </w:rPr>
        <w:t>“al valor que el conjunto del sistema, incluido el Consejo de Seguridad, le dan al proceso de paz colombiano. Sigue siendo el único tema que siempre ha estado en el Consejo,  siempre con decisiones unánimes y eso es extraordinario”</w:t>
      </w:r>
      <w:r w:rsidRPr="001F7FF3">
        <w:rPr>
          <w:rFonts w:ascii="Century Gothic" w:eastAsia="Times New Roman" w:hAnsi="Century Gothic" w:cs="Times New Roman"/>
          <w:sz w:val="20"/>
          <w:szCs w:val="20"/>
          <w:lang w:eastAsia="es-MX"/>
        </w:rPr>
        <w:t xml:space="preserve">. </w:t>
      </w:r>
    </w:p>
    <w:p w14:paraId="5CA9BEEB" w14:textId="6E4D76D7" w:rsidR="00717364" w:rsidRPr="001F7FF3" w:rsidRDefault="00717364" w:rsidP="009D291F">
      <w:pPr>
        <w:rPr>
          <w:rFonts w:ascii="Century Gothic" w:eastAsia="Times New Roman" w:hAnsi="Century Gothic" w:cs="Times New Roman"/>
          <w:sz w:val="20"/>
          <w:szCs w:val="20"/>
          <w:lang w:eastAsia="es-MX"/>
        </w:rPr>
      </w:pPr>
      <w:r w:rsidRPr="001F7FF3">
        <w:rPr>
          <w:rFonts w:ascii="Century Gothic" w:eastAsia="Times New Roman" w:hAnsi="Century Gothic" w:cs="Times New Roman"/>
          <w:sz w:val="20"/>
          <w:szCs w:val="20"/>
          <w:lang w:eastAsia="es-MX"/>
        </w:rPr>
        <w:t xml:space="preserve"> </w:t>
      </w:r>
    </w:p>
    <w:p w14:paraId="770E339B" w14:textId="77777777" w:rsidR="00717364" w:rsidRPr="001F7FF3" w:rsidRDefault="00717364" w:rsidP="009D291F">
      <w:pPr>
        <w:keepNext/>
        <w:keepLines/>
        <w:numPr>
          <w:ilvl w:val="1"/>
          <w:numId w:val="0"/>
        </w:numPr>
        <w:spacing w:before="40"/>
        <w:ind w:left="1440" w:hanging="360"/>
        <w:outlineLvl w:val="1"/>
        <w:rPr>
          <w:rFonts w:ascii="Century Gothic" w:eastAsia="Century Gothic" w:hAnsi="Century Gothic" w:cstheme="majorBidi"/>
          <w:b/>
          <w:bCs/>
          <w:color w:val="2F5496" w:themeColor="accent1" w:themeShade="BF"/>
          <w:sz w:val="20"/>
          <w:szCs w:val="20"/>
        </w:rPr>
      </w:pPr>
      <w:bookmarkStart w:id="37" w:name="_Toc117261399"/>
      <w:r w:rsidRPr="001F7FF3">
        <w:rPr>
          <w:rFonts w:ascii="Century Gothic" w:eastAsia="Century Gothic" w:hAnsi="Century Gothic" w:cstheme="majorBidi"/>
          <w:b/>
          <w:bCs/>
          <w:color w:val="2F5496" w:themeColor="accent1" w:themeShade="BF"/>
          <w:sz w:val="20"/>
          <w:szCs w:val="20"/>
        </w:rPr>
        <w:t>Eficiencia</w:t>
      </w:r>
      <w:bookmarkEnd w:id="37"/>
    </w:p>
    <w:p w14:paraId="76DEB346" w14:textId="77777777" w:rsidR="00717364" w:rsidRPr="001F7FF3" w:rsidRDefault="00717364" w:rsidP="009D291F">
      <w:pPr>
        <w:rPr>
          <w:rFonts w:ascii="Century Gothic" w:hAnsi="Century Gothic"/>
          <w:sz w:val="20"/>
          <w:szCs w:val="20"/>
        </w:rPr>
      </w:pPr>
    </w:p>
    <w:p w14:paraId="589068E8"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hAnsi="Century Gothic"/>
          <w:sz w:val="20"/>
          <w:szCs w:val="20"/>
        </w:rPr>
        <w:t>Los proyectos han evidenciado contar con mecanismos, procedimientos y esquemas de implementación eficientes desde el punto de vista técnico-administrativo</w:t>
      </w:r>
      <w:r w:rsidRPr="001F7FF3">
        <w:rPr>
          <w:rFonts w:ascii="Century Gothic" w:eastAsia="Century Gothic" w:hAnsi="Century Gothic" w:cs="Century Gothic"/>
          <w:sz w:val="20"/>
          <w:szCs w:val="20"/>
          <w:lang w:eastAsia="de-DE"/>
        </w:rPr>
        <w:t>. Esto se debe a varios factores; Primero, la postura solidaria de coordinación y acompañamiento del equipo técnico del PNUD para solucionar temas de diferente índole en los proyectos. Segundo, el equipo técnico del PNUD es cofinanciado desde varios proyectos lo que permite crear una dinámica de programa multiproyecto para establecer vínculos entre los distintos temas de JT. Además, las alianzas y complementariedades técnicas entre los proyectos permiten operar con mayor eficiencia, así lo indican entrevistados de las OSC: “En el caso del proyecto de ACCD, que apoyó a la CEV y al CNMH, se ejecutó el presupuesto de acuerdo con la planificación financiera prevista, al plan operativo anual y se alcanzaron y superaron las metas establecidas en el marco de resultados”.</w:t>
      </w:r>
    </w:p>
    <w:p w14:paraId="37157C73"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4E541E65" w14:textId="2CD5157C"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Esto también se puede ver en los resultados de la encuesta a las OSC. El 73% percibe que, en cuanto a la eficiencia, el presupuesto ha sido ejecutado de manera muy satisfactoria (5) según lo previsto; el 23% considera que ha sido satisfactorio y el 4% lo califica como regular; como se puede evidenciar en la gráfica a continuación:  </w:t>
      </w:r>
    </w:p>
    <w:p w14:paraId="05A607CC" w14:textId="06BC0D24" w:rsidR="008C4C06" w:rsidRPr="001F7FF3" w:rsidRDefault="008C4C06"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7750C02B" w14:textId="6FE92442" w:rsidR="008C4C06" w:rsidRPr="001F7FF3" w:rsidRDefault="008C4C06"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5E20F4E1" w14:textId="315F5426" w:rsidR="008C4C06" w:rsidRPr="001F7FF3" w:rsidRDefault="008C4C06"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312C0BAC" w14:textId="01C8A579" w:rsidR="008C4C06" w:rsidRPr="001F7FF3" w:rsidRDefault="008C4C06"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0980BA39" w14:textId="77777777" w:rsidR="008C4C06" w:rsidRPr="001F7FF3" w:rsidRDefault="008C4C06"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5AA57083" w14:textId="00090053" w:rsidR="00EB4619" w:rsidRDefault="00EB4619"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5F3A3766" w14:textId="7E6B5CF9" w:rsidR="00C04B5A" w:rsidRPr="00C04B5A" w:rsidRDefault="00C04B5A" w:rsidP="00C04B5A">
      <w:pPr>
        <w:pStyle w:val="Descripcin"/>
        <w:keepNext/>
        <w:rPr>
          <w:rFonts w:ascii="Century Gothic" w:hAnsi="Century Gothic"/>
          <w:lang w:val="es-CO"/>
        </w:rPr>
      </w:pPr>
      <w:bookmarkStart w:id="38" w:name="_Toc117527854"/>
      <w:r w:rsidRPr="00C04B5A">
        <w:rPr>
          <w:rFonts w:ascii="Century Gothic" w:hAnsi="Century Gothic"/>
          <w:lang w:val="es-CO"/>
        </w:rPr>
        <w:lastRenderedPageBreak/>
        <w:t xml:space="preserve">Ilustración </w:t>
      </w:r>
      <w:r w:rsidRPr="00C04B5A">
        <w:rPr>
          <w:rFonts w:ascii="Century Gothic" w:hAnsi="Century Gothic"/>
          <w:lang w:val="es-CO"/>
        </w:rPr>
        <w:fldChar w:fldCharType="begin"/>
      </w:r>
      <w:r w:rsidRPr="00C04B5A">
        <w:rPr>
          <w:rFonts w:ascii="Century Gothic" w:hAnsi="Century Gothic"/>
          <w:lang w:val="es-CO"/>
        </w:rPr>
        <w:instrText xml:space="preserve"> SEQ Ilustración \* ARABIC </w:instrText>
      </w:r>
      <w:r w:rsidRPr="00C04B5A">
        <w:rPr>
          <w:rFonts w:ascii="Century Gothic" w:hAnsi="Century Gothic"/>
          <w:lang w:val="es-CO"/>
        </w:rPr>
        <w:fldChar w:fldCharType="separate"/>
      </w:r>
      <w:r w:rsidR="00295D29">
        <w:rPr>
          <w:rFonts w:ascii="Century Gothic" w:hAnsi="Century Gothic"/>
          <w:noProof/>
          <w:lang w:val="es-CO"/>
        </w:rPr>
        <w:t>5</w:t>
      </w:r>
      <w:r w:rsidRPr="00C04B5A">
        <w:rPr>
          <w:rFonts w:ascii="Century Gothic" w:hAnsi="Century Gothic"/>
          <w:lang w:val="es-CO"/>
        </w:rPr>
        <w:fldChar w:fldCharType="end"/>
      </w:r>
      <w:r w:rsidRPr="00C04B5A">
        <w:rPr>
          <w:rFonts w:ascii="Century Gothic" w:hAnsi="Century Gothic"/>
          <w:lang w:val="es-CO"/>
        </w:rPr>
        <w:t>. Percepción de ejecución presupuestal por parte de las OSC</w:t>
      </w:r>
      <w:bookmarkEnd w:id="38"/>
    </w:p>
    <w:p w14:paraId="745E10E5" w14:textId="70264BA8" w:rsidR="00EB4619" w:rsidRDefault="00C04B5A" w:rsidP="009D291F">
      <w:pPr>
        <w:autoSpaceDE w:val="0"/>
        <w:autoSpaceDN w:val="0"/>
        <w:spacing w:after="160"/>
        <w:ind w:left="720" w:right="113"/>
        <w:contextualSpacing/>
        <w:jc w:val="both"/>
        <w:rPr>
          <w:rFonts w:ascii="Century Gothic" w:eastAsia="Century Gothic" w:hAnsi="Century Gothic" w:cs="Century Gothic"/>
          <w:sz w:val="20"/>
          <w:szCs w:val="20"/>
          <w:lang w:eastAsia="de-DE"/>
        </w:rPr>
      </w:pPr>
      <w:r w:rsidRPr="003B2AEB">
        <w:rPr>
          <w:rFonts w:ascii="Century Gothic" w:hAnsi="Century Gothic"/>
          <w:noProof/>
        </w:rPr>
        <w:drawing>
          <wp:anchor distT="0" distB="0" distL="114300" distR="114300" simplePos="0" relativeHeight="251708416" behindDoc="0" locked="0" layoutInCell="1" allowOverlap="1" wp14:anchorId="4F60880D" wp14:editId="1CBEE6ED">
            <wp:simplePos x="0" y="0"/>
            <wp:positionH relativeFrom="page">
              <wp:posOffset>2133600</wp:posOffset>
            </wp:positionH>
            <wp:positionV relativeFrom="paragraph">
              <wp:posOffset>29210</wp:posOffset>
            </wp:positionV>
            <wp:extent cx="3704590" cy="2103120"/>
            <wp:effectExtent l="0" t="0" r="10160" b="11430"/>
            <wp:wrapSquare wrapText="bothSides"/>
            <wp:docPr id="12" name="Gráfico 12">
              <a:extLst xmlns:a="http://schemas.openxmlformats.org/drawingml/2006/main">
                <a:ext uri="{FF2B5EF4-FFF2-40B4-BE49-F238E27FC236}">
                  <a16:creationId xmlns:a16="http://schemas.microsoft.com/office/drawing/2014/main" id="{A8F8A4E7-64A5-8658-5C59-6CEE62CDE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E4BDE59" w14:textId="363EEBDE" w:rsidR="00EB4619" w:rsidRDefault="00EB4619"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26EB6F8D" w14:textId="7B56921D"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43305134" w14:textId="2FA81CAC"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5F60B1B9" w14:textId="1B8EEBBD"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54F669DB" w14:textId="0C47D93E"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3B65DB77" w14:textId="4DA14A0F"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3FA2F585" w14:textId="69B1C183"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6359A264" w14:textId="00B7D470"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275D74B3" w14:textId="4752D0B8"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4F1DF214" w14:textId="4ADCD982"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15912DD1" w14:textId="7D975961"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2D5CCBD5" w14:textId="5C047D53" w:rsidR="00C04B5A"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2685122D" w14:textId="77777777" w:rsidR="00C04B5A" w:rsidRPr="001F7FF3" w:rsidRDefault="00C04B5A" w:rsidP="00C04B5A">
      <w:pPr>
        <w:autoSpaceDE w:val="0"/>
        <w:autoSpaceDN w:val="0"/>
        <w:spacing w:after="160"/>
        <w:ind w:right="113"/>
        <w:contextualSpacing/>
        <w:jc w:val="both"/>
        <w:rPr>
          <w:rFonts w:ascii="Century Gothic" w:eastAsia="Century Gothic" w:hAnsi="Century Gothic" w:cs="Century Gothic"/>
          <w:sz w:val="20"/>
          <w:szCs w:val="20"/>
          <w:lang w:eastAsia="de-DE"/>
        </w:rPr>
      </w:pPr>
    </w:p>
    <w:p w14:paraId="277DDAF8" w14:textId="725DBC2C" w:rsidR="00717364" w:rsidRPr="003B2AEB" w:rsidRDefault="006428A2" w:rsidP="009D291F">
      <w:pPr>
        <w:autoSpaceDE w:val="0"/>
        <w:autoSpaceDN w:val="0"/>
        <w:ind w:right="113"/>
        <w:contextualSpacing/>
        <w:jc w:val="center"/>
        <w:rPr>
          <w:rFonts w:ascii="Century Gothic" w:eastAsia="Century Gothic" w:hAnsi="Century Gothic" w:cs="Century Gothic"/>
          <w:sz w:val="18"/>
          <w:szCs w:val="18"/>
          <w:lang w:eastAsia="de-DE"/>
        </w:rPr>
      </w:pPr>
      <w:r w:rsidRPr="003B2AEB">
        <w:rPr>
          <w:rFonts w:ascii="Century Gothic" w:eastAsia="Century Gothic" w:hAnsi="Century Gothic" w:cs="Century Gothic"/>
          <w:b/>
          <w:bCs/>
          <w:sz w:val="18"/>
          <w:szCs w:val="18"/>
          <w:lang w:eastAsia="de-DE"/>
        </w:rPr>
        <w:t>Fuente</w:t>
      </w:r>
      <w:r w:rsidRPr="003B2AEB">
        <w:rPr>
          <w:rFonts w:ascii="Century Gothic" w:eastAsia="Century Gothic" w:hAnsi="Century Gothic" w:cs="Century Gothic"/>
          <w:sz w:val="18"/>
          <w:szCs w:val="18"/>
          <w:lang w:eastAsia="de-DE"/>
        </w:rPr>
        <w:t>: Encuesta a OSC</w:t>
      </w:r>
    </w:p>
    <w:p w14:paraId="2EB9F8E5" w14:textId="77777777" w:rsidR="006428A2" w:rsidRPr="001F7FF3" w:rsidRDefault="006428A2" w:rsidP="009D291F">
      <w:pPr>
        <w:autoSpaceDE w:val="0"/>
        <w:autoSpaceDN w:val="0"/>
        <w:ind w:right="113"/>
        <w:contextualSpacing/>
        <w:jc w:val="both"/>
        <w:rPr>
          <w:rFonts w:ascii="Century Gothic" w:eastAsia="Century Gothic" w:hAnsi="Century Gothic" w:cs="Century Gothic"/>
          <w:sz w:val="20"/>
          <w:szCs w:val="20"/>
          <w:lang w:eastAsia="de-DE"/>
        </w:rPr>
      </w:pPr>
    </w:p>
    <w:p w14:paraId="5FF46A08" w14:textId="41038591"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Cuando se les preguntó por qué califican de esa manera la eficiencia, las repuestas fueron, entre otras, las siguientes: “El presupuesto se ejecutó de acuerdo con lo previsto en la media que, se cumplieron con los rubros y valores aprobados para cada uno de ellos, y se logró una correspondencia eficiente entre estos y la dinámica programática del proyecto permitiendo con ello asegurar el cumplimiento efectivo de los objetivos y resultados propuestos.”; “Hubo planeación con las OSC aliadas y asistencia técnica del PNUD que hizo armónico el marco lógico vs. Recursos”</w:t>
      </w:r>
      <w:r w:rsidR="002B3974">
        <w:rPr>
          <w:rFonts w:ascii="Century Gothic" w:eastAsia="Century Gothic" w:hAnsi="Century Gothic" w:cs="Century Gothic"/>
          <w:sz w:val="20"/>
          <w:szCs w:val="20"/>
          <w:lang w:eastAsia="de-DE"/>
        </w:rPr>
        <w:t xml:space="preserve"> (Respuesta OSC encuesta). </w:t>
      </w:r>
    </w:p>
    <w:p w14:paraId="3E94A5D3"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67AA5F39"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En términos generales los procedimientos administrativos son eficientes, aunque algunas veces no apropiados para las realidades y capacidades de las organizaciones que operan en la escala local y territorial. </w:t>
      </w:r>
      <w:r w:rsidRPr="001F7FF3">
        <w:rPr>
          <w:rFonts w:ascii="Century Gothic" w:eastAsia="Century Gothic" w:hAnsi="Century Gothic" w:cs="Century Gothic"/>
          <w:sz w:val="20"/>
          <w:szCs w:val="20"/>
          <w:lang w:eastAsia="de-DE"/>
        </w:rPr>
        <w:t xml:space="preserve">Las entrevistas evidenciaron capacidad instalada en procesos y procedimientos administrativos en OSC que permite tramites más eficientes y el cumplimiento de los estándares esperados por el Portafolio. Sin embargo, algunas de las quejas de las personas entrevistadas resaltaron que los procedimientos a veces se alargan y no son compatibles con la realidad del territorio. Un ejemplo de esto es la solicitud de factura electrónica en zonas del país donde aún no hay una economía formalizada y un sistema contable claro. Las OSC describieron en el grupo focal: “nosotros hemos en general cumplido con los requerimientos de ese tipo de informes con el PNUD y queremos destacar la flexibilidad que han tenido frente a la reutilización y reasignación de recursos. Sin embargo, deben entender que el trabajo de litigio y de acompañamiento a víctimas no puede ser una cosa rígida, pues el trabajo con comunidad y que se combina con la magistratura tiene modificaciones que no siempre dependen de la organización que está respondiendo por la ejecución del proyecto”. </w:t>
      </w:r>
    </w:p>
    <w:p w14:paraId="0E140A2B"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31D6BBC9" w14:textId="6DF77B21" w:rsidR="00717364" w:rsidRPr="001F7FF3" w:rsidRDefault="00717364" w:rsidP="009D291F">
      <w:pPr>
        <w:autoSpaceDE w:val="0"/>
        <w:autoSpaceDN w:val="0"/>
        <w:spacing w:after="160"/>
        <w:ind w:right="113"/>
        <w:contextualSpacing/>
        <w:jc w:val="both"/>
        <w:rPr>
          <w:rFonts w:ascii="Century Gothic" w:eastAsia="Century Gothic" w:hAnsi="Century Gothic" w:cstheme="minorHAnsi"/>
          <w:sz w:val="20"/>
          <w:szCs w:val="20"/>
          <w:lang w:eastAsia="de-DE"/>
        </w:rPr>
      </w:pPr>
      <w:r w:rsidRPr="001F7FF3">
        <w:rPr>
          <w:rFonts w:ascii="Century Gothic" w:hAnsi="Century Gothic" w:cstheme="minorHAnsi"/>
          <w:sz w:val="20"/>
          <w:szCs w:val="20"/>
        </w:rPr>
        <w:t>El sistema de monitoreo y evaluación ha demostrado ser eficiente para el seguimiento operativo y la medición de resultados, con un conjunto adecuado de espacios, procedimientos y recursos humanos y técnicos</w:t>
      </w:r>
      <w:r w:rsidRPr="001F7FF3">
        <w:rPr>
          <w:rFonts w:ascii="Century Gothic" w:eastAsia="Century Gothic" w:hAnsi="Century Gothic" w:cstheme="minorHAnsi"/>
          <w:sz w:val="20"/>
          <w:szCs w:val="20"/>
          <w:lang w:eastAsia="de-DE"/>
        </w:rPr>
        <w:t xml:space="preserve">. De hecho, los comités (de proyecto) son un mecanismo eficiente para el monitoreo y seguimiento de los proyectos. Así lo explica uno de los entrevistados: "Esos comités hacen balance de la implementación de planes de trabajo y presupuesto, permiten resolver cuellos de botella, barreras y dificultades, tomar decisiones para mejorar la implementación y hacer solicitudes a los cooperantes". En las encuestas realizadas a las OSC, el 40% considera que los procedimientos de revisión y aprobación de los proyectos de parte del PNUD son muy eficientes y permiten una correcta y ágil implementación (5); el 33% considera que son eficientes (4); y el 27% lo califica como regular (3).  </w:t>
      </w:r>
    </w:p>
    <w:p w14:paraId="0B9E84DA" w14:textId="7747825E" w:rsidR="006428A2" w:rsidRPr="001F7FF3" w:rsidRDefault="006428A2" w:rsidP="009D291F">
      <w:pPr>
        <w:autoSpaceDE w:val="0"/>
        <w:autoSpaceDN w:val="0"/>
        <w:spacing w:after="160"/>
        <w:ind w:right="113"/>
        <w:contextualSpacing/>
        <w:jc w:val="both"/>
        <w:rPr>
          <w:rFonts w:ascii="Century Gothic" w:eastAsia="Century Gothic" w:hAnsi="Century Gothic" w:cstheme="minorHAnsi"/>
          <w:sz w:val="20"/>
          <w:szCs w:val="20"/>
          <w:lang w:eastAsia="de-DE"/>
        </w:rPr>
      </w:pPr>
    </w:p>
    <w:p w14:paraId="0592DF04" w14:textId="4A3B8385" w:rsidR="00717364" w:rsidRDefault="003B2AEB" w:rsidP="009D291F">
      <w:pPr>
        <w:autoSpaceDE w:val="0"/>
        <w:autoSpaceDN w:val="0"/>
        <w:spacing w:after="160"/>
        <w:ind w:left="720" w:right="113"/>
        <w:contextualSpacing/>
        <w:jc w:val="both"/>
        <w:rPr>
          <w:rFonts w:ascii="Century Gothic" w:eastAsia="Century Gothic" w:hAnsi="Century Gothic" w:cs="Century Gothic"/>
          <w:sz w:val="20"/>
          <w:szCs w:val="20"/>
          <w:lang w:eastAsia="de-DE"/>
        </w:rPr>
      </w:pPr>
      <w:r>
        <w:rPr>
          <w:noProof/>
        </w:rPr>
        <mc:AlternateContent>
          <mc:Choice Requires="wps">
            <w:drawing>
              <wp:anchor distT="0" distB="0" distL="114300" distR="114300" simplePos="0" relativeHeight="251711488" behindDoc="0" locked="0" layoutInCell="1" allowOverlap="1" wp14:anchorId="1A454D2F" wp14:editId="40147125">
                <wp:simplePos x="0" y="0"/>
                <wp:positionH relativeFrom="page">
                  <wp:align>center</wp:align>
                </wp:positionH>
                <wp:positionV relativeFrom="paragraph">
                  <wp:posOffset>8255</wp:posOffset>
                </wp:positionV>
                <wp:extent cx="4434840" cy="289560"/>
                <wp:effectExtent l="0" t="0" r="381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434840" cy="289560"/>
                        </a:xfrm>
                        <a:prstGeom prst="rect">
                          <a:avLst/>
                        </a:prstGeom>
                        <a:solidFill>
                          <a:prstClr val="white"/>
                        </a:solidFill>
                        <a:ln>
                          <a:noFill/>
                        </a:ln>
                      </wps:spPr>
                      <wps:txbx>
                        <w:txbxContent>
                          <w:p w14:paraId="0F8C0584" w14:textId="234800AF" w:rsidR="003B2AEB" w:rsidRPr="003B2AEB" w:rsidRDefault="003B2AEB" w:rsidP="003B2AEB">
                            <w:pPr>
                              <w:pStyle w:val="Descripcin"/>
                              <w:rPr>
                                <w:rFonts w:ascii="Century Gothic" w:eastAsia="Calibri" w:hAnsi="Century Gothic" w:cs="Calibri"/>
                                <w:sz w:val="24"/>
                                <w:szCs w:val="24"/>
                                <w:lang w:val="es-CO" w:eastAsia="es-CO"/>
                              </w:rPr>
                            </w:pPr>
                            <w:bookmarkStart w:id="39" w:name="_Toc117527855"/>
                            <w:r w:rsidRPr="003B2AEB">
                              <w:rPr>
                                <w:rFonts w:ascii="Century Gothic" w:hAnsi="Century Gothic"/>
                                <w:lang w:val="es-CO"/>
                              </w:rPr>
                              <w:t xml:space="preserve">Ilustración </w:t>
                            </w:r>
                            <w:r w:rsidRPr="003B2AEB">
                              <w:rPr>
                                <w:rFonts w:ascii="Century Gothic" w:hAnsi="Century Gothic"/>
                                <w:lang w:val="es-CO"/>
                              </w:rPr>
                              <w:fldChar w:fldCharType="begin"/>
                            </w:r>
                            <w:r w:rsidRPr="003B2AEB">
                              <w:rPr>
                                <w:rFonts w:ascii="Century Gothic" w:hAnsi="Century Gothic"/>
                                <w:lang w:val="es-CO"/>
                              </w:rPr>
                              <w:instrText xml:space="preserve"> SEQ Ilustración \* ARABIC </w:instrText>
                            </w:r>
                            <w:r w:rsidRPr="003B2AEB">
                              <w:rPr>
                                <w:rFonts w:ascii="Century Gothic" w:hAnsi="Century Gothic"/>
                                <w:lang w:val="es-CO"/>
                              </w:rPr>
                              <w:fldChar w:fldCharType="separate"/>
                            </w:r>
                            <w:r w:rsidR="00295D29">
                              <w:rPr>
                                <w:rFonts w:ascii="Century Gothic" w:hAnsi="Century Gothic"/>
                                <w:noProof/>
                                <w:lang w:val="es-CO"/>
                              </w:rPr>
                              <w:t>6</w:t>
                            </w:r>
                            <w:r w:rsidRPr="003B2AEB">
                              <w:rPr>
                                <w:rFonts w:ascii="Century Gothic" w:hAnsi="Century Gothic"/>
                                <w:lang w:val="es-CO"/>
                              </w:rPr>
                              <w:fldChar w:fldCharType="end"/>
                            </w:r>
                            <w:r w:rsidRPr="003B2AEB">
                              <w:rPr>
                                <w:rFonts w:ascii="Century Gothic" w:hAnsi="Century Gothic"/>
                                <w:lang w:val="es-CO"/>
                              </w:rPr>
                              <w:t>. Eficiencia de los procedimientos de revisión y aprobación de los proyectos por parte del PNUD</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4D2F" id="Cuadro de texto 15" o:spid="_x0000_s1032" type="#_x0000_t202" style="position:absolute;left:0;text-align:left;margin-left:0;margin-top:.65pt;width:349.2pt;height:22.8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" stroked="f">
                <v:textbox inset="0,0,0,0">
                  <w:txbxContent>
                    <w:p w14:paraId="0F8C0584" w14:textId="234800AF" w:rsidR="003B2AEB" w:rsidRPr="003B2AEB" w:rsidRDefault="003B2AEB" w:rsidP="003B2AEB">
                      <w:pPr>
                        <w:pStyle w:val="Descripcin"/>
                        <w:rPr>
                          <w:rFonts w:ascii="Century Gothic" w:eastAsia="Calibri" w:hAnsi="Century Gothic" w:cs="Calibri"/>
                          <w:sz w:val="24"/>
                          <w:szCs w:val="24"/>
                          <w:lang w:val="es-CO" w:eastAsia="es-CO"/>
                        </w:rPr>
                      </w:pPr>
                      <w:bookmarkStart w:id="40" w:name="_Toc117527855"/>
                      <w:r w:rsidRPr="003B2AEB">
                        <w:rPr>
                          <w:rFonts w:ascii="Century Gothic" w:hAnsi="Century Gothic"/>
                          <w:lang w:val="es-CO"/>
                        </w:rPr>
                        <w:t xml:space="preserve">Ilustración </w:t>
                      </w:r>
                      <w:r w:rsidRPr="003B2AEB">
                        <w:rPr>
                          <w:rFonts w:ascii="Century Gothic" w:hAnsi="Century Gothic"/>
                          <w:lang w:val="es-CO"/>
                        </w:rPr>
                        <w:fldChar w:fldCharType="begin"/>
                      </w:r>
                      <w:r w:rsidRPr="003B2AEB">
                        <w:rPr>
                          <w:rFonts w:ascii="Century Gothic" w:hAnsi="Century Gothic"/>
                          <w:lang w:val="es-CO"/>
                        </w:rPr>
                        <w:instrText xml:space="preserve"> SEQ Ilustración \* ARABIC </w:instrText>
                      </w:r>
                      <w:r w:rsidRPr="003B2AEB">
                        <w:rPr>
                          <w:rFonts w:ascii="Century Gothic" w:hAnsi="Century Gothic"/>
                          <w:lang w:val="es-CO"/>
                        </w:rPr>
                        <w:fldChar w:fldCharType="separate"/>
                      </w:r>
                      <w:r w:rsidR="00295D29">
                        <w:rPr>
                          <w:rFonts w:ascii="Century Gothic" w:hAnsi="Century Gothic"/>
                          <w:noProof/>
                          <w:lang w:val="es-CO"/>
                        </w:rPr>
                        <w:t>6</w:t>
                      </w:r>
                      <w:r w:rsidRPr="003B2AEB">
                        <w:rPr>
                          <w:rFonts w:ascii="Century Gothic" w:hAnsi="Century Gothic"/>
                          <w:lang w:val="es-CO"/>
                        </w:rPr>
                        <w:fldChar w:fldCharType="end"/>
                      </w:r>
                      <w:r w:rsidRPr="003B2AEB">
                        <w:rPr>
                          <w:rFonts w:ascii="Century Gothic" w:hAnsi="Century Gothic"/>
                          <w:lang w:val="es-CO"/>
                        </w:rPr>
                        <w:t>. Eficiencia de los procedimientos de revisión y aprobación de los proyectos por parte del PNUD</w:t>
                      </w:r>
                      <w:bookmarkEnd w:id="40"/>
                    </w:p>
                  </w:txbxContent>
                </v:textbox>
                <w10:wrap type="square" anchorx="page"/>
              </v:shape>
            </w:pict>
          </mc:Fallback>
        </mc:AlternateContent>
      </w:r>
    </w:p>
    <w:p w14:paraId="410CFD21" w14:textId="4C8B5961" w:rsidR="003B2AEB" w:rsidRDefault="003B2AEB" w:rsidP="009D291F">
      <w:pPr>
        <w:autoSpaceDE w:val="0"/>
        <w:autoSpaceDN w:val="0"/>
        <w:spacing w:after="160"/>
        <w:ind w:left="720" w:right="113"/>
        <w:contextualSpacing/>
        <w:jc w:val="both"/>
        <w:rPr>
          <w:rFonts w:ascii="Century Gothic" w:eastAsia="Century Gothic" w:hAnsi="Century Gothic" w:cs="Century Gothic"/>
          <w:sz w:val="20"/>
          <w:szCs w:val="20"/>
          <w:lang w:eastAsia="de-DE"/>
        </w:rPr>
      </w:pPr>
    </w:p>
    <w:p w14:paraId="1C5A48BD" w14:textId="4AAB4381" w:rsidR="003B2AEB" w:rsidRPr="003B2AEB" w:rsidRDefault="003B2AEB" w:rsidP="003B2AEB">
      <w:pPr>
        <w:autoSpaceDE w:val="0"/>
        <w:autoSpaceDN w:val="0"/>
        <w:spacing w:after="160"/>
        <w:ind w:right="113"/>
        <w:contextualSpacing/>
        <w:jc w:val="both"/>
        <w:rPr>
          <w:rFonts w:ascii="Century Gothic" w:eastAsia="Century Gothic" w:hAnsi="Century Gothic" w:cs="Century Gothic"/>
          <w:sz w:val="18"/>
          <w:szCs w:val="18"/>
          <w:lang w:eastAsia="de-DE"/>
        </w:rPr>
      </w:pPr>
      <w:r w:rsidRPr="003B2AEB">
        <w:rPr>
          <w:rFonts w:ascii="Century Gothic" w:hAnsi="Century Gothic"/>
          <w:noProof/>
        </w:rPr>
        <w:drawing>
          <wp:anchor distT="0" distB="0" distL="114300" distR="114300" simplePos="0" relativeHeight="251709440" behindDoc="0" locked="0" layoutInCell="1" allowOverlap="1" wp14:anchorId="340A77F5" wp14:editId="7C69506C">
            <wp:simplePos x="0" y="0"/>
            <wp:positionH relativeFrom="column">
              <wp:posOffset>802005</wp:posOffset>
            </wp:positionH>
            <wp:positionV relativeFrom="paragraph">
              <wp:posOffset>10160</wp:posOffset>
            </wp:positionV>
            <wp:extent cx="3909060" cy="2240280"/>
            <wp:effectExtent l="0" t="0" r="15240" b="7620"/>
            <wp:wrapSquare wrapText="bothSides"/>
            <wp:docPr id="14" name="Gráfico 14">
              <a:extLst xmlns:a="http://schemas.openxmlformats.org/drawingml/2006/main">
                <a:ext uri="{FF2B5EF4-FFF2-40B4-BE49-F238E27FC236}">
                  <a16:creationId xmlns:a16="http://schemas.microsoft.com/office/drawing/2014/main" id="{973FCDED-4A10-EBC1-A035-4DC84E8B4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06444A6F" w14:textId="423A1E5A"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5ADFAE95"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03829BCE"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467F159F"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3E3CB4D6"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1F84FD12"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6D0DDAD1"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0C386E30"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386738F3"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0EC5DB5A"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6AEF27ED"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4AE4511F"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53E0C3EE"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777B6DBF"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66C5670D" w14:textId="77777777" w:rsidR="003B2AEB" w:rsidRDefault="003B2AEB" w:rsidP="009D291F">
      <w:pPr>
        <w:autoSpaceDE w:val="0"/>
        <w:autoSpaceDN w:val="0"/>
        <w:ind w:right="113"/>
        <w:contextualSpacing/>
        <w:jc w:val="center"/>
        <w:rPr>
          <w:rFonts w:ascii="Century Gothic" w:eastAsia="Century Gothic" w:hAnsi="Century Gothic" w:cs="Century Gothic"/>
          <w:b/>
          <w:bCs/>
          <w:sz w:val="18"/>
          <w:szCs w:val="18"/>
          <w:lang w:eastAsia="de-DE"/>
        </w:rPr>
      </w:pPr>
    </w:p>
    <w:p w14:paraId="501961EA" w14:textId="77777777" w:rsidR="003B2AEB" w:rsidRDefault="003B2AEB" w:rsidP="003B2AEB">
      <w:pPr>
        <w:autoSpaceDE w:val="0"/>
        <w:autoSpaceDN w:val="0"/>
        <w:ind w:right="113"/>
        <w:contextualSpacing/>
        <w:jc w:val="center"/>
        <w:rPr>
          <w:rFonts w:ascii="Century Gothic" w:eastAsia="Century Gothic" w:hAnsi="Century Gothic" w:cs="Century Gothic"/>
          <w:b/>
          <w:bCs/>
          <w:sz w:val="18"/>
          <w:szCs w:val="18"/>
          <w:lang w:eastAsia="de-DE"/>
        </w:rPr>
      </w:pPr>
    </w:p>
    <w:p w14:paraId="4EB7AAD0" w14:textId="6473F8B7" w:rsidR="006428A2" w:rsidRPr="003B2AEB" w:rsidRDefault="006428A2" w:rsidP="003B2AEB">
      <w:pPr>
        <w:autoSpaceDE w:val="0"/>
        <w:autoSpaceDN w:val="0"/>
        <w:ind w:right="113"/>
        <w:contextualSpacing/>
        <w:jc w:val="center"/>
        <w:rPr>
          <w:rFonts w:ascii="Century Gothic" w:eastAsia="Century Gothic" w:hAnsi="Century Gothic" w:cs="Century Gothic"/>
          <w:sz w:val="18"/>
          <w:szCs w:val="18"/>
          <w:lang w:eastAsia="de-DE"/>
        </w:rPr>
      </w:pPr>
      <w:r w:rsidRPr="003B2AEB">
        <w:rPr>
          <w:rFonts w:ascii="Century Gothic" w:eastAsia="Century Gothic" w:hAnsi="Century Gothic" w:cs="Century Gothic"/>
          <w:b/>
          <w:bCs/>
          <w:sz w:val="18"/>
          <w:szCs w:val="18"/>
          <w:lang w:eastAsia="de-DE"/>
        </w:rPr>
        <w:t>Fuente</w:t>
      </w:r>
      <w:r w:rsidRPr="003B2AEB">
        <w:rPr>
          <w:rFonts w:ascii="Century Gothic" w:eastAsia="Century Gothic" w:hAnsi="Century Gothic" w:cs="Century Gothic"/>
          <w:sz w:val="18"/>
          <w:szCs w:val="18"/>
          <w:lang w:eastAsia="de-DE"/>
        </w:rPr>
        <w:t>: Encuesta a OSC</w:t>
      </w:r>
    </w:p>
    <w:p w14:paraId="3C48C4EE" w14:textId="77777777" w:rsidR="006428A2" w:rsidRPr="001F7FF3" w:rsidRDefault="006428A2" w:rsidP="009D291F">
      <w:pPr>
        <w:autoSpaceDE w:val="0"/>
        <w:autoSpaceDN w:val="0"/>
        <w:spacing w:after="160"/>
        <w:ind w:left="720" w:right="113"/>
        <w:contextualSpacing/>
        <w:jc w:val="both"/>
        <w:rPr>
          <w:rFonts w:ascii="Century Gothic" w:eastAsia="Century Gothic" w:hAnsi="Century Gothic" w:cs="Century Gothic"/>
          <w:sz w:val="20"/>
          <w:szCs w:val="20"/>
          <w:lang w:eastAsia="de-DE"/>
        </w:rPr>
      </w:pPr>
    </w:p>
    <w:p w14:paraId="6E825878"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1988E064"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El portafolio cuenta con mecanismos definidos de monitoreo y seguimiento a los presupuestos, lo cual permite la movilización y administración de recursos de acuerdo con el manual de procedimientos del PNUD</w:t>
      </w:r>
      <w:r w:rsidRPr="001F7FF3">
        <w:rPr>
          <w:rFonts w:ascii="Century Gothic" w:eastAsia="Century Gothic" w:hAnsi="Century Gothic" w:cs="Century Gothic"/>
          <w:sz w:val="20"/>
          <w:szCs w:val="20"/>
          <w:lang w:eastAsia="de-DE"/>
        </w:rPr>
        <w:t>. Estos procedimientos son, entre otros: contratación oportuna; desembolsos oportunos; seguimiento financiero eficiente; ajustes presupuestales justificados, entre otros. Hay bastante rigurosidad en la revisión de los presupuestos y en el cumplimiento de las metas, así como flexibilidad para aceptar cambios debido a factores externos como el COVID 19, los problemas de seguridad o las dificultades de carácter político. Como lo indica una de las personas entrevistadas del equipo técnico del PNUD: "para evitar contratiempos periódicamente se hacen revisiones presupuestales a los proyectos con el objetivo de dar cumplimiento a las acciones programadas durante la vigencia. Es frecuente que se realicen solicitudes de extensión en tiempo para cumplir con la ejecución y los planes de trabajo".</w:t>
      </w:r>
    </w:p>
    <w:p w14:paraId="33152C47"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4E50725D" w14:textId="77777777" w:rsidR="00717364" w:rsidRPr="001F7FF3" w:rsidRDefault="00717364" w:rsidP="009D291F">
      <w:pPr>
        <w:autoSpaceDE w:val="0"/>
        <w:autoSpaceDN w:val="0"/>
        <w:spacing w:after="160"/>
        <w:ind w:right="113"/>
        <w:contextualSpacing/>
        <w:jc w:val="both"/>
        <w:rPr>
          <w:rFonts w:ascii="Century Gothic" w:hAnsi="Century Gothic"/>
          <w:sz w:val="20"/>
          <w:szCs w:val="20"/>
        </w:rPr>
      </w:pPr>
      <w:r w:rsidRPr="001F7FF3">
        <w:rPr>
          <w:rFonts w:ascii="Century Gothic" w:eastAsia="Century Gothic" w:hAnsi="Century Gothic" w:cs="Century Gothic"/>
          <w:b/>
          <w:bCs/>
          <w:sz w:val="20"/>
          <w:szCs w:val="20"/>
          <w:lang w:eastAsia="de-DE"/>
        </w:rPr>
        <w:t>La distribución de los recursos se ha realizado de manera independiente para cada uno de los resultados del programa siendo una decisión discrecional y no planeada, que depende del contexto o de las instituciones</w:t>
      </w:r>
      <w:r w:rsidRPr="001F7FF3">
        <w:rPr>
          <w:rFonts w:ascii="Century Gothic" w:eastAsia="Century Gothic" w:hAnsi="Century Gothic" w:cs="Century Gothic"/>
          <w:sz w:val="20"/>
          <w:szCs w:val="20"/>
          <w:lang w:eastAsia="de-DE"/>
        </w:rPr>
        <w:t>. Es decir, la asignación de recursos a cada resultado se realiza, en algunos casos, por recomendaciones externas como el MPTF u otro donante. En otros casos, se han incorporado requerimientos técnicos, como, por ejemplo, que se garantice la participación de las víctimas. La fragmentación de los aportes está ligada a la falta de integralidad por no contar con un comité técnico mixto (donantes y PNUD) de alto nivel y un fondo común que distribuya los fondos con criterios más consensuados y estratégicos.</w:t>
      </w:r>
    </w:p>
    <w:p w14:paraId="7F403A11" w14:textId="77777777" w:rsidR="00717364" w:rsidRPr="001F7FF3" w:rsidRDefault="00717364" w:rsidP="009D291F">
      <w:pPr>
        <w:rPr>
          <w:rFonts w:ascii="Century Gothic" w:eastAsia="Century Gothic" w:hAnsi="Century Gothic" w:cs="Century Gothic"/>
          <w:sz w:val="20"/>
          <w:szCs w:val="20"/>
        </w:rPr>
      </w:pPr>
    </w:p>
    <w:p w14:paraId="5E0087AC"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Aunque la pandemia afectó el plan de implementación de los proyectos, especialmente en el primer semestre del 2020,el retraso fue contrarrestado en el segundo semestre gracias a la capacidad de respuesta del PNUD y al compromiso del equipo técnico.</w:t>
      </w:r>
      <w:r w:rsidRPr="001F7FF3">
        <w:rPr>
          <w:rFonts w:ascii="Century Gothic" w:eastAsia="Century Gothic" w:hAnsi="Century Gothic" w:cs="Century Gothic"/>
          <w:sz w:val="20"/>
          <w:szCs w:val="20"/>
          <w:lang w:eastAsia="de-DE"/>
        </w:rPr>
        <w:t xml:space="preserve"> Las actividades se retomaron gracias a la aplicación de protocolos de bioseguridad y otras medidas. Con algunos ajustes, se adoptó un modelo basado en la virtualidad, logrando mayor eficiencia y capacidad de respuesta. Por ejemplo, la realización de reuniones de forma virtual logró en primer lugar solucionar las dificultades presentadas por causa de la pandemia de manera consensuada entre donantes, institucionalidad socia de los diferentes proyectos </w:t>
      </w:r>
      <w:r w:rsidRPr="001F7FF3">
        <w:rPr>
          <w:rFonts w:ascii="Century Gothic" w:eastAsia="Century Gothic" w:hAnsi="Century Gothic" w:cs="Century Gothic"/>
          <w:sz w:val="20"/>
          <w:szCs w:val="20"/>
          <w:lang w:eastAsia="de-DE"/>
        </w:rPr>
        <w:lastRenderedPageBreak/>
        <w:t>del portafolio, los beneficiarios y el PNUD. Esto permitió adecuar acciones para avanzar en los marcos de resultados propuestos en los proyectos del portafolio.</w:t>
      </w:r>
    </w:p>
    <w:p w14:paraId="5561C818"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23462F2A"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Times New Roman" w:hAnsi="Century Gothic" w:cs="Arial"/>
          <w:sz w:val="20"/>
          <w:szCs w:val="20"/>
          <w:lang w:eastAsia="de-DE"/>
        </w:rPr>
        <w:t xml:space="preserve">Una serie de </w:t>
      </w:r>
      <w:r w:rsidRPr="001F7FF3">
        <w:rPr>
          <w:rFonts w:ascii="Century Gothic" w:eastAsia="Times New Roman" w:hAnsi="Century Gothic" w:cs="Arial"/>
          <w:b/>
          <w:bCs/>
          <w:sz w:val="20"/>
          <w:szCs w:val="20"/>
          <w:lang w:eastAsia="de-DE"/>
        </w:rPr>
        <w:t>factores internos</w:t>
      </w:r>
      <w:r w:rsidRPr="001F7FF3">
        <w:rPr>
          <w:rFonts w:ascii="Century Gothic" w:eastAsia="Times New Roman" w:hAnsi="Century Gothic" w:cs="Arial"/>
          <w:sz w:val="20"/>
          <w:szCs w:val="20"/>
          <w:lang w:eastAsia="de-DE"/>
        </w:rPr>
        <w:t xml:space="preserve"> han sido identificados como aquellos que incentivan/limitan la consecución de los resultados tal y como estaban planeados. A continuación, enumeramos los más importantes:</w:t>
      </w:r>
      <w:r w:rsidRPr="001F7FF3">
        <w:rPr>
          <w:rFonts w:ascii="Century Gothic" w:eastAsiaTheme="minorEastAsia" w:hAnsi="Century Gothic"/>
          <w:sz w:val="20"/>
          <w:szCs w:val="20"/>
          <w:lang w:eastAsia="es-ES"/>
        </w:rPr>
        <w:t xml:space="preserve"> </w:t>
      </w:r>
    </w:p>
    <w:p w14:paraId="568C2E0E"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5ACFBA15" w14:textId="77777777" w:rsidR="00717364" w:rsidRPr="001F7FF3" w:rsidRDefault="00717364" w:rsidP="009D291F">
      <w:pPr>
        <w:autoSpaceDE w:val="0"/>
        <w:autoSpaceDN w:val="0"/>
        <w:ind w:right="113"/>
        <w:contextualSpacing/>
        <w:jc w:val="both"/>
        <w:rPr>
          <w:rFonts w:ascii="Century Gothic" w:eastAsia="Century Gothic" w:hAnsi="Century Gothic" w:cs="Century Gothic"/>
          <w:b/>
          <w:bCs/>
          <w:sz w:val="20"/>
          <w:szCs w:val="20"/>
          <w:lang w:eastAsia="de-DE"/>
        </w:rPr>
      </w:pPr>
      <w:bookmarkStart w:id="41" w:name="_Hlk104196941"/>
      <w:r w:rsidRPr="001F7FF3">
        <w:rPr>
          <w:rFonts w:ascii="Century Gothic" w:eastAsia="Century Gothic" w:hAnsi="Century Gothic" w:cs="Century Gothic"/>
          <w:b/>
          <w:bCs/>
          <w:sz w:val="20"/>
          <w:szCs w:val="20"/>
          <w:lang w:eastAsia="de-DE"/>
        </w:rPr>
        <w:t>Factores que desfavorecen la eficiencia del portafolio</w:t>
      </w:r>
      <w:bookmarkEnd w:id="41"/>
      <w:r w:rsidRPr="001F7FF3">
        <w:rPr>
          <w:rFonts w:ascii="Century Gothic" w:eastAsia="Century Gothic" w:hAnsi="Century Gothic" w:cs="Century Gothic"/>
          <w:b/>
          <w:bCs/>
          <w:sz w:val="20"/>
          <w:szCs w:val="20"/>
          <w:lang w:eastAsia="de-DE"/>
        </w:rPr>
        <w:t xml:space="preserve">:  </w:t>
      </w:r>
    </w:p>
    <w:p w14:paraId="6E22A027"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cambio en procesos administrativos y la centralización de la toma de decisiones y aprobaciones en la sede en Manila ha generado mucha presión para las entidades, sobre todo la CEV que tiene un mandato transitorio y necesita procedimientos más agiles. El PNUD no ha creado procedimientos adaptados a este tipo de dinámicas transitorios y al no solucionarse podría volverse una amenaza para la marca del PNUD, sobre todo con los donantes; </w:t>
      </w:r>
    </w:p>
    <w:p w14:paraId="4166E0EB"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 lentitud de los procesos administrativos de la JEP y la toma de decisiones por consenso va en contra de la velocidad requerida por una institución transitoria; </w:t>
      </w:r>
    </w:p>
    <w:p w14:paraId="22CF6ED1"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 estructura de la CEV es muy fragmentada. Sin embargo, los equipos de trabajo interno (de la CEV) han logrado compensar las contradicciones que eso genera; </w:t>
      </w:r>
    </w:p>
    <w:p w14:paraId="0ADAFA6E"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Líneas de tiempo de financiación cortas que interrumpen procesos y dañan la confianza con los actores porque el apoyo es muy concreto y puntual; </w:t>
      </w:r>
    </w:p>
    <w:p w14:paraId="0DC611C6"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 falta de recursos propios por parte del PJT que permita apoyar o fortalecer acciones que resultan complementarias; en algunas ocasiones están por fuera del alcance del marco de resultados de los proyectos que conforman el portafolio como capacidad de respuesta inmediata; </w:t>
      </w:r>
    </w:p>
    <w:p w14:paraId="02A49B2C"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Un equipo que se ha debilitado técnicamente con la salida de algunos de sus funcionarios más competentes en los últimos años, aunque estas personas ahora están trabajando en entidades del Sistema; </w:t>
      </w:r>
    </w:p>
    <w:p w14:paraId="148708A8" w14:textId="0222D2B6" w:rsidR="00717364" w:rsidRPr="002245E7" w:rsidRDefault="00717364" w:rsidP="002245E7">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PJT no cuenta con un órgano de gobernanza integrado de alto nivel (como lo tenía el antiguo Fondo de Justicia Transicional) que realmente era un espacio muy valioso no solo para el PNUD sino para la cooperación internacional, sistema de NNUU y el gobierno, ya que fijaba una agenda estratégica conjunta en materia de Justicia transicional para el país</w:t>
      </w:r>
      <w:r w:rsidR="002245E7">
        <w:rPr>
          <w:rFonts w:ascii="Century Gothic" w:eastAsia="Century Gothic" w:hAnsi="Century Gothic" w:cs="Century Gothic"/>
          <w:sz w:val="20"/>
          <w:szCs w:val="20"/>
          <w:lang w:eastAsia="de-DE"/>
        </w:rPr>
        <w:t xml:space="preserve">. </w:t>
      </w:r>
    </w:p>
    <w:p w14:paraId="1B63DB77" w14:textId="77777777" w:rsidR="00717364" w:rsidRPr="001F7FF3" w:rsidRDefault="00717364" w:rsidP="009D291F">
      <w:pPr>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rPr>
        <w:t>Factores que favorecen la eficiencia del portafolio:</w:t>
      </w:r>
      <w:r w:rsidRPr="001F7FF3">
        <w:rPr>
          <w:rFonts w:ascii="Century Gothic" w:eastAsia="Century Gothic" w:hAnsi="Century Gothic" w:cs="Century Gothic"/>
          <w:sz w:val="20"/>
          <w:szCs w:val="20"/>
        </w:rPr>
        <w:t xml:space="preserve"> </w:t>
      </w:r>
    </w:p>
    <w:p w14:paraId="60E7342D"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 estabilidad del equipo programático del PNUD, su voluntad de solucionar los problemas dentro de su alcance, y su presencia territorial ha sido un apoyo importante para las instituciones que no tienen capacidad descentralizada (a excepción de la UARIV). El equipo del PJT ha mantenido una buena comunicación tanto con organizaciones como con instituciones; </w:t>
      </w:r>
    </w:p>
    <w:p w14:paraId="20C99B49"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PNUD ofrece la legitimidad de un acompañamiento internacional con una presencia, experiencia y red de organizaciones previa en los territorios; </w:t>
      </w:r>
    </w:p>
    <w:p w14:paraId="7156F970"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permite la participación de las víctimas ante las instituciones colombianas en materia de JT a través del fortalecimiento de organizaciones que las acompañan en una diversidad de territorios, logrando garantías de derechos y fortalecimiento de capacidades simultáneamente; </w:t>
      </w:r>
    </w:p>
    <w:p w14:paraId="30AC2730"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a pesar de sus procedimientos lentos, puede ejecutar recursos en los territorios de manera más fácil que con recursos del Estado; </w:t>
      </w:r>
    </w:p>
    <w:p w14:paraId="57682CAF"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se constituyó como un programa integrado que contribuye a la coordinación de acciones de la cooperación en materia de JT, implementando un alto volumen de recursos que fortalecen las capacidades institucionales bajo un enfoque de centralidad en las víctimas; </w:t>
      </w:r>
    </w:p>
    <w:p w14:paraId="52872405" w14:textId="77777777" w:rsidR="00717364" w:rsidRPr="001F7FF3" w:rsidRDefault="00717364" w:rsidP="009D291F">
      <w:pPr>
        <w:numPr>
          <w:ilvl w:val="1"/>
          <w:numId w:val="4"/>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lastRenderedPageBreak/>
        <w:t xml:space="preserve">la experiencia previa del PJT y el conocimiento de la dinámica territorial y su contexto; un equipo técnico competente, capaz y comprometido. </w:t>
      </w:r>
    </w:p>
    <w:p w14:paraId="08D2E4B7" w14:textId="77777777" w:rsidR="00717364" w:rsidRPr="001F7FF3" w:rsidRDefault="00717364" w:rsidP="009D291F">
      <w:pPr>
        <w:rPr>
          <w:rFonts w:ascii="Century Gothic" w:eastAsia="Century Gothic" w:hAnsi="Century Gothic" w:cs="Century Gothic"/>
          <w:b/>
          <w:bCs/>
          <w:sz w:val="20"/>
          <w:szCs w:val="20"/>
        </w:rPr>
      </w:pPr>
    </w:p>
    <w:p w14:paraId="1D9CF169" w14:textId="77777777" w:rsidR="00717364" w:rsidRPr="001F7FF3" w:rsidRDefault="00717364" w:rsidP="009D291F">
      <w:pPr>
        <w:keepNext/>
        <w:keepLines/>
        <w:numPr>
          <w:ilvl w:val="1"/>
          <w:numId w:val="0"/>
        </w:numPr>
        <w:spacing w:before="40"/>
        <w:ind w:left="1440" w:hanging="360"/>
        <w:outlineLvl w:val="1"/>
        <w:rPr>
          <w:rFonts w:ascii="Century Gothic" w:eastAsia="Century Gothic" w:hAnsi="Century Gothic" w:cstheme="majorBidi"/>
          <w:b/>
          <w:bCs/>
          <w:color w:val="2F5496" w:themeColor="accent1" w:themeShade="BF"/>
          <w:sz w:val="20"/>
          <w:szCs w:val="20"/>
        </w:rPr>
      </w:pPr>
      <w:bookmarkStart w:id="42" w:name="_Toc117261400"/>
      <w:r w:rsidRPr="001F7FF3">
        <w:rPr>
          <w:rFonts w:ascii="Century Gothic" w:eastAsia="Century Gothic" w:hAnsi="Century Gothic" w:cstheme="majorBidi"/>
          <w:b/>
          <w:bCs/>
          <w:color w:val="2F5496" w:themeColor="accent1" w:themeShade="BF"/>
          <w:sz w:val="20"/>
          <w:szCs w:val="20"/>
        </w:rPr>
        <w:t>Eficacia</w:t>
      </w:r>
      <w:bookmarkEnd w:id="42"/>
      <w:r w:rsidRPr="001F7FF3">
        <w:rPr>
          <w:rFonts w:ascii="Century Gothic" w:eastAsia="Century Gothic" w:hAnsi="Century Gothic" w:cstheme="majorBidi"/>
          <w:b/>
          <w:bCs/>
          <w:color w:val="2F5496" w:themeColor="accent1" w:themeShade="BF"/>
          <w:sz w:val="20"/>
          <w:szCs w:val="20"/>
        </w:rPr>
        <w:t xml:space="preserve"> </w:t>
      </w:r>
    </w:p>
    <w:p w14:paraId="28E61413"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1D9CE8F5" w14:textId="2CA80B96" w:rsidR="00717364" w:rsidRPr="001F7FF3" w:rsidRDefault="00717364"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Además de alistar el sistema integral </w:t>
      </w:r>
      <w:r w:rsidR="00236DCE" w:rsidRPr="001F7FF3">
        <w:rPr>
          <w:rFonts w:ascii="Century Gothic" w:eastAsia="Century Gothic" w:hAnsi="Century Gothic" w:cs="Century Gothic"/>
          <w:b/>
          <w:bCs/>
          <w:sz w:val="20"/>
          <w:szCs w:val="20"/>
          <w:lang w:eastAsia="de-DE"/>
        </w:rPr>
        <w:t xml:space="preserve">para la paz </w:t>
      </w:r>
      <w:r w:rsidRPr="001F7FF3">
        <w:rPr>
          <w:rFonts w:ascii="Century Gothic" w:eastAsia="Century Gothic" w:hAnsi="Century Gothic" w:cs="Century Gothic"/>
          <w:b/>
          <w:bCs/>
          <w:sz w:val="20"/>
          <w:szCs w:val="20"/>
          <w:lang w:eastAsia="de-DE"/>
        </w:rPr>
        <w:t>y preparar a las víctimas y sus organizaciones para colocarlos en el centro de su labor, los proyectos del PJT mantienen un fuerte enfoque de desarrollo de capacidades institucionales</w:t>
      </w:r>
      <w:r w:rsidRPr="001F7FF3">
        <w:rPr>
          <w:rFonts w:ascii="Century Gothic" w:eastAsia="Century Gothic" w:hAnsi="Century Gothic" w:cs="Century Gothic"/>
          <w:sz w:val="20"/>
          <w:szCs w:val="20"/>
          <w:lang w:eastAsia="de-DE"/>
        </w:rPr>
        <w:t xml:space="preserve"> </w:t>
      </w:r>
      <w:r w:rsidRPr="001F7FF3">
        <w:rPr>
          <w:rFonts w:ascii="Century Gothic" w:eastAsia="Century Gothic" w:hAnsi="Century Gothic" w:cs="Century Gothic"/>
          <w:b/>
          <w:bCs/>
          <w:sz w:val="20"/>
          <w:szCs w:val="20"/>
          <w:lang w:eastAsia="de-DE"/>
        </w:rPr>
        <w:t>(del SNARIV y el SIVJRNR especialmente).</w:t>
      </w:r>
      <w:r w:rsidRPr="001F7FF3">
        <w:rPr>
          <w:rFonts w:ascii="Century Gothic" w:eastAsia="Century Gothic" w:hAnsi="Century Gothic" w:cs="Century Gothic"/>
          <w:sz w:val="20"/>
          <w:szCs w:val="20"/>
          <w:lang w:eastAsia="de-DE"/>
        </w:rPr>
        <w:t xml:space="preserve"> La elaboración conjunta de los proyectos (PNUD-entidades) ha permitido que el Sistema se fortalezca y mantenga sus estrategias y capacidades de respuesta de manera autónoma del gobierno de turno para brindar servicios de atención y orientación a las víctimas y demás grupos priorizados. Así mismo, han fortalecido las capacidades de las víctimas a través de sus organizaciones para promover, facilitar y garantizar su participación activa con capacidad de incidencia ante las instituciones, incluyendo el diseño de sus metodologías de participación. </w:t>
      </w:r>
    </w:p>
    <w:p w14:paraId="27A1C07E" w14:textId="77777777" w:rsidR="00717364" w:rsidRPr="001F7FF3" w:rsidRDefault="00717364" w:rsidP="009D291F">
      <w:pPr>
        <w:jc w:val="both"/>
        <w:rPr>
          <w:rFonts w:ascii="Century Gothic" w:eastAsia="Century Gothic" w:hAnsi="Century Gothic" w:cs="Century Gothic"/>
          <w:sz w:val="20"/>
          <w:szCs w:val="20"/>
          <w:lang w:eastAsia="de-DE"/>
        </w:rPr>
      </w:pPr>
    </w:p>
    <w:p w14:paraId="0362722D" w14:textId="77777777" w:rsidR="00717364" w:rsidRPr="001F7FF3" w:rsidRDefault="00717364" w:rsidP="009D291F">
      <w:pPr>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sz w:val="20"/>
          <w:szCs w:val="20"/>
          <w:lang w:eastAsia="de-DE"/>
        </w:rPr>
        <w:t>De modo de ejemplo, una entrevistada de la UBPD, explicó cómo e</w:t>
      </w:r>
      <w:r w:rsidRPr="001F7FF3">
        <w:rPr>
          <w:rFonts w:ascii="Century Gothic" w:eastAsia="Times New Roman" w:hAnsi="Century Gothic" w:cs="Times New Roman"/>
          <w:sz w:val="20"/>
          <w:szCs w:val="20"/>
          <w:lang w:eastAsia="es-MX"/>
        </w:rPr>
        <w:t xml:space="preserve">l PJT sirvió para fortalecer dos aspectos fundacionales cuando se constituyó la entidad: 1). Ayudó hacer la estructuración básica de su trabajo durante ese primer año, incluyendo discusión y documentos técnicos a través del apoyo del MPTF y la provisión de insumos para la discusión con la función pública para determinar qué tipo de mecanismo debía tener el país, incluyendo sus funcionarios y sus perfiles profesionales; 2). Contribuyó a reunir insumos de víctimas y de OSCs para nutrir la estructura y dialogar con ellas para identificar qué necesidades se tenían para el proceso de búsqueda con ese mecanismo: </w:t>
      </w:r>
      <w:r w:rsidRPr="001F7FF3">
        <w:rPr>
          <w:rFonts w:ascii="Century Gothic" w:eastAsia="Times New Roman" w:hAnsi="Century Gothic" w:cs="Times New Roman"/>
          <w:i/>
          <w:iCs/>
          <w:sz w:val="20"/>
          <w:szCs w:val="20"/>
          <w:lang w:eastAsia="es-MX"/>
        </w:rPr>
        <w:t>“Parte de este apoyo técnico se puede ver en que el apoyo para la UBDP era fundamental para la creación del consejo asesor. Está conformado por distintas entidades y en ese año una de las necesidades eran poder generar discusiones con las organizaciones de víctimas de desaparición forzada y secuestro y las organizaciones técnico-científicas. El PNUD facilitó la discusión a través del socio de la Comisión Colombiana de Juristas. Se vio fortalecida con el apoyo del PNUD y su trayectoria en materia de justicia transicional y con las organizaciones. Entregaron la documentación de casos y la solicitud de búsqueda de personas desaparecidas”.</w:t>
      </w:r>
    </w:p>
    <w:p w14:paraId="37E565EC" w14:textId="77777777" w:rsidR="00717364" w:rsidRPr="001F7FF3" w:rsidRDefault="00717364" w:rsidP="00311D9F">
      <w:pPr>
        <w:autoSpaceDE w:val="0"/>
        <w:autoSpaceDN w:val="0"/>
        <w:ind w:right="113"/>
        <w:contextualSpacing/>
        <w:jc w:val="both"/>
        <w:rPr>
          <w:rFonts w:ascii="Century Gothic" w:eastAsia="Century Gothic" w:hAnsi="Century Gothic" w:cs="Century Gothic"/>
          <w:sz w:val="20"/>
          <w:szCs w:val="20"/>
          <w:lang w:eastAsia="de-DE"/>
        </w:rPr>
      </w:pPr>
    </w:p>
    <w:p w14:paraId="7683D431"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b/>
          <w:bCs/>
          <w:sz w:val="20"/>
          <w:szCs w:val="20"/>
          <w:lang w:eastAsia="de-DE"/>
        </w:rPr>
        <w:t>El apoyo y la flexibilidad que el PJT ofreció para montar y poner en funcionamiento el Sistema han servido para que el PNUD adopte una postura de actor cooperante catalítico más que de liderazgo protagónico.</w:t>
      </w:r>
      <w:r w:rsidRPr="001F7FF3">
        <w:rPr>
          <w:rFonts w:ascii="Century Gothic" w:eastAsia="Century Gothic" w:hAnsi="Century Gothic" w:cs="Century Gothic"/>
          <w:sz w:val="20"/>
          <w:szCs w:val="20"/>
          <w:lang w:eastAsia="de-DE"/>
        </w:rPr>
        <w:t xml:space="preserve"> En otras palabras, se ha dedicado a impulsar el desarrollo de las nuevas entidades para que sean independientes, tanto del gobierno como del mismo PNUD, al transferir sus propios conocimientos y recursos humanos a las nuevas estructuras. Durante todo este proceso ha mantenido un bajo perfil para no opacar el protagonismo y liderazgo emergente del Sistema. Este posicionamiento no ha sido comunicado efectivamente a los donantes para que entiendan plenamente el rol del PJT. La brecha de comprensión entre el PNUD, las entidades y los donantes sobre su modus operandi de bajo perfil fue expresada de esta manera por un representante de uno de los donantes: “</w:t>
      </w:r>
      <w:r w:rsidRPr="001F7FF3">
        <w:rPr>
          <w:rFonts w:ascii="Century Gothic" w:eastAsia="Times New Roman" w:hAnsi="Century Gothic" w:cs="Times New Roman"/>
          <w:sz w:val="20"/>
          <w:szCs w:val="20"/>
          <w:lang w:eastAsia="es-MX"/>
        </w:rPr>
        <w:t>Se requiere un fortalecimiento técnico del portafolio. Si PNUD quiere ser líder en justicia transicional les falta mucho. No siempre ser líder de un tema significa ejecutar los recursos. Yo no siento que ellos den asistencia técnica ni valor agregado”. S</w:t>
      </w:r>
      <w:r w:rsidRPr="001F7FF3">
        <w:rPr>
          <w:rFonts w:ascii="Century Gothic" w:eastAsia="Century Gothic" w:hAnsi="Century Gothic" w:cs="Century Gothic"/>
          <w:sz w:val="20"/>
          <w:szCs w:val="20"/>
          <w:lang w:eastAsia="de-DE"/>
        </w:rPr>
        <w:t>in embargo, según funcionarios del Sistema, el modus operandi del PNUD ha sido fundamental para que las nuevas entidades hayan podido consolidar su autonomía, asumir el liderazgo técnico de las políticas nacionales, y expresar sus propias necesidades de fortalecimiento y apoyo.</w:t>
      </w:r>
    </w:p>
    <w:p w14:paraId="3A704440" w14:textId="77777777" w:rsidR="00717364" w:rsidRPr="001F7FF3" w:rsidRDefault="00717364" w:rsidP="009D291F">
      <w:pPr>
        <w:jc w:val="both"/>
        <w:rPr>
          <w:rFonts w:ascii="Century Gothic" w:eastAsia="Century Gothic" w:hAnsi="Century Gothic" w:cs="Century Gothic"/>
          <w:sz w:val="20"/>
          <w:szCs w:val="20"/>
        </w:rPr>
      </w:pPr>
    </w:p>
    <w:p w14:paraId="7FF72D2D"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El PJT ha sido eficaz en lograr el acceso de las víctimas a través del empoderamiento de sus organizaciones y la participación masiva en los nuevos mecanismos ofrecidos por el </w:t>
      </w:r>
      <w:r w:rsidRPr="001F7FF3">
        <w:rPr>
          <w:rFonts w:ascii="Century Gothic" w:eastAsia="Century Gothic" w:hAnsi="Century Gothic" w:cs="Century Gothic"/>
          <w:b/>
          <w:bCs/>
          <w:sz w:val="20"/>
          <w:szCs w:val="20"/>
          <w:lang w:eastAsia="de-DE"/>
        </w:rPr>
        <w:lastRenderedPageBreak/>
        <w:t>Sistema. El enfoque participativo, diferencial y territorial del PJT y su capacidad de superar los diferentes desafíos que podrían haber dificultado el acceso ha sido fundamental.</w:t>
      </w:r>
      <w:r w:rsidRPr="001F7FF3">
        <w:rPr>
          <w:rFonts w:ascii="Century Gothic" w:eastAsia="Century Gothic" w:hAnsi="Century Gothic" w:cs="Century Gothic"/>
          <w:sz w:val="20"/>
          <w:szCs w:val="20"/>
          <w:lang w:eastAsia="de-DE"/>
        </w:rPr>
        <w:t xml:space="preserve"> PNUD promovió la participación a través de varias estrategias, incluyendo: </w:t>
      </w:r>
    </w:p>
    <w:p w14:paraId="488D270F"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el acompañamiento de las entidades del Sistema para fortalecer sus mecanismos de acceso y relaciones con las organizaciones sociales;</w:t>
      </w:r>
    </w:p>
    <w:p w14:paraId="6A205346"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procesos pedagógicos sobre el rol y mandato de las entidades del Sistema para generar confianza en ellas;</w:t>
      </w:r>
    </w:p>
    <w:p w14:paraId="752782B0"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análisis de seguridad territorial para la creación de medidas de protección y prevención para las víctimas convocadas en zonas de inseguridad crónica;</w:t>
      </w:r>
    </w:p>
    <w:p w14:paraId="07CD871D"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impulsando el protagonismo de las organizaciones sociales con presencia territorial, conocimiento de los hechos y representatividad ante grupos particularmente vulnerables para que una amplia gama de víctimas se motivase a acreditarse e intervenir; </w:t>
      </w:r>
    </w:p>
    <w:p w14:paraId="72C509AC"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metodologías de recolección de información que animan a las comunidades a comunicar sus propias experiencias e historias ante el Sistema; </w:t>
      </w:r>
    </w:p>
    <w:p w14:paraId="0C10F6C9"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despliegue de sedes territoriales para el Sistema en lugares con alta concentración de víctimas que normalmente no cuentan con la presencia de instituciones descentralizadas; </w:t>
      </w:r>
    </w:p>
    <w:p w14:paraId="01D834B2"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difusión de la labor de las entidades a través de novelas gráficas en redes sociales y los medios de comunicación.</w:t>
      </w:r>
    </w:p>
    <w:p w14:paraId="5E6A4291"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0DF95A3A" w14:textId="63D8274E" w:rsidR="00B86D1A" w:rsidRPr="001F7FF3" w:rsidRDefault="00717364" w:rsidP="003A032B">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En las </w:t>
      </w:r>
      <w:r w:rsidR="006428A2" w:rsidRPr="001F7FF3">
        <w:rPr>
          <w:rFonts w:ascii="Century Gothic" w:eastAsia="Century Gothic" w:hAnsi="Century Gothic" w:cs="Century Gothic"/>
          <w:sz w:val="20"/>
          <w:szCs w:val="20"/>
          <w:lang w:eastAsia="de-DE"/>
        </w:rPr>
        <w:t>encuestas</w:t>
      </w:r>
      <w:r w:rsidRPr="001F7FF3">
        <w:rPr>
          <w:rFonts w:ascii="Century Gothic" w:eastAsia="Century Gothic" w:hAnsi="Century Gothic" w:cs="Century Gothic"/>
          <w:sz w:val="20"/>
          <w:szCs w:val="20"/>
          <w:lang w:eastAsia="de-DE"/>
        </w:rPr>
        <w:t xml:space="preserve"> a las OSC, respondieron en qué medida el portafolio del Programa de Justicia Transicional del PNUD ha logrado que más víctimas accedan a procesos de V, J, R y GNR. El 57% considera que las víctimas han accedido significativamente (5)</w:t>
      </w:r>
      <w:r w:rsidRPr="001F7FF3">
        <w:rPr>
          <w:rFonts w:ascii="Century Gothic" w:hAnsi="Century Gothic"/>
          <w:sz w:val="20"/>
          <w:szCs w:val="20"/>
        </w:rPr>
        <w:t xml:space="preserve"> </w:t>
      </w:r>
      <w:r w:rsidRPr="001F7FF3">
        <w:rPr>
          <w:rFonts w:ascii="Century Gothic" w:eastAsia="Century Gothic" w:hAnsi="Century Gothic" w:cs="Century Gothic"/>
          <w:sz w:val="20"/>
          <w:szCs w:val="20"/>
          <w:lang w:eastAsia="de-DE"/>
        </w:rPr>
        <w:t xml:space="preserve">a procesos de V,J,R y GNR; el 40% considera que ha sido un acceso bueno (4); y el 3% considera que ha sido regular (3). </w:t>
      </w:r>
    </w:p>
    <w:p w14:paraId="565A5AA0" w14:textId="77777777" w:rsidR="00B86D1A" w:rsidRPr="001F7FF3" w:rsidRDefault="00B86D1A"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3F598C0E" w14:textId="61A199F1" w:rsidR="00795509" w:rsidRPr="00795509" w:rsidRDefault="00586A99" w:rsidP="00795509">
      <w:pPr>
        <w:pStyle w:val="Descripcin"/>
        <w:keepNext/>
        <w:rPr>
          <w:rFonts w:ascii="Century Gothic" w:hAnsi="Century Gothic"/>
          <w:lang w:val="es-CO"/>
        </w:rPr>
      </w:pPr>
      <w:bookmarkStart w:id="43" w:name="_Toc117527856"/>
      <w:r>
        <w:rPr>
          <w:noProof/>
        </w:rPr>
        <w:drawing>
          <wp:anchor distT="0" distB="0" distL="114300" distR="114300" simplePos="0" relativeHeight="251712512" behindDoc="0" locked="0" layoutInCell="1" allowOverlap="1" wp14:anchorId="4FE96C2B" wp14:editId="5D033D61">
            <wp:simplePos x="0" y="0"/>
            <wp:positionH relativeFrom="page">
              <wp:align>center</wp:align>
            </wp:positionH>
            <wp:positionV relativeFrom="paragraph">
              <wp:posOffset>285946</wp:posOffset>
            </wp:positionV>
            <wp:extent cx="3996834" cy="2121031"/>
            <wp:effectExtent l="0" t="0" r="3810" b="12700"/>
            <wp:wrapSquare wrapText="bothSides"/>
            <wp:docPr id="16" name="Gráfico 16">
              <a:extLst xmlns:a="http://schemas.openxmlformats.org/drawingml/2006/main">
                <a:ext uri="{FF2B5EF4-FFF2-40B4-BE49-F238E27FC236}">
                  <a16:creationId xmlns:a16="http://schemas.microsoft.com/office/drawing/2014/main" id="{63FED520-9520-775E-03F1-99E9D49A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795509" w:rsidRPr="00795509">
        <w:rPr>
          <w:rFonts w:ascii="Century Gothic" w:hAnsi="Century Gothic"/>
          <w:lang w:val="es-CO"/>
        </w:rPr>
        <w:t xml:space="preserve">Ilustración </w:t>
      </w:r>
      <w:r w:rsidR="00795509" w:rsidRPr="00795509">
        <w:rPr>
          <w:rFonts w:ascii="Century Gothic" w:hAnsi="Century Gothic"/>
          <w:lang w:val="es-CO"/>
        </w:rPr>
        <w:fldChar w:fldCharType="begin"/>
      </w:r>
      <w:r w:rsidR="00795509" w:rsidRPr="00795509">
        <w:rPr>
          <w:rFonts w:ascii="Century Gothic" w:hAnsi="Century Gothic"/>
          <w:lang w:val="es-CO"/>
        </w:rPr>
        <w:instrText xml:space="preserve"> SEQ Ilustración \* ARABIC </w:instrText>
      </w:r>
      <w:r w:rsidR="00795509" w:rsidRPr="00795509">
        <w:rPr>
          <w:rFonts w:ascii="Century Gothic" w:hAnsi="Century Gothic"/>
          <w:lang w:val="es-CO"/>
        </w:rPr>
        <w:fldChar w:fldCharType="separate"/>
      </w:r>
      <w:r w:rsidR="00295D29">
        <w:rPr>
          <w:rFonts w:ascii="Century Gothic" w:hAnsi="Century Gothic"/>
          <w:noProof/>
          <w:lang w:val="es-CO"/>
        </w:rPr>
        <w:t>7</w:t>
      </w:r>
      <w:r w:rsidR="00795509" w:rsidRPr="00795509">
        <w:rPr>
          <w:rFonts w:ascii="Century Gothic" w:hAnsi="Century Gothic"/>
          <w:lang w:val="es-CO"/>
        </w:rPr>
        <w:fldChar w:fldCharType="end"/>
      </w:r>
      <w:r w:rsidR="00795509" w:rsidRPr="00795509">
        <w:rPr>
          <w:rFonts w:ascii="Century Gothic" w:hAnsi="Century Gothic"/>
          <w:lang w:val="es-CO"/>
        </w:rPr>
        <w:t>. Percepción de las OSC sobre el acceso de las víctimas a procesos de V,J,R Y GNR</w:t>
      </w:r>
      <w:bookmarkEnd w:id="43"/>
    </w:p>
    <w:p w14:paraId="336E58D3" w14:textId="6C3D9F1E" w:rsidR="00795509" w:rsidRPr="001F7FF3" w:rsidRDefault="00795509" w:rsidP="00795509">
      <w:pPr>
        <w:autoSpaceDE w:val="0"/>
        <w:autoSpaceDN w:val="0"/>
        <w:ind w:left="720" w:right="113"/>
        <w:contextualSpacing/>
        <w:jc w:val="both"/>
        <w:rPr>
          <w:rFonts w:ascii="Century Gothic" w:eastAsia="Century Gothic" w:hAnsi="Century Gothic" w:cs="Century Gothic"/>
          <w:sz w:val="20"/>
          <w:szCs w:val="20"/>
          <w:lang w:eastAsia="de-DE"/>
        </w:rPr>
      </w:pPr>
    </w:p>
    <w:p w14:paraId="1A74FE92"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42D2AB8D"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18505278"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14060202"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04AE5B2B"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12DF7D09"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1804BB1D"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59B7D223"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75F8EF60"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3D427E88"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177EBB8D"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0742301F"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62B75A4C" w14:textId="77777777" w:rsidR="00586A99" w:rsidRDefault="00586A99"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2EC65AC8" w14:textId="77777777" w:rsidR="00FC5881" w:rsidRDefault="00FC5881" w:rsidP="00795509">
      <w:pPr>
        <w:autoSpaceDE w:val="0"/>
        <w:autoSpaceDN w:val="0"/>
        <w:ind w:right="113"/>
        <w:contextualSpacing/>
        <w:jc w:val="center"/>
        <w:rPr>
          <w:rFonts w:ascii="Century Gothic" w:eastAsia="Century Gothic" w:hAnsi="Century Gothic" w:cs="Century Gothic"/>
          <w:b/>
          <w:bCs/>
          <w:sz w:val="18"/>
          <w:szCs w:val="18"/>
          <w:lang w:eastAsia="de-DE"/>
        </w:rPr>
      </w:pPr>
    </w:p>
    <w:p w14:paraId="48602B8C" w14:textId="153F0C44" w:rsidR="00717364" w:rsidRPr="00586A99" w:rsidRDefault="006428A2" w:rsidP="00795509">
      <w:pPr>
        <w:autoSpaceDE w:val="0"/>
        <w:autoSpaceDN w:val="0"/>
        <w:ind w:right="113"/>
        <w:contextualSpacing/>
        <w:jc w:val="center"/>
        <w:rPr>
          <w:rFonts w:ascii="Century Gothic" w:eastAsia="Century Gothic" w:hAnsi="Century Gothic" w:cs="Century Gothic"/>
          <w:sz w:val="18"/>
          <w:szCs w:val="18"/>
          <w:lang w:eastAsia="de-DE"/>
        </w:rPr>
      </w:pPr>
      <w:r w:rsidRPr="00586A99">
        <w:rPr>
          <w:rFonts w:ascii="Century Gothic" w:eastAsia="Century Gothic" w:hAnsi="Century Gothic" w:cs="Century Gothic"/>
          <w:b/>
          <w:bCs/>
          <w:sz w:val="18"/>
          <w:szCs w:val="18"/>
          <w:lang w:eastAsia="de-DE"/>
        </w:rPr>
        <w:t>Fuente</w:t>
      </w:r>
      <w:r w:rsidRPr="00586A99">
        <w:rPr>
          <w:rFonts w:ascii="Century Gothic" w:eastAsia="Century Gothic" w:hAnsi="Century Gothic" w:cs="Century Gothic"/>
          <w:sz w:val="18"/>
          <w:szCs w:val="18"/>
          <w:lang w:eastAsia="de-DE"/>
        </w:rPr>
        <w:t>: Encuesta OSC.</w:t>
      </w:r>
    </w:p>
    <w:p w14:paraId="4DC74825" w14:textId="7127858F" w:rsidR="00795509" w:rsidRDefault="00795509" w:rsidP="00795509">
      <w:pPr>
        <w:autoSpaceDE w:val="0"/>
        <w:autoSpaceDN w:val="0"/>
        <w:ind w:right="113"/>
        <w:contextualSpacing/>
        <w:rPr>
          <w:rFonts w:ascii="Century Gothic" w:eastAsia="Century Gothic" w:hAnsi="Century Gothic" w:cs="Century Gothic"/>
          <w:sz w:val="20"/>
          <w:szCs w:val="20"/>
          <w:lang w:eastAsia="de-DE"/>
        </w:rPr>
      </w:pPr>
    </w:p>
    <w:p w14:paraId="143BC227" w14:textId="77777777" w:rsidR="00795509" w:rsidRPr="001F7FF3" w:rsidRDefault="00795509" w:rsidP="009D291F">
      <w:pPr>
        <w:autoSpaceDE w:val="0"/>
        <w:autoSpaceDN w:val="0"/>
        <w:ind w:left="720" w:right="113"/>
        <w:contextualSpacing/>
        <w:jc w:val="center"/>
        <w:rPr>
          <w:rFonts w:ascii="Century Gothic" w:eastAsia="Century Gothic" w:hAnsi="Century Gothic" w:cs="Century Gothic"/>
          <w:sz w:val="20"/>
          <w:szCs w:val="20"/>
          <w:lang w:eastAsia="de-DE"/>
        </w:rPr>
      </w:pPr>
    </w:p>
    <w:p w14:paraId="2C7372CD"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b/>
          <w:bCs/>
          <w:sz w:val="20"/>
          <w:szCs w:val="20"/>
          <w:lang w:eastAsia="de-DE"/>
        </w:rPr>
        <w:t>El PJT ha contribuido a la generación de confianza en las instituciones del Sistema de diferentes maneras.</w:t>
      </w:r>
      <w:r w:rsidRPr="001F7FF3">
        <w:rPr>
          <w:rFonts w:ascii="Century Gothic" w:eastAsia="Century Gothic" w:hAnsi="Century Gothic" w:cs="Century Gothic"/>
          <w:sz w:val="20"/>
          <w:szCs w:val="20"/>
          <w:lang w:eastAsia="de-DE"/>
        </w:rPr>
        <w:t xml:space="preserve"> Primero, el acompañamiento del PNUD a redes de víctimas en los territorios desde antes de la firma del Acuerdo de Paz ofreció una confianza ganada para que las entidades del Sistema se relacionaran con las comunidades durante su despliegue territorial.  Segundo, la promoción y fortalecimiento de las organizaciones de víctimas para </w:t>
      </w:r>
      <w:r w:rsidRPr="001F7FF3">
        <w:rPr>
          <w:rFonts w:ascii="Century Gothic" w:eastAsia="Century Gothic" w:hAnsi="Century Gothic" w:cs="Century Gothic"/>
          <w:sz w:val="20"/>
          <w:szCs w:val="20"/>
          <w:lang w:eastAsia="de-DE"/>
        </w:rPr>
        <w:lastRenderedPageBreak/>
        <w:t xml:space="preserve">asegurar una representación diferencial con enfoque territorial ayudó a legitimar el trabajo del Sistema ante las comunidades. Tercero, trabajar de la mano con un actor internacional como PNUD ayudó a legitimar y ampliar las intervenciones de las entidades ya que abrió espacios con las comunidades para que el Sistema las escucharan y entendieran la naturaleza y alcance de su misión. Cuarto, la experiencia previa del PNUD con el proceso de Justicia y Paz y su apoyo a las entidades en el desarrollo de su abordaje metodológico y la dinámica de trabajo con las comunidades ayudó a acercarlas con las víctimas. Por último, PNUD ayudó a construir confianza a través de la comunicación, apoyando al Sistema con la elaboración de mensajes apropiados para las comunidades y la transmisión de resultados como entidades temporales y transitorios. </w:t>
      </w:r>
      <w:r w:rsidRPr="001F7FF3">
        <w:rPr>
          <w:rFonts w:ascii="Century Gothic" w:eastAsia="Times New Roman" w:hAnsi="Century Gothic" w:cs="Times New Roman"/>
          <w:i/>
          <w:iCs/>
          <w:color w:val="000000"/>
          <w:sz w:val="20"/>
          <w:szCs w:val="20"/>
          <w:lang w:eastAsia="es-MX"/>
        </w:rPr>
        <w:t xml:space="preserve">“Yo creo que el balance en general es muy positivo en una reciente medición que hizo el Centro Nacional de Consultoría los niveles de confianza en instituciones que en ninguna parte del mundo han sido populares, pero en la última medición decía que teníamos reconocimiento entre el 35-42% de los entrevistados” </w:t>
      </w:r>
      <w:r w:rsidRPr="001F7FF3">
        <w:rPr>
          <w:rFonts w:ascii="Century Gothic" w:eastAsia="Times New Roman" w:hAnsi="Century Gothic" w:cs="Times New Roman"/>
          <w:color w:val="000000"/>
          <w:sz w:val="20"/>
          <w:szCs w:val="20"/>
          <w:lang w:eastAsia="es-MX"/>
        </w:rPr>
        <w:t>(funcionario de la CEV).</w:t>
      </w:r>
    </w:p>
    <w:p w14:paraId="6407ED40" w14:textId="77777777" w:rsidR="00717364" w:rsidRPr="001F7FF3" w:rsidRDefault="00717364" w:rsidP="009D291F">
      <w:pPr>
        <w:autoSpaceDE w:val="0"/>
        <w:autoSpaceDN w:val="0"/>
        <w:ind w:left="720" w:right="113"/>
        <w:contextualSpacing/>
        <w:jc w:val="both"/>
        <w:rPr>
          <w:rFonts w:ascii="Century Gothic" w:eastAsia="Times New Roman" w:hAnsi="Century Gothic" w:cs="Times New Roman"/>
          <w:sz w:val="20"/>
          <w:szCs w:val="20"/>
          <w:lang w:eastAsia="es-MX"/>
        </w:rPr>
      </w:pPr>
    </w:p>
    <w:p w14:paraId="1F2594BB" w14:textId="0A72E059" w:rsidR="00717364"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CC039D">
        <w:rPr>
          <w:rFonts w:ascii="Century Gothic" w:eastAsia="Times New Roman" w:hAnsi="Century Gothic" w:cs="Times New Roman"/>
          <w:sz w:val="20"/>
          <w:szCs w:val="20"/>
          <w:lang w:eastAsia="es-MX"/>
        </w:rPr>
        <w:t>La encuesta que se hizo a la Organizaciones de la Sociedad Civil</w:t>
      </w:r>
      <w:r w:rsidR="00F258BE" w:rsidRPr="00CC039D">
        <w:rPr>
          <w:rFonts w:ascii="Century Gothic" w:eastAsia="Times New Roman" w:hAnsi="Century Gothic" w:cs="Times New Roman"/>
          <w:sz w:val="20"/>
          <w:szCs w:val="20"/>
          <w:lang w:eastAsia="es-MX"/>
        </w:rPr>
        <w:t xml:space="preserve"> (ver en la sección de metodología como se realiz</w:t>
      </w:r>
      <w:r w:rsidR="004C57B4" w:rsidRPr="00CC039D">
        <w:rPr>
          <w:rFonts w:ascii="Century Gothic" w:eastAsia="Times New Roman" w:hAnsi="Century Gothic" w:cs="Times New Roman"/>
          <w:sz w:val="20"/>
          <w:szCs w:val="20"/>
          <w:lang w:eastAsia="es-MX"/>
        </w:rPr>
        <w:t>ó</w:t>
      </w:r>
      <w:r w:rsidR="00F258BE" w:rsidRPr="00CC039D">
        <w:rPr>
          <w:rFonts w:ascii="Century Gothic" w:eastAsia="Times New Roman" w:hAnsi="Century Gothic" w:cs="Times New Roman"/>
          <w:sz w:val="20"/>
          <w:szCs w:val="20"/>
          <w:lang w:eastAsia="es-MX"/>
        </w:rPr>
        <w:t xml:space="preserve"> </w:t>
      </w:r>
      <w:r w:rsidR="004C57B4" w:rsidRPr="00CC039D">
        <w:rPr>
          <w:rFonts w:ascii="Century Gothic" w:eastAsia="Times New Roman" w:hAnsi="Century Gothic" w:cs="Times New Roman"/>
          <w:sz w:val="20"/>
          <w:szCs w:val="20"/>
          <w:lang w:eastAsia="es-MX"/>
        </w:rPr>
        <w:t>la encuesta)</w:t>
      </w:r>
      <w:r w:rsidRPr="00CC039D">
        <w:rPr>
          <w:rFonts w:ascii="Century Gothic" w:eastAsia="Times New Roman" w:hAnsi="Century Gothic" w:cs="Times New Roman"/>
          <w:sz w:val="20"/>
          <w:szCs w:val="20"/>
          <w:lang w:eastAsia="es-MX"/>
        </w:rPr>
        <w:t xml:space="preserve"> por parte de la presente evaluación, muestra que hay una percepción de mayor confianza por parte de las víctimas en las instituciones del Estado gracias al PJT</w:t>
      </w:r>
      <w:r w:rsidR="001A2E3A" w:rsidRPr="00CC039D">
        <w:rPr>
          <w:rFonts w:ascii="Century Gothic" w:eastAsia="Times New Roman" w:hAnsi="Century Gothic" w:cs="Times New Roman"/>
          <w:sz w:val="20"/>
          <w:szCs w:val="20"/>
          <w:lang w:eastAsia="es-MX"/>
        </w:rPr>
        <w:t>;</w:t>
      </w:r>
      <w:r w:rsidRPr="00CC039D">
        <w:rPr>
          <w:rFonts w:ascii="Century Gothic" w:eastAsia="Times New Roman" w:hAnsi="Century Gothic" w:cs="Times New Roman"/>
          <w:sz w:val="20"/>
          <w:szCs w:val="20"/>
          <w:lang w:eastAsia="es-MX"/>
        </w:rPr>
        <w:t xml:space="preserve"> con los siguientes resultados: el 3</w:t>
      </w:r>
      <w:r w:rsidR="00AA2FFD" w:rsidRPr="00CC039D">
        <w:rPr>
          <w:rFonts w:ascii="Century Gothic" w:eastAsia="Times New Roman" w:hAnsi="Century Gothic" w:cs="Times New Roman"/>
          <w:sz w:val="20"/>
          <w:szCs w:val="20"/>
          <w:lang w:eastAsia="es-MX"/>
        </w:rPr>
        <w:t>6</w:t>
      </w:r>
      <w:r w:rsidRPr="00CC039D">
        <w:rPr>
          <w:rFonts w:ascii="Century Gothic" w:eastAsia="Times New Roman" w:hAnsi="Century Gothic" w:cs="Times New Roman"/>
          <w:sz w:val="20"/>
          <w:szCs w:val="20"/>
          <w:lang w:eastAsia="es-MX"/>
        </w:rPr>
        <w:t xml:space="preserve">% califica la confianza de las víctimas en estas instituciones como bueno (4);  el </w:t>
      </w:r>
      <w:r w:rsidR="00D3428C" w:rsidRPr="00CC039D">
        <w:rPr>
          <w:rFonts w:ascii="Century Gothic" w:eastAsia="Times New Roman" w:hAnsi="Century Gothic" w:cs="Times New Roman"/>
          <w:sz w:val="20"/>
          <w:szCs w:val="20"/>
          <w:lang w:eastAsia="es-MX"/>
        </w:rPr>
        <w:t>29</w:t>
      </w:r>
      <w:r w:rsidRPr="00CC039D">
        <w:rPr>
          <w:rFonts w:ascii="Century Gothic" w:eastAsia="Times New Roman" w:hAnsi="Century Gothic" w:cs="Times New Roman"/>
          <w:sz w:val="20"/>
          <w:szCs w:val="20"/>
          <w:lang w:eastAsia="es-MX"/>
        </w:rPr>
        <w:t xml:space="preserve">% la califica como regular (3) y el </w:t>
      </w:r>
      <w:r w:rsidR="00D3428C" w:rsidRPr="00CC039D">
        <w:rPr>
          <w:rFonts w:ascii="Century Gothic" w:eastAsia="Times New Roman" w:hAnsi="Century Gothic" w:cs="Times New Roman"/>
          <w:sz w:val="20"/>
          <w:szCs w:val="20"/>
          <w:lang w:eastAsia="es-MX"/>
        </w:rPr>
        <w:t>21</w:t>
      </w:r>
      <w:r w:rsidRPr="00CC039D">
        <w:rPr>
          <w:rFonts w:ascii="Century Gothic" w:eastAsia="Times New Roman" w:hAnsi="Century Gothic" w:cs="Times New Roman"/>
          <w:sz w:val="20"/>
          <w:szCs w:val="20"/>
          <w:lang w:eastAsia="es-MX"/>
        </w:rPr>
        <w:t xml:space="preserve">% con un (2), es decir, perciben que hay </w:t>
      </w:r>
      <w:r w:rsidR="00D3428C" w:rsidRPr="00CC039D">
        <w:rPr>
          <w:rFonts w:ascii="Century Gothic" w:eastAsia="Times New Roman" w:hAnsi="Century Gothic" w:cs="Times New Roman"/>
          <w:sz w:val="20"/>
          <w:szCs w:val="20"/>
          <w:lang w:eastAsia="es-MX"/>
        </w:rPr>
        <w:t>baja</w:t>
      </w:r>
      <w:r w:rsidRPr="00CC039D">
        <w:rPr>
          <w:rFonts w:ascii="Century Gothic" w:eastAsia="Times New Roman" w:hAnsi="Century Gothic" w:cs="Times New Roman"/>
          <w:sz w:val="20"/>
          <w:szCs w:val="20"/>
          <w:lang w:eastAsia="es-MX"/>
        </w:rPr>
        <w:t xml:space="preserve"> confianza.</w:t>
      </w:r>
      <w:r w:rsidR="00D3428C" w:rsidRPr="00CC039D">
        <w:rPr>
          <w:rFonts w:ascii="Century Gothic" w:eastAsia="Times New Roman" w:hAnsi="Century Gothic" w:cs="Times New Roman"/>
          <w:sz w:val="20"/>
          <w:szCs w:val="20"/>
          <w:lang w:eastAsia="es-MX"/>
        </w:rPr>
        <w:t xml:space="preserve"> Finalmente el 14% (1) considera que hay muy baja confianza.</w:t>
      </w:r>
      <w:r w:rsidRPr="00CC039D">
        <w:rPr>
          <w:rFonts w:ascii="Century Gothic" w:eastAsia="Times New Roman" w:hAnsi="Century Gothic" w:cs="Times New Roman"/>
          <w:sz w:val="20"/>
          <w:szCs w:val="20"/>
          <w:lang w:eastAsia="es-MX"/>
        </w:rPr>
        <w:t xml:space="preserve"> Esto se puede ver en la gráfica a continuación:</w:t>
      </w:r>
    </w:p>
    <w:p w14:paraId="4D01DD77" w14:textId="77777777" w:rsidR="00295D29" w:rsidRPr="001F7FF3" w:rsidRDefault="00295D29" w:rsidP="009D291F">
      <w:pPr>
        <w:autoSpaceDE w:val="0"/>
        <w:autoSpaceDN w:val="0"/>
        <w:ind w:right="113"/>
        <w:contextualSpacing/>
        <w:jc w:val="both"/>
        <w:rPr>
          <w:rFonts w:ascii="Century Gothic" w:eastAsia="Times New Roman" w:hAnsi="Century Gothic" w:cs="Times New Roman"/>
          <w:sz w:val="20"/>
          <w:szCs w:val="20"/>
          <w:lang w:eastAsia="es-MX"/>
        </w:rPr>
      </w:pPr>
    </w:p>
    <w:p w14:paraId="2B950DB3" w14:textId="216EE27A" w:rsidR="00295D29" w:rsidRPr="00295D29" w:rsidRDefault="00295D29" w:rsidP="00295D29">
      <w:pPr>
        <w:pStyle w:val="Descripcin"/>
        <w:keepNext/>
        <w:rPr>
          <w:rFonts w:ascii="Century Gothic" w:hAnsi="Century Gothic"/>
          <w:lang w:val="es-CO"/>
        </w:rPr>
      </w:pPr>
      <w:bookmarkStart w:id="44" w:name="_Toc117527857"/>
      <w:r w:rsidRPr="00295D29">
        <w:rPr>
          <w:rFonts w:ascii="Century Gothic" w:hAnsi="Century Gothic"/>
          <w:lang w:val="es-CO"/>
        </w:rPr>
        <w:t xml:space="preserve">Ilustración </w:t>
      </w:r>
      <w:r w:rsidRPr="00295D29">
        <w:rPr>
          <w:rFonts w:ascii="Century Gothic" w:hAnsi="Century Gothic"/>
          <w:lang w:val="es-CO"/>
        </w:rPr>
        <w:fldChar w:fldCharType="begin"/>
      </w:r>
      <w:r w:rsidRPr="00295D29">
        <w:rPr>
          <w:rFonts w:ascii="Century Gothic" w:hAnsi="Century Gothic"/>
          <w:lang w:val="es-CO"/>
        </w:rPr>
        <w:instrText xml:space="preserve"> SEQ Ilustración \* ARABIC </w:instrText>
      </w:r>
      <w:r w:rsidRPr="00295D29">
        <w:rPr>
          <w:rFonts w:ascii="Century Gothic" w:hAnsi="Century Gothic"/>
          <w:lang w:val="es-CO"/>
        </w:rPr>
        <w:fldChar w:fldCharType="separate"/>
      </w:r>
      <w:r w:rsidRPr="00295D29">
        <w:rPr>
          <w:rFonts w:ascii="Century Gothic" w:hAnsi="Century Gothic"/>
          <w:lang w:val="es-CO"/>
        </w:rPr>
        <w:t>8</w:t>
      </w:r>
      <w:r w:rsidRPr="00295D29">
        <w:rPr>
          <w:rFonts w:ascii="Century Gothic" w:hAnsi="Century Gothic"/>
          <w:lang w:val="es-CO"/>
        </w:rPr>
        <w:fldChar w:fldCharType="end"/>
      </w:r>
      <w:r w:rsidRPr="00295D29">
        <w:rPr>
          <w:rFonts w:ascii="Century Gothic" w:hAnsi="Century Gothic"/>
          <w:lang w:val="es-CO"/>
        </w:rPr>
        <w:t>. Percepción del aumento de confianza de las víctimas en las instituciones gracias al PJT</w:t>
      </w:r>
      <w:bookmarkEnd w:id="44"/>
    </w:p>
    <w:p w14:paraId="1BEDC7BF" w14:textId="66A0E394" w:rsidR="00AA2FFD" w:rsidRPr="00AA2FFD" w:rsidRDefault="00AA2FFD" w:rsidP="00AA2FFD">
      <w:pPr>
        <w:autoSpaceDE w:val="0"/>
        <w:autoSpaceDN w:val="0"/>
        <w:ind w:left="720" w:right="113"/>
        <w:contextualSpacing/>
        <w:rPr>
          <w:sz w:val="20"/>
          <w:szCs w:val="20"/>
        </w:rPr>
      </w:pPr>
      <w:r>
        <w:rPr>
          <w:noProof/>
        </w:rPr>
        <w:drawing>
          <wp:inline distT="0" distB="0" distL="0" distR="0" wp14:anchorId="7F69EA5A" wp14:editId="5C568F74">
            <wp:extent cx="4298420" cy="2318994"/>
            <wp:effectExtent l="0" t="0" r="6985" b="5715"/>
            <wp:docPr id="18" name="Gráfico 18">
              <a:extLst xmlns:a="http://schemas.openxmlformats.org/drawingml/2006/main">
                <a:ext uri="{FF2B5EF4-FFF2-40B4-BE49-F238E27FC236}">
                  <a16:creationId xmlns:a16="http://schemas.microsoft.com/office/drawing/2014/main" id="{DE807030-C367-80CD-1B2D-0FB66B3FF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1462EA" w14:textId="317C63BD" w:rsidR="00717364" w:rsidRPr="001F7FF3" w:rsidRDefault="008C1B6F" w:rsidP="009D291F">
      <w:pPr>
        <w:autoSpaceDE w:val="0"/>
        <w:autoSpaceDN w:val="0"/>
        <w:ind w:right="113"/>
        <w:contextualSpacing/>
        <w:jc w:val="center"/>
        <w:rPr>
          <w:rFonts w:ascii="Century Gothic" w:eastAsia="Times New Roman" w:hAnsi="Century Gothic" w:cs="Times New Roman"/>
          <w:sz w:val="20"/>
          <w:szCs w:val="20"/>
          <w:lang w:eastAsia="es-MX"/>
        </w:rPr>
      </w:pPr>
      <w:r w:rsidRPr="001F7FF3">
        <w:rPr>
          <w:rFonts w:ascii="Century Gothic" w:eastAsia="Times New Roman" w:hAnsi="Century Gothic" w:cs="Times New Roman"/>
          <w:b/>
          <w:bCs/>
          <w:sz w:val="20"/>
          <w:szCs w:val="20"/>
          <w:lang w:eastAsia="es-MX"/>
        </w:rPr>
        <w:t>Fuente</w:t>
      </w:r>
      <w:r w:rsidRPr="001F7FF3">
        <w:rPr>
          <w:rFonts w:ascii="Century Gothic" w:eastAsia="Times New Roman" w:hAnsi="Century Gothic" w:cs="Times New Roman"/>
          <w:sz w:val="20"/>
          <w:szCs w:val="20"/>
          <w:lang w:eastAsia="es-MX"/>
        </w:rPr>
        <w:t>: Encuesta OSC.</w:t>
      </w:r>
    </w:p>
    <w:p w14:paraId="1EB8C579" w14:textId="77777777" w:rsidR="008C1B6F" w:rsidRPr="001F7FF3" w:rsidRDefault="008C1B6F" w:rsidP="009D291F">
      <w:pPr>
        <w:autoSpaceDE w:val="0"/>
        <w:autoSpaceDN w:val="0"/>
        <w:ind w:right="113"/>
        <w:contextualSpacing/>
        <w:jc w:val="both"/>
        <w:rPr>
          <w:rFonts w:ascii="Century Gothic" w:eastAsia="Times New Roman" w:hAnsi="Century Gothic" w:cs="Times New Roman"/>
          <w:sz w:val="20"/>
          <w:szCs w:val="20"/>
          <w:lang w:eastAsia="es-MX"/>
        </w:rPr>
      </w:pPr>
    </w:p>
    <w:p w14:paraId="4C23A2BE"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Times New Roman" w:hAnsi="Century Gothic" w:cs="Times New Roman"/>
          <w:sz w:val="20"/>
          <w:szCs w:val="20"/>
          <w:lang w:eastAsia="es-MX"/>
        </w:rPr>
        <w:t xml:space="preserve">A pesar de que los resultados muestran que la confianza en las instituciones ha aumentado gracias al PJT, los encuestados explican los resultados de la siguiente manera: “No sabemos si confianza en el Estado, la verdad sea dicha, de pronto confianza en la verdad, en la solidaridad, en la acción conjunta, de pronto en la JEP y en la Comisión”; “La desconfianza de las comunidades hacia el Estado data de mucho tiempo atrás y pese a la intervención del PNUD existen muchos hechos de violencia perpetrados por agentes del Estado que justifican la desconfianza”. </w:t>
      </w:r>
    </w:p>
    <w:p w14:paraId="0E27370E" w14:textId="77777777" w:rsidR="00717364" w:rsidRPr="001F7FF3" w:rsidRDefault="00717364" w:rsidP="009D291F">
      <w:pPr>
        <w:autoSpaceDE w:val="0"/>
        <w:autoSpaceDN w:val="0"/>
        <w:ind w:right="113"/>
        <w:contextualSpacing/>
        <w:jc w:val="both"/>
        <w:rPr>
          <w:rFonts w:ascii="Century Gothic" w:eastAsia="Century Gothic" w:hAnsi="Century Gothic" w:cs="Century Gothic"/>
          <w:b/>
          <w:bCs/>
          <w:sz w:val="20"/>
          <w:szCs w:val="20"/>
          <w:lang w:eastAsia="de-DE"/>
        </w:rPr>
      </w:pPr>
    </w:p>
    <w:p w14:paraId="3E013086" w14:textId="74EC4148"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En términos generales, y a pesar de la falta de un sistema de monitoreo y seguimiento que mida estadísticamente el cambio de confianza a través de encuestas periódicas, se ha podido identificar algunos indicios de una creciente confianza de las víctimas en las </w:t>
      </w:r>
      <w:r w:rsidRPr="001F7FF3">
        <w:rPr>
          <w:rFonts w:ascii="Century Gothic" w:eastAsia="Century Gothic" w:hAnsi="Century Gothic" w:cs="Century Gothic"/>
          <w:b/>
          <w:bCs/>
          <w:sz w:val="20"/>
          <w:szCs w:val="20"/>
          <w:lang w:eastAsia="de-DE"/>
        </w:rPr>
        <w:lastRenderedPageBreak/>
        <w:t>entidades del Sistema a lo largo del tiempo a través de evidencia anecdótica de los entrevistados.</w:t>
      </w:r>
      <w:r w:rsidRPr="001F7FF3">
        <w:rPr>
          <w:rFonts w:ascii="Century Gothic" w:eastAsia="Century Gothic" w:hAnsi="Century Gothic" w:cs="Century Gothic"/>
          <w:sz w:val="20"/>
          <w:szCs w:val="20"/>
          <w:lang w:eastAsia="de-DE"/>
        </w:rPr>
        <w:t xml:space="preserve"> El arranque y puesto en funcionamiento del Sistema tenía de fondo un alto nivel de escepticismo y desconfianza en el Estado en general.</w:t>
      </w:r>
      <w:r w:rsidRPr="001F7FF3">
        <w:rPr>
          <w:rStyle w:val="Refdenotaalpie"/>
          <w:rFonts w:ascii="Century Gothic" w:eastAsia="Century Gothic" w:hAnsi="Century Gothic" w:cs="Century Gothic"/>
          <w:sz w:val="20"/>
          <w:szCs w:val="20"/>
          <w:lang w:eastAsia="de-DE"/>
        </w:rPr>
        <w:footnoteReference w:id="11"/>
      </w:r>
      <w:r w:rsidRPr="001F7FF3">
        <w:rPr>
          <w:rFonts w:ascii="Century Gothic" w:eastAsia="Century Gothic" w:hAnsi="Century Gothic" w:cs="Century Gothic"/>
          <w:sz w:val="20"/>
          <w:szCs w:val="20"/>
          <w:lang w:eastAsia="de-DE"/>
        </w:rPr>
        <w:t xml:space="preserve"> A pesar de la creación del Sistema y su cumplimiento con las víctimas, un entrevistado de la CEV compartió la preocupación que el discurso negativo del gobierno de turno puede neutralizar o hasta socavar la creciente confianza de las víctimas en el Estado.  </w:t>
      </w:r>
    </w:p>
    <w:p w14:paraId="4EAF5F7E" w14:textId="35BBDF70" w:rsidR="00717364" w:rsidRPr="001F7FF3" w:rsidRDefault="00717364" w:rsidP="009D291F">
      <w:pPr>
        <w:shd w:val="clear" w:color="auto" w:fill="F7F5F2"/>
        <w:spacing w:before="100" w:beforeAutospacing="1" w:after="100" w:afterAutospacing="1"/>
        <w:jc w:val="both"/>
        <w:rPr>
          <w:rFonts w:ascii="Century Gothic" w:eastAsia="Times New Roman" w:hAnsi="Century Gothic" w:cs="Segoe UI"/>
          <w:color w:val="1E1919"/>
          <w:sz w:val="20"/>
          <w:szCs w:val="20"/>
          <w:lang w:eastAsia="es-MX"/>
        </w:rPr>
      </w:pPr>
      <w:r w:rsidRPr="001F7FF3">
        <w:rPr>
          <w:rFonts w:ascii="Century Gothic" w:eastAsia="Century Gothic" w:hAnsi="Century Gothic" w:cs="Century Gothic"/>
          <w:sz w:val="20"/>
          <w:szCs w:val="20"/>
          <w:lang w:eastAsia="de-DE"/>
        </w:rPr>
        <w:t>Sin embargo, gracias a su fortalecimiento como actor institucional autónomo, el enfoque en las víctimas como actores centrales, los múltiples espacios de participación generados por las entidades, y los beneficios concretos que resultaron de sus diferentes líneas de acción, se ha logrado fortalecer la confianza hacia el Sistema. Una representante de los donantes ofreció la siguiente perspectiva: “</w:t>
      </w:r>
      <w:r w:rsidRPr="001F7FF3">
        <w:rPr>
          <w:rFonts w:ascii="Century Gothic" w:eastAsia="Times New Roman" w:hAnsi="Century Gothic" w:cs="Segoe UI"/>
          <w:color w:val="1E1919"/>
          <w:sz w:val="20"/>
          <w:szCs w:val="20"/>
          <w:lang w:eastAsia="es-MX"/>
        </w:rPr>
        <w:t>A fecha de hoy, su percepción es que tienen mayor confianza en el Sistema integral</w:t>
      </w:r>
      <w:r w:rsidR="00236DCE" w:rsidRPr="001F7FF3">
        <w:rPr>
          <w:rFonts w:ascii="Century Gothic" w:eastAsia="Times New Roman" w:hAnsi="Century Gothic" w:cs="Segoe UI"/>
          <w:color w:val="1E1919"/>
          <w:sz w:val="20"/>
          <w:szCs w:val="20"/>
          <w:lang w:eastAsia="es-MX"/>
        </w:rPr>
        <w:t xml:space="preserve"> para la paz</w:t>
      </w:r>
      <w:r w:rsidRPr="001F7FF3">
        <w:rPr>
          <w:rFonts w:ascii="Century Gothic" w:eastAsia="Times New Roman" w:hAnsi="Century Gothic" w:cs="Segoe UI"/>
          <w:color w:val="1E1919"/>
          <w:sz w:val="20"/>
          <w:szCs w:val="20"/>
          <w:lang w:eastAsia="es-MX"/>
        </w:rPr>
        <w:t>, están decepcionados con la UBPD en tema de resultados y hay confianza en la CEV. Hay mayor confianza que en el inicio. Hay un rezago en resultados más de encontrar familiares y en casos puntuales, principalmente en la UBPD. Hay de dónde desconfiar (desaparición de pruebas, etc.) pero sí ha habido un incremento de la confianza. No hay una confianza plena, pero sí se ha incrementado algo”.</w:t>
      </w:r>
      <w:r w:rsidRPr="001F7FF3">
        <w:rPr>
          <w:rFonts w:ascii="Century Gothic" w:eastAsia="Times New Roman" w:hAnsi="Century Gothic" w:cs="Segoe UI"/>
          <w:color w:val="1E1919"/>
          <w:sz w:val="20"/>
          <w:szCs w:val="20"/>
          <w:lang w:eastAsia="es-MX"/>
        </w:rPr>
        <w:fldChar w:fldCharType="begin"/>
      </w:r>
      <w:r w:rsidRPr="001F7FF3">
        <w:rPr>
          <w:rFonts w:ascii="Century Gothic" w:eastAsia="Times New Roman" w:hAnsi="Century Gothic" w:cs="Segoe UI"/>
          <w:color w:val="1E1919"/>
          <w:sz w:val="20"/>
          <w:szCs w:val="20"/>
          <w:lang w:eastAsia="es-MX"/>
        </w:rPr>
        <w:instrText xml:space="preserve"> INCLUDEPICTURE "https://previews.dropbox.com/p/pdf_img/ABoIJWYuvimCBjW8BPn2YM8rSOOMxQnA_Fe5Qdf_XB-p1DVXJy-tcNmO2IQaMiSPDwrFydHb04ntqB--4pg1nnMKjpANPa_Go9gyFdaH_LF4kTSkrMYQ8HcPCUCzGPICEV_CC5t8fyyhKqRVcxLtiJ3LOXLqD710dmluEhMpc6v-zLmb-cSSJsmqzHJUE-fg_Ks1rGnsPRKRpr0mkKSMG5Rdz4oDtSnQDNN8Y9eTv1MjDtCwzzGjnfjNDk_DJoo1DItQf7jwyTKJfT9cbd6U3nZePVPVidhSG90wQybWEbvTcvzTQYGszSD42piCGLw7NSPDNIGYCYhTfIsj_EUnJgQy-Rx6lKU7YdvcDFKp9LYircsaNaURtE9nvNzM-RGstU4/p.png?page=4&amp;scale_percent=0" \* MERGEFORMATINET </w:instrText>
      </w:r>
      <w:r w:rsidR="00B84220">
        <w:rPr>
          <w:rFonts w:ascii="Century Gothic" w:eastAsia="Times New Roman" w:hAnsi="Century Gothic" w:cs="Segoe UI"/>
          <w:color w:val="1E1919"/>
          <w:sz w:val="20"/>
          <w:szCs w:val="20"/>
          <w:lang w:eastAsia="es-MX"/>
        </w:rPr>
        <w:fldChar w:fldCharType="separate"/>
      </w:r>
      <w:r w:rsidRPr="001F7FF3">
        <w:rPr>
          <w:rFonts w:ascii="Century Gothic" w:eastAsia="Times New Roman" w:hAnsi="Century Gothic" w:cs="Segoe UI"/>
          <w:color w:val="1E1919"/>
          <w:sz w:val="20"/>
          <w:szCs w:val="20"/>
          <w:lang w:eastAsia="es-MX"/>
        </w:rPr>
        <w:fldChar w:fldCharType="end"/>
      </w:r>
    </w:p>
    <w:p w14:paraId="4E1C54E1" w14:textId="61259463" w:rsidR="00717364"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Dad</w:t>
      </w:r>
      <w:r w:rsidR="0053098A">
        <w:rPr>
          <w:rFonts w:ascii="Century Gothic" w:eastAsia="Century Gothic" w:hAnsi="Century Gothic" w:cs="Century Gothic"/>
          <w:sz w:val="20"/>
          <w:szCs w:val="20"/>
          <w:lang w:eastAsia="de-DE"/>
        </w:rPr>
        <w:t>a</w:t>
      </w:r>
      <w:r w:rsidRPr="001F7FF3">
        <w:rPr>
          <w:rFonts w:ascii="Century Gothic" w:eastAsia="Century Gothic" w:hAnsi="Century Gothic" w:cs="Century Gothic"/>
          <w:sz w:val="20"/>
          <w:szCs w:val="20"/>
          <w:lang w:eastAsia="de-DE"/>
        </w:rPr>
        <w:t xml:space="preserve"> la falta de monitoreo estadístic</w:t>
      </w:r>
      <w:r w:rsidR="0053098A">
        <w:rPr>
          <w:rFonts w:ascii="Century Gothic" w:eastAsia="Century Gothic" w:hAnsi="Century Gothic" w:cs="Century Gothic"/>
          <w:sz w:val="20"/>
          <w:szCs w:val="20"/>
          <w:lang w:eastAsia="de-DE"/>
        </w:rPr>
        <w:t>o</w:t>
      </w:r>
      <w:r w:rsidRPr="001F7FF3">
        <w:rPr>
          <w:rFonts w:ascii="Century Gothic" w:eastAsia="Century Gothic" w:hAnsi="Century Gothic" w:cs="Century Gothic"/>
          <w:sz w:val="20"/>
          <w:szCs w:val="20"/>
          <w:lang w:eastAsia="de-DE"/>
        </w:rPr>
        <w:t>, se puede tomar en cuenta los altos niveles de participación de las víctimas en los nuevos mecanismos de acceso a justicia y reparación como una evidencia “proxy” de confianza. Si no hubiera alta confianza en el Sistema, las víctimas no participarían de manera activa y protagónica en él: “</w:t>
      </w:r>
      <w:r w:rsidRPr="001F7FF3">
        <w:rPr>
          <w:rFonts w:ascii="Century Gothic" w:eastAsia="Times New Roman" w:hAnsi="Century Gothic" w:cs="Times New Roman"/>
          <w:sz w:val="20"/>
          <w:szCs w:val="20"/>
          <w:lang w:eastAsia="es-MX"/>
        </w:rPr>
        <w:t xml:space="preserve">Estas acciones impulsaron el diálogo y acercaron las comunidades a la institucionalidad. Promueven un relacionamiento proactivo, donde la gestión prima frente a las posturas de demanda y exigencia, y concluir las obras y entregarlas a satisfacción ayuda a fortalecer esa confianza. Sobre este punto cabe anotar que la confianza es un aspecto dinámico que cambia con frecuencia. Hay momentos y procesos que contribuyen a que se genere confianza, hay otros, que pueden generar todo lo contrario”. </w:t>
      </w:r>
      <w:r w:rsidRPr="001F7FF3">
        <w:rPr>
          <w:rFonts w:ascii="Century Gothic" w:eastAsia="Times New Roman" w:hAnsi="Century Gothic" w:cs="Times New Roman"/>
          <w:sz w:val="20"/>
          <w:szCs w:val="20"/>
          <w:vertAlign w:val="superscript"/>
          <w:lang w:eastAsia="es-MX"/>
        </w:rPr>
        <w:footnoteReference w:id="12"/>
      </w:r>
      <w:r w:rsidRPr="001F7FF3">
        <w:rPr>
          <w:rFonts w:ascii="Century Gothic" w:eastAsia="Times New Roman" w:hAnsi="Century Gothic" w:cs="Times New Roman"/>
          <w:sz w:val="20"/>
          <w:szCs w:val="20"/>
          <w:lang w:eastAsia="es-MX"/>
        </w:rPr>
        <w:t xml:space="preserve"> La evaluación de reparación colectiva concluye este punto de la siguiente manera: “En general, [la construcción de confianza] se cumple en todos los casos analizados, aunque en unos más que otros. Lo que sí es claro, es que la confianza se construye y hay que trabajarla. En comunidades marginadas, donde el Estado ha estado poco presente, se requiere de un esfuerzo articulado y constante para que la confianza se fortalezca”.</w:t>
      </w:r>
    </w:p>
    <w:p w14:paraId="08B1E8C2" w14:textId="77777777" w:rsidR="00922007" w:rsidRPr="001F7FF3" w:rsidRDefault="00922007" w:rsidP="009D291F">
      <w:pPr>
        <w:autoSpaceDE w:val="0"/>
        <w:autoSpaceDN w:val="0"/>
        <w:ind w:right="113"/>
        <w:contextualSpacing/>
        <w:jc w:val="both"/>
        <w:rPr>
          <w:rFonts w:ascii="Century Gothic" w:eastAsia="Century Gothic" w:hAnsi="Century Gothic" w:cs="Century Gothic"/>
          <w:sz w:val="20"/>
          <w:szCs w:val="20"/>
          <w:lang w:eastAsia="de-DE"/>
        </w:rPr>
      </w:pPr>
    </w:p>
    <w:p w14:paraId="2FF10ED6"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La creciente confianza de las víctimas en las entidades del Sistema se debe, en gran parte, al modus operandi participativo facilitado e impulsado por el Portafolio para que respondiera a sus necesidades</w:t>
      </w:r>
      <w:r w:rsidRPr="001F7FF3">
        <w:rPr>
          <w:rFonts w:ascii="Century Gothic" w:eastAsia="Century Gothic" w:hAnsi="Century Gothic" w:cs="Century Gothic"/>
          <w:sz w:val="20"/>
          <w:szCs w:val="20"/>
          <w:lang w:eastAsia="de-DE"/>
        </w:rPr>
        <w:t xml:space="preserve">. Las víctimas han podido participar en la formación de los diferentes mecanismos de acceso a justicia, aumentando su sentido de apropiación del Sistema y su trabajo. </w:t>
      </w:r>
      <w:r w:rsidRPr="001F7FF3">
        <w:rPr>
          <w:rFonts w:ascii="Century Gothic" w:eastAsia="Times New Roman" w:hAnsi="Century Gothic" w:cs="Times New Roman"/>
          <w:sz w:val="20"/>
          <w:szCs w:val="20"/>
          <w:lang w:eastAsia="es-MX"/>
        </w:rPr>
        <w:t xml:space="preserve">Las entrevistas con víctimas de los proyectos de reparación colectiva lograron identificar tres factores que son comunes del modus operandi de las entidades que fueron fundamentales para aumentar la confianza de las víctimas en el Estado: 1) vincular a las comunidades desde el inicio y durante todo el proceso; 2) orientar el diálogo con las comunidades alrededor de la concertación; y 3) mantener una actitud de escucha </w:t>
      </w:r>
      <w:r w:rsidRPr="001F7FF3">
        <w:rPr>
          <w:rFonts w:ascii="Century Gothic" w:eastAsia="Times New Roman" w:hAnsi="Century Gothic" w:cs="Times New Roman"/>
          <w:sz w:val="20"/>
          <w:szCs w:val="20"/>
          <w:lang w:eastAsia="es-MX"/>
        </w:rPr>
        <w:lastRenderedPageBreak/>
        <w:t xml:space="preserve">y flexibilidad hacia la comunidad cuando sus aportes sean viables.  </w:t>
      </w:r>
      <w:r w:rsidRPr="001F7FF3">
        <w:rPr>
          <w:rFonts w:ascii="Century Gothic" w:eastAsia="Century Gothic" w:hAnsi="Century Gothic" w:cs="Century Gothic"/>
          <w:sz w:val="20"/>
          <w:szCs w:val="20"/>
          <w:lang w:eastAsia="de-DE"/>
        </w:rPr>
        <w:t xml:space="preserve">Aunque el PJT no cuenta con indicadores específicos para medir cambios de percepción en las víctimas, las personas entrevistadas de las entidades indicaron las siguientes evidencias: </w:t>
      </w:r>
    </w:p>
    <w:p w14:paraId="4DD2EC14"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hay más altos niveles de participación en la labor del sistema en el tiempo, tanto en los procesos judiciales de la JEP y de construcción de la verdad de la CEV, como en los procesos de búsqueda de la UBPD; </w:t>
      </w:r>
    </w:p>
    <w:p w14:paraId="2FB787EB"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hay bajos índices de deserción porque una vez involucradas las victimas permanecen en los diferentes mecanismos de participación;</w:t>
      </w:r>
    </w:p>
    <w:p w14:paraId="2EE6153E"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los líderes de las organizaciones de víctimas han ofrecido retroalimentación positiva y los participantes han registrado comentarios en el mismo sentido a través de los chats de los espacios virtuales;</w:t>
      </w:r>
    </w:p>
    <w:p w14:paraId="4BC9C151"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los sondeos realizados sobre cambios de percepción hacia las instituciones estatales han registrado una confianza creciente en general. </w:t>
      </w:r>
    </w:p>
    <w:p w14:paraId="160A1972"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1C7ED5CD" w14:textId="77777777" w:rsidR="00717364" w:rsidRPr="001F7FF3" w:rsidRDefault="00717364" w:rsidP="009D291F">
      <w:pPr>
        <w:ind w:right="113"/>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b/>
          <w:bCs/>
          <w:sz w:val="20"/>
          <w:szCs w:val="20"/>
          <w:lang w:eastAsia="de-DE"/>
        </w:rPr>
        <w:t>Hay altos niveles de participación en parte porque las víctimas tienen grandes expectativas, sobre todo con los resultados de la Justicia Transicional (JEP).</w:t>
      </w:r>
      <w:r w:rsidRPr="001F7FF3">
        <w:rPr>
          <w:rFonts w:ascii="Century Gothic" w:eastAsia="Century Gothic" w:hAnsi="Century Gothic" w:cs="Century Gothic"/>
          <w:sz w:val="20"/>
          <w:szCs w:val="20"/>
          <w:lang w:eastAsia="de-DE"/>
        </w:rPr>
        <w:t xml:space="preserve"> Sin embargo, algunos funcionarios del PNUD y de las entidades expresaron preocupación sobre su capacidad de cumplir con las expectativas generadas entre algunas víctimas, sobre todo en los procesos judiciales de la JEP. Hay un temor que pueda existir una brecha entre la percepción tradicional de justicia de las víctimas y la realidad de las condenas alternativas que ofrece el Sistema. Según un entrevistado de la JEP: </w:t>
      </w:r>
      <w:r w:rsidRPr="001F7FF3">
        <w:rPr>
          <w:rFonts w:ascii="Century Gothic" w:eastAsia="Times New Roman" w:hAnsi="Century Gothic" w:cs="Times New Roman"/>
          <w:color w:val="000000"/>
          <w:sz w:val="20"/>
          <w:szCs w:val="20"/>
          <w:lang w:eastAsia="es-MX"/>
        </w:rPr>
        <w:t>“Estos sistemas de justicia y esta percepción de la justicia transicional como una dispensadora de impunidad generó mucho rechazo y desconfianza al Sistema que incluso motivó esas expresiones como el “no” al referendo. La apuesta del SIRVJ es con hechos superar esa desconfianza que en las sociedades genera este tipo de modelos de justicia. […] Esta apuesta estratégica con PNUD se centra en garantizar una participación de víctimas en el proceso judicial y obtener la mayor cantidad de verdad posible y medidas de reparación idóneas y los comparecientes en procesos de perdón y de sanación hacia las víctimas y compromiso de no repetición de los crímenes”.</w:t>
      </w:r>
    </w:p>
    <w:p w14:paraId="48DCD378" w14:textId="77777777" w:rsidR="00717364" w:rsidRPr="001F7FF3" w:rsidRDefault="00717364" w:rsidP="009D291F">
      <w:pPr>
        <w:rPr>
          <w:rFonts w:ascii="Century Gothic" w:eastAsia="Century Gothic" w:hAnsi="Century Gothic" w:cs="Century Gothic"/>
          <w:sz w:val="20"/>
          <w:szCs w:val="20"/>
        </w:rPr>
      </w:pPr>
    </w:p>
    <w:p w14:paraId="5AA96CB2"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Aunque el PJT no ha generado avances significativos en procesos de reconciliación, se reconoce que es una dinámica subjetiva y colectiva compleja que se produce a través de avances graduales.</w:t>
      </w:r>
      <w:r w:rsidRPr="001F7FF3">
        <w:rPr>
          <w:rFonts w:ascii="Century Gothic" w:eastAsia="Century Gothic" w:hAnsi="Century Gothic" w:cs="Century Gothic"/>
          <w:sz w:val="20"/>
          <w:szCs w:val="20"/>
          <w:lang w:eastAsia="de-DE"/>
        </w:rPr>
        <w:t xml:space="preserve"> Como proceso de largo plazo, es todavía muy temprano para esperar resultados concretos al respecto. Sin embargo, los actos públicos que el PJT ha facilitado para juntar a las víctimas y los victimarios para impulsar procesos simbólicos de perdón y reconocimiento de responsabilidades fueron pensados con lógica de reconciliación. También se han promovido acuerdos de convivencia a través de los cuales los excombatientes impulsan proyectos productivos y de emprendimiento que ayudan a normalizar su imagen y sus relaciones con las comunidades. Estas iniciativas ayudaron a acercar las dos partes y sentar bases para que las condiciones para la reconciliación y el perdón se den más adelante.</w:t>
      </w:r>
    </w:p>
    <w:p w14:paraId="30BBDB28" w14:textId="77777777" w:rsidR="00717364" w:rsidRPr="001F7FF3" w:rsidRDefault="00717364" w:rsidP="009D291F">
      <w:pPr>
        <w:rPr>
          <w:rFonts w:ascii="Century Gothic" w:eastAsia="Century Gothic" w:hAnsi="Century Gothic" w:cs="Century Gothic"/>
          <w:sz w:val="20"/>
          <w:szCs w:val="20"/>
        </w:rPr>
      </w:pPr>
    </w:p>
    <w:p w14:paraId="31D355FD"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bookmarkStart w:id="45" w:name="_Hlk104196843"/>
      <w:r w:rsidRPr="001F7FF3">
        <w:rPr>
          <w:rFonts w:ascii="Century Gothic" w:eastAsia="Times New Roman" w:hAnsi="Century Gothic" w:cs="Arial"/>
          <w:sz w:val="20"/>
          <w:szCs w:val="20"/>
          <w:lang w:eastAsia="de-DE"/>
        </w:rPr>
        <w:t xml:space="preserve">Según los entrevistados, los siguientes </w:t>
      </w:r>
      <w:r w:rsidRPr="001F7FF3">
        <w:rPr>
          <w:rFonts w:ascii="Century Gothic" w:eastAsia="Times New Roman" w:hAnsi="Century Gothic" w:cs="Arial"/>
          <w:b/>
          <w:bCs/>
          <w:sz w:val="20"/>
          <w:szCs w:val="20"/>
          <w:lang w:eastAsia="de-DE"/>
        </w:rPr>
        <w:t>factores externos</w:t>
      </w:r>
      <w:r w:rsidRPr="001F7FF3">
        <w:rPr>
          <w:rFonts w:ascii="Century Gothic" w:eastAsia="Times New Roman" w:hAnsi="Century Gothic" w:cs="Arial"/>
          <w:sz w:val="20"/>
          <w:szCs w:val="20"/>
          <w:lang w:eastAsia="de-DE"/>
        </w:rPr>
        <w:t xml:space="preserve"> son los más significativos para incentivar o limitar la consecución de los resultados tal y como estaban planeados:</w:t>
      </w:r>
      <w:r w:rsidRPr="001F7FF3">
        <w:rPr>
          <w:rFonts w:ascii="Century Gothic" w:eastAsiaTheme="minorEastAsia" w:hAnsi="Century Gothic"/>
          <w:sz w:val="20"/>
          <w:szCs w:val="20"/>
          <w:lang w:eastAsia="es-ES"/>
        </w:rPr>
        <w:t xml:space="preserve"> </w:t>
      </w:r>
    </w:p>
    <w:p w14:paraId="13969731"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1332E2D5" w14:textId="77777777" w:rsidR="00717364" w:rsidRPr="001F7FF3" w:rsidRDefault="00717364" w:rsidP="009D291F">
      <w:pPr>
        <w:ind w:left="360"/>
        <w:rPr>
          <w:rFonts w:ascii="Century Gothic" w:eastAsia="Century Gothic" w:hAnsi="Century Gothic" w:cs="Century Gothic"/>
          <w:b/>
          <w:bCs/>
          <w:sz w:val="20"/>
          <w:szCs w:val="20"/>
          <w:lang w:eastAsia="de-DE"/>
        </w:rPr>
      </w:pPr>
      <w:bookmarkStart w:id="46" w:name="_Hlk104194375"/>
      <w:bookmarkEnd w:id="45"/>
      <w:r w:rsidRPr="001F7FF3">
        <w:rPr>
          <w:rFonts w:ascii="Century Gothic" w:eastAsia="Century Gothic" w:hAnsi="Century Gothic" w:cs="Century Gothic"/>
          <w:b/>
          <w:bCs/>
          <w:sz w:val="20"/>
          <w:szCs w:val="20"/>
        </w:rPr>
        <w:t xml:space="preserve">     Factores que favorecen la eficacia del portafolio</w:t>
      </w:r>
      <w:r w:rsidRPr="001F7FF3">
        <w:rPr>
          <w:rFonts w:ascii="Century Gothic" w:eastAsiaTheme="minorEastAsia" w:hAnsi="Century Gothic"/>
          <w:b/>
          <w:bCs/>
          <w:sz w:val="20"/>
          <w:szCs w:val="20"/>
          <w:lang w:eastAsia="es-ES"/>
        </w:rPr>
        <w:t xml:space="preserve">: </w:t>
      </w:r>
    </w:p>
    <w:bookmarkEnd w:id="46"/>
    <w:p w14:paraId="2234C96A"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apoyo financiero y político de la comunidad internacional ha sido fundamental para el arranque del Sistema y contrarrestar la resistencia del gobierno de turno a la implementación de la justicia transicional; </w:t>
      </w:r>
    </w:p>
    <w:p w14:paraId="5E1FBEA6"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acumulado organizativo de las víctimas en los últimos años y el trabajo previo del PNUD, de las ONG nacionales (CINEP, CODHES) y de la academia </w:t>
      </w:r>
      <w:r w:rsidRPr="001F7FF3">
        <w:rPr>
          <w:rFonts w:ascii="Century Gothic" w:eastAsia="Century Gothic" w:hAnsi="Century Gothic" w:cs="Century Gothic"/>
          <w:sz w:val="20"/>
          <w:szCs w:val="20"/>
          <w:lang w:eastAsia="de-DE"/>
        </w:rPr>
        <w:lastRenderedPageBreak/>
        <w:t xml:space="preserve">sobre el conflicto ha dejado una herencia importante para el sistema y la CEV en análisis, datos y confianza ganada con las víctimas. </w:t>
      </w:r>
      <w:r w:rsidRPr="001F7FF3">
        <w:rPr>
          <w:rStyle w:val="Refdenotaalpie"/>
          <w:rFonts w:ascii="Century Gothic" w:eastAsia="Century Gothic" w:hAnsi="Century Gothic" w:cs="Century Gothic"/>
          <w:sz w:val="20"/>
          <w:szCs w:val="20"/>
          <w:lang w:eastAsia="de-DE"/>
        </w:rPr>
        <w:footnoteReference w:id="13"/>
      </w:r>
    </w:p>
    <w:p w14:paraId="02E1C9AA" w14:textId="77777777" w:rsidR="00717364" w:rsidRPr="001F7FF3" w:rsidRDefault="00717364" w:rsidP="009D291F">
      <w:pPr>
        <w:autoSpaceDE w:val="0"/>
        <w:autoSpaceDN w:val="0"/>
        <w:ind w:left="1440" w:right="113"/>
        <w:contextualSpacing/>
        <w:jc w:val="both"/>
        <w:rPr>
          <w:rFonts w:ascii="Century Gothic" w:eastAsia="Century Gothic" w:hAnsi="Century Gothic" w:cs="Century Gothic"/>
          <w:sz w:val="20"/>
          <w:szCs w:val="20"/>
          <w:lang w:eastAsia="de-DE"/>
        </w:rPr>
      </w:pPr>
    </w:p>
    <w:p w14:paraId="2B022CB1"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Factores que desfavorecen la eficacia del portafolio</w:t>
      </w:r>
      <w:r w:rsidRPr="001F7FF3">
        <w:rPr>
          <w:rFonts w:ascii="Century Gothic" w:eastAsiaTheme="minorEastAsia" w:hAnsi="Century Gothic"/>
          <w:b/>
          <w:bCs/>
          <w:sz w:val="20"/>
          <w:szCs w:val="20"/>
          <w:lang w:eastAsia="es-ES"/>
        </w:rPr>
        <w:t xml:space="preserve">: </w:t>
      </w:r>
    </w:p>
    <w:p w14:paraId="0D79430B"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contexto de inseguridad en los territorios (asesinato de líderes sociales, confinamiento, masacres, desplazamiento) no ofrece garantías para las víctimas, socava la confianza en la construcción de paz y limita la participación en algunas zonas, afectando negativamente el alcance de los resultados y su sostenibilidad; </w:t>
      </w:r>
    </w:p>
    <w:p w14:paraId="000DC515"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 pandemia del covid-19 redujo los espacios de diálogo, intercambio y construcción de confianza a nivel territorial. Aunque las plataformas virtuales suplieron las necesidades, no las resolvieron del todo; </w:t>
      </w:r>
    </w:p>
    <w:p w14:paraId="2B4E6011"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la polarización política del país genera estigmatización entre los diferentes actores de los territorios (sociedad civil y Estado);</w:t>
      </w:r>
    </w:p>
    <w:p w14:paraId="78C830CF"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el Sistema de Justicia Transicional y restaurativa es muy nuevo en Colombia y los abogados no están suficientemente preparados para representar a las víctimas en ese sistema que requiere un rol más de mediación y menos acusatorio en el proceso judicial.</w:t>
      </w:r>
    </w:p>
    <w:p w14:paraId="33056B5D"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  </w:t>
      </w:r>
    </w:p>
    <w:p w14:paraId="71F4937E" w14:textId="77777777" w:rsidR="00717364" w:rsidRPr="001F7FF3" w:rsidRDefault="00717364" w:rsidP="009D291F">
      <w:pPr>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b/>
          <w:bCs/>
          <w:sz w:val="20"/>
          <w:szCs w:val="20"/>
          <w:lang w:eastAsia="de-DE"/>
        </w:rPr>
        <w:t xml:space="preserve">La incapacidad del PJT de medir y demostrar los </w:t>
      </w:r>
      <w:r w:rsidRPr="009251B2">
        <w:rPr>
          <w:rFonts w:ascii="Century Gothic" w:eastAsia="Century Gothic" w:hAnsi="Century Gothic" w:cs="Century Gothic"/>
          <w:b/>
          <w:bCs/>
          <w:sz w:val="20"/>
          <w:szCs w:val="20"/>
          <w:lang w:eastAsia="de-DE"/>
        </w:rPr>
        <w:t>i</w:t>
      </w:r>
      <w:r w:rsidRPr="009251B2">
        <w:rPr>
          <w:rFonts w:ascii="Century Gothic" w:hAnsi="Century Gothic"/>
          <w:b/>
          <w:sz w:val="20"/>
          <w:szCs w:val="20"/>
        </w:rPr>
        <w:t>mpactos</w:t>
      </w:r>
      <w:r w:rsidRPr="001F7FF3">
        <w:rPr>
          <w:rFonts w:ascii="Century Gothic" w:eastAsia="Century Gothic" w:hAnsi="Century Gothic" w:cs="Century Gothic"/>
          <w:b/>
          <w:bCs/>
          <w:sz w:val="20"/>
          <w:szCs w:val="20"/>
          <w:lang w:eastAsia="de-DE"/>
        </w:rPr>
        <w:t xml:space="preserve"> de sus proyectos de un lado y del programa en su conjunto del otro, es quizás su mayor debilidad</w:t>
      </w:r>
      <w:r w:rsidRPr="001F7FF3">
        <w:rPr>
          <w:rFonts w:ascii="Century Gothic" w:eastAsia="Century Gothic" w:hAnsi="Century Gothic" w:cs="Century Gothic"/>
          <w:sz w:val="20"/>
          <w:szCs w:val="20"/>
          <w:lang w:eastAsia="de-DE"/>
        </w:rPr>
        <w:t>. Aunque cada proyecto tiene un monitoreo y seguimiento específico según su marco lógico y su presupuesto en el que se establece el cumplimiento de las metas, no es suficiente para medir el impacto real de las acciones en el territorio y sobre todo en la vida de sus beneficiarios. Así opinó una representante de uno de los donantes al respecto: “</w:t>
      </w:r>
      <w:r w:rsidRPr="001F7FF3">
        <w:rPr>
          <w:rFonts w:ascii="Century Gothic" w:eastAsia="Times New Roman" w:hAnsi="Century Gothic" w:cs="Times New Roman"/>
          <w:sz w:val="20"/>
          <w:szCs w:val="20"/>
          <w:lang w:eastAsia="es-MX"/>
        </w:rPr>
        <w:t>Desde Bogotá, se puede pensar que las medidas implementadas son correctas, pero en territorio puede que no. Debe ser algo que refuerce donde se vean temas de evidencia desde los beneficiarios. Cada proyecto debería tener una evaluación que se enfoque en las personas, victimas. Son ellas las que deben decir si cambió o no la vida”.</w:t>
      </w:r>
    </w:p>
    <w:p w14:paraId="4ECB3844"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653A6D54"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A pesar de ser señalado como vacío por evaluaciones anteriores (tanto para el área de JT y para el programa del PNUD en general), el PJT cuenta con un equipo especializado en monitoreo y evaluación, y la Gerencia reconoce la falencia, no se ha consolidado un sistema que permita medir el impacto de los resultados con precisión y así retroalimentar los procesos de planificación estratégica. Dada su importancia, es difícil de entender, 4 años después, por qué el programa no cuenta con un sistema de monitoreo, evaluación y aprendizaje más integral y robusto. Según la gerencia de programa, no hay recursos no restringidos disponibles para inversión en cuestiones de calidad, ya que los aportes de los donantes están etiquetados para acciones y centros de costo específicos de los proyectos. Esto deja el Portafolio sin fondos para invertir en algo fundamental para su éxito: la gestión de calidad y la rendición de cuentas hacia sus principales grupos de interés. Si esto no se remedia podría tener un impacto significativo en su reputación e imagen.  </w:t>
      </w:r>
    </w:p>
    <w:p w14:paraId="0D812D8C"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 </w:t>
      </w:r>
    </w:p>
    <w:p w14:paraId="2FBD1B44"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Mientras algunas organizaciones, principalmente los donantes, percibieron que PNUD se había convertido en un simple operador o administrador de recursos a través del PJT (y como tal ofrecía poco valor agregado), sus funcionarios y los socios (entidades del Sistema y organizaciones de víctimas) identificaron múltiples factores que según ellos hicieron único su aporte a la justicia transicional. </w:t>
      </w:r>
      <w:r w:rsidRPr="001F7FF3">
        <w:rPr>
          <w:rFonts w:ascii="Century Gothic" w:eastAsia="Century Gothic" w:hAnsi="Century Gothic" w:cs="Century Gothic"/>
          <w:sz w:val="20"/>
          <w:szCs w:val="20"/>
          <w:lang w:eastAsia="de-DE"/>
        </w:rPr>
        <w:t xml:space="preserve">En seguida, se destacan algunos de los factores habilitadores más significativos que fueron compartidos por ellos durante las entrevistas: </w:t>
      </w:r>
    </w:p>
    <w:p w14:paraId="04CBDD84"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opera y tiene influencia a nivel nacional y territorial, lo cual le permite articular acciones, actores y dar soluciones cuando sea necesario; </w:t>
      </w:r>
    </w:p>
    <w:p w14:paraId="1BFDD451"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lastRenderedPageBreak/>
        <w:t xml:space="preserve">tiene una trayectoria histórica de acompañar los procesos de justicia transicional, lo cual le permite entender mejor el proceso y sus particularidades; </w:t>
      </w:r>
    </w:p>
    <w:p w14:paraId="73C6E636"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cuenta con una gran presencia y enfoque territorial que le permite mantener redes de relaciones y organizaciones muy amplias; </w:t>
      </w:r>
    </w:p>
    <w:p w14:paraId="307AAE10"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como secretaría técnica del subgrupo de cooperantes de paz y JT tiene una interlocución muy importante con los donantes que le permite influir en su dirección estratégica y toma de decisiones; </w:t>
      </w:r>
    </w:p>
    <w:p w14:paraId="6D746CCF"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su gran flexibilidad, comunicación fluida y voluntad para resolver problemas con agilidad a la hora de crear las nuevas entidades del Sistema, a pesar de sus procedimientos complejos; </w:t>
      </w:r>
    </w:p>
    <w:p w14:paraId="267F289A"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el esfuerzo que hace el PJT para complementar con otros proyectos y generar un efecto catalítico y generar impacto, aunque no tiene un sistema de medición para evidenciarlo; </w:t>
      </w:r>
    </w:p>
    <w:p w14:paraId="774568E5"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trabaja a mayor escala y genera articulaciones y discusiones estratégicas con visión de portafolio que van más allá del seguimiento a proyectos y sus contribuciones a objetivos generales, aunque como se señala arriba este aspecto integral tiene mucho espacio para fortalecerse;</w:t>
      </w:r>
    </w:p>
    <w:p w14:paraId="3CD607F0" w14:textId="77777777" w:rsidR="00717364" w:rsidRPr="001F7FF3" w:rsidRDefault="00717364" w:rsidP="009D291F">
      <w:pPr>
        <w:numPr>
          <w:ilvl w:val="1"/>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incorpora la capacitación financiera de las organizaciones sociales en su acompañamiento técnico y según algunas personas entrevistadas de las OSC es un cooperante organizado y comprensivo sobre sus necesidades de fortalecimiento. </w:t>
      </w:r>
    </w:p>
    <w:p w14:paraId="79FB47A5"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37F86D64"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b/>
          <w:bCs/>
          <w:sz w:val="20"/>
          <w:szCs w:val="20"/>
          <w:lang w:eastAsia="de-DE"/>
        </w:rPr>
        <w:t xml:space="preserve">La brecha de percepción sobre el rol y valor agregado del PNUD hace concluir que hay un vacío importante en la gobernanza del Portafolio que impide una dinámica de trabajo y, como resultado de esto, una comunicación fluida entre la gerencia del PNUD y los donantes sobre la gestión del programa en su conjunto. </w:t>
      </w:r>
      <w:r w:rsidRPr="001F7FF3">
        <w:rPr>
          <w:rFonts w:ascii="Century Gothic" w:eastAsia="Century Gothic" w:hAnsi="Century Gothic" w:cs="Century Gothic"/>
          <w:sz w:val="20"/>
          <w:szCs w:val="20"/>
          <w:lang w:eastAsia="de-DE"/>
        </w:rPr>
        <w:t>Sin un comité mixto a nivel de programa, no hay como planificar conjuntamente el portafolio ni distribuir sus recursos de manera estratégica y consensuada.</w:t>
      </w:r>
      <w:r w:rsidRPr="001F7FF3">
        <w:rPr>
          <w:rFonts w:ascii="Century Gothic" w:eastAsia="Century Gothic" w:hAnsi="Century Gothic" w:cs="Century Gothic"/>
          <w:b/>
          <w:bCs/>
          <w:sz w:val="20"/>
          <w:szCs w:val="20"/>
          <w:lang w:eastAsia="de-DE"/>
        </w:rPr>
        <w:t xml:space="preserve"> </w:t>
      </w:r>
      <w:r w:rsidRPr="001F7FF3">
        <w:rPr>
          <w:rFonts w:ascii="Century Gothic" w:eastAsia="Century Gothic" w:hAnsi="Century Gothic" w:cs="Century Gothic"/>
          <w:sz w:val="20"/>
          <w:szCs w:val="20"/>
          <w:lang w:eastAsia="de-DE"/>
        </w:rPr>
        <w:t xml:space="preserve">El Portafolio </w:t>
      </w:r>
      <w:r w:rsidRPr="001F7FF3">
        <w:rPr>
          <w:rFonts w:ascii="Century Gothic" w:eastAsia="Times New Roman" w:hAnsi="Century Gothic" w:cs="Times New Roman"/>
          <w:sz w:val="20"/>
          <w:szCs w:val="20"/>
          <w:lang w:eastAsia="es-MX"/>
        </w:rPr>
        <w:t xml:space="preserve">no cuenta con un órgano de gobernanza integrado de alto nivel como lo tenía el antiguo Fondo de Justicia Transicional. Según uno de los gerentes del PNUD “esto realmente era un espacio muy valioso no solo para el PNUD sino para la cooperación internacional dado que este espacio fijaba una agenda estratégica conjunta en materia de Justicia transicional para el país. Esto requeriría de voluntad política, el interés del PNUD es total”. </w:t>
      </w:r>
    </w:p>
    <w:p w14:paraId="50897742"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p>
    <w:p w14:paraId="44B10853" w14:textId="77777777" w:rsidR="00717364" w:rsidRPr="001F7FF3" w:rsidRDefault="00717364" w:rsidP="009D291F">
      <w:pPr>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sz w:val="20"/>
          <w:szCs w:val="20"/>
          <w:lang w:eastAsia="de-DE"/>
        </w:rPr>
        <w:t xml:space="preserve">Según los funcionarios del PNUD los comités técnicos de los proyectos funcionan de manera adecuada </w:t>
      </w:r>
      <w:r w:rsidRPr="00696BCC">
        <w:rPr>
          <w:rFonts w:ascii="Century Gothic" w:hAnsi="Century Gothic"/>
          <w:sz w:val="20"/>
          <w:szCs w:val="20"/>
        </w:rPr>
        <w:t>como mecanismos permanentes para dar seguimiento y orientación a los proyectos. Los donantes están de acuerdo sobre su utilidad operativa, pero comentaron que no les dan la información que necesitan y no trascienden a nivel estratégico: “</w:t>
      </w:r>
      <w:r w:rsidRPr="001F7FF3">
        <w:rPr>
          <w:rFonts w:ascii="Century Gothic" w:eastAsia="Times New Roman" w:hAnsi="Century Gothic" w:cs="Times New Roman"/>
          <w:sz w:val="20"/>
          <w:szCs w:val="20"/>
          <w:lang w:eastAsia="es-MX"/>
        </w:rPr>
        <w:t xml:space="preserve">Eran eficientes porque participaban los socios de los proyectos y de los componentes, orden del día. Se presentaba el avance de los resultados. No obstante, si se indagaba sobre algo más profundo del día a día no contaban con esa información. Daban información para salir y cumplir, igual al final sí hacían llegar información solicitada, se daba. A título general eficiente, seguimiento a indicadores. Sin embargo, más allá de la matriz y otras situaciones no ofrecían información al momento […] Cada proyecto debe tener comité directivo. Se realizan e incluyen a los actores. Son protocolarios. La toma de decisiones se da de forma bilateral, no se toman en comité decisiones trascendentales”. </w:t>
      </w:r>
    </w:p>
    <w:p w14:paraId="569940D3" w14:textId="77777777" w:rsidR="00717364" w:rsidRPr="001F7FF3" w:rsidRDefault="00717364" w:rsidP="009D291F">
      <w:pPr>
        <w:jc w:val="both"/>
        <w:rPr>
          <w:rFonts w:ascii="Century Gothic" w:eastAsia="Times New Roman" w:hAnsi="Century Gothic" w:cs="Times New Roman"/>
          <w:sz w:val="20"/>
          <w:szCs w:val="20"/>
          <w:lang w:eastAsia="es-MX"/>
        </w:rPr>
      </w:pPr>
    </w:p>
    <w:p w14:paraId="5058D557" w14:textId="77777777" w:rsidR="00717364" w:rsidRPr="001F7FF3" w:rsidRDefault="00717364" w:rsidP="009D291F">
      <w:pPr>
        <w:jc w:val="both"/>
        <w:rPr>
          <w:rFonts w:ascii="Century Gothic" w:eastAsia="Times New Roman" w:hAnsi="Century Gothic" w:cs="Times New Roman"/>
          <w:sz w:val="20"/>
          <w:szCs w:val="20"/>
          <w:lang w:eastAsia="es-MX"/>
        </w:rPr>
      </w:pPr>
      <w:r w:rsidRPr="001F7FF3">
        <w:rPr>
          <w:rFonts w:ascii="Century Gothic" w:eastAsia="Century Gothic" w:hAnsi="Century Gothic" w:cs="Century Gothic"/>
          <w:sz w:val="20"/>
          <w:szCs w:val="20"/>
          <w:lang w:eastAsia="de-DE"/>
        </w:rPr>
        <w:t xml:space="preserve">Los comités directivos son mucho menos frecuentes y difíciles de convocar por ser de más alto nivel, pero son necesarios para desarrollar la visión estratégica de cada proyecto. A pesar de este riguroso seguimiento a nivel de proyecto, los donantes aseveran no contar con una visión compartida del programa: </w:t>
      </w:r>
      <w:r w:rsidRPr="001F7FF3">
        <w:rPr>
          <w:rFonts w:ascii="Century Gothic" w:eastAsia="Times New Roman" w:hAnsi="Century Gothic" w:cs="Arial"/>
          <w:sz w:val="20"/>
          <w:szCs w:val="20"/>
          <w:lang w:eastAsia="de-DE"/>
        </w:rPr>
        <w:t xml:space="preserve">“Nunca nadie del PNUD se ha sentado conmigo para decirme: mira, desde PNUD tenemos esta estrategia que se llama portafolio de PJT”, reportó </w:t>
      </w:r>
      <w:r w:rsidRPr="001F7FF3">
        <w:rPr>
          <w:rFonts w:ascii="Century Gothic" w:eastAsia="Times New Roman" w:hAnsi="Century Gothic" w:cs="Arial"/>
          <w:sz w:val="20"/>
          <w:szCs w:val="20"/>
          <w:lang w:eastAsia="de-DE"/>
        </w:rPr>
        <w:lastRenderedPageBreak/>
        <w:t>la representante de uno de los donantes en entrevista. Mientras otro expresó lo siguiente: “</w:t>
      </w:r>
      <w:r w:rsidRPr="001F7FF3">
        <w:rPr>
          <w:rFonts w:ascii="Century Gothic" w:eastAsia="Times New Roman" w:hAnsi="Century Gothic" w:cs="Times New Roman"/>
          <w:sz w:val="20"/>
          <w:szCs w:val="20"/>
          <w:lang w:eastAsia="es-MX"/>
        </w:rPr>
        <w:t xml:space="preserve">Si bien el PNUD está dando un apoyo a la institucionalidad y atender a sus necesidades, debe tener en cuenta un norte más estratégico en el diseño de sus estrategias, proyectos y líneas de trabajo. Se tienen en cuenta las necesidades de las instituciones, pero sin tener en cuenta otros procesos o actores como los donantes. El trabajo en temas de diseño del PNUD parece no tener norte y es más reactivo que proactivo […] le falta un poco de planeación, líneas de trabajo a futuro, no tanto esperando a lo que se requiere”. </w:t>
      </w:r>
    </w:p>
    <w:p w14:paraId="7AFD39A7" w14:textId="77777777" w:rsidR="00717364" w:rsidRPr="001F7FF3" w:rsidRDefault="00717364" w:rsidP="009D291F">
      <w:pPr>
        <w:autoSpaceDE w:val="0"/>
        <w:autoSpaceDN w:val="0"/>
        <w:ind w:right="113"/>
        <w:contextualSpacing/>
        <w:jc w:val="both"/>
        <w:rPr>
          <w:rFonts w:ascii="Century Gothic" w:eastAsia="Times New Roman" w:hAnsi="Century Gothic" w:cs="Times New Roman"/>
          <w:sz w:val="20"/>
          <w:szCs w:val="20"/>
          <w:lang w:eastAsia="es-MX"/>
        </w:rPr>
      </w:pPr>
      <w:r w:rsidRPr="001F7FF3">
        <w:rPr>
          <w:rFonts w:ascii="Century Gothic" w:eastAsia="Times New Roman" w:hAnsi="Century Gothic" w:cs="Arial"/>
          <w:i/>
          <w:iCs/>
          <w:sz w:val="20"/>
          <w:szCs w:val="20"/>
          <w:lang w:eastAsia="de-DE"/>
        </w:rPr>
        <w:t> </w:t>
      </w:r>
    </w:p>
    <w:p w14:paraId="5F99ADB5" w14:textId="77777777" w:rsidR="00717364" w:rsidRPr="001F7FF3" w:rsidRDefault="00717364" w:rsidP="009D291F">
      <w:pPr>
        <w:rPr>
          <w:rFonts w:ascii="Century Gothic" w:eastAsia="Century Gothic" w:hAnsi="Century Gothic" w:cs="Century Gothic"/>
          <w:sz w:val="20"/>
          <w:szCs w:val="20"/>
        </w:rPr>
      </w:pPr>
    </w:p>
    <w:p w14:paraId="25A9E447"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Se evidencia que algunas recomendaciones de la evaluación de 2014 relacionadas con eficacia se tomaron en cuenta como, por ejemplo, la creación de una secretaría técnica para los proyectos.</w:t>
      </w:r>
      <w:r w:rsidRPr="001F7FF3">
        <w:rPr>
          <w:rFonts w:ascii="Century Gothic" w:eastAsia="Century Gothic" w:hAnsi="Century Gothic" w:cs="Century Gothic"/>
          <w:sz w:val="20"/>
          <w:szCs w:val="20"/>
          <w:lang w:eastAsia="de-DE"/>
        </w:rPr>
        <w:t xml:space="preserve"> Sin embargo, la recomendación de crear un sistema de monitoreo y evaluación con capacidad de medir efectos e impactos no se ha consolidado y solo responde a las necesidades de rendición de cuentas para cada donante, a pesar de contar con un equipo técnico aparte. Los indicadores reportan efectos, pero solo en relación con productos y actividades a nivel de proyecto y no se analiza en tanta profundidad. En otras palabras, es un sistema diseñado para la medición de la gestión y no la transformación que es el objetivo final del Portafolio. Sus indicadores solo dan constancia de las acciones, productos etc. implementados y no miden los efectos en las vidas de las víctimas o el fortalecimiento de sus organizaciones. Además, el sistema está fragmentada, dando seguimiento a las actividades proyecto por proyecto y no de forma integral a nivel de programa.</w:t>
      </w:r>
    </w:p>
    <w:p w14:paraId="01A74460" w14:textId="77777777" w:rsidR="00717364" w:rsidRPr="001F7FF3" w:rsidRDefault="00717364" w:rsidP="009D291F">
      <w:pPr>
        <w:rPr>
          <w:rFonts w:ascii="Century Gothic" w:eastAsia="Century Gothic" w:hAnsi="Century Gothic" w:cs="Century Gothic"/>
          <w:sz w:val="20"/>
          <w:szCs w:val="20"/>
        </w:rPr>
      </w:pPr>
    </w:p>
    <w:p w14:paraId="08F6BC6B" w14:textId="77777777" w:rsidR="00717364" w:rsidRPr="001F7FF3" w:rsidRDefault="00717364" w:rsidP="009D291F">
      <w:pPr>
        <w:rPr>
          <w:rFonts w:ascii="Century Gothic" w:eastAsia="Century Gothic" w:hAnsi="Century Gothic" w:cs="Century Gothic"/>
          <w:sz w:val="20"/>
          <w:szCs w:val="20"/>
        </w:rPr>
      </w:pPr>
    </w:p>
    <w:p w14:paraId="7CA7086B" w14:textId="0A95687A" w:rsidR="00717364" w:rsidRDefault="00717364" w:rsidP="009D291F">
      <w:pPr>
        <w:keepNext/>
        <w:keepLines/>
        <w:numPr>
          <w:ilvl w:val="1"/>
          <w:numId w:val="0"/>
        </w:numPr>
        <w:spacing w:before="40"/>
        <w:ind w:left="1440" w:hanging="360"/>
        <w:outlineLvl w:val="1"/>
        <w:rPr>
          <w:rFonts w:ascii="Century Gothic" w:eastAsiaTheme="majorEastAsia" w:hAnsi="Century Gothic" w:cstheme="majorBidi"/>
          <w:b/>
          <w:bCs/>
          <w:color w:val="2F5496" w:themeColor="accent1" w:themeShade="BF"/>
          <w:sz w:val="20"/>
          <w:szCs w:val="20"/>
        </w:rPr>
      </w:pPr>
      <w:bookmarkStart w:id="47" w:name="_Toc117261401"/>
      <w:r w:rsidRPr="001F7FF3">
        <w:rPr>
          <w:rFonts w:ascii="Century Gothic" w:eastAsiaTheme="majorEastAsia" w:hAnsi="Century Gothic" w:cstheme="majorBidi"/>
          <w:b/>
          <w:bCs/>
          <w:color w:val="2F5496" w:themeColor="accent1" w:themeShade="BF"/>
          <w:sz w:val="20"/>
          <w:szCs w:val="20"/>
        </w:rPr>
        <w:t>Sostenibilidad</w:t>
      </w:r>
      <w:bookmarkEnd w:id="47"/>
    </w:p>
    <w:p w14:paraId="20D5BE2E" w14:textId="77777777" w:rsidR="00FC5881" w:rsidRPr="001F7FF3" w:rsidRDefault="00FC5881" w:rsidP="009D291F">
      <w:pPr>
        <w:keepNext/>
        <w:keepLines/>
        <w:numPr>
          <w:ilvl w:val="1"/>
          <w:numId w:val="0"/>
        </w:numPr>
        <w:spacing w:before="40"/>
        <w:ind w:left="1440" w:hanging="360"/>
        <w:outlineLvl w:val="1"/>
        <w:rPr>
          <w:rFonts w:ascii="Century Gothic" w:eastAsiaTheme="majorEastAsia" w:hAnsi="Century Gothic" w:cstheme="majorBidi"/>
          <w:b/>
          <w:bCs/>
          <w:color w:val="2F5496" w:themeColor="accent1" w:themeShade="BF"/>
          <w:sz w:val="20"/>
          <w:szCs w:val="20"/>
        </w:rPr>
      </w:pPr>
    </w:p>
    <w:p w14:paraId="2EFAFB61" w14:textId="5F20F1BE"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lang w:eastAsia="de-DE"/>
        </w:rPr>
        <w:t>Las acciones apoyadas por el Portafolio dependen en gran medida de decisiones políticas y presupuestales, lo que representa un grave riesgo en términos de sostenibilidad</w:t>
      </w:r>
      <w:r w:rsidRPr="001F7FF3">
        <w:rPr>
          <w:rFonts w:ascii="Century Gothic" w:eastAsia="Century Gothic" w:hAnsi="Century Gothic" w:cs="Century Gothic"/>
          <w:sz w:val="20"/>
          <w:szCs w:val="20"/>
          <w:lang w:eastAsia="de-DE"/>
        </w:rPr>
        <w:t xml:space="preserve">. Varios de los proyectos son de trabajo directo y coordinado con las instituciones que hacen parte del sistema </w:t>
      </w:r>
      <w:r w:rsidR="00236DCE" w:rsidRPr="001F7FF3">
        <w:rPr>
          <w:rFonts w:ascii="Century Gothic" w:eastAsia="Century Gothic" w:hAnsi="Century Gothic" w:cs="Century Gothic"/>
          <w:sz w:val="20"/>
          <w:szCs w:val="20"/>
          <w:lang w:eastAsia="de-DE"/>
        </w:rPr>
        <w:t>integral para la paz</w:t>
      </w:r>
      <w:r w:rsidRPr="001F7FF3">
        <w:rPr>
          <w:rFonts w:ascii="Century Gothic" w:eastAsia="Century Gothic" w:hAnsi="Century Gothic" w:cs="Century Gothic"/>
          <w:sz w:val="20"/>
          <w:szCs w:val="20"/>
          <w:lang w:eastAsia="de-DE"/>
        </w:rPr>
        <w:t>.  Sin embargo, gran parte de la sostenibilidad de las acciones no depende de estrategias del Portafolio o de sus proyectos, sino de la voluntad política. Por ejemplo, en el caso de la CEV, el comité de seguimiento a las recomendaciones estará presente por un periodo de 7 a 10 años. Las recomendaciones de esta entidad no son vinculantes y dependerán de factores políticos externos para su cumplimiento. Así lo expresan desde las organizaciones de la sociedad civil. En el caso de la JEP, los entrevistados de la OSC expresaron que: “</w:t>
      </w:r>
      <w:r w:rsidRPr="001F7FF3">
        <w:rPr>
          <w:rFonts w:ascii="Century Gothic" w:hAnsi="Century Gothic"/>
          <w:i/>
          <w:sz w:val="20"/>
          <w:szCs w:val="20"/>
        </w:rPr>
        <w:t>Los equipos rotan y eso hace que la sostenibilidad se vea algo comprometida en un proceso de desarrollo de capacidades, pero se ha hecho un esfuerzo en dejar metodologías y protocolos para que se logren transferir y mantener las buenas prácticas</w:t>
      </w:r>
      <w:r w:rsidRPr="001F7FF3">
        <w:rPr>
          <w:rFonts w:ascii="Century Gothic" w:eastAsia="Century Gothic" w:hAnsi="Century Gothic" w:cs="Century Gothic"/>
          <w:sz w:val="20"/>
          <w:szCs w:val="20"/>
          <w:lang w:eastAsia="de-DE"/>
        </w:rPr>
        <w:t>”. Otros indican que “</w:t>
      </w:r>
      <w:r w:rsidRPr="001F7FF3">
        <w:rPr>
          <w:rFonts w:ascii="Century Gothic" w:hAnsi="Century Gothic"/>
          <w:i/>
          <w:sz w:val="20"/>
          <w:szCs w:val="20"/>
        </w:rPr>
        <w:t>la sostenibilidad está ligada a que se consiga una enorme voluntad política y comprensión y empatía social con la justicia transicional que creo que no existe. La mayor parte de la justicia ordinaria considera que la justicia transicional va en detrimento de la justicia ordinaria. Eso lleva a pensar que no hay sostenibilidad ni para la paz o la transición</w:t>
      </w:r>
      <w:r w:rsidRPr="001F7FF3">
        <w:rPr>
          <w:rFonts w:ascii="Century Gothic" w:eastAsia="Century Gothic" w:hAnsi="Century Gothic" w:cs="Century Gothic"/>
          <w:sz w:val="20"/>
          <w:szCs w:val="20"/>
          <w:lang w:eastAsia="de-DE"/>
        </w:rPr>
        <w:t>”.</w:t>
      </w:r>
    </w:p>
    <w:p w14:paraId="6D8A75E7"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rPr>
      </w:pPr>
      <w:r w:rsidRPr="001F7FF3">
        <w:rPr>
          <w:rFonts w:ascii="Century Gothic" w:eastAsia="Century Gothic" w:hAnsi="Century Gothic" w:cs="Century Gothic"/>
          <w:sz w:val="20"/>
          <w:szCs w:val="20"/>
          <w:lang w:eastAsia="de-DE"/>
        </w:rPr>
        <w:t xml:space="preserve"> </w:t>
      </w:r>
    </w:p>
    <w:p w14:paraId="73DA0B90"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Los riesgos potenciales identificados por los entrevistados para la sostenibilidad de las acciones son principalmente</w:t>
      </w:r>
      <w:r w:rsidRPr="001F7FF3">
        <w:rPr>
          <w:rFonts w:ascii="Century Gothic" w:eastAsia="Century Gothic" w:hAnsi="Century Gothic" w:cs="Century Gothic"/>
          <w:sz w:val="20"/>
          <w:szCs w:val="20"/>
          <w:lang w:eastAsia="de-DE"/>
        </w:rPr>
        <w:t xml:space="preserve">: </w:t>
      </w:r>
    </w:p>
    <w:p w14:paraId="0EFA7BD7" w14:textId="77777777" w:rsidR="00717364" w:rsidRPr="001F7FF3" w:rsidRDefault="00717364" w:rsidP="009D291F">
      <w:pPr>
        <w:numPr>
          <w:ilvl w:val="1"/>
          <w:numId w:val="5"/>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la elección de un nuevo gobierno antagónico a la JT; </w:t>
      </w:r>
    </w:p>
    <w:p w14:paraId="3A6DA991" w14:textId="77777777" w:rsidR="00717364" w:rsidRPr="001F7FF3" w:rsidRDefault="00717364" w:rsidP="009D291F">
      <w:pPr>
        <w:numPr>
          <w:ilvl w:val="1"/>
          <w:numId w:val="5"/>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la polarización política;</w:t>
      </w:r>
    </w:p>
    <w:p w14:paraId="1C0EFDF0" w14:textId="77777777" w:rsidR="00717364" w:rsidRPr="001F7FF3" w:rsidRDefault="00717364" w:rsidP="009D291F">
      <w:pPr>
        <w:numPr>
          <w:ilvl w:val="1"/>
          <w:numId w:val="5"/>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falta de credibilidad y confianza en las instituciones del Sistema; </w:t>
      </w:r>
    </w:p>
    <w:p w14:paraId="0630A700" w14:textId="77777777" w:rsidR="00717364" w:rsidRPr="001F7FF3" w:rsidRDefault="00717364" w:rsidP="009D291F">
      <w:pPr>
        <w:numPr>
          <w:ilvl w:val="1"/>
          <w:numId w:val="5"/>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El recrudecimiento del conflicto armado;</w:t>
      </w:r>
    </w:p>
    <w:p w14:paraId="13835111" w14:textId="77777777" w:rsidR="00717364" w:rsidRPr="001F7FF3" w:rsidRDefault="00717364" w:rsidP="009D291F">
      <w:pPr>
        <w:numPr>
          <w:ilvl w:val="1"/>
          <w:numId w:val="5"/>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la falta de garantías para la seguridad ciudadana;</w:t>
      </w:r>
    </w:p>
    <w:p w14:paraId="2FC9B725" w14:textId="77777777" w:rsidR="00717364" w:rsidRPr="001F7FF3" w:rsidRDefault="00717364" w:rsidP="009D291F">
      <w:pPr>
        <w:numPr>
          <w:ilvl w:val="1"/>
          <w:numId w:val="5"/>
        </w:num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financiación estatal inestable para las instituciones.</w:t>
      </w:r>
    </w:p>
    <w:p w14:paraId="6883C23B"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21BF4FB1" w14:textId="77777777" w:rsidR="00717364" w:rsidRPr="001F7FF3" w:rsidRDefault="00717364" w:rsidP="009D291F">
      <w:pPr>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Otros riesgos sociales y políticos identificados por los entrevistados</w:t>
      </w:r>
      <w:r w:rsidRPr="001F7FF3">
        <w:rPr>
          <w:rFonts w:ascii="Century Gothic" w:eastAsia="Century Gothic" w:hAnsi="Century Gothic" w:cs="Century Gothic"/>
          <w:sz w:val="20"/>
          <w:szCs w:val="20"/>
          <w:lang w:eastAsia="de-DE"/>
        </w:rPr>
        <w:t xml:space="preserve"> incluyen: escalamiento de la violencia en los territorios y que menos personas se atrevan a participar en estos procesos como, por ejemplo, la implementación a las recomendaciones de la CEV; que los futuros gobiernos no apoyen el acuerdo de paz; los efectos económicos por la pandemia; los efectos económicos por factores externos como la guerra Rusia- Ucrania; el desconocimiento sobre el sistema integral y la empatía con el sistema; una situación política de gobernabilidad grave en los territorios por situación de orden público. Finalmente, como lo indica personal de alto nivel del PNUD, otro riesgo, es “el desconocimiento de lo que significa el sistema integral y el tema de empatía. No está claro qué sería una obra reparadora para una víctima al que le hayan podido matar o violar o desaparecer. Puede generar un descontento muy grande de la sociedad civil y comunidad de víctimas y eso puede ser exacerbado en un contexto de polarización política enorme y eso generar un riesgo para la sostenibilidad”.</w:t>
      </w:r>
    </w:p>
    <w:p w14:paraId="4360EF40" w14:textId="77777777" w:rsidR="00717364" w:rsidRPr="001F7FF3" w:rsidRDefault="00717364" w:rsidP="009D291F">
      <w:pPr>
        <w:jc w:val="both"/>
        <w:rPr>
          <w:rFonts w:ascii="Century Gothic" w:eastAsia="Century Gothic" w:hAnsi="Century Gothic" w:cs="Century Gothic"/>
          <w:sz w:val="20"/>
          <w:szCs w:val="20"/>
        </w:rPr>
      </w:pPr>
    </w:p>
    <w:p w14:paraId="78C73BB2"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El portafolio ha logrado poner en marcha un esquema de apalancamiento de recursos orientado al cumplimiento de sus objetivos, metas y competencias. </w:t>
      </w:r>
      <w:r w:rsidRPr="001F7FF3">
        <w:rPr>
          <w:rFonts w:ascii="Century Gothic" w:eastAsia="Century Gothic" w:hAnsi="Century Gothic" w:cs="Century Gothic"/>
          <w:sz w:val="20"/>
          <w:szCs w:val="20"/>
          <w:lang w:eastAsia="de-DE"/>
        </w:rPr>
        <w:t>Por un lado, gracias al apoyo de la cooperación internacional en su montaje y desarrollo inicial, PJT logró movilizar recursos estatales para el funcionamiento de las entidades del Sistema. Por otro lado, se ha logrado cubrir la financiación de proyectos importantes con la cooperación internacional, específicamente con la ejecución de pequeños convenios exitosos del portafolio que sirvieron de pilotos para obtener recursos. Sin embargo, no todos los proyectos han logrado apalancar fondos y siguen dependientes de la cooperación. De hecho, en algunos casos se han identificado como abandonados al acabar el proyecto. Por ejemplo, en los proyectos de reparación colectiva, indican que cuando se acaba su intervención, la comunidad se siente sola y a veces abandonada sin una estrategia clara de salida que cumpla las mayores expectativas de la gente.</w:t>
      </w:r>
    </w:p>
    <w:p w14:paraId="0E4A0684"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48E8AA54" w14:textId="26B1970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640D3D">
        <w:rPr>
          <w:rFonts w:ascii="Century Gothic" w:hAnsi="Century Gothic"/>
          <w:b/>
          <w:sz w:val="20"/>
          <w:szCs w:val="20"/>
        </w:rPr>
        <w:t xml:space="preserve">Existen coordinaciones entre proyectos y/o agencias de manera esporádica debido a que no hay una entidad que articule el trabajo de las tres entidades </w:t>
      </w:r>
      <w:r w:rsidR="00640D3D" w:rsidRPr="00640D3D">
        <w:rPr>
          <w:rFonts w:ascii="Century Gothic" w:hAnsi="Century Gothic"/>
          <w:b/>
          <w:sz w:val="20"/>
          <w:szCs w:val="20"/>
        </w:rPr>
        <w:t>del Sistema</w:t>
      </w:r>
      <w:r w:rsidRPr="00640D3D">
        <w:rPr>
          <w:rFonts w:ascii="Century Gothic" w:hAnsi="Century Gothic"/>
          <w:b/>
          <w:sz w:val="20"/>
          <w:szCs w:val="20"/>
        </w:rPr>
        <w:t xml:space="preserve"> en territorio</w:t>
      </w:r>
      <w:r w:rsidRPr="00640D3D">
        <w:rPr>
          <w:rFonts w:ascii="Century Gothic" w:hAnsi="Century Gothic"/>
          <w:sz w:val="20"/>
          <w:szCs w:val="20"/>
        </w:rPr>
        <w:t>. Los entrevistados indican que existe buena coordinación entre proyectos y las agencias, aunque hay mucho margen de mejora. Hay algunas actividades que se coordinan entre entidades en el territorio como en el caso de Bojayá. Según algunos entrevistados hubo trabajo articulado con las OSC y la comunidad, Estado, y cooperación.</w:t>
      </w:r>
      <w:r w:rsidRPr="001F7FF3">
        <w:rPr>
          <w:rFonts w:ascii="Century Gothic" w:eastAsia="Century Gothic" w:hAnsi="Century Gothic" w:cs="Century Gothic"/>
          <w:sz w:val="20"/>
          <w:szCs w:val="20"/>
          <w:lang w:eastAsia="de-DE"/>
        </w:rPr>
        <w:t xml:space="preserve"> En el caso de Bojayá hubo un trabajo con las comunidades para transferir capacidades, articulación en términos de exigibilidad y monitoreo de riesgos. Además, en los informes del proyecto se pudo detectar que “existen alianzas estratégicas entre los actores involucrados o externos al proyecto que generan sostenibilidad. Se ha establecido un trabajo coordinado y articulado desde la concertación y el diálogo propositivo con la UARIV desde el nivel nacional en articulación con el equipo técnico del PNUD en territorio y en alianza con las oficinas territoriales de la institución para fortalecer la coordinación y diálogo con los comités de impulso de los sujetos de reparación colectiva con el fin de facilitar la ejecución de cada una de las acciones del proyecto y fortalecer la sostenibilidad de las obras civiles y acciones comunitarias.”</w:t>
      </w:r>
      <w:r w:rsidRPr="001F7FF3">
        <w:rPr>
          <w:rFonts w:ascii="Century Gothic" w:eastAsia="Century Gothic" w:hAnsi="Century Gothic" w:cs="Century Gothic"/>
          <w:sz w:val="20"/>
          <w:szCs w:val="20"/>
          <w:vertAlign w:val="superscript"/>
          <w:lang w:eastAsia="de-DE"/>
        </w:rPr>
        <w:footnoteReference w:id="14"/>
      </w:r>
      <w:r w:rsidRPr="001F7FF3">
        <w:rPr>
          <w:rFonts w:ascii="Century Gothic" w:eastAsia="Century Gothic" w:hAnsi="Century Gothic" w:cs="Century Gothic"/>
          <w:sz w:val="20"/>
          <w:szCs w:val="20"/>
          <w:lang w:eastAsia="de-DE"/>
        </w:rPr>
        <w:t xml:space="preserve"> También, otras coordinaciones permitieron que las víctimas se sintieran escuchadas, al igual sus necesidades fueran transmitidas, como por ejemplo con la CEV. Además, en la UBPD: se pudo “crear metodología para identificar personas desaparecidas en zonas de difícil acceso, como lo es en cuerpos de agua”. Los donantes en cambio no ven tan claras las coordinaciones: “La articulación con otros actores ha sido muy forzada, incluso con agencias de la ONU”. </w:t>
      </w:r>
    </w:p>
    <w:p w14:paraId="20DB3115" w14:textId="77777777" w:rsidR="00717364" w:rsidRPr="001F7FF3" w:rsidRDefault="00717364" w:rsidP="009D291F">
      <w:pPr>
        <w:autoSpaceDE w:val="0"/>
        <w:autoSpaceDN w:val="0"/>
        <w:ind w:right="113"/>
        <w:contextualSpacing/>
        <w:jc w:val="both"/>
        <w:rPr>
          <w:rFonts w:ascii="Century Gothic" w:eastAsia="Century Gothic" w:hAnsi="Century Gothic" w:cs="Century Gothic"/>
          <w:b/>
          <w:bCs/>
          <w:sz w:val="20"/>
          <w:szCs w:val="20"/>
          <w:lang w:eastAsia="de-DE"/>
        </w:rPr>
      </w:pPr>
    </w:p>
    <w:p w14:paraId="13F6C0EF"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lastRenderedPageBreak/>
        <w:t>Las instituciones han logrado apropiar los resultados de los proyectos apoyados por el programa en diferentes niveles.</w:t>
      </w:r>
      <w:r w:rsidRPr="001F7FF3">
        <w:rPr>
          <w:rFonts w:ascii="Century Gothic" w:eastAsia="Century Gothic" w:hAnsi="Century Gothic" w:cs="Century Gothic"/>
          <w:sz w:val="20"/>
          <w:szCs w:val="20"/>
          <w:lang w:eastAsia="de-DE"/>
        </w:rPr>
        <w:t xml:space="preserve"> En primer lugar, los equipos técnicos (personal de la JEP, CEV y UBPD) contratados en la fase inicial, ahora son financiados con recursos estatales del presupuesto general. Adicionalmente, las entidades han apropiado y establecido de manera oficial metodologías, modelos, protocolos y otros productos de conocimiento que fueron desarrollados con recursos del PJT. Algunos entrevistados expresan que “las organizaciones sí han aumentado sus capacidades para realizar las labores de búsqueda”; “Todas las iniciativas del PJT tienen la apropiación estatal desde el inicio; las entidades las ven como proyectos de ellas con el apoyo PNUD”. </w:t>
      </w:r>
    </w:p>
    <w:p w14:paraId="7C543D2E"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46BBFBEE"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Se han documentado y sistematizado las lecciones aprendidas y buenas prácticas principalmente por parte del PNUD</w:t>
      </w:r>
      <w:r w:rsidRPr="001F7FF3">
        <w:rPr>
          <w:rFonts w:ascii="Century Gothic" w:eastAsia="Century Gothic" w:hAnsi="Century Gothic" w:cs="Century Gothic"/>
          <w:sz w:val="20"/>
          <w:szCs w:val="20"/>
          <w:lang w:eastAsia="de-DE"/>
        </w:rPr>
        <w:t xml:space="preserve">. Los entrevistados que hacen parte del PNUD hablan de instrumentos y voluntad para fortalecer la gestión de conocimiento del personal que hace seguimiento a los proyectos. “No es algo implícito, es algo más bien nuevo el tema de gestión de conocimiento. Lo cual fue a partir de la constitución del equipo M&amp;E hace 8 o 9 meses”. Los entrevistados de la sociedad civil hablan del cumplimiento de reportes mensuales como requerimiento para sistematizar las acciones. Además, evidenciaron las siguientes buenas prácticas: </w:t>
      </w:r>
    </w:p>
    <w:p w14:paraId="34BCBACB"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-Articulación permanente con el enlace del PJT; apertura desde el área administrativa para viabilizar procesos. </w:t>
      </w:r>
    </w:p>
    <w:p w14:paraId="4756D5B6"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 Comunicación constantemente de los éxitos y retos de los procesos. </w:t>
      </w:r>
    </w:p>
    <w:p w14:paraId="69518A65"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 Narración a través de las novelas gráficas, y metodología utilizada y apoyada desde los proyectos. Eso es muy importante para caminar hacía la convivencia y no repetición. </w:t>
      </w:r>
    </w:p>
    <w:p w14:paraId="78373861"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 El trabajo psicosocial para el equipo técnico y territorial. </w:t>
      </w:r>
    </w:p>
    <w:p w14:paraId="797ACC75"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Participación del PJT en el proceso de fortalecimiento de OSC para su participación dentro de la JEP porque ha generado conocimiento de las organizaciones que se interesan en participar.</w:t>
      </w:r>
    </w:p>
    <w:p w14:paraId="7702A201"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 El enfoque de género no es transversal sino conjunto en todas las acciones. </w:t>
      </w:r>
    </w:p>
    <w:p w14:paraId="3B0E0A28"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399B1922" w14:textId="6295D01A" w:rsidR="00717364" w:rsidRDefault="00717364" w:rsidP="009D291F">
      <w:pPr>
        <w:keepNext/>
        <w:keepLines/>
        <w:numPr>
          <w:ilvl w:val="1"/>
          <w:numId w:val="0"/>
        </w:numPr>
        <w:spacing w:before="40"/>
        <w:outlineLvl w:val="1"/>
        <w:rPr>
          <w:rFonts w:ascii="Century Gothic" w:eastAsia="Century Gothic" w:hAnsi="Century Gothic" w:cstheme="majorBidi"/>
          <w:b/>
          <w:bCs/>
          <w:color w:val="2F5496" w:themeColor="accent1" w:themeShade="BF"/>
          <w:sz w:val="20"/>
          <w:szCs w:val="20"/>
        </w:rPr>
      </w:pPr>
      <w:bookmarkStart w:id="48" w:name="_Toc117261402"/>
      <w:r w:rsidRPr="001F7FF3">
        <w:rPr>
          <w:rFonts w:ascii="Century Gothic" w:eastAsia="Century Gothic" w:hAnsi="Century Gothic" w:cstheme="majorBidi"/>
          <w:b/>
          <w:bCs/>
          <w:color w:val="2F5496" w:themeColor="accent1" w:themeShade="BF"/>
          <w:sz w:val="20"/>
          <w:szCs w:val="20"/>
        </w:rPr>
        <w:t>Enfoques Transversales</w:t>
      </w:r>
      <w:bookmarkEnd w:id="48"/>
    </w:p>
    <w:p w14:paraId="285D4E16" w14:textId="77777777" w:rsidR="00640D3D" w:rsidRPr="001F7FF3" w:rsidRDefault="00640D3D" w:rsidP="009D291F">
      <w:pPr>
        <w:keepNext/>
        <w:keepLines/>
        <w:numPr>
          <w:ilvl w:val="1"/>
          <w:numId w:val="0"/>
        </w:numPr>
        <w:spacing w:before="40"/>
        <w:outlineLvl w:val="1"/>
        <w:rPr>
          <w:rFonts w:ascii="Century Gothic" w:eastAsia="Century Gothic" w:hAnsi="Century Gothic" w:cstheme="majorBidi"/>
          <w:b/>
          <w:bCs/>
          <w:color w:val="2F5496" w:themeColor="accent1" w:themeShade="BF"/>
          <w:sz w:val="20"/>
          <w:szCs w:val="20"/>
        </w:rPr>
      </w:pPr>
    </w:p>
    <w:p w14:paraId="45D60A47"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Las poblaciones indígenas y afro, personas con discapacidades físicas, las mujeres, LGBTI+ y otros grupos vulnerables se han beneficiado de la implementación de los proyectos del PJT.</w:t>
      </w:r>
      <w:r w:rsidRPr="001F7FF3">
        <w:rPr>
          <w:rFonts w:ascii="Century Gothic" w:eastAsia="Century Gothic" w:hAnsi="Century Gothic" w:cs="Century Gothic"/>
          <w:sz w:val="20"/>
          <w:szCs w:val="20"/>
          <w:lang w:eastAsia="de-DE"/>
        </w:rPr>
        <w:t xml:space="preserve"> En las entrevistas a las instituciones y las OSC se ha podido constatar que todos los proyectos que hacen parte del PJT implementan enfoques transversales desde la propia concepción de su diseño. Así lo manifiestan desde la JEP: “la entidad ha construido unos lineamientos para la incorporación de los enfoques diferenciales que deben ser incorporados por todas las dependencias de la JEP”; de la UBDP: “tiene un protocolo de relacionamiento con las comunidades étnicas y personas en situación de discapacidad y lineamientos género, estamos empezando a hacerlo con población LBGTI+. </w:t>
      </w:r>
    </w:p>
    <w:p w14:paraId="3F551B96" w14:textId="78E9B526"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También, hay una mejor caracterización de acuerdo con los grupos poblacionales de las víctimas”; y de la CEV: “El mandato fue claro en incorporar estos enfoques diferenciales. Desde la CEV y sus intervenciones se logró transversalizar el enfoque de género con sentido, incluso al interior de la institución, donde por lo menos el 60% de la planta son mujeres. Las mujeres, niños y otros grupos tradicionalmente excluidos y altamente afectados por el conflicto serán reconocidos en el informe final”. No obstante, es notorio en las entrevistas que, si bien los proyectos incorporan algunos enfoques transversales desde su diseño, no se tienen en cuenta en la misma proporción a todos los grupos poblacionales. Se encuentra que en la mayoría de los proyectos están debidamente incorporados los enfoques de género y étnicos, pero los enfoques para personas con discapacidades físicas y/o para población LGTBI+ no están debidamente enfatizados. Además, en la encuesta a OSC, </w:t>
      </w:r>
      <w:r w:rsidRPr="001F7FF3">
        <w:rPr>
          <w:rFonts w:ascii="Century Gothic" w:eastAsia="Century Gothic" w:hAnsi="Century Gothic" w:cs="Century Gothic"/>
          <w:sz w:val="20"/>
          <w:szCs w:val="20"/>
          <w:lang w:eastAsia="de-DE"/>
        </w:rPr>
        <w:lastRenderedPageBreak/>
        <w:t xml:space="preserve">respondieron en qué medida perciben ellas que se han beneficiado poblaciones indígenas y afro, personas con discapacidades físicas, las mujeres, LGBTI+ y otros grupos vulnerables con la implementación de los proyectos del PJT de la siguiente manera:  el 60% considera que hay una implementación de estos enfoques significativa (5); el 33% la califica como buen (4); y el 7% como regular (3). </w:t>
      </w:r>
    </w:p>
    <w:p w14:paraId="36C4CC7F" w14:textId="77777777" w:rsidR="008C1B6F" w:rsidRPr="001F7FF3" w:rsidRDefault="008C1B6F"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3F102282" w14:textId="2611B142" w:rsidR="00717364" w:rsidRPr="001F7FF3" w:rsidRDefault="008C1B6F" w:rsidP="009D291F">
      <w:pPr>
        <w:autoSpaceDE w:val="0"/>
        <w:autoSpaceDN w:val="0"/>
        <w:spacing w:after="160"/>
        <w:ind w:left="720" w:right="113"/>
        <w:contextualSpacing/>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Gráfica 5. Percepción de beneficio de poblaciones vulnerables a través del PJT.</w:t>
      </w:r>
    </w:p>
    <w:p w14:paraId="0FC9E9A0" w14:textId="50145EE3" w:rsidR="008C1B6F" w:rsidRPr="001F7FF3" w:rsidRDefault="008C1B6F" w:rsidP="009D291F">
      <w:pPr>
        <w:autoSpaceDE w:val="0"/>
        <w:autoSpaceDN w:val="0"/>
        <w:spacing w:after="160"/>
        <w:ind w:left="720" w:right="113"/>
        <w:contextualSpacing/>
        <w:jc w:val="both"/>
        <w:rPr>
          <w:rFonts w:ascii="Century Gothic" w:eastAsia="Century Gothic" w:hAnsi="Century Gothic" w:cs="Century Gothic"/>
          <w:b/>
          <w:bCs/>
          <w:sz w:val="20"/>
          <w:szCs w:val="20"/>
          <w:lang w:eastAsia="de-DE"/>
        </w:rPr>
      </w:pPr>
    </w:p>
    <w:p w14:paraId="38891A69" w14:textId="2FCCCFDC" w:rsidR="008C1B6F" w:rsidRPr="001F7FF3" w:rsidRDefault="008C1B6F" w:rsidP="009D291F">
      <w:pPr>
        <w:autoSpaceDE w:val="0"/>
        <w:autoSpaceDN w:val="0"/>
        <w:spacing w:after="160"/>
        <w:ind w:left="720" w:right="113"/>
        <w:contextualSpacing/>
        <w:jc w:val="both"/>
        <w:rPr>
          <w:rFonts w:ascii="Century Gothic" w:eastAsia="Century Gothic" w:hAnsi="Century Gothic" w:cs="Century Gothic"/>
          <w:b/>
          <w:bCs/>
          <w:sz w:val="20"/>
          <w:szCs w:val="20"/>
          <w:lang w:eastAsia="de-DE"/>
        </w:rPr>
      </w:pPr>
      <w:r w:rsidRPr="001F7FF3">
        <w:rPr>
          <w:noProof/>
          <w:sz w:val="20"/>
          <w:szCs w:val="20"/>
        </w:rPr>
        <w:drawing>
          <wp:inline distT="0" distB="0" distL="0" distR="0" wp14:anchorId="5F4F0043" wp14:editId="061830AA">
            <wp:extent cx="4823460" cy="1965960"/>
            <wp:effectExtent l="0" t="0" r="15240" b="15240"/>
            <wp:docPr id="7" name="Chart 7">
              <a:extLst xmlns:a="http://schemas.openxmlformats.org/drawingml/2006/main">
                <a:ext uri="{FF2B5EF4-FFF2-40B4-BE49-F238E27FC236}">
                  <a16:creationId xmlns:a16="http://schemas.microsoft.com/office/drawing/2014/main" id="{61B135FC-E6F7-4BD5-0732-BA4EE4288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908A6F9" w14:textId="05EB4084" w:rsidR="00717364" w:rsidRPr="001F7FF3" w:rsidRDefault="008C1B6F" w:rsidP="009D291F">
      <w:pPr>
        <w:autoSpaceDE w:val="0"/>
        <w:autoSpaceDN w:val="0"/>
        <w:spacing w:after="160"/>
        <w:ind w:left="720" w:right="113"/>
        <w:contextualSpacing/>
        <w:jc w:val="center"/>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Fuente</w:t>
      </w:r>
      <w:r w:rsidRPr="001F7FF3">
        <w:rPr>
          <w:rFonts w:ascii="Century Gothic" w:eastAsia="Century Gothic" w:hAnsi="Century Gothic" w:cs="Century Gothic"/>
          <w:sz w:val="20"/>
          <w:szCs w:val="20"/>
          <w:lang w:eastAsia="de-DE"/>
        </w:rPr>
        <w:t>: Encuesta OSC.</w:t>
      </w:r>
    </w:p>
    <w:p w14:paraId="2D16CD57" w14:textId="77777777" w:rsidR="008C1B6F" w:rsidRPr="001F7FF3" w:rsidRDefault="008C1B6F" w:rsidP="009D291F">
      <w:pPr>
        <w:autoSpaceDE w:val="0"/>
        <w:autoSpaceDN w:val="0"/>
        <w:spacing w:after="160"/>
        <w:ind w:left="720" w:right="113"/>
        <w:contextualSpacing/>
        <w:jc w:val="center"/>
        <w:rPr>
          <w:rFonts w:ascii="Century Gothic" w:eastAsia="Century Gothic" w:hAnsi="Century Gothic" w:cs="Century Gothic"/>
          <w:sz w:val="20"/>
          <w:szCs w:val="20"/>
          <w:lang w:eastAsia="de-DE"/>
        </w:rPr>
      </w:pPr>
    </w:p>
    <w:p w14:paraId="0BFA7ED1"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A pesar de los obstáculos que existen, se pudo evidenciar la inclusión del enfoque de género, específicamente hacia las mujeres, en varios de los proyectos del Portafolio con un apoyo muy importante por parte del PNUD</w:t>
      </w:r>
      <w:r w:rsidRPr="001F7FF3">
        <w:rPr>
          <w:rFonts w:ascii="Century Gothic" w:eastAsia="Century Gothic" w:hAnsi="Century Gothic" w:cs="Century Gothic"/>
          <w:sz w:val="20"/>
          <w:szCs w:val="20"/>
          <w:lang w:eastAsia="de-DE"/>
        </w:rPr>
        <w:t>. Las personas entrevistadas manifestaron, por un lado, que gracias al apoyo del PNUD se incluyó el enfoque de género en el diseño de los proyectos y en su implementación: “</w:t>
      </w:r>
      <w:r w:rsidRPr="001F7FF3">
        <w:rPr>
          <w:rFonts w:ascii="Century Gothic" w:hAnsi="Century Gothic"/>
          <w:i/>
          <w:sz w:val="20"/>
          <w:szCs w:val="20"/>
        </w:rPr>
        <w:t>PNUD ha mejorado y ha contratado expertos en el tema de género en los proyectos y está teniendo más cuidado. Además, si PNUD no tiene profesionales especializados, los buscan. Hay una iniciativa desde ellos para mejorar en este aspecto</w:t>
      </w:r>
      <w:r w:rsidRPr="001F7FF3">
        <w:rPr>
          <w:rFonts w:ascii="Century Gothic" w:eastAsia="Century Gothic" w:hAnsi="Century Gothic" w:cs="Century Gothic"/>
          <w:sz w:val="20"/>
          <w:szCs w:val="20"/>
          <w:lang w:eastAsia="de-DE"/>
        </w:rPr>
        <w:t>”.  Por otro lado, reconocen un alto nivel de participación y empoderamiento de las mujeres en los diversos proyectos gracias a las estrategias implementadas. En algunos casos, los proyectos estaban dirigidos específicamente a las mujeres. En otros casos, las OSC contaban en los grupos focales que: “tuvimos participación de mujeres indígenas y negras, aunque en los procesos de reconocimiento no tenían un énfasis específico en mujeres.” Afirmaron, como un aspecto muy relevante, que las mujeres son en muchos casos las lideresas de los procesos o de las organizaciones, lo que propicia que haya más sensibilidad sobre la importancia de género: “Los proyectos del portafolio identifican oportunidades para que se puedan incluir de manera concreta acciones en materia de igualdad y equidad de género para el cierre de brechas.</w:t>
      </w:r>
    </w:p>
    <w:p w14:paraId="23DFE208"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p>
    <w:p w14:paraId="5EEF1908" w14:textId="77777777"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t xml:space="preserve">Los proyectos que son específicos del MPTF han cumplido como requisito que el 30% de los recursos implementados contribuya con la transversalidad del enfoque de género, esto en la práctica permitió que se incluyeran actividades, resultados, metas e indicadores específicos de género como parte de la implementación”. También, se identificaron estrategias para la incorporación del enfoque de género en las diferentes propuestas e informes de los proyectos. Por ejemplo, en el informe anual del proyecto financiado por el MPTF y ejecutado en 27 departamentos para apoyar la CEV en el fortalecimiento de los diálogos nación-territorio para una verdad amplia e incluyente, se encuentran estrategias claras de enfoque de género. Una de esas es “Contribuir al posicionamiento en la agenda pública las propuestas para la implementación de medidas que restituyan los derechos de las mujeres y de la población LGTBI+, esclarezcan los patrones de violencia a las que fueron expuestas, promuevan su reconocimiento, entre otras.” El impacto de estas acciones tiene </w:t>
      </w:r>
      <w:r w:rsidRPr="001F7FF3">
        <w:rPr>
          <w:rFonts w:ascii="Century Gothic" w:eastAsia="Century Gothic" w:hAnsi="Century Gothic" w:cs="Century Gothic"/>
          <w:sz w:val="20"/>
          <w:szCs w:val="20"/>
          <w:lang w:eastAsia="de-DE"/>
        </w:rPr>
        <w:lastRenderedPageBreak/>
        <w:t xml:space="preserve">como beneficiarias directas a 6.085 mujeres y 5.216 hombres, por un tiempo de ejecución de 26 meses. Este tipo de acciones concretas, con sus productos y resultados han sido identificados en muchos de los proyectos revisados en la presente evaluación. Además, las personas entrevistadas hablaron de la importancia del enfoque de género en la incorporación de los proyectos. </w:t>
      </w:r>
    </w:p>
    <w:p w14:paraId="15A036BA" w14:textId="77777777" w:rsidR="00717364" w:rsidRPr="001F7FF3" w:rsidRDefault="00717364" w:rsidP="009D291F">
      <w:pPr>
        <w:autoSpaceDE w:val="0"/>
        <w:autoSpaceDN w:val="0"/>
        <w:spacing w:after="160"/>
        <w:ind w:left="709" w:right="113"/>
        <w:contextualSpacing/>
        <w:jc w:val="both"/>
        <w:rPr>
          <w:rFonts w:ascii="Century Gothic" w:eastAsia="Century Gothic" w:hAnsi="Century Gothic" w:cs="Century Gothic"/>
          <w:sz w:val="20"/>
          <w:szCs w:val="20"/>
          <w:lang w:eastAsia="de-DE"/>
        </w:rPr>
      </w:pPr>
    </w:p>
    <w:p w14:paraId="3E6049D9" w14:textId="035FCC52" w:rsidR="00717364" w:rsidRPr="001F7FF3" w:rsidRDefault="00717364" w:rsidP="009D291F">
      <w:pPr>
        <w:autoSpaceDE w:val="0"/>
        <w:autoSpaceDN w:val="0"/>
        <w:spacing w:after="16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A pesar de los avances realizados en materia de género por parte del PJT, todavía existen limitaciones estructurales y prácticas para profundizar los procesos de empoderamiento de las mujeres y la superación de las desigualdades históricas. </w:t>
      </w:r>
      <w:r w:rsidRPr="001F7FF3">
        <w:rPr>
          <w:rFonts w:ascii="Century Gothic" w:eastAsia="Century Gothic" w:hAnsi="Century Gothic" w:cs="Century Gothic"/>
          <w:sz w:val="20"/>
          <w:szCs w:val="20"/>
          <w:lang w:eastAsia="de-DE"/>
        </w:rPr>
        <w:t>Algunos de los obstáculos identificados por los entrevistados, cuando empezó el Sistema, fueron superados con estrategias claras durante su implementación:</w:t>
      </w:r>
      <w:r w:rsidRPr="001F7FF3">
        <w:rPr>
          <w:rFonts w:ascii="Century Gothic" w:eastAsia="Century Gothic" w:hAnsi="Century Gothic" w:cs="Century Gothic"/>
          <w:b/>
          <w:bCs/>
          <w:sz w:val="20"/>
          <w:szCs w:val="20"/>
          <w:lang w:eastAsia="de-DE"/>
        </w:rPr>
        <w:t xml:space="preserve"> </w:t>
      </w:r>
      <w:r w:rsidRPr="001F7FF3">
        <w:rPr>
          <w:rFonts w:ascii="Century Gothic" w:eastAsia="Century Gothic" w:hAnsi="Century Gothic" w:cs="Century Gothic"/>
          <w:sz w:val="20"/>
          <w:szCs w:val="20"/>
          <w:lang w:eastAsia="de-DE"/>
        </w:rPr>
        <w:t>“Una problemática se dio en el fortalecimiento del Sistema Integral</w:t>
      </w:r>
      <w:r w:rsidR="00236DCE" w:rsidRPr="001F7FF3">
        <w:rPr>
          <w:rFonts w:ascii="Century Gothic" w:eastAsia="Century Gothic" w:hAnsi="Century Gothic" w:cs="Century Gothic"/>
          <w:sz w:val="20"/>
          <w:szCs w:val="20"/>
          <w:lang w:eastAsia="de-DE"/>
        </w:rPr>
        <w:t xml:space="preserve"> para la paz</w:t>
      </w:r>
      <w:r w:rsidRPr="001F7FF3">
        <w:rPr>
          <w:rFonts w:ascii="Century Gothic" w:eastAsia="Century Gothic" w:hAnsi="Century Gothic" w:cs="Century Gothic"/>
          <w:sz w:val="20"/>
          <w:szCs w:val="20"/>
          <w:lang w:eastAsia="de-DE"/>
        </w:rPr>
        <w:t xml:space="preserve"> es la construcción de la comisión de género. Esto tuvo que llevar a alinear entre las tres instituciones para llegar a un acuerdo sobre el abordaje de los temas de género, pues todos tienen visiones diferentes. Se construyeron lineamientos conjuntos con la OIM y se formaron equipos territoriales con enfoque de género y étnico.” Sin embargo, existen otros limitantes que expresan los entrevistados: “existe un machismo estructural de la sociedad. La estructura patriarcal hace que el tipo de violencias de género sean invisibilizadas y negadas por parte de los actores armados”. Un ejemplo de esta falencia es que no se logró que los actores armados aceptaran la violencia sexual como estrategia dentro del conflicto a pesar de haber sido sistemática, masiva y coincidente con un patrón común de ejecución, tal como lo informan desde un proyecto conjunto con la Comisión de la Verdad. También expresan que, aunque hay voluntad financiera por parte de los donantes para este tema y cierto grado de compromiso institucional para implementar estrategias integradas que contribuyan con la equidad e igualdad de género, falta información precisa sobre las necesidades de las mujeres y población LGBTI+ en cuanto a la restitución de sus derechos y “apoyo de distintos actores institucionales”. Finalmente, están de acuerdo en que, dada las dificultades por las labores domésticas, se requieren más recursos al enfoque de género para garantizar la participación y empoderamiento de las mujeres. </w:t>
      </w:r>
    </w:p>
    <w:p w14:paraId="0EFDE03A"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en-US"/>
        </w:rPr>
      </w:pPr>
    </w:p>
    <w:p w14:paraId="3C8FD51B" w14:textId="0B887BD5"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Los proyectos se han adaptado a las realidades de los pueblos étnicos, así como a sus expresiones culturales e identitarias y sus mecanismos de gobierno propios.</w:t>
      </w:r>
      <w:r w:rsidR="005E7F4B">
        <w:rPr>
          <w:rFonts w:ascii="Century Gothic" w:eastAsia="Century Gothic" w:hAnsi="Century Gothic" w:cs="Century Gothic"/>
          <w:b/>
          <w:bCs/>
          <w:sz w:val="20"/>
          <w:szCs w:val="20"/>
          <w:lang w:eastAsia="de-DE"/>
        </w:rPr>
        <w:t xml:space="preserve"> </w:t>
      </w:r>
      <w:r w:rsidRPr="001F7FF3">
        <w:rPr>
          <w:rFonts w:ascii="Century Gothic" w:eastAsia="Century Gothic" w:hAnsi="Century Gothic" w:cs="Century Gothic"/>
          <w:sz w:val="20"/>
          <w:szCs w:val="20"/>
          <w:lang w:eastAsia="de-DE"/>
        </w:rPr>
        <w:t xml:space="preserve">Se puede evidenciar que los proyectos incluyen, en su mayoría, un enfoque étnico, con lineamientos claros, sobre todo cuando se ejecutan en el territorio. Por ejemplo, los entrevistados reivindican el trabajo que se ha realizado en la CEV: “El enfoque diferencial y territorial de la CEV es muy importante. Hay una dirección territorial que alcanza 28 locaciones, hay una dirección de pueblos étnicos, temáticas de género; y se desarrollarán capítulos específicos para poblaciones vulnerables como mujeres, NNJA, pueblos étnicos, entre otros en el informe final de la institución”. También lo reivindican en los proyectos de otras instituciones: “En el alistamiento de la JEP, en los estatutos de la jurisdicción los enfoques diferenciales son propios al estar en los acuerdos de paz. Tiene comisiones que garantizan el trato diferencial a las poblaciones [étnicas]”; “en la Unidad de Búsqueda de Desaparecidos hay un reconocimiento de impactos y reconocimiento del conflicto en grupos étnicos, afros, mujeres, NNJA.” También los entrevistados pudieron identificar los beneficios de la inclusión del enfoque étnico. “El beneficio de esta inclusión es político. En el reconocer la resistencia e impactos permite mayores niveles de incidencia e visibilización, en agenda política, participación en espacios públicos.” Además, aseveran que el hecho de trabajar con OSC que cumplen con los enfoques transversales garantiza desde el principio su inclusión, a la vez que trabajar con organizaciones y redes indígenas y afro permite asegurar que el enfoque étnico no se implemente de manera genérica, sino que se ajuste a las capacidades y a la visión de las propias comunidades: “De esa manera aseguramos que se cumplen estándares comunes”. Finalmente, se han apoyado iniciativas específicas (de representación judicial, reparación colectiva, memoria entre otras) con el apoyo de OSC </w:t>
      </w:r>
      <w:r w:rsidRPr="001F7FF3">
        <w:rPr>
          <w:rFonts w:ascii="Century Gothic" w:eastAsia="Century Gothic" w:hAnsi="Century Gothic" w:cs="Century Gothic"/>
          <w:sz w:val="20"/>
          <w:szCs w:val="20"/>
          <w:lang w:eastAsia="de-DE"/>
        </w:rPr>
        <w:lastRenderedPageBreak/>
        <w:t xml:space="preserve">que disponen de amplio conocimiento del territorio y de mucha credibilidad para adelantar diálogos con estos colectivos. </w:t>
      </w:r>
    </w:p>
    <w:p w14:paraId="74EF43F3"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1A0EA4A3"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Aunque se debe incluir un enfoque de derechos humanos en el formato de propuesta de proyecto y en sus informes, existe un debate al interior del PNUD y de las organizaciones sociales sobre este tema.</w:t>
      </w:r>
      <w:r w:rsidRPr="001F7FF3">
        <w:rPr>
          <w:rFonts w:ascii="Century Gothic" w:eastAsia="Century Gothic" w:hAnsi="Century Gothic" w:cs="Century Gothic"/>
          <w:sz w:val="20"/>
          <w:szCs w:val="20"/>
          <w:lang w:eastAsia="de-DE"/>
        </w:rPr>
        <w:t xml:space="preserve"> De hecho, el PJT tiene intrínseco el enfoque de DDHH en temas de justicia transicional, al tomar en cuenta el derecho a la vida, la integridad personal y el desarrollo con garantías. Además, las acciones del programa incluyen de manera muy concreta este enfoque que se centra en las víctimas del conflicto armado y en la restitución de sus derechos. Las acciones de los proyectos responden en gran medida con el cumplimiento de principios y directrices internacionales sobre el derecho de las víctimas de violaciones de derechos humanos y de violaciones graves del derecho internacional humanitario para promover su acceso a la justicia y a la reparación. En otras palabras, el enfoque de DDHH es algo implícito porque hace parte del ADN o razón de ser del Portafolio como programa de acciones que reconocen y luego restablecen los derechos perdidos de las víctimas. </w:t>
      </w:r>
    </w:p>
    <w:p w14:paraId="3ECEAF4C"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1A27C549"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Existen estrategias de entrada y algunas de salida en la ejecución de los diferentes proyectos financiados para reducir o evitar la acción con daño. </w:t>
      </w:r>
      <w:r w:rsidRPr="001F7FF3">
        <w:rPr>
          <w:rFonts w:ascii="Century Gothic" w:eastAsia="Century Gothic" w:hAnsi="Century Gothic" w:cs="Century Gothic"/>
          <w:sz w:val="20"/>
          <w:szCs w:val="20"/>
          <w:lang w:eastAsia="de-DE"/>
        </w:rPr>
        <w:t>En la mayoría de los proyectos revisados se pudo identificar de manera clara las estrategias de entrada de los proyectos, la coordinación con OSC, con beneficiarios y con las instituciones según el caso. Sin embargo, las estrategias de salida no eran tan claras. De hecho, en algunas de las entrevistas con el PNUD expresaban que no habían pensado en este aspecto aún: “Las estrategias de entrada son mejor pensadas que las de salida. Las estrategias de salida son más complejas y como en estos casos están en manos del Estado. PNUD suele retirarse lentamente. Sin embargo, hay proyectos muy cortos, donde no se logra dejar una realidad transformada.” Las estrategias de salida se basan en la capacidad instalada que se deje a las organizaciones sociales o a las instituciones para dar respuesta a las víctimas y que los beneficiarios puedan recibir servicios de calidad. La capacidad instalada también se piensa en dejar a la población víctima, especialmente en la construcción y capacidades para exigir sus derechos.</w:t>
      </w:r>
    </w:p>
    <w:p w14:paraId="02C850B9"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1E2FF8E6" w14:textId="63918B9B" w:rsidR="00717364" w:rsidRPr="001F7FF3" w:rsidRDefault="00717364" w:rsidP="009D291F">
      <w:pPr>
        <w:pStyle w:val="Ttulo1"/>
        <w:numPr>
          <w:ilvl w:val="0"/>
          <w:numId w:val="2"/>
        </w:numPr>
        <w:rPr>
          <w:rFonts w:eastAsia="Century Gothic"/>
          <w:lang w:val="es-CO"/>
        </w:rPr>
      </w:pPr>
      <w:bookmarkStart w:id="49" w:name="_Toc117261403"/>
      <w:r w:rsidRPr="001F7FF3">
        <w:rPr>
          <w:rFonts w:eastAsia="Century Gothic"/>
          <w:lang w:val="es-CO"/>
        </w:rPr>
        <w:t>Buenas prácticas</w:t>
      </w:r>
      <w:bookmarkEnd w:id="49"/>
    </w:p>
    <w:p w14:paraId="22C16B28" w14:textId="79B6D38D" w:rsidR="00717364" w:rsidRPr="00206C32" w:rsidRDefault="00717364" w:rsidP="00206C32">
      <w:pPr>
        <w:pStyle w:val="Prrafodelista"/>
        <w:numPr>
          <w:ilvl w:val="0"/>
          <w:numId w:val="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Para crear el nuevo sistema integral de </w:t>
      </w:r>
      <w:r w:rsidR="00236DCE" w:rsidRPr="001F7FF3">
        <w:rPr>
          <w:rFonts w:ascii="Century Gothic" w:eastAsia="Century Gothic" w:hAnsi="Century Gothic" w:cs="Century Gothic"/>
          <w:sz w:val="20"/>
          <w:szCs w:val="20"/>
          <w:lang w:val="es-CO"/>
        </w:rPr>
        <w:t>para la paz</w:t>
      </w:r>
      <w:r w:rsidRPr="001F7FF3">
        <w:rPr>
          <w:rFonts w:ascii="Century Gothic" w:eastAsia="Century Gothic" w:hAnsi="Century Gothic" w:cs="Century Gothic"/>
          <w:sz w:val="20"/>
          <w:szCs w:val="20"/>
          <w:lang w:val="es-CO"/>
        </w:rPr>
        <w:t xml:space="preserve"> desde cero y no generar dependencia, el PNUD adoptó una especie de estrategia de liderazgo situacional temporal no protagónico. Esto permitió que creara nuevas instituciones estatales, equiparlas, empoderarlas y asegurar su accionar autónoma e independiente sin correr el riesgo de generar dependencia financiera o técnica en la cooperación internacional a mediano y largo plazo.  Para cumplir a cabalidad con ese propósito, jugó un papel de bajo perfil catalizador que facilitó, incluso, la transferencia de algunos de sus recursos humanos más calificados a las nuevas entidades con tal de que fortaleciera su propio conocimiento y capacidad de liderazgo. De esa forma, el PNUD dejó que el equipo del Portafolio se debilitara para lograr que las nuevas entidades se empoderaran y se fortalecieran. Al mismo tiempo, mostró total apertura y flexibilidad ante las tres entidades creadas para que ellas mismas definieran sus necesidades más apremiantes. Al adoptar esta postura flexible y poco protagónica, el PNUD aseguró que fuese el Sistema que asumiera, desde el primer momento, el liderazgo real de la creación y puesta en marcha de las políticas de justicia transicional en el país. </w:t>
      </w:r>
    </w:p>
    <w:p w14:paraId="71389E44" w14:textId="209D2EFE" w:rsidR="00717364" w:rsidRPr="001F7FF3" w:rsidRDefault="00717364" w:rsidP="009D291F">
      <w:pPr>
        <w:pStyle w:val="Prrafodelista"/>
        <w:numPr>
          <w:ilvl w:val="0"/>
          <w:numId w:val="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La decisión de los donantes de escoger al PNUD – con su fuerte apuesta para fortalecer a las organizaciones de víctimas – como agencia responsable para el </w:t>
      </w:r>
      <w:r w:rsidR="00FF019B">
        <w:rPr>
          <w:rFonts w:ascii="Century Gothic" w:eastAsia="Century Gothic" w:hAnsi="Century Gothic" w:cs="Century Gothic"/>
          <w:sz w:val="20"/>
          <w:szCs w:val="20"/>
          <w:lang w:val="es-CO"/>
        </w:rPr>
        <w:lastRenderedPageBreak/>
        <w:t xml:space="preserve">acompañar el montaje, </w:t>
      </w:r>
      <w:r w:rsidRPr="001F7FF3">
        <w:rPr>
          <w:rFonts w:ascii="Century Gothic" w:eastAsia="Century Gothic" w:hAnsi="Century Gothic" w:cs="Century Gothic"/>
          <w:sz w:val="20"/>
          <w:szCs w:val="20"/>
          <w:lang w:val="es-CO"/>
        </w:rPr>
        <w:t>alistamiento</w:t>
      </w:r>
      <w:r w:rsidR="00FF019B">
        <w:rPr>
          <w:rFonts w:ascii="Century Gothic" w:eastAsia="Century Gothic" w:hAnsi="Century Gothic" w:cs="Century Gothic"/>
          <w:sz w:val="20"/>
          <w:szCs w:val="20"/>
          <w:lang w:val="es-CO"/>
        </w:rPr>
        <w:t xml:space="preserve"> y arranque</w:t>
      </w:r>
      <w:r w:rsidRPr="001F7FF3">
        <w:rPr>
          <w:rFonts w:ascii="Century Gothic" w:eastAsia="Century Gothic" w:hAnsi="Century Gothic" w:cs="Century Gothic"/>
          <w:sz w:val="20"/>
          <w:szCs w:val="20"/>
          <w:lang w:val="es-CO"/>
        </w:rPr>
        <w:t xml:space="preserve"> del Sistema en Colombia fue muy estratégica y acertada. El gran compromiso del PNUD con el fortalecimiento de las redes de víctimas, su presencia territorial, y la gran confianza construida previamente con ellas, sentaron las bases para el abordaje centrado en las víctimas que ha sido tan exitoso para la ejecución del Portafolio. Desde el inicio, ha sabido volver operativo el espíritu participativo del Punto 5 del acuerdo al ubicar a las víctimas en el centro de todas sus acciones. De esa manera, aseguró su participación efectiva e influyente desde el inicio, creando las bases para que las entidades arrancaran con la buena voluntad y colaboración constructiva de las víctimas como algo ya contado. Para lograr avances significativos era muy importante tener en cuenta el trabajo previo que las organizaciones de la sociedad civil han realizado en regiones como el Magdalena Medio Caldense. Gracias a ese reconocimiento por parte de la UBPD por ejemplo, se lograron los impactos alcanzados en el proyecto. La generación de espacios de articulación y coordinación entre la UBPD y la OSC (EQUITAS, FUNDECOS y CEDAT) permitieron generar confianza entre las víctimas y la Unidad, lo que facilitó la participación de las víctimas en los procesos de búsqueda iniciados por esta Entidad en la región.  </w:t>
      </w:r>
    </w:p>
    <w:p w14:paraId="6D61DF71" w14:textId="0C82C50E" w:rsidR="0014429A" w:rsidRPr="00C62816" w:rsidRDefault="00717364" w:rsidP="009D291F">
      <w:pPr>
        <w:pStyle w:val="Prrafodelista"/>
        <w:numPr>
          <w:ilvl w:val="0"/>
          <w:numId w:val="7"/>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Gracias al Portafolio, por primera vez una comisión de la verdad pudo contar las historias de desplazamiento forzado y transfronterizo de las víctimas viviendo en el exilio, hasta ahora una violación de DDHH que ha sido invisible en el país. Esto ha sido importante para visibilizar una población víctima olvidada, determinar las causas de su exilio, y caracterizar las problemáticas que enfrenta para integrarse en el país receptor y/o retornar a su país de origen. Esto se logró gracias al trabajo del PNUD con organizaciones de víctimas que pudieron articularse con víctimas en el exterior a través de un sistema de 34 nodos, o círculos de confianza, en América Latina, EEUU y Europa. Estos nodos de relaciones personales facilitaron otros ejercicios claves tanto para la Comisión como para otras entidades del Sistema, incluyendo la formación de grupos internodal e intergeneracional. Esto enriqueció el proceso de la verdad al integrar, por ejemplo, las voces y perspectivas de jóvenes de segunda y tercera generación en exilio. Este despliegue hizo posible el levantamiento de 2100 testimonios, una cifra cuantitativa y cualitativamente representativa de las víctimas en el exterior y la elaboración de 25 informes de organizaciones fuera de Colombia. Gracias a este trabajo innovador, las voces de las víctimas en exilio también retornaran al país para ser escuchadas y reconocidas – una experiencia altamente replicable en futuros procesos de verdad.  </w:t>
      </w:r>
    </w:p>
    <w:p w14:paraId="4464328D" w14:textId="339E313B" w:rsidR="0014429A" w:rsidRPr="001F7FF3" w:rsidRDefault="00717364" w:rsidP="00CF2A93">
      <w:pPr>
        <w:pStyle w:val="Ttulo1"/>
        <w:numPr>
          <w:ilvl w:val="0"/>
          <w:numId w:val="2"/>
        </w:numPr>
        <w:rPr>
          <w:rFonts w:eastAsia="Century Gothic"/>
          <w:lang w:val="es-CO"/>
        </w:rPr>
      </w:pPr>
      <w:bookmarkStart w:id="50" w:name="_Toc117261404"/>
      <w:r w:rsidRPr="001F7FF3">
        <w:rPr>
          <w:rFonts w:eastAsia="Century Gothic"/>
          <w:lang w:val="es-CO"/>
        </w:rPr>
        <w:t>Lecciones Aprendidas</w:t>
      </w:r>
      <w:bookmarkEnd w:id="50"/>
    </w:p>
    <w:p w14:paraId="653AF7CA" w14:textId="7E59B261" w:rsidR="00717364" w:rsidRPr="001F7FF3" w:rsidRDefault="00717364" w:rsidP="00A04B59">
      <w:pPr>
        <w:pStyle w:val="Prrafodelista"/>
        <w:numPr>
          <w:ilvl w:val="0"/>
          <w:numId w:val="19"/>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Las actividades de diferentes organizaciones sociales en el territorio, financiadas por el mismo Portafolio, se pueden encontrar o coordinar para mejorar la eficiencia de la ejecución de recursos y trabajo con los beneficiarios finales. Un ejemplo </w:t>
      </w:r>
      <w:r w:rsidR="00A04B59" w:rsidRPr="001F7FF3">
        <w:rPr>
          <w:rFonts w:ascii="Century Gothic" w:eastAsia="Century Gothic" w:hAnsi="Century Gothic" w:cs="Century Gothic"/>
          <w:sz w:val="20"/>
          <w:szCs w:val="20"/>
          <w:lang w:val="es-CO"/>
        </w:rPr>
        <w:t>traído</w:t>
      </w:r>
      <w:r w:rsidRPr="001F7FF3">
        <w:rPr>
          <w:rFonts w:ascii="Century Gothic" w:eastAsia="Century Gothic" w:hAnsi="Century Gothic" w:cs="Century Gothic"/>
          <w:sz w:val="20"/>
          <w:szCs w:val="20"/>
          <w:lang w:val="es-CO"/>
        </w:rPr>
        <w:t xml:space="preserve"> por las Organizaciones de la Sociedad Civil entrevistadas fue la acción conjunta de entidades en Bojayá: “Una lección aprendida fue la forma de implementación de proyecto en Bojayá, donde se trabajó articuladamente con las OSC y la comunidad, Estado, y cooperación”. Además, el trabajo en territorio debe ser estructurado desde las mismas comunidades articulando diferentes instancias institucionales según sus necesidades.  Así </w:t>
      </w:r>
      <w:r w:rsidR="00A04B59" w:rsidRPr="001F7FF3">
        <w:rPr>
          <w:rFonts w:ascii="Century Gothic" w:eastAsia="Century Gothic" w:hAnsi="Century Gothic" w:cs="Century Gothic"/>
          <w:sz w:val="20"/>
          <w:szCs w:val="20"/>
          <w:lang w:val="es-CO"/>
        </w:rPr>
        <w:t>también</w:t>
      </w:r>
      <w:r w:rsidRPr="001F7FF3">
        <w:rPr>
          <w:rFonts w:ascii="Century Gothic" w:eastAsia="Century Gothic" w:hAnsi="Century Gothic" w:cs="Century Gothic"/>
          <w:sz w:val="20"/>
          <w:szCs w:val="20"/>
          <w:lang w:val="es-CO"/>
        </w:rPr>
        <w:t xml:space="preserve"> lo indica el equipo técnico del PNUD: “el trabajo de intervención territorial dio cuenta de la multiplicidad de factores que convergen en el territorio, especialmente en el trabajo con comunidades étnicas, el ejercicio de las actividades debe estar enmarcado en el respeto de la cosmovisión, costumbres y tradiciones y se requiere de una metodología altamente estructurada para articular dichas variables con las dinámicas institucionales tanto locales como nacionales”. </w:t>
      </w:r>
    </w:p>
    <w:p w14:paraId="14EB6E1F" w14:textId="77777777" w:rsidR="00717364" w:rsidRPr="001F7FF3" w:rsidRDefault="00717364" w:rsidP="00191AF2">
      <w:pPr>
        <w:rPr>
          <w:rFonts w:ascii="Century Gothic" w:hAnsi="Century Gothic"/>
          <w:sz w:val="20"/>
          <w:szCs w:val="20"/>
          <w:lang w:eastAsia="en-US"/>
        </w:rPr>
      </w:pPr>
    </w:p>
    <w:p w14:paraId="53926EF3" w14:textId="450BAD2E" w:rsidR="00717364" w:rsidRPr="00C62816" w:rsidRDefault="00717364" w:rsidP="009D291F">
      <w:pPr>
        <w:pStyle w:val="Ttulo1"/>
        <w:numPr>
          <w:ilvl w:val="0"/>
          <w:numId w:val="2"/>
        </w:numPr>
        <w:rPr>
          <w:rFonts w:eastAsia="Times New Roman"/>
          <w:lang w:val="es-CO" w:eastAsia="es-MX"/>
        </w:rPr>
      </w:pPr>
      <w:bookmarkStart w:id="51" w:name="_Toc117261405"/>
      <w:r w:rsidRPr="001F7FF3">
        <w:rPr>
          <w:rFonts w:eastAsia="Times New Roman"/>
          <w:lang w:val="es-CO" w:eastAsia="es-MX"/>
        </w:rPr>
        <w:t>Conclusiones</w:t>
      </w:r>
      <w:bookmarkEnd w:id="51"/>
    </w:p>
    <w:p w14:paraId="33B74EA6" w14:textId="3B591852" w:rsidR="00717364" w:rsidRPr="001F7FF3" w:rsidRDefault="00717364" w:rsidP="009D291F">
      <w:pPr>
        <w:pStyle w:val="Prrafodelista"/>
        <w:numPr>
          <w:ilvl w:val="0"/>
          <w:numId w:val="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En términos generales, se pudo constatar a lo largo de esta evaluación que PJT ha avanzado de manera significativa en su objetivo general de preparar a la institucionalidad y la sociedad colombiana para la efectiva implementación de los cambios necesarios para superar las causas estructurales del conflicto y resarcir los derechos de las </w:t>
      </w:r>
      <w:r w:rsidR="00A04B59" w:rsidRPr="001F7FF3">
        <w:rPr>
          <w:rFonts w:ascii="Century Gothic" w:eastAsia="Century Gothic" w:hAnsi="Century Gothic" w:cs="Century Gothic"/>
          <w:sz w:val="20"/>
          <w:szCs w:val="20"/>
          <w:lang w:val="es-CO"/>
        </w:rPr>
        <w:t>víctimas</w:t>
      </w:r>
      <w:r w:rsidRPr="001F7FF3">
        <w:rPr>
          <w:rFonts w:ascii="Century Gothic" w:eastAsia="Century Gothic" w:hAnsi="Century Gothic" w:cs="Century Gothic"/>
          <w:sz w:val="20"/>
          <w:szCs w:val="20"/>
          <w:lang w:val="es-CO"/>
        </w:rPr>
        <w:t xml:space="preserve">.  Los dos resultados de alto nivel planteados en el Prodoc – fortalecer las entidades del Sistema y empoderar a las </w:t>
      </w:r>
      <w:r w:rsidR="00A04B59" w:rsidRPr="001F7FF3">
        <w:rPr>
          <w:rFonts w:ascii="Century Gothic" w:eastAsia="Century Gothic" w:hAnsi="Century Gothic" w:cs="Century Gothic"/>
          <w:sz w:val="20"/>
          <w:szCs w:val="20"/>
          <w:lang w:val="es-CO"/>
        </w:rPr>
        <w:t>víctimas</w:t>
      </w:r>
      <w:r w:rsidRPr="001F7FF3">
        <w:rPr>
          <w:rFonts w:ascii="Century Gothic" w:eastAsia="Century Gothic" w:hAnsi="Century Gothic" w:cs="Century Gothic"/>
          <w:sz w:val="20"/>
          <w:szCs w:val="20"/>
          <w:lang w:val="es-CO"/>
        </w:rPr>
        <w:t xml:space="preserve"> para participar de manera incidente en ellas – se han logrado, ya que el PJT trabajó a ambos lados de la ecuación oferta-demanda del nuevo Sistema </w:t>
      </w:r>
      <w:r w:rsidR="00236DCE" w:rsidRPr="001F7FF3">
        <w:rPr>
          <w:rFonts w:ascii="Century Gothic" w:eastAsia="Century Gothic" w:hAnsi="Century Gothic" w:cs="Century Gothic"/>
          <w:sz w:val="20"/>
          <w:szCs w:val="20"/>
          <w:lang w:val="es-CO"/>
        </w:rPr>
        <w:t>integral para la paz</w:t>
      </w:r>
      <w:r w:rsidRPr="001F7FF3">
        <w:rPr>
          <w:rFonts w:ascii="Century Gothic" w:eastAsia="Century Gothic" w:hAnsi="Century Gothic" w:cs="Century Gothic"/>
          <w:sz w:val="20"/>
          <w:szCs w:val="20"/>
          <w:lang w:val="es-CO"/>
        </w:rPr>
        <w:t xml:space="preserve"> de manera equilibrada. Los dos grupos de actores que componen el Sistema - instituciones del Sistema y organizaciones de víctimas - fueron acompañadas y fortalecidas por el programa para que se volvieran adecuadas para el propósito a la hora de implementar las nuevas políticas públicas de justicia transicional. </w:t>
      </w:r>
    </w:p>
    <w:p w14:paraId="1A50FF23" w14:textId="77777777" w:rsidR="00717364" w:rsidRPr="001F7FF3" w:rsidRDefault="00717364" w:rsidP="009D291F">
      <w:pPr>
        <w:rPr>
          <w:rFonts w:ascii="Century Gothic" w:eastAsia="Century Gothic" w:hAnsi="Century Gothic" w:cs="Century Gothic"/>
          <w:sz w:val="20"/>
          <w:szCs w:val="20"/>
        </w:rPr>
      </w:pPr>
    </w:p>
    <w:p w14:paraId="3058AA79" w14:textId="77777777" w:rsidR="00717364" w:rsidRPr="001F7FF3" w:rsidRDefault="00717364" w:rsidP="009D291F">
      <w:pPr>
        <w:pStyle w:val="Prrafodelista"/>
        <w:numPr>
          <w:ilvl w:val="0"/>
          <w:numId w:val="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Sin ese fortalecimiento, el nuevo sistema hubiera fracasado con graves consecuencias por la credibilidad del proceso de paz y la confianza de las víctimas en el Estado. El PJT no solamente ha llenado un vacío institucional al apoyar la creación y puesta en funcionamiento de las tres entidades del nuevo sistema; también ha servido como puente entre ellas y las organizaciones de víctimas para que pudieran responder adecuadamente a sus necesidades – hito fundamental para consolidar la paz en los territorios. Igualmente importante, el PNUD realizó esta labor empleando una especie de liderazgo situacional de bajo perfil que aseguró el empoderamiento y autonomía de las nuevas entidades creadas. </w:t>
      </w:r>
    </w:p>
    <w:p w14:paraId="5490A5BE" w14:textId="77777777" w:rsidR="00717364" w:rsidRPr="001F7FF3" w:rsidRDefault="00717364" w:rsidP="009D291F">
      <w:pPr>
        <w:pStyle w:val="Prrafodelista"/>
        <w:rPr>
          <w:rFonts w:ascii="Century Gothic" w:eastAsia="Century Gothic" w:hAnsi="Century Gothic" w:cs="Century Gothic"/>
          <w:sz w:val="20"/>
          <w:szCs w:val="20"/>
          <w:lang w:val="es-CO"/>
        </w:rPr>
      </w:pPr>
    </w:p>
    <w:p w14:paraId="4C33564B" w14:textId="0BCB65F1" w:rsidR="00717364" w:rsidRPr="001F7FF3" w:rsidRDefault="00717364" w:rsidP="009D291F">
      <w:pPr>
        <w:pStyle w:val="Prrafodelista"/>
        <w:numPr>
          <w:ilvl w:val="0"/>
          <w:numId w:val="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De manera simultánea, el PNUD fortaleció a las organizaciones sociales para que las víctimas participaran en el diseño y formación del Sistema </w:t>
      </w:r>
      <w:r w:rsidR="00236DCE" w:rsidRPr="001F7FF3">
        <w:rPr>
          <w:rFonts w:ascii="Century Gothic" w:eastAsia="Century Gothic" w:hAnsi="Century Gothic" w:cs="Century Gothic"/>
          <w:sz w:val="20"/>
          <w:szCs w:val="20"/>
          <w:lang w:val="es-CO"/>
        </w:rPr>
        <w:t>Integral para la Paz</w:t>
      </w:r>
      <w:r w:rsidRPr="001F7FF3">
        <w:rPr>
          <w:rFonts w:ascii="Century Gothic" w:eastAsia="Century Gothic" w:hAnsi="Century Gothic" w:cs="Century Gothic"/>
          <w:sz w:val="20"/>
          <w:szCs w:val="20"/>
          <w:lang w:val="es-CO"/>
        </w:rPr>
        <w:t xml:space="preserve"> y que éste satisficiera sus necesidades. Luego, una vez en funcionamiento, las preparó para que pudieran aprovechar los distintos mecanismos de acceso a la justicia transicional que las entidades del Sistema ofrecen. A pesar de la falta de credibilidad en el Estado colombiano por parte de las víctimas, se puede constatar que hay más confianza en las entidades que hacen parte del Sistema de </w:t>
      </w:r>
      <w:r w:rsidR="00236DCE" w:rsidRPr="001F7FF3">
        <w:rPr>
          <w:rFonts w:ascii="Century Gothic" w:eastAsia="Century Gothic" w:hAnsi="Century Gothic" w:cs="Century Gothic"/>
          <w:sz w:val="20"/>
          <w:szCs w:val="20"/>
          <w:lang w:val="es-CO"/>
        </w:rPr>
        <w:t>Integral para la Paz</w:t>
      </w:r>
      <w:r w:rsidRPr="001F7FF3">
        <w:rPr>
          <w:rFonts w:ascii="Century Gothic" w:eastAsia="Century Gothic" w:hAnsi="Century Gothic" w:cs="Century Gothic"/>
          <w:sz w:val="20"/>
          <w:szCs w:val="20"/>
          <w:lang w:val="es-CO"/>
        </w:rPr>
        <w:t xml:space="preserve"> gracias al trabajo previo del PNUD con Organizaciones de la Sociedad Civil y su experiencia en el territorio. </w:t>
      </w:r>
    </w:p>
    <w:p w14:paraId="68826724" w14:textId="77777777" w:rsidR="00717364" w:rsidRPr="001F7FF3" w:rsidRDefault="00717364" w:rsidP="009D291F">
      <w:pPr>
        <w:pStyle w:val="Prrafodelista"/>
        <w:rPr>
          <w:rFonts w:ascii="Century Gothic" w:eastAsia="Century Gothic" w:hAnsi="Century Gothic" w:cs="Century Gothic"/>
          <w:sz w:val="20"/>
          <w:szCs w:val="20"/>
          <w:lang w:val="es-CO"/>
        </w:rPr>
      </w:pPr>
    </w:p>
    <w:p w14:paraId="6DBBBF7E" w14:textId="77777777" w:rsidR="00717364" w:rsidRPr="001F7FF3" w:rsidRDefault="00717364" w:rsidP="009D291F">
      <w:pPr>
        <w:pStyle w:val="Prrafodelista"/>
        <w:numPr>
          <w:ilvl w:val="0"/>
          <w:numId w:val="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El PJT ha demostrado que su operación y manera de trabajar a nivel de los proyectos es relativamente eficiente. Sin embargo, se requiere fortalecer algunos procesos y flexibilizar otros de manera que sean apropiados para los territorios donde viven las víctimas y operan sus Organizaciones. Es de destacar la coordinación y la relación cercana de trabaja entre el equipo técnico del PNUD con las OSC y con las Entidades del Sistema. </w:t>
      </w:r>
    </w:p>
    <w:p w14:paraId="56AE48CC" w14:textId="77777777" w:rsidR="00717364" w:rsidRPr="001F7FF3" w:rsidRDefault="00717364" w:rsidP="009D291F">
      <w:pPr>
        <w:pStyle w:val="Prrafodelista"/>
        <w:rPr>
          <w:rFonts w:ascii="Century Gothic" w:eastAsia="Century Gothic" w:hAnsi="Century Gothic" w:cs="Century Gothic"/>
          <w:sz w:val="20"/>
          <w:szCs w:val="20"/>
          <w:lang w:val="es-CO"/>
        </w:rPr>
      </w:pPr>
    </w:p>
    <w:p w14:paraId="772B960B" w14:textId="77777777" w:rsidR="00717364" w:rsidRPr="001F7FF3" w:rsidRDefault="00717364" w:rsidP="009D291F">
      <w:pPr>
        <w:pStyle w:val="Prrafodelista"/>
        <w:numPr>
          <w:ilvl w:val="0"/>
          <w:numId w:val="4"/>
        </w:numPr>
        <w:rPr>
          <w:rFonts w:ascii="Century Gothic" w:eastAsia="Century Gothic" w:hAnsi="Century Gothic" w:cs="Century Gothic"/>
          <w:sz w:val="20"/>
          <w:szCs w:val="20"/>
          <w:lang w:val="es-CO"/>
        </w:rPr>
      </w:pPr>
      <w:r w:rsidRPr="001F7FF3">
        <w:rPr>
          <w:rFonts w:ascii="Century Gothic" w:eastAsia="Century Gothic" w:hAnsi="Century Gothic" w:cs="Century Gothic"/>
          <w:sz w:val="20"/>
          <w:szCs w:val="20"/>
          <w:lang w:val="es-CO"/>
        </w:rPr>
        <w:t xml:space="preserve">Se pudo evidenciar que no hay una visión compartida del rol del PNUD ni el valor agregado del Portafolio al igual que con los socios y las víctimas. Esto se debe a la falta de un espacio de alto nivel donde pueden compartir y analizar información sobre el conjunto del Portafolio de índole más estratégica como ocurrió en el Fondo que precedió el PJT. Es indispensable que PNUD invierta en más esfuerzos en sus comunicaciones o relaciones públicas con sus socios estratégicos mostrando su valor agregado evidenciando el trabajo que realiza. </w:t>
      </w:r>
    </w:p>
    <w:p w14:paraId="5E281F54"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4446B2C1" w14:textId="77777777" w:rsidR="00717364" w:rsidRPr="001F7FF3" w:rsidRDefault="00717364" w:rsidP="009D291F">
      <w:pPr>
        <w:numPr>
          <w:ilvl w:val="0"/>
          <w:numId w:val="4"/>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sz w:val="20"/>
          <w:szCs w:val="20"/>
          <w:lang w:eastAsia="de-DE"/>
        </w:rPr>
        <w:lastRenderedPageBreak/>
        <w:t xml:space="preserve">En cuanto al criterio de los enfoques transversales en los proyectos que hacen parte del PJT, se puede concluir que la inclusión del enfoque de género (mujeres), étnico y DDHH hace parte integral e importante de las acciones. No obstante, todavía hay un déficit de inversión económica en el monitoreo y evaluación de impacto y de gestión de conocimiento para asegurar la calidad de las estrategias e incorporar diferentes grupos poblacionales como la población LGTBI+ y con condición de discapacidad, entre otros. Por otra parte, se deben mejorar las estrategias de salida que implica evitar las acciones con daño colateral y mejorar la sostenibilidad de las acciones. Además, estas acciones deben tener un seguimiento, monitoreo y evaluación por parte del PJT como estrategia integral y no solo de las acciones que se ejecuten en cada proyecto. Para esto se requiere profesionales técnicos y un presupuesto específico. </w:t>
      </w:r>
    </w:p>
    <w:p w14:paraId="67447CC3" w14:textId="77777777" w:rsidR="00717364" w:rsidRPr="001F7FF3" w:rsidRDefault="00717364" w:rsidP="009D291F">
      <w:pPr>
        <w:rPr>
          <w:rFonts w:ascii="Century Gothic" w:eastAsia="Times New Roman" w:hAnsi="Century Gothic" w:cs="Times New Roman"/>
          <w:b/>
          <w:bCs/>
          <w:sz w:val="20"/>
          <w:szCs w:val="20"/>
          <w:lang w:eastAsia="es-MX"/>
        </w:rPr>
      </w:pPr>
    </w:p>
    <w:p w14:paraId="654C52C1" w14:textId="4018458D" w:rsidR="00717364" w:rsidRPr="00AE033D" w:rsidRDefault="00717364" w:rsidP="009D291F">
      <w:pPr>
        <w:pStyle w:val="Ttulo1"/>
        <w:numPr>
          <w:ilvl w:val="0"/>
          <w:numId w:val="2"/>
        </w:numPr>
        <w:rPr>
          <w:rFonts w:eastAsia="Times New Roman"/>
          <w:lang w:val="es-CO" w:eastAsia="es-MX"/>
        </w:rPr>
      </w:pPr>
      <w:bookmarkStart w:id="52" w:name="_Toc117261406"/>
      <w:r w:rsidRPr="001F7FF3">
        <w:rPr>
          <w:rFonts w:eastAsia="Times New Roman"/>
          <w:lang w:val="es-CO" w:eastAsia="es-MX"/>
        </w:rPr>
        <w:t>Recomendaciones</w:t>
      </w:r>
      <w:bookmarkEnd w:id="52"/>
    </w:p>
    <w:p w14:paraId="3C0F9E0A" w14:textId="77777777" w:rsidR="00717364" w:rsidRPr="001F7FF3" w:rsidRDefault="00717364" w:rsidP="009D291F">
      <w:pPr>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t xml:space="preserve">Para PNUD – GERENCIA DEL PORTAFOLIO DE JUSTICIA TRANSICIONAL </w:t>
      </w:r>
    </w:p>
    <w:p w14:paraId="3E2EBD00" w14:textId="77777777" w:rsidR="00717364" w:rsidRPr="001F7FF3" w:rsidRDefault="00717364" w:rsidP="009D291F">
      <w:pPr>
        <w:rPr>
          <w:rFonts w:ascii="Century Gothic" w:eastAsia="Times New Roman" w:hAnsi="Century Gothic" w:cs="Times New Roman"/>
          <w:b/>
          <w:bCs/>
          <w:sz w:val="20"/>
          <w:szCs w:val="20"/>
          <w:lang w:eastAsia="es-MX"/>
        </w:rPr>
      </w:pPr>
    </w:p>
    <w:p w14:paraId="22157AE6"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Asistir al Gobierno Nacional para fortalecer la dirección de justicia transicional del Ministerio de Justicia para que juegue el rol de articulador e impulsor del Sistema</w:t>
      </w:r>
      <w:r w:rsidRPr="001F7FF3">
        <w:rPr>
          <w:rFonts w:ascii="Century Gothic" w:eastAsia="Century Gothic" w:hAnsi="Century Gothic" w:cs="Century Gothic"/>
          <w:sz w:val="20"/>
          <w:szCs w:val="20"/>
          <w:lang w:eastAsia="de-DE"/>
        </w:rPr>
        <w:t>.  Debería contar con una unidad de participación ciudadana o enlace con otros actores como OSC con un énfasis en población diversa y otros enfoques transversales. El PNUD ha jugado un rol muy relevante para impulsar el funcionamiento del Sistema y vincularlo con la sociedad civil. Es necesario que este papel de articulación interinstitucional para el Sistema lo empiece a asumir el Estado como principal responsable y eje central de una estrategia de salida y sostenibilidad del programa.</w:t>
      </w:r>
    </w:p>
    <w:p w14:paraId="2D18917D"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22922A46"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Elevar las acciones de construcción de confianza a una estrategia clave y explícita del Portafolio</w:t>
      </w:r>
      <w:r w:rsidRPr="001F7FF3">
        <w:rPr>
          <w:rFonts w:ascii="Century Gothic" w:eastAsia="Century Gothic" w:hAnsi="Century Gothic" w:cs="Century Gothic"/>
          <w:sz w:val="20"/>
          <w:szCs w:val="20"/>
          <w:lang w:eastAsia="de-DE"/>
        </w:rPr>
        <w:t>. Para impulsar esto se necesita realizar internamente un estudio de gestión de conocimiento y de calidad para entender las buenas prácticas/lecciones aprendidas, construir una línea de base e identificar indicadores de construcción de confianza de las víctimas y sus organizaciones hacia las instituciones del Estado. Estos resultados deben ser integrados a un sistema de monitoreo y evaluación del Portafolio que fortalezca sus acciones.</w:t>
      </w:r>
    </w:p>
    <w:p w14:paraId="5C6C8C4E"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4B4F741C" w14:textId="7171E06F"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Consolidar la participación ciudadana como un pilar fundamental del Sistema </w:t>
      </w:r>
      <w:r w:rsidR="00236DCE" w:rsidRPr="001F7FF3">
        <w:rPr>
          <w:rFonts w:ascii="Century Gothic" w:eastAsia="Century Gothic" w:hAnsi="Century Gothic" w:cs="Century Gothic"/>
          <w:b/>
          <w:bCs/>
          <w:sz w:val="20"/>
          <w:szCs w:val="20"/>
          <w:lang w:eastAsia="de-DE"/>
        </w:rPr>
        <w:t>Integral para la Paz</w:t>
      </w:r>
      <w:r w:rsidRPr="001F7FF3">
        <w:rPr>
          <w:rFonts w:ascii="Century Gothic" w:eastAsia="Century Gothic" w:hAnsi="Century Gothic" w:cs="Century Gothic"/>
          <w:b/>
          <w:bCs/>
          <w:sz w:val="20"/>
          <w:szCs w:val="20"/>
          <w:lang w:eastAsia="de-DE"/>
        </w:rPr>
        <w:t xml:space="preserve"> en los territorios</w:t>
      </w:r>
      <w:r w:rsidRPr="001F7FF3">
        <w:rPr>
          <w:rFonts w:ascii="Century Gothic" w:eastAsia="Century Gothic" w:hAnsi="Century Gothic" w:cs="Century Gothic"/>
          <w:sz w:val="20"/>
          <w:szCs w:val="20"/>
          <w:lang w:eastAsia="de-DE"/>
        </w:rPr>
        <w:t>. Se requiere mayor articulación del Sistema en los territorios. Un plan de descentralización con las víctimas, OSC y autoridades locales es prioritario, similar a la implementación de las políticas públicas de retornos y reparaciones de víctimas entre el SNARIV y las autoridades locales. Es importante continuar con el fortalecimiento de las organizaciones sociales para que den seguimiento al desempeño del Sistema en el nivel regional como sus principales socios en los territorios. Estas acciones deberían ser coordinadas por la Dirección de Justicia Transicional del Ministerio de Justicia y con el acompañamiento transitorio del PNUD.</w:t>
      </w:r>
    </w:p>
    <w:p w14:paraId="422645F7"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p w14:paraId="5156EEDE"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Promover la coordinación de los proyectos entre las OSC y entidades especialmente en la ejecución de actividades en el territorio</w:t>
      </w:r>
      <w:r w:rsidRPr="001F7FF3">
        <w:rPr>
          <w:rFonts w:ascii="Century Gothic" w:eastAsia="Century Gothic" w:hAnsi="Century Gothic" w:cs="Century Gothic"/>
          <w:sz w:val="20"/>
          <w:szCs w:val="20"/>
          <w:lang w:eastAsia="de-DE"/>
        </w:rPr>
        <w:t xml:space="preserve">. </w:t>
      </w:r>
      <w:bookmarkStart w:id="53" w:name="_Hlk104215178"/>
      <w:r w:rsidRPr="001F7FF3">
        <w:rPr>
          <w:rFonts w:ascii="Century Gothic" w:eastAsia="Century Gothic" w:hAnsi="Century Gothic" w:cs="Century Gothic"/>
          <w:sz w:val="20"/>
          <w:szCs w:val="20"/>
          <w:lang w:eastAsia="de-DE"/>
        </w:rPr>
        <w:t xml:space="preserve">Las actividades de las organizaciones sociales financiadas por el Portafolio en los territorios podrían ser coordinadas entre ellas para aprovechar sinergias y mejorar la eficiencia de la ejecución de recursos y trabajo con los beneficiarios finales. Además, la coordinación entre proyectos permite replicar lecciones aprendidas o buenas </w:t>
      </w:r>
      <w:r w:rsidRPr="001F7FF3">
        <w:rPr>
          <w:rFonts w:ascii="Century Gothic" w:eastAsia="Century Gothic" w:hAnsi="Century Gothic" w:cs="Century Gothic"/>
          <w:sz w:val="20"/>
          <w:szCs w:val="20"/>
          <w:lang w:eastAsia="de-DE"/>
        </w:rPr>
        <w:lastRenderedPageBreak/>
        <w:t xml:space="preserve">prácticas de las otras organizaciones y no duplicar procesos que desgastan a las comunidades y a sus lideres/as. </w:t>
      </w:r>
    </w:p>
    <w:p w14:paraId="0F16A832"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lang w:eastAsia="de-DE"/>
        </w:rPr>
      </w:pPr>
    </w:p>
    <w:bookmarkEnd w:id="53"/>
    <w:p w14:paraId="733F4F11"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Considerar la</w:t>
      </w:r>
      <w:r w:rsidRPr="001F7FF3">
        <w:rPr>
          <w:rFonts w:ascii="Century Gothic" w:eastAsia="Century Gothic" w:hAnsi="Century Gothic" w:cs="Century Gothic"/>
          <w:sz w:val="20"/>
          <w:szCs w:val="20"/>
          <w:lang w:eastAsia="de-DE"/>
        </w:rPr>
        <w:t xml:space="preserve"> </w:t>
      </w:r>
      <w:r w:rsidRPr="001F7FF3">
        <w:rPr>
          <w:rFonts w:ascii="Century Gothic" w:eastAsia="Century Gothic" w:hAnsi="Century Gothic" w:cs="Century Gothic"/>
          <w:b/>
          <w:bCs/>
          <w:sz w:val="20"/>
          <w:szCs w:val="20"/>
          <w:lang w:eastAsia="de-DE"/>
        </w:rPr>
        <w:t>inclusión de un capítulo de procedimientos simplificados en el manual del PNUD para territorios donde la situación es precaria administrativa y contablemente</w:t>
      </w:r>
      <w:r w:rsidRPr="001F7FF3">
        <w:rPr>
          <w:rFonts w:ascii="Century Gothic" w:eastAsia="Century Gothic" w:hAnsi="Century Gothic" w:cs="Century Gothic"/>
          <w:sz w:val="20"/>
          <w:szCs w:val="20"/>
          <w:lang w:eastAsia="de-DE"/>
        </w:rPr>
        <w:t xml:space="preserve">. Esto permitiría que la ejecución de las actividades tenga mayor flexibilidad en la rendición de cuentas sobre sus gastos y que se pueda contratar con personas que viven de la economía informal adaptándose así a la realidad de los territorios donde viven las víctimas. </w:t>
      </w:r>
    </w:p>
    <w:p w14:paraId="5EC93543" w14:textId="77777777" w:rsidR="00717364" w:rsidRPr="001F7FF3" w:rsidRDefault="00717364" w:rsidP="000D43BD">
      <w:pPr>
        <w:autoSpaceDE w:val="0"/>
        <w:autoSpaceDN w:val="0"/>
        <w:ind w:left="360" w:right="113"/>
        <w:contextualSpacing/>
        <w:jc w:val="both"/>
        <w:rPr>
          <w:rFonts w:ascii="Century Gothic" w:eastAsia="Century Gothic" w:hAnsi="Century Gothic" w:cs="Century Gothic"/>
          <w:sz w:val="20"/>
          <w:szCs w:val="20"/>
          <w:lang w:eastAsia="de-DE"/>
        </w:rPr>
      </w:pPr>
    </w:p>
    <w:p w14:paraId="680D2F5E" w14:textId="77777777" w:rsidR="00717364" w:rsidRPr="001F7FF3" w:rsidRDefault="00717364" w:rsidP="009D291F">
      <w:pPr>
        <w:numPr>
          <w:ilvl w:val="0"/>
          <w:numId w:val="6"/>
        </w:numPr>
        <w:autoSpaceDE w:val="0"/>
        <w:autoSpaceDN w:val="0"/>
        <w:ind w:right="113"/>
        <w:contextualSpacing/>
        <w:jc w:val="both"/>
        <w:rPr>
          <w:rFonts w:ascii="Century Gothic" w:eastAsia="Times New Roman" w:hAnsi="Century Gothic" w:cs="Arial"/>
          <w:sz w:val="20"/>
          <w:szCs w:val="20"/>
          <w:lang w:eastAsia="de-DE"/>
        </w:rPr>
      </w:pPr>
      <w:r w:rsidRPr="001F7FF3">
        <w:rPr>
          <w:rFonts w:ascii="Century Gothic" w:eastAsia="Times New Roman" w:hAnsi="Century Gothic" w:cs="Arial"/>
          <w:b/>
          <w:bCs/>
          <w:sz w:val="20"/>
          <w:szCs w:val="20"/>
          <w:lang w:eastAsia="de-DE"/>
        </w:rPr>
        <w:t xml:space="preserve">Los tomadores de decisiones del Portafolio deben apoyarse en los comités técnicos para tener una visión estratégica e integral del Portafolio. </w:t>
      </w:r>
      <w:r w:rsidRPr="001F7FF3">
        <w:rPr>
          <w:rFonts w:ascii="Century Gothic" w:eastAsia="Century Gothic" w:hAnsi="Century Gothic" w:cs="Century Gothic"/>
          <w:sz w:val="20"/>
          <w:szCs w:val="20"/>
          <w:lang w:eastAsia="de-DE"/>
        </w:rPr>
        <w:t xml:space="preserve">El Portafolio debería contar con un comité técnico de alto nivel como en el anterior Fondo de Justicia Transicional. Este espacio de deliberación sirve para los tomadores de decisiones poder analizar sobre la ejecución y pertinencia de los proyectos. El Comité debería contar con una participación flexible del equipo técnico del PNUD según los temas a discutir y las decisiones a tomar. Esto permitiría una discusión más informada, integral y estratégica entre la gerencia del PNUD y los donantes para la toma de decisiones y la asignación de recursos. Este espacio técnico senior ofrecería al PNUD un escenario idóneo para evidenciar su modus operandi y valor agregado en el acompañamiento técnico de los proyectos y sus socios ante los donantes.  </w:t>
      </w:r>
    </w:p>
    <w:p w14:paraId="5CDF15CB" w14:textId="77777777" w:rsidR="00717364" w:rsidRPr="001F7FF3" w:rsidRDefault="00717364" w:rsidP="009D291F">
      <w:pPr>
        <w:autoSpaceDE w:val="0"/>
        <w:autoSpaceDN w:val="0"/>
        <w:ind w:left="720" w:right="113"/>
        <w:contextualSpacing/>
        <w:jc w:val="both"/>
        <w:rPr>
          <w:rFonts w:ascii="Century Gothic" w:eastAsia="Times New Roman" w:hAnsi="Century Gothic" w:cs="Arial"/>
          <w:sz w:val="20"/>
          <w:szCs w:val="20"/>
          <w:lang w:eastAsia="de-DE"/>
        </w:rPr>
      </w:pPr>
    </w:p>
    <w:p w14:paraId="7553F51E"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rPr>
        <w:t xml:space="preserve">Evidenciar el valor agregado del PNUD en el portafolio ante los donantes. </w:t>
      </w:r>
      <w:r w:rsidRPr="001F7FF3">
        <w:rPr>
          <w:rFonts w:ascii="Century Gothic" w:eastAsia="Century Gothic" w:hAnsi="Century Gothic" w:cs="Century Gothic"/>
          <w:sz w:val="20"/>
          <w:szCs w:val="20"/>
        </w:rPr>
        <w:t xml:space="preserve">Hay una necesidad de demostrar a los donantes como el PNUD ha adoptado un rol de liderazgo situacional y temporal a través del portafolio para poder facilitar, catalizar y fortalecer el protagonismo y autonomía del Sistema. Esta comunicación se debe hacer de dos maneras: Primero, a través del fortalecimiento del comité técnico general del Portafolio (grupo de referencia) como plataforma de análisis, discusión y recomendación para la toma de decisiones del comité directivo (ver recomendación anterior). Al participar activamente en este espacio los donantes pueden tener una visión integral y global del portafolio y apreciar de cerca el rol de liderazgo no protagónico que el PNUD juega en él; segundo, el PNUD debería evidenciar su valor agregado a los donantes a través de los informes anuales. Esto implica ser mucho más explícito en sus comunicaciones (verbales y escritos), con ejemplos, sobre por qué ha adoptado un liderazgo situacional de bajo perfil y cuáles son sus ventajas e impactos. </w:t>
      </w:r>
    </w:p>
    <w:p w14:paraId="30EF8113"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sz w:val="20"/>
          <w:szCs w:val="20"/>
        </w:rPr>
      </w:pPr>
    </w:p>
    <w:p w14:paraId="6F37956F"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bookmarkStart w:id="54" w:name="_Hlk116968437"/>
      <w:r w:rsidRPr="001F7FF3">
        <w:rPr>
          <w:rFonts w:ascii="Century Gothic" w:eastAsia="Century Gothic" w:hAnsi="Century Gothic" w:cs="Century Gothic"/>
          <w:b/>
          <w:bCs/>
          <w:sz w:val="20"/>
          <w:szCs w:val="20"/>
          <w:lang w:eastAsia="de-DE"/>
        </w:rPr>
        <w:t>Adoptar un sistema de monitoreo de la confianza de las víctimas (por ejemplo, en el trabajo de las instituciones del Sistema) a través de la identificación y seguimiento de indicadores de impacto</w:t>
      </w:r>
      <w:r w:rsidRPr="001F7FF3">
        <w:rPr>
          <w:rFonts w:ascii="Century Gothic" w:eastAsia="Century Gothic" w:hAnsi="Century Gothic" w:cs="Century Gothic"/>
          <w:sz w:val="20"/>
          <w:szCs w:val="20"/>
          <w:lang w:eastAsia="de-DE"/>
        </w:rPr>
        <w:t xml:space="preserve">. </w:t>
      </w:r>
      <w:bookmarkEnd w:id="54"/>
      <w:r w:rsidRPr="001F7FF3">
        <w:rPr>
          <w:rFonts w:ascii="Century Gothic" w:eastAsia="Century Gothic" w:hAnsi="Century Gothic" w:cs="Century Gothic"/>
          <w:sz w:val="20"/>
          <w:szCs w:val="20"/>
          <w:lang w:eastAsia="de-DE"/>
        </w:rPr>
        <w:t xml:space="preserve">Para poder medir el avance en el tiempo, se debe crear una línea de base y medir los cambios de percepción de una muestra representativa del universo total de víctimas. La periodicidad de la medición debería coincidir con la programación de las evaluaciones del portafolio definida por su sistema de monitoreo y evaluación. </w:t>
      </w:r>
    </w:p>
    <w:p w14:paraId="426CB3DE" w14:textId="77777777" w:rsidR="00717364" w:rsidRPr="001F7FF3" w:rsidRDefault="00717364" w:rsidP="009D291F">
      <w:pPr>
        <w:rPr>
          <w:rFonts w:ascii="Century Gothic" w:eastAsia="Century Gothic" w:hAnsi="Century Gothic" w:cs="Century Gothic"/>
          <w:sz w:val="20"/>
          <w:szCs w:val="20"/>
        </w:rPr>
      </w:pPr>
    </w:p>
    <w:p w14:paraId="5F3D1EE4" w14:textId="77777777" w:rsidR="00717364" w:rsidRPr="001F7FF3" w:rsidRDefault="00717364" w:rsidP="009D291F">
      <w:pPr>
        <w:pStyle w:val="Prrafodelista"/>
        <w:numPr>
          <w:ilvl w:val="0"/>
          <w:numId w:val="6"/>
        </w:numPr>
        <w:rPr>
          <w:rFonts w:ascii="Century Gothic" w:eastAsia="Century Gothic" w:hAnsi="Century Gothic" w:cs="Century Gothic"/>
          <w:sz w:val="20"/>
          <w:szCs w:val="20"/>
          <w:lang w:val="es-CO" w:eastAsia="es-CO"/>
        </w:rPr>
      </w:pPr>
      <w:r w:rsidRPr="001F7FF3">
        <w:rPr>
          <w:rFonts w:ascii="Century Gothic" w:eastAsia="Century Gothic" w:hAnsi="Century Gothic" w:cs="Century Gothic"/>
          <w:b/>
          <w:bCs/>
          <w:sz w:val="20"/>
          <w:szCs w:val="20"/>
          <w:lang w:val="es-CO"/>
        </w:rPr>
        <w:t>Crear e implementar un sistema de monitoreo, evaluación y aprendizaje sobre el impacto de las acciones</w:t>
      </w:r>
      <w:r w:rsidRPr="001F7FF3">
        <w:rPr>
          <w:rFonts w:ascii="Century Gothic" w:eastAsia="Century Gothic" w:hAnsi="Century Gothic" w:cs="Century Gothic"/>
          <w:sz w:val="20"/>
          <w:szCs w:val="20"/>
          <w:lang w:val="es-CO"/>
        </w:rPr>
        <w:t xml:space="preserve">. Hay mucho que el equipo técnico existente podría hacer para avanzar en la construcción de un sistema orientado más a medir impactos y outcomes que aportes a efectos basados en la implementación de productos. Dado que el PJT ha sido tan exitoso en colocar a las víctimas en el centro de todo lo que hace, representa una oportunidad perdida no contar con las herramientas adecuadas para recoger y demostrar el impacto que genera en sus vidas más allá de evidencia anecdótica. Además, motivaría a los donantes a seguir aportando ya </w:t>
      </w:r>
      <w:r w:rsidRPr="001F7FF3">
        <w:rPr>
          <w:rFonts w:ascii="Century Gothic" w:eastAsia="Century Gothic" w:hAnsi="Century Gothic" w:cs="Century Gothic"/>
          <w:sz w:val="20"/>
          <w:szCs w:val="20"/>
          <w:lang w:val="es-CO"/>
        </w:rPr>
        <w:lastRenderedPageBreak/>
        <w:t xml:space="preserve">que tendrían más evidencia del costo-efectividad de sus inversiones en el Portafolio. También serviría como buen ejemplo para las entidades estatales que el PJT acompaña, ya que la cultura de las entidades estatales está también orientada a rendir cuentas sobre el gasto asociado con sus intervenciones y no tanto sobre el impacto de las acciones. Para realizar esta recomendación se podría contratar un experto que apoye en su diseño de manera que permita el seguimiento y la evaluación de manera acertada.  Además, </w:t>
      </w:r>
      <w:r w:rsidRPr="001F7FF3">
        <w:rPr>
          <w:rFonts w:ascii="Century Gothic" w:eastAsia="Century Gothic" w:hAnsi="Century Gothic" w:cs="Century Gothic"/>
          <w:sz w:val="20"/>
          <w:szCs w:val="20"/>
          <w:lang w:val="es-CO" w:eastAsia="es-CO"/>
        </w:rPr>
        <w:t xml:space="preserve">se recomienda tener un sistema desde el Portafolio de monitoreo, seguimiento y evaluación a las actividades de género. Es decir, que el seguimiento no se haga solamente desde los productos y ejecuciones de los proyectos, sino que se dispongan recursos humanos y financieros desde el PJT para hacer un seguimiento más amplio del impacto de los proyectos en la población objetivo.  </w:t>
      </w:r>
    </w:p>
    <w:p w14:paraId="46D70976" w14:textId="77777777" w:rsidR="00717364" w:rsidRPr="001F7FF3" w:rsidRDefault="00717364" w:rsidP="009D291F">
      <w:pPr>
        <w:rPr>
          <w:rFonts w:ascii="Century Gothic" w:eastAsia="Century Gothic" w:hAnsi="Century Gothic" w:cs="Century Gothic"/>
          <w:sz w:val="20"/>
          <w:szCs w:val="20"/>
        </w:rPr>
      </w:pPr>
    </w:p>
    <w:p w14:paraId="4292DEA4" w14:textId="77777777" w:rsidR="00717364" w:rsidRPr="001F7FF3" w:rsidRDefault="00717364" w:rsidP="009D291F">
      <w:pPr>
        <w:pStyle w:val="Prrafodelista"/>
        <w:numPr>
          <w:ilvl w:val="0"/>
          <w:numId w:val="6"/>
        </w:numPr>
        <w:rPr>
          <w:rFonts w:ascii="Century Gothic" w:eastAsia="Century Gothic" w:hAnsi="Century Gothic" w:cs="Century Gothic"/>
          <w:sz w:val="20"/>
          <w:szCs w:val="20"/>
          <w:lang w:val="es-CO"/>
        </w:rPr>
      </w:pPr>
      <w:r w:rsidRPr="001F7FF3">
        <w:rPr>
          <w:rFonts w:ascii="Century Gothic" w:eastAsia="Century Gothic" w:hAnsi="Century Gothic" w:cs="Century Gothic"/>
          <w:b/>
          <w:bCs/>
          <w:sz w:val="20"/>
          <w:szCs w:val="20"/>
          <w:lang w:val="es-CO"/>
        </w:rPr>
        <w:t>Gestionar un presupuesto propio para gestión de conocimiento y medición de impacto.</w:t>
      </w:r>
      <w:r w:rsidRPr="001F7FF3">
        <w:rPr>
          <w:rFonts w:ascii="Century Gothic" w:eastAsia="Century Gothic" w:hAnsi="Century Gothic" w:cs="Century Gothic"/>
          <w:sz w:val="20"/>
          <w:szCs w:val="20"/>
          <w:lang w:val="es-CO"/>
        </w:rPr>
        <w:t xml:space="preserve"> Para que las recomendaciones anteriores se vuelvan realidad, es necesario que el equipo técnico y de monitoreo y seguimiento de proyectos cuente con una estrategia de medición de impacto con sus propios recursos y tiempo de dedicación. Esta estrategia debería ser impulsada por el comité técnico mixto de alto nivel para fortalecer una nueva visión integral del Portafolio. Debería ser financiada con un porcentaje específico del total del fondo común en línea con las buenas prácticas del PNUD al respecto (ver recomendaciones anteriores sobre la gobernanza del Portafolio). </w:t>
      </w:r>
    </w:p>
    <w:p w14:paraId="17740D33"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5A2B2C47"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El Portafolio y sus socios deben manejar las expectativas de las víctimas que participan de manera masiva en los espacios del Sistema</w:t>
      </w:r>
      <w:r w:rsidRPr="001F7FF3">
        <w:rPr>
          <w:rFonts w:ascii="Century Gothic" w:eastAsia="Century Gothic" w:hAnsi="Century Gothic" w:cs="Century Gothic"/>
          <w:sz w:val="20"/>
          <w:szCs w:val="20"/>
          <w:lang w:eastAsia="de-DE"/>
        </w:rPr>
        <w:t xml:space="preserve"> </w:t>
      </w:r>
      <w:r w:rsidRPr="001F7FF3">
        <w:rPr>
          <w:rFonts w:ascii="Century Gothic" w:eastAsia="Century Gothic" w:hAnsi="Century Gothic" w:cs="Century Gothic"/>
          <w:b/>
          <w:bCs/>
          <w:sz w:val="20"/>
          <w:szCs w:val="20"/>
          <w:lang w:eastAsia="de-DE"/>
        </w:rPr>
        <w:t>con metodologías que permitan aclarar el rol y el alcance de las Entidades en el marco de la justicia transicional.</w:t>
      </w:r>
      <w:r w:rsidRPr="001F7FF3">
        <w:rPr>
          <w:rFonts w:ascii="Century Gothic" w:eastAsia="Century Gothic" w:hAnsi="Century Gothic" w:cs="Century Gothic"/>
          <w:sz w:val="20"/>
          <w:szCs w:val="20"/>
          <w:lang w:eastAsia="de-DE"/>
        </w:rPr>
        <w:t xml:space="preserve"> Por ejemplo, una revisión periódica para garantizar que las víctimas están analizando y tienen claro el rol y propósito de la JT. Si no lo están asimilando se requieren estrategias de acompañamiento psicosocial complementarias para que las víctimas puedan tramitar sus necesidades y expectativas en el tema. Además, sería prudente realizar el seguimiento al nivel de asimilación y a las acciones complementarias psicosociales para aceptar este modelo de justicia.</w:t>
      </w:r>
    </w:p>
    <w:p w14:paraId="454E75F6"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6E1033DC"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El PNUD y los donantes deben tener un diálogo constante con el gobierno nacional sobre la pertinencia y los resultados del Sistema</w:t>
      </w:r>
      <w:r w:rsidRPr="001F7FF3">
        <w:rPr>
          <w:rFonts w:ascii="Century Gothic" w:eastAsia="Century Gothic" w:hAnsi="Century Gothic" w:cs="Century Gothic"/>
          <w:sz w:val="20"/>
          <w:szCs w:val="20"/>
          <w:lang w:eastAsia="de-DE"/>
        </w:rPr>
        <w:t xml:space="preserve">. Independientemente de la postura del gobierno de turno, es importante mantener un diálogo constante sobre la importancia y efectividad de la JT como estrategia de construcción de paz y para demostrar los resultados registrados y sistematizados en el sistema de monitoreo y evaluación. </w:t>
      </w:r>
    </w:p>
    <w:p w14:paraId="7EA2626C"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36A6D1D4"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b/>
          <w:bCs/>
          <w:sz w:val="20"/>
          <w:szCs w:val="20"/>
          <w:lang w:eastAsia="de-DE"/>
        </w:rPr>
      </w:pPr>
      <w:r w:rsidRPr="001F7FF3">
        <w:rPr>
          <w:rFonts w:ascii="Century Gothic" w:eastAsia="Century Gothic" w:hAnsi="Century Gothic" w:cs="Century Gothic"/>
          <w:b/>
          <w:bCs/>
          <w:sz w:val="20"/>
          <w:szCs w:val="20"/>
          <w:lang w:eastAsia="de-DE"/>
        </w:rPr>
        <w:t xml:space="preserve">Es indispensable </w:t>
      </w:r>
      <w:bookmarkStart w:id="55" w:name="_Hlk116968716"/>
      <w:r w:rsidRPr="001F7FF3">
        <w:rPr>
          <w:rFonts w:ascii="Century Gothic" w:eastAsia="Century Gothic" w:hAnsi="Century Gothic" w:cs="Century Gothic"/>
          <w:b/>
          <w:bCs/>
          <w:sz w:val="20"/>
          <w:szCs w:val="20"/>
          <w:lang w:eastAsia="de-DE"/>
        </w:rPr>
        <w:t>crear una estrategia de sistematización que permita identificar buenas prácticas y lecciones aprendidas a nivel del proyecto y a nivel del portafolio</w:t>
      </w:r>
      <w:bookmarkEnd w:id="55"/>
      <w:r w:rsidRPr="001F7FF3">
        <w:rPr>
          <w:rFonts w:ascii="Century Gothic" w:eastAsia="Century Gothic" w:hAnsi="Century Gothic" w:cs="Century Gothic"/>
          <w:b/>
          <w:bCs/>
          <w:sz w:val="20"/>
          <w:szCs w:val="20"/>
          <w:lang w:eastAsia="de-DE"/>
        </w:rPr>
        <w:t>.</w:t>
      </w:r>
      <w:r w:rsidRPr="001F7FF3">
        <w:rPr>
          <w:rFonts w:ascii="Century Gothic" w:eastAsia="Century Gothic" w:hAnsi="Century Gothic" w:cs="Century Gothic"/>
          <w:sz w:val="20"/>
          <w:szCs w:val="20"/>
          <w:lang w:eastAsia="de-DE"/>
        </w:rPr>
        <w:t xml:space="preserve"> Si bien se han podido identificar en los hallazgos algunas buenas prácticas y lecciones aprendidas del PJT, no es algo explicito ni documentado de manera sistemática para el PNUD o para las OSC. Determinar prácticas de identificación y recolección de información y capacitar al equipo técnico en cómo aplicarlas es necesario para que el potencial de aprendizaje interno del portafolio sea aprovechado. </w:t>
      </w:r>
    </w:p>
    <w:p w14:paraId="38CC90F3" w14:textId="77777777" w:rsidR="00717364" w:rsidRPr="001F7FF3" w:rsidRDefault="00717364" w:rsidP="009D291F">
      <w:pPr>
        <w:autoSpaceDE w:val="0"/>
        <w:autoSpaceDN w:val="0"/>
        <w:ind w:right="113"/>
        <w:contextualSpacing/>
        <w:jc w:val="both"/>
        <w:rPr>
          <w:rFonts w:ascii="Century Gothic" w:eastAsia="Century Gothic" w:hAnsi="Century Gothic" w:cs="Century Gothic"/>
          <w:b/>
          <w:bCs/>
          <w:sz w:val="20"/>
          <w:szCs w:val="20"/>
          <w:lang w:eastAsia="de-DE"/>
        </w:rPr>
      </w:pPr>
    </w:p>
    <w:p w14:paraId="1AE19970" w14:textId="77777777" w:rsidR="00717364" w:rsidRPr="001F7FF3" w:rsidRDefault="00717364" w:rsidP="009D291F">
      <w:pPr>
        <w:numPr>
          <w:ilvl w:val="0"/>
          <w:numId w:val="6"/>
        </w:numPr>
        <w:autoSpaceDE w:val="0"/>
        <w:autoSpaceDN w:val="0"/>
        <w:ind w:right="113"/>
        <w:contextualSpacing/>
        <w:jc w:val="both"/>
        <w:rPr>
          <w:rFonts w:ascii="Century Gothic" w:eastAsiaTheme="minorHAnsi" w:hAnsi="Century Gothic" w:cstheme="minorBidi"/>
          <w:color w:val="000000" w:themeColor="text1"/>
          <w:sz w:val="20"/>
          <w:szCs w:val="20"/>
          <w:lang w:eastAsia="en-US"/>
        </w:rPr>
      </w:pPr>
      <w:r w:rsidRPr="001F7FF3">
        <w:rPr>
          <w:rFonts w:ascii="Century Gothic" w:eastAsia="Century Gothic" w:hAnsi="Century Gothic" w:cs="Century Gothic"/>
          <w:b/>
          <w:bCs/>
          <w:sz w:val="20"/>
          <w:szCs w:val="20"/>
          <w:lang w:eastAsia="de-DE"/>
        </w:rPr>
        <w:t xml:space="preserve">Se debe </w:t>
      </w:r>
      <w:bookmarkStart w:id="56" w:name="_Hlk116968555"/>
      <w:r w:rsidRPr="001F7FF3">
        <w:rPr>
          <w:rFonts w:ascii="Century Gothic" w:eastAsia="Century Gothic" w:hAnsi="Century Gothic" w:cs="Century Gothic"/>
          <w:b/>
          <w:bCs/>
          <w:sz w:val="20"/>
          <w:szCs w:val="20"/>
          <w:lang w:eastAsia="de-DE"/>
        </w:rPr>
        <w:t xml:space="preserve">incorporar desde el diseño de los proyectos, con sus respectivos indicadores y asignaciones presupuestales, a diferentes grupos poblacionales. </w:t>
      </w:r>
      <w:bookmarkEnd w:id="56"/>
      <w:r w:rsidRPr="001F7FF3">
        <w:rPr>
          <w:rFonts w:ascii="Century Gothic" w:eastAsia="Century Gothic" w:hAnsi="Century Gothic" w:cs="Century Gothic"/>
          <w:sz w:val="20"/>
          <w:szCs w:val="20"/>
          <w:lang w:eastAsia="de-DE"/>
        </w:rPr>
        <w:t xml:space="preserve">Esto incluye un análisis de interseccionalidad que tenga en cuenta diferentes tipos de desigualdades como la orientación sexual, la edad, la etnicidad, el origen social, </w:t>
      </w:r>
      <w:r w:rsidRPr="001F7FF3">
        <w:rPr>
          <w:rFonts w:ascii="Century Gothic" w:eastAsia="Century Gothic" w:hAnsi="Century Gothic" w:cs="Century Gothic"/>
          <w:sz w:val="20"/>
          <w:szCs w:val="20"/>
          <w:lang w:eastAsia="de-DE"/>
        </w:rPr>
        <w:lastRenderedPageBreak/>
        <w:t>las condiciones de discapacidad, entre otras. Estas desigualdades al encontrarse en un punto crean una intersección. Como sostienen Lombardo y Verloo, “La adopción de un enfoque más interseccional para el tratamiento de las desigualdades podría […] promover el desarrollo de políticas más inclusivas y de mejor calidad</w:t>
      </w:r>
      <w:r w:rsidRPr="001F7FF3">
        <w:rPr>
          <w:rFonts w:ascii="Century Gothic" w:eastAsia="Century Gothic" w:hAnsi="Century Gothic" w:cs="Century Gothic"/>
          <w:b/>
          <w:bCs/>
          <w:sz w:val="20"/>
          <w:szCs w:val="20"/>
          <w:lang w:eastAsia="de-DE"/>
        </w:rPr>
        <w:t>.</w:t>
      </w:r>
      <w:r w:rsidRPr="001F7FF3">
        <w:rPr>
          <w:rFonts w:ascii="Century Gothic" w:eastAsiaTheme="minorHAnsi" w:hAnsi="Century Gothic" w:cstheme="minorBidi"/>
          <w:color w:val="000000" w:themeColor="text1"/>
          <w:sz w:val="20"/>
          <w:szCs w:val="20"/>
          <w:lang w:eastAsia="en-US"/>
        </w:rPr>
        <w:t>”</w:t>
      </w:r>
      <w:r w:rsidRPr="001F7FF3">
        <w:rPr>
          <w:rFonts w:ascii="Century Gothic" w:eastAsiaTheme="minorHAnsi" w:hAnsi="Century Gothic" w:cstheme="minorBidi"/>
          <w:color w:val="000000" w:themeColor="text1"/>
          <w:sz w:val="20"/>
          <w:szCs w:val="20"/>
          <w:vertAlign w:val="superscript"/>
          <w:lang w:eastAsia="en-US"/>
        </w:rPr>
        <w:footnoteReference w:id="15"/>
      </w:r>
      <w:r w:rsidRPr="001F7FF3">
        <w:rPr>
          <w:rFonts w:ascii="Century Gothic" w:eastAsiaTheme="minorHAnsi" w:hAnsi="Century Gothic" w:cstheme="minorBidi"/>
          <w:color w:val="000000" w:themeColor="text1"/>
          <w:sz w:val="20"/>
          <w:szCs w:val="20"/>
          <w:lang w:eastAsia="en-US"/>
        </w:rPr>
        <w:t xml:space="preserve"> El enfoque de género desde una mirada interseccional ha sido considerada por esta evaluación como una lección aprendida que debería ser aplicada. </w:t>
      </w:r>
    </w:p>
    <w:p w14:paraId="5BC82B63" w14:textId="77777777" w:rsidR="00717364" w:rsidRPr="001F7FF3" w:rsidRDefault="00717364" w:rsidP="009D291F">
      <w:pPr>
        <w:autoSpaceDE w:val="0"/>
        <w:autoSpaceDN w:val="0"/>
        <w:ind w:right="113"/>
        <w:contextualSpacing/>
        <w:jc w:val="both"/>
        <w:rPr>
          <w:rFonts w:ascii="Century Gothic" w:eastAsiaTheme="minorHAnsi" w:hAnsi="Century Gothic" w:cstheme="minorBidi"/>
          <w:color w:val="000000" w:themeColor="text1"/>
          <w:sz w:val="20"/>
          <w:szCs w:val="20"/>
          <w:lang w:eastAsia="en-US"/>
        </w:rPr>
      </w:pPr>
    </w:p>
    <w:p w14:paraId="29355CAB"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bookmarkStart w:id="57" w:name="_Hlk116968764"/>
      <w:r w:rsidRPr="001F7FF3">
        <w:rPr>
          <w:rFonts w:ascii="Century Gothic" w:eastAsia="Century Gothic" w:hAnsi="Century Gothic" w:cs="Century Gothic"/>
          <w:b/>
          <w:bCs/>
          <w:sz w:val="20"/>
          <w:szCs w:val="20"/>
          <w:lang w:eastAsia="de-DE"/>
        </w:rPr>
        <w:t xml:space="preserve">Aunque se han desarrollado acciones transformadoras para las mujeres, estas pueden incorporar enfoques más innovadores y centrados en la superación de los roles y estereotipos tradicionales de género. </w:t>
      </w:r>
      <w:r w:rsidRPr="001F7FF3">
        <w:rPr>
          <w:rFonts w:ascii="Century Gothic" w:eastAsia="Century Gothic" w:hAnsi="Century Gothic" w:cs="Century Gothic"/>
          <w:sz w:val="20"/>
          <w:szCs w:val="20"/>
          <w:lang w:eastAsia="de-DE"/>
        </w:rPr>
        <w:t xml:space="preserve"> </w:t>
      </w:r>
      <w:bookmarkEnd w:id="57"/>
      <w:r w:rsidRPr="001F7FF3">
        <w:rPr>
          <w:rFonts w:ascii="Century Gothic" w:eastAsia="Century Gothic" w:hAnsi="Century Gothic" w:cs="Century Gothic"/>
          <w:sz w:val="20"/>
          <w:szCs w:val="20"/>
          <w:lang w:eastAsia="de-DE"/>
        </w:rPr>
        <w:t xml:space="preserve">Por ejemplo, proyectos de apoyo a las mujeres se hacen en medio de la cocina, actividades de limpieza o de costura. Puede pensarse que haya iniciativas que favorezca a las mujeres en mercados que no necesariamente son las acostumbradas en los roles estereotípicos de género. </w:t>
      </w:r>
    </w:p>
    <w:p w14:paraId="7F30CE94"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b/>
          <w:bCs/>
          <w:sz w:val="20"/>
          <w:szCs w:val="20"/>
          <w:lang w:eastAsia="de-DE"/>
        </w:rPr>
      </w:pPr>
    </w:p>
    <w:p w14:paraId="0E720864" w14:textId="77777777" w:rsidR="00717364" w:rsidRPr="001F7FF3" w:rsidRDefault="00717364" w:rsidP="009D291F">
      <w:pPr>
        <w:pStyle w:val="Prrafodelista"/>
        <w:widowControl w:val="0"/>
        <w:numPr>
          <w:ilvl w:val="0"/>
          <w:numId w:val="6"/>
        </w:numPr>
        <w:spacing w:before="11"/>
        <w:rPr>
          <w:rFonts w:ascii="Century Gothic" w:hAnsi="Century Gothic"/>
          <w:sz w:val="20"/>
          <w:szCs w:val="20"/>
          <w:lang w:val="es-CO" w:eastAsia="en-US"/>
        </w:rPr>
      </w:pPr>
      <w:bookmarkStart w:id="58" w:name="_Hlk116968791"/>
      <w:r w:rsidRPr="001F7FF3">
        <w:rPr>
          <w:rFonts w:ascii="Century Gothic" w:eastAsiaTheme="minorHAnsi" w:hAnsi="Century Gothic" w:cstheme="minorBidi"/>
          <w:b/>
          <w:bCs/>
          <w:sz w:val="20"/>
          <w:szCs w:val="20"/>
          <w:lang w:val="es-CO" w:eastAsia="en-US"/>
        </w:rPr>
        <w:t>Incluir el enfoque de género con un análisis interseccional</w:t>
      </w:r>
      <w:bookmarkEnd w:id="58"/>
      <w:r w:rsidRPr="001F7FF3">
        <w:rPr>
          <w:rFonts w:ascii="Century Gothic" w:eastAsiaTheme="minorHAnsi" w:hAnsi="Century Gothic" w:cstheme="minorBidi"/>
          <w:sz w:val="20"/>
          <w:szCs w:val="20"/>
          <w:lang w:val="es-CO" w:eastAsia="en-US"/>
        </w:rPr>
        <w:t>: “</w:t>
      </w:r>
      <w:r w:rsidRPr="001F7FF3">
        <w:rPr>
          <w:rFonts w:ascii="Century Gothic" w:hAnsi="Century Gothic"/>
          <w:sz w:val="20"/>
          <w:szCs w:val="20"/>
          <w:lang w:val="es-CO" w:eastAsia="en-US"/>
        </w:rPr>
        <w:t xml:space="preserve">transversalizar el enfoque de género es importante pero también debemos integrarlo con mayor intensidad a personas en condición de discapacidad, ciclo de vida y jóvenes, etc.”. El objetivo de un enfoque de género e interseccionalidad es evitar la revictimización o estigmatización por ser migrante, víctima, mujer, o persona LGTBI+, y en cambio, proporcionar un análisis integral a las diferentes condiciones. Se debe tener en cuenta distintas desigualdades como la pobreza, la edad, etnicidad, origen, entre otros, que al encontrase en un punto, crean una intersección. </w:t>
      </w:r>
      <w:r w:rsidRPr="00DD01F1">
        <w:rPr>
          <w:rFonts w:ascii="Century Gothic" w:hAnsi="Century Gothic"/>
          <w:sz w:val="20"/>
          <w:szCs w:val="20"/>
          <w:lang w:val="es-CO"/>
        </w:rPr>
        <w:t>Así lo explica Lucero Rodríguez en su libro La interseccionalidad como herramienta para el tratamiento de las desigualdades que sufren las mujeres</w:t>
      </w:r>
      <w:r w:rsidRPr="00DD01F1">
        <w:rPr>
          <w:rStyle w:val="Refdenotaalpie"/>
          <w:rFonts w:ascii="Century Gothic" w:hAnsi="Century Gothic"/>
          <w:sz w:val="20"/>
          <w:szCs w:val="20"/>
          <w:vertAlign w:val="baseline"/>
          <w:lang w:val="es-CO"/>
        </w:rPr>
        <w:t xml:space="preserve"> </w:t>
      </w:r>
      <w:r w:rsidRPr="00DD01F1">
        <w:rPr>
          <w:rStyle w:val="Refdenotaalpie"/>
          <w:rFonts w:ascii="Century Gothic" w:hAnsi="Century Gothic"/>
          <w:sz w:val="20"/>
          <w:szCs w:val="20"/>
          <w:lang w:val="es-CO"/>
        </w:rPr>
        <w:footnoteReference w:id="16"/>
      </w:r>
      <w:r w:rsidRPr="00DD01F1">
        <w:rPr>
          <w:rFonts w:ascii="Century Gothic" w:hAnsi="Century Gothic"/>
          <w:sz w:val="20"/>
          <w:szCs w:val="20"/>
          <w:lang w:val="es-CO"/>
        </w:rPr>
        <w:t>: “La interseccionalidad ha servido para visibilizar las complejas opresiones que sufren las mujeres en distintos ámbitos sin jerarquizar ninguna opresión por encima de la otra</w:t>
      </w:r>
      <w:r w:rsidRPr="00DD01F1">
        <w:rPr>
          <w:rFonts w:ascii="Century Gothic" w:hAnsi="Century Gothic"/>
          <w:sz w:val="20"/>
          <w:szCs w:val="20"/>
          <w:lang w:val="es-CO" w:eastAsia="en-US"/>
        </w:rPr>
        <w:t>.”</w:t>
      </w:r>
    </w:p>
    <w:p w14:paraId="47B8AB49" w14:textId="77777777" w:rsidR="00717364" w:rsidRPr="001F7FF3" w:rsidRDefault="00717364" w:rsidP="009D291F">
      <w:pPr>
        <w:pStyle w:val="Prrafodelista"/>
        <w:rPr>
          <w:rFonts w:ascii="Century Gothic" w:eastAsia="Century Gothic" w:hAnsi="Century Gothic" w:cs="Century Gothic"/>
          <w:b/>
          <w:bCs/>
          <w:sz w:val="20"/>
          <w:szCs w:val="20"/>
          <w:lang w:val="es-CO"/>
        </w:rPr>
      </w:pPr>
    </w:p>
    <w:p w14:paraId="128FE9E3" w14:textId="5FD4A7BF"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bookmarkStart w:id="59" w:name="_Hlk116968828"/>
      <w:r w:rsidRPr="001F7FF3">
        <w:rPr>
          <w:rFonts w:ascii="Century Gothic" w:eastAsia="Century Gothic" w:hAnsi="Century Gothic" w:cs="Century Gothic"/>
          <w:b/>
          <w:bCs/>
          <w:sz w:val="20"/>
          <w:szCs w:val="20"/>
          <w:lang w:eastAsia="de-DE"/>
        </w:rPr>
        <w:t xml:space="preserve">El enfoque de derechos humanos requiere de un conjunto de herramientas que trasciendan la fase de diseño de las propuestas e incidan en las dinámicas de planificación, decisión e implementación. Se recomienda </w:t>
      </w:r>
      <w:r w:rsidR="00347155" w:rsidRPr="001F7FF3">
        <w:rPr>
          <w:rFonts w:ascii="Century Gothic" w:eastAsia="Century Gothic" w:hAnsi="Century Gothic" w:cs="Century Gothic"/>
          <w:b/>
          <w:bCs/>
          <w:sz w:val="20"/>
          <w:szCs w:val="20"/>
          <w:lang w:eastAsia="de-DE"/>
        </w:rPr>
        <w:t>realizar</w:t>
      </w:r>
      <w:r w:rsidRPr="001F7FF3">
        <w:rPr>
          <w:rFonts w:ascii="Century Gothic" w:eastAsia="Century Gothic" w:hAnsi="Century Gothic" w:cs="Century Gothic"/>
          <w:b/>
          <w:bCs/>
          <w:sz w:val="20"/>
          <w:szCs w:val="20"/>
          <w:lang w:eastAsia="de-DE"/>
        </w:rPr>
        <w:t xml:space="preserve"> un análisis que sea parte de la teoría de cambio, con un seguimiento específico</w:t>
      </w:r>
      <w:bookmarkEnd w:id="59"/>
      <w:r w:rsidRPr="001F7FF3">
        <w:rPr>
          <w:rFonts w:ascii="Century Gothic" w:eastAsia="Century Gothic" w:hAnsi="Century Gothic" w:cs="Century Gothic"/>
          <w:b/>
          <w:bCs/>
          <w:sz w:val="20"/>
          <w:szCs w:val="20"/>
          <w:lang w:eastAsia="de-DE"/>
        </w:rPr>
        <w:t>.</w:t>
      </w:r>
      <w:r w:rsidRPr="001F7FF3">
        <w:rPr>
          <w:rFonts w:ascii="Century Gothic" w:eastAsia="Century Gothic" w:hAnsi="Century Gothic" w:cs="Century Gothic"/>
          <w:sz w:val="20"/>
          <w:szCs w:val="20"/>
          <w:lang w:eastAsia="de-DE"/>
        </w:rPr>
        <w:t xml:space="preserve"> Como tal, está de alguna manera pasando por alto como enfoque central en toda la documentación relacionada con el PJT, empezando con la teoría de cambio y el marco estratégico donde debería ser referenciado más explícitamente como el norte estratégico de todo el programa. </w:t>
      </w:r>
    </w:p>
    <w:p w14:paraId="360C5F30" w14:textId="77777777" w:rsidR="00717364" w:rsidRPr="001F7FF3" w:rsidRDefault="00717364" w:rsidP="009D291F">
      <w:pPr>
        <w:autoSpaceDE w:val="0"/>
        <w:autoSpaceDN w:val="0"/>
        <w:ind w:left="720" w:right="113"/>
        <w:contextualSpacing/>
        <w:jc w:val="both"/>
        <w:rPr>
          <w:rFonts w:ascii="Century Gothic" w:eastAsia="Century Gothic" w:hAnsi="Century Gothic" w:cs="Century Gothic"/>
          <w:b/>
          <w:bCs/>
          <w:sz w:val="20"/>
          <w:szCs w:val="20"/>
          <w:lang w:eastAsia="de-DE"/>
        </w:rPr>
      </w:pPr>
    </w:p>
    <w:p w14:paraId="13AC9759" w14:textId="77777777" w:rsidR="00717364" w:rsidRPr="001F7FF3" w:rsidRDefault="00717364" w:rsidP="009D291F">
      <w:pPr>
        <w:pStyle w:val="Prrafodelista"/>
        <w:numPr>
          <w:ilvl w:val="0"/>
          <w:numId w:val="6"/>
        </w:numPr>
        <w:rPr>
          <w:rFonts w:ascii="Century Gothic" w:eastAsia="Century Gothic" w:hAnsi="Century Gothic" w:cs="Century Gothic"/>
          <w:sz w:val="20"/>
          <w:szCs w:val="20"/>
          <w:lang w:val="es-CO"/>
        </w:rPr>
      </w:pPr>
      <w:r w:rsidRPr="001F7FF3">
        <w:rPr>
          <w:rFonts w:ascii="Century Gothic" w:eastAsia="Century Gothic" w:hAnsi="Century Gothic" w:cs="Century Gothic"/>
          <w:b/>
          <w:bCs/>
          <w:sz w:val="20"/>
          <w:szCs w:val="20"/>
          <w:lang w:val="es-CO"/>
        </w:rPr>
        <w:t>Pensar en la sostenibilidad de las acciones y en una estrategia de salida desde el diseño de los proyectos</w:t>
      </w:r>
      <w:r w:rsidRPr="001F7FF3">
        <w:rPr>
          <w:rFonts w:ascii="Century Gothic" w:eastAsia="Century Gothic" w:hAnsi="Century Gothic" w:cs="Century Gothic"/>
          <w:sz w:val="20"/>
          <w:szCs w:val="20"/>
          <w:lang w:val="es-CO"/>
        </w:rPr>
        <w:t xml:space="preserve">. De esta manera se pueden evitar acciones con efectos colaterales negativos al salir del territorio o al suspender la financiación de las actividades. Los beneficiarios deberían siempre tener claro que los proyectos son transitorios y así evitar grandes expectativas que no se puedan cumplir. Si las acciones iniciadas por el proyecto seguirán en el tiempo, las estrategias de salida deberían clarificar y acordar previamente cual sería la institución u organización que se responsabilizaría para dar continuidad al trabajo realizado. Y si son temporales, esto debería ser clarificado con los socios y beneficiarios desde el inicio para manejar expectativas. En este caso, la estrategia de salida consistiría en un </w:t>
      </w:r>
      <w:r w:rsidRPr="001F7FF3">
        <w:rPr>
          <w:rFonts w:ascii="Century Gothic" w:eastAsia="Century Gothic" w:hAnsi="Century Gothic" w:cs="Century Gothic"/>
          <w:sz w:val="20"/>
          <w:szCs w:val="20"/>
          <w:lang w:val="es-CO"/>
        </w:rPr>
        <w:lastRenderedPageBreak/>
        <w:t xml:space="preserve">acto de cierre del proyecto con los actores involucrados para analizar y documentar el balance de las acciones y su impacto. </w:t>
      </w:r>
    </w:p>
    <w:p w14:paraId="5F36DBD1" w14:textId="77777777" w:rsidR="00717364" w:rsidRPr="001F7FF3" w:rsidRDefault="00717364" w:rsidP="009D291F">
      <w:pPr>
        <w:rPr>
          <w:rFonts w:ascii="Century Gothic" w:eastAsia="Times New Roman" w:hAnsi="Century Gothic" w:cs="Times New Roman"/>
          <w:b/>
          <w:bCs/>
          <w:sz w:val="20"/>
          <w:szCs w:val="20"/>
          <w:lang w:eastAsia="es-MX"/>
        </w:rPr>
      </w:pPr>
    </w:p>
    <w:p w14:paraId="569BBA64" w14:textId="77777777" w:rsidR="00717364" w:rsidRPr="001F7FF3" w:rsidRDefault="00717364" w:rsidP="009D291F">
      <w:pPr>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t>Para el GOBIERNO NACIONAL</w:t>
      </w:r>
    </w:p>
    <w:p w14:paraId="2F4A6386" w14:textId="77777777" w:rsidR="00717364" w:rsidRPr="001F7FF3" w:rsidRDefault="00717364" w:rsidP="009D291F">
      <w:pPr>
        <w:rPr>
          <w:rFonts w:ascii="Century Gothic" w:eastAsia="Times New Roman" w:hAnsi="Century Gothic" w:cs="Times New Roman"/>
          <w:b/>
          <w:bCs/>
          <w:sz w:val="20"/>
          <w:szCs w:val="20"/>
          <w:lang w:eastAsia="es-MX"/>
        </w:rPr>
      </w:pPr>
    </w:p>
    <w:p w14:paraId="53D8D34F" w14:textId="2F1938D8"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 xml:space="preserve">Fortalecer la dirección de justicia transicional del Ministerio de Justicia </w:t>
      </w:r>
      <w:r w:rsidRPr="001F7FF3">
        <w:rPr>
          <w:rFonts w:ascii="Century Gothic" w:eastAsia="Century Gothic" w:hAnsi="Century Gothic" w:cs="Century Gothic"/>
          <w:sz w:val="20"/>
          <w:szCs w:val="20"/>
          <w:lang w:eastAsia="de-DE"/>
        </w:rPr>
        <w:t xml:space="preserve">para que juegue el rol (actualmente empeñado por el PUND) de articulador e impulsor del Sistema </w:t>
      </w:r>
      <w:r w:rsidR="00236DCE" w:rsidRPr="001F7FF3">
        <w:rPr>
          <w:rFonts w:ascii="Century Gothic" w:eastAsia="Century Gothic" w:hAnsi="Century Gothic" w:cs="Century Gothic"/>
          <w:sz w:val="20"/>
          <w:szCs w:val="20"/>
          <w:lang w:eastAsia="de-DE"/>
        </w:rPr>
        <w:t>Integral para la Paz</w:t>
      </w:r>
      <w:r w:rsidRPr="001F7FF3">
        <w:rPr>
          <w:rFonts w:ascii="Century Gothic" w:eastAsia="Century Gothic" w:hAnsi="Century Gothic" w:cs="Century Gothic"/>
          <w:sz w:val="20"/>
          <w:szCs w:val="20"/>
          <w:lang w:eastAsia="de-DE"/>
        </w:rPr>
        <w:t xml:space="preserve"> (ver recomendación en la sección anterior). Asegurar que cuente con los recursos financieros y humanos para que pueda cumplir con sus funciones ampliadas. </w:t>
      </w:r>
    </w:p>
    <w:p w14:paraId="402F706A"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lang w:eastAsia="de-DE"/>
        </w:rPr>
        <w:t>Presupuestar a partir de 2023 para que cofinancie el Sistema con la cooperación internacional</w:t>
      </w:r>
      <w:r w:rsidRPr="001F7FF3">
        <w:rPr>
          <w:rFonts w:ascii="Century Gothic" w:eastAsia="Century Gothic" w:hAnsi="Century Gothic" w:cs="Century Gothic"/>
          <w:sz w:val="20"/>
          <w:szCs w:val="20"/>
          <w:lang w:eastAsia="de-DE"/>
        </w:rPr>
        <w:t xml:space="preserve">, priorizando el fortalecimiento de la Dirección de Justicia Transicional para que pueda ejercer las funciones de articulación que el PNUD ha ejercido y financiado hasta ahora. En el mediano plazo, asumir y garantizar todos los costos del Sistema como compromiso del Acuerdo Final de Paz y política de Estado. </w:t>
      </w:r>
    </w:p>
    <w:p w14:paraId="3B185AD9" w14:textId="49DCF226" w:rsidR="00B86D1A" w:rsidRPr="001F7FF3" w:rsidRDefault="00347155" w:rsidP="009D291F">
      <w:pPr>
        <w:numPr>
          <w:ilvl w:val="0"/>
          <w:numId w:val="6"/>
        </w:numPr>
        <w:autoSpaceDE w:val="0"/>
        <w:autoSpaceDN w:val="0"/>
        <w:ind w:right="113"/>
        <w:contextualSpacing/>
        <w:jc w:val="both"/>
        <w:rPr>
          <w:rFonts w:ascii="Century Gothic" w:eastAsia="Century Gothic" w:hAnsi="Century Gothic" w:cs="Century Gothic"/>
          <w:sz w:val="20"/>
          <w:szCs w:val="20"/>
        </w:rPr>
      </w:pPr>
      <w:r w:rsidRPr="001F7FF3">
        <w:rPr>
          <w:rFonts w:ascii="Century Gothic" w:eastAsia="Century Gothic" w:hAnsi="Century Gothic" w:cs="Century Gothic"/>
          <w:b/>
          <w:bCs/>
          <w:sz w:val="20"/>
          <w:szCs w:val="20"/>
          <w:lang w:eastAsia="de-DE"/>
        </w:rPr>
        <w:t>Continuar el</w:t>
      </w:r>
      <w:r w:rsidR="00717364" w:rsidRPr="001F7FF3">
        <w:rPr>
          <w:rFonts w:ascii="Century Gothic" w:eastAsia="Century Gothic" w:hAnsi="Century Gothic" w:cs="Century Gothic"/>
          <w:b/>
          <w:bCs/>
          <w:sz w:val="20"/>
          <w:szCs w:val="20"/>
          <w:lang w:eastAsia="de-DE"/>
        </w:rPr>
        <w:t xml:space="preserve"> </w:t>
      </w:r>
      <w:r w:rsidRPr="001F7FF3">
        <w:rPr>
          <w:rFonts w:ascii="Century Gothic" w:eastAsia="Century Gothic" w:hAnsi="Century Gothic" w:cs="Century Gothic"/>
          <w:b/>
          <w:bCs/>
          <w:sz w:val="20"/>
          <w:szCs w:val="20"/>
          <w:lang w:eastAsia="de-DE"/>
        </w:rPr>
        <w:t>re</w:t>
      </w:r>
      <w:r w:rsidRPr="001F7FF3">
        <w:rPr>
          <w:rFonts w:ascii="Century Gothic" w:eastAsia="Century Gothic" w:hAnsi="Century Gothic" w:cs="Century Gothic"/>
          <w:b/>
          <w:bCs/>
          <w:sz w:val="20"/>
          <w:szCs w:val="20"/>
        </w:rPr>
        <w:t>speto</w:t>
      </w:r>
      <w:r w:rsidR="00717364" w:rsidRPr="001F7FF3">
        <w:rPr>
          <w:rFonts w:ascii="Century Gothic" w:eastAsia="Century Gothic" w:hAnsi="Century Gothic" w:cs="Century Gothic"/>
          <w:b/>
          <w:bCs/>
          <w:sz w:val="20"/>
          <w:szCs w:val="20"/>
        </w:rPr>
        <w:t xml:space="preserve"> </w:t>
      </w:r>
      <w:r w:rsidRPr="001F7FF3">
        <w:rPr>
          <w:rFonts w:ascii="Century Gothic" w:eastAsia="Century Gothic" w:hAnsi="Century Gothic" w:cs="Century Gothic"/>
          <w:b/>
          <w:bCs/>
          <w:sz w:val="20"/>
          <w:szCs w:val="20"/>
        </w:rPr>
        <w:t xml:space="preserve">de </w:t>
      </w:r>
      <w:r w:rsidR="00717364" w:rsidRPr="001F7FF3">
        <w:rPr>
          <w:rFonts w:ascii="Century Gothic" w:eastAsia="Century Gothic" w:hAnsi="Century Gothic" w:cs="Century Gothic"/>
          <w:b/>
          <w:bCs/>
          <w:sz w:val="20"/>
          <w:szCs w:val="20"/>
        </w:rPr>
        <w:t>la autonomía de las entidades del Sistema y transmitir mensajes constructivos sobre la labor de sus entidades</w:t>
      </w:r>
      <w:r w:rsidR="00717364" w:rsidRPr="001F7FF3">
        <w:rPr>
          <w:rFonts w:ascii="Century Gothic" w:eastAsia="Century Gothic" w:hAnsi="Century Gothic" w:cs="Century Gothic"/>
          <w:sz w:val="20"/>
          <w:szCs w:val="20"/>
        </w:rPr>
        <w:t xml:space="preserve"> en los medios de comunicación para fomentar la confianza de las víctimas y la opinión pública en el proceso de paz y su institucionalidad. </w:t>
      </w:r>
    </w:p>
    <w:p w14:paraId="520D7ABD" w14:textId="77777777" w:rsidR="00717364" w:rsidRPr="001F7FF3" w:rsidRDefault="00717364" w:rsidP="009D291F">
      <w:pPr>
        <w:rPr>
          <w:rFonts w:ascii="Century Gothic" w:eastAsia="Times New Roman" w:hAnsi="Century Gothic" w:cs="Times New Roman"/>
          <w:b/>
          <w:bCs/>
          <w:sz w:val="20"/>
          <w:szCs w:val="20"/>
          <w:lang w:eastAsia="es-MX"/>
        </w:rPr>
      </w:pPr>
    </w:p>
    <w:p w14:paraId="6A2A8697" w14:textId="77777777" w:rsidR="00717364" w:rsidRPr="001F7FF3" w:rsidRDefault="00717364" w:rsidP="009D291F">
      <w:pPr>
        <w:rPr>
          <w:rFonts w:ascii="Century Gothic" w:eastAsia="Times New Roman" w:hAnsi="Century Gothic" w:cs="Times New Roman"/>
          <w:b/>
          <w:bCs/>
          <w:sz w:val="20"/>
          <w:szCs w:val="20"/>
          <w:lang w:eastAsia="es-MX"/>
        </w:rPr>
      </w:pPr>
      <w:r w:rsidRPr="001F7FF3">
        <w:rPr>
          <w:rFonts w:ascii="Century Gothic" w:eastAsia="Times New Roman" w:hAnsi="Century Gothic" w:cs="Times New Roman"/>
          <w:b/>
          <w:bCs/>
          <w:sz w:val="20"/>
          <w:szCs w:val="20"/>
          <w:lang w:eastAsia="es-MX"/>
        </w:rPr>
        <w:t xml:space="preserve">Para los DONANTES </w:t>
      </w:r>
    </w:p>
    <w:p w14:paraId="7C7A3834" w14:textId="77777777" w:rsidR="00717364" w:rsidRPr="001F7FF3" w:rsidRDefault="00717364" w:rsidP="009D291F">
      <w:pPr>
        <w:rPr>
          <w:rFonts w:ascii="Century Gothic" w:eastAsia="Times New Roman" w:hAnsi="Century Gothic" w:cs="Times New Roman"/>
          <w:b/>
          <w:bCs/>
          <w:sz w:val="20"/>
          <w:szCs w:val="20"/>
          <w:lang w:eastAsia="es-MX"/>
        </w:rPr>
      </w:pPr>
    </w:p>
    <w:p w14:paraId="43878A13" w14:textId="6ABC6CFC" w:rsidR="00717364" w:rsidRPr="00C62816" w:rsidRDefault="00717364" w:rsidP="00C62816">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Financiar actividades de gestión de conocimiento, de calidad y de impacto y estrategias para la construcción de confianza de manera organizada</w:t>
      </w:r>
      <w:r w:rsidRPr="001F7FF3">
        <w:rPr>
          <w:rFonts w:ascii="Century Gothic" w:eastAsia="Century Gothic" w:hAnsi="Century Gothic" w:cs="Century Gothic"/>
          <w:sz w:val="20"/>
          <w:szCs w:val="20"/>
          <w:lang w:eastAsia="de-DE"/>
        </w:rPr>
        <w:t xml:space="preserve">. Esta financiación permite que los proyectos dediquen parte de sus acciones a la gestión de conocimiento y de calidad para mejorar el desempeño general del portafolio. Los marcos de rendición de cuentas correspondientes que solicitan deberían alinearse con el sistema de monitoreo y seguimiento robustecido que esta evaluación recomienda al PNUD. </w:t>
      </w:r>
    </w:p>
    <w:p w14:paraId="50069529" w14:textId="209D252A" w:rsidR="00717364" w:rsidRPr="00C62816"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Junto con el PNUD, sostener un diálogo constante con el gobierno nacional sobre la importancia del Sistema y sus impactos</w:t>
      </w:r>
      <w:r w:rsidRPr="001F7FF3">
        <w:rPr>
          <w:rFonts w:ascii="Century Gothic" w:eastAsia="Century Gothic" w:hAnsi="Century Gothic" w:cs="Century Gothic"/>
          <w:sz w:val="20"/>
          <w:szCs w:val="20"/>
          <w:lang w:eastAsia="de-DE"/>
        </w:rPr>
        <w:t>. Independientemente de la postura del gobierno de turno, es importante mantener un diálogo constante sobre el rol de la Justicia Transicional como pilar fundamental de construcción de paz y para demostrar los resultados registrados y sistematizados en el sistema de monitoreo y evaluación.</w:t>
      </w:r>
    </w:p>
    <w:p w14:paraId="27952D86" w14:textId="77777777" w:rsidR="00717364" w:rsidRPr="001F7FF3" w:rsidRDefault="00717364" w:rsidP="009D291F">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rPr>
        <w:t>Monitorear la asignación presupuestaria por parte del Estado</w:t>
      </w:r>
      <w:r w:rsidRPr="001F7FF3">
        <w:rPr>
          <w:rFonts w:ascii="Century Gothic" w:eastAsia="Century Gothic" w:hAnsi="Century Gothic" w:cs="Century Gothic"/>
          <w:sz w:val="20"/>
          <w:szCs w:val="20"/>
        </w:rPr>
        <w:t xml:space="preserve"> y negociar en sus marcos de cooperación para que las instituciones del Sistema sean cofinanciadas por el presupuesto nacional de manera constante, asegurando que no se presenten reducciones presupuestales en términos reales.</w:t>
      </w:r>
    </w:p>
    <w:p w14:paraId="2100292D" w14:textId="77777777" w:rsidR="00717364" w:rsidRPr="001F7FF3" w:rsidRDefault="00717364" w:rsidP="009D291F">
      <w:pPr>
        <w:autoSpaceDE w:val="0"/>
        <w:autoSpaceDN w:val="0"/>
        <w:ind w:right="113"/>
        <w:contextualSpacing/>
        <w:jc w:val="both"/>
        <w:rPr>
          <w:rFonts w:ascii="Century Gothic" w:eastAsia="Century Gothic" w:hAnsi="Century Gothic" w:cs="Century Gothic"/>
          <w:sz w:val="20"/>
          <w:szCs w:val="20"/>
          <w:lang w:eastAsia="de-DE"/>
        </w:rPr>
      </w:pPr>
    </w:p>
    <w:p w14:paraId="73AF5F94" w14:textId="775D33E3" w:rsidR="00717364" w:rsidRPr="001F7FF3" w:rsidRDefault="00717364" w:rsidP="00B86D1A">
      <w:pPr>
        <w:numPr>
          <w:ilvl w:val="0"/>
          <w:numId w:val="6"/>
        </w:numPr>
        <w:autoSpaceDE w:val="0"/>
        <w:autoSpaceDN w:val="0"/>
        <w:ind w:right="113"/>
        <w:contextualSpacing/>
        <w:jc w:val="both"/>
        <w:rPr>
          <w:rFonts w:ascii="Century Gothic" w:eastAsia="Century Gothic" w:hAnsi="Century Gothic" w:cs="Century Gothic"/>
          <w:sz w:val="20"/>
          <w:szCs w:val="20"/>
          <w:lang w:eastAsia="de-DE"/>
        </w:rPr>
      </w:pPr>
      <w:r w:rsidRPr="001F7FF3">
        <w:rPr>
          <w:rFonts w:ascii="Century Gothic" w:eastAsia="Century Gothic" w:hAnsi="Century Gothic" w:cs="Century Gothic"/>
          <w:b/>
          <w:bCs/>
          <w:sz w:val="20"/>
          <w:szCs w:val="20"/>
          <w:lang w:eastAsia="de-DE"/>
        </w:rPr>
        <w:t>Canalizar sus aportes a través de un fondo colectivo para el Portafolio y asignar su distribución según prioridades estratégicas</w:t>
      </w:r>
      <w:r w:rsidRPr="001F7FF3">
        <w:rPr>
          <w:rFonts w:ascii="Century Gothic" w:eastAsia="Century Gothic" w:hAnsi="Century Gothic" w:cs="Century Gothic"/>
          <w:sz w:val="20"/>
          <w:szCs w:val="20"/>
          <w:lang w:eastAsia="de-DE"/>
        </w:rPr>
        <w:t xml:space="preserve"> discutidas y acordadas en el comité técnico de alto nivel entre la gerencia del PNUD y los donantes. Asegurar que sus aportes permitan asignación a rubros presupuestales dedicados a cada uno de los enfoques transversales, no solo a nivel de los proyectos, sino también a nivel de portafolio para su seguimiento. Además, asegurar que el nuevo fondo cuente con un rubro específico (por ejemplo 2% del total) para inversión en gestión de calidad. Disponer de recursos dirigidos a acciones dentro del marco lógico, con indicadores claros de impacto para el enfoque de género. </w:t>
      </w:r>
    </w:p>
    <w:p w14:paraId="29F2A714" w14:textId="717C5336" w:rsidR="00717364" w:rsidRPr="001F7FF3" w:rsidRDefault="00717364" w:rsidP="009D291F">
      <w:pPr>
        <w:pStyle w:val="Ttulo1"/>
        <w:numPr>
          <w:ilvl w:val="0"/>
          <w:numId w:val="2"/>
        </w:numPr>
        <w:rPr>
          <w:rFonts w:eastAsia="Century Gothic"/>
          <w:lang w:val="es-CO"/>
        </w:rPr>
      </w:pPr>
      <w:bookmarkStart w:id="60" w:name="_Toc117261407"/>
      <w:r w:rsidRPr="001F7FF3">
        <w:rPr>
          <w:rFonts w:eastAsia="Century Gothic"/>
          <w:lang w:val="es-CO"/>
        </w:rPr>
        <w:t>Anexos</w:t>
      </w:r>
      <w:bookmarkEnd w:id="60"/>
    </w:p>
    <w:p w14:paraId="06D74031" w14:textId="4FFF6A2A" w:rsidR="00C62816" w:rsidRPr="0024767F" w:rsidRDefault="00717364" w:rsidP="009D291F">
      <w:pPr>
        <w:pStyle w:val="Prrafodelista"/>
        <w:numPr>
          <w:ilvl w:val="1"/>
          <w:numId w:val="18"/>
        </w:numPr>
        <w:rPr>
          <w:rFonts w:ascii="Century Gothic" w:hAnsi="Century Gothic"/>
          <w:sz w:val="20"/>
          <w:szCs w:val="20"/>
          <w:lang w:val="es-CO" w:eastAsia="es-ES"/>
        </w:rPr>
      </w:pPr>
      <w:r w:rsidRPr="001F7FF3">
        <w:rPr>
          <w:rFonts w:ascii="Century Gothic" w:hAnsi="Century Gothic"/>
          <w:sz w:val="20"/>
          <w:szCs w:val="20"/>
          <w:lang w:val="es-CO" w:eastAsia="es-ES"/>
        </w:rPr>
        <w:t>Anexo 1</w:t>
      </w:r>
      <w:r w:rsidR="00303EF4">
        <w:rPr>
          <w:rFonts w:ascii="Century Gothic" w:hAnsi="Century Gothic"/>
          <w:sz w:val="20"/>
          <w:szCs w:val="20"/>
          <w:lang w:val="es-CO" w:eastAsia="es-ES"/>
        </w:rPr>
        <w:t xml:space="preserve"> (Matriz de evaluación</w:t>
      </w:r>
      <w:r w:rsidR="006437EE">
        <w:rPr>
          <w:rFonts w:ascii="Century Gothic" w:hAnsi="Century Gothic"/>
          <w:sz w:val="20"/>
          <w:szCs w:val="20"/>
          <w:lang w:val="es-CO" w:eastAsia="es-ES"/>
        </w:rPr>
        <w:t xml:space="preserve"> diligenciada</w:t>
      </w:r>
      <w:r w:rsidR="00E43EB9">
        <w:rPr>
          <w:rFonts w:ascii="Century Gothic" w:hAnsi="Century Gothic"/>
          <w:sz w:val="20"/>
          <w:szCs w:val="20"/>
          <w:lang w:val="es-CO" w:eastAsia="es-ES"/>
        </w:rPr>
        <w:t xml:space="preserve"> con hallazgos preliminares</w:t>
      </w:r>
      <w:r w:rsidR="00303EF4">
        <w:rPr>
          <w:rFonts w:ascii="Century Gothic" w:hAnsi="Century Gothic"/>
          <w:sz w:val="20"/>
          <w:szCs w:val="20"/>
          <w:lang w:val="es-CO" w:eastAsia="es-ES"/>
        </w:rPr>
        <w:t>)</w:t>
      </w:r>
      <w:r w:rsidRPr="001F7FF3">
        <w:rPr>
          <w:rFonts w:ascii="Century Gothic" w:hAnsi="Century Gothic"/>
          <w:sz w:val="20"/>
          <w:szCs w:val="20"/>
          <w:lang w:val="es-CO" w:eastAsia="es-ES"/>
        </w:rPr>
        <w:t xml:space="preserve">. </w:t>
      </w:r>
    </w:p>
    <w:sectPr w:rsidR="00C62816" w:rsidRPr="0024767F" w:rsidSect="0025673A">
      <w:pgSz w:w="12240" w:h="15840" w:code="1"/>
      <w:pgMar w:top="1418" w:right="1610" w:bottom="1418"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CA87F" w14:textId="77777777" w:rsidR="00B84220" w:rsidRDefault="00B84220">
      <w:r>
        <w:separator/>
      </w:r>
    </w:p>
  </w:endnote>
  <w:endnote w:type="continuationSeparator" w:id="0">
    <w:p w14:paraId="6BF55511" w14:textId="77777777" w:rsidR="00B84220" w:rsidRDefault="00B84220">
      <w:r>
        <w:continuationSeparator/>
      </w:r>
    </w:p>
  </w:endnote>
  <w:endnote w:type="continuationNotice" w:id="1">
    <w:p w14:paraId="09CDB7E3" w14:textId="77777777" w:rsidR="00B84220" w:rsidRDefault="00B84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120"/>
      <w:docPartObj>
        <w:docPartGallery w:val="Page Numbers (Bottom of Page)"/>
        <w:docPartUnique/>
      </w:docPartObj>
    </w:sdtPr>
    <w:sdtEndPr/>
    <w:sdtContent>
      <w:p w14:paraId="45FAAEED" w14:textId="141249EF" w:rsidR="00FF1F49" w:rsidRDefault="00FF1F49">
        <w:pPr>
          <w:pStyle w:val="Piedepgina"/>
          <w:jc w:val="right"/>
        </w:pPr>
        <w:r>
          <w:fldChar w:fldCharType="begin"/>
        </w:r>
        <w:r>
          <w:instrText>PAGE   \* MERGEFORMAT</w:instrText>
        </w:r>
        <w:r>
          <w:fldChar w:fldCharType="separate"/>
        </w:r>
        <w:r>
          <w:t>2</w:t>
        </w:r>
        <w:r>
          <w:fldChar w:fldCharType="end"/>
        </w:r>
      </w:p>
    </w:sdtContent>
  </w:sdt>
  <w:p w14:paraId="00000165" w14:textId="09380A95" w:rsidR="00F1064E" w:rsidRDefault="00F106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3" w14:textId="62404BF7" w:rsidR="00F1064E" w:rsidRDefault="00AE033D">
    <w:r>
      <w:rPr>
        <w:noProof/>
      </w:rPr>
      <w:drawing>
        <wp:anchor distT="0" distB="0" distL="0" distR="0" simplePos="0" relativeHeight="251661312" behindDoc="1" locked="0" layoutInCell="1" hidden="0" allowOverlap="1" wp14:anchorId="7F6E9CD8" wp14:editId="5DDDE32A">
          <wp:simplePos x="0" y="0"/>
          <wp:positionH relativeFrom="page">
            <wp:align>left</wp:align>
          </wp:positionH>
          <wp:positionV relativeFrom="paragraph">
            <wp:posOffset>6490</wp:posOffset>
          </wp:positionV>
          <wp:extent cx="7846695" cy="1038225"/>
          <wp:effectExtent l="0" t="0" r="1905" b="9525"/>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46695" cy="1038225"/>
                  </a:xfrm>
                  <a:prstGeom prst="rect">
                    <a:avLst/>
                  </a:prstGeom>
                  <a:ln/>
                </pic:spPr>
              </pic:pic>
            </a:graphicData>
          </a:graphic>
        </wp:anchor>
      </w:drawing>
    </w:r>
  </w:p>
  <w:p w14:paraId="21CF0EF1" w14:textId="77777777" w:rsidR="001E7D1E" w:rsidRDefault="001E7D1E"/>
  <w:p w14:paraId="00000166" w14:textId="79BC31F6" w:rsidR="00F1064E" w:rsidRDefault="00F106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761834696"/>
      <w:docPartObj>
        <w:docPartGallery w:val="Page Numbers (Bottom of Page)"/>
        <w:docPartUnique/>
      </w:docPartObj>
    </w:sdtPr>
    <w:sdtEndPr/>
    <w:sdtContent>
      <w:p w14:paraId="47962E44" w14:textId="642E8FB6" w:rsidR="00BB6B49" w:rsidRPr="00BB6B49" w:rsidRDefault="00BB6B49">
        <w:pPr>
          <w:pStyle w:val="Piedepgina"/>
          <w:jc w:val="right"/>
          <w:rPr>
            <w:rFonts w:ascii="Century Gothic" w:hAnsi="Century Gothic"/>
            <w:sz w:val="20"/>
            <w:szCs w:val="20"/>
          </w:rPr>
        </w:pPr>
        <w:r w:rsidRPr="00BB6B49">
          <w:rPr>
            <w:rFonts w:ascii="Century Gothic" w:hAnsi="Century Gothic"/>
            <w:sz w:val="20"/>
            <w:szCs w:val="20"/>
          </w:rPr>
          <w:fldChar w:fldCharType="begin"/>
        </w:r>
        <w:r w:rsidRPr="00BB6B49">
          <w:rPr>
            <w:rFonts w:ascii="Century Gothic" w:hAnsi="Century Gothic"/>
            <w:sz w:val="20"/>
            <w:szCs w:val="20"/>
          </w:rPr>
          <w:instrText>PAGE   \* MERGEFORMAT</w:instrText>
        </w:r>
        <w:r w:rsidRPr="00BB6B49">
          <w:rPr>
            <w:rFonts w:ascii="Century Gothic" w:hAnsi="Century Gothic"/>
            <w:sz w:val="20"/>
            <w:szCs w:val="20"/>
          </w:rPr>
          <w:fldChar w:fldCharType="separate"/>
        </w:r>
        <w:r w:rsidRPr="00BB6B49">
          <w:rPr>
            <w:rFonts w:ascii="Century Gothic" w:hAnsi="Century Gothic"/>
            <w:sz w:val="20"/>
            <w:szCs w:val="20"/>
            <w:lang w:val="es-ES"/>
          </w:rPr>
          <w:t>2</w:t>
        </w:r>
        <w:r w:rsidRPr="00BB6B49">
          <w:rPr>
            <w:rFonts w:ascii="Century Gothic" w:hAnsi="Century Gothic"/>
            <w:sz w:val="20"/>
            <w:szCs w:val="20"/>
          </w:rPr>
          <w:fldChar w:fldCharType="end"/>
        </w:r>
      </w:p>
    </w:sdtContent>
  </w:sdt>
  <w:p w14:paraId="00000167" w14:textId="79EB011A" w:rsidR="00F1064E" w:rsidRDefault="00F106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E5802" w14:textId="77777777" w:rsidR="00B84220" w:rsidRDefault="00B84220">
      <w:r>
        <w:separator/>
      </w:r>
    </w:p>
  </w:footnote>
  <w:footnote w:type="continuationSeparator" w:id="0">
    <w:p w14:paraId="477DF62D" w14:textId="77777777" w:rsidR="00B84220" w:rsidRDefault="00B84220">
      <w:r>
        <w:continuationSeparator/>
      </w:r>
    </w:p>
  </w:footnote>
  <w:footnote w:type="continuationNotice" w:id="1">
    <w:p w14:paraId="03468CA0" w14:textId="77777777" w:rsidR="00B84220" w:rsidRDefault="00B84220"/>
  </w:footnote>
  <w:footnote w:id="2">
    <w:p w14:paraId="49759710" w14:textId="024F14B7" w:rsidR="00F116F7" w:rsidRPr="000E2DE1" w:rsidRDefault="00F116F7" w:rsidP="008356CF">
      <w:pPr>
        <w:pStyle w:val="Textonotapie"/>
        <w:jc w:val="both"/>
        <w:rPr>
          <w:rFonts w:ascii="Century Gothic" w:hAnsi="Century Gothic"/>
          <w:sz w:val="16"/>
          <w:szCs w:val="16"/>
          <w:lang w:val="es-CO"/>
        </w:rPr>
      </w:pPr>
      <w:r w:rsidRPr="000E2DE1">
        <w:rPr>
          <w:rStyle w:val="Refdenotaalpie"/>
          <w:rFonts w:ascii="Century Gothic" w:hAnsi="Century Gothic"/>
          <w:sz w:val="16"/>
          <w:szCs w:val="16"/>
        </w:rPr>
        <w:footnoteRef/>
      </w:r>
      <w:r w:rsidRPr="000E2DE1">
        <w:rPr>
          <w:rFonts w:ascii="Century Gothic" w:hAnsi="Century Gothic"/>
          <w:sz w:val="16"/>
          <w:szCs w:val="16"/>
        </w:rPr>
        <w:t xml:space="preserve"> </w:t>
      </w:r>
      <w:r w:rsidRPr="000E2DE1">
        <w:rPr>
          <w:rFonts w:ascii="Century Gothic" w:hAnsi="Century Gothic"/>
          <w:sz w:val="16"/>
          <w:szCs w:val="16"/>
          <w:lang w:val="es-CO"/>
        </w:rPr>
        <w:t xml:space="preserve">Unidad para las Victimas. </w:t>
      </w:r>
      <w:r w:rsidRPr="000E2DE1">
        <w:rPr>
          <w:rFonts w:ascii="Century Gothic" w:eastAsia="Century Gothic" w:hAnsi="Century Gothic" w:cs="Century Gothic"/>
          <w:sz w:val="16"/>
          <w:szCs w:val="16"/>
        </w:rPr>
        <w:t>Unidad para las Victimas.</w:t>
      </w:r>
      <w:hyperlink r:id="rId1">
        <w:r w:rsidRPr="000E2DE1">
          <w:rPr>
            <w:rFonts w:ascii="Century Gothic" w:eastAsia="Century Gothic" w:hAnsi="Century Gothic" w:cs="Century Gothic"/>
            <w:sz w:val="16"/>
            <w:szCs w:val="16"/>
          </w:rPr>
          <w:t xml:space="preserve"> </w:t>
        </w:r>
      </w:hyperlink>
      <w:hyperlink r:id="rId2" w:history="1">
        <w:r w:rsidRPr="000E2DE1">
          <w:rPr>
            <w:rStyle w:val="Hipervnculo"/>
            <w:rFonts w:ascii="Century Gothic" w:eastAsia="Century Gothic" w:hAnsi="Century Gothic" w:cs="Century Gothic"/>
            <w:sz w:val="16"/>
            <w:szCs w:val="16"/>
          </w:rPr>
          <w:t>https://www.unidadvictimas.gov.co/es/registro-unico-de-victimas-ruv/37394 visto junio 2022</w:t>
        </w:r>
      </w:hyperlink>
      <w:r w:rsidRPr="000E2DE1">
        <w:rPr>
          <w:rFonts w:ascii="Century Gothic" w:eastAsia="Century Gothic" w:hAnsi="Century Gothic" w:cs="Century Gothic"/>
          <w:color w:val="1155CC"/>
          <w:sz w:val="16"/>
          <w:szCs w:val="16"/>
        </w:rPr>
        <w:t xml:space="preserve">. </w:t>
      </w:r>
      <w:r w:rsidRPr="000E2DE1">
        <w:rPr>
          <w:rFonts w:ascii="Century Gothic" w:hAnsi="Century Gothic"/>
          <w:sz w:val="16"/>
          <w:szCs w:val="16"/>
          <w:lang w:val="es-CO"/>
        </w:rPr>
        <w:t xml:space="preserve"> </w:t>
      </w:r>
    </w:p>
  </w:footnote>
  <w:footnote w:id="3">
    <w:p w14:paraId="00000168" w14:textId="77777777" w:rsidR="00F1064E" w:rsidRDefault="001D0FD3" w:rsidP="008356CF">
      <w:pPr>
        <w:jc w:val="both"/>
        <w:rPr>
          <w:sz w:val="20"/>
          <w:szCs w:val="20"/>
        </w:rPr>
      </w:pPr>
      <w:r w:rsidRPr="000E2DE1">
        <w:rPr>
          <w:rFonts w:ascii="Century Gothic" w:hAnsi="Century Gothic"/>
          <w:sz w:val="16"/>
          <w:szCs w:val="16"/>
          <w:vertAlign w:val="superscript"/>
        </w:rPr>
        <w:footnoteRef/>
      </w:r>
      <w:r w:rsidRPr="000E2DE1">
        <w:rPr>
          <w:rFonts w:ascii="Century Gothic" w:hAnsi="Century Gothic"/>
          <w:sz w:val="16"/>
          <w:szCs w:val="16"/>
        </w:rPr>
        <w:t xml:space="preserve"> </w:t>
      </w:r>
      <w:r w:rsidRPr="000E2DE1">
        <w:rPr>
          <w:rFonts w:ascii="Century Gothic" w:eastAsia="Century Gothic" w:hAnsi="Century Gothic" w:cs="Century Gothic"/>
          <w:sz w:val="16"/>
          <w:szCs w:val="16"/>
        </w:rPr>
        <w:t>Unidad para las Victimas.</w:t>
      </w:r>
      <w:hyperlink r:id="rId3">
        <w:r w:rsidRPr="000E2DE1">
          <w:rPr>
            <w:rFonts w:ascii="Century Gothic" w:eastAsia="Century Gothic" w:hAnsi="Century Gothic" w:cs="Century Gothic"/>
            <w:sz w:val="16"/>
            <w:szCs w:val="16"/>
          </w:rPr>
          <w:t xml:space="preserve"> </w:t>
        </w:r>
      </w:hyperlink>
      <w:hyperlink r:id="rId4">
        <w:r w:rsidRPr="000E2DE1">
          <w:rPr>
            <w:rFonts w:ascii="Century Gothic" w:eastAsia="Century Gothic" w:hAnsi="Century Gothic" w:cs="Century Gothic"/>
            <w:color w:val="1155CC"/>
            <w:sz w:val="16"/>
            <w:szCs w:val="16"/>
          </w:rPr>
          <w:t>https://www.unidadvictimas.gov.co/es/registro-unico-de-victimas-ruv/37394</w:t>
        </w:r>
      </w:hyperlink>
      <w:r w:rsidRPr="000E2DE1">
        <w:rPr>
          <w:rFonts w:ascii="Century Gothic" w:eastAsia="Century Gothic" w:hAnsi="Century Gothic" w:cs="Century Gothic"/>
          <w:sz w:val="16"/>
          <w:szCs w:val="16"/>
        </w:rPr>
        <w:t>. Visto febrero 2022.</w:t>
      </w:r>
      <w:r>
        <w:rPr>
          <w:rFonts w:ascii="Century Gothic" w:eastAsia="Century Gothic" w:hAnsi="Century Gothic" w:cs="Century Gothic"/>
          <w:sz w:val="18"/>
          <w:szCs w:val="18"/>
        </w:rPr>
        <w:t xml:space="preserve">  </w:t>
      </w:r>
    </w:p>
  </w:footnote>
  <w:footnote w:id="4">
    <w:p w14:paraId="0000015E" w14:textId="77777777" w:rsidR="00F1064E" w:rsidRPr="009D291F" w:rsidRDefault="001D0FD3" w:rsidP="009D291F">
      <w:pPr>
        <w:pBdr>
          <w:top w:val="nil"/>
          <w:left w:val="nil"/>
          <w:bottom w:val="nil"/>
          <w:right w:val="nil"/>
          <w:between w:val="nil"/>
        </w:pBdr>
        <w:jc w:val="both"/>
        <w:rPr>
          <w:rFonts w:ascii="Century Gothic" w:hAnsi="Century Gothic"/>
          <w:color w:val="000000"/>
          <w:sz w:val="16"/>
          <w:szCs w:val="16"/>
        </w:rPr>
      </w:pPr>
      <w:r w:rsidRPr="009D291F">
        <w:rPr>
          <w:rFonts w:ascii="Century Gothic" w:hAnsi="Century Gothic"/>
          <w:sz w:val="16"/>
          <w:szCs w:val="16"/>
          <w:vertAlign w:val="superscript"/>
        </w:rPr>
        <w:footnoteRef/>
      </w:r>
      <w:r w:rsidRPr="00576877">
        <w:rPr>
          <w:rFonts w:ascii="Century Gothic" w:hAnsi="Century Gothic"/>
          <w:color w:val="000000"/>
          <w:sz w:val="16"/>
          <w:szCs w:val="16"/>
        </w:rPr>
        <w:t xml:space="preserve"> </w:t>
      </w:r>
      <w:r w:rsidRPr="00576877">
        <w:rPr>
          <w:rFonts w:ascii="Century Gothic" w:eastAsia="Century Gothic" w:hAnsi="Century Gothic" w:cs="Century Gothic"/>
          <w:color w:val="000000"/>
          <w:sz w:val="16"/>
          <w:szCs w:val="16"/>
        </w:rPr>
        <w:t xml:space="preserve">Durante la reconstrucción del marco lógico se identificó que los ámbitos o “resultados estratégicos” seis al ocho parecen fuera de lugar ya que son expresados más como acciones o estrategias cuantificables que ámbitos de la justicia transicional como tal. </w:t>
      </w:r>
    </w:p>
  </w:footnote>
  <w:footnote w:id="5">
    <w:p w14:paraId="66B07317" w14:textId="77544EE8" w:rsidR="006B7BBC" w:rsidRPr="006B7BBC" w:rsidRDefault="006B7BBC" w:rsidP="009D291F">
      <w:pPr>
        <w:pStyle w:val="Textonotapie"/>
        <w:jc w:val="both"/>
      </w:pPr>
      <w:r w:rsidRPr="009D291F">
        <w:rPr>
          <w:rStyle w:val="Refdenotaalpie"/>
          <w:sz w:val="16"/>
          <w:szCs w:val="16"/>
        </w:rPr>
        <w:footnoteRef/>
      </w:r>
      <w:r w:rsidRPr="009D291F">
        <w:rPr>
          <w:sz w:val="16"/>
          <w:szCs w:val="16"/>
        </w:rPr>
        <w:t xml:space="preserve"> </w:t>
      </w:r>
      <w:r w:rsidRPr="009D291F">
        <w:rPr>
          <w:rFonts w:ascii="Century Gothic" w:eastAsia="Century Gothic" w:hAnsi="Century Gothic" w:cs="Century Gothic"/>
          <w:sz w:val="16"/>
          <w:szCs w:val="16"/>
        </w:rPr>
        <w:t>Cabe aclarar que esto no significa una duplicidad en la programación del programa, sino una decisión</w:t>
      </w:r>
      <w:r w:rsidR="009D291F">
        <w:rPr>
          <w:rFonts w:ascii="Century Gothic" w:eastAsia="Century Gothic" w:hAnsi="Century Gothic" w:cs="Century Gothic"/>
          <w:sz w:val="16"/>
          <w:szCs w:val="16"/>
        </w:rPr>
        <w:t xml:space="preserve"> </w:t>
      </w:r>
      <w:r w:rsidRPr="009D291F">
        <w:rPr>
          <w:rFonts w:ascii="Century Gothic" w:eastAsia="Century Gothic" w:hAnsi="Century Gothic" w:cs="Century Gothic"/>
          <w:sz w:val="16"/>
          <w:szCs w:val="16"/>
        </w:rPr>
        <w:t>gerencial y administrativa para la ejecución de proyectos puntuales.</w:t>
      </w:r>
    </w:p>
  </w:footnote>
  <w:footnote w:id="6">
    <w:p w14:paraId="0000015F" w14:textId="77777777" w:rsidR="00F1064E" w:rsidRPr="005C74FF" w:rsidRDefault="001D0FD3" w:rsidP="005C74FF">
      <w:pPr>
        <w:pBdr>
          <w:top w:val="nil"/>
          <w:left w:val="nil"/>
          <w:bottom w:val="nil"/>
          <w:right w:val="nil"/>
          <w:between w:val="nil"/>
        </w:pBdr>
        <w:jc w:val="both"/>
        <w:rPr>
          <w:rFonts w:ascii="Century Gothic" w:eastAsia="Century Gothic" w:hAnsi="Century Gothic" w:cs="Century Gothic"/>
          <w:color w:val="000000"/>
        </w:rPr>
      </w:pPr>
      <w:r w:rsidRPr="00C04EE3">
        <w:rPr>
          <w:rFonts w:ascii="Century Gothic" w:hAnsi="Century Gothic"/>
          <w:sz w:val="16"/>
          <w:szCs w:val="16"/>
          <w:vertAlign w:val="superscript"/>
        </w:rPr>
        <w:footnoteRef/>
      </w:r>
      <w:r w:rsidRPr="005C74FF">
        <w:rPr>
          <w:rFonts w:ascii="Century Gothic" w:eastAsia="Century Gothic" w:hAnsi="Century Gothic" w:cs="Century Gothic"/>
          <w:color w:val="000000"/>
          <w:sz w:val="16"/>
          <w:szCs w:val="16"/>
        </w:rPr>
        <w:t xml:space="preserve"> Primer Informe del Relator Especial de Naciones Unidas para la promoción de la verdad, la justicia, la reparación y las garantías de no repetición. Asamblea General de Naciones Unidas/Consejo de Derechos Humanos, agosto de 2012. Pág. 7</w:t>
      </w:r>
    </w:p>
  </w:footnote>
  <w:footnote w:id="7">
    <w:p w14:paraId="7B1E112C" w14:textId="1B4140AD" w:rsidR="005A7AB3" w:rsidRPr="005A7AB3" w:rsidRDefault="005A7AB3">
      <w:pPr>
        <w:pStyle w:val="Textonotapie"/>
        <w:rPr>
          <w:rFonts w:ascii="Century Gothic" w:hAnsi="Century Gothic"/>
          <w:sz w:val="20"/>
          <w:szCs w:val="20"/>
        </w:rPr>
      </w:pPr>
      <w:r w:rsidRPr="001F7FF3">
        <w:rPr>
          <w:rStyle w:val="Refdenotaalpie"/>
          <w:rFonts w:ascii="Century Gothic" w:hAnsi="Century Gothic"/>
          <w:sz w:val="16"/>
          <w:szCs w:val="16"/>
        </w:rPr>
        <w:footnoteRef/>
      </w:r>
      <w:r w:rsidRPr="001F7FF3">
        <w:rPr>
          <w:rFonts w:ascii="Century Gothic" w:hAnsi="Century Gothic"/>
          <w:sz w:val="16"/>
          <w:szCs w:val="16"/>
        </w:rPr>
        <w:t xml:space="preserve"> Evaluación de los proyectos de Apoyo al Proyecto de Reparaciones Colectivas Fase I y Apoyo al Programa de RC y Retornos y Reubicaciones.</w:t>
      </w:r>
    </w:p>
  </w:footnote>
  <w:footnote w:id="8">
    <w:p w14:paraId="20DB930F" w14:textId="77777777" w:rsidR="006B7533" w:rsidRPr="001D7A20" w:rsidRDefault="006B7533" w:rsidP="006B7533">
      <w:pPr>
        <w:pStyle w:val="Textonotapie"/>
        <w:rPr>
          <w:rFonts w:ascii="Century Gothic" w:hAnsi="Century Gothic"/>
          <w:sz w:val="16"/>
          <w:szCs w:val="16"/>
          <w:lang w:val="es-CO"/>
        </w:rPr>
      </w:pPr>
      <w:r w:rsidRPr="001D7A20">
        <w:rPr>
          <w:rStyle w:val="Refdenotaalpie"/>
          <w:rFonts w:ascii="Century Gothic" w:hAnsi="Century Gothic"/>
          <w:sz w:val="16"/>
          <w:szCs w:val="16"/>
        </w:rPr>
        <w:footnoteRef/>
      </w:r>
      <w:r w:rsidRPr="001D7A20">
        <w:rPr>
          <w:rFonts w:ascii="Century Gothic" w:hAnsi="Century Gothic"/>
          <w:sz w:val="16"/>
          <w:szCs w:val="16"/>
        </w:rPr>
        <w:t xml:space="preserve"> Juanita Arango y Laura Diaz. </w:t>
      </w:r>
      <w:r w:rsidRPr="001D7A20">
        <w:rPr>
          <w:rFonts w:ascii="Century Gothic" w:hAnsi="Century Gothic"/>
          <w:sz w:val="16"/>
          <w:szCs w:val="16"/>
          <w:lang w:val="es-CO"/>
        </w:rPr>
        <w:t>Evaluación de los proyectos de apoyo al proyecto de reparaciones colectivas Fase 1 y Apoya al programa RC y retornos y reubicaciones. Mayo 2022</w:t>
      </w:r>
    </w:p>
  </w:footnote>
  <w:footnote w:id="9">
    <w:p w14:paraId="3912B35D" w14:textId="77777777" w:rsidR="00717364" w:rsidRPr="001D7A20" w:rsidRDefault="00717364" w:rsidP="00717364">
      <w:pPr>
        <w:pStyle w:val="Textonotapie"/>
        <w:rPr>
          <w:rFonts w:ascii="Century Gothic" w:hAnsi="Century Gothic"/>
          <w:sz w:val="16"/>
          <w:szCs w:val="16"/>
          <w:lang w:val="es-ES"/>
        </w:rPr>
      </w:pPr>
      <w:r w:rsidRPr="001D7A20">
        <w:rPr>
          <w:rStyle w:val="Refdenotaalpie"/>
          <w:rFonts w:ascii="Century Gothic" w:hAnsi="Century Gothic"/>
          <w:sz w:val="16"/>
          <w:szCs w:val="16"/>
        </w:rPr>
        <w:footnoteRef/>
      </w:r>
      <w:r w:rsidRPr="001D7A20">
        <w:rPr>
          <w:rFonts w:ascii="Century Gothic" w:hAnsi="Century Gothic"/>
          <w:sz w:val="16"/>
          <w:szCs w:val="16"/>
        </w:rPr>
        <w:t xml:space="preserve"> </w:t>
      </w:r>
      <w:r w:rsidRPr="001D7A20">
        <w:rPr>
          <w:rFonts w:ascii="Century Gothic" w:hAnsi="Century Gothic"/>
          <w:sz w:val="16"/>
          <w:szCs w:val="16"/>
          <w:lang w:val="es-ES"/>
        </w:rPr>
        <w:t xml:space="preserve">Informe de evaluación </w:t>
      </w:r>
      <w:r>
        <w:rPr>
          <w:rFonts w:ascii="Century Gothic" w:hAnsi="Century Gothic"/>
          <w:sz w:val="16"/>
          <w:szCs w:val="16"/>
          <w:lang w:val="es-ES"/>
        </w:rPr>
        <w:t xml:space="preserve">componente </w:t>
      </w:r>
      <w:r w:rsidRPr="001D7A20">
        <w:rPr>
          <w:rFonts w:ascii="Century Gothic" w:hAnsi="Century Gothic"/>
          <w:sz w:val="16"/>
          <w:szCs w:val="16"/>
          <w:lang w:val="es-ES"/>
        </w:rPr>
        <w:t>de reparación colectiva</w:t>
      </w:r>
      <w:r>
        <w:rPr>
          <w:rFonts w:ascii="Century Gothic" w:hAnsi="Century Gothic"/>
          <w:sz w:val="16"/>
          <w:szCs w:val="16"/>
          <w:lang w:val="es-ES"/>
        </w:rPr>
        <w:t xml:space="preserve"> Portafolio de Justicia Transicional del PNUD. </w:t>
      </w:r>
      <w:r w:rsidRPr="001D7A20">
        <w:rPr>
          <w:rFonts w:ascii="Century Gothic" w:hAnsi="Century Gothic"/>
          <w:sz w:val="16"/>
          <w:szCs w:val="16"/>
          <w:lang w:val="es-ES"/>
        </w:rPr>
        <w:t>p</w:t>
      </w:r>
      <w:r>
        <w:rPr>
          <w:rFonts w:ascii="Century Gothic" w:hAnsi="Century Gothic"/>
          <w:sz w:val="16"/>
          <w:szCs w:val="16"/>
          <w:lang w:val="es-ES"/>
        </w:rPr>
        <w:t>ágina</w:t>
      </w:r>
      <w:r w:rsidRPr="001D7A20">
        <w:rPr>
          <w:rFonts w:ascii="Century Gothic" w:hAnsi="Century Gothic"/>
          <w:sz w:val="16"/>
          <w:szCs w:val="16"/>
          <w:lang w:val="es-ES"/>
        </w:rPr>
        <w:t>. 29</w:t>
      </w:r>
    </w:p>
  </w:footnote>
  <w:footnote w:id="10">
    <w:p w14:paraId="1D77C59D" w14:textId="77777777" w:rsidR="00717364" w:rsidRPr="004B3E78" w:rsidRDefault="00717364" w:rsidP="00717364">
      <w:pPr>
        <w:pStyle w:val="Textonotapie"/>
        <w:rPr>
          <w:rFonts w:ascii="Century Gothic" w:hAnsi="Century Gothic"/>
          <w:sz w:val="16"/>
          <w:szCs w:val="16"/>
          <w:lang w:val="es-CO"/>
        </w:rPr>
      </w:pPr>
      <w:r w:rsidRPr="004B3E78">
        <w:rPr>
          <w:rStyle w:val="Refdenotaalpie"/>
          <w:rFonts w:ascii="Century Gothic" w:hAnsi="Century Gothic"/>
          <w:sz w:val="16"/>
          <w:szCs w:val="16"/>
        </w:rPr>
        <w:footnoteRef/>
      </w:r>
      <w:r w:rsidRPr="004B3E78">
        <w:rPr>
          <w:rFonts w:ascii="Century Gothic" w:hAnsi="Century Gothic"/>
          <w:sz w:val="16"/>
          <w:szCs w:val="16"/>
          <w:lang w:val="es-CO"/>
        </w:rPr>
        <w:t xml:space="preserve"> Ibid pg. 32</w:t>
      </w:r>
    </w:p>
  </w:footnote>
  <w:footnote w:id="11">
    <w:p w14:paraId="16E4CED0" w14:textId="2AA20F89" w:rsidR="00717364" w:rsidRPr="00FE4FED" w:rsidRDefault="00717364" w:rsidP="00FE4FED">
      <w:pPr>
        <w:pStyle w:val="Textonotapie"/>
        <w:jc w:val="both"/>
        <w:rPr>
          <w:rFonts w:ascii="Century Gothic" w:hAnsi="Century Gothic"/>
          <w:sz w:val="16"/>
          <w:szCs w:val="16"/>
          <w:lang w:val="es-ES"/>
        </w:rPr>
      </w:pPr>
      <w:r w:rsidRPr="00FE4FED">
        <w:rPr>
          <w:rStyle w:val="Refdenotaalpie"/>
          <w:rFonts w:ascii="Century Gothic" w:hAnsi="Century Gothic"/>
          <w:sz w:val="16"/>
          <w:szCs w:val="16"/>
        </w:rPr>
        <w:footnoteRef/>
      </w:r>
      <w:r w:rsidRPr="00FE4FED">
        <w:rPr>
          <w:rFonts w:ascii="Century Gothic" w:hAnsi="Century Gothic"/>
          <w:sz w:val="16"/>
          <w:szCs w:val="16"/>
        </w:rPr>
        <w:t xml:space="preserve"> </w:t>
      </w:r>
      <w:r w:rsidRPr="00FE4FED">
        <w:rPr>
          <w:rFonts w:ascii="Century Gothic" w:hAnsi="Century Gothic" w:cstheme="minorHAnsi"/>
          <w:sz w:val="16"/>
          <w:szCs w:val="16"/>
        </w:rPr>
        <w:t xml:space="preserve">En una muestra especial por parte de LAPOP, Barómetro de las Américas, en las zonas de conflicto de Colombia en 2015, </w:t>
      </w:r>
      <w:r w:rsidRPr="00FE4FED">
        <w:rPr>
          <w:rFonts w:ascii="Century Gothic" w:hAnsi="Century Gothic" w:cstheme="minorHAnsi"/>
          <w:bCs/>
          <w:sz w:val="16"/>
          <w:szCs w:val="16"/>
        </w:rPr>
        <w:t>la institución que contaba con mayor confianza en los territorios es la Iglesia Católica</w:t>
      </w:r>
      <w:r w:rsidRPr="00FE4FED">
        <w:rPr>
          <w:rFonts w:ascii="Century Gothic" w:hAnsi="Century Gothic" w:cstheme="minorHAnsi"/>
          <w:sz w:val="16"/>
          <w:szCs w:val="16"/>
        </w:rPr>
        <w:t xml:space="preserve"> con una calificación de 63.1 de 100 en respuesta a la pregunta ¿Hasta </w:t>
      </w:r>
      <w:r w:rsidR="00FE4FED" w:rsidRPr="00FE4FED">
        <w:rPr>
          <w:rFonts w:ascii="Century Gothic" w:hAnsi="Century Gothic" w:cstheme="minorHAnsi"/>
          <w:sz w:val="16"/>
          <w:szCs w:val="16"/>
        </w:rPr>
        <w:t>qué</w:t>
      </w:r>
      <w:r w:rsidRPr="00FE4FED">
        <w:rPr>
          <w:rFonts w:ascii="Century Gothic" w:hAnsi="Century Gothic" w:cstheme="minorHAnsi"/>
          <w:sz w:val="16"/>
          <w:szCs w:val="16"/>
        </w:rPr>
        <w:t xml:space="preserve"> punto tiene confianza en…? 0 representando “nada” y 100 “</w:t>
      </w:r>
      <w:r w:rsidR="00FE4FED" w:rsidRPr="00FE4FED">
        <w:rPr>
          <w:rFonts w:ascii="Century Gothic" w:hAnsi="Century Gothic" w:cstheme="minorHAnsi"/>
          <w:sz w:val="16"/>
          <w:szCs w:val="16"/>
        </w:rPr>
        <w:t>mucho”.</w:t>
      </w:r>
      <w:r w:rsidR="00FE4FED" w:rsidRPr="00FE4FED">
        <w:rPr>
          <w:rFonts w:ascii="Century Gothic" w:hAnsi="Century Gothic" w:cstheme="minorHAnsi"/>
          <w:bCs/>
          <w:sz w:val="16"/>
          <w:szCs w:val="16"/>
        </w:rPr>
        <w:t xml:space="preserve"> Las</w:t>
      </w:r>
      <w:r w:rsidRPr="00FE4FED">
        <w:rPr>
          <w:rFonts w:ascii="Century Gothic" w:hAnsi="Century Gothic" w:cstheme="minorHAnsi"/>
          <w:bCs/>
          <w:sz w:val="16"/>
          <w:szCs w:val="16"/>
        </w:rPr>
        <w:t xml:space="preserve"> fuerzas armadas también gozaban de gran confianza </w:t>
      </w:r>
      <w:r w:rsidRPr="00FE4FED">
        <w:rPr>
          <w:rFonts w:ascii="Century Gothic" w:hAnsi="Century Gothic" w:cstheme="minorHAnsi"/>
          <w:sz w:val="16"/>
          <w:szCs w:val="16"/>
        </w:rPr>
        <w:t xml:space="preserve">con 54.6 puntos, seguido por las iglesias evangélicas con 51.5. Las instituciones estatales que menos confianza inspiraban en la población (con menos de 50 puntos) eran las administrativas, judiciales y políticas: Unidad Administrativa para la Consolidación Territorial (48.9), la Policía (48.2), el sistema judicial (46.4) y todas las instituciones relacionadas con la vida política (aparte del sindicalismo) en el último lugar: elecciones (42.5), Alcaldía (41.5), Congreso (40.8), Sindicatos (37.7), y los partidos políticos (29.7). </w:t>
      </w:r>
    </w:p>
  </w:footnote>
  <w:footnote w:id="12">
    <w:p w14:paraId="62DEAC92" w14:textId="77777777" w:rsidR="00717364" w:rsidRPr="00F64B20" w:rsidRDefault="00717364" w:rsidP="00FE4FED">
      <w:pPr>
        <w:pStyle w:val="Textonotapie"/>
        <w:jc w:val="both"/>
        <w:rPr>
          <w:rFonts w:ascii="Century Gothic" w:hAnsi="Century Gothic"/>
          <w:sz w:val="16"/>
          <w:szCs w:val="16"/>
          <w:lang w:val="es-CO"/>
        </w:rPr>
      </w:pPr>
      <w:r w:rsidRPr="00FE4FED">
        <w:rPr>
          <w:rStyle w:val="Refdenotaalpie"/>
          <w:rFonts w:ascii="Century Gothic" w:hAnsi="Century Gothic"/>
          <w:sz w:val="16"/>
          <w:szCs w:val="16"/>
        </w:rPr>
        <w:footnoteRef/>
      </w:r>
      <w:r w:rsidRPr="00FE4FED">
        <w:rPr>
          <w:rFonts w:ascii="Century Gothic" w:hAnsi="Century Gothic"/>
          <w:sz w:val="16"/>
          <w:szCs w:val="16"/>
          <w:lang w:val="es-CO"/>
        </w:rPr>
        <w:t xml:space="preserve"> </w:t>
      </w:r>
      <w:r w:rsidRPr="00FE4FED">
        <w:rPr>
          <w:rFonts w:ascii="Century Gothic" w:hAnsi="Century Gothic"/>
          <w:sz w:val="16"/>
          <w:szCs w:val="16"/>
          <w:lang w:val="es-ES"/>
        </w:rPr>
        <w:t xml:space="preserve">Informe de evaluación componente de reparación colectiva Portafolio de Justicia Transicional del PNUD. </w:t>
      </w:r>
      <w:r w:rsidRPr="00FE4FED">
        <w:rPr>
          <w:rFonts w:ascii="Century Gothic" w:hAnsi="Century Gothic"/>
          <w:sz w:val="16"/>
          <w:szCs w:val="16"/>
          <w:lang w:val="es-CO"/>
        </w:rPr>
        <w:t>pg. 37</w:t>
      </w:r>
    </w:p>
  </w:footnote>
  <w:footnote w:id="13">
    <w:p w14:paraId="138F40EC" w14:textId="77777777" w:rsidR="00717364" w:rsidRPr="009251B2" w:rsidRDefault="00717364" w:rsidP="00717364">
      <w:pPr>
        <w:pStyle w:val="Textonotapie"/>
        <w:rPr>
          <w:rFonts w:ascii="Century Gothic" w:hAnsi="Century Gothic"/>
          <w:sz w:val="16"/>
          <w:szCs w:val="16"/>
          <w:lang w:val="es-ES"/>
        </w:rPr>
      </w:pPr>
      <w:r w:rsidRPr="009251B2">
        <w:rPr>
          <w:rStyle w:val="Refdenotaalpie"/>
          <w:rFonts w:ascii="Century Gothic" w:hAnsi="Century Gothic"/>
          <w:sz w:val="16"/>
          <w:szCs w:val="16"/>
        </w:rPr>
        <w:footnoteRef/>
      </w:r>
      <w:r w:rsidRPr="009251B2">
        <w:rPr>
          <w:rFonts w:ascii="Century Gothic" w:hAnsi="Century Gothic"/>
          <w:sz w:val="16"/>
          <w:szCs w:val="16"/>
        </w:rPr>
        <w:t xml:space="preserve"> </w:t>
      </w:r>
      <w:r w:rsidRPr="009251B2">
        <w:rPr>
          <w:rFonts w:ascii="Century Gothic" w:hAnsi="Century Gothic"/>
          <w:sz w:val="16"/>
          <w:szCs w:val="16"/>
          <w:lang w:val="es-ES"/>
        </w:rPr>
        <w:t>Entrevista con representante de la Comisión de la Verdad</w:t>
      </w:r>
    </w:p>
  </w:footnote>
  <w:footnote w:id="14">
    <w:p w14:paraId="79BA5614" w14:textId="77777777" w:rsidR="00717364" w:rsidRPr="003345F9" w:rsidRDefault="00717364" w:rsidP="00717364">
      <w:pPr>
        <w:pStyle w:val="Textonotapie"/>
        <w:jc w:val="both"/>
        <w:rPr>
          <w:rFonts w:ascii="Century Gothic" w:hAnsi="Century Gothic"/>
          <w:sz w:val="16"/>
          <w:szCs w:val="16"/>
          <w:lang w:val="es-CO"/>
        </w:rPr>
      </w:pPr>
      <w:r w:rsidRPr="003345F9">
        <w:rPr>
          <w:rStyle w:val="Refdenotaalpie"/>
          <w:rFonts w:ascii="Century Gothic" w:hAnsi="Century Gothic"/>
          <w:sz w:val="16"/>
          <w:szCs w:val="16"/>
        </w:rPr>
        <w:footnoteRef/>
      </w:r>
      <w:r w:rsidRPr="003345F9">
        <w:rPr>
          <w:rFonts w:ascii="Century Gothic" w:hAnsi="Century Gothic"/>
          <w:sz w:val="16"/>
          <w:szCs w:val="16"/>
        </w:rPr>
        <w:t xml:space="preserve"> Programa de Justicia Transicional. Informe anual PJT. 00101700 - On Going (Output 6.4) -Fortalecidos los mecanismos institucionales y de la sociedad civil para el esclarecimiento de la verdad y la memoria histórica. </w:t>
      </w:r>
    </w:p>
  </w:footnote>
  <w:footnote w:id="15">
    <w:p w14:paraId="7C852DE1" w14:textId="77777777" w:rsidR="00717364" w:rsidRPr="00CA71F5" w:rsidRDefault="00717364" w:rsidP="00717364">
      <w:pPr>
        <w:pStyle w:val="Textonotapie"/>
        <w:jc w:val="both"/>
        <w:rPr>
          <w:rFonts w:ascii="Century Gothic" w:hAnsi="Century Gothic"/>
          <w:sz w:val="16"/>
          <w:szCs w:val="16"/>
        </w:rPr>
      </w:pPr>
      <w:r w:rsidRPr="00CA71F5">
        <w:rPr>
          <w:rStyle w:val="Refdenotaalpie"/>
          <w:rFonts w:ascii="Century Gothic" w:hAnsi="Century Gothic"/>
          <w:sz w:val="16"/>
          <w:szCs w:val="16"/>
        </w:rPr>
        <w:footnoteRef/>
      </w:r>
      <w:r w:rsidRPr="00CA71F5">
        <w:rPr>
          <w:rFonts w:ascii="Century Gothic" w:hAnsi="Century Gothic"/>
          <w:sz w:val="16"/>
          <w:szCs w:val="16"/>
        </w:rPr>
        <w:t xml:space="preserve"> Emanuela Lomabrdo y Mieke Verloo. La ´interseccionalidad´ del género con otras desigualdades en la política de la Unión Europea. Radboud University Nijmegen. 2022. Visto 09.05.2022. </w:t>
      </w:r>
      <w:r w:rsidRPr="00CA71F5">
        <w:rPr>
          <w:rFonts w:ascii="Century Gothic" w:hAnsi="Century Gothic"/>
          <w:sz w:val="16"/>
          <w:szCs w:val="16"/>
        </w:rPr>
        <w:cr/>
        <w:t xml:space="preserve">https://repository.ubn.ru.nl/bitstream/handle/2066/86936/86936.pdf </w:t>
      </w:r>
    </w:p>
  </w:footnote>
  <w:footnote w:id="16">
    <w:p w14:paraId="1C3E113E" w14:textId="77777777" w:rsidR="00717364" w:rsidRPr="00A42175" w:rsidRDefault="00717364" w:rsidP="00717364">
      <w:pPr>
        <w:pStyle w:val="Textonotapie"/>
        <w:jc w:val="both"/>
        <w:rPr>
          <w:rFonts w:ascii="Century Gothic" w:hAnsi="Century Gothic"/>
          <w:sz w:val="16"/>
          <w:szCs w:val="16"/>
          <w:lang w:val="es-CO"/>
        </w:rPr>
      </w:pPr>
      <w:r w:rsidRPr="00A42175">
        <w:rPr>
          <w:rStyle w:val="Refdenotaalpie"/>
          <w:rFonts w:ascii="Century Gothic" w:hAnsi="Century Gothic"/>
          <w:sz w:val="16"/>
          <w:szCs w:val="16"/>
        </w:rPr>
        <w:footnoteRef/>
      </w:r>
      <w:r w:rsidRPr="00A42175">
        <w:rPr>
          <w:rFonts w:ascii="Century Gothic" w:hAnsi="Century Gothic"/>
          <w:sz w:val="16"/>
          <w:szCs w:val="16"/>
        </w:rPr>
        <w:t xml:space="preserve"> Rodríguez, Lucero Elizabeth. Riunne. La interseccionalidad como herramienta para el tratamiento de las desigualdades que sufren las mujeres. </w:t>
      </w:r>
      <w:hyperlink r:id="rId5" w:history="1">
        <w:r w:rsidRPr="00A42175">
          <w:rPr>
            <w:rStyle w:val="Hipervnculo"/>
            <w:rFonts w:ascii="Century Gothic" w:hAnsi="Century Gothic"/>
            <w:sz w:val="16"/>
            <w:szCs w:val="16"/>
          </w:rPr>
          <w:t>http://repositorio.unne.edu.ar/handle/123456789/29749</w:t>
        </w:r>
      </w:hyperlink>
      <w:r w:rsidRPr="00A42175">
        <w:rPr>
          <w:rFonts w:ascii="Century Gothic" w:hAnsi="Century Gothic"/>
          <w:sz w:val="16"/>
          <w:szCs w:val="16"/>
        </w:rPr>
        <w:t xml:space="preserve">. Visto Julio 13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2" w14:textId="77777777" w:rsidR="00F1064E" w:rsidRDefault="001D0FD3">
    <w:r>
      <w:rPr>
        <w:noProof/>
      </w:rPr>
      <w:drawing>
        <wp:anchor distT="0" distB="0" distL="0" distR="0" simplePos="0" relativeHeight="251658240" behindDoc="1" locked="0" layoutInCell="1" hidden="0" allowOverlap="1" wp14:anchorId="5EB3A66C" wp14:editId="2D0457AD">
          <wp:simplePos x="0" y="0"/>
          <wp:positionH relativeFrom="column">
            <wp:posOffset>-1106804</wp:posOffset>
          </wp:positionH>
          <wp:positionV relativeFrom="paragraph">
            <wp:posOffset>-436243</wp:posOffset>
          </wp:positionV>
          <wp:extent cx="7839710" cy="135763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39710" cy="13576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306B" w14:textId="57AF3DC3" w:rsidR="00AE033D" w:rsidRDefault="00AE033D">
    <w:pPr>
      <w:pStyle w:val="Encabezado"/>
    </w:pPr>
    <w:r>
      <w:rPr>
        <w:noProof/>
      </w:rPr>
      <w:drawing>
        <wp:anchor distT="0" distB="0" distL="0" distR="0" simplePos="0" relativeHeight="251660288" behindDoc="1" locked="0" layoutInCell="1" hidden="0" allowOverlap="1" wp14:anchorId="5E554898" wp14:editId="010482F9">
          <wp:simplePos x="0" y="0"/>
          <wp:positionH relativeFrom="page">
            <wp:posOffset>198120</wp:posOffset>
          </wp:positionH>
          <wp:positionV relativeFrom="paragraph">
            <wp:posOffset>-556714</wp:posOffset>
          </wp:positionV>
          <wp:extent cx="7839710" cy="1357630"/>
          <wp:effectExtent l="0" t="0" r="8890" b="0"/>
          <wp:wrapNone/>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39710" cy="13576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4" w14:textId="6F5A1DB7" w:rsidR="00F1064E" w:rsidRDefault="001D0FD3">
    <w:r>
      <w:rPr>
        <w:noProof/>
      </w:rPr>
      <w:drawing>
        <wp:anchor distT="0" distB="0" distL="0" distR="0" simplePos="0" relativeHeight="251662336" behindDoc="1" locked="0" layoutInCell="1" hidden="0" allowOverlap="1" wp14:anchorId="4F27966C" wp14:editId="3CC29DA1">
          <wp:simplePos x="0" y="0"/>
          <wp:positionH relativeFrom="column">
            <wp:posOffset>-1106804</wp:posOffset>
          </wp:positionH>
          <wp:positionV relativeFrom="paragraph">
            <wp:posOffset>-436243</wp:posOffset>
          </wp:positionV>
          <wp:extent cx="7839710" cy="1357630"/>
          <wp:effectExtent l="0" t="0" r="0" b="0"/>
          <wp:wrapNone/>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39710" cy="1357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34C9"/>
    <w:multiLevelType w:val="hybridMultilevel"/>
    <w:tmpl w:val="5AF61198"/>
    <w:lvl w:ilvl="0" w:tplc="04090001">
      <w:start w:val="1"/>
      <w:numFmt w:val="bullet"/>
      <w:lvlText w:val=""/>
      <w:lvlJc w:val="left"/>
      <w:pPr>
        <w:ind w:left="720" w:hanging="360"/>
      </w:pPr>
      <w:rPr>
        <w:rFonts w:ascii="Symbol" w:hAnsi="Symbol" w:hint="default"/>
      </w:rPr>
    </w:lvl>
    <w:lvl w:ilvl="1" w:tplc="359CFEEE">
      <w:numFmt w:val="bullet"/>
      <w:lvlText w:val="•"/>
      <w:lvlJc w:val="left"/>
      <w:pPr>
        <w:ind w:left="1788" w:hanging="708"/>
      </w:pPr>
      <w:rPr>
        <w:rFonts w:ascii="Century Gothic" w:eastAsia="Century Gothic" w:hAnsi="Century Gothic"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B2F4B"/>
    <w:multiLevelType w:val="hybridMultilevel"/>
    <w:tmpl w:val="3800CE4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80AA2"/>
    <w:multiLevelType w:val="hybridMultilevel"/>
    <w:tmpl w:val="59F2F9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9B5C8F"/>
    <w:multiLevelType w:val="hybridMultilevel"/>
    <w:tmpl w:val="E1F40344"/>
    <w:lvl w:ilvl="0" w:tplc="F19206FA">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1151E7"/>
    <w:multiLevelType w:val="hybridMultilevel"/>
    <w:tmpl w:val="8DF0B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53BDD"/>
    <w:multiLevelType w:val="hybridMultilevel"/>
    <w:tmpl w:val="7AC09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5B5247"/>
    <w:multiLevelType w:val="multilevel"/>
    <w:tmpl w:val="5E8699D0"/>
    <w:lvl w:ilvl="0">
      <w:start w:val="4"/>
      <w:numFmt w:val="decimal"/>
      <w:pStyle w:val="Ttulo1"/>
      <w:lvlText w:val="%1."/>
      <w:lvlJc w:val="left"/>
      <w:pPr>
        <w:ind w:left="720" w:hanging="360"/>
      </w:pPr>
      <w:rPr>
        <w:rFonts w:hint="default"/>
      </w:rPr>
    </w:lvl>
    <w:lvl w:ilvl="1">
      <w:start w:val="1"/>
      <w:numFmt w:val="lowerLetter"/>
      <w:pStyle w:val="Ttulo2"/>
      <w:lvlText w:val="%2."/>
      <w:lvlJc w:val="left"/>
      <w:pPr>
        <w:ind w:left="1211" w:hanging="360"/>
      </w:pPr>
      <w:rPr>
        <w:rFonts w:hint="default"/>
      </w:rPr>
    </w:lvl>
    <w:lvl w:ilvl="2">
      <w:start w:val="1"/>
      <w:numFmt w:val="lowerRoman"/>
      <w:pStyle w:val="Ttulo3"/>
      <w:lvlText w:val="%3."/>
      <w:lvlJc w:val="right"/>
      <w:pPr>
        <w:ind w:left="2160" w:hanging="180"/>
      </w:pPr>
      <w:rPr>
        <w:rFonts w:hint="default"/>
      </w:rPr>
    </w:lvl>
    <w:lvl w:ilvl="3">
      <w:start w:val="1"/>
      <w:numFmt w:val="decimal"/>
      <w:pStyle w:val="Ttulo4"/>
      <w:lvlText w:val="%4."/>
      <w:lvlJc w:val="left"/>
      <w:pPr>
        <w:ind w:left="2880" w:hanging="360"/>
      </w:pPr>
      <w:rPr>
        <w:rFonts w:hint="default"/>
      </w:rPr>
    </w:lvl>
    <w:lvl w:ilvl="4">
      <w:start w:val="1"/>
      <w:numFmt w:val="lowerLetter"/>
      <w:pStyle w:val="Ttulo5"/>
      <w:lvlText w:val="%5."/>
      <w:lvlJc w:val="left"/>
      <w:pPr>
        <w:ind w:left="3600" w:hanging="360"/>
      </w:pPr>
      <w:rPr>
        <w:rFonts w:hint="default"/>
      </w:rPr>
    </w:lvl>
    <w:lvl w:ilvl="5">
      <w:start w:val="1"/>
      <w:numFmt w:val="lowerRoman"/>
      <w:pStyle w:val="Ttulo6"/>
      <w:lvlText w:val="%6."/>
      <w:lvlJc w:val="right"/>
      <w:pPr>
        <w:ind w:left="4320" w:hanging="180"/>
      </w:pPr>
      <w:rPr>
        <w:rFonts w:hint="default"/>
      </w:rPr>
    </w:lvl>
    <w:lvl w:ilvl="6">
      <w:start w:val="1"/>
      <w:numFmt w:val="decimal"/>
      <w:pStyle w:val="Ttulo7"/>
      <w:lvlText w:val="%7."/>
      <w:lvlJc w:val="left"/>
      <w:pPr>
        <w:ind w:left="5040" w:hanging="360"/>
      </w:pPr>
      <w:rPr>
        <w:rFonts w:hint="default"/>
      </w:rPr>
    </w:lvl>
    <w:lvl w:ilvl="7">
      <w:start w:val="1"/>
      <w:numFmt w:val="lowerLetter"/>
      <w:pStyle w:val="Ttulo8"/>
      <w:lvlText w:val="%8."/>
      <w:lvlJc w:val="left"/>
      <w:pPr>
        <w:ind w:left="5760" w:hanging="360"/>
      </w:pPr>
      <w:rPr>
        <w:rFonts w:hint="default"/>
      </w:rPr>
    </w:lvl>
    <w:lvl w:ilvl="8">
      <w:start w:val="1"/>
      <w:numFmt w:val="lowerRoman"/>
      <w:pStyle w:val="Ttulo9"/>
      <w:lvlText w:val="%9."/>
      <w:lvlJc w:val="right"/>
      <w:pPr>
        <w:ind w:left="6480" w:hanging="180"/>
      </w:pPr>
      <w:rPr>
        <w:rFonts w:hint="default"/>
      </w:rPr>
    </w:lvl>
  </w:abstractNum>
  <w:abstractNum w:abstractNumId="7" w15:restartNumberingAfterBreak="0">
    <w:nsid w:val="1E72308C"/>
    <w:multiLevelType w:val="hybridMultilevel"/>
    <w:tmpl w:val="04744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1079E"/>
    <w:multiLevelType w:val="hybridMultilevel"/>
    <w:tmpl w:val="3800CE4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5130BE"/>
    <w:multiLevelType w:val="multilevel"/>
    <w:tmpl w:val="76EA9156"/>
    <w:lvl w:ilvl="0">
      <w:start w:val="1"/>
      <w:numFmt w:val="decimal"/>
      <w:lvlText w:val="%1."/>
      <w:lvlJc w:val="left"/>
      <w:pPr>
        <w:ind w:left="720" w:hanging="360"/>
      </w:pPr>
    </w:lvl>
    <w:lvl w:ilvl="1">
      <w:start w:val="2"/>
      <w:numFmt w:val="decimal"/>
      <w:isLgl/>
      <w:lvlText w:val="%1.%2"/>
      <w:lvlJc w:val="left"/>
      <w:pPr>
        <w:ind w:left="1812" w:hanging="372"/>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0" w15:restartNumberingAfterBreak="0">
    <w:nsid w:val="48896E13"/>
    <w:multiLevelType w:val="hybridMultilevel"/>
    <w:tmpl w:val="300EE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A93C9D"/>
    <w:multiLevelType w:val="hybridMultilevel"/>
    <w:tmpl w:val="101A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A4A30"/>
    <w:multiLevelType w:val="hybridMultilevel"/>
    <w:tmpl w:val="1DBE41E6"/>
    <w:lvl w:ilvl="0" w:tplc="4010164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5329031B"/>
    <w:multiLevelType w:val="hybridMultilevel"/>
    <w:tmpl w:val="31BEC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DE36B2"/>
    <w:multiLevelType w:val="hybridMultilevel"/>
    <w:tmpl w:val="EF1CC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D626A8"/>
    <w:multiLevelType w:val="hybridMultilevel"/>
    <w:tmpl w:val="4B2AEFE2"/>
    <w:lvl w:ilvl="0" w:tplc="3F5067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20E0B0A"/>
    <w:multiLevelType w:val="multilevel"/>
    <w:tmpl w:val="60C8630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D71F79"/>
    <w:multiLevelType w:val="hybridMultilevel"/>
    <w:tmpl w:val="5E8C83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F467342"/>
    <w:multiLevelType w:val="hybridMultilevel"/>
    <w:tmpl w:val="11346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2"/>
  </w:num>
  <w:num w:numId="5">
    <w:abstractNumId w:val="5"/>
  </w:num>
  <w:num w:numId="6">
    <w:abstractNumId w:val="14"/>
  </w:num>
  <w:num w:numId="7">
    <w:abstractNumId w:val="17"/>
  </w:num>
  <w:num w:numId="8">
    <w:abstractNumId w:val="9"/>
  </w:num>
  <w:num w:numId="9">
    <w:abstractNumId w:val="8"/>
  </w:num>
  <w:num w:numId="10">
    <w:abstractNumId w:val="12"/>
  </w:num>
  <w:num w:numId="11">
    <w:abstractNumId w:val="11"/>
  </w:num>
  <w:num w:numId="12">
    <w:abstractNumId w:val="18"/>
  </w:num>
  <w:num w:numId="13">
    <w:abstractNumId w:val="4"/>
  </w:num>
  <w:num w:numId="14">
    <w:abstractNumId w:val="10"/>
  </w:num>
  <w:num w:numId="15">
    <w:abstractNumId w:val="13"/>
  </w:num>
  <w:num w:numId="16">
    <w:abstractNumId w:val="0"/>
  </w:num>
  <w:num w:numId="17">
    <w:abstractNumId w:val="1"/>
  </w:num>
  <w:num w:numId="18">
    <w:abstractNumId w:val="16"/>
  </w:num>
  <w:num w:numId="1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64E"/>
    <w:rsid w:val="00000EE3"/>
    <w:rsid w:val="0000329A"/>
    <w:rsid w:val="00003D41"/>
    <w:rsid w:val="000053D8"/>
    <w:rsid w:val="000159BB"/>
    <w:rsid w:val="00017F2D"/>
    <w:rsid w:val="00017FFD"/>
    <w:rsid w:val="00020852"/>
    <w:rsid w:val="00021A9B"/>
    <w:rsid w:val="00023B63"/>
    <w:rsid w:val="00023F3E"/>
    <w:rsid w:val="00030D24"/>
    <w:rsid w:val="00033555"/>
    <w:rsid w:val="00034670"/>
    <w:rsid w:val="00034DBE"/>
    <w:rsid w:val="000367C1"/>
    <w:rsid w:val="00045D64"/>
    <w:rsid w:val="00046FF9"/>
    <w:rsid w:val="00051DD6"/>
    <w:rsid w:val="000523D0"/>
    <w:rsid w:val="0005339E"/>
    <w:rsid w:val="00053BC5"/>
    <w:rsid w:val="000565AB"/>
    <w:rsid w:val="00056661"/>
    <w:rsid w:val="000612BF"/>
    <w:rsid w:val="00061503"/>
    <w:rsid w:val="00063812"/>
    <w:rsid w:val="0006403C"/>
    <w:rsid w:val="000641C3"/>
    <w:rsid w:val="00067BA5"/>
    <w:rsid w:val="000704A3"/>
    <w:rsid w:val="0007185C"/>
    <w:rsid w:val="00075201"/>
    <w:rsid w:val="00082C67"/>
    <w:rsid w:val="00084EA2"/>
    <w:rsid w:val="00086CB5"/>
    <w:rsid w:val="00094823"/>
    <w:rsid w:val="00094DA6"/>
    <w:rsid w:val="000A1049"/>
    <w:rsid w:val="000A2BA1"/>
    <w:rsid w:val="000A4357"/>
    <w:rsid w:val="000A4EEE"/>
    <w:rsid w:val="000A58E3"/>
    <w:rsid w:val="000A6032"/>
    <w:rsid w:val="000B12C5"/>
    <w:rsid w:val="000B1500"/>
    <w:rsid w:val="000B258E"/>
    <w:rsid w:val="000C1F82"/>
    <w:rsid w:val="000C20D3"/>
    <w:rsid w:val="000C255A"/>
    <w:rsid w:val="000C30D0"/>
    <w:rsid w:val="000C31B1"/>
    <w:rsid w:val="000D4268"/>
    <w:rsid w:val="000D43BD"/>
    <w:rsid w:val="000D4E5A"/>
    <w:rsid w:val="000E23C9"/>
    <w:rsid w:val="000E2524"/>
    <w:rsid w:val="000E2DE1"/>
    <w:rsid w:val="000E4927"/>
    <w:rsid w:val="000E5A0B"/>
    <w:rsid w:val="000E5FCA"/>
    <w:rsid w:val="000E757B"/>
    <w:rsid w:val="000F1EDA"/>
    <w:rsid w:val="000F3498"/>
    <w:rsid w:val="000F767D"/>
    <w:rsid w:val="0010066C"/>
    <w:rsid w:val="00101E15"/>
    <w:rsid w:val="0010573A"/>
    <w:rsid w:val="0011202E"/>
    <w:rsid w:val="00117B51"/>
    <w:rsid w:val="00120F77"/>
    <w:rsid w:val="00122E28"/>
    <w:rsid w:val="0013250B"/>
    <w:rsid w:val="00143E7F"/>
    <w:rsid w:val="0014429A"/>
    <w:rsid w:val="00144A00"/>
    <w:rsid w:val="00146626"/>
    <w:rsid w:val="0014664F"/>
    <w:rsid w:val="001469AD"/>
    <w:rsid w:val="001514B9"/>
    <w:rsid w:val="00151883"/>
    <w:rsid w:val="00153C98"/>
    <w:rsid w:val="00154279"/>
    <w:rsid w:val="0016004F"/>
    <w:rsid w:val="00164E07"/>
    <w:rsid w:val="00165A56"/>
    <w:rsid w:val="00171F51"/>
    <w:rsid w:val="001751D9"/>
    <w:rsid w:val="00176FBF"/>
    <w:rsid w:val="00180A35"/>
    <w:rsid w:val="001828FA"/>
    <w:rsid w:val="001832E5"/>
    <w:rsid w:val="0018500F"/>
    <w:rsid w:val="0018716F"/>
    <w:rsid w:val="00190DB7"/>
    <w:rsid w:val="00191AF2"/>
    <w:rsid w:val="00191FA7"/>
    <w:rsid w:val="00192DA5"/>
    <w:rsid w:val="00195768"/>
    <w:rsid w:val="00195973"/>
    <w:rsid w:val="00196269"/>
    <w:rsid w:val="00197F69"/>
    <w:rsid w:val="001A0280"/>
    <w:rsid w:val="001A1FC8"/>
    <w:rsid w:val="001A2E3A"/>
    <w:rsid w:val="001A6664"/>
    <w:rsid w:val="001A6ACA"/>
    <w:rsid w:val="001A7628"/>
    <w:rsid w:val="001B156D"/>
    <w:rsid w:val="001B260D"/>
    <w:rsid w:val="001B28AC"/>
    <w:rsid w:val="001B2983"/>
    <w:rsid w:val="001C47AD"/>
    <w:rsid w:val="001C4D53"/>
    <w:rsid w:val="001C6021"/>
    <w:rsid w:val="001C60D0"/>
    <w:rsid w:val="001C7294"/>
    <w:rsid w:val="001D0085"/>
    <w:rsid w:val="001D08FF"/>
    <w:rsid w:val="001D0FD3"/>
    <w:rsid w:val="001D3648"/>
    <w:rsid w:val="001D7A20"/>
    <w:rsid w:val="001E0765"/>
    <w:rsid w:val="001E1C69"/>
    <w:rsid w:val="001E3FD5"/>
    <w:rsid w:val="001E7D1E"/>
    <w:rsid w:val="001F0E68"/>
    <w:rsid w:val="001F15FA"/>
    <w:rsid w:val="001F3A75"/>
    <w:rsid w:val="001F3E60"/>
    <w:rsid w:val="001F4003"/>
    <w:rsid w:val="001F511E"/>
    <w:rsid w:val="001F7F3C"/>
    <w:rsid w:val="001F7FF3"/>
    <w:rsid w:val="002002A1"/>
    <w:rsid w:val="002003B5"/>
    <w:rsid w:val="00202BDD"/>
    <w:rsid w:val="00202FAB"/>
    <w:rsid w:val="002055DE"/>
    <w:rsid w:val="00206C32"/>
    <w:rsid w:val="002120DF"/>
    <w:rsid w:val="002141A8"/>
    <w:rsid w:val="00215579"/>
    <w:rsid w:val="00216512"/>
    <w:rsid w:val="00216956"/>
    <w:rsid w:val="00217A20"/>
    <w:rsid w:val="0022106F"/>
    <w:rsid w:val="0022221A"/>
    <w:rsid w:val="00223BD1"/>
    <w:rsid w:val="002245E7"/>
    <w:rsid w:val="00225584"/>
    <w:rsid w:val="00226144"/>
    <w:rsid w:val="00227693"/>
    <w:rsid w:val="00227E8A"/>
    <w:rsid w:val="00230C15"/>
    <w:rsid w:val="00233F76"/>
    <w:rsid w:val="00236BDF"/>
    <w:rsid w:val="00236DCE"/>
    <w:rsid w:val="0024087B"/>
    <w:rsid w:val="00241117"/>
    <w:rsid w:val="002439A6"/>
    <w:rsid w:val="00245CD3"/>
    <w:rsid w:val="002472B0"/>
    <w:rsid w:val="00247526"/>
    <w:rsid w:val="0024767F"/>
    <w:rsid w:val="00247E9B"/>
    <w:rsid w:val="00250245"/>
    <w:rsid w:val="00251B93"/>
    <w:rsid w:val="0025673A"/>
    <w:rsid w:val="002574DA"/>
    <w:rsid w:val="00257650"/>
    <w:rsid w:val="00262F93"/>
    <w:rsid w:val="002634F4"/>
    <w:rsid w:val="002656A9"/>
    <w:rsid w:val="00271BD3"/>
    <w:rsid w:val="00272D56"/>
    <w:rsid w:val="002740B8"/>
    <w:rsid w:val="00275EA4"/>
    <w:rsid w:val="00280F5C"/>
    <w:rsid w:val="00281283"/>
    <w:rsid w:val="002843E0"/>
    <w:rsid w:val="0028488D"/>
    <w:rsid w:val="00287AD7"/>
    <w:rsid w:val="00287B50"/>
    <w:rsid w:val="00291D3A"/>
    <w:rsid w:val="00291F2B"/>
    <w:rsid w:val="002924E4"/>
    <w:rsid w:val="00295D29"/>
    <w:rsid w:val="002963E9"/>
    <w:rsid w:val="002A06F9"/>
    <w:rsid w:val="002A13A0"/>
    <w:rsid w:val="002A2A31"/>
    <w:rsid w:val="002A3C25"/>
    <w:rsid w:val="002A4594"/>
    <w:rsid w:val="002A46AF"/>
    <w:rsid w:val="002A4B1E"/>
    <w:rsid w:val="002A6413"/>
    <w:rsid w:val="002B2C5D"/>
    <w:rsid w:val="002B3974"/>
    <w:rsid w:val="002B4F91"/>
    <w:rsid w:val="002B6056"/>
    <w:rsid w:val="002B67A2"/>
    <w:rsid w:val="002B7B8D"/>
    <w:rsid w:val="002C35F4"/>
    <w:rsid w:val="002C39D1"/>
    <w:rsid w:val="002C3AF6"/>
    <w:rsid w:val="002C64CE"/>
    <w:rsid w:val="002C7353"/>
    <w:rsid w:val="002D16C5"/>
    <w:rsid w:val="002D57B0"/>
    <w:rsid w:val="002D58A5"/>
    <w:rsid w:val="002D665E"/>
    <w:rsid w:val="002D708B"/>
    <w:rsid w:val="002D7612"/>
    <w:rsid w:val="002E05F2"/>
    <w:rsid w:val="002E4406"/>
    <w:rsid w:val="00303C36"/>
    <w:rsid w:val="00303EF4"/>
    <w:rsid w:val="003043DE"/>
    <w:rsid w:val="0030573B"/>
    <w:rsid w:val="003068F5"/>
    <w:rsid w:val="00307C0F"/>
    <w:rsid w:val="00310D89"/>
    <w:rsid w:val="00311D9F"/>
    <w:rsid w:val="00314324"/>
    <w:rsid w:val="00323576"/>
    <w:rsid w:val="0032389E"/>
    <w:rsid w:val="00324EC6"/>
    <w:rsid w:val="00325671"/>
    <w:rsid w:val="003268BC"/>
    <w:rsid w:val="0032780F"/>
    <w:rsid w:val="003306BA"/>
    <w:rsid w:val="003312AC"/>
    <w:rsid w:val="003345F9"/>
    <w:rsid w:val="00336AF5"/>
    <w:rsid w:val="0034218A"/>
    <w:rsid w:val="00342CB9"/>
    <w:rsid w:val="00342F58"/>
    <w:rsid w:val="00343220"/>
    <w:rsid w:val="00347155"/>
    <w:rsid w:val="003472A7"/>
    <w:rsid w:val="00347E70"/>
    <w:rsid w:val="00362F4C"/>
    <w:rsid w:val="00363572"/>
    <w:rsid w:val="00363F6A"/>
    <w:rsid w:val="00367336"/>
    <w:rsid w:val="00370841"/>
    <w:rsid w:val="003725E5"/>
    <w:rsid w:val="003725EB"/>
    <w:rsid w:val="00374871"/>
    <w:rsid w:val="0037522C"/>
    <w:rsid w:val="00375DA4"/>
    <w:rsid w:val="003760C4"/>
    <w:rsid w:val="003769CF"/>
    <w:rsid w:val="003777FE"/>
    <w:rsid w:val="003825F9"/>
    <w:rsid w:val="00382F7E"/>
    <w:rsid w:val="0038375B"/>
    <w:rsid w:val="00385296"/>
    <w:rsid w:val="0038583E"/>
    <w:rsid w:val="003879AF"/>
    <w:rsid w:val="00387ED4"/>
    <w:rsid w:val="003907C0"/>
    <w:rsid w:val="00390BC6"/>
    <w:rsid w:val="003A032B"/>
    <w:rsid w:val="003A35E6"/>
    <w:rsid w:val="003A4311"/>
    <w:rsid w:val="003B1313"/>
    <w:rsid w:val="003B20F8"/>
    <w:rsid w:val="003B2AEB"/>
    <w:rsid w:val="003B467C"/>
    <w:rsid w:val="003B5CE7"/>
    <w:rsid w:val="003C3348"/>
    <w:rsid w:val="003C458F"/>
    <w:rsid w:val="003C6965"/>
    <w:rsid w:val="003D42D9"/>
    <w:rsid w:val="003D4E58"/>
    <w:rsid w:val="003E1C66"/>
    <w:rsid w:val="003E38D3"/>
    <w:rsid w:val="003E4C3A"/>
    <w:rsid w:val="003E5318"/>
    <w:rsid w:val="003E71E2"/>
    <w:rsid w:val="003F0655"/>
    <w:rsid w:val="003F185E"/>
    <w:rsid w:val="003F3D1B"/>
    <w:rsid w:val="003F4849"/>
    <w:rsid w:val="003F5CF4"/>
    <w:rsid w:val="003F700A"/>
    <w:rsid w:val="003F7D07"/>
    <w:rsid w:val="00400807"/>
    <w:rsid w:val="0040181E"/>
    <w:rsid w:val="004030E1"/>
    <w:rsid w:val="0040334B"/>
    <w:rsid w:val="00403790"/>
    <w:rsid w:val="0040565E"/>
    <w:rsid w:val="0041385B"/>
    <w:rsid w:val="004145FD"/>
    <w:rsid w:val="00414BAC"/>
    <w:rsid w:val="00415A12"/>
    <w:rsid w:val="00420CA7"/>
    <w:rsid w:val="00420FBB"/>
    <w:rsid w:val="00423576"/>
    <w:rsid w:val="0042480D"/>
    <w:rsid w:val="00427841"/>
    <w:rsid w:val="00427B4A"/>
    <w:rsid w:val="00430DB5"/>
    <w:rsid w:val="00434AE3"/>
    <w:rsid w:val="00437E32"/>
    <w:rsid w:val="00441106"/>
    <w:rsid w:val="004433E7"/>
    <w:rsid w:val="00443D30"/>
    <w:rsid w:val="00451D53"/>
    <w:rsid w:val="00457DCC"/>
    <w:rsid w:val="00464B06"/>
    <w:rsid w:val="004664DA"/>
    <w:rsid w:val="0046767C"/>
    <w:rsid w:val="00467AF4"/>
    <w:rsid w:val="0047027C"/>
    <w:rsid w:val="00470635"/>
    <w:rsid w:val="00472117"/>
    <w:rsid w:val="0047412B"/>
    <w:rsid w:val="00475399"/>
    <w:rsid w:val="004758D9"/>
    <w:rsid w:val="00475C1B"/>
    <w:rsid w:val="00482340"/>
    <w:rsid w:val="00483759"/>
    <w:rsid w:val="00484CC3"/>
    <w:rsid w:val="0048648B"/>
    <w:rsid w:val="00486BA3"/>
    <w:rsid w:val="00486E1B"/>
    <w:rsid w:val="004874C8"/>
    <w:rsid w:val="00490B6B"/>
    <w:rsid w:val="0049349F"/>
    <w:rsid w:val="00497774"/>
    <w:rsid w:val="004A113A"/>
    <w:rsid w:val="004A2F45"/>
    <w:rsid w:val="004A2FB6"/>
    <w:rsid w:val="004A417E"/>
    <w:rsid w:val="004A5CA2"/>
    <w:rsid w:val="004A606E"/>
    <w:rsid w:val="004A62AC"/>
    <w:rsid w:val="004A65C5"/>
    <w:rsid w:val="004A6809"/>
    <w:rsid w:val="004B2393"/>
    <w:rsid w:val="004B3AF7"/>
    <w:rsid w:val="004B3E78"/>
    <w:rsid w:val="004B5957"/>
    <w:rsid w:val="004C1958"/>
    <w:rsid w:val="004C2C1C"/>
    <w:rsid w:val="004C57B4"/>
    <w:rsid w:val="004C6CCC"/>
    <w:rsid w:val="004D6587"/>
    <w:rsid w:val="004D6E86"/>
    <w:rsid w:val="004E217F"/>
    <w:rsid w:val="004E5472"/>
    <w:rsid w:val="004E7AE1"/>
    <w:rsid w:val="004F013C"/>
    <w:rsid w:val="004F1C59"/>
    <w:rsid w:val="005006E5"/>
    <w:rsid w:val="00500727"/>
    <w:rsid w:val="00500F79"/>
    <w:rsid w:val="00506FC7"/>
    <w:rsid w:val="00507117"/>
    <w:rsid w:val="00510F9B"/>
    <w:rsid w:val="00511BB4"/>
    <w:rsid w:val="005126E8"/>
    <w:rsid w:val="0051339F"/>
    <w:rsid w:val="00513E17"/>
    <w:rsid w:val="00515313"/>
    <w:rsid w:val="0051717F"/>
    <w:rsid w:val="0051739B"/>
    <w:rsid w:val="0052095F"/>
    <w:rsid w:val="005243B8"/>
    <w:rsid w:val="005263B9"/>
    <w:rsid w:val="00527A4E"/>
    <w:rsid w:val="00527E01"/>
    <w:rsid w:val="00527E5D"/>
    <w:rsid w:val="0053044B"/>
    <w:rsid w:val="0053098A"/>
    <w:rsid w:val="00534034"/>
    <w:rsid w:val="00534E00"/>
    <w:rsid w:val="00545059"/>
    <w:rsid w:val="0055129C"/>
    <w:rsid w:val="00552983"/>
    <w:rsid w:val="005529BB"/>
    <w:rsid w:val="00555884"/>
    <w:rsid w:val="0056637A"/>
    <w:rsid w:val="0056641C"/>
    <w:rsid w:val="0056724F"/>
    <w:rsid w:val="0057086F"/>
    <w:rsid w:val="00570D35"/>
    <w:rsid w:val="00571707"/>
    <w:rsid w:val="0057259B"/>
    <w:rsid w:val="00573BF3"/>
    <w:rsid w:val="005749B2"/>
    <w:rsid w:val="00576196"/>
    <w:rsid w:val="00576717"/>
    <w:rsid w:val="00576877"/>
    <w:rsid w:val="005778DA"/>
    <w:rsid w:val="005779A0"/>
    <w:rsid w:val="00577C6E"/>
    <w:rsid w:val="005811D0"/>
    <w:rsid w:val="00582618"/>
    <w:rsid w:val="00583E7A"/>
    <w:rsid w:val="00583F6F"/>
    <w:rsid w:val="00585978"/>
    <w:rsid w:val="00585B81"/>
    <w:rsid w:val="00586A99"/>
    <w:rsid w:val="00591F4B"/>
    <w:rsid w:val="005933A5"/>
    <w:rsid w:val="00593C87"/>
    <w:rsid w:val="00596702"/>
    <w:rsid w:val="005A0030"/>
    <w:rsid w:val="005A1DC2"/>
    <w:rsid w:val="005A2CC3"/>
    <w:rsid w:val="005A46CC"/>
    <w:rsid w:val="005A63D8"/>
    <w:rsid w:val="005A7AB3"/>
    <w:rsid w:val="005B08F7"/>
    <w:rsid w:val="005B3A2A"/>
    <w:rsid w:val="005B3A8E"/>
    <w:rsid w:val="005C15FB"/>
    <w:rsid w:val="005C2F63"/>
    <w:rsid w:val="005C4F58"/>
    <w:rsid w:val="005C74FF"/>
    <w:rsid w:val="005C7AE9"/>
    <w:rsid w:val="005D0D44"/>
    <w:rsid w:val="005D1D6A"/>
    <w:rsid w:val="005D2406"/>
    <w:rsid w:val="005D561F"/>
    <w:rsid w:val="005D5875"/>
    <w:rsid w:val="005D68E9"/>
    <w:rsid w:val="005E09C5"/>
    <w:rsid w:val="005E198B"/>
    <w:rsid w:val="005E39B9"/>
    <w:rsid w:val="005E7131"/>
    <w:rsid w:val="005E7F4B"/>
    <w:rsid w:val="005F0F61"/>
    <w:rsid w:val="005F1FC0"/>
    <w:rsid w:val="005F3BBA"/>
    <w:rsid w:val="005F6E03"/>
    <w:rsid w:val="005F70C6"/>
    <w:rsid w:val="00600251"/>
    <w:rsid w:val="00601001"/>
    <w:rsid w:val="00601D49"/>
    <w:rsid w:val="00603282"/>
    <w:rsid w:val="00603462"/>
    <w:rsid w:val="00604254"/>
    <w:rsid w:val="00610755"/>
    <w:rsid w:val="00612B75"/>
    <w:rsid w:val="00615EAC"/>
    <w:rsid w:val="00624257"/>
    <w:rsid w:val="00624A54"/>
    <w:rsid w:val="00624C63"/>
    <w:rsid w:val="006322EB"/>
    <w:rsid w:val="00634CD4"/>
    <w:rsid w:val="0063663D"/>
    <w:rsid w:val="006369FA"/>
    <w:rsid w:val="00636BA1"/>
    <w:rsid w:val="00640D3D"/>
    <w:rsid w:val="0064170E"/>
    <w:rsid w:val="006428A2"/>
    <w:rsid w:val="006437EE"/>
    <w:rsid w:val="00650C6E"/>
    <w:rsid w:val="006510C7"/>
    <w:rsid w:val="00654C1D"/>
    <w:rsid w:val="0066515E"/>
    <w:rsid w:val="00672A13"/>
    <w:rsid w:val="006733B9"/>
    <w:rsid w:val="00676A23"/>
    <w:rsid w:val="00677A3B"/>
    <w:rsid w:val="00682402"/>
    <w:rsid w:val="00682B83"/>
    <w:rsid w:val="006915E2"/>
    <w:rsid w:val="00692238"/>
    <w:rsid w:val="00692495"/>
    <w:rsid w:val="00694178"/>
    <w:rsid w:val="00695F74"/>
    <w:rsid w:val="00696BCC"/>
    <w:rsid w:val="006A2723"/>
    <w:rsid w:val="006A5712"/>
    <w:rsid w:val="006A596D"/>
    <w:rsid w:val="006A6853"/>
    <w:rsid w:val="006B05F1"/>
    <w:rsid w:val="006B16FE"/>
    <w:rsid w:val="006B219E"/>
    <w:rsid w:val="006B3DEB"/>
    <w:rsid w:val="006B473E"/>
    <w:rsid w:val="006B5263"/>
    <w:rsid w:val="006B6E34"/>
    <w:rsid w:val="006B7533"/>
    <w:rsid w:val="006B7BBC"/>
    <w:rsid w:val="006C1866"/>
    <w:rsid w:val="006C2C38"/>
    <w:rsid w:val="006C59B9"/>
    <w:rsid w:val="006C6379"/>
    <w:rsid w:val="006C7DF1"/>
    <w:rsid w:val="006D20E0"/>
    <w:rsid w:val="006D2562"/>
    <w:rsid w:val="006D264F"/>
    <w:rsid w:val="006D3C08"/>
    <w:rsid w:val="006D7681"/>
    <w:rsid w:val="006D7E52"/>
    <w:rsid w:val="006E0765"/>
    <w:rsid w:val="006E41C8"/>
    <w:rsid w:val="006E7956"/>
    <w:rsid w:val="006F20F0"/>
    <w:rsid w:val="006F3CED"/>
    <w:rsid w:val="006F5E55"/>
    <w:rsid w:val="006F794C"/>
    <w:rsid w:val="007028EC"/>
    <w:rsid w:val="0070348D"/>
    <w:rsid w:val="00704487"/>
    <w:rsid w:val="00704BEF"/>
    <w:rsid w:val="00707109"/>
    <w:rsid w:val="00707B08"/>
    <w:rsid w:val="00713141"/>
    <w:rsid w:val="00714300"/>
    <w:rsid w:val="007152BF"/>
    <w:rsid w:val="00717364"/>
    <w:rsid w:val="00722204"/>
    <w:rsid w:val="0072264D"/>
    <w:rsid w:val="00727F17"/>
    <w:rsid w:val="0073011B"/>
    <w:rsid w:val="00733FC9"/>
    <w:rsid w:val="007358F1"/>
    <w:rsid w:val="00735C13"/>
    <w:rsid w:val="00741277"/>
    <w:rsid w:val="0074559A"/>
    <w:rsid w:val="00746A02"/>
    <w:rsid w:val="007477A7"/>
    <w:rsid w:val="00747E27"/>
    <w:rsid w:val="0075064F"/>
    <w:rsid w:val="00750752"/>
    <w:rsid w:val="00751146"/>
    <w:rsid w:val="00751E04"/>
    <w:rsid w:val="00753796"/>
    <w:rsid w:val="007546E9"/>
    <w:rsid w:val="00757D42"/>
    <w:rsid w:val="007600D5"/>
    <w:rsid w:val="00765A8D"/>
    <w:rsid w:val="00771646"/>
    <w:rsid w:val="00772270"/>
    <w:rsid w:val="00780EC8"/>
    <w:rsid w:val="00784167"/>
    <w:rsid w:val="00786E8A"/>
    <w:rsid w:val="007876F6"/>
    <w:rsid w:val="00792563"/>
    <w:rsid w:val="00795509"/>
    <w:rsid w:val="007A085B"/>
    <w:rsid w:val="007A1168"/>
    <w:rsid w:val="007A3452"/>
    <w:rsid w:val="007A3534"/>
    <w:rsid w:val="007A55A8"/>
    <w:rsid w:val="007B2718"/>
    <w:rsid w:val="007B2F4C"/>
    <w:rsid w:val="007B3A74"/>
    <w:rsid w:val="007C0004"/>
    <w:rsid w:val="007C4DDA"/>
    <w:rsid w:val="007C58EF"/>
    <w:rsid w:val="007D1947"/>
    <w:rsid w:val="007D2A48"/>
    <w:rsid w:val="007D370E"/>
    <w:rsid w:val="007D3C69"/>
    <w:rsid w:val="007D5397"/>
    <w:rsid w:val="007D5CD5"/>
    <w:rsid w:val="007D6F9D"/>
    <w:rsid w:val="007D7178"/>
    <w:rsid w:val="007E11B8"/>
    <w:rsid w:val="007E14D4"/>
    <w:rsid w:val="007E1FB8"/>
    <w:rsid w:val="007E2128"/>
    <w:rsid w:val="007E2A2D"/>
    <w:rsid w:val="007E2B85"/>
    <w:rsid w:val="007E32AD"/>
    <w:rsid w:val="007E33FE"/>
    <w:rsid w:val="007E37E0"/>
    <w:rsid w:val="007F02FC"/>
    <w:rsid w:val="007F0F84"/>
    <w:rsid w:val="007F13B6"/>
    <w:rsid w:val="007F2D31"/>
    <w:rsid w:val="007F3D6A"/>
    <w:rsid w:val="007F4574"/>
    <w:rsid w:val="007F5A97"/>
    <w:rsid w:val="007F6C28"/>
    <w:rsid w:val="007F6F80"/>
    <w:rsid w:val="007F73DE"/>
    <w:rsid w:val="007F7E65"/>
    <w:rsid w:val="00803B07"/>
    <w:rsid w:val="008042BC"/>
    <w:rsid w:val="00804FD8"/>
    <w:rsid w:val="0080749B"/>
    <w:rsid w:val="00807C51"/>
    <w:rsid w:val="008111DD"/>
    <w:rsid w:val="00812960"/>
    <w:rsid w:val="0081533C"/>
    <w:rsid w:val="00816448"/>
    <w:rsid w:val="008207D7"/>
    <w:rsid w:val="0082214D"/>
    <w:rsid w:val="00830D5C"/>
    <w:rsid w:val="00831DF0"/>
    <w:rsid w:val="008356CF"/>
    <w:rsid w:val="00836DF1"/>
    <w:rsid w:val="00837315"/>
    <w:rsid w:val="008404F5"/>
    <w:rsid w:val="0084401E"/>
    <w:rsid w:val="00844BF9"/>
    <w:rsid w:val="008453E8"/>
    <w:rsid w:val="00845716"/>
    <w:rsid w:val="00847AF9"/>
    <w:rsid w:val="00851D13"/>
    <w:rsid w:val="00853623"/>
    <w:rsid w:val="00856EA2"/>
    <w:rsid w:val="00863705"/>
    <w:rsid w:val="0086546A"/>
    <w:rsid w:val="0086723C"/>
    <w:rsid w:val="0087001D"/>
    <w:rsid w:val="00873D39"/>
    <w:rsid w:val="00875751"/>
    <w:rsid w:val="008816B2"/>
    <w:rsid w:val="008821E3"/>
    <w:rsid w:val="00882356"/>
    <w:rsid w:val="00884D02"/>
    <w:rsid w:val="00886950"/>
    <w:rsid w:val="00887880"/>
    <w:rsid w:val="0089285C"/>
    <w:rsid w:val="008934B8"/>
    <w:rsid w:val="0089570C"/>
    <w:rsid w:val="00896964"/>
    <w:rsid w:val="00897F89"/>
    <w:rsid w:val="008A3C7D"/>
    <w:rsid w:val="008A59F5"/>
    <w:rsid w:val="008B0240"/>
    <w:rsid w:val="008B2B4F"/>
    <w:rsid w:val="008B3AAD"/>
    <w:rsid w:val="008C1B6F"/>
    <w:rsid w:val="008C23E4"/>
    <w:rsid w:val="008C3932"/>
    <w:rsid w:val="008C3EFC"/>
    <w:rsid w:val="008C4748"/>
    <w:rsid w:val="008C4C06"/>
    <w:rsid w:val="008C5E61"/>
    <w:rsid w:val="008C68E2"/>
    <w:rsid w:val="008C7630"/>
    <w:rsid w:val="008D0D8F"/>
    <w:rsid w:val="008D1838"/>
    <w:rsid w:val="008D1BD1"/>
    <w:rsid w:val="008D1BFC"/>
    <w:rsid w:val="008D1EFA"/>
    <w:rsid w:val="008D4227"/>
    <w:rsid w:val="008D5233"/>
    <w:rsid w:val="008D7EBD"/>
    <w:rsid w:val="008E0757"/>
    <w:rsid w:val="008E1788"/>
    <w:rsid w:val="008E3219"/>
    <w:rsid w:val="008E57DD"/>
    <w:rsid w:val="008E656A"/>
    <w:rsid w:val="008F16D7"/>
    <w:rsid w:val="0090277B"/>
    <w:rsid w:val="00904CAC"/>
    <w:rsid w:val="00904FF4"/>
    <w:rsid w:val="009078CF"/>
    <w:rsid w:val="00914B3B"/>
    <w:rsid w:val="009163C9"/>
    <w:rsid w:val="009167E6"/>
    <w:rsid w:val="00922007"/>
    <w:rsid w:val="009221F1"/>
    <w:rsid w:val="009223A6"/>
    <w:rsid w:val="00923FE0"/>
    <w:rsid w:val="00924350"/>
    <w:rsid w:val="00924FC7"/>
    <w:rsid w:val="009251B2"/>
    <w:rsid w:val="009251E2"/>
    <w:rsid w:val="00932570"/>
    <w:rsid w:val="009347D3"/>
    <w:rsid w:val="00934AC3"/>
    <w:rsid w:val="00934C8A"/>
    <w:rsid w:val="009355E6"/>
    <w:rsid w:val="00935A40"/>
    <w:rsid w:val="009378EC"/>
    <w:rsid w:val="009416C3"/>
    <w:rsid w:val="00941AF4"/>
    <w:rsid w:val="00942AE5"/>
    <w:rsid w:val="00942C32"/>
    <w:rsid w:val="00943AA2"/>
    <w:rsid w:val="00944188"/>
    <w:rsid w:val="00944A85"/>
    <w:rsid w:val="00944C46"/>
    <w:rsid w:val="00944EED"/>
    <w:rsid w:val="00944FF0"/>
    <w:rsid w:val="009510F7"/>
    <w:rsid w:val="009530A5"/>
    <w:rsid w:val="00953A73"/>
    <w:rsid w:val="00962B5B"/>
    <w:rsid w:val="009642C0"/>
    <w:rsid w:val="0097154D"/>
    <w:rsid w:val="00971F88"/>
    <w:rsid w:val="00972433"/>
    <w:rsid w:val="00973D6B"/>
    <w:rsid w:val="00973E6F"/>
    <w:rsid w:val="00974F5E"/>
    <w:rsid w:val="009751A6"/>
    <w:rsid w:val="00975C04"/>
    <w:rsid w:val="00977E6E"/>
    <w:rsid w:val="00980BBF"/>
    <w:rsid w:val="00983EEB"/>
    <w:rsid w:val="00984FB1"/>
    <w:rsid w:val="009866A6"/>
    <w:rsid w:val="00987F48"/>
    <w:rsid w:val="009908CD"/>
    <w:rsid w:val="00992407"/>
    <w:rsid w:val="00992A77"/>
    <w:rsid w:val="00994EE3"/>
    <w:rsid w:val="009A07BC"/>
    <w:rsid w:val="009A0C92"/>
    <w:rsid w:val="009A3A55"/>
    <w:rsid w:val="009A52E7"/>
    <w:rsid w:val="009A6B33"/>
    <w:rsid w:val="009B022A"/>
    <w:rsid w:val="009B104C"/>
    <w:rsid w:val="009B2523"/>
    <w:rsid w:val="009B2C1A"/>
    <w:rsid w:val="009B65EC"/>
    <w:rsid w:val="009B7601"/>
    <w:rsid w:val="009C1A70"/>
    <w:rsid w:val="009C1E27"/>
    <w:rsid w:val="009C3714"/>
    <w:rsid w:val="009C4E33"/>
    <w:rsid w:val="009C61A6"/>
    <w:rsid w:val="009D231D"/>
    <w:rsid w:val="009D291F"/>
    <w:rsid w:val="009D3969"/>
    <w:rsid w:val="009D47C3"/>
    <w:rsid w:val="009D52AF"/>
    <w:rsid w:val="009D6BC7"/>
    <w:rsid w:val="009D6E93"/>
    <w:rsid w:val="009D7547"/>
    <w:rsid w:val="009E0ACF"/>
    <w:rsid w:val="009E2D3F"/>
    <w:rsid w:val="009E2ED1"/>
    <w:rsid w:val="009E4613"/>
    <w:rsid w:val="009F1B48"/>
    <w:rsid w:val="009F29B3"/>
    <w:rsid w:val="009F3056"/>
    <w:rsid w:val="009F34EF"/>
    <w:rsid w:val="009F3E13"/>
    <w:rsid w:val="009F415B"/>
    <w:rsid w:val="009F4856"/>
    <w:rsid w:val="009F6C75"/>
    <w:rsid w:val="00A000FC"/>
    <w:rsid w:val="00A04B59"/>
    <w:rsid w:val="00A0539A"/>
    <w:rsid w:val="00A07999"/>
    <w:rsid w:val="00A121B9"/>
    <w:rsid w:val="00A13A97"/>
    <w:rsid w:val="00A1428E"/>
    <w:rsid w:val="00A16AF3"/>
    <w:rsid w:val="00A20A5D"/>
    <w:rsid w:val="00A25767"/>
    <w:rsid w:val="00A3406E"/>
    <w:rsid w:val="00A340DB"/>
    <w:rsid w:val="00A35D57"/>
    <w:rsid w:val="00A40AF8"/>
    <w:rsid w:val="00A42159"/>
    <w:rsid w:val="00A42175"/>
    <w:rsid w:val="00A4274F"/>
    <w:rsid w:val="00A42D84"/>
    <w:rsid w:val="00A43ED6"/>
    <w:rsid w:val="00A45182"/>
    <w:rsid w:val="00A5231A"/>
    <w:rsid w:val="00A52681"/>
    <w:rsid w:val="00A55045"/>
    <w:rsid w:val="00A57839"/>
    <w:rsid w:val="00A5797A"/>
    <w:rsid w:val="00A609AA"/>
    <w:rsid w:val="00A6165C"/>
    <w:rsid w:val="00A61D1B"/>
    <w:rsid w:val="00A621F8"/>
    <w:rsid w:val="00A63644"/>
    <w:rsid w:val="00A64B06"/>
    <w:rsid w:val="00A65BD1"/>
    <w:rsid w:val="00A66146"/>
    <w:rsid w:val="00A709C2"/>
    <w:rsid w:val="00A74E3E"/>
    <w:rsid w:val="00A752A6"/>
    <w:rsid w:val="00A75500"/>
    <w:rsid w:val="00A76A09"/>
    <w:rsid w:val="00A7732B"/>
    <w:rsid w:val="00A80F79"/>
    <w:rsid w:val="00A81362"/>
    <w:rsid w:val="00A81E6C"/>
    <w:rsid w:val="00A83BC1"/>
    <w:rsid w:val="00A846AA"/>
    <w:rsid w:val="00A87604"/>
    <w:rsid w:val="00A87857"/>
    <w:rsid w:val="00A87BDB"/>
    <w:rsid w:val="00A91650"/>
    <w:rsid w:val="00A91942"/>
    <w:rsid w:val="00A91B7A"/>
    <w:rsid w:val="00A92F28"/>
    <w:rsid w:val="00A94FA6"/>
    <w:rsid w:val="00A969DE"/>
    <w:rsid w:val="00A96FF4"/>
    <w:rsid w:val="00AA1274"/>
    <w:rsid w:val="00AA2FFD"/>
    <w:rsid w:val="00AA3CF7"/>
    <w:rsid w:val="00AA4768"/>
    <w:rsid w:val="00AA7576"/>
    <w:rsid w:val="00AB13AD"/>
    <w:rsid w:val="00AB19D4"/>
    <w:rsid w:val="00AB20B8"/>
    <w:rsid w:val="00AB21EF"/>
    <w:rsid w:val="00AB3637"/>
    <w:rsid w:val="00AB5D4D"/>
    <w:rsid w:val="00AB665D"/>
    <w:rsid w:val="00AB72D4"/>
    <w:rsid w:val="00AB7F40"/>
    <w:rsid w:val="00AC0B63"/>
    <w:rsid w:val="00AD2D27"/>
    <w:rsid w:val="00AD2F81"/>
    <w:rsid w:val="00AD3577"/>
    <w:rsid w:val="00AD3F94"/>
    <w:rsid w:val="00AD3FF5"/>
    <w:rsid w:val="00AD63C2"/>
    <w:rsid w:val="00AD695F"/>
    <w:rsid w:val="00AD6C10"/>
    <w:rsid w:val="00AE033D"/>
    <w:rsid w:val="00AE0E8E"/>
    <w:rsid w:val="00AE1F22"/>
    <w:rsid w:val="00AE43DB"/>
    <w:rsid w:val="00AE5353"/>
    <w:rsid w:val="00AF04CD"/>
    <w:rsid w:val="00AF2FBB"/>
    <w:rsid w:val="00AF6D3A"/>
    <w:rsid w:val="00AF79DE"/>
    <w:rsid w:val="00B01FAA"/>
    <w:rsid w:val="00B03C91"/>
    <w:rsid w:val="00B05674"/>
    <w:rsid w:val="00B06859"/>
    <w:rsid w:val="00B104E4"/>
    <w:rsid w:val="00B1370F"/>
    <w:rsid w:val="00B14AE8"/>
    <w:rsid w:val="00B15D1D"/>
    <w:rsid w:val="00B177D4"/>
    <w:rsid w:val="00B22DF5"/>
    <w:rsid w:val="00B22E1C"/>
    <w:rsid w:val="00B22F89"/>
    <w:rsid w:val="00B24147"/>
    <w:rsid w:val="00B30056"/>
    <w:rsid w:val="00B32FA0"/>
    <w:rsid w:val="00B33F57"/>
    <w:rsid w:val="00B3650D"/>
    <w:rsid w:val="00B4060A"/>
    <w:rsid w:val="00B40D2A"/>
    <w:rsid w:val="00B425F7"/>
    <w:rsid w:val="00B443D0"/>
    <w:rsid w:val="00B45799"/>
    <w:rsid w:val="00B469BF"/>
    <w:rsid w:val="00B50E3A"/>
    <w:rsid w:val="00B54699"/>
    <w:rsid w:val="00B56AD3"/>
    <w:rsid w:val="00B63445"/>
    <w:rsid w:val="00B653FE"/>
    <w:rsid w:val="00B70612"/>
    <w:rsid w:val="00B71A9C"/>
    <w:rsid w:val="00B72A2C"/>
    <w:rsid w:val="00B733CC"/>
    <w:rsid w:val="00B73860"/>
    <w:rsid w:val="00B80C64"/>
    <w:rsid w:val="00B821D8"/>
    <w:rsid w:val="00B82242"/>
    <w:rsid w:val="00B829AD"/>
    <w:rsid w:val="00B84096"/>
    <w:rsid w:val="00B8418E"/>
    <w:rsid w:val="00B84220"/>
    <w:rsid w:val="00B84DE5"/>
    <w:rsid w:val="00B85081"/>
    <w:rsid w:val="00B86D1A"/>
    <w:rsid w:val="00B907D7"/>
    <w:rsid w:val="00B92B31"/>
    <w:rsid w:val="00B95E40"/>
    <w:rsid w:val="00BA0D63"/>
    <w:rsid w:val="00BA139D"/>
    <w:rsid w:val="00BA295F"/>
    <w:rsid w:val="00BA2DD3"/>
    <w:rsid w:val="00BA453E"/>
    <w:rsid w:val="00BA5D47"/>
    <w:rsid w:val="00BA6200"/>
    <w:rsid w:val="00BA71A8"/>
    <w:rsid w:val="00BA74B6"/>
    <w:rsid w:val="00BA7666"/>
    <w:rsid w:val="00BB1400"/>
    <w:rsid w:val="00BB3C36"/>
    <w:rsid w:val="00BB5FA1"/>
    <w:rsid w:val="00BB618B"/>
    <w:rsid w:val="00BB6B49"/>
    <w:rsid w:val="00BB6DDB"/>
    <w:rsid w:val="00BB7336"/>
    <w:rsid w:val="00BC431E"/>
    <w:rsid w:val="00BC4388"/>
    <w:rsid w:val="00BC4DE5"/>
    <w:rsid w:val="00BC741B"/>
    <w:rsid w:val="00BD1F26"/>
    <w:rsid w:val="00BE1103"/>
    <w:rsid w:val="00BE3A8B"/>
    <w:rsid w:val="00BE77DE"/>
    <w:rsid w:val="00BF014B"/>
    <w:rsid w:val="00BF406B"/>
    <w:rsid w:val="00BF53D9"/>
    <w:rsid w:val="00C04B5A"/>
    <w:rsid w:val="00C04EE3"/>
    <w:rsid w:val="00C10025"/>
    <w:rsid w:val="00C15C91"/>
    <w:rsid w:val="00C21179"/>
    <w:rsid w:val="00C225B7"/>
    <w:rsid w:val="00C2477E"/>
    <w:rsid w:val="00C24EF2"/>
    <w:rsid w:val="00C251B6"/>
    <w:rsid w:val="00C25C87"/>
    <w:rsid w:val="00C27C9B"/>
    <w:rsid w:val="00C32623"/>
    <w:rsid w:val="00C34041"/>
    <w:rsid w:val="00C341E4"/>
    <w:rsid w:val="00C36DCE"/>
    <w:rsid w:val="00C40487"/>
    <w:rsid w:val="00C40C55"/>
    <w:rsid w:val="00C424DA"/>
    <w:rsid w:val="00C46A4F"/>
    <w:rsid w:val="00C5239C"/>
    <w:rsid w:val="00C53C77"/>
    <w:rsid w:val="00C57D66"/>
    <w:rsid w:val="00C6068F"/>
    <w:rsid w:val="00C61AA9"/>
    <w:rsid w:val="00C62816"/>
    <w:rsid w:val="00C630FD"/>
    <w:rsid w:val="00C635E4"/>
    <w:rsid w:val="00C64CD5"/>
    <w:rsid w:val="00C706F5"/>
    <w:rsid w:val="00C70C0A"/>
    <w:rsid w:val="00C70C4D"/>
    <w:rsid w:val="00C715A4"/>
    <w:rsid w:val="00C73ADA"/>
    <w:rsid w:val="00C74393"/>
    <w:rsid w:val="00C74822"/>
    <w:rsid w:val="00C74F20"/>
    <w:rsid w:val="00C77DAD"/>
    <w:rsid w:val="00C80D3B"/>
    <w:rsid w:val="00C81950"/>
    <w:rsid w:val="00C81A45"/>
    <w:rsid w:val="00C82551"/>
    <w:rsid w:val="00C834F3"/>
    <w:rsid w:val="00C92A91"/>
    <w:rsid w:val="00C933E6"/>
    <w:rsid w:val="00C977B2"/>
    <w:rsid w:val="00C97D9C"/>
    <w:rsid w:val="00CA2BEC"/>
    <w:rsid w:val="00CA6EE3"/>
    <w:rsid w:val="00CA71F5"/>
    <w:rsid w:val="00CB0548"/>
    <w:rsid w:val="00CB0A4B"/>
    <w:rsid w:val="00CB0D75"/>
    <w:rsid w:val="00CB4EFA"/>
    <w:rsid w:val="00CB79D2"/>
    <w:rsid w:val="00CC0362"/>
    <w:rsid w:val="00CC039D"/>
    <w:rsid w:val="00CC11D6"/>
    <w:rsid w:val="00CC1586"/>
    <w:rsid w:val="00CC7C5C"/>
    <w:rsid w:val="00CD2058"/>
    <w:rsid w:val="00CD392F"/>
    <w:rsid w:val="00CD3B6D"/>
    <w:rsid w:val="00CD462E"/>
    <w:rsid w:val="00CD6B51"/>
    <w:rsid w:val="00CD760E"/>
    <w:rsid w:val="00CE0B38"/>
    <w:rsid w:val="00CE5D94"/>
    <w:rsid w:val="00CF022F"/>
    <w:rsid w:val="00CF2A93"/>
    <w:rsid w:val="00CF2CB9"/>
    <w:rsid w:val="00CF313A"/>
    <w:rsid w:val="00CF687F"/>
    <w:rsid w:val="00CF72B8"/>
    <w:rsid w:val="00CF748B"/>
    <w:rsid w:val="00D000DE"/>
    <w:rsid w:val="00D03254"/>
    <w:rsid w:val="00D05669"/>
    <w:rsid w:val="00D063A9"/>
    <w:rsid w:val="00D06997"/>
    <w:rsid w:val="00D11A78"/>
    <w:rsid w:val="00D11F94"/>
    <w:rsid w:val="00D1320B"/>
    <w:rsid w:val="00D147C6"/>
    <w:rsid w:val="00D16586"/>
    <w:rsid w:val="00D16A22"/>
    <w:rsid w:val="00D210D4"/>
    <w:rsid w:val="00D22690"/>
    <w:rsid w:val="00D2511B"/>
    <w:rsid w:val="00D25520"/>
    <w:rsid w:val="00D31FEF"/>
    <w:rsid w:val="00D3428C"/>
    <w:rsid w:val="00D407A2"/>
    <w:rsid w:val="00D43C26"/>
    <w:rsid w:val="00D44F81"/>
    <w:rsid w:val="00D47107"/>
    <w:rsid w:val="00D501B6"/>
    <w:rsid w:val="00D51DA8"/>
    <w:rsid w:val="00D536CA"/>
    <w:rsid w:val="00D53980"/>
    <w:rsid w:val="00D54DD8"/>
    <w:rsid w:val="00D5684B"/>
    <w:rsid w:val="00D57538"/>
    <w:rsid w:val="00D60990"/>
    <w:rsid w:val="00D616B7"/>
    <w:rsid w:val="00D64FA3"/>
    <w:rsid w:val="00D6522D"/>
    <w:rsid w:val="00D717D1"/>
    <w:rsid w:val="00D72C29"/>
    <w:rsid w:val="00D72C97"/>
    <w:rsid w:val="00D72EA9"/>
    <w:rsid w:val="00D74B08"/>
    <w:rsid w:val="00D75720"/>
    <w:rsid w:val="00D80D66"/>
    <w:rsid w:val="00D82102"/>
    <w:rsid w:val="00D851A7"/>
    <w:rsid w:val="00D86F44"/>
    <w:rsid w:val="00D8771B"/>
    <w:rsid w:val="00D8796D"/>
    <w:rsid w:val="00D87A97"/>
    <w:rsid w:val="00D91ED3"/>
    <w:rsid w:val="00D9592A"/>
    <w:rsid w:val="00D974B2"/>
    <w:rsid w:val="00DA149C"/>
    <w:rsid w:val="00DA161E"/>
    <w:rsid w:val="00DA2005"/>
    <w:rsid w:val="00DA21C4"/>
    <w:rsid w:val="00DA2782"/>
    <w:rsid w:val="00DA4267"/>
    <w:rsid w:val="00DA7E64"/>
    <w:rsid w:val="00DB0427"/>
    <w:rsid w:val="00DB6A5B"/>
    <w:rsid w:val="00DB713A"/>
    <w:rsid w:val="00DC0B98"/>
    <w:rsid w:val="00DC7472"/>
    <w:rsid w:val="00DD01F1"/>
    <w:rsid w:val="00DD04C4"/>
    <w:rsid w:val="00DD09AE"/>
    <w:rsid w:val="00DD4EE1"/>
    <w:rsid w:val="00DD51A7"/>
    <w:rsid w:val="00DD5C77"/>
    <w:rsid w:val="00DE078F"/>
    <w:rsid w:val="00DE408F"/>
    <w:rsid w:val="00DE7022"/>
    <w:rsid w:val="00DF4226"/>
    <w:rsid w:val="00DF6B7A"/>
    <w:rsid w:val="00E018EC"/>
    <w:rsid w:val="00E03C69"/>
    <w:rsid w:val="00E03E28"/>
    <w:rsid w:val="00E10602"/>
    <w:rsid w:val="00E10B30"/>
    <w:rsid w:val="00E1388F"/>
    <w:rsid w:val="00E151D7"/>
    <w:rsid w:val="00E16C4A"/>
    <w:rsid w:val="00E20737"/>
    <w:rsid w:val="00E22132"/>
    <w:rsid w:val="00E25920"/>
    <w:rsid w:val="00E266D9"/>
    <w:rsid w:val="00E307EE"/>
    <w:rsid w:val="00E319B5"/>
    <w:rsid w:val="00E32DEB"/>
    <w:rsid w:val="00E36824"/>
    <w:rsid w:val="00E36F21"/>
    <w:rsid w:val="00E371FC"/>
    <w:rsid w:val="00E37987"/>
    <w:rsid w:val="00E4012C"/>
    <w:rsid w:val="00E42A91"/>
    <w:rsid w:val="00E43EB9"/>
    <w:rsid w:val="00E44250"/>
    <w:rsid w:val="00E45A72"/>
    <w:rsid w:val="00E5141C"/>
    <w:rsid w:val="00E529F3"/>
    <w:rsid w:val="00E54433"/>
    <w:rsid w:val="00E62C2C"/>
    <w:rsid w:val="00E6390C"/>
    <w:rsid w:val="00E63E52"/>
    <w:rsid w:val="00E67A6D"/>
    <w:rsid w:val="00E700B3"/>
    <w:rsid w:val="00E702DD"/>
    <w:rsid w:val="00E72040"/>
    <w:rsid w:val="00E7308E"/>
    <w:rsid w:val="00E74778"/>
    <w:rsid w:val="00E772E9"/>
    <w:rsid w:val="00E814AD"/>
    <w:rsid w:val="00E8470B"/>
    <w:rsid w:val="00E85344"/>
    <w:rsid w:val="00E85B3C"/>
    <w:rsid w:val="00E908A0"/>
    <w:rsid w:val="00E92A43"/>
    <w:rsid w:val="00E949CD"/>
    <w:rsid w:val="00E96F3B"/>
    <w:rsid w:val="00E97337"/>
    <w:rsid w:val="00E9735F"/>
    <w:rsid w:val="00EA4337"/>
    <w:rsid w:val="00EA6409"/>
    <w:rsid w:val="00EA70D0"/>
    <w:rsid w:val="00EB10A7"/>
    <w:rsid w:val="00EB226D"/>
    <w:rsid w:val="00EB34F0"/>
    <w:rsid w:val="00EB4619"/>
    <w:rsid w:val="00EB64E5"/>
    <w:rsid w:val="00EB673A"/>
    <w:rsid w:val="00EB6906"/>
    <w:rsid w:val="00EB6FF6"/>
    <w:rsid w:val="00EB7F74"/>
    <w:rsid w:val="00EC03C6"/>
    <w:rsid w:val="00EC2765"/>
    <w:rsid w:val="00EC300A"/>
    <w:rsid w:val="00EC4DF3"/>
    <w:rsid w:val="00EC50FD"/>
    <w:rsid w:val="00EC54B9"/>
    <w:rsid w:val="00EC5C54"/>
    <w:rsid w:val="00ED1A91"/>
    <w:rsid w:val="00ED2AB7"/>
    <w:rsid w:val="00ED2CC9"/>
    <w:rsid w:val="00ED3582"/>
    <w:rsid w:val="00ED5206"/>
    <w:rsid w:val="00ED7FEC"/>
    <w:rsid w:val="00EE1323"/>
    <w:rsid w:val="00EE313D"/>
    <w:rsid w:val="00EE4C99"/>
    <w:rsid w:val="00EE7BD5"/>
    <w:rsid w:val="00EF498F"/>
    <w:rsid w:val="00F002F5"/>
    <w:rsid w:val="00F006C6"/>
    <w:rsid w:val="00F008B1"/>
    <w:rsid w:val="00F03707"/>
    <w:rsid w:val="00F04C71"/>
    <w:rsid w:val="00F05FD5"/>
    <w:rsid w:val="00F1064E"/>
    <w:rsid w:val="00F116F7"/>
    <w:rsid w:val="00F12300"/>
    <w:rsid w:val="00F12554"/>
    <w:rsid w:val="00F14475"/>
    <w:rsid w:val="00F17698"/>
    <w:rsid w:val="00F17BC2"/>
    <w:rsid w:val="00F21C79"/>
    <w:rsid w:val="00F23A06"/>
    <w:rsid w:val="00F23A1E"/>
    <w:rsid w:val="00F23B40"/>
    <w:rsid w:val="00F258BE"/>
    <w:rsid w:val="00F27FB3"/>
    <w:rsid w:val="00F30827"/>
    <w:rsid w:val="00F3130B"/>
    <w:rsid w:val="00F31E94"/>
    <w:rsid w:val="00F32506"/>
    <w:rsid w:val="00F32C3C"/>
    <w:rsid w:val="00F33E25"/>
    <w:rsid w:val="00F410F9"/>
    <w:rsid w:val="00F413E6"/>
    <w:rsid w:val="00F419B2"/>
    <w:rsid w:val="00F4434E"/>
    <w:rsid w:val="00F44BD6"/>
    <w:rsid w:val="00F52CC5"/>
    <w:rsid w:val="00F53E85"/>
    <w:rsid w:val="00F56CCF"/>
    <w:rsid w:val="00F57A91"/>
    <w:rsid w:val="00F63A46"/>
    <w:rsid w:val="00F64314"/>
    <w:rsid w:val="00F64B20"/>
    <w:rsid w:val="00F66B45"/>
    <w:rsid w:val="00F66BF8"/>
    <w:rsid w:val="00F67EE0"/>
    <w:rsid w:val="00F7099E"/>
    <w:rsid w:val="00F748F0"/>
    <w:rsid w:val="00F75091"/>
    <w:rsid w:val="00F8211E"/>
    <w:rsid w:val="00F84563"/>
    <w:rsid w:val="00F9061E"/>
    <w:rsid w:val="00F911B2"/>
    <w:rsid w:val="00F944E0"/>
    <w:rsid w:val="00F95AD8"/>
    <w:rsid w:val="00FA08B3"/>
    <w:rsid w:val="00FA22D8"/>
    <w:rsid w:val="00FA51AB"/>
    <w:rsid w:val="00FA58C8"/>
    <w:rsid w:val="00FA591A"/>
    <w:rsid w:val="00FA5933"/>
    <w:rsid w:val="00FA6DCE"/>
    <w:rsid w:val="00FB0412"/>
    <w:rsid w:val="00FB0CC4"/>
    <w:rsid w:val="00FB4950"/>
    <w:rsid w:val="00FB5878"/>
    <w:rsid w:val="00FB7295"/>
    <w:rsid w:val="00FC0DD2"/>
    <w:rsid w:val="00FC5881"/>
    <w:rsid w:val="00FC64BA"/>
    <w:rsid w:val="00FD0F4E"/>
    <w:rsid w:val="00FD1814"/>
    <w:rsid w:val="00FE082D"/>
    <w:rsid w:val="00FE14B0"/>
    <w:rsid w:val="00FE303B"/>
    <w:rsid w:val="00FE4FED"/>
    <w:rsid w:val="00FE5B72"/>
    <w:rsid w:val="00FF019B"/>
    <w:rsid w:val="00FF0332"/>
    <w:rsid w:val="00FF079F"/>
    <w:rsid w:val="00FF100C"/>
    <w:rsid w:val="00FF1BDF"/>
    <w:rsid w:val="00FF1F49"/>
    <w:rsid w:val="00FF2367"/>
    <w:rsid w:val="00FF3861"/>
    <w:rsid w:val="00FF51D8"/>
    <w:rsid w:val="00FF5F3E"/>
    <w:rsid w:val="00FF6A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0DBAD"/>
  <w15:docId w15:val="{3D11FC49-A2C1-469C-B78D-F9251E89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1653"/>
    <w:pPr>
      <w:keepNext/>
      <w:keepLines/>
      <w:numPr>
        <w:numId w:val="1"/>
      </w:numPr>
      <w:spacing w:before="240" w:after="240"/>
      <w:outlineLvl w:val="0"/>
    </w:pPr>
    <w:rPr>
      <w:rFonts w:ascii="Century Gothic" w:eastAsiaTheme="majorEastAsia" w:hAnsi="Century Gothic" w:cstheme="majorBidi"/>
      <w:b/>
      <w:bCs/>
      <w:color w:val="2D4F8E" w:themeColor="accent1" w:themeShade="B5"/>
      <w:sz w:val="20"/>
      <w:szCs w:val="20"/>
      <w:lang w:val="es-ES_tradnl" w:eastAsia="es-ES"/>
    </w:rPr>
  </w:style>
  <w:style w:type="paragraph" w:styleId="Ttulo2">
    <w:name w:val="heading 2"/>
    <w:basedOn w:val="Normal"/>
    <w:next w:val="Normal"/>
    <w:link w:val="Ttulo2Car"/>
    <w:uiPriority w:val="9"/>
    <w:unhideWhenUsed/>
    <w:qFormat/>
    <w:rsid w:val="00991653"/>
    <w:pPr>
      <w:keepNext/>
      <w:keepLines/>
      <w:numPr>
        <w:ilvl w:val="1"/>
        <w:numId w:val="1"/>
      </w:numPr>
      <w:spacing w:before="40"/>
      <w:outlineLvl w:val="1"/>
    </w:pPr>
    <w:rPr>
      <w:rFonts w:ascii="Century Gothic" w:eastAsiaTheme="majorEastAsia" w:hAnsi="Century Gothic" w:cstheme="majorBidi"/>
      <w:color w:val="2F5496" w:themeColor="accent1" w:themeShade="BF"/>
      <w:sz w:val="20"/>
      <w:szCs w:val="20"/>
    </w:rPr>
  </w:style>
  <w:style w:type="paragraph" w:styleId="Ttulo3">
    <w:name w:val="heading 3"/>
    <w:basedOn w:val="Normal"/>
    <w:next w:val="Normal"/>
    <w:link w:val="Ttulo3Car"/>
    <w:uiPriority w:val="9"/>
    <w:semiHidden/>
    <w:unhideWhenUsed/>
    <w:qFormat/>
    <w:rsid w:val="00991653"/>
    <w:pPr>
      <w:keepNext/>
      <w:keepLines/>
      <w:numPr>
        <w:ilvl w:val="2"/>
        <w:numId w:val="1"/>
      </w:numPr>
      <w:spacing w:before="40"/>
      <w:outlineLvl w:val="2"/>
    </w:pPr>
    <w:rPr>
      <w:rFonts w:asciiTheme="majorHAnsi" w:eastAsiaTheme="majorEastAsia" w:hAnsiTheme="majorHAnsi" w:cstheme="majorBidi"/>
      <w:color w:val="1F3763" w:themeColor="accent1" w:themeShade="7F"/>
      <w:lang w:val="es-ES_tradnl" w:eastAsia="es-ES"/>
    </w:rPr>
  </w:style>
  <w:style w:type="paragraph" w:styleId="Ttulo4">
    <w:name w:val="heading 4"/>
    <w:basedOn w:val="Normal"/>
    <w:next w:val="Normal"/>
    <w:link w:val="Ttulo4Car"/>
    <w:uiPriority w:val="9"/>
    <w:semiHidden/>
    <w:unhideWhenUsed/>
    <w:qFormat/>
    <w:rsid w:val="00991653"/>
    <w:pPr>
      <w:keepNext/>
      <w:keepLines/>
      <w:numPr>
        <w:ilvl w:val="3"/>
        <w:numId w:val="1"/>
      </w:numPr>
      <w:spacing w:before="40"/>
      <w:outlineLvl w:val="3"/>
    </w:pPr>
    <w:rPr>
      <w:rFonts w:asciiTheme="majorHAnsi" w:eastAsiaTheme="majorEastAsia" w:hAnsiTheme="majorHAnsi" w:cstheme="majorBidi"/>
      <w:i/>
      <w:iCs/>
      <w:color w:val="2F5496" w:themeColor="accent1" w:themeShade="BF"/>
      <w:lang w:val="es-ES_tradnl" w:eastAsia="es-ES"/>
    </w:rPr>
  </w:style>
  <w:style w:type="paragraph" w:styleId="Ttulo5">
    <w:name w:val="heading 5"/>
    <w:basedOn w:val="Normal"/>
    <w:next w:val="Normal"/>
    <w:link w:val="Ttulo5Car"/>
    <w:uiPriority w:val="9"/>
    <w:semiHidden/>
    <w:unhideWhenUsed/>
    <w:qFormat/>
    <w:rsid w:val="00991653"/>
    <w:pPr>
      <w:keepNext/>
      <w:keepLines/>
      <w:numPr>
        <w:ilvl w:val="4"/>
        <w:numId w:val="1"/>
      </w:numPr>
      <w:spacing w:before="40"/>
      <w:outlineLvl w:val="4"/>
    </w:pPr>
    <w:rPr>
      <w:rFonts w:asciiTheme="majorHAnsi" w:eastAsiaTheme="majorEastAsia" w:hAnsiTheme="majorHAnsi" w:cstheme="majorBidi"/>
      <w:color w:val="2F5496" w:themeColor="accent1" w:themeShade="BF"/>
      <w:lang w:val="es-ES_tradnl" w:eastAsia="es-ES"/>
    </w:rPr>
  </w:style>
  <w:style w:type="paragraph" w:styleId="Ttulo6">
    <w:name w:val="heading 6"/>
    <w:basedOn w:val="Normal"/>
    <w:next w:val="Normal"/>
    <w:link w:val="Ttulo6Car"/>
    <w:uiPriority w:val="9"/>
    <w:semiHidden/>
    <w:unhideWhenUsed/>
    <w:qFormat/>
    <w:rsid w:val="00991653"/>
    <w:pPr>
      <w:keepNext/>
      <w:keepLines/>
      <w:numPr>
        <w:ilvl w:val="5"/>
        <w:numId w:val="1"/>
      </w:numPr>
      <w:spacing w:before="40"/>
      <w:outlineLvl w:val="5"/>
    </w:pPr>
    <w:rPr>
      <w:rFonts w:asciiTheme="majorHAnsi" w:eastAsiaTheme="majorEastAsia" w:hAnsiTheme="majorHAnsi" w:cstheme="majorBidi"/>
      <w:color w:val="1F3763" w:themeColor="accent1" w:themeShade="7F"/>
      <w:lang w:val="es-ES_tradnl" w:eastAsia="es-ES"/>
    </w:rPr>
  </w:style>
  <w:style w:type="paragraph" w:styleId="Ttulo7">
    <w:name w:val="heading 7"/>
    <w:basedOn w:val="Normal"/>
    <w:next w:val="Normal"/>
    <w:link w:val="Ttulo7Car"/>
    <w:uiPriority w:val="9"/>
    <w:semiHidden/>
    <w:unhideWhenUsed/>
    <w:qFormat/>
    <w:rsid w:val="00991653"/>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s-ES_tradnl" w:eastAsia="es-ES"/>
    </w:rPr>
  </w:style>
  <w:style w:type="paragraph" w:styleId="Ttulo8">
    <w:name w:val="heading 8"/>
    <w:basedOn w:val="Normal"/>
    <w:next w:val="Normal"/>
    <w:link w:val="Ttulo8Car"/>
    <w:uiPriority w:val="9"/>
    <w:semiHidden/>
    <w:unhideWhenUsed/>
    <w:qFormat/>
    <w:rsid w:val="0099165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s-ES_tradnl" w:eastAsia="es-ES"/>
    </w:rPr>
  </w:style>
  <w:style w:type="paragraph" w:styleId="Ttulo9">
    <w:name w:val="heading 9"/>
    <w:basedOn w:val="Normal"/>
    <w:next w:val="Normal"/>
    <w:link w:val="Ttulo9Car"/>
    <w:uiPriority w:val="9"/>
    <w:semiHidden/>
    <w:unhideWhenUsed/>
    <w:qFormat/>
    <w:rsid w:val="0099165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91653"/>
    <w:rPr>
      <w:rFonts w:ascii="Century Gothic" w:eastAsiaTheme="majorEastAsia" w:hAnsi="Century Gothic" w:cstheme="majorBidi"/>
      <w:b/>
      <w:bCs/>
      <w:color w:val="2D4F8E" w:themeColor="accent1" w:themeShade="B5"/>
      <w:sz w:val="20"/>
      <w:szCs w:val="20"/>
      <w:lang w:val="es-ES_tradnl" w:eastAsia="es-ES"/>
    </w:rPr>
  </w:style>
  <w:style w:type="character" w:customStyle="1" w:styleId="Ttulo2Car">
    <w:name w:val="Título 2 Car"/>
    <w:basedOn w:val="Fuentedeprrafopredeter"/>
    <w:link w:val="Ttulo2"/>
    <w:uiPriority w:val="9"/>
    <w:rsid w:val="00991653"/>
    <w:rPr>
      <w:rFonts w:ascii="Century Gothic" w:eastAsiaTheme="majorEastAsia" w:hAnsi="Century Gothic" w:cstheme="majorBidi"/>
      <w:color w:val="2F5496" w:themeColor="accent1" w:themeShade="BF"/>
      <w:sz w:val="20"/>
      <w:szCs w:val="20"/>
      <w:lang w:val="es-ES"/>
    </w:rPr>
  </w:style>
  <w:style w:type="character" w:customStyle="1" w:styleId="Ttulo3Car">
    <w:name w:val="Título 3 Car"/>
    <w:basedOn w:val="Fuentedeprrafopredeter"/>
    <w:link w:val="Ttulo3"/>
    <w:uiPriority w:val="9"/>
    <w:semiHidden/>
    <w:rsid w:val="00991653"/>
    <w:rPr>
      <w:rFonts w:asciiTheme="majorHAnsi" w:eastAsiaTheme="majorEastAsia" w:hAnsiTheme="majorHAnsi" w:cstheme="majorBidi"/>
      <w:color w:val="1F3763" w:themeColor="accent1" w:themeShade="7F"/>
      <w:lang w:val="es-ES_tradnl" w:eastAsia="es-ES"/>
    </w:rPr>
  </w:style>
  <w:style w:type="paragraph" w:styleId="Encabezado">
    <w:name w:val="header"/>
    <w:basedOn w:val="Normal"/>
    <w:link w:val="EncabezadoCar"/>
    <w:uiPriority w:val="99"/>
    <w:unhideWhenUsed/>
    <w:rsid w:val="00AB18C4"/>
    <w:pPr>
      <w:tabs>
        <w:tab w:val="center" w:pos="4419"/>
        <w:tab w:val="right" w:pos="8838"/>
      </w:tabs>
    </w:pPr>
  </w:style>
  <w:style w:type="character" w:customStyle="1" w:styleId="EncabezadoCar">
    <w:name w:val="Encabezado Car"/>
    <w:basedOn w:val="Fuentedeprrafopredeter"/>
    <w:link w:val="Encabezado"/>
    <w:uiPriority w:val="99"/>
    <w:rsid w:val="00AB18C4"/>
  </w:style>
  <w:style w:type="paragraph" w:styleId="Piedepgina">
    <w:name w:val="footer"/>
    <w:basedOn w:val="Normal"/>
    <w:link w:val="PiedepginaCar"/>
    <w:uiPriority w:val="99"/>
    <w:unhideWhenUsed/>
    <w:rsid w:val="00AB18C4"/>
    <w:pPr>
      <w:tabs>
        <w:tab w:val="center" w:pos="4419"/>
        <w:tab w:val="right" w:pos="8838"/>
      </w:tabs>
    </w:pPr>
  </w:style>
  <w:style w:type="character" w:customStyle="1" w:styleId="PiedepginaCar">
    <w:name w:val="Pie de página Car"/>
    <w:basedOn w:val="Fuentedeprrafopredeter"/>
    <w:link w:val="Piedepgina"/>
    <w:uiPriority w:val="99"/>
    <w:rsid w:val="00AB18C4"/>
  </w:style>
  <w:style w:type="character" w:customStyle="1" w:styleId="Ttulo4Car">
    <w:name w:val="Título 4 Car"/>
    <w:basedOn w:val="Fuentedeprrafopredeter"/>
    <w:link w:val="Ttulo4"/>
    <w:uiPriority w:val="9"/>
    <w:semiHidden/>
    <w:rsid w:val="00991653"/>
    <w:rPr>
      <w:rFonts w:asciiTheme="majorHAnsi" w:eastAsiaTheme="majorEastAsia" w:hAnsiTheme="majorHAnsi" w:cstheme="majorBidi"/>
      <w:i/>
      <w:iCs/>
      <w:color w:val="2F5496" w:themeColor="accent1" w:themeShade="BF"/>
      <w:lang w:val="es-ES_tradnl" w:eastAsia="es-ES"/>
    </w:rPr>
  </w:style>
  <w:style w:type="character" w:customStyle="1" w:styleId="Ttulo5Car">
    <w:name w:val="Título 5 Car"/>
    <w:basedOn w:val="Fuentedeprrafopredeter"/>
    <w:link w:val="Ttulo5"/>
    <w:uiPriority w:val="9"/>
    <w:semiHidden/>
    <w:rsid w:val="00991653"/>
    <w:rPr>
      <w:rFonts w:asciiTheme="majorHAnsi" w:eastAsiaTheme="majorEastAsia" w:hAnsiTheme="majorHAnsi" w:cstheme="majorBidi"/>
      <w:color w:val="2F5496" w:themeColor="accent1" w:themeShade="BF"/>
      <w:lang w:val="es-ES_tradnl" w:eastAsia="es-ES"/>
    </w:rPr>
  </w:style>
  <w:style w:type="character" w:customStyle="1" w:styleId="Ttulo6Car">
    <w:name w:val="Título 6 Car"/>
    <w:basedOn w:val="Fuentedeprrafopredeter"/>
    <w:link w:val="Ttulo6"/>
    <w:uiPriority w:val="9"/>
    <w:semiHidden/>
    <w:rsid w:val="00991653"/>
    <w:rPr>
      <w:rFonts w:asciiTheme="majorHAnsi" w:eastAsiaTheme="majorEastAsia" w:hAnsiTheme="majorHAnsi" w:cstheme="majorBidi"/>
      <w:color w:val="1F3763" w:themeColor="accent1" w:themeShade="7F"/>
      <w:lang w:val="es-ES_tradnl" w:eastAsia="es-ES"/>
    </w:rPr>
  </w:style>
  <w:style w:type="character" w:customStyle="1" w:styleId="Ttulo7Car">
    <w:name w:val="Título 7 Car"/>
    <w:basedOn w:val="Fuentedeprrafopredeter"/>
    <w:link w:val="Ttulo7"/>
    <w:uiPriority w:val="9"/>
    <w:semiHidden/>
    <w:rsid w:val="00991653"/>
    <w:rPr>
      <w:rFonts w:asciiTheme="majorHAnsi" w:eastAsiaTheme="majorEastAsia" w:hAnsiTheme="majorHAnsi" w:cstheme="majorBidi"/>
      <w:i/>
      <w:iCs/>
      <w:color w:val="1F3763" w:themeColor="accent1" w:themeShade="7F"/>
      <w:lang w:val="es-ES_tradnl" w:eastAsia="es-ES"/>
    </w:rPr>
  </w:style>
  <w:style w:type="character" w:customStyle="1" w:styleId="Ttulo8Car">
    <w:name w:val="Título 8 Car"/>
    <w:basedOn w:val="Fuentedeprrafopredeter"/>
    <w:link w:val="Ttulo8"/>
    <w:uiPriority w:val="9"/>
    <w:semiHidden/>
    <w:rsid w:val="00991653"/>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uiPriority w:val="9"/>
    <w:semiHidden/>
    <w:rsid w:val="00991653"/>
    <w:rPr>
      <w:rFonts w:asciiTheme="majorHAnsi" w:eastAsiaTheme="majorEastAsia" w:hAnsiTheme="majorHAnsi" w:cstheme="majorBidi"/>
      <w:i/>
      <w:iCs/>
      <w:color w:val="272727" w:themeColor="text1" w:themeTint="D8"/>
      <w:sz w:val="21"/>
      <w:szCs w:val="21"/>
      <w:lang w:val="es-ES_tradnl" w:eastAsia="es-ES"/>
    </w:rPr>
  </w:style>
  <w:style w:type="paragraph" w:styleId="Textonotapie">
    <w:name w:val="footnote text"/>
    <w:aliases w:val="ft,FA Fu,FA Fuﬂnotentext,Footnote Text Char Char Char Char Char,Footnote Text Char Char Char Char,Footnote reference,Char Char Char Char,Char Char Char Char Char Char Char,Char Char Char Char Char Char,Char Char Char,ft Car Car Car,ft1,f"/>
    <w:basedOn w:val="Normal"/>
    <w:link w:val="TextonotapieCar"/>
    <w:uiPriority w:val="99"/>
    <w:unhideWhenUsed/>
    <w:qFormat/>
    <w:rsid w:val="00991653"/>
    <w:rPr>
      <w:rFonts w:eastAsiaTheme="minorEastAsia"/>
      <w:lang w:val="es-ES_tradnl" w:eastAsia="es-ES"/>
    </w:rPr>
  </w:style>
  <w:style w:type="character" w:customStyle="1" w:styleId="TextonotapieCar">
    <w:name w:val="Texto nota pie Car"/>
    <w:aliases w:val="ft Car,FA Fu Car,FA Fuﬂnotentext Car,Footnote Text Char Char Char Char Char Car,Footnote Text Char Char Char Char Car,Footnote reference Car,Char Char Char Char Car,Char Char Char Char Char Char Char Car,Char Char Char Car,ft1 Car"/>
    <w:basedOn w:val="Fuentedeprrafopredeter"/>
    <w:link w:val="Textonotapie"/>
    <w:uiPriority w:val="99"/>
    <w:rsid w:val="00991653"/>
    <w:rPr>
      <w:rFonts w:eastAsiaTheme="minorEastAsia"/>
      <w:lang w:val="es-ES_tradnl" w:eastAsia="es-ES"/>
    </w:rPr>
  </w:style>
  <w:style w:type="character" w:styleId="Refdenotaalpie">
    <w:name w:val="footnote reference"/>
    <w:aliases w:val="Texto de nota al pie,referencia nota al pie,Texto nota al pie,Footnote symbol,Footnote,Pie de pagina,Fußnotenzeichen DISS,ftref,Footnote Reference1,16 Point,Superscript 6 Point,Ref,de nota al pi,Ref. de nota al pie2,de nota al pie,fr"/>
    <w:basedOn w:val="Fuentedeprrafopredeter"/>
    <w:link w:val="AppelnotedebasdepageCharCharChar1CharCharCarattereCharCharCharCharCharCharCharCharCharCharCharCharCharCharCharCharCharCharCharCharCharCharCharCharCharCharCharCharCharCharChar"/>
    <w:uiPriority w:val="99"/>
    <w:unhideWhenUsed/>
    <w:qFormat/>
    <w:rsid w:val="00991653"/>
    <w:rPr>
      <w:vertAlign w:val="superscript"/>
    </w:rPr>
  </w:style>
  <w:style w:type="paragraph" w:styleId="Textoindependiente">
    <w:name w:val="Body Text"/>
    <w:basedOn w:val="Normal"/>
    <w:link w:val="TextoindependienteCar"/>
    <w:uiPriority w:val="1"/>
    <w:unhideWhenUsed/>
    <w:qFormat/>
    <w:rsid w:val="00991653"/>
    <w:pPr>
      <w:spacing w:after="120"/>
    </w:pPr>
    <w:rPr>
      <w:rFonts w:eastAsiaTheme="minorEastAsia"/>
      <w:lang w:val="es-ES_tradnl" w:eastAsia="es-ES"/>
    </w:rPr>
  </w:style>
  <w:style w:type="character" w:customStyle="1" w:styleId="TextoindependienteCar">
    <w:name w:val="Texto independiente Car"/>
    <w:basedOn w:val="Fuentedeprrafopredeter"/>
    <w:link w:val="Textoindependiente"/>
    <w:uiPriority w:val="1"/>
    <w:rsid w:val="00991653"/>
    <w:rPr>
      <w:rFonts w:eastAsiaTheme="minorEastAsia"/>
      <w:lang w:val="es-ES_tradnl" w:eastAsia="es-ES"/>
    </w:rPr>
  </w:style>
  <w:style w:type="character" w:customStyle="1" w:styleId="hps">
    <w:name w:val="hps"/>
    <w:basedOn w:val="Fuentedeprrafopredeter"/>
    <w:rsid w:val="00991653"/>
  </w:style>
  <w:style w:type="character" w:styleId="Hipervnculo">
    <w:name w:val="Hyperlink"/>
    <w:basedOn w:val="Fuentedeprrafopredeter"/>
    <w:uiPriority w:val="99"/>
    <w:unhideWhenUsed/>
    <w:rsid w:val="00991653"/>
    <w:rPr>
      <w:color w:val="0563C1"/>
      <w:u w:val="single"/>
    </w:rPr>
  </w:style>
  <w:style w:type="character" w:customStyle="1" w:styleId="PrrafodelistaCar">
    <w:name w:val="Párrafo de lista Car"/>
    <w:aliases w:val="Tasks Car,titulo 3 Car,Numbered Paragraph Car,Paragraphe de liste PBLH Car,Bullet Points Car,Liste Paragraf Car,Listenabsatz1 Car,Llista Nivell1 Car,Lista de nivel 1 Car,Normal bullet 2 Car,Graph &amp; Table tite Car,Bullet list Car"/>
    <w:link w:val="Prrafodelista"/>
    <w:uiPriority w:val="34"/>
    <w:qFormat/>
    <w:locked/>
    <w:rsid w:val="00991653"/>
    <w:rPr>
      <w:rFonts w:ascii="Arial" w:eastAsia="Times New Roman" w:hAnsi="Arial" w:cs="Arial"/>
      <w:lang w:val="de-DE" w:eastAsia="de-DE"/>
    </w:rPr>
  </w:style>
  <w:style w:type="paragraph" w:styleId="Prrafodelista">
    <w:name w:val="List Paragraph"/>
    <w:aliases w:val="Tasks,titulo 3,Numbered Paragraph,Paragraphe de liste PBLH,Bullet Points,Liste Paragraf,Listenabsatz1,Llista Nivell1,Lista de nivel 1,Normal bullet 2,Graph &amp; Table tite,Table of contents numbered,Bullet list,Bullets,List Bulet,titulo 5"/>
    <w:basedOn w:val="Normal"/>
    <w:link w:val="PrrafodelistaCar"/>
    <w:uiPriority w:val="34"/>
    <w:qFormat/>
    <w:rsid w:val="00991653"/>
    <w:pPr>
      <w:autoSpaceDE w:val="0"/>
      <w:autoSpaceDN w:val="0"/>
      <w:ind w:left="720" w:right="113"/>
      <w:contextualSpacing/>
      <w:jc w:val="both"/>
    </w:pPr>
    <w:rPr>
      <w:rFonts w:ascii="Arial" w:eastAsia="Times New Roman" w:hAnsi="Arial" w:cs="Arial"/>
      <w:lang w:val="de-DE" w:eastAsia="de-DE"/>
    </w:rPr>
  </w:style>
  <w:style w:type="paragraph" w:customStyle="1" w:styleId="DG-Standardtext">
    <w:name w:val="DG-Standardtext"/>
    <w:basedOn w:val="Normal"/>
    <w:rsid w:val="00991653"/>
    <w:pPr>
      <w:tabs>
        <w:tab w:val="left" w:pos="425"/>
      </w:tabs>
      <w:spacing w:before="120" w:after="120" w:line="360" w:lineRule="exact"/>
      <w:jc w:val="both"/>
    </w:pPr>
    <w:rPr>
      <w:rFonts w:ascii="Arial" w:eastAsia="Times New Roman" w:hAnsi="Arial" w:cs="Times New Roman"/>
      <w:bCs/>
      <w:noProof/>
      <w:sz w:val="22"/>
      <w:szCs w:val="20"/>
      <w:lang w:eastAsia="de-DE"/>
    </w:rPr>
  </w:style>
  <w:style w:type="paragraph" w:customStyle="1" w:styleId="Default">
    <w:name w:val="Default"/>
    <w:rsid w:val="00991653"/>
    <w:pPr>
      <w:autoSpaceDE w:val="0"/>
      <w:autoSpaceDN w:val="0"/>
      <w:adjustRightInd w:val="0"/>
    </w:pPr>
    <w:rPr>
      <w:color w:val="000000"/>
    </w:rPr>
  </w:style>
  <w:style w:type="paragraph" w:styleId="Textodeglobo">
    <w:name w:val="Balloon Text"/>
    <w:basedOn w:val="Normal"/>
    <w:link w:val="TextodegloboCar"/>
    <w:uiPriority w:val="99"/>
    <w:semiHidden/>
    <w:unhideWhenUsed/>
    <w:rsid w:val="00991653"/>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991653"/>
    <w:rPr>
      <w:rFonts w:ascii="Lucida Grande" w:eastAsiaTheme="minorEastAsia" w:hAnsi="Lucida Grande" w:cs="Lucida Grande"/>
      <w:sz w:val="18"/>
      <w:szCs w:val="18"/>
      <w:lang w:val="es-ES_tradnl" w:eastAsia="es-ES"/>
    </w:rPr>
  </w:style>
  <w:style w:type="character" w:customStyle="1" w:styleId="normal0020tablechar">
    <w:name w:val="normal_0020table__char"/>
    <w:basedOn w:val="Fuentedeprrafopredeter"/>
    <w:uiPriority w:val="99"/>
    <w:rsid w:val="00991653"/>
  </w:style>
  <w:style w:type="paragraph" w:customStyle="1" w:styleId="normal0020table">
    <w:name w:val="normal_0020table"/>
    <w:basedOn w:val="Normal"/>
    <w:uiPriority w:val="99"/>
    <w:rsid w:val="00991653"/>
    <w:pPr>
      <w:spacing w:before="100" w:beforeAutospacing="1" w:after="100" w:afterAutospacing="1"/>
    </w:pPr>
    <w:rPr>
      <w:rFonts w:ascii="Times" w:eastAsia="Times New Roman" w:hAnsi="Times" w:cs="Times"/>
      <w:sz w:val="20"/>
      <w:szCs w:val="20"/>
      <w:lang w:val="es-ES_tradnl"/>
    </w:rPr>
  </w:style>
  <w:style w:type="paragraph" w:styleId="NormalWeb">
    <w:name w:val="Normal (Web)"/>
    <w:basedOn w:val="Normal"/>
    <w:uiPriority w:val="99"/>
    <w:unhideWhenUsed/>
    <w:rsid w:val="00991653"/>
    <w:pPr>
      <w:spacing w:before="100" w:beforeAutospacing="1" w:after="100" w:afterAutospacing="1"/>
    </w:pPr>
    <w:rPr>
      <w:rFonts w:ascii="Times New Roman" w:eastAsiaTheme="minorEastAsia" w:hAnsi="Times New Roman" w:cs="Times New Roman"/>
      <w:lang w:val="es-MX" w:eastAsia="es-MX"/>
    </w:rPr>
  </w:style>
  <w:style w:type="character" w:styleId="Refdecomentario">
    <w:name w:val="annotation reference"/>
    <w:basedOn w:val="Fuentedeprrafopredeter"/>
    <w:uiPriority w:val="99"/>
    <w:semiHidden/>
    <w:unhideWhenUsed/>
    <w:rsid w:val="00991653"/>
    <w:rPr>
      <w:sz w:val="16"/>
      <w:szCs w:val="16"/>
    </w:rPr>
  </w:style>
  <w:style w:type="paragraph" w:styleId="Textocomentario">
    <w:name w:val="annotation text"/>
    <w:basedOn w:val="Normal"/>
    <w:link w:val="TextocomentarioCar"/>
    <w:uiPriority w:val="99"/>
    <w:unhideWhenUsed/>
    <w:rsid w:val="00991653"/>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rsid w:val="00991653"/>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991653"/>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91653"/>
    <w:rPr>
      <w:b/>
      <w:bCs/>
    </w:rPr>
  </w:style>
  <w:style w:type="paragraph" w:styleId="Sinespaciado">
    <w:name w:val="No Spacing"/>
    <w:link w:val="SinespaciadoCar"/>
    <w:uiPriority w:val="1"/>
    <w:qFormat/>
    <w:rsid w:val="00991653"/>
    <w:rPr>
      <w:sz w:val="22"/>
      <w:szCs w:val="22"/>
      <w:lang w:val="en-US"/>
    </w:rPr>
  </w:style>
  <w:style w:type="character" w:customStyle="1" w:styleId="SinespaciadoCar">
    <w:name w:val="Sin espaciado Car"/>
    <w:basedOn w:val="Fuentedeprrafopredeter"/>
    <w:link w:val="Sinespaciado"/>
    <w:uiPriority w:val="1"/>
    <w:rsid w:val="00991653"/>
    <w:rPr>
      <w:sz w:val="22"/>
      <w:szCs w:val="22"/>
      <w:lang w:val="en-US"/>
    </w:rPr>
  </w:style>
  <w:style w:type="paragraph" w:styleId="Descripcin">
    <w:name w:val="caption"/>
    <w:basedOn w:val="Normal"/>
    <w:next w:val="Normal"/>
    <w:uiPriority w:val="35"/>
    <w:qFormat/>
    <w:rsid w:val="00991653"/>
    <w:pPr>
      <w:keepLines/>
      <w:tabs>
        <w:tab w:val="left" w:pos="851"/>
      </w:tabs>
      <w:overflowPunct w:val="0"/>
      <w:autoSpaceDE w:val="0"/>
      <w:autoSpaceDN w:val="0"/>
      <w:adjustRightInd w:val="0"/>
      <w:spacing w:after="240" w:line="240" w:lineRule="atLeast"/>
      <w:ind w:left="851" w:hanging="851"/>
      <w:jc w:val="center"/>
      <w:textAlignment w:val="baseline"/>
    </w:pPr>
    <w:rPr>
      <w:rFonts w:asciiTheme="majorHAnsi" w:eastAsia="Times New Roman" w:hAnsiTheme="majorHAnsi" w:cs="Times New Roman"/>
      <w:b/>
      <w:sz w:val="18"/>
      <w:szCs w:val="18"/>
      <w:lang w:val="en-GB" w:eastAsia="de-DE"/>
    </w:rPr>
  </w:style>
  <w:style w:type="paragraph" w:styleId="TtuloTDC">
    <w:name w:val="TOC Heading"/>
    <w:basedOn w:val="Ttulo1"/>
    <w:next w:val="Normal"/>
    <w:uiPriority w:val="39"/>
    <w:unhideWhenUsed/>
    <w:qFormat/>
    <w:rsid w:val="00991653"/>
    <w:pPr>
      <w:spacing w:line="259" w:lineRule="auto"/>
      <w:outlineLvl w:val="9"/>
    </w:pPr>
    <w:rPr>
      <w:b w:val="0"/>
      <w:bCs w:val="0"/>
      <w:color w:val="2F5496" w:themeColor="accent1" w:themeShade="BF"/>
      <w:lang w:val="es-CO" w:eastAsia="es-CO"/>
    </w:rPr>
  </w:style>
  <w:style w:type="paragraph" w:styleId="TDC1">
    <w:name w:val="toc 1"/>
    <w:basedOn w:val="Normal"/>
    <w:next w:val="Normal"/>
    <w:autoRedefine/>
    <w:uiPriority w:val="39"/>
    <w:unhideWhenUsed/>
    <w:rsid w:val="00904CAC"/>
    <w:pPr>
      <w:tabs>
        <w:tab w:val="left" w:pos="440"/>
        <w:tab w:val="right" w:leader="dot" w:pos="8828"/>
      </w:tabs>
      <w:spacing w:after="100"/>
    </w:pPr>
    <w:rPr>
      <w:rFonts w:eastAsiaTheme="minorEastAsia"/>
      <w:lang w:val="es-ES_tradnl" w:eastAsia="es-ES"/>
    </w:rPr>
  </w:style>
  <w:style w:type="paragraph" w:styleId="TDC2">
    <w:name w:val="toc 2"/>
    <w:basedOn w:val="Normal"/>
    <w:next w:val="Normal"/>
    <w:autoRedefine/>
    <w:uiPriority w:val="39"/>
    <w:unhideWhenUsed/>
    <w:rsid w:val="00AA1274"/>
    <w:pPr>
      <w:tabs>
        <w:tab w:val="right" w:leader="dot" w:pos="8828"/>
      </w:tabs>
      <w:spacing w:after="100"/>
      <w:ind w:left="240"/>
    </w:pPr>
    <w:rPr>
      <w:rFonts w:eastAsiaTheme="minorEastAsia"/>
      <w:lang w:val="es-ES_tradnl" w:eastAsia="es-ES"/>
    </w:rPr>
  </w:style>
  <w:style w:type="character" w:customStyle="1" w:styleId="x300002875highlight">
    <w:name w:val="x_300002875highlight"/>
    <w:basedOn w:val="Fuentedeprrafopredeter"/>
    <w:rsid w:val="00991653"/>
  </w:style>
  <w:style w:type="table" w:styleId="Tablaconcuadrcula">
    <w:name w:val="Table Grid"/>
    <w:aliases w:val="Table test"/>
    <w:basedOn w:val="Tablanormal"/>
    <w:uiPriority w:val="39"/>
    <w:rsid w:val="00991653"/>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991653"/>
    <w:rPr>
      <w:rFonts w:eastAsiaTheme="minorEastAsia"/>
      <w:lang w:val="es-ES_tradnl" w:eastAsia="es-ES"/>
    </w:rPr>
  </w:style>
  <w:style w:type="table" w:customStyle="1" w:styleId="TableNormal11">
    <w:name w:val="Table Normal11"/>
    <w:uiPriority w:val="2"/>
    <w:semiHidden/>
    <w:unhideWhenUsed/>
    <w:qFormat/>
    <w:rsid w:val="0099165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1653"/>
    <w:pPr>
      <w:widowControl w:val="0"/>
      <w:autoSpaceDE w:val="0"/>
      <w:autoSpaceDN w:val="0"/>
      <w:spacing w:before="6"/>
      <w:ind w:left="110"/>
    </w:pPr>
    <w:rPr>
      <w:rFonts w:ascii="Verdana" w:eastAsia="Verdana" w:hAnsi="Verdana" w:cs="Verdana"/>
      <w:sz w:val="22"/>
      <w:szCs w:val="22"/>
    </w:rPr>
  </w:style>
  <w:style w:type="paragraph" w:customStyle="1" w:styleId="Cuerpo">
    <w:name w:val="Cuerpo"/>
    <w:rsid w:val="00991653"/>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ES"/>
    </w:rPr>
  </w:style>
  <w:style w:type="table" w:customStyle="1" w:styleId="TableNormal2">
    <w:name w:val="Table Normal2"/>
    <w:uiPriority w:val="2"/>
    <w:semiHidden/>
    <w:unhideWhenUsed/>
    <w:qFormat/>
    <w:rsid w:val="0099165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DC3">
    <w:name w:val="toc 3"/>
    <w:basedOn w:val="Normal"/>
    <w:next w:val="Normal"/>
    <w:autoRedefine/>
    <w:uiPriority w:val="39"/>
    <w:unhideWhenUsed/>
    <w:rsid w:val="00A32ADF"/>
    <w:pPr>
      <w:spacing w:after="100"/>
      <w:ind w:left="480"/>
    </w:pPr>
  </w:style>
  <w:style w:type="table" w:customStyle="1" w:styleId="Tabletest1">
    <w:name w:val="Table test1"/>
    <w:basedOn w:val="Tablanormal"/>
    <w:next w:val="Tablaconcuadrcula"/>
    <w:uiPriority w:val="39"/>
    <w:rsid w:val="004B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C4D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rPr>
      <w:sz w:val="22"/>
      <w:szCs w:val="22"/>
    </w:rPr>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rPr>
      <w:sz w:val="22"/>
      <w:szCs w:val="22"/>
    </w:r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4664DA"/>
  </w:style>
  <w:style w:type="character" w:styleId="Mencinsinresolver">
    <w:name w:val="Unresolved Mention"/>
    <w:basedOn w:val="Fuentedeprrafopredeter"/>
    <w:uiPriority w:val="99"/>
    <w:semiHidden/>
    <w:unhideWhenUsed/>
    <w:rsid w:val="00F116F7"/>
    <w:rPr>
      <w:color w:val="605E5C"/>
      <w:shd w:val="clear" w:color="auto" w:fill="E1DFDD"/>
    </w:rPr>
  </w:style>
  <w:style w:type="table" w:customStyle="1" w:styleId="TableNormal3">
    <w:name w:val="Table Normal3"/>
    <w:rsid w:val="00D47107"/>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D47107"/>
    <w:rPr>
      <w:b/>
      <w:sz w:val="72"/>
      <w:szCs w:val="72"/>
      <w:lang w:val="es-ES"/>
    </w:rPr>
  </w:style>
  <w:style w:type="character" w:customStyle="1" w:styleId="AsuntodelcomentarioCar1">
    <w:name w:val="Asunto del comentario Car1"/>
    <w:basedOn w:val="TextocomentarioCar"/>
    <w:uiPriority w:val="99"/>
    <w:semiHidden/>
    <w:rsid w:val="00D47107"/>
    <w:rPr>
      <w:rFonts w:ascii="Calibri" w:eastAsiaTheme="minorEastAsia" w:hAnsi="Calibri" w:cs="Calibri"/>
      <w:b/>
      <w:bCs/>
      <w:sz w:val="20"/>
      <w:szCs w:val="20"/>
      <w:lang w:val="es-ES_tradnl" w:eastAsia="es-ES"/>
    </w:rPr>
  </w:style>
  <w:style w:type="table" w:customStyle="1" w:styleId="TableNormal12">
    <w:name w:val="Table Normal12"/>
    <w:uiPriority w:val="2"/>
    <w:semiHidden/>
    <w:unhideWhenUsed/>
    <w:qFormat/>
    <w:rsid w:val="00D47107"/>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SubttuloCar">
    <w:name w:val="Subtítulo Car"/>
    <w:basedOn w:val="Fuentedeprrafopredeter"/>
    <w:link w:val="Subttulo"/>
    <w:uiPriority w:val="11"/>
    <w:rsid w:val="00D47107"/>
    <w:rPr>
      <w:rFonts w:ascii="Georgia" w:eastAsia="Georgia" w:hAnsi="Georgia" w:cs="Georgia"/>
      <w:i/>
      <w:color w:val="666666"/>
      <w:sz w:val="48"/>
      <w:szCs w:val="48"/>
      <w:lang w:val="es-ES"/>
    </w:rPr>
  </w:style>
  <w:style w:type="character" w:styleId="Hipervnculovisitado">
    <w:name w:val="FollowedHyperlink"/>
    <w:basedOn w:val="Fuentedeprrafopredeter"/>
    <w:uiPriority w:val="99"/>
    <w:semiHidden/>
    <w:unhideWhenUsed/>
    <w:rsid w:val="00D47107"/>
    <w:rPr>
      <w:color w:val="954F72" w:themeColor="followedHyperlink"/>
      <w:u w:val="single"/>
    </w:rPr>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D47107"/>
    <w:rPr>
      <w:vertAlign w:val="superscript"/>
    </w:rPr>
  </w:style>
  <w:style w:type="table" w:customStyle="1" w:styleId="TableNormal30">
    <w:name w:val="Table Normal3"/>
    <w:rsid w:val="00500727"/>
    <w:tblPr>
      <w:tblCellMar>
        <w:top w:w="0" w:type="dxa"/>
        <w:left w:w="0" w:type="dxa"/>
        <w:bottom w:w="0" w:type="dxa"/>
        <w:right w:w="0" w:type="dxa"/>
      </w:tblCellMar>
    </w:tblPr>
  </w:style>
  <w:style w:type="character" w:customStyle="1" w:styleId="CommentSubjectChar1">
    <w:name w:val="Comment Subject Char1"/>
    <w:basedOn w:val="TextocomentarioCar"/>
    <w:uiPriority w:val="99"/>
    <w:semiHidden/>
    <w:rsid w:val="00717364"/>
    <w:rPr>
      <w:rFonts w:eastAsiaTheme="minorEastAsia"/>
      <w:b/>
      <w:bCs/>
      <w:sz w:val="20"/>
      <w:szCs w:val="20"/>
      <w:lang w:val="es-ES_tradnl" w:eastAsia="es-ES"/>
    </w:rPr>
  </w:style>
  <w:style w:type="table" w:styleId="Tablaconcuadrcula2-nfasis5">
    <w:name w:val="Grid Table 2 Accent 5"/>
    <w:basedOn w:val="Tablanormal"/>
    <w:uiPriority w:val="47"/>
    <w:rsid w:val="00F748F0"/>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2550">
      <w:bodyDiv w:val="1"/>
      <w:marLeft w:val="0"/>
      <w:marRight w:val="0"/>
      <w:marTop w:val="0"/>
      <w:marBottom w:val="0"/>
      <w:divBdr>
        <w:top w:val="none" w:sz="0" w:space="0" w:color="auto"/>
        <w:left w:val="none" w:sz="0" w:space="0" w:color="auto"/>
        <w:bottom w:val="none" w:sz="0" w:space="0" w:color="auto"/>
        <w:right w:val="none" w:sz="0" w:space="0" w:color="auto"/>
      </w:divBdr>
      <w:divsChild>
        <w:div w:id="724334708">
          <w:marLeft w:val="22"/>
          <w:marRight w:val="0"/>
          <w:marTop w:val="0"/>
          <w:marBottom w:val="0"/>
          <w:divBdr>
            <w:top w:val="none" w:sz="0" w:space="0" w:color="auto"/>
            <w:left w:val="none" w:sz="0" w:space="0" w:color="auto"/>
            <w:bottom w:val="none" w:sz="0" w:space="0" w:color="auto"/>
            <w:right w:val="none" w:sz="0" w:space="0" w:color="auto"/>
          </w:divBdr>
        </w:div>
        <w:div w:id="1756897566">
          <w:marLeft w:val="-108"/>
          <w:marRight w:val="0"/>
          <w:marTop w:val="0"/>
          <w:marBottom w:val="0"/>
          <w:divBdr>
            <w:top w:val="none" w:sz="0" w:space="0" w:color="auto"/>
            <w:left w:val="none" w:sz="0" w:space="0" w:color="auto"/>
            <w:bottom w:val="none" w:sz="0" w:space="0" w:color="auto"/>
            <w:right w:val="none" w:sz="0" w:space="0" w:color="auto"/>
          </w:divBdr>
        </w:div>
      </w:divsChild>
    </w:div>
    <w:div w:id="322856073">
      <w:bodyDiv w:val="1"/>
      <w:marLeft w:val="0"/>
      <w:marRight w:val="0"/>
      <w:marTop w:val="0"/>
      <w:marBottom w:val="0"/>
      <w:divBdr>
        <w:top w:val="none" w:sz="0" w:space="0" w:color="auto"/>
        <w:left w:val="none" w:sz="0" w:space="0" w:color="auto"/>
        <w:bottom w:val="none" w:sz="0" w:space="0" w:color="auto"/>
        <w:right w:val="none" w:sz="0" w:space="0" w:color="auto"/>
      </w:divBdr>
      <w:divsChild>
        <w:div w:id="1820419316">
          <w:marLeft w:val="22"/>
          <w:marRight w:val="0"/>
          <w:marTop w:val="0"/>
          <w:marBottom w:val="0"/>
          <w:divBdr>
            <w:top w:val="none" w:sz="0" w:space="0" w:color="auto"/>
            <w:left w:val="none" w:sz="0" w:space="0" w:color="auto"/>
            <w:bottom w:val="none" w:sz="0" w:space="0" w:color="auto"/>
            <w:right w:val="none" w:sz="0" w:space="0" w:color="auto"/>
          </w:divBdr>
        </w:div>
      </w:divsChild>
    </w:div>
    <w:div w:id="372390960">
      <w:bodyDiv w:val="1"/>
      <w:marLeft w:val="0"/>
      <w:marRight w:val="0"/>
      <w:marTop w:val="0"/>
      <w:marBottom w:val="0"/>
      <w:divBdr>
        <w:top w:val="none" w:sz="0" w:space="0" w:color="auto"/>
        <w:left w:val="none" w:sz="0" w:space="0" w:color="auto"/>
        <w:bottom w:val="none" w:sz="0" w:space="0" w:color="auto"/>
        <w:right w:val="none" w:sz="0" w:space="0" w:color="auto"/>
      </w:divBdr>
    </w:div>
    <w:div w:id="593249942">
      <w:bodyDiv w:val="1"/>
      <w:marLeft w:val="0"/>
      <w:marRight w:val="0"/>
      <w:marTop w:val="0"/>
      <w:marBottom w:val="0"/>
      <w:divBdr>
        <w:top w:val="none" w:sz="0" w:space="0" w:color="auto"/>
        <w:left w:val="none" w:sz="0" w:space="0" w:color="auto"/>
        <w:bottom w:val="none" w:sz="0" w:space="0" w:color="auto"/>
        <w:right w:val="none" w:sz="0" w:space="0" w:color="auto"/>
      </w:divBdr>
    </w:div>
    <w:div w:id="682362769">
      <w:bodyDiv w:val="1"/>
      <w:marLeft w:val="0"/>
      <w:marRight w:val="0"/>
      <w:marTop w:val="0"/>
      <w:marBottom w:val="0"/>
      <w:divBdr>
        <w:top w:val="none" w:sz="0" w:space="0" w:color="auto"/>
        <w:left w:val="none" w:sz="0" w:space="0" w:color="auto"/>
        <w:bottom w:val="none" w:sz="0" w:space="0" w:color="auto"/>
        <w:right w:val="none" w:sz="0" w:space="0" w:color="auto"/>
      </w:divBdr>
    </w:div>
    <w:div w:id="700908838">
      <w:bodyDiv w:val="1"/>
      <w:marLeft w:val="0"/>
      <w:marRight w:val="0"/>
      <w:marTop w:val="0"/>
      <w:marBottom w:val="0"/>
      <w:divBdr>
        <w:top w:val="none" w:sz="0" w:space="0" w:color="auto"/>
        <w:left w:val="none" w:sz="0" w:space="0" w:color="auto"/>
        <w:bottom w:val="none" w:sz="0" w:space="0" w:color="auto"/>
        <w:right w:val="none" w:sz="0" w:space="0" w:color="auto"/>
      </w:divBdr>
    </w:div>
    <w:div w:id="708116583">
      <w:bodyDiv w:val="1"/>
      <w:marLeft w:val="0"/>
      <w:marRight w:val="0"/>
      <w:marTop w:val="0"/>
      <w:marBottom w:val="0"/>
      <w:divBdr>
        <w:top w:val="none" w:sz="0" w:space="0" w:color="auto"/>
        <w:left w:val="none" w:sz="0" w:space="0" w:color="auto"/>
        <w:bottom w:val="none" w:sz="0" w:space="0" w:color="auto"/>
        <w:right w:val="none" w:sz="0" w:space="0" w:color="auto"/>
      </w:divBdr>
    </w:div>
    <w:div w:id="859045941">
      <w:bodyDiv w:val="1"/>
      <w:marLeft w:val="0"/>
      <w:marRight w:val="0"/>
      <w:marTop w:val="0"/>
      <w:marBottom w:val="0"/>
      <w:divBdr>
        <w:top w:val="none" w:sz="0" w:space="0" w:color="auto"/>
        <w:left w:val="none" w:sz="0" w:space="0" w:color="auto"/>
        <w:bottom w:val="none" w:sz="0" w:space="0" w:color="auto"/>
        <w:right w:val="none" w:sz="0" w:space="0" w:color="auto"/>
      </w:divBdr>
    </w:div>
    <w:div w:id="889074792">
      <w:bodyDiv w:val="1"/>
      <w:marLeft w:val="0"/>
      <w:marRight w:val="0"/>
      <w:marTop w:val="0"/>
      <w:marBottom w:val="0"/>
      <w:divBdr>
        <w:top w:val="none" w:sz="0" w:space="0" w:color="auto"/>
        <w:left w:val="none" w:sz="0" w:space="0" w:color="auto"/>
        <w:bottom w:val="none" w:sz="0" w:space="0" w:color="auto"/>
        <w:right w:val="none" w:sz="0" w:space="0" w:color="auto"/>
      </w:divBdr>
    </w:div>
    <w:div w:id="1044064712">
      <w:bodyDiv w:val="1"/>
      <w:marLeft w:val="0"/>
      <w:marRight w:val="0"/>
      <w:marTop w:val="0"/>
      <w:marBottom w:val="0"/>
      <w:divBdr>
        <w:top w:val="none" w:sz="0" w:space="0" w:color="auto"/>
        <w:left w:val="none" w:sz="0" w:space="0" w:color="auto"/>
        <w:bottom w:val="none" w:sz="0" w:space="0" w:color="auto"/>
        <w:right w:val="none" w:sz="0" w:space="0" w:color="auto"/>
      </w:divBdr>
    </w:div>
    <w:div w:id="1087313147">
      <w:bodyDiv w:val="1"/>
      <w:marLeft w:val="0"/>
      <w:marRight w:val="0"/>
      <w:marTop w:val="0"/>
      <w:marBottom w:val="0"/>
      <w:divBdr>
        <w:top w:val="none" w:sz="0" w:space="0" w:color="auto"/>
        <w:left w:val="none" w:sz="0" w:space="0" w:color="auto"/>
        <w:bottom w:val="none" w:sz="0" w:space="0" w:color="auto"/>
        <w:right w:val="none" w:sz="0" w:space="0" w:color="auto"/>
      </w:divBdr>
      <w:divsChild>
        <w:div w:id="297154821">
          <w:marLeft w:val="0"/>
          <w:marRight w:val="0"/>
          <w:marTop w:val="0"/>
          <w:marBottom w:val="0"/>
          <w:divBdr>
            <w:top w:val="none" w:sz="0" w:space="0" w:color="auto"/>
            <w:left w:val="none" w:sz="0" w:space="0" w:color="auto"/>
            <w:bottom w:val="none" w:sz="0" w:space="0" w:color="auto"/>
            <w:right w:val="none" w:sz="0" w:space="0" w:color="auto"/>
          </w:divBdr>
          <w:divsChild>
            <w:div w:id="396444197">
              <w:marLeft w:val="0"/>
              <w:marRight w:val="0"/>
              <w:marTop w:val="0"/>
              <w:marBottom w:val="0"/>
              <w:divBdr>
                <w:top w:val="none" w:sz="0" w:space="0" w:color="auto"/>
                <w:left w:val="none" w:sz="0" w:space="0" w:color="auto"/>
                <w:bottom w:val="none" w:sz="0" w:space="0" w:color="auto"/>
                <w:right w:val="none" w:sz="0" w:space="0" w:color="auto"/>
              </w:divBdr>
              <w:divsChild>
                <w:div w:id="2090886305">
                  <w:marLeft w:val="0"/>
                  <w:marRight w:val="0"/>
                  <w:marTop w:val="0"/>
                  <w:marBottom w:val="0"/>
                  <w:divBdr>
                    <w:top w:val="none" w:sz="0" w:space="0" w:color="auto"/>
                    <w:left w:val="none" w:sz="0" w:space="0" w:color="auto"/>
                    <w:bottom w:val="none" w:sz="0" w:space="0" w:color="auto"/>
                    <w:right w:val="none" w:sz="0" w:space="0" w:color="auto"/>
                  </w:divBdr>
                  <w:divsChild>
                    <w:div w:id="501748831">
                      <w:marLeft w:val="0"/>
                      <w:marRight w:val="0"/>
                      <w:marTop w:val="0"/>
                      <w:marBottom w:val="0"/>
                      <w:divBdr>
                        <w:top w:val="none" w:sz="0" w:space="0" w:color="auto"/>
                        <w:left w:val="none" w:sz="0" w:space="0" w:color="auto"/>
                        <w:bottom w:val="none" w:sz="0" w:space="0" w:color="auto"/>
                        <w:right w:val="none" w:sz="0" w:space="0" w:color="auto"/>
                      </w:divBdr>
                      <w:divsChild>
                        <w:div w:id="1871994417">
                          <w:marLeft w:val="0"/>
                          <w:marRight w:val="0"/>
                          <w:marTop w:val="0"/>
                          <w:marBottom w:val="0"/>
                          <w:divBdr>
                            <w:top w:val="none" w:sz="0" w:space="0" w:color="auto"/>
                            <w:left w:val="none" w:sz="0" w:space="0" w:color="auto"/>
                            <w:bottom w:val="none" w:sz="0" w:space="0" w:color="auto"/>
                            <w:right w:val="none" w:sz="0" w:space="0" w:color="auto"/>
                          </w:divBdr>
                          <w:divsChild>
                            <w:div w:id="7039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651715">
          <w:marLeft w:val="0"/>
          <w:marRight w:val="0"/>
          <w:marTop w:val="0"/>
          <w:marBottom w:val="0"/>
          <w:divBdr>
            <w:top w:val="none" w:sz="0" w:space="0" w:color="auto"/>
            <w:left w:val="none" w:sz="0" w:space="0" w:color="auto"/>
            <w:bottom w:val="none" w:sz="0" w:space="0" w:color="auto"/>
            <w:right w:val="none" w:sz="0" w:space="0" w:color="auto"/>
          </w:divBdr>
          <w:divsChild>
            <w:div w:id="2135441158">
              <w:marLeft w:val="0"/>
              <w:marRight w:val="0"/>
              <w:marTop w:val="0"/>
              <w:marBottom w:val="0"/>
              <w:divBdr>
                <w:top w:val="none" w:sz="0" w:space="0" w:color="auto"/>
                <w:left w:val="none" w:sz="0" w:space="0" w:color="auto"/>
                <w:bottom w:val="none" w:sz="0" w:space="0" w:color="auto"/>
                <w:right w:val="none" w:sz="0" w:space="0" w:color="auto"/>
              </w:divBdr>
              <w:divsChild>
                <w:div w:id="1319505491">
                  <w:marLeft w:val="0"/>
                  <w:marRight w:val="0"/>
                  <w:marTop w:val="0"/>
                  <w:marBottom w:val="0"/>
                  <w:divBdr>
                    <w:top w:val="none" w:sz="0" w:space="0" w:color="auto"/>
                    <w:left w:val="none" w:sz="0" w:space="0" w:color="auto"/>
                    <w:bottom w:val="none" w:sz="0" w:space="0" w:color="auto"/>
                    <w:right w:val="none" w:sz="0" w:space="0" w:color="auto"/>
                  </w:divBdr>
                  <w:divsChild>
                    <w:div w:id="675419460">
                      <w:marLeft w:val="0"/>
                      <w:marRight w:val="0"/>
                      <w:marTop w:val="0"/>
                      <w:marBottom w:val="0"/>
                      <w:divBdr>
                        <w:top w:val="none" w:sz="0" w:space="0" w:color="auto"/>
                        <w:left w:val="none" w:sz="0" w:space="0" w:color="auto"/>
                        <w:bottom w:val="none" w:sz="0" w:space="0" w:color="auto"/>
                        <w:right w:val="none" w:sz="0" w:space="0" w:color="auto"/>
                      </w:divBdr>
                      <w:divsChild>
                        <w:div w:id="1132989865">
                          <w:marLeft w:val="0"/>
                          <w:marRight w:val="0"/>
                          <w:marTop w:val="0"/>
                          <w:marBottom w:val="0"/>
                          <w:divBdr>
                            <w:top w:val="none" w:sz="0" w:space="0" w:color="auto"/>
                            <w:left w:val="none" w:sz="0" w:space="0" w:color="auto"/>
                            <w:bottom w:val="none" w:sz="0" w:space="0" w:color="auto"/>
                            <w:right w:val="none" w:sz="0" w:space="0" w:color="auto"/>
                          </w:divBdr>
                          <w:divsChild>
                            <w:div w:id="234822379">
                              <w:marLeft w:val="0"/>
                              <w:marRight w:val="0"/>
                              <w:marTop w:val="0"/>
                              <w:marBottom w:val="0"/>
                              <w:divBdr>
                                <w:top w:val="none" w:sz="0" w:space="0" w:color="auto"/>
                                <w:left w:val="none" w:sz="0" w:space="0" w:color="auto"/>
                                <w:bottom w:val="none" w:sz="0" w:space="0" w:color="auto"/>
                                <w:right w:val="none" w:sz="0" w:space="0" w:color="auto"/>
                              </w:divBdr>
                              <w:divsChild>
                                <w:div w:id="254632850">
                                  <w:marLeft w:val="0"/>
                                  <w:marRight w:val="0"/>
                                  <w:marTop w:val="0"/>
                                  <w:marBottom w:val="0"/>
                                  <w:divBdr>
                                    <w:top w:val="none" w:sz="0" w:space="0" w:color="auto"/>
                                    <w:left w:val="none" w:sz="0" w:space="0" w:color="auto"/>
                                    <w:bottom w:val="none" w:sz="0" w:space="0" w:color="auto"/>
                                    <w:right w:val="none" w:sz="0" w:space="0" w:color="auto"/>
                                  </w:divBdr>
                                  <w:divsChild>
                                    <w:div w:id="1372072112">
                                      <w:marLeft w:val="-660"/>
                                      <w:marRight w:val="0"/>
                                      <w:marTop w:val="0"/>
                                      <w:marBottom w:val="0"/>
                                      <w:divBdr>
                                        <w:top w:val="none" w:sz="0" w:space="0" w:color="auto"/>
                                        <w:left w:val="none" w:sz="0" w:space="0" w:color="auto"/>
                                        <w:bottom w:val="none" w:sz="0" w:space="0" w:color="auto"/>
                                        <w:right w:val="none" w:sz="0" w:space="0" w:color="auto"/>
                                      </w:divBdr>
                                      <w:divsChild>
                                        <w:div w:id="2050642051">
                                          <w:marLeft w:val="-45"/>
                                          <w:marRight w:val="-45"/>
                                          <w:marTop w:val="0"/>
                                          <w:marBottom w:val="0"/>
                                          <w:divBdr>
                                            <w:top w:val="none" w:sz="0" w:space="0" w:color="auto"/>
                                            <w:left w:val="none" w:sz="0" w:space="0" w:color="auto"/>
                                            <w:bottom w:val="none" w:sz="0" w:space="0" w:color="auto"/>
                                            <w:right w:val="none" w:sz="0" w:space="0" w:color="auto"/>
                                          </w:divBdr>
                                          <w:divsChild>
                                            <w:div w:id="390425246">
                                              <w:marLeft w:val="0"/>
                                              <w:marRight w:val="0"/>
                                              <w:marTop w:val="0"/>
                                              <w:marBottom w:val="0"/>
                                              <w:divBdr>
                                                <w:top w:val="none" w:sz="0" w:space="0" w:color="auto"/>
                                                <w:left w:val="none" w:sz="0" w:space="0" w:color="auto"/>
                                                <w:bottom w:val="none" w:sz="0" w:space="0" w:color="auto"/>
                                                <w:right w:val="none" w:sz="0" w:space="0" w:color="auto"/>
                                              </w:divBdr>
                                              <w:divsChild>
                                                <w:div w:id="1607149701">
                                                  <w:marLeft w:val="0"/>
                                                  <w:marRight w:val="0"/>
                                                  <w:marTop w:val="0"/>
                                                  <w:marBottom w:val="0"/>
                                                  <w:divBdr>
                                                    <w:top w:val="none" w:sz="0" w:space="0" w:color="auto"/>
                                                    <w:left w:val="none" w:sz="0" w:space="0" w:color="auto"/>
                                                    <w:bottom w:val="none" w:sz="0" w:space="0" w:color="auto"/>
                                                    <w:right w:val="none" w:sz="0" w:space="0" w:color="auto"/>
                                                  </w:divBdr>
                                                  <w:divsChild>
                                                    <w:div w:id="3313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7030">
                                              <w:marLeft w:val="0"/>
                                              <w:marRight w:val="0"/>
                                              <w:marTop w:val="0"/>
                                              <w:marBottom w:val="0"/>
                                              <w:divBdr>
                                                <w:top w:val="none" w:sz="0" w:space="0" w:color="auto"/>
                                                <w:left w:val="none" w:sz="0" w:space="0" w:color="auto"/>
                                                <w:bottom w:val="none" w:sz="0" w:space="0" w:color="auto"/>
                                                <w:right w:val="none" w:sz="0" w:space="0" w:color="auto"/>
                                              </w:divBdr>
                                              <w:divsChild>
                                                <w:div w:id="1192722102">
                                                  <w:marLeft w:val="0"/>
                                                  <w:marRight w:val="0"/>
                                                  <w:marTop w:val="0"/>
                                                  <w:marBottom w:val="0"/>
                                                  <w:divBdr>
                                                    <w:top w:val="none" w:sz="0" w:space="0" w:color="auto"/>
                                                    <w:left w:val="none" w:sz="0" w:space="0" w:color="auto"/>
                                                    <w:bottom w:val="none" w:sz="0" w:space="0" w:color="auto"/>
                                                    <w:right w:val="none" w:sz="0" w:space="0" w:color="auto"/>
                                                  </w:divBdr>
                                                  <w:divsChild>
                                                    <w:div w:id="1768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890173">
      <w:bodyDiv w:val="1"/>
      <w:marLeft w:val="0"/>
      <w:marRight w:val="0"/>
      <w:marTop w:val="0"/>
      <w:marBottom w:val="0"/>
      <w:divBdr>
        <w:top w:val="none" w:sz="0" w:space="0" w:color="auto"/>
        <w:left w:val="none" w:sz="0" w:space="0" w:color="auto"/>
        <w:bottom w:val="none" w:sz="0" w:space="0" w:color="auto"/>
        <w:right w:val="none" w:sz="0" w:space="0" w:color="auto"/>
      </w:divBdr>
    </w:div>
    <w:div w:id="1337150411">
      <w:bodyDiv w:val="1"/>
      <w:marLeft w:val="0"/>
      <w:marRight w:val="0"/>
      <w:marTop w:val="0"/>
      <w:marBottom w:val="0"/>
      <w:divBdr>
        <w:top w:val="none" w:sz="0" w:space="0" w:color="auto"/>
        <w:left w:val="none" w:sz="0" w:space="0" w:color="auto"/>
        <w:bottom w:val="none" w:sz="0" w:space="0" w:color="auto"/>
        <w:right w:val="none" w:sz="0" w:space="0" w:color="auto"/>
      </w:divBdr>
    </w:div>
    <w:div w:id="1404138038">
      <w:bodyDiv w:val="1"/>
      <w:marLeft w:val="0"/>
      <w:marRight w:val="0"/>
      <w:marTop w:val="0"/>
      <w:marBottom w:val="0"/>
      <w:divBdr>
        <w:top w:val="none" w:sz="0" w:space="0" w:color="auto"/>
        <w:left w:val="none" w:sz="0" w:space="0" w:color="auto"/>
        <w:bottom w:val="none" w:sz="0" w:space="0" w:color="auto"/>
        <w:right w:val="none" w:sz="0" w:space="0" w:color="auto"/>
      </w:divBdr>
      <w:divsChild>
        <w:div w:id="1739088418">
          <w:marLeft w:val="547"/>
          <w:marRight w:val="0"/>
          <w:marTop w:val="0"/>
          <w:marBottom w:val="0"/>
          <w:divBdr>
            <w:top w:val="none" w:sz="0" w:space="0" w:color="auto"/>
            <w:left w:val="none" w:sz="0" w:space="0" w:color="auto"/>
            <w:bottom w:val="none" w:sz="0" w:space="0" w:color="auto"/>
            <w:right w:val="none" w:sz="0" w:space="0" w:color="auto"/>
          </w:divBdr>
        </w:div>
      </w:divsChild>
    </w:div>
    <w:div w:id="1445879858">
      <w:bodyDiv w:val="1"/>
      <w:marLeft w:val="0"/>
      <w:marRight w:val="0"/>
      <w:marTop w:val="0"/>
      <w:marBottom w:val="0"/>
      <w:divBdr>
        <w:top w:val="none" w:sz="0" w:space="0" w:color="auto"/>
        <w:left w:val="none" w:sz="0" w:space="0" w:color="auto"/>
        <w:bottom w:val="none" w:sz="0" w:space="0" w:color="auto"/>
        <w:right w:val="none" w:sz="0" w:space="0" w:color="auto"/>
      </w:divBdr>
    </w:div>
    <w:div w:id="1524711858">
      <w:bodyDiv w:val="1"/>
      <w:marLeft w:val="0"/>
      <w:marRight w:val="0"/>
      <w:marTop w:val="0"/>
      <w:marBottom w:val="0"/>
      <w:divBdr>
        <w:top w:val="none" w:sz="0" w:space="0" w:color="auto"/>
        <w:left w:val="none" w:sz="0" w:space="0" w:color="auto"/>
        <w:bottom w:val="none" w:sz="0" w:space="0" w:color="auto"/>
        <w:right w:val="none" w:sz="0" w:space="0" w:color="auto"/>
      </w:divBdr>
    </w:div>
    <w:div w:id="1610821102">
      <w:bodyDiv w:val="1"/>
      <w:marLeft w:val="0"/>
      <w:marRight w:val="0"/>
      <w:marTop w:val="0"/>
      <w:marBottom w:val="0"/>
      <w:divBdr>
        <w:top w:val="none" w:sz="0" w:space="0" w:color="auto"/>
        <w:left w:val="none" w:sz="0" w:space="0" w:color="auto"/>
        <w:bottom w:val="none" w:sz="0" w:space="0" w:color="auto"/>
        <w:right w:val="none" w:sz="0" w:space="0" w:color="auto"/>
      </w:divBdr>
    </w:div>
    <w:div w:id="1923249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diagramQuickStyle" Target="diagrams/quickStyle1.xm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image" Target="media/image6.png"/><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Usuario/Equipo%20LPIC%20Dropbox/GP%20EXTERNA%20LPIC%20EQUIPO/15.%20GP%2029%20%20PNUD%20Eval%20Justicia%20Transicional%20Col%202021/2.%20Productos/8.%20Informe%20final/Informe%20final%20EVAL%20PJT%20PNUD%2024.10.22.docx" TargetMode="Externa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hyperlink" Target="file:///C:/Users/Usuario/Equipo%20LPIC%20Dropbox/GP%20EXTERNA%20LPIC%20EQUIPO/15.%20GP%2029%20%20PNUD%20Eval%20Justicia%20Transicional%20Col%202021/2.%20Productos/8.%20Informe%20final/Informe%20final%20EVAL%20PJT%20PNUD%2024.10.22.docx" TargetMode="External"/><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diagramQuickStyle" Target="diagrams/quickStyle2.xml"/><Relationship Id="rId44"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Usuario/Equipo%20LPIC%20Dropbox/GP%20EXTERNA%20LPIC%20EQUIPO/15.%20GP%2029%20%20PNUD%20Eval%20Justicia%20Transicional%20Col%202021/2.%20Productos/8.%20Informe%20final/Informe%20final%20EVAL%20PJT%20PNUD%2024.10.22.docx" TargetMode="Externa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7.png"/><Relationship Id="rId43" Type="http://schemas.openxmlformats.org/officeDocument/2006/relationships/chart" Target="charts/chart2.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0.png"/><Relationship Id="rId46" Type="http://schemas.openxmlformats.org/officeDocument/2006/relationships/chart" Target="charts/chart5.xml"/><Relationship Id="rId20" Type="http://schemas.openxmlformats.org/officeDocument/2006/relationships/footer" Target="footer2.xml"/><Relationship Id="rId4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nidadvictimas.gov.co/es/registro-unico-de-victimas-ruv/37394" TargetMode="External"/><Relationship Id="rId2" Type="http://schemas.openxmlformats.org/officeDocument/2006/relationships/hyperlink" Target="https://www.unidadvictimas.gov.co/es/registro-unico-de-victimas-ruv/37394%20visto%20junio%202022" TargetMode="External"/><Relationship Id="rId1" Type="http://schemas.openxmlformats.org/officeDocument/2006/relationships/hyperlink" Target="https://www.unidadvictimas.gov.co/es/registro-unico-de-victimas-ruv/37394" TargetMode="External"/><Relationship Id="rId5" Type="http://schemas.openxmlformats.org/officeDocument/2006/relationships/hyperlink" Target="http://repositorio.unne.edu.ar/handle/123456789/29749" TargetMode="External"/><Relationship Id="rId4" Type="http://schemas.openxmlformats.org/officeDocument/2006/relationships/hyperlink" Target="https://www.unidadvictimas.gov.co/es/registro-unico-de-victimas-ruv/373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Equipo%20LPIC%20Dropbox\GP%20EXTERNA%20LPIC%20EQUIPO\15.%20GP%2029%20%20PNUD%20Eval%20Justicia%20Transicional%20Col%202021\2.%20Productos\6.%20Informe%20preliminar%20final\Insumos\Evaluaci&#243;n%20del%20Programa%20de%20Justicia%20Transicional%20-%20PNUD%20%20(Respuestas)_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Equipo%20LPIC%20Dropbox\GP%20EXTERNA%20LPIC%20EQUIPO\15.%20GP%2029%20%20PNUD%20Eval%20Justicia%20Transicional%20Col%202021\2.%20Productos\6.%20Informe%20preliminar%20final\Insumos\Evaluaci&#243;n%20del%20Programa%20de%20Justicia%20Transicional%20-%20PNUD%20%20(Respuestas)_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Equipo%20LPIC%20Dropbox\GP%20EXTERNA%20LPIC%20EQUIPO\15.%20GP%2029%20%20PNUD%20Eval%20Justicia%20Transicional%20Col%202021\2.%20Productos\6.%20Informe%20preliminar%20final\Insumos\Evaluaci&#243;n%20del%20Programa%20de%20Justicia%20Transicional%20-%20PNUD%20%20(Respuestas)_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Equipo%20LPIC%20Dropbox\GP%20EXTERNA%20LPIC%20EQUIPO\15.%20GP%2029%20%20PNUD%20Eval%20Justicia%20Transicional%20Col%202021\2.%20Productos\6.%20Informe%20preliminar%20final\Insumos\Evaluaci&#243;n%20del%20Programa%20de%20Justicia%20Transicional%20-%20PNUD%20%20(Respuestas)_Gra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uca\Downloads\Evaluaci&#243;n%20del%20Programa%20de%20Justicia%20Transicional%20-%20PNUD%20%20(Respuestas)_Graficas%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Hoja2!$D$2</c:f>
              <c:strCache>
                <c:ptCount val="1"/>
                <c:pt idx="0">
                  <c:v>%</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21E-45E9-B0DA-0C86FA32615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21E-45E9-B0DA-0C86FA32615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21E-45E9-B0DA-0C86FA32615F}"/>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Hoja2!$D$3:$D$5</c:f>
              <c:numCache>
                <c:formatCode>0%</c:formatCode>
                <c:ptCount val="3"/>
                <c:pt idx="0">
                  <c:v>3.3333333333333333E-2</c:v>
                </c:pt>
                <c:pt idx="1">
                  <c:v>0.23333333333333334</c:v>
                </c:pt>
                <c:pt idx="2">
                  <c:v>0.73333333333333328</c:v>
                </c:pt>
              </c:numCache>
            </c:numRef>
          </c:val>
          <c:extLst>
            <c:ext xmlns:c16="http://schemas.microsoft.com/office/drawing/2014/chart" uri="{C3380CC4-5D6E-409C-BE32-E72D297353CC}">
              <c16:uniqueId val="{00000006-621E-45E9-B0DA-0C86FA32615F}"/>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Hoja2!$B$2</c15:sqref>
                        </c15:formulaRef>
                      </c:ext>
                    </c:extLst>
                    <c:strCache>
                      <c:ptCount val="1"/>
                      <c:pt idx="0">
                        <c:v>Nivel de ejecución presupuestal</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8-621E-45E9-B0DA-0C86FA32615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A-621E-45E9-B0DA-0C86FA32615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C-621E-45E9-B0DA-0C86FA32615F}"/>
                    </c:ext>
                  </c:extLst>
                </c:dPt>
                <c:val>
                  <c:numRef>
                    <c:extLst>
                      <c:ext uri="{02D57815-91ED-43cb-92C2-25804820EDAC}">
                        <c15:formulaRef>
                          <c15:sqref>Hoja2!$B$3:$B$5</c15:sqref>
                        </c15:formulaRef>
                      </c:ext>
                    </c:extLst>
                    <c:numCache>
                      <c:formatCode>General</c:formatCode>
                      <c:ptCount val="3"/>
                      <c:pt idx="0">
                        <c:v>3</c:v>
                      </c:pt>
                      <c:pt idx="1">
                        <c:v>4</c:v>
                      </c:pt>
                      <c:pt idx="2">
                        <c:v>5</c:v>
                      </c:pt>
                    </c:numCache>
                  </c:numRef>
                </c:val>
                <c:extLst>
                  <c:ext xmlns:c16="http://schemas.microsoft.com/office/drawing/2014/chart" uri="{C3380CC4-5D6E-409C-BE32-E72D297353CC}">
                    <c16:uniqueId val="{0000000D-621E-45E9-B0DA-0C86FA32615F}"/>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Hoja2!$C$2</c15:sqref>
                        </c15:formulaRef>
                      </c:ext>
                    </c:extLst>
                    <c:strCache>
                      <c:ptCount val="1"/>
                      <c:pt idx="0">
                        <c:v>Repuestas</c:v>
                      </c:pt>
                    </c:strCache>
                  </c:strRef>
                </c:tx>
                <c:dPt>
                  <c:idx val="0"/>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F-621E-45E9-B0DA-0C86FA32615F}"/>
                    </c:ext>
                  </c:extLst>
                </c:dPt>
                <c:dPt>
                  <c:idx val="1"/>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1-621E-45E9-B0DA-0C86FA32615F}"/>
                    </c:ext>
                  </c:extLst>
                </c:dPt>
                <c:dPt>
                  <c:idx val="2"/>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13-621E-45E9-B0DA-0C86FA32615F}"/>
                    </c:ext>
                  </c:extLst>
                </c:dPt>
                <c:val>
                  <c:numRef>
                    <c:extLst xmlns:c15="http://schemas.microsoft.com/office/drawing/2012/chart">
                      <c:ext xmlns:c15="http://schemas.microsoft.com/office/drawing/2012/chart" uri="{02D57815-91ED-43cb-92C2-25804820EDAC}">
                        <c15:formulaRef>
                          <c15:sqref>Hoja2!$C$3:$C$5</c15:sqref>
                        </c15:formulaRef>
                      </c:ext>
                    </c:extLst>
                    <c:numCache>
                      <c:formatCode>General</c:formatCode>
                      <c:ptCount val="3"/>
                      <c:pt idx="0">
                        <c:v>1</c:v>
                      </c:pt>
                      <c:pt idx="1">
                        <c:v>7</c:v>
                      </c:pt>
                      <c:pt idx="2">
                        <c:v>22</c:v>
                      </c:pt>
                    </c:numCache>
                  </c:numRef>
                </c:val>
                <c:extLst xmlns:c15="http://schemas.microsoft.com/office/drawing/2012/chart">
                  <c:ext xmlns:c16="http://schemas.microsoft.com/office/drawing/2014/chart" uri="{C3380CC4-5D6E-409C-BE32-E72D297353CC}">
                    <c16:uniqueId val="{00000014-621E-45E9-B0DA-0C86FA32615F}"/>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Hoja2!$D$19</c:f>
              <c:strCache>
                <c:ptCount val="1"/>
                <c:pt idx="0">
                  <c:v>%</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AB1-4E2C-B4DB-CCA5AEF54A5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AB1-4E2C-B4DB-CCA5AEF54A5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AB1-4E2C-B4DB-CCA5AEF54A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Hoja2!$D$20:$D$22</c:f>
              <c:numCache>
                <c:formatCode>0%</c:formatCode>
                <c:ptCount val="3"/>
                <c:pt idx="0">
                  <c:v>0.26666666666666666</c:v>
                </c:pt>
                <c:pt idx="1">
                  <c:v>0.33333333333333331</c:v>
                </c:pt>
                <c:pt idx="2">
                  <c:v>0.4</c:v>
                </c:pt>
              </c:numCache>
            </c:numRef>
          </c:val>
          <c:extLst>
            <c:ext xmlns:c16="http://schemas.microsoft.com/office/drawing/2014/chart" uri="{C3380CC4-5D6E-409C-BE32-E72D297353CC}">
              <c16:uniqueId val="{00000006-2AB1-4E2C-B4DB-CCA5AEF54A53}"/>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Hoja2!$B$19</c15:sqref>
                        </c15:formulaRef>
                      </c:ext>
                    </c:extLst>
                    <c:strCache>
                      <c:ptCount val="1"/>
                      <c:pt idx="0">
                        <c:v>Nivel de eficiencia de los procedimientos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8-2AB1-4E2C-B4DB-CCA5AEF54A5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A-2AB1-4E2C-B4DB-CCA5AEF54A5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C-2AB1-4E2C-B4DB-CCA5AEF54A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Hoja2!$B$20:$B$22</c15:sqref>
                        </c15:formulaRef>
                      </c:ext>
                    </c:extLst>
                    <c:numCache>
                      <c:formatCode>General</c:formatCode>
                      <c:ptCount val="3"/>
                      <c:pt idx="0">
                        <c:v>3</c:v>
                      </c:pt>
                      <c:pt idx="1">
                        <c:v>4</c:v>
                      </c:pt>
                      <c:pt idx="2">
                        <c:v>5</c:v>
                      </c:pt>
                    </c:numCache>
                  </c:numRef>
                </c:val>
                <c:extLst>
                  <c:ext xmlns:c16="http://schemas.microsoft.com/office/drawing/2014/chart" uri="{C3380CC4-5D6E-409C-BE32-E72D297353CC}">
                    <c16:uniqueId val="{0000000D-2AB1-4E2C-B4DB-CCA5AEF54A53}"/>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Hoja2!$C$19</c15:sqref>
                        </c15:formulaRef>
                      </c:ext>
                    </c:extLst>
                    <c:strCache>
                      <c:ptCount val="1"/>
                      <c:pt idx="0">
                        <c:v>Respuestas</c:v>
                      </c:pt>
                    </c:strCache>
                  </c:strRef>
                </c:tx>
                <c:dPt>
                  <c:idx val="0"/>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F-2AB1-4E2C-B4DB-CCA5AEF54A53}"/>
                    </c:ext>
                  </c:extLst>
                </c:dPt>
                <c:dPt>
                  <c:idx val="1"/>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1-2AB1-4E2C-B4DB-CCA5AEF54A53}"/>
                    </c:ext>
                  </c:extLst>
                </c:dPt>
                <c:dPt>
                  <c:idx val="2"/>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13-2AB1-4E2C-B4DB-CCA5AEF54A53}"/>
                    </c:ext>
                  </c:extLst>
                </c:dPt>
                <c:val>
                  <c:numRef>
                    <c:extLst xmlns:c15="http://schemas.microsoft.com/office/drawing/2012/chart">
                      <c:ext xmlns:c15="http://schemas.microsoft.com/office/drawing/2012/chart" uri="{02D57815-91ED-43cb-92C2-25804820EDAC}">
                        <c15:formulaRef>
                          <c15:sqref>Hoja2!$C$20:$C$22</c15:sqref>
                        </c15:formulaRef>
                      </c:ext>
                    </c:extLst>
                    <c:numCache>
                      <c:formatCode>General</c:formatCode>
                      <c:ptCount val="3"/>
                      <c:pt idx="0">
                        <c:v>8</c:v>
                      </c:pt>
                      <c:pt idx="1">
                        <c:v>10</c:v>
                      </c:pt>
                      <c:pt idx="2">
                        <c:v>12</c:v>
                      </c:pt>
                    </c:numCache>
                  </c:numRef>
                </c:val>
                <c:extLst xmlns:c15="http://schemas.microsoft.com/office/drawing/2012/chart">
                  <c:ext xmlns:c16="http://schemas.microsoft.com/office/drawing/2014/chart" uri="{C3380CC4-5D6E-409C-BE32-E72D297353CC}">
                    <c16:uniqueId val="{00000014-2AB1-4E2C-B4DB-CCA5AEF54A53}"/>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Hoja2!$D$35</c:f>
              <c:strCache>
                <c:ptCount val="1"/>
                <c:pt idx="0">
                  <c: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BB6-45DA-936A-408E24AF400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BB6-45DA-936A-408E24AF400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BB6-45DA-936A-408E24AF4006}"/>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Hoja2!$D$36:$D$38</c:f>
              <c:numCache>
                <c:formatCode>0%</c:formatCode>
                <c:ptCount val="3"/>
                <c:pt idx="0">
                  <c:v>3.3333333333333333E-2</c:v>
                </c:pt>
                <c:pt idx="1">
                  <c:v>0.4</c:v>
                </c:pt>
                <c:pt idx="2">
                  <c:v>0.56666666666666665</c:v>
                </c:pt>
              </c:numCache>
            </c:numRef>
          </c:val>
          <c:extLst>
            <c:ext xmlns:c16="http://schemas.microsoft.com/office/drawing/2014/chart" uri="{C3380CC4-5D6E-409C-BE32-E72D297353CC}">
              <c16:uniqueId val="{00000006-9BB6-45DA-936A-408E24AF4006}"/>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Hoja2!$B$35</c15:sqref>
                        </c15:formulaRef>
                      </c:ext>
                    </c:extLst>
                    <c:strCache>
                      <c:ptCount val="1"/>
                      <c:pt idx="0">
                        <c:v>Percepción de las OSC acceso víctimas accedan a procesos de V, J, R y GNR.
</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8-9BB6-45DA-936A-408E24AF400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A-9BB6-45DA-936A-408E24AF400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C-9BB6-45DA-936A-408E24AF4006}"/>
                    </c:ext>
                  </c:extLst>
                </c:dPt>
                <c:val>
                  <c:numRef>
                    <c:extLst>
                      <c:ext uri="{02D57815-91ED-43cb-92C2-25804820EDAC}">
                        <c15:formulaRef>
                          <c15:sqref>Hoja2!$B$36:$B$38</c15:sqref>
                        </c15:formulaRef>
                      </c:ext>
                    </c:extLst>
                    <c:numCache>
                      <c:formatCode>General</c:formatCode>
                      <c:ptCount val="3"/>
                      <c:pt idx="0">
                        <c:v>3</c:v>
                      </c:pt>
                      <c:pt idx="1">
                        <c:v>4</c:v>
                      </c:pt>
                      <c:pt idx="2">
                        <c:v>5</c:v>
                      </c:pt>
                    </c:numCache>
                  </c:numRef>
                </c:val>
                <c:extLst>
                  <c:ext xmlns:c16="http://schemas.microsoft.com/office/drawing/2014/chart" uri="{C3380CC4-5D6E-409C-BE32-E72D297353CC}">
                    <c16:uniqueId val="{0000000D-9BB6-45DA-936A-408E24AF4006}"/>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Hoja2!$C$35</c15:sqref>
                        </c15:formulaRef>
                      </c:ext>
                    </c:extLst>
                    <c:strCache>
                      <c:ptCount val="1"/>
                      <c:pt idx="0">
                        <c:v>Respuestas</c:v>
                      </c:pt>
                    </c:strCache>
                  </c:strRef>
                </c:tx>
                <c:dPt>
                  <c:idx val="0"/>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0F-9BB6-45DA-936A-408E24AF4006}"/>
                    </c:ext>
                  </c:extLst>
                </c:dPt>
                <c:dPt>
                  <c:idx val="1"/>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1-9BB6-45DA-936A-408E24AF4006}"/>
                    </c:ext>
                  </c:extLst>
                </c:dPt>
                <c:dPt>
                  <c:idx val="2"/>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3-9BB6-45DA-936A-408E24AF4006}"/>
                    </c:ext>
                  </c:extLst>
                </c:dPt>
                <c:val>
                  <c:numRef>
                    <c:extLst xmlns:c15="http://schemas.microsoft.com/office/drawing/2012/chart">
                      <c:ext xmlns:c15="http://schemas.microsoft.com/office/drawing/2012/chart" uri="{02D57815-91ED-43cb-92C2-25804820EDAC}">
                        <c15:formulaRef>
                          <c15:sqref>Hoja2!$C$36:$C$38</c15:sqref>
                        </c15:formulaRef>
                      </c:ext>
                    </c:extLst>
                    <c:numCache>
                      <c:formatCode>General</c:formatCode>
                      <c:ptCount val="3"/>
                      <c:pt idx="0">
                        <c:v>1</c:v>
                      </c:pt>
                      <c:pt idx="1">
                        <c:v>12</c:v>
                      </c:pt>
                      <c:pt idx="2">
                        <c:v>17</c:v>
                      </c:pt>
                    </c:numCache>
                  </c:numRef>
                </c:val>
                <c:extLst xmlns:c15="http://schemas.microsoft.com/office/drawing/2012/chart">
                  <c:ext xmlns:c16="http://schemas.microsoft.com/office/drawing/2014/chart" uri="{C3380CC4-5D6E-409C-BE32-E72D297353CC}">
                    <c16:uniqueId val="{00000014-9BB6-45DA-936A-408E24AF4006}"/>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Hoja2!$B$50</c:f>
              <c:strCache>
                <c:ptCount val="1"/>
                <c:pt idx="0">
                  <c:v>Confianza de las víctimas ha aumentado en las instituciones del Estado gracias al PJT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19-452C-AC8D-CFB5D09042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19-452C-AC8D-CFB5D09042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19-452C-AC8D-CFB5D09042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19-452C-AC8D-CFB5D09042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Hoja2!$B$51:$B$54</c:f>
              <c:numCache>
                <c:formatCode>General</c:formatCode>
                <c:ptCount val="4"/>
                <c:pt idx="0">
                  <c:v>2</c:v>
                </c:pt>
                <c:pt idx="1">
                  <c:v>3</c:v>
                </c:pt>
                <c:pt idx="2">
                  <c:v>4</c:v>
                </c:pt>
                <c:pt idx="3">
                  <c:v>5</c:v>
                </c:pt>
              </c:numCache>
            </c:numRef>
          </c:val>
          <c:extLst>
            <c:ext xmlns:c16="http://schemas.microsoft.com/office/drawing/2014/chart" uri="{C3380CC4-5D6E-409C-BE32-E72D297353CC}">
              <c16:uniqueId val="{00000008-CE19-452C-AC8D-CFB5D090428E}"/>
            </c:ext>
          </c:extLst>
        </c:ser>
        <c:ser>
          <c:idx val="2"/>
          <c:order val="2"/>
          <c:tx>
            <c:strRef>
              <c:f>Hoja2!$D$50</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CE19-452C-AC8D-CFB5D09042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CE19-452C-AC8D-CFB5D09042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CE19-452C-AC8D-CFB5D09042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CE19-452C-AC8D-CFB5D09042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Hoja2!$D$51:$D$54</c:f>
              <c:numCache>
                <c:formatCode>0%</c:formatCode>
                <c:ptCount val="4"/>
                <c:pt idx="0">
                  <c:v>6.6666666666666666E-2</c:v>
                </c:pt>
                <c:pt idx="1">
                  <c:v>0.36666666666666664</c:v>
                </c:pt>
                <c:pt idx="2">
                  <c:v>0.36666666666666664</c:v>
                </c:pt>
                <c:pt idx="3">
                  <c:v>0.2</c:v>
                </c:pt>
              </c:numCache>
            </c:numRef>
          </c:val>
          <c:extLst>
            <c:ext xmlns:c16="http://schemas.microsoft.com/office/drawing/2014/chart" uri="{C3380CC4-5D6E-409C-BE32-E72D297353CC}">
              <c16:uniqueId val="{00000011-CE19-452C-AC8D-CFB5D090428E}"/>
            </c:ext>
          </c:extLst>
        </c:ser>
        <c:dLbls>
          <c:dLblPos val="in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Hoja2!$C$50</c15:sqref>
                        </c15:formulaRef>
                      </c:ext>
                    </c:extLst>
                    <c:strCache>
                      <c:ptCount val="1"/>
                      <c:pt idx="0">
                        <c:v>Escala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CE19-452C-AC8D-CFB5D09042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CE19-452C-AC8D-CFB5D09042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CE19-452C-AC8D-CFB5D09042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CE19-452C-AC8D-CFB5D09042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Hoja2!$C$51:$C$54</c15:sqref>
                        </c15:formulaRef>
                      </c:ext>
                    </c:extLst>
                    <c:numCache>
                      <c:formatCode>General</c:formatCode>
                      <c:ptCount val="4"/>
                      <c:pt idx="0">
                        <c:v>2</c:v>
                      </c:pt>
                      <c:pt idx="1">
                        <c:v>11</c:v>
                      </c:pt>
                      <c:pt idx="2">
                        <c:v>11</c:v>
                      </c:pt>
                      <c:pt idx="3">
                        <c:v>6</c:v>
                      </c:pt>
                    </c:numCache>
                  </c:numRef>
                </c:val>
                <c:extLst>
                  <c:ext xmlns:c16="http://schemas.microsoft.com/office/drawing/2014/chart" uri="{C3380CC4-5D6E-409C-BE32-E72D297353CC}">
                    <c16:uniqueId val="{0000001A-CE19-452C-AC8D-CFB5D090428E}"/>
                  </c:ext>
                </c:extLst>
              </c15:ser>
            </c15:filteredPieSeries>
          </c:ext>
        </c:extLst>
      </c:pieChart>
      <c:spPr>
        <a:noFill/>
        <a:ln>
          <a:noFill/>
        </a:ln>
        <a:effectLst/>
      </c:spPr>
    </c:plotArea>
    <c:legend>
      <c:legendPos val="b"/>
      <c:layout>
        <c:manualLayout>
          <c:xMode val="edge"/>
          <c:yMode val="edge"/>
          <c:x val="0.42855511811023622"/>
          <c:y val="0.87523366870807817"/>
          <c:w val="0.18733420822397201"/>
          <c:h val="7.3840405365995912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del Programa de Justicia Transicional - PNUD  (Respuestas)_Graficas (1).xlsx]Graficas!PivotTable9</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Graficas!$M$109</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94-462D-8C20-BC90642D1C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94-462D-8C20-BC90642D1C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94-462D-8C20-BC90642D1C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94-462D-8C20-BC90642D1C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Graficas!$L$110:$L$114</c:f>
              <c:strCache>
                <c:ptCount val="4"/>
                <c:pt idx="0">
                  <c:v>3</c:v>
                </c:pt>
                <c:pt idx="1">
                  <c:v>4</c:v>
                </c:pt>
                <c:pt idx="2">
                  <c:v>5</c:v>
                </c:pt>
                <c:pt idx="3">
                  <c:v>(blank)</c:v>
                </c:pt>
              </c:strCache>
            </c:strRef>
          </c:cat>
          <c:val>
            <c:numRef>
              <c:f>Graficas!$M$110:$M$114</c:f>
              <c:numCache>
                <c:formatCode>General</c:formatCode>
                <c:ptCount val="4"/>
                <c:pt idx="0">
                  <c:v>2</c:v>
                </c:pt>
                <c:pt idx="1">
                  <c:v>10</c:v>
                </c:pt>
                <c:pt idx="2">
                  <c:v>18</c:v>
                </c:pt>
              </c:numCache>
            </c:numRef>
          </c:val>
          <c:extLst>
            <c:ext xmlns:c16="http://schemas.microsoft.com/office/drawing/2014/chart" uri="{C3380CC4-5D6E-409C-BE32-E72D297353CC}">
              <c16:uniqueId val="{00000008-5B94-462D-8C20-BC90642D1C9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90DDDB-D258-4F64-8210-D48982A0381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3AD42F9-386A-42E7-850E-3936FDD5EFF7}">
      <dgm:prSet phldrT="[Text]"/>
      <dgm:spPr/>
      <dgm:t>
        <a:bodyPr/>
        <a:lstStyle/>
        <a:p>
          <a:r>
            <a:rPr lang="es-ES">
              <a:latin typeface="Century Gothic" panose="020B0502020202020204" pitchFamily="34" charset="0"/>
            </a:rPr>
            <a:t>Verdad</a:t>
          </a:r>
          <a:endParaRPr lang="en-US">
            <a:latin typeface="Century Gothic" panose="020B0502020202020204" pitchFamily="34" charset="0"/>
          </a:endParaRPr>
        </a:p>
      </dgm:t>
    </dgm:pt>
    <dgm:pt modelId="{A633B414-CE84-4323-97BB-F80CC4310C01}" type="parTrans" cxnId="{CF2BEB2D-8106-487A-A93A-8E68B262865F}">
      <dgm:prSet/>
      <dgm:spPr/>
      <dgm:t>
        <a:bodyPr/>
        <a:lstStyle/>
        <a:p>
          <a:endParaRPr lang="en-US">
            <a:latin typeface="Century Gothic" panose="020B0502020202020204" pitchFamily="34" charset="0"/>
          </a:endParaRPr>
        </a:p>
      </dgm:t>
    </dgm:pt>
    <dgm:pt modelId="{9C59A40A-1255-4202-96A2-AF9B46BAFDBE}" type="sibTrans" cxnId="{CF2BEB2D-8106-487A-A93A-8E68B262865F}">
      <dgm:prSet/>
      <dgm:spPr/>
      <dgm:t>
        <a:bodyPr/>
        <a:lstStyle/>
        <a:p>
          <a:endParaRPr lang="en-US">
            <a:latin typeface="Century Gothic" panose="020B0502020202020204" pitchFamily="34" charset="0"/>
          </a:endParaRPr>
        </a:p>
      </dgm:t>
    </dgm:pt>
    <dgm:pt modelId="{83CCD6CF-41CB-4E60-8D59-71E25BC71DDD}">
      <dgm:prSet phldrT="[Text]"/>
      <dgm:spPr/>
      <dgm:t>
        <a:bodyPr/>
        <a:lstStyle/>
        <a:p>
          <a:r>
            <a:rPr lang="es-ES">
              <a:latin typeface="Century Gothic" panose="020B0502020202020204" pitchFamily="34" charset="0"/>
            </a:rPr>
            <a:t>RE1Derecho a la verdad y memoria histórica; acceso a la justicia y lucha contra la impunidad; </a:t>
          </a:r>
          <a:endParaRPr lang="en-US">
            <a:latin typeface="Century Gothic" panose="020B0502020202020204" pitchFamily="34" charset="0"/>
          </a:endParaRPr>
        </a:p>
      </dgm:t>
    </dgm:pt>
    <dgm:pt modelId="{4B0B8330-016F-4E3F-AE35-C2B26D3C812A}" type="parTrans" cxnId="{39F1CA48-E2D0-49CD-B9CC-EB42FA7F0C6E}">
      <dgm:prSet/>
      <dgm:spPr/>
      <dgm:t>
        <a:bodyPr/>
        <a:lstStyle/>
        <a:p>
          <a:endParaRPr lang="en-US">
            <a:latin typeface="Century Gothic" panose="020B0502020202020204" pitchFamily="34" charset="0"/>
          </a:endParaRPr>
        </a:p>
      </dgm:t>
    </dgm:pt>
    <dgm:pt modelId="{D2C40E4A-B835-4936-94E6-71A2AB62CA9A}" type="sibTrans" cxnId="{39F1CA48-E2D0-49CD-B9CC-EB42FA7F0C6E}">
      <dgm:prSet/>
      <dgm:spPr/>
      <dgm:t>
        <a:bodyPr/>
        <a:lstStyle/>
        <a:p>
          <a:endParaRPr lang="en-US">
            <a:latin typeface="Century Gothic" panose="020B0502020202020204" pitchFamily="34" charset="0"/>
          </a:endParaRPr>
        </a:p>
      </dgm:t>
    </dgm:pt>
    <dgm:pt modelId="{127277EE-391E-4791-A49B-B2DD3EBCE817}">
      <dgm:prSet phldrT="[Text]"/>
      <dgm:spPr/>
      <dgm:t>
        <a:bodyPr/>
        <a:lstStyle/>
        <a:p>
          <a:r>
            <a:rPr lang="en-US">
              <a:latin typeface="Century Gothic" panose="020B0502020202020204" pitchFamily="34" charset="0"/>
            </a:rPr>
            <a:t>Justicia</a:t>
          </a:r>
        </a:p>
      </dgm:t>
    </dgm:pt>
    <dgm:pt modelId="{6A441982-4264-49C7-8EA9-E331D2660739}" type="parTrans" cxnId="{8A4DB7AB-C902-4E64-A18D-9F12DA5BEED9}">
      <dgm:prSet/>
      <dgm:spPr/>
      <dgm:t>
        <a:bodyPr/>
        <a:lstStyle/>
        <a:p>
          <a:endParaRPr lang="en-US">
            <a:latin typeface="Century Gothic" panose="020B0502020202020204" pitchFamily="34" charset="0"/>
          </a:endParaRPr>
        </a:p>
      </dgm:t>
    </dgm:pt>
    <dgm:pt modelId="{D561B1FF-3CC6-46C4-A3EC-39C983C9CB0E}" type="sibTrans" cxnId="{8A4DB7AB-C902-4E64-A18D-9F12DA5BEED9}">
      <dgm:prSet/>
      <dgm:spPr/>
      <dgm:t>
        <a:bodyPr/>
        <a:lstStyle/>
        <a:p>
          <a:endParaRPr lang="en-US">
            <a:latin typeface="Century Gothic" panose="020B0502020202020204" pitchFamily="34" charset="0"/>
          </a:endParaRPr>
        </a:p>
      </dgm:t>
    </dgm:pt>
    <dgm:pt modelId="{8FE9A1D1-587B-4DE3-A142-0EF4E2206278}">
      <dgm:prSet phldrT="[Text]"/>
      <dgm:spPr/>
      <dgm:t>
        <a:bodyPr/>
        <a:lstStyle/>
        <a:p>
          <a:r>
            <a:rPr lang="es-ES">
              <a:latin typeface="Century Gothic" panose="020B0502020202020204" pitchFamily="34" charset="0"/>
            </a:rPr>
            <a:t>RE2	Acceso a la justicia y lucha contra la impunidad</a:t>
          </a:r>
          <a:endParaRPr lang="en-US">
            <a:latin typeface="Century Gothic" panose="020B0502020202020204" pitchFamily="34" charset="0"/>
          </a:endParaRPr>
        </a:p>
      </dgm:t>
    </dgm:pt>
    <dgm:pt modelId="{A7CA2149-7B1F-40ED-8AA4-549A3B729907}" type="parTrans" cxnId="{C5655EBB-E0D9-46CE-AE23-A2E093D55956}">
      <dgm:prSet/>
      <dgm:spPr/>
      <dgm:t>
        <a:bodyPr/>
        <a:lstStyle/>
        <a:p>
          <a:endParaRPr lang="en-US">
            <a:latin typeface="Century Gothic" panose="020B0502020202020204" pitchFamily="34" charset="0"/>
          </a:endParaRPr>
        </a:p>
      </dgm:t>
    </dgm:pt>
    <dgm:pt modelId="{B94CFF98-E1B2-41ED-AAD3-B33504D8633C}" type="sibTrans" cxnId="{C5655EBB-E0D9-46CE-AE23-A2E093D55956}">
      <dgm:prSet/>
      <dgm:spPr/>
      <dgm:t>
        <a:bodyPr/>
        <a:lstStyle/>
        <a:p>
          <a:endParaRPr lang="en-US">
            <a:latin typeface="Century Gothic" panose="020B0502020202020204" pitchFamily="34" charset="0"/>
          </a:endParaRPr>
        </a:p>
      </dgm:t>
    </dgm:pt>
    <dgm:pt modelId="{DB364B7E-7344-4077-9A4E-3E9BBF39ADE0}">
      <dgm:prSet phldrT="[Text]"/>
      <dgm:spPr/>
      <dgm:t>
        <a:bodyPr/>
        <a:lstStyle/>
        <a:p>
          <a:r>
            <a:rPr lang="en-US">
              <a:latin typeface="Century Gothic" panose="020B0502020202020204" pitchFamily="34" charset="0"/>
            </a:rPr>
            <a:t>Reparación </a:t>
          </a:r>
        </a:p>
      </dgm:t>
    </dgm:pt>
    <dgm:pt modelId="{EE4EBDF2-2E0D-4E9C-8251-1F0E9AC5D9DF}" type="parTrans" cxnId="{7BE109B7-8099-43E9-863E-5121D82447BA}">
      <dgm:prSet/>
      <dgm:spPr/>
      <dgm:t>
        <a:bodyPr/>
        <a:lstStyle/>
        <a:p>
          <a:endParaRPr lang="en-US">
            <a:latin typeface="Century Gothic" panose="020B0502020202020204" pitchFamily="34" charset="0"/>
          </a:endParaRPr>
        </a:p>
      </dgm:t>
    </dgm:pt>
    <dgm:pt modelId="{3C98CAEB-7DB2-4B65-B267-2C955B4021F2}" type="sibTrans" cxnId="{7BE109B7-8099-43E9-863E-5121D82447BA}">
      <dgm:prSet/>
      <dgm:spPr/>
      <dgm:t>
        <a:bodyPr/>
        <a:lstStyle/>
        <a:p>
          <a:endParaRPr lang="en-US">
            <a:latin typeface="Century Gothic" panose="020B0502020202020204" pitchFamily="34" charset="0"/>
          </a:endParaRPr>
        </a:p>
      </dgm:t>
    </dgm:pt>
    <dgm:pt modelId="{4619D1AC-B929-45BE-8710-4F52995AFF38}">
      <dgm:prSet phldrT="[Text]"/>
      <dgm:spPr/>
      <dgm:t>
        <a:bodyPr/>
        <a:lstStyle/>
        <a:p>
          <a:r>
            <a:rPr lang="es-ES">
              <a:latin typeface="Century Gothic" panose="020B0502020202020204" pitchFamily="34" charset="0"/>
            </a:rPr>
            <a:t>RE3 Reparación integral; </a:t>
          </a:r>
          <a:endParaRPr lang="en-US">
            <a:latin typeface="Century Gothic" panose="020B0502020202020204" pitchFamily="34" charset="0"/>
          </a:endParaRPr>
        </a:p>
      </dgm:t>
    </dgm:pt>
    <dgm:pt modelId="{7ABFDE6C-E17C-40CA-90AF-35A3AA1A4311}" type="parTrans" cxnId="{0C284417-FFCF-4C7B-B4F1-E9D4C2D3ACF5}">
      <dgm:prSet/>
      <dgm:spPr/>
      <dgm:t>
        <a:bodyPr/>
        <a:lstStyle/>
        <a:p>
          <a:endParaRPr lang="en-US">
            <a:latin typeface="Century Gothic" panose="020B0502020202020204" pitchFamily="34" charset="0"/>
          </a:endParaRPr>
        </a:p>
      </dgm:t>
    </dgm:pt>
    <dgm:pt modelId="{02A55ECB-CD3B-4F68-910B-16A7773FD4E2}" type="sibTrans" cxnId="{0C284417-FFCF-4C7B-B4F1-E9D4C2D3ACF5}">
      <dgm:prSet/>
      <dgm:spPr/>
      <dgm:t>
        <a:bodyPr/>
        <a:lstStyle/>
        <a:p>
          <a:endParaRPr lang="en-US">
            <a:latin typeface="Century Gothic" panose="020B0502020202020204" pitchFamily="34" charset="0"/>
          </a:endParaRPr>
        </a:p>
      </dgm:t>
    </dgm:pt>
    <dgm:pt modelId="{4E726772-2B37-4675-8A74-B7B941AF2682}">
      <dgm:prSet phldrT="[Text]"/>
      <dgm:spPr/>
      <dgm:t>
        <a:bodyPr/>
        <a:lstStyle/>
        <a:p>
          <a:r>
            <a:rPr lang="es-ES">
              <a:latin typeface="Century Gothic" panose="020B0502020202020204" pitchFamily="34" charset="0"/>
            </a:rPr>
            <a:t>RE5 Esclarecimiento de la verdad; </a:t>
          </a:r>
          <a:endParaRPr lang="en-US">
            <a:latin typeface="Century Gothic" panose="020B0502020202020204" pitchFamily="34" charset="0"/>
          </a:endParaRPr>
        </a:p>
      </dgm:t>
    </dgm:pt>
    <dgm:pt modelId="{028EF865-9932-4230-906C-0642CC5B719D}" type="parTrans" cxnId="{4550F455-5FB4-4127-BD97-7ED12D6F0E67}">
      <dgm:prSet/>
      <dgm:spPr/>
      <dgm:t>
        <a:bodyPr/>
        <a:lstStyle/>
        <a:p>
          <a:endParaRPr lang="en-US">
            <a:latin typeface="Century Gothic" panose="020B0502020202020204" pitchFamily="34" charset="0"/>
          </a:endParaRPr>
        </a:p>
      </dgm:t>
    </dgm:pt>
    <dgm:pt modelId="{3B1DC572-3F43-49EA-B650-32EB5097F3F4}" type="sibTrans" cxnId="{4550F455-5FB4-4127-BD97-7ED12D6F0E67}">
      <dgm:prSet/>
      <dgm:spPr/>
      <dgm:t>
        <a:bodyPr/>
        <a:lstStyle/>
        <a:p>
          <a:endParaRPr lang="en-US">
            <a:latin typeface="Century Gothic" panose="020B0502020202020204" pitchFamily="34" charset="0"/>
          </a:endParaRPr>
        </a:p>
      </dgm:t>
    </dgm:pt>
    <dgm:pt modelId="{8268FF4E-A8D6-4BA5-AABB-603C49A3A80B}">
      <dgm:prSet phldrT="[Text]"/>
      <dgm:spPr/>
      <dgm:t>
        <a:bodyPr/>
        <a:lstStyle/>
        <a:p>
          <a:r>
            <a:rPr lang="es-ES">
              <a:latin typeface="Century Gothic" panose="020B0502020202020204" pitchFamily="34" charset="0"/>
            </a:rPr>
            <a:t>RE6 Dialogo social y gestión de conocimiento para el esclarecimiento de la verdad y promoción de la convivencia y la no repetición.</a:t>
          </a:r>
          <a:endParaRPr lang="en-US">
            <a:latin typeface="Century Gothic" panose="020B0502020202020204" pitchFamily="34" charset="0"/>
          </a:endParaRPr>
        </a:p>
      </dgm:t>
    </dgm:pt>
    <dgm:pt modelId="{683A9979-A441-4A6F-B970-AC3E2A61C535}" type="parTrans" cxnId="{420057A5-0D53-44D5-89B8-683ABFEEFA93}">
      <dgm:prSet/>
      <dgm:spPr/>
      <dgm:t>
        <a:bodyPr/>
        <a:lstStyle/>
        <a:p>
          <a:endParaRPr lang="en-US">
            <a:latin typeface="Century Gothic" panose="020B0502020202020204" pitchFamily="34" charset="0"/>
          </a:endParaRPr>
        </a:p>
      </dgm:t>
    </dgm:pt>
    <dgm:pt modelId="{0AC7BA7A-C825-4B61-9C77-C6277C201AA1}" type="sibTrans" cxnId="{420057A5-0D53-44D5-89B8-683ABFEEFA93}">
      <dgm:prSet/>
      <dgm:spPr/>
      <dgm:t>
        <a:bodyPr/>
        <a:lstStyle/>
        <a:p>
          <a:endParaRPr lang="en-US">
            <a:latin typeface="Century Gothic" panose="020B0502020202020204" pitchFamily="34" charset="0"/>
          </a:endParaRPr>
        </a:p>
      </dgm:t>
    </dgm:pt>
    <dgm:pt modelId="{32D23735-8EB6-4C2C-9503-D09447D32FD7}">
      <dgm:prSet phldrT="[Text]"/>
      <dgm:spPr/>
      <dgm:t>
        <a:bodyPr/>
        <a:lstStyle/>
        <a:p>
          <a:r>
            <a:rPr lang="es-ES">
              <a:latin typeface="Century Gothic" panose="020B0502020202020204" pitchFamily="34" charset="0"/>
            </a:rPr>
            <a:t>RE7 Apoyo al fortalecimiento de los procesos de reparación colectiva y de retornos y reubicaciones en territorios PDET.</a:t>
          </a:r>
          <a:endParaRPr lang="en-US">
            <a:latin typeface="Century Gothic" panose="020B0502020202020204" pitchFamily="34" charset="0"/>
          </a:endParaRPr>
        </a:p>
      </dgm:t>
    </dgm:pt>
    <dgm:pt modelId="{8A88CD23-5572-4512-97FC-968EF2811ED4}" type="parTrans" cxnId="{E42B11E2-7752-4D8A-98CB-1E9936A0FA18}">
      <dgm:prSet/>
      <dgm:spPr/>
      <dgm:t>
        <a:bodyPr/>
        <a:lstStyle/>
        <a:p>
          <a:endParaRPr lang="en-US">
            <a:latin typeface="Century Gothic" panose="020B0502020202020204" pitchFamily="34" charset="0"/>
          </a:endParaRPr>
        </a:p>
      </dgm:t>
    </dgm:pt>
    <dgm:pt modelId="{DF2DBF07-CB32-4554-BDED-89898298465A}" type="sibTrans" cxnId="{E42B11E2-7752-4D8A-98CB-1E9936A0FA18}">
      <dgm:prSet/>
      <dgm:spPr/>
      <dgm:t>
        <a:bodyPr/>
        <a:lstStyle/>
        <a:p>
          <a:endParaRPr lang="en-US">
            <a:latin typeface="Century Gothic" panose="020B0502020202020204" pitchFamily="34" charset="0"/>
          </a:endParaRPr>
        </a:p>
      </dgm:t>
    </dgm:pt>
    <dgm:pt modelId="{DFE753AD-8F35-49E7-A2E2-C0F1C8FC2801}">
      <dgm:prSet phldrT="[Text]"/>
      <dgm:spPr/>
      <dgm:t>
        <a:bodyPr/>
        <a:lstStyle/>
        <a:p>
          <a:r>
            <a:rPr lang="en-US">
              <a:latin typeface="Century Gothic" panose="020B0502020202020204" pitchFamily="34" charset="0"/>
            </a:rPr>
            <a:t>Garantías de no repetición</a:t>
          </a:r>
        </a:p>
      </dgm:t>
    </dgm:pt>
    <dgm:pt modelId="{78633EC3-2590-42E1-9E27-DDE86030B51F}" type="parTrans" cxnId="{A4110399-AAE9-493D-8C3B-324CF0C6458C}">
      <dgm:prSet/>
      <dgm:spPr/>
      <dgm:t>
        <a:bodyPr/>
        <a:lstStyle/>
        <a:p>
          <a:endParaRPr lang="en-US">
            <a:latin typeface="Century Gothic" panose="020B0502020202020204" pitchFamily="34" charset="0"/>
          </a:endParaRPr>
        </a:p>
      </dgm:t>
    </dgm:pt>
    <dgm:pt modelId="{A7A7FC7E-2BE7-49FB-AE19-0BE1246B9907}" type="sibTrans" cxnId="{A4110399-AAE9-493D-8C3B-324CF0C6458C}">
      <dgm:prSet/>
      <dgm:spPr/>
      <dgm:t>
        <a:bodyPr/>
        <a:lstStyle/>
        <a:p>
          <a:endParaRPr lang="en-US">
            <a:latin typeface="Century Gothic" panose="020B0502020202020204" pitchFamily="34" charset="0"/>
          </a:endParaRPr>
        </a:p>
      </dgm:t>
    </dgm:pt>
    <dgm:pt modelId="{602E1850-0FB0-4C74-8C07-68C333DC8683}">
      <dgm:prSet phldrT="[Text]"/>
      <dgm:spPr/>
      <dgm:t>
        <a:bodyPr/>
        <a:lstStyle/>
        <a:p>
          <a:r>
            <a:rPr lang="es-ES">
              <a:latin typeface="Century Gothic" panose="020B0502020202020204" pitchFamily="34" charset="0"/>
            </a:rPr>
            <a:t>RE4 Garantías de no repetición y prevención</a:t>
          </a:r>
          <a:endParaRPr lang="en-US">
            <a:latin typeface="Century Gothic" panose="020B0502020202020204" pitchFamily="34" charset="0"/>
          </a:endParaRPr>
        </a:p>
      </dgm:t>
    </dgm:pt>
    <dgm:pt modelId="{A847CDC0-5B02-40F8-8A49-3C9FD204B776}" type="parTrans" cxnId="{2F6B3273-2E54-40AB-8759-7BC3C86D95F4}">
      <dgm:prSet/>
      <dgm:spPr/>
      <dgm:t>
        <a:bodyPr/>
        <a:lstStyle/>
        <a:p>
          <a:endParaRPr lang="en-US">
            <a:latin typeface="Century Gothic" panose="020B0502020202020204" pitchFamily="34" charset="0"/>
          </a:endParaRPr>
        </a:p>
      </dgm:t>
    </dgm:pt>
    <dgm:pt modelId="{60C299A5-34D8-4EAE-8117-0DF06D630A93}" type="sibTrans" cxnId="{2F6B3273-2E54-40AB-8759-7BC3C86D95F4}">
      <dgm:prSet/>
      <dgm:spPr/>
      <dgm:t>
        <a:bodyPr/>
        <a:lstStyle/>
        <a:p>
          <a:endParaRPr lang="en-US">
            <a:latin typeface="Century Gothic" panose="020B0502020202020204" pitchFamily="34" charset="0"/>
          </a:endParaRPr>
        </a:p>
      </dgm:t>
    </dgm:pt>
    <dgm:pt modelId="{8B0DC7A2-8BB5-44D0-921B-9F1C5964DB78}" type="pres">
      <dgm:prSet presAssocID="{9E90DDDB-D258-4F64-8210-D48982A03811}" presName="Name0" presStyleCnt="0">
        <dgm:presLayoutVars>
          <dgm:dir/>
          <dgm:animLvl val="lvl"/>
          <dgm:resizeHandles val="exact"/>
        </dgm:presLayoutVars>
      </dgm:prSet>
      <dgm:spPr/>
    </dgm:pt>
    <dgm:pt modelId="{84E53ECC-25BC-4B41-B423-0BEB53616D32}" type="pres">
      <dgm:prSet presAssocID="{23AD42F9-386A-42E7-850E-3936FDD5EFF7}" presName="composite" presStyleCnt="0"/>
      <dgm:spPr/>
    </dgm:pt>
    <dgm:pt modelId="{EB4C3392-5B3D-496A-A451-51D32E28FDE7}" type="pres">
      <dgm:prSet presAssocID="{23AD42F9-386A-42E7-850E-3936FDD5EFF7}" presName="parTx" presStyleLbl="alignNode1" presStyleIdx="0" presStyleCnt="4">
        <dgm:presLayoutVars>
          <dgm:chMax val="0"/>
          <dgm:chPref val="0"/>
          <dgm:bulletEnabled val="1"/>
        </dgm:presLayoutVars>
      </dgm:prSet>
      <dgm:spPr/>
    </dgm:pt>
    <dgm:pt modelId="{51C32B74-E200-4ACC-B616-93A711240A52}" type="pres">
      <dgm:prSet presAssocID="{23AD42F9-386A-42E7-850E-3936FDD5EFF7}" presName="desTx" presStyleLbl="alignAccFollowNode1" presStyleIdx="0" presStyleCnt="4">
        <dgm:presLayoutVars>
          <dgm:bulletEnabled val="1"/>
        </dgm:presLayoutVars>
      </dgm:prSet>
      <dgm:spPr/>
    </dgm:pt>
    <dgm:pt modelId="{4A995FDA-2D02-4951-A769-E0CA112C3ECC}" type="pres">
      <dgm:prSet presAssocID="{9C59A40A-1255-4202-96A2-AF9B46BAFDBE}" presName="space" presStyleCnt="0"/>
      <dgm:spPr/>
    </dgm:pt>
    <dgm:pt modelId="{7EDF338B-7C99-40E3-BE9A-774D677B1B4C}" type="pres">
      <dgm:prSet presAssocID="{127277EE-391E-4791-A49B-B2DD3EBCE817}" presName="composite" presStyleCnt="0"/>
      <dgm:spPr/>
    </dgm:pt>
    <dgm:pt modelId="{69E7F271-2559-44B4-A043-65056D270468}" type="pres">
      <dgm:prSet presAssocID="{127277EE-391E-4791-A49B-B2DD3EBCE817}" presName="parTx" presStyleLbl="alignNode1" presStyleIdx="1" presStyleCnt="4">
        <dgm:presLayoutVars>
          <dgm:chMax val="0"/>
          <dgm:chPref val="0"/>
          <dgm:bulletEnabled val="1"/>
        </dgm:presLayoutVars>
      </dgm:prSet>
      <dgm:spPr/>
    </dgm:pt>
    <dgm:pt modelId="{39B91DB5-1D22-41D7-B451-C74072E6400F}" type="pres">
      <dgm:prSet presAssocID="{127277EE-391E-4791-A49B-B2DD3EBCE817}" presName="desTx" presStyleLbl="alignAccFollowNode1" presStyleIdx="1" presStyleCnt="4">
        <dgm:presLayoutVars>
          <dgm:bulletEnabled val="1"/>
        </dgm:presLayoutVars>
      </dgm:prSet>
      <dgm:spPr/>
    </dgm:pt>
    <dgm:pt modelId="{ADBF0549-ACD7-48B6-8D30-93DE1D6952FB}" type="pres">
      <dgm:prSet presAssocID="{D561B1FF-3CC6-46C4-A3EC-39C983C9CB0E}" presName="space" presStyleCnt="0"/>
      <dgm:spPr/>
    </dgm:pt>
    <dgm:pt modelId="{CEF8E8AF-B499-4D14-A62D-007004DD3FAD}" type="pres">
      <dgm:prSet presAssocID="{DB364B7E-7344-4077-9A4E-3E9BBF39ADE0}" presName="composite" presStyleCnt="0"/>
      <dgm:spPr/>
    </dgm:pt>
    <dgm:pt modelId="{F8E04D0C-56C7-4DD1-B37E-9FA4B1DD09CB}" type="pres">
      <dgm:prSet presAssocID="{DB364B7E-7344-4077-9A4E-3E9BBF39ADE0}" presName="parTx" presStyleLbl="alignNode1" presStyleIdx="2" presStyleCnt="4">
        <dgm:presLayoutVars>
          <dgm:chMax val="0"/>
          <dgm:chPref val="0"/>
          <dgm:bulletEnabled val="1"/>
        </dgm:presLayoutVars>
      </dgm:prSet>
      <dgm:spPr/>
    </dgm:pt>
    <dgm:pt modelId="{54D17ED8-A29E-4139-8273-AE25F39DBBB8}" type="pres">
      <dgm:prSet presAssocID="{DB364B7E-7344-4077-9A4E-3E9BBF39ADE0}" presName="desTx" presStyleLbl="alignAccFollowNode1" presStyleIdx="2" presStyleCnt="4">
        <dgm:presLayoutVars>
          <dgm:bulletEnabled val="1"/>
        </dgm:presLayoutVars>
      </dgm:prSet>
      <dgm:spPr/>
    </dgm:pt>
    <dgm:pt modelId="{403EAE7D-B54F-4F0A-B38E-689F96000899}" type="pres">
      <dgm:prSet presAssocID="{3C98CAEB-7DB2-4B65-B267-2C955B4021F2}" presName="space" presStyleCnt="0"/>
      <dgm:spPr/>
    </dgm:pt>
    <dgm:pt modelId="{FF823FDC-4275-4B11-8DDF-56C8639B2D80}" type="pres">
      <dgm:prSet presAssocID="{DFE753AD-8F35-49E7-A2E2-C0F1C8FC2801}" presName="composite" presStyleCnt="0"/>
      <dgm:spPr/>
    </dgm:pt>
    <dgm:pt modelId="{6B6F3033-54C4-4378-AE97-4ADEB087ED17}" type="pres">
      <dgm:prSet presAssocID="{DFE753AD-8F35-49E7-A2E2-C0F1C8FC2801}" presName="parTx" presStyleLbl="alignNode1" presStyleIdx="3" presStyleCnt="4">
        <dgm:presLayoutVars>
          <dgm:chMax val="0"/>
          <dgm:chPref val="0"/>
          <dgm:bulletEnabled val="1"/>
        </dgm:presLayoutVars>
      </dgm:prSet>
      <dgm:spPr/>
    </dgm:pt>
    <dgm:pt modelId="{5FDDE630-2046-4FEA-B8A0-C862CCA2454D}" type="pres">
      <dgm:prSet presAssocID="{DFE753AD-8F35-49E7-A2E2-C0F1C8FC2801}" presName="desTx" presStyleLbl="alignAccFollowNode1" presStyleIdx="3" presStyleCnt="4">
        <dgm:presLayoutVars>
          <dgm:bulletEnabled val="1"/>
        </dgm:presLayoutVars>
      </dgm:prSet>
      <dgm:spPr/>
    </dgm:pt>
  </dgm:ptLst>
  <dgm:cxnLst>
    <dgm:cxn modelId="{F38F7906-AC58-4697-987C-00B6D28A028C}" type="presOf" srcId="{8268FF4E-A8D6-4BA5-AABB-603C49A3A80B}" destId="{51C32B74-E200-4ACC-B616-93A711240A52}" srcOrd="0" destOrd="2" presId="urn:microsoft.com/office/officeart/2005/8/layout/hList1"/>
    <dgm:cxn modelId="{5D52EB09-3F8F-4524-9F99-E5B7193A4428}" type="presOf" srcId="{602E1850-0FB0-4C74-8C07-68C333DC8683}" destId="{5FDDE630-2046-4FEA-B8A0-C862CCA2454D}" srcOrd="0" destOrd="0" presId="urn:microsoft.com/office/officeart/2005/8/layout/hList1"/>
    <dgm:cxn modelId="{0C284417-FFCF-4C7B-B4F1-E9D4C2D3ACF5}" srcId="{DB364B7E-7344-4077-9A4E-3E9BBF39ADE0}" destId="{4619D1AC-B929-45BE-8710-4F52995AFF38}" srcOrd="0" destOrd="0" parTransId="{7ABFDE6C-E17C-40CA-90AF-35A3AA1A4311}" sibTransId="{02A55ECB-CD3B-4F68-910B-16A7773FD4E2}"/>
    <dgm:cxn modelId="{E5B9AC18-CB27-499B-BF8E-852E521A3000}" type="presOf" srcId="{DFE753AD-8F35-49E7-A2E2-C0F1C8FC2801}" destId="{6B6F3033-54C4-4378-AE97-4ADEB087ED17}" srcOrd="0" destOrd="0" presId="urn:microsoft.com/office/officeart/2005/8/layout/hList1"/>
    <dgm:cxn modelId="{E4557C1E-C656-4B6A-A0A1-188396DD6DF0}" type="presOf" srcId="{4619D1AC-B929-45BE-8710-4F52995AFF38}" destId="{54D17ED8-A29E-4139-8273-AE25F39DBBB8}" srcOrd="0" destOrd="0" presId="urn:microsoft.com/office/officeart/2005/8/layout/hList1"/>
    <dgm:cxn modelId="{118E3120-6269-49DC-9C57-621900748B94}" type="presOf" srcId="{32D23735-8EB6-4C2C-9503-D09447D32FD7}" destId="{54D17ED8-A29E-4139-8273-AE25F39DBBB8}" srcOrd="0" destOrd="1" presId="urn:microsoft.com/office/officeart/2005/8/layout/hList1"/>
    <dgm:cxn modelId="{CF2BEB2D-8106-487A-A93A-8E68B262865F}" srcId="{9E90DDDB-D258-4F64-8210-D48982A03811}" destId="{23AD42F9-386A-42E7-850E-3936FDD5EFF7}" srcOrd="0" destOrd="0" parTransId="{A633B414-CE84-4323-97BB-F80CC4310C01}" sibTransId="{9C59A40A-1255-4202-96A2-AF9B46BAFDBE}"/>
    <dgm:cxn modelId="{1E39C643-C942-49C9-A749-8947B150B7BD}" type="presOf" srcId="{23AD42F9-386A-42E7-850E-3936FDD5EFF7}" destId="{EB4C3392-5B3D-496A-A451-51D32E28FDE7}" srcOrd="0" destOrd="0" presId="urn:microsoft.com/office/officeart/2005/8/layout/hList1"/>
    <dgm:cxn modelId="{39F1CA48-E2D0-49CD-B9CC-EB42FA7F0C6E}" srcId="{23AD42F9-386A-42E7-850E-3936FDD5EFF7}" destId="{83CCD6CF-41CB-4E60-8D59-71E25BC71DDD}" srcOrd="0" destOrd="0" parTransId="{4B0B8330-016F-4E3F-AE35-C2B26D3C812A}" sibTransId="{D2C40E4A-B835-4936-94E6-71A2AB62CA9A}"/>
    <dgm:cxn modelId="{3BC0594C-0AAD-418D-B7E6-80B2B3F72F52}" type="presOf" srcId="{8FE9A1D1-587B-4DE3-A142-0EF4E2206278}" destId="{39B91DB5-1D22-41D7-B451-C74072E6400F}" srcOrd="0" destOrd="0" presId="urn:microsoft.com/office/officeart/2005/8/layout/hList1"/>
    <dgm:cxn modelId="{2F6B3273-2E54-40AB-8759-7BC3C86D95F4}" srcId="{DFE753AD-8F35-49E7-A2E2-C0F1C8FC2801}" destId="{602E1850-0FB0-4C74-8C07-68C333DC8683}" srcOrd="0" destOrd="0" parTransId="{A847CDC0-5B02-40F8-8A49-3C9FD204B776}" sibTransId="{60C299A5-34D8-4EAE-8117-0DF06D630A93}"/>
    <dgm:cxn modelId="{62A0EA53-7025-4B9F-9836-50A433E6CB33}" type="presOf" srcId="{83CCD6CF-41CB-4E60-8D59-71E25BC71DDD}" destId="{51C32B74-E200-4ACC-B616-93A711240A52}" srcOrd="0" destOrd="0" presId="urn:microsoft.com/office/officeart/2005/8/layout/hList1"/>
    <dgm:cxn modelId="{4550F455-5FB4-4127-BD97-7ED12D6F0E67}" srcId="{23AD42F9-386A-42E7-850E-3936FDD5EFF7}" destId="{4E726772-2B37-4675-8A74-B7B941AF2682}" srcOrd="1" destOrd="0" parTransId="{028EF865-9932-4230-906C-0642CC5B719D}" sibTransId="{3B1DC572-3F43-49EA-B650-32EB5097F3F4}"/>
    <dgm:cxn modelId="{A4110399-AAE9-493D-8C3B-324CF0C6458C}" srcId="{9E90DDDB-D258-4F64-8210-D48982A03811}" destId="{DFE753AD-8F35-49E7-A2E2-C0F1C8FC2801}" srcOrd="3" destOrd="0" parTransId="{78633EC3-2590-42E1-9E27-DDE86030B51F}" sibTransId="{A7A7FC7E-2BE7-49FB-AE19-0BE1246B9907}"/>
    <dgm:cxn modelId="{420057A5-0D53-44D5-89B8-683ABFEEFA93}" srcId="{23AD42F9-386A-42E7-850E-3936FDD5EFF7}" destId="{8268FF4E-A8D6-4BA5-AABB-603C49A3A80B}" srcOrd="2" destOrd="0" parTransId="{683A9979-A441-4A6F-B970-AC3E2A61C535}" sibTransId="{0AC7BA7A-C825-4B61-9C77-C6277C201AA1}"/>
    <dgm:cxn modelId="{8A4DB7AB-C902-4E64-A18D-9F12DA5BEED9}" srcId="{9E90DDDB-D258-4F64-8210-D48982A03811}" destId="{127277EE-391E-4791-A49B-B2DD3EBCE817}" srcOrd="1" destOrd="0" parTransId="{6A441982-4264-49C7-8EA9-E331D2660739}" sibTransId="{D561B1FF-3CC6-46C4-A3EC-39C983C9CB0E}"/>
    <dgm:cxn modelId="{7BE109B7-8099-43E9-863E-5121D82447BA}" srcId="{9E90DDDB-D258-4F64-8210-D48982A03811}" destId="{DB364B7E-7344-4077-9A4E-3E9BBF39ADE0}" srcOrd="2" destOrd="0" parTransId="{EE4EBDF2-2E0D-4E9C-8251-1F0E9AC5D9DF}" sibTransId="{3C98CAEB-7DB2-4B65-B267-2C955B4021F2}"/>
    <dgm:cxn modelId="{C5655EBB-E0D9-46CE-AE23-A2E093D55956}" srcId="{127277EE-391E-4791-A49B-B2DD3EBCE817}" destId="{8FE9A1D1-587B-4DE3-A142-0EF4E2206278}" srcOrd="0" destOrd="0" parTransId="{A7CA2149-7B1F-40ED-8AA4-549A3B729907}" sibTransId="{B94CFF98-E1B2-41ED-AAD3-B33504D8633C}"/>
    <dgm:cxn modelId="{29E90DC0-DF46-4A10-80CD-FEFEDFEC87C9}" type="presOf" srcId="{4E726772-2B37-4675-8A74-B7B941AF2682}" destId="{51C32B74-E200-4ACC-B616-93A711240A52}" srcOrd="0" destOrd="1" presId="urn:microsoft.com/office/officeart/2005/8/layout/hList1"/>
    <dgm:cxn modelId="{E4A32FC7-BFCF-45F1-91DF-C64807EB853C}" type="presOf" srcId="{DB364B7E-7344-4077-9A4E-3E9BBF39ADE0}" destId="{F8E04D0C-56C7-4DD1-B37E-9FA4B1DD09CB}" srcOrd="0" destOrd="0" presId="urn:microsoft.com/office/officeart/2005/8/layout/hList1"/>
    <dgm:cxn modelId="{C3760EE1-3F8E-4F84-B3EF-2B58E8A40FDD}" type="presOf" srcId="{9E90DDDB-D258-4F64-8210-D48982A03811}" destId="{8B0DC7A2-8BB5-44D0-921B-9F1C5964DB78}" srcOrd="0" destOrd="0" presId="urn:microsoft.com/office/officeart/2005/8/layout/hList1"/>
    <dgm:cxn modelId="{E42B11E2-7752-4D8A-98CB-1E9936A0FA18}" srcId="{DB364B7E-7344-4077-9A4E-3E9BBF39ADE0}" destId="{32D23735-8EB6-4C2C-9503-D09447D32FD7}" srcOrd="1" destOrd="0" parTransId="{8A88CD23-5572-4512-97FC-968EF2811ED4}" sibTransId="{DF2DBF07-CB32-4554-BDED-89898298465A}"/>
    <dgm:cxn modelId="{B80337E6-41D3-4E1B-A24E-36D3D466E228}" type="presOf" srcId="{127277EE-391E-4791-A49B-B2DD3EBCE817}" destId="{69E7F271-2559-44B4-A043-65056D270468}" srcOrd="0" destOrd="0" presId="urn:microsoft.com/office/officeart/2005/8/layout/hList1"/>
    <dgm:cxn modelId="{9619CE25-9576-46D9-A6BD-25C6E9A40140}" type="presParOf" srcId="{8B0DC7A2-8BB5-44D0-921B-9F1C5964DB78}" destId="{84E53ECC-25BC-4B41-B423-0BEB53616D32}" srcOrd="0" destOrd="0" presId="urn:microsoft.com/office/officeart/2005/8/layout/hList1"/>
    <dgm:cxn modelId="{ADE77BAC-E6A2-43B8-8059-B5B6A9E74E94}" type="presParOf" srcId="{84E53ECC-25BC-4B41-B423-0BEB53616D32}" destId="{EB4C3392-5B3D-496A-A451-51D32E28FDE7}" srcOrd="0" destOrd="0" presId="urn:microsoft.com/office/officeart/2005/8/layout/hList1"/>
    <dgm:cxn modelId="{CBA53187-85B1-4C67-A7A5-26A63FD79E25}" type="presParOf" srcId="{84E53ECC-25BC-4B41-B423-0BEB53616D32}" destId="{51C32B74-E200-4ACC-B616-93A711240A52}" srcOrd="1" destOrd="0" presId="urn:microsoft.com/office/officeart/2005/8/layout/hList1"/>
    <dgm:cxn modelId="{D5025225-A7B4-4B44-A15C-005DAD5CB16A}" type="presParOf" srcId="{8B0DC7A2-8BB5-44D0-921B-9F1C5964DB78}" destId="{4A995FDA-2D02-4951-A769-E0CA112C3ECC}" srcOrd="1" destOrd="0" presId="urn:microsoft.com/office/officeart/2005/8/layout/hList1"/>
    <dgm:cxn modelId="{734F956A-DEB2-4034-AC05-5323F66C66A1}" type="presParOf" srcId="{8B0DC7A2-8BB5-44D0-921B-9F1C5964DB78}" destId="{7EDF338B-7C99-40E3-BE9A-774D677B1B4C}" srcOrd="2" destOrd="0" presId="urn:microsoft.com/office/officeart/2005/8/layout/hList1"/>
    <dgm:cxn modelId="{505BF33A-0996-4864-BCD0-22A0687243C8}" type="presParOf" srcId="{7EDF338B-7C99-40E3-BE9A-774D677B1B4C}" destId="{69E7F271-2559-44B4-A043-65056D270468}" srcOrd="0" destOrd="0" presId="urn:microsoft.com/office/officeart/2005/8/layout/hList1"/>
    <dgm:cxn modelId="{B0176481-F805-433D-A192-13E70B7F770F}" type="presParOf" srcId="{7EDF338B-7C99-40E3-BE9A-774D677B1B4C}" destId="{39B91DB5-1D22-41D7-B451-C74072E6400F}" srcOrd="1" destOrd="0" presId="urn:microsoft.com/office/officeart/2005/8/layout/hList1"/>
    <dgm:cxn modelId="{015B4D10-E5D6-4501-8539-5F869D17F5DD}" type="presParOf" srcId="{8B0DC7A2-8BB5-44D0-921B-9F1C5964DB78}" destId="{ADBF0549-ACD7-48B6-8D30-93DE1D6952FB}" srcOrd="3" destOrd="0" presId="urn:microsoft.com/office/officeart/2005/8/layout/hList1"/>
    <dgm:cxn modelId="{76C6B2D5-7A47-47FF-A6B1-0279092D0D19}" type="presParOf" srcId="{8B0DC7A2-8BB5-44D0-921B-9F1C5964DB78}" destId="{CEF8E8AF-B499-4D14-A62D-007004DD3FAD}" srcOrd="4" destOrd="0" presId="urn:microsoft.com/office/officeart/2005/8/layout/hList1"/>
    <dgm:cxn modelId="{219087D3-9F9E-4002-BEEE-F639B9449991}" type="presParOf" srcId="{CEF8E8AF-B499-4D14-A62D-007004DD3FAD}" destId="{F8E04D0C-56C7-4DD1-B37E-9FA4B1DD09CB}" srcOrd="0" destOrd="0" presId="urn:microsoft.com/office/officeart/2005/8/layout/hList1"/>
    <dgm:cxn modelId="{77EA72D2-7B9E-4EA1-BF49-EE012F4E7E96}" type="presParOf" srcId="{CEF8E8AF-B499-4D14-A62D-007004DD3FAD}" destId="{54D17ED8-A29E-4139-8273-AE25F39DBBB8}" srcOrd="1" destOrd="0" presId="urn:microsoft.com/office/officeart/2005/8/layout/hList1"/>
    <dgm:cxn modelId="{A31B1038-607C-42B5-9DE2-1CE510263BB5}" type="presParOf" srcId="{8B0DC7A2-8BB5-44D0-921B-9F1C5964DB78}" destId="{403EAE7D-B54F-4F0A-B38E-689F96000899}" srcOrd="5" destOrd="0" presId="urn:microsoft.com/office/officeart/2005/8/layout/hList1"/>
    <dgm:cxn modelId="{E8234CA6-4D4D-4090-9D46-8656D431BFA6}" type="presParOf" srcId="{8B0DC7A2-8BB5-44D0-921B-9F1C5964DB78}" destId="{FF823FDC-4275-4B11-8DDF-56C8639B2D80}" srcOrd="6" destOrd="0" presId="urn:microsoft.com/office/officeart/2005/8/layout/hList1"/>
    <dgm:cxn modelId="{82E2D6F7-64F5-43DB-8F28-8C4E91C9AF5A}" type="presParOf" srcId="{FF823FDC-4275-4B11-8DDF-56C8639B2D80}" destId="{6B6F3033-54C4-4378-AE97-4ADEB087ED17}" srcOrd="0" destOrd="0" presId="urn:microsoft.com/office/officeart/2005/8/layout/hList1"/>
    <dgm:cxn modelId="{363C4CCB-42CD-44B9-A044-61E2F1DF9FEC}" type="presParOf" srcId="{FF823FDC-4275-4B11-8DDF-56C8639B2D80}" destId="{5FDDE630-2046-4FEA-B8A0-C862CCA2454D}"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613BC5-5F9B-4C35-AFB9-CB1742CCE57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E20BD0A2-A2AD-4866-AA04-5394C8844D7E}">
      <dgm:prSet phldrT="[Text]" custT="1"/>
      <dgm:spPr/>
      <dgm:t>
        <a:bodyPr/>
        <a:lstStyle/>
        <a:p>
          <a:r>
            <a:rPr lang="es-CO" sz="1000">
              <a:latin typeface="Century Gothic" panose="020B0502020202020204" pitchFamily="34" charset="0"/>
            </a:rPr>
            <a:t>Sistema de Justicia, Verdad, Reparación y Garantías de no repetición </a:t>
          </a:r>
          <a:endParaRPr lang="en-US" sz="1000">
            <a:latin typeface="Century Gothic" panose="020B0502020202020204" pitchFamily="34" charset="0"/>
          </a:endParaRPr>
        </a:p>
      </dgm:t>
    </dgm:pt>
    <dgm:pt modelId="{813FB0DF-50BF-49BC-AE3F-D8569932E5FE}" type="parTrans" cxnId="{3EF8CD3D-B7A7-4D00-80BA-A0E9763C1F9B}">
      <dgm:prSet/>
      <dgm:spPr/>
      <dgm:t>
        <a:bodyPr/>
        <a:lstStyle/>
        <a:p>
          <a:endParaRPr lang="en-US" sz="1000">
            <a:latin typeface="Century Gothic" panose="020B0502020202020204" pitchFamily="34" charset="0"/>
          </a:endParaRPr>
        </a:p>
      </dgm:t>
    </dgm:pt>
    <dgm:pt modelId="{F9535DEC-F731-4707-B578-A3857E1E6877}" type="sibTrans" cxnId="{3EF8CD3D-B7A7-4D00-80BA-A0E9763C1F9B}">
      <dgm:prSet/>
      <dgm:spPr/>
      <dgm:t>
        <a:bodyPr/>
        <a:lstStyle/>
        <a:p>
          <a:endParaRPr lang="en-US" sz="1000">
            <a:latin typeface="Century Gothic" panose="020B0502020202020204" pitchFamily="34" charset="0"/>
          </a:endParaRPr>
        </a:p>
      </dgm:t>
    </dgm:pt>
    <dgm:pt modelId="{C373AE7A-F72B-4BF2-AA73-7B2C0F801841}">
      <dgm:prSet phldrT="[Text]" custT="1"/>
      <dgm:spPr/>
      <dgm:t>
        <a:bodyPr/>
        <a:lstStyle/>
        <a:p>
          <a:r>
            <a:rPr lang="es-ES" sz="1000">
              <a:latin typeface="Century Gothic" panose="020B0502020202020204" pitchFamily="34" charset="0"/>
            </a:rPr>
            <a:t>RE8 Fortalecimiento institucional para el despliegue y funcionamiento territorial articulado del SIVJRNR.</a:t>
          </a:r>
          <a:endParaRPr lang="en-US" sz="1000">
            <a:latin typeface="Century Gothic" panose="020B0502020202020204" pitchFamily="34" charset="0"/>
          </a:endParaRPr>
        </a:p>
      </dgm:t>
    </dgm:pt>
    <dgm:pt modelId="{50A83DC0-C430-4771-A793-5062BD29EE71}" type="parTrans" cxnId="{04D76AB5-A2EC-46E8-995C-FE41605064A4}">
      <dgm:prSet/>
      <dgm:spPr/>
      <dgm:t>
        <a:bodyPr/>
        <a:lstStyle/>
        <a:p>
          <a:endParaRPr lang="en-US" sz="1000">
            <a:latin typeface="Century Gothic" panose="020B0502020202020204" pitchFamily="34" charset="0"/>
          </a:endParaRPr>
        </a:p>
      </dgm:t>
    </dgm:pt>
    <dgm:pt modelId="{91F896D5-9C19-4F5E-B965-A556E6105B2F}" type="sibTrans" cxnId="{04D76AB5-A2EC-46E8-995C-FE41605064A4}">
      <dgm:prSet/>
      <dgm:spPr/>
      <dgm:t>
        <a:bodyPr/>
        <a:lstStyle/>
        <a:p>
          <a:endParaRPr lang="en-US" sz="1000">
            <a:latin typeface="Century Gothic" panose="020B0502020202020204" pitchFamily="34" charset="0"/>
          </a:endParaRPr>
        </a:p>
      </dgm:t>
    </dgm:pt>
    <dgm:pt modelId="{D95EC822-1D69-40EF-96FB-A27AB369488F}" type="pres">
      <dgm:prSet presAssocID="{5C613BC5-5F9B-4C35-AFB9-CB1742CCE57B}" presName="linear" presStyleCnt="0">
        <dgm:presLayoutVars>
          <dgm:animLvl val="lvl"/>
          <dgm:resizeHandles val="exact"/>
        </dgm:presLayoutVars>
      </dgm:prSet>
      <dgm:spPr/>
    </dgm:pt>
    <dgm:pt modelId="{877ED470-501B-41BA-BE59-AC071CDAC432}" type="pres">
      <dgm:prSet presAssocID="{E20BD0A2-A2AD-4866-AA04-5394C8844D7E}" presName="parentText" presStyleLbl="node1" presStyleIdx="0" presStyleCnt="1" custScaleY="54992">
        <dgm:presLayoutVars>
          <dgm:chMax val="0"/>
          <dgm:bulletEnabled val="1"/>
        </dgm:presLayoutVars>
      </dgm:prSet>
      <dgm:spPr/>
    </dgm:pt>
    <dgm:pt modelId="{A6709938-5BFC-4C96-8EF4-433CFB7261BE}" type="pres">
      <dgm:prSet presAssocID="{E20BD0A2-A2AD-4866-AA04-5394C8844D7E}" presName="childText" presStyleLbl="revTx" presStyleIdx="0" presStyleCnt="1" custScaleY="50219">
        <dgm:presLayoutVars>
          <dgm:bulletEnabled val="1"/>
        </dgm:presLayoutVars>
      </dgm:prSet>
      <dgm:spPr/>
    </dgm:pt>
  </dgm:ptLst>
  <dgm:cxnLst>
    <dgm:cxn modelId="{3EF8CD3D-B7A7-4D00-80BA-A0E9763C1F9B}" srcId="{5C613BC5-5F9B-4C35-AFB9-CB1742CCE57B}" destId="{E20BD0A2-A2AD-4866-AA04-5394C8844D7E}" srcOrd="0" destOrd="0" parTransId="{813FB0DF-50BF-49BC-AE3F-D8569932E5FE}" sibTransId="{F9535DEC-F731-4707-B578-A3857E1E6877}"/>
    <dgm:cxn modelId="{68B71C60-5089-4774-B0E9-9CB62D26796C}" type="presOf" srcId="{5C613BC5-5F9B-4C35-AFB9-CB1742CCE57B}" destId="{D95EC822-1D69-40EF-96FB-A27AB369488F}" srcOrd="0" destOrd="0" presId="urn:microsoft.com/office/officeart/2005/8/layout/vList2"/>
    <dgm:cxn modelId="{01DCBF59-2FC3-4B9A-8ADB-84E525ACBA41}" type="presOf" srcId="{C373AE7A-F72B-4BF2-AA73-7B2C0F801841}" destId="{A6709938-5BFC-4C96-8EF4-433CFB7261BE}" srcOrd="0" destOrd="0" presId="urn:microsoft.com/office/officeart/2005/8/layout/vList2"/>
    <dgm:cxn modelId="{04D76AB5-A2EC-46E8-995C-FE41605064A4}" srcId="{E20BD0A2-A2AD-4866-AA04-5394C8844D7E}" destId="{C373AE7A-F72B-4BF2-AA73-7B2C0F801841}" srcOrd="0" destOrd="0" parTransId="{50A83DC0-C430-4771-A793-5062BD29EE71}" sibTransId="{91F896D5-9C19-4F5E-B965-A556E6105B2F}"/>
    <dgm:cxn modelId="{983DF5BA-959A-48ED-ABBB-686D55FBADF6}" type="presOf" srcId="{E20BD0A2-A2AD-4866-AA04-5394C8844D7E}" destId="{877ED470-501B-41BA-BE59-AC071CDAC432}" srcOrd="0" destOrd="0" presId="urn:microsoft.com/office/officeart/2005/8/layout/vList2"/>
    <dgm:cxn modelId="{C47069B0-5AE4-49BD-B5DC-D6718424ED18}" type="presParOf" srcId="{D95EC822-1D69-40EF-96FB-A27AB369488F}" destId="{877ED470-501B-41BA-BE59-AC071CDAC432}" srcOrd="0" destOrd="0" presId="urn:microsoft.com/office/officeart/2005/8/layout/vList2"/>
    <dgm:cxn modelId="{277F1D1A-CD48-4D95-AB54-46FD12E78131}" type="presParOf" srcId="{D95EC822-1D69-40EF-96FB-A27AB369488F}" destId="{A6709938-5BFC-4C96-8EF4-433CFB7261BE}" srcOrd="1"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C3392-5B3D-496A-A451-51D32E28FDE7}">
      <dsp:nvSpPr>
        <dsp:cNvPr id="0" name=""/>
        <dsp:cNvSpPr/>
      </dsp:nvSpPr>
      <dsp:spPr>
        <a:xfrm>
          <a:off x="2080" y="160191"/>
          <a:ext cx="1251100" cy="32704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s-ES" sz="900" kern="1200">
              <a:latin typeface="Century Gothic" panose="020B0502020202020204" pitchFamily="34" charset="0"/>
            </a:rPr>
            <a:t>Verdad</a:t>
          </a:r>
          <a:endParaRPr lang="en-US" sz="900" kern="1200">
            <a:latin typeface="Century Gothic" panose="020B0502020202020204" pitchFamily="34" charset="0"/>
          </a:endParaRPr>
        </a:p>
      </dsp:txBody>
      <dsp:txXfrm>
        <a:off x="2080" y="160191"/>
        <a:ext cx="1251100" cy="327048"/>
      </dsp:txXfrm>
    </dsp:sp>
    <dsp:sp modelId="{51C32B74-E200-4ACC-B616-93A711240A52}">
      <dsp:nvSpPr>
        <dsp:cNvPr id="0" name=""/>
        <dsp:cNvSpPr/>
      </dsp:nvSpPr>
      <dsp:spPr>
        <a:xfrm>
          <a:off x="2080" y="487240"/>
          <a:ext cx="1251100" cy="232226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RE1Derecho a la verdad y memoria histórica; acceso a la justicia y lucha contra la impunidad; </a:t>
          </a:r>
          <a:endParaRPr lang="en-US" sz="900" kern="1200">
            <a:latin typeface="Century Gothic" panose="020B0502020202020204" pitchFamily="34" charset="0"/>
          </a:endParaRPr>
        </a:p>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RE5 Esclarecimiento de la verdad; </a:t>
          </a:r>
          <a:endParaRPr lang="en-US" sz="900" kern="1200">
            <a:latin typeface="Century Gothic" panose="020B0502020202020204" pitchFamily="34" charset="0"/>
          </a:endParaRPr>
        </a:p>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RE6 Dialogo social y gestión de conocimiento para el esclarecimiento de la verdad y promoción de la convivencia y la no repetición.</a:t>
          </a:r>
          <a:endParaRPr lang="en-US" sz="900" kern="1200">
            <a:latin typeface="Century Gothic" panose="020B0502020202020204" pitchFamily="34" charset="0"/>
          </a:endParaRPr>
        </a:p>
      </dsp:txBody>
      <dsp:txXfrm>
        <a:off x="2080" y="487240"/>
        <a:ext cx="1251100" cy="2322269"/>
      </dsp:txXfrm>
    </dsp:sp>
    <dsp:sp modelId="{69E7F271-2559-44B4-A043-65056D270468}">
      <dsp:nvSpPr>
        <dsp:cNvPr id="0" name=""/>
        <dsp:cNvSpPr/>
      </dsp:nvSpPr>
      <dsp:spPr>
        <a:xfrm>
          <a:off x="1428335" y="160191"/>
          <a:ext cx="1251100" cy="32704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rPr>
            <a:t>Justicia</a:t>
          </a:r>
        </a:p>
      </dsp:txBody>
      <dsp:txXfrm>
        <a:off x="1428335" y="160191"/>
        <a:ext cx="1251100" cy="327048"/>
      </dsp:txXfrm>
    </dsp:sp>
    <dsp:sp modelId="{39B91DB5-1D22-41D7-B451-C74072E6400F}">
      <dsp:nvSpPr>
        <dsp:cNvPr id="0" name=""/>
        <dsp:cNvSpPr/>
      </dsp:nvSpPr>
      <dsp:spPr>
        <a:xfrm>
          <a:off x="1428335" y="487240"/>
          <a:ext cx="1251100" cy="232226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RE2	Acceso a la justicia y lucha contra la impunidad</a:t>
          </a:r>
          <a:endParaRPr lang="en-US" sz="900" kern="1200">
            <a:latin typeface="Century Gothic" panose="020B0502020202020204" pitchFamily="34" charset="0"/>
          </a:endParaRPr>
        </a:p>
      </dsp:txBody>
      <dsp:txXfrm>
        <a:off x="1428335" y="487240"/>
        <a:ext cx="1251100" cy="2322269"/>
      </dsp:txXfrm>
    </dsp:sp>
    <dsp:sp modelId="{F8E04D0C-56C7-4DD1-B37E-9FA4B1DD09CB}">
      <dsp:nvSpPr>
        <dsp:cNvPr id="0" name=""/>
        <dsp:cNvSpPr/>
      </dsp:nvSpPr>
      <dsp:spPr>
        <a:xfrm>
          <a:off x="2854589" y="160191"/>
          <a:ext cx="1251100" cy="32704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rPr>
            <a:t>Reparación </a:t>
          </a:r>
        </a:p>
      </dsp:txBody>
      <dsp:txXfrm>
        <a:off x="2854589" y="160191"/>
        <a:ext cx="1251100" cy="327048"/>
      </dsp:txXfrm>
    </dsp:sp>
    <dsp:sp modelId="{54D17ED8-A29E-4139-8273-AE25F39DBBB8}">
      <dsp:nvSpPr>
        <dsp:cNvPr id="0" name=""/>
        <dsp:cNvSpPr/>
      </dsp:nvSpPr>
      <dsp:spPr>
        <a:xfrm>
          <a:off x="2854589" y="487240"/>
          <a:ext cx="1251100" cy="232226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RE3 Reparación integral; </a:t>
          </a:r>
          <a:endParaRPr lang="en-US" sz="900" kern="1200">
            <a:latin typeface="Century Gothic" panose="020B0502020202020204" pitchFamily="34" charset="0"/>
          </a:endParaRPr>
        </a:p>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RE7 Apoyo al fortalecimiento de los procesos de reparación colectiva y de retornos y reubicaciones en territorios PDET.</a:t>
          </a:r>
          <a:endParaRPr lang="en-US" sz="900" kern="1200">
            <a:latin typeface="Century Gothic" panose="020B0502020202020204" pitchFamily="34" charset="0"/>
          </a:endParaRPr>
        </a:p>
      </dsp:txBody>
      <dsp:txXfrm>
        <a:off x="2854589" y="487240"/>
        <a:ext cx="1251100" cy="2322269"/>
      </dsp:txXfrm>
    </dsp:sp>
    <dsp:sp modelId="{6B6F3033-54C4-4378-AE97-4ADEB087ED17}">
      <dsp:nvSpPr>
        <dsp:cNvPr id="0" name=""/>
        <dsp:cNvSpPr/>
      </dsp:nvSpPr>
      <dsp:spPr>
        <a:xfrm>
          <a:off x="4280843" y="160191"/>
          <a:ext cx="1251100" cy="32704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rPr>
            <a:t>Garantías de no repetición</a:t>
          </a:r>
        </a:p>
      </dsp:txBody>
      <dsp:txXfrm>
        <a:off x="4280843" y="160191"/>
        <a:ext cx="1251100" cy="327048"/>
      </dsp:txXfrm>
    </dsp:sp>
    <dsp:sp modelId="{5FDDE630-2046-4FEA-B8A0-C862CCA2454D}">
      <dsp:nvSpPr>
        <dsp:cNvPr id="0" name=""/>
        <dsp:cNvSpPr/>
      </dsp:nvSpPr>
      <dsp:spPr>
        <a:xfrm>
          <a:off x="4280843" y="487240"/>
          <a:ext cx="1251100" cy="232226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 sz="900" kern="1200">
              <a:latin typeface="Century Gothic" panose="020B0502020202020204" pitchFamily="34" charset="0"/>
            </a:rPr>
            <a:t>RE4 Garantías de no repetición y prevención</a:t>
          </a:r>
          <a:endParaRPr lang="en-US" sz="900" kern="1200">
            <a:latin typeface="Century Gothic" panose="020B0502020202020204" pitchFamily="34" charset="0"/>
          </a:endParaRPr>
        </a:p>
      </dsp:txBody>
      <dsp:txXfrm>
        <a:off x="4280843" y="487240"/>
        <a:ext cx="1251100" cy="2322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ED470-501B-41BA-BE59-AC071CDAC432}">
      <dsp:nvSpPr>
        <dsp:cNvPr id="0" name=""/>
        <dsp:cNvSpPr/>
      </dsp:nvSpPr>
      <dsp:spPr>
        <a:xfrm>
          <a:off x="0" y="7720"/>
          <a:ext cx="5486400" cy="4735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CO" sz="1000" kern="1200">
              <a:latin typeface="Century Gothic" panose="020B0502020202020204" pitchFamily="34" charset="0"/>
            </a:rPr>
            <a:t>Sistema de Justicia, Verdad, Reparación y Garantías de no repetición </a:t>
          </a:r>
          <a:endParaRPr lang="en-US" sz="1000" kern="1200">
            <a:latin typeface="Century Gothic" panose="020B0502020202020204" pitchFamily="34" charset="0"/>
          </a:endParaRPr>
        </a:p>
      </dsp:txBody>
      <dsp:txXfrm>
        <a:off x="23117" y="30837"/>
        <a:ext cx="5440166" cy="427313"/>
      </dsp:txXfrm>
    </dsp:sp>
    <dsp:sp modelId="{A6709938-5BFC-4C96-8EF4-433CFB7261BE}">
      <dsp:nvSpPr>
        <dsp:cNvPr id="0" name=""/>
        <dsp:cNvSpPr/>
      </dsp:nvSpPr>
      <dsp:spPr>
        <a:xfrm>
          <a:off x="0" y="481267"/>
          <a:ext cx="5486400" cy="382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s-ES" sz="1000" kern="1200">
              <a:latin typeface="Century Gothic" panose="020B0502020202020204" pitchFamily="34" charset="0"/>
            </a:rPr>
            <a:t>RE8 Fortalecimiento institucional para el despliegue y funcionamiento territorial articulado del SIVJRNR.</a:t>
          </a:r>
          <a:endParaRPr lang="en-US" sz="1000" kern="1200">
            <a:latin typeface="Century Gothic" panose="020B0502020202020204" pitchFamily="34" charset="0"/>
          </a:endParaRPr>
        </a:p>
      </dsp:txBody>
      <dsp:txXfrm>
        <a:off x="0" y="481267"/>
        <a:ext cx="5486400" cy="38254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OMvzpjJUD0aJvjtaf3BPRMKF2kA==">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</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Evaluation report</DocumentType>
    <UploadedBy xmlns="b1528a4b-5ccb-40f7-a09e-43427183cd95">irene.rojas@undp.org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MPTF_00006_00920</ProjectId>
    <FundCode xmlns="f9695bc1-6109-4dcd-a27a-f8a0370b00e2">MPTF_00006</FundCode>
    <Comments xmlns="f9695bc1-6109-4dcd-a27a-f8a0370b00e2">Evaluation report of the all portfolio on Transitional Justice of UNDP, including the PBF support to the CEV. </Comments>
    <Active xmlns="f9695bc1-6109-4dcd-a27a-f8a0370b00e2">Yes</Active>
    <DocumentDate xmlns="b1528a4b-5ccb-40f7-a09e-43427183cd95">2023-12-31T08:00:00+00:00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FABCCA3-E41E-4F2A-BE82-06FD8A5B1662}">
  <ds:schemaRefs>
    <ds:schemaRef ds:uri="http://schemas.openxmlformats.org/officeDocument/2006/bibliography"/>
  </ds:schemaRefs>
</ds:datastoreItem>
</file>

<file path=customXml/itemProps2.xml><?xml version="1.0" encoding="utf-8"?>
<ds:datastoreItem xmlns:ds="http://schemas.openxmlformats.org/officeDocument/2006/customXml" ds:itemID="{CDB04194-DD75-44EC-9AEB-1FC29462FAA1}"/>
</file>

<file path=customXml/itemProps3.xml><?xml version="1.0" encoding="utf-8"?>
<ds:datastoreItem xmlns:ds="http://schemas.openxmlformats.org/officeDocument/2006/customXml" ds:itemID="{F9CD2F83-9F63-4FB2-8123-D01F8C10C8F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DB07C91-7843-4036-BE48-158330A1CB29}">
  <ds:schemaRefs>
    <ds:schemaRef ds:uri="http://schemas.microsoft.com/office/2006/metadata/properties"/>
    <ds:schemaRef ds:uri="http://schemas.microsoft.com/office/infopath/2007/PartnerControls"/>
    <ds:schemaRef ds:uri="5bbe472c-b467-463e-b963-66c0881b33a2"/>
    <ds:schemaRef ds:uri="8315e492-ce1f-45aa-ab83-d0a1d077d827"/>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56</Pages>
  <Words>25511</Words>
  <Characters>140313</Characters>
  <Application>Microsoft Office Word</Application>
  <DocSecurity>0</DocSecurity>
  <Lines>1169</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EVAL PJT PNUD.docx</dc:title>
  <dc:subject/>
  <dc:creator>Microsoft Office User</dc:creator>
  <cp:keywords/>
  <dc:description/>
  <cp:lastModifiedBy>Irene Rojas</cp:lastModifiedBy>
  <cp:revision>5</cp:revision>
  <cp:lastPrinted>2022-07-06T00:12:00Z</cp:lastPrinted>
  <dcterms:created xsi:type="dcterms:W3CDTF">2022-10-27T22:02:00Z</dcterms:created>
  <dcterms:modified xsi:type="dcterms:W3CDTF">2022-12-01T17:11:00Z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