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00F1" w14:textId="1CDBB16F" w:rsidR="00676C12" w:rsidRDefault="00676C12" w:rsidP="00676C12">
      <w:pPr>
        <w:pStyle w:val="Heading1"/>
        <w:ind w:left="432"/>
      </w:pPr>
      <w:bookmarkStart w:id="0" w:name="_Toc211424234"/>
      <w:r>
        <w:t xml:space="preserve">KBF. Project Narrative Report </w:t>
      </w:r>
      <w:bookmarkEnd w:id="0"/>
    </w:p>
    <w:tbl>
      <w:tblPr>
        <w:tblStyle w:val="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6949"/>
      </w:tblGrid>
      <w:tr w:rsidR="0095693E" w14:paraId="2D84D6A5" w14:textId="77777777" w:rsidTr="00BD32D3">
        <w:tc>
          <w:tcPr>
            <w:tcW w:w="3507" w:type="dxa"/>
          </w:tcPr>
          <w:p w14:paraId="2FBA0793" w14:textId="77777777" w:rsidR="0095693E" w:rsidRDefault="0095693E" w:rsidP="0095693E">
            <w:pPr>
              <w:rPr>
                <w:sz w:val="20"/>
                <w:szCs w:val="20"/>
              </w:rPr>
            </w:pPr>
            <w:r>
              <w:rPr>
                <w:sz w:val="20"/>
                <w:szCs w:val="20"/>
              </w:rPr>
              <w:t>Project/programme title</w:t>
            </w:r>
          </w:p>
        </w:tc>
        <w:tc>
          <w:tcPr>
            <w:tcW w:w="6949" w:type="dxa"/>
          </w:tcPr>
          <w:p w14:paraId="0EC16D25" w14:textId="59882091" w:rsidR="0095693E" w:rsidRDefault="0095693E" w:rsidP="0095693E">
            <w:pPr>
              <w:rPr>
                <w:sz w:val="20"/>
                <w:szCs w:val="20"/>
              </w:rPr>
            </w:pPr>
            <w:r w:rsidRPr="00655B92">
              <w:rPr>
                <w:b/>
                <w:bCs/>
                <w:sz w:val="20"/>
                <w:szCs w:val="20"/>
              </w:rPr>
              <w:t>Characterizing Unsustainable Consumption and Production Patterns to Improve Policies to Enhance Biodiversity and Ecosystems Services in Chile</w:t>
            </w:r>
          </w:p>
        </w:tc>
      </w:tr>
      <w:tr w:rsidR="0095693E" w14:paraId="4514B7BE" w14:textId="77777777" w:rsidTr="00BD32D3">
        <w:tc>
          <w:tcPr>
            <w:tcW w:w="3507" w:type="dxa"/>
          </w:tcPr>
          <w:p w14:paraId="5C2B463D" w14:textId="77777777" w:rsidR="0095693E" w:rsidRDefault="0095693E" w:rsidP="0095693E">
            <w:pPr>
              <w:rPr>
                <w:sz w:val="20"/>
                <w:szCs w:val="20"/>
              </w:rPr>
            </w:pPr>
            <w:r>
              <w:rPr>
                <w:sz w:val="20"/>
                <w:szCs w:val="20"/>
              </w:rPr>
              <w:t>MPTFO Project ID</w:t>
            </w:r>
          </w:p>
        </w:tc>
        <w:tc>
          <w:tcPr>
            <w:tcW w:w="6949" w:type="dxa"/>
          </w:tcPr>
          <w:p w14:paraId="03328B40" w14:textId="41DFCB36" w:rsidR="0095693E" w:rsidRDefault="003877F5" w:rsidP="0095693E">
            <w:pPr>
              <w:rPr>
                <w:sz w:val="20"/>
                <w:szCs w:val="20"/>
              </w:rPr>
            </w:pPr>
            <w:r w:rsidRPr="00655B92">
              <w:rPr>
                <w:sz w:val="20"/>
                <w:szCs w:val="20"/>
              </w:rPr>
              <w:t>01004278</w:t>
            </w:r>
          </w:p>
        </w:tc>
      </w:tr>
      <w:tr w:rsidR="0095693E" w14:paraId="5563C3DD" w14:textId="77777777" w:rsidTr="00BD32D3">
        <w:tc>
          <w:tcPr>
            <w:tcW w:w="3507" w:type="dxa"/>
          </w:tcPr>
          <w:p w14:paraId="46D9D548" w14:textId="77777777" w:rsidR="0095693E" w:rsidRDefault="0095693E" w:rsidP="0095693E">
            <w:pPr>
              <w:rPr>
                <w:sz w:val="20"/>
                <w:szCs w:val="20"/>
              </w:rPr>
            </w:pPr>
            <w:r>
              <w:rPr>
                <w:sz w:val="20"/>
                <w:szCs w:val="20"/>
              </w:rPr>
              <w:t xml:space="preserve">Duration </w:t>
            </w:r>
          </w:p>
        </w:tc>
        <w:tc>
          <w:tcPr>
            <w:tcW w:w="6949" w:type="dxa"/>
          </w:tcPr>
          <w:p w14:paraId="2DD81328" w14:textId="78152C64" w:rsidR="0095693E" w:rsidRDefault="0095693E" w:rsidP="0095693E">
            <w:pPr>
              <w:rPr>
                <w:sz w:val="20"/>
                <w:szCs w:val="20"/>
              </w:rPr>
            </w:pPr>
            <w:r>
              <w:rPr>
                <w:sz w:val="20"/>
                <w:szCs w:val="20"/>
              </w:rPr>
              <w:t xml:space="preserve">Start Date:         </w:t>
            </w:r>
            <w:r w:rsidR="00D12996" w:rsidRPr="00655B92">
              <w:rPr>
                <w:sz w:val="20"/>
                <w:szCs w:val="20"/>
              </w:rPr>
              <w:t xml:space="preserve">11-06-2025                   </w:t>
            </w:r>
            <w:r>
              <w:rPr>
                <w:sz w:val="20"/>
                <w:szCs w:val="20"/>
              </w:rPr>
              <w:t xml:space="preserve">              End Date:</w:t>
            </w:r>
            <w:r w:rsidR="009F69C0" w:rsidRPr="00655B92">
              <w:rPr>
                <w:sz w:val="20"/>
                <w:szCs w:val="20"/>
              </w:rPr>
              <w:t xml:space="preserve"> 30-06-2026</w:t>
            </w:r>
          </w:p>
        </w:tc>
      </w:tr>
      <w:tr w:rsidR="0095693E" w14:paraId="63D1FCB2" w14:textId="77777777" w:rsidTr="00BD32D3">
        <w:tc>
          <w:tcPr>
            <w:tcW w:w="3507" w:type="dxa"/>
          </w:tcPr>
          <w:p w14:paraId="6F5DE96C" w14:textId="77777777" w:rsidR="0095693E" w:rsidRDefault="0095693E" w:rsidP="0095693E">
            <w:pPr>
              <w:rPr>
                <w:sz w:val="20"/>
                <w:szCs w:val="20"/>
              </w:rPr>
            </w:pPr>
            <w:r>
              <w:rPr>
                <w:sz w:val="20"/>
                <w:szCs w:val="20"/>
              </w:rPr>
              <w:t xml:space="preserve">Total approved budget </w:t>
            </w:r>
          </w:p>
        </w:tc>
        <w:tc>
          <w:tcPr>
            <w:tcW w:w="6949" w:type="dxa"/>
          </w:tcPr>
          <w:p w14:paraId="00D0C2E8" w14:textId="451A9A53" w:rsidR="0095693E" w:rsidRDefault="004A478F" w:rsidP="004A478F">
            <w:pPr>
              <w:rPr>
                <w:sz w:val="20"/>
                <w:szCs w:val="20"/>
              </w:rPr>
            </w:pPr>
            <w:r w:rsidRPr="00655B92">
              <w:rPr>
                <w:sz w:val="20"/>
                <w:szCs w:val="20"/>
              </w:rPr>
              <w:t>USD 200.000</w:t>
            </w:r>
          </w:p>
        </w:tc>
      </w:tr>
      <w:tr w:rsidR="007A1032" w14:paraId="4A82E7A1" w14:textId="77777777" w:rsidTr="00BD32D3">
        <w:tc>
          <w:tcPr>
            <w:tcW w:w="3507" w:type="dxa"/>
          </w:tcPr>
          <w:p w14:paraId="1DF2AA84" w14:textId="2BCFE37D" w:rsidR="007A1032" w:rsidRDefault="00082C2C" w:rsidP="0095693E">
            <w:pPr>
              <w:rPr>
                <w:sz w:val="20"/>
                <w:szCs w:val="20"/>
              </w:rPr>
            </w:pPr>
            <w:r w:rsidRPr="00082C2C">
              <w:rPr>
                <w:sz w:val="20"/>
                <w:szCs w:val="20"/>
              </w:rPr>
              <w:t>Project Coordinator</w:t>
            </w:r>
          </w:p>
        </w:tc>
        <w:tc>
          <w:tcPr>
            <w:tcW w:w="6949" w:type="dxa"/>
          </w:tcPr>
          <w:p w14:paraId="01844620" w14:textId="252B576A" w:rsidR="007A1032" w:rsidRPr="00655B92" w:rsidRDefault="00082C2C" w:rsidP="004A478F">
            <w:pPr>
              <w:rPr>
                <w:sz w:val="20"/>
                <w:szCs w:val="20"/>
              </w:rPr>
            </w:pPr>
            <w:r>
              <w:rPr>
                <w:sz w:val="20"/>
                <w:szCs w:val="20"/>
              </w:rPr>
              <w:t>Viviana Maturana</w:t>
            </w:r>
          </w:p>
        </w:tc>
      </w:tr>
    </w:tbl>
    <w:p w14:paraId="09D81E46" w14:textId="77777777" w:rsidR="00676C12" w:rsidRDefault="00676C12" w:rsidP="00676C12"/>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230"/>
        <w:gridCol w:w="2169"/>
        <w:gridCol w:w="2442"/>
        <w:gridCol w:w="2116"/>
      </w:tblGrid>
      <w:tr w:rsidR="00676C12" w:rsidRPr="002B01E7" w14:paraId="5AD27BC7" w14:textId="77777777" w:rsidTr="00BD32D3">
        <w:trPr>
          <w:trHeight w:val="192"/>
        </w:trPr>
        <w:tc>
          <w:tcPr>
            <w:tcW w:w="451" w:type="dxa"/>
            <w:shd w:val="clear" w:color="auto" w:fill="D9D9D9"/>
          </w:tcPr>
          <w:p w14:paraId="430E07B2" w14:textId="77777777" w:rsidR="00676C12" w:rsidRPr="002B01E7" w:rsidRDefault="00676C12" w:rsidP="00BD32D3">
            <w:pPr>
              <w:rPr>
                <w:rFonts w:cstheme="minorHAnsi"/>
                <w:b/>
                <w:color w:val="000000" w:themeColor="text1"/>
                <w:sz w:val="20"/>
                <w:szCs w:val="20"/>
              </w:rPr>
            </w:pPr>
          </w:p>
        </w:tc>
        <w:tc>
          <w:tcPr>
            <w:tcW w:w="3230" w:type="dxa"/>
            <w:shd w:val="clear" w:color="auto" w:fill="D9D9D9"/>
          </w:tcPr>
          <w:p w14:paraId="0C4A0E36" w14:textId="77777777" w:rsidR="00676C12" w:rsidRPr="002B01E7" w:rsidRDefault="00676C12" w:rsidP="00BD32D3">
            <w:pPr>
              <w:rPr>
                <w:rFonts w:cstheme="minorHAnsi"/>
                <w:b/>
                <w:color w:val="000000" w:themeColor="text1"/>
                <w:sz w:val="20"/>
                <w:szCs w:val="20"/>
              </w:rPr>
            </w:pPr>
            <w:r>
              <w:rPr>
                <w:rFonts w:cstheme="minorHAnsi"/>
                <w:b/>
                <w:color w:val="000000" w:themeColor="text1"/>
                <w:sz w:val="20"/>
                <w:szCs w:val="20"/>
              </w:rPr>
              <w:t>Participating Organization(s)</w:t>
            </w:r>
            <w:r w:rsidRPr="002B01E7">
              <w:rPr>
                <w:rFonts w:cstheme="minorHAnsi"/>
                <w:b/>
                <w:color w:val="000000" w:themeColor="text1"/>
                <w:sz w:val="20"/>
                <w:szCs w:val="20"/>
              </w:rPr>
              <w:t>:</w:t>
            </w:r>
          </w:p>
        </w:tc>
        <w:tc>
          <w:tcPr>
            <w:tcW w:w="2169" w:type="dxa"/>
            <w:shd w:val="clear" w:color="auto" w:fill="D9D9D9"/>
          </w:tcPr>
          <w:p w14:paraId="100FD93B" w14:textId="77777777" w:rsidR="00676C12" w:rsidRPr="002B01E7" w:rsidRDefault="00676C12" w:rsidP="00BD32D3">
            <w:pPr>
              <w:rPr>
                <w:rFonts w:cstheme="minorHAnsi"/>
                <w:b/>
                <w:color w:val="000000" w:themeColor="text1"/>
                <w:sz w:val="20"/>
                <w:szCs w:val="20"/>
              </w:rPr>
            </w:pPr>
            <w:r w:rsidRPr="002B01E7">
              <w:rPr>
                <w:rFonts w:cstheme="minorHAnsi"/>
                <w:b/>
                <w:color w:val="000000" w:themeColor="text1"/>
                <w:sz w:val="20"/>
                <w:szCs w:val="20"/>
              </w:rPr>
              <w:t>Report approved by:</w:t>
            </w:r>
          </w:p>
        </w:tc>
        <w:tc>
          <w:tcPr>
            <w:tcW w:w="2442" w:type="dxa"/>
            <w:shd w:val="clear" w:color="auto" w:fill="D9D9D9"/>
          </w:tcPr>
          <w:p w14:paraId="4B0D54F8" w14:textId="77777777" w:rsidR="00676C12" w:rsidRPr="002B01E7" w:rsidRDefault="00676C12" w:rsidP="00BD32D3">
            <w:pPr>
              <w:rPr>
                <w:rFonts w:cstheme="minorHAnsi"/>
                <w:b/>
                <w:color w:val="000000" w:themeColor="text1"/>
                <w:sz w:val="20"/>
                <w:szCs w:val="20"/>
              </w:rPr>
            </w:pPr>
            <w:r w:rsidRPr="002B01E7">
              <w:rPr>
                <w:rFonts w:cstheme="minorHAnsi"/>
                <w:b/>
                <w:color w:val="000000" w:themeColor="text1"/>
                <w:sz w:val="20"/>
                <w:szCs w:val="20"/>
              </w:rPr>
              <w:t>Position/Title</w:t>
            </w:r>
          </w:p>
        </w:tc>
        <w:tc>
          <w:tcPr>
            <w:tcW w:w="2116" w:type="dxa"/>
            <w:shd w:val="clear" w:color="auto" w:fill="D9D9D9"/>
          </w:tcPr>
          <w:p w14:paraId="59819232" w14:textId="77777777" w:rsidR="00676C12" w:rsidRPr="002B01E7" w:rsidRDefault="00676C12" w:rsidP="00BD32D3">
            <w:pPr>
              <w:rPr>
                <w:rFonts w:cstheme="minorHAnsi"/>
                <w:b/>
                <w:color w:val="000000" w:themeColor="text1"/>
                <w:sz w:val="20"/>
                <w:szCs w:val="20"/>
              </w:rPr>
            </w:pPr>
            <w:r w:rsidRPr="002B01E7">
              <w:rPr>
                <w:rFonts w:cstheme="minorHAnsi"/>
                <w:b/>
                <w:color w:val="000000" w:themeColor="text1"/>
                <w:sz w:val="20"/>
                <w:szCs w:val="20"/>
              </w:rPr>
              <w:t>Signature</w:t>
            </w:r>
          </w:p>
        </w:tc>
      </w:tr>
      <w:tr w:rsidR="00676C12" w:rsidRPr="002B01E7" w14:paraId="14669F7B" w14:textId="77777777" w:rsidTr="00BD32D3">
        <w:trPr>
          <w:trHeight w:val="66"/>
        </w:trPr>
        <w:tc>
          <w:tcPr>
            <w:tcW w:w="451" w:type="dxa"/>
          </w:tcPr>
          <w:p w14:paraId="57E3658C" w14:textId="77777777" w:rsidR="00676C12" w:rsidRPr="002B01E7" w:rsidRDefault="00676C12" w:rsidP="00BD32D3">
            <w:pPr>
              <w:rPr>
                <w:rFonts w:cstheme="minorHAnsi"/>
                <w:b/>
                <w:color w:val="000000" w:themeColor="text1"/>
                <w:sz w:val="20"/>
                <w:szCs w:val="20"/>
              </w:rPr>
            </w:pPr>
            <w:r w:rsidRPr="002B01E7">
              <w:rPr>
                <w:rFonts w:cstheme="minorHAnsi"/>
                <w:b/>
                <w:color w:val="000000" w:themeColor="text1"/>
                <w:sz w:val="20"/>
                <w:szCs w:val="20"/>
              </w:rPr>
              <w:t>1.</w:t>
            </w:r>
          </w:p>
        </w:tc>
        <w:tc>
          <w:tcPr>
            <w:tcW w:w="3230" w:type="dxa"/>
          </w:tcPr>
          <w:p w14:paraId="49BB870C" w14:textId="1F9F4438" w:rsidR="00676C12" w:rsidRPr="002B01E7" w:rsidRDefault="00493766" w:rsidP="00BD32D3">
            <w:pPr>
              <w:rPr>
                <w:rFonts w:cstheme="minorHAnsi"/>
                <w:bCs/>
                <w:color w:val="000000" w:themeColor="text1"/>
                <w:sz w:val="20"/>
                <w:szCs w:val="20"/>
              </w:rPr>
            </w:pPr>
            <w:r w:rsidRPr="00655B92">
              <w:rPr>
                <w:rFonts w:cstheme="minorHAnsi"/>
                <w:bCs/>
                <w:color w:val="000000" w:themeColor="text1"/>
                <w:sz w:val="20"/>
                <w:szCs w:val="20"/>
              </w:rPr>
              <w:t>United Nations Development Programme  [UNDP]</w:t>
            </w:r>
          </w:p>
        </w:tc>
        <w:tc>
          <w:tcPr>
            <w:tcW w:w="2169" w:type="dxa"/>
          </w:tcPr>
          <w:p w14:paraId="3A38B35F" w14:textId="77777777" w:rsidR="00676C12" w:rsidRPr="002B01E7" w:rsidRDefault="00676C12" w:rsidP="00BD32D3">
            <w:pPr>
              <w:rPr>
                <w:rFonts w:cstheme="minorHAnsi"/>
                <w:color w:val="000000" w:themeColor="text1"/>
                <w:sz w:val="20"/>
                <w:szCs w:val="20"/>
              </w:rPr>
            </w:pPr>
          </w:p>
        </w:tc>
        <w:tc>
          <w:tcPr>
            <w:tcW w:w="2442" w:type="dxa"/>
          </w:tcPr>
          <w:p w14:paraId="2C461F73" w14:textId="77777777" w:rsidR="00676C12" w:rsidRPr="002B01E7" w:rsidRDefault="00676C12" w:rsidP="00BD32D3">
            <w:pPr>
              <w:rPr>
                <w:rFonts w:cstheme="minorHAnsi"/>
                <w:color w:val="000000" w:themeColor="text1"/>
                <w:sz w:val="20"/>
                <w:szCs w:val="20"/>
              </w:rPr>
            </w:pPr>
          </w:p>
        </w:tc>
        <w:tc>
          <w:tcPr>
            <w:tcW w:w="2116" w:type="dxa"/>
          </w:tcPr>
          <w:p w14:paraId="193153C0" w14:textId="77777777" w:rsidR="00676C12" w:rsidRPr="002B01E7" w:rsidRDefault="00676C12" w:rsidP="00BD32D3">
            <w:pPr>
              <w:rPr>
                <w:rFonts w:cstheme="minorHAnsi"/>
                <w:color w:val="000000" w:themeColor="text1"/>
                <w:sz w:val="20"/>
                <w:szCs w:val="20"/>
              </w:rPr>
            </w:pPr>
          </w:p>
        </w:tc>
      </w:tr>
      <w:tr w:rsidR="00676C12" w:rsidRPr="002B01E7" w14:paraId="0FE72026" w14:textId="77777777" w:rsidTr="00BD32D3">
        <w:trPr>
          <w:trHeight w:val="132"/>
        </w:trPr>
        <w:tc>
          <w:tcPr>
            <w:tcW w:w="451" w:type="dxa"/>
          </w:tcPr>
          <w:p w14:paraId="4000E409" w14:textId="77777777" w:rsidR="00676C12" w:rsidRPr="002B01E7" w:rsidRDefault="00676C12" w:rsidP="00BD32D3">
            <w:pPr>
              <w:rPr>
                <w:rFonts w:cstheme="minorHAnsi"/>
                <w:b/>
                <w:color w:val="000000" w:themeColor="text1"/>
                <w:sz w:val="20"/>
                <w:szCs w:val="20"/>
              </w:rPr>
            </w:pPr>
            <w:r w:rsidRPr="002B01E7">
              <w:rPr>
                <w:rFonts w:cstheme="minorHAnsi"/>
                <w:b/>
                <w:color w:val="000000" w:themeColor="text1"/>
                <w:sz w:val="20"/>
                <w:szCs w:val="20"/>
              </w:rPr>
              <w:t>2.</w:t>
            </w:r>
          </w:p>
        </w:tc>
        <w:tc>
          <w:tcPr>
            <w:tcW w:w="3230" w:type="dxa"/>
          </w:tcPr>
          <w:p w14:paraId="7D390981" w14:textId="1C4FD7E0" w:rsidR="00676C12" w:rsidRPr="002B01E7" w:rsidRDefault="00162D92" w:rsidP="00BD32D3">
            <w:pPr>
              <w:rPr>
                <w:rFonts w:cstheme="minorHAnsi"/>
                <w:bCs/>
                <w:color w:val="000000" w:themeColor="text1"/>
                <w:sz w:val="20"/>
                <w:szCs w:val="20"/>
              </w:rPr>
            </w:pPr>
            <w:r w:rsidRPr="00655B92">
              <w:rPr>
                <w:rFonts w:cstheme="minorHAnsi"/>
                <w:bCs/>
                <w:color w:val="000000" w:themeColor="text1"/>
                <w:sz w:val="20"/>
                <w:szCs w:val="20"/>
              </w:rPr>
              <w:t>Ministry of Environment of Chile</w:t>
            </w:r>
          </w:p>
        </w:tc>
        <w:tc>
          <w:tcPr>
            <w:tcW w:w="2169" w:type="dxa"/>
          </w:tcPr>
          <w:p w14:paraId="102E8AB5" w14:textId="77777777" w:rsidR="00676C12" w:rsidRPr="002B01E7" w:rsidRDefault="00676C12" w:rsidP="00BD32D3">
            <w:pPr>
              <w:rPr>
                <w:rFonts w:cstheme="minorHAnsi"/>
                <w:color w:val="000000" w:themeColor="text1"/>
                <w:sz w:val="20"/>
                <w:szCs w:val="20"/>
              </w:rPr>
            </w:pPr>
          </w:p>
        </w:tc>
        <w:tc>
          <w:tcPr>
            <w:tcW w:w="2442" w:type="dxa"/>
          </w:tcPr>
          <w:p w14:paraId="648C0A82" w14:textId="77777777" w:rsidR="00676C12" w:rsidRPr="002B01E7" w:rsidRDefault="00676C12" w:rsidP="00BD32D3">
            <w:pPr>
              <w:rPr>
                <w:rFonts w:cstheme="minorHAnsi"/>
                <w:color w:val="000000" w:themeColor="text1"/>
                <w:sz w:val="20"/>
                <w:szCs w:val="20"/>
              </w:rPr>
            </w:pPr>
          </w:p>
        </w:tc>
        <w:tc>
          <w:tcPr>
            <w:tcW w:w="2116" w:type="dxa"/>
          </w:tcPr>
          <w:p w14:paraId="6B7C0560" w14:textId="77777777" w:rsidR="00676C12" w:rsidRPr="002B01E7" w:rsidRDefault="00676C12" w:rsidP="00BD32D3">
            <w:pPr>
              <w:rPr>
                <w:rFonts w:cstheme="minorHAnsi"/>
                <w:color w:val="000000" w:themeColor="text1"/>
                <w:sz w:val="20"/>
                <w:szCs w:val="20"/>
              </w:rPr>
            </w:pPr>
          </w:p>
        </w:tc>
      </w:tr>
      <w:tr w:rsidR="00676C12" w:rsidRPr="002B01E7" w14:paraId="76F1F804" w14:textId="77777777" w:rsidTr="00BD32D3">
        <w:trPr>
          <w:trHeight w:val="63"/>
        </w:trPr>
        <w:tc>
          <w:tcPr>
            <w:tcW w:w="451" w:type="dxa"/>
          </w:tcPr>
          <w:p w14:paraId="30C9176A" w14:textId="77777777" w:rsidR="00676C12" w:rsidRPr="002B01E7" w:rsidRDefault="00676C12" w:rsidP="00BD32D3">
            <w:pPr>
              <w:rPr>
                <w:rFonts w:cstheme="minorHAnsi"/>
                <w:b/>
                <w:color w:val="000000" w:themeColor="text1"/>
                <w:sz w:val="20"/>
                <w:szCs w:val="20"/>
              </w:rPr>
            </w:pPr>
            <w:r w:rsidRPr="002B01E7">
              <w:rPr>
                <w:rFonts w:cstheme="minorHAnsi"/>
                <w:b/>
                <w:color w:val="000000" w:themeColor="text1"/>
                <w:sz w:val="20"/>
                <w:szCs w:val="20"/>
              </w:rPr>
              <w:t>3.</w:t>
            </w:r>
          </w:p>
        </w:tc>
        <w:tc>
          <w:tcPr>
            <w:tcW w:w="3230" w:type="dxa"/>
          </w:tcPr>
          <w:p w14:paraId="2D940D88" w14:textId="77777777" w:rsidR="00676C12" w:rsidRPr="002B01E7" w:rsidRDefault="00676C12" w:rsidP="00BD32D3">
            <w:pPr>
              <w:rPr>
                <w:rFonts w:cstheme="minorHAnsi"/>
                <w:bCs/>
                <w:color w:val="000000" w:themeColor="text1"/>
                <w:sz w:val="20"/>
                <w:szCs w:val="20"/>
              </w:rPr>
            </w:pPr>
            <w:r w:rsidRPr="002B01E7">
              <w:rPr>
                <w:rFonts w:cstheme="minorHAnsi"/>
                <w:bCs/>
                <w:color w:val="000000" w:themeColor="text1"/>
                <w:sz w:val="20"/>
                <w:szCs w:val="20"/>
              </w:rPr>
              <w:t>Agency Z</w:t>
            </w:r>
          </w:p>
        </w:tc>
        <w:tc>
          <w:tcPr>
            <w:tcW w:w="2169" w:type="dxa"/>
          </w:tcPr>
          <w:p w14:paraId="23D7F3F3" w14:textId="77777777" w:rsidR="00676C12" w:rsidRPr="002B01E7" w:rsidRDefault="00676C12" w:rsidP="00BD32D3">
            <w:pPr>
              <w:rPr>
                <w:rFonts w:cstheme="minorHAnsi"/>
                <w:color w:val="000000" w:themeColor="text1"/>
                <w:sz w:val="20"/>
                <w:szCs w:val="20"/>
              </w:rPr>
            </w:pPr>
          </w:p>
        </w:tc>
        <w:tc>
          <w:tcPr>
            <w:tcW w:w="2442" w:type="dxa"/>
          </w:tcPr>
          <w:p w14:paraId="2EB66714" w14:textId="77777777" w:rsidR="00676C12" w:rsidRPr="002B01E7" w:rsidRDefault="00676C12" w:rsidP="00BD32D3">
            <w:pPr>
              <w:rPr>
                <w:rFonts w:cstheme="minorHAnsi"/>
                <w:color w:val="000000" w:themeColor="text1"/>
                <w:sz w:val="20"/>
                <w:szCs w:val="20"/>
              </w:rPr>
            </w:pPr>
          </w:p>
        </w:tc>
        <w:tc>
          <w:tcPr>
            <w:tcW w:w="2116" w:type="dxa"/>
          </w:tcPr>
          <w:p w14:paraId="269D2DC7" w14:textId="77777777" w:rsidR="00676C12" w:rsidRPr="002B01E7" w:rsidRDefault="00676C12" w:rsidP="00BD32D3">
            <w:pPr>
              <w:rPr>
                <w:rFonts w:cstheme="minorHAnsi"/>
                <w:color w:val="000000" w:themeColor="text1"/>
                <w:sz w:val="20"/>
                <w:szCs w:val="20"/>
              </w:rPr>
            </w:pPr>
          </w:p>
        </w:tc>
      </w:tr>
    </w:tbl>
    <w:p w14:paraId="3BC4B1A8" w14:textId="77777777" w:rsidR="00676C12" w:rsidRDefault="00676C12" w:rsidP="00676C12"/>
    <w:p w14:paraId="03E04BC8" w14:textId="77777777" w:rsidR="00676C12" w:rsidRDefault="00676C12" w:rsidP="00676C12">
      <w:pPr>
        <w:rPr>
          <w:b/>
          <w:bCs/>
        </w:rPr>
      </w:pPr>
      <w:r w:rsidRPr="00AF4544">
        <w:rPr>
          <w:b/>
          <w:bCs/>
        </w:rPr>
        <w:t xml:space="preserve">Progress update by </w:t>
      </w:r>
      <w:r>
        <w:rPr>
          <w:b/>
          <w:bCs/>
        </w:rPr>
        <w:t>outcome</w:t>
      </w:r>
    </w:p>
    <w:p w14:paraId="4EC7F1A6" w14:textId="77777777" w:rsidR="00676C12" w:rsidRDefault="00676C12" w:rsidP="00676C12"/>
    <w:tbl>
      <w:tblPr>
        <w:tblStyle w:val="TableGrid"/>
        <w:tblW w:w="0" w:type="auto"/>
        <w:tblLook w:val="04A0" w:firstRow="1" w:lastRow="0" w:firstColumn="1" w:lastColumn="0" w:noHBand="0" w:noVBand="1"/>
      </w:tblPr>
      <w:tblGrid>
        <w:gridCol w:w="10456"/>
      </w:tblGrid>
      <w:tr w:rsidR="00676C12" w:rsidRPr="00AF4544" w14:paraId="5BB0410E" w14:textId="77777777" w:rsidTr="4820FEC8">
        <w:tc>
          <w:tcPr>
            <w:tcW w:w="10457" w:type="dxa"/>
            <w:shd w:val="clear" w:color="auto" w:fill="7F7F7F" w:themeFill="text1" w:themeFillTint="80"/>
          </w:tcPr>
          <w:p w14:paraId="678E5DC5" w14:textId="446BBDC1" w:rsidR="00676C12" w:rsidRPr="00AF4544" w:rsidRDefault="00676C12" w:rsidP="00BD32D3">
            <w:pPr>
              <w:rPr>
                <w:color w:val="FFFFFF" w:themeColor="background1"/>
              </w:rPr>
            </w:pPr>
            <w:r>
              <w:rPr>
                <w:color w:val="FFFFFF" w:themeColor="background1"/>
              </w:rPr>
              <w:t>Outcome</w:t>
            </w:r>
            <w:r w:rsidRPr="00AF4544">
              <w:rPr>
                <w:color w:val="FFFFFF" w:themeColor="background1"/>
              </w:rPr>
              <w:t xml:space="preserve"> 1: </w:t>
            </w:r>
            <w:r w:rsidR="0005736F" w:rsidRPr="0005736F">
              <w:rPr>
                <w:color w:val="FFFFFF" w:themeColor="background1"/>
              </w:rPr>
              <w:t>Strategy for gathering information and raising awareness about responsible production and consumption guidelines</w:t>
            </w:r>
          </w:p>
        </w:tc>
      </w:tr>
      <w:tr w:rsidR="00676C12" w14:paraId="611BEC00" w14:textId="77777777" w:rsidTr="4820FEC8">
        <w:tc>
          <w:tcPr>
            <w:tcW w:w="10457" w:type="dxa"/>
          </w:tcPr>
          <w:p w14:paraId="13BCA4E8" w14:textId="77777777" w:rsidR="00676C12" w:rsidRPr="00AF4544" w:rsidRDefault="00676C12" w:rsidP="00E3493F">
            <w:pPr>
              <w:jc w:val="both"/>
              <w:rPr>
                <w:b/>
                <w:bCs/>
              </w:rPr>
            </w:pPr>
            <w:r w:rsidRPr="00AF4544">
              <w:rPr>
                <w:b/>
                <w:bCs/>
              </w:rPr>
              <w:t>Key achievements:</w:t>
            </w:r>
          </w:p>
          <w:p w14:paraId="5601F4ED" w14:textId="34CC266E" w:rsidR="00722AF5" w:rsidRDefault="2256F000" w:rsidP="4820FEC8">
            <w:pPr>
              <w:jc w:val="both"/>
            </w:pPr>
            <w:r>
              <w:t xml:space="preserve">During 2025, two main achievements were accomplished. </w:t>
            </w:r>
            <w:r w:rsidR="6A8222C2">
              <w:t>The first one relate</w:t>
            </w:r>
            <w:r w:rsidR="61807171">
              <w:t>s</w:t>
            </w:r>
            <w:r w:rsidR="6A8222C2">
              <w:t xml:space="preserve"> to </w:t>
            </w:r>
            <w:r>
              <w:t xml:space="preserve">the </w:t>
            </w:r>
            <w:r w:rsidRPr="4820FEC8">
              <w:rPr>
                <w:b/>
                <w:bCs/>
              </w:rPr>
              <w:t>information</w:t>
            </w:r>
            <w:r w:rsidRPr="4820FEC8">
              <w:rPr>
                <w:rFonts w:ascii="Cambria Math" w:hAnsi="Cambria Math" w:cs="Cambria Math"/>
                <w:b/>
                <w:bCs/>
              </w:rPr>
              <w:t>‑</w:t>
            </w:r>
            <w:r w:rsidRPr="4820FEC8">
              <w:rPr>
                <w:b/>
                <w:bCs/>
              </w:rPr>
              <w:t xml:space="preserve">gathering process </w:t>
            </w:r>
            <w:r>
              <w:t xml:space="preserve">in which a traceable methodological foundation was developed to </w:t>
            </w:r>
            <w:r w:rsidR="66608D83">
              <w:t>connect</w:t>
            </w:r>
            <w:r>
              <w:t xml:space="preserve"> productive activities and consumption patterns with pressures on biodiversity and ecosystem services. </w:t>
            </w:r>
            <w:r w:rsidR="1F73DDF7">
              <w:t>And the second</w:t>
            </w:r>
            <w:r w:rsidR="77E4D66B">
              <w:t xml:space="preserve"> </w:t>
            </w:r>
            <w:r>
              <w:t xml:space="preserve">achievement concerns </w:t>
            </w:r>
            <w:r w:rsidRPr="4820FEC8">
              <w:rPr>
                <w:b/>
                <w:bCs/>
              </w:rPr>
              <w:t>awareness</w:t>
            </w:r>
            <w:r w:rsidRPr="4820FEC8">
              <w:rPr>
                <w:rFonts w:ascii="Cambria Math" w:hAnsi="Cambria Math" w:cs="Cambria Math"/>
                <w:b/>
                <w:bCs/>
              </w:rPr>
              <w:t>‑</w:t>
            </w:r>
            <w:r w:rsidRPr="4820FEC8">
              <w:rPr>
                <w:b/>
                <w:bCs/>
              </w:rPr>
              <w:t>raising</w:t>
            </w:r>
            <w:r w:rsidR="788ABF22">
              <w:t xml:space="preserve"> </w:t>
            </w:r>
            <w:r>
              <w:t>through the development of participation and public</w:t>
            </w:r>
            <w:r w:rsidRPr="4820FEC8">
              <w:rPr>
                <w:rFonts w:ascii="Cambria Math" w:hAnsi="Cambria Math" w:cs="Cambria Math"/>
              </w:rPr>
              <w:t>‑</w:t>
            </w:r>
            <w:r>
              <w:t xml:space="preserve">communication mechanisms aimed at </w:t>
            </w:r>
            <w:r w:rsidR="0800045D">
              <w:t xml:space="preserve">establishing </w:t>
            </w:r>
            <w:r>
              <w:t xml:space="preserve">the relationship between production and consumption patterns and biodiversity pressures </w:t>
            </w:r>
            <w:r w:rsidR="258EB88B">
              <w:t>by providing information that is understandable, accessible and actionable</w:t>
            </w:r>
            <w:r>
              <w:t>.</w:t>
            </w:r>
          </w:p>
          <w:p w14:paraId="6119E802" w14:textId="77777777" w:rsidR="00722AF5" w:rsidRDefault="00722AF5" w:rsidP="00722AF5">
            <w:pPr>
              <w:jc w:val="both"/>
            </w:pPr>
          </w:p>
          <w:p w14:paraId="241E1BB7" w14:textId="316DFD5E" w:rsidR="00722AF5" w:rsidRDefault="00722AF5" w:rsidP="00722AF5">
            <w:pPr>
              <w:jc w:val="both"/>
            </w:pPr>
            <w:r>
              <w:t>The information</w:t>
            </w:r>
            <w:r w:rsidRPr="4820FEC8">
              <w:rPr>
                <w:rFonts w:ascii="Cambria Math" w:hAnsi="Cambria Math" w:cs="Cambria Math"/>
              </w:rPr>
              <w:t>‑</w:t>
            </w:r>
            <w:r>
              <w:t xml:space="preserve">gathering process was strengthened through a cause–effect approach aligned with the IPBES framework, </w:t>
            </w:r>
            <w:r w:rsidR="7259C747">
              <w:t>by elaborating a</w:t>
            </w:r>
            <w:r>
              <w:t xml:space="preserve"> diagnos</w:t>
            </w:r>
            <w:r w:rsidR="0361A8D0">
              <w:t>is</w:t>
            </w:r>
            <w:r>
              <w:t xml:space="preserve"> </w:t>
            </w:r>
            <w:r w:rsidR="22E2088B">
              <w:t>that considers</w:t>
            </w:r>
            <w:r>
              <w:t xml:space="preserve"> five direct drivers—land and sea</w:t>
            </w:r>
            <w:r w:rsidRPr="4820FEC8">
              <w:rPr>
                <w:rFonts w:ascii="Cambria Math" w:hAnsi="Cambria Math" w:cs="Cambria Math"/>
              </w:rPr>
              <w:t>‑</w:t>
            </w:r>
            <w:r>
              <w:t>use change, direct overexploitation of resources, pollution, climate change, and invasive alien species. This approach enabled</w:t>
            </w:r>
            <w:r w:rsidR="4A2E70FD">
              <w:t xml:space="preserve"> a</w:t>
            </w:r>
            <w:r>
              <w:t xml:space="preserve"> methodological differentiation of pressures, state, and impacts, </w:t>
            </w:r>
            <w:r w:rsidR="59A0BBF4">
              <w:t>which</w:t>
            </w:r>
            <w:r>
              <w:t xml:space="preserve"> </w:t>
            </w:r>
            <w:r w:rsidR="37B58744">
              <w:t>facilitate</w:t>
            </w:r>
            <w:r w:rsidR="704623E7">
              <w:t>d</w:t>
            </w:r>
            <w:r w:rsidR="37B58744">
              <w:t xml:space="preserve"> a</w:t>
            </w:r>
            <w:r>
              <w:t xml:space="preserve"> prioritization of </w:t>
            </w:r>
            <w:r w:rsidR="2DBF7A91">
              <w:t>actions and measures</w:t>
            </w:r>
            <w:r>
              <w:t xml:space="preserve">, in accordance with the Driver–Pressure–State–Impact–Response (DPSIR) framework as presented by Ness et al. (2010). </w:t>
            </w:r>
            <w:r w:rsidR="4AB107FF">
              <w:t>Therefore</w:t>
            </w:r>
            <w:r>
              <w:t xml:space="preserve">, progress was made on a multicriteria prioritization of productive sectors using the 18 productive groupings classified by the Central Bank of Chile, harmonized with international classifications to strengthen methodological consistency and analytical comparability. </w:t>
            </w:r>
            <w:r w:rsidR="426F930F">
              <w:t>This p</w:t>
            </w:r>
            <w:r>
              <w:t>rioritization identified a set of sectors with greater potential pressure</w:t>
            </w:r>
            <w:r w:rsidR="72CD13EF">
              <w:t xml:space="preserve"> on biodiversity</w:t>
            </w:r>
            <w:r>
              <w:t>. In parallel, a specific methodology was developed to prioritize drivers by sector using weighted criteria, providing an auditable and replicable framework. A key result was the formulation of indicator proposals under</w:t>
            </w:r>
            <w:r w:rsidR="1D73BBC7">
              <w:t xml:space="preserve"> the</w:t>
            </w:r>
            <w:r>
              <w:t xml:space="preserve"> SMART criteria, accompanied by technical sheets (definition, calculation method, periodicity, and sources), which </w:t>
            </w:r>
            <w:r w:rsidR="2BBCF2AE">
              <w:t>allowed this diagnosis to be used as</w:t>
            </w:r>
            <w:r>
              <w:t xml:space="preserve"> an initial public</w:t>
            </w:r>
            <w:r w:rsidRPr="4820FEC8">
              <w:rPr>
                <w:rFonts w:ascii="Cambria Math" w:hAnsi="Cambria Math" w:cs="Cambria Math"/>
              </w:rPr>
              <w:t>‑</w:t>
            </w:r>
            <w:r>
              <w:t>management tool for monitoring.</w:t>
            </w:r>
          </w:p>
          <w:p w14:paraId="537ED3CC" w14:textId="77777777" w:rsidR="007D048E" w:rsidRDefault="007D048E" w:rsidP="00722AF5">
            <w:pPr>
              <w:jc w:val="both"/>
            </w:pPr>
          </w:p>
          <w:p w14:paraId="3219F95F" w14:textId="539ECFF1" w:rsidR="00722AF5" w:rsidRDefault="007D048E" w:rsidP="00722AF5">
            <w:pPr>
              <w:jc w:val="both"/>
            </w:pPr>
            <w:r>
              <w:t>On</w:t>
            </w:r>
            <w:r w:rsidR="00722AF5">
              <w:t xml:space="preserve"> consumption</w:t>
            </w:r>
            <w:r w:rsidR="00722AF5" w:rsidRPr="4820FEC8">
              <w:rPr>
                <w:b/>
                <w:bCs/>
              </w:rPr>
              <w:t>,</w:t>
            </w:r>
            <w:r w:rsidR="00722AF5">
              <w:t xml:space="preserve"> the project </w:t>
            </w:r>
            <w:r w:rsidR="228FDC7E">
              <w:t>developed an</w:t>
            </w:r>
            <w:r w:rsidR="00722AF5">
              <w:t xml:space="preserve"> analysis through a provisioning</w:t>
            </w:r>
            <w:r w:rsidR="00722AF5" w:rsidRPr="4820FEC8">
              <w:rPr>
                <w:rFonts w:ascii="Cambria Math" w:hAnsi="Cambria Math" w:cs="Cambria Math"/>
              </w:rPr>
              <w:t>‑</w:t>
            </w:r>
            <w:r w:rsidR="00722AF5">
              <w:t>system framework using the Chilean Classification of Individual Consumption by Purpose (CCIF</w:t>
            </w:r>
            <w:r w:rsidR="780CDA90">
              <w:t>) and produced</w:t>
            </w:r>
            <w:r w:rsidR="00722AF5">
              <w:t xml:space="preserve"> a matrix that links consumption categories with impact pathways (IPBES) organized under </w:t>
            </w:r>
            <w:r w:rsidR="6FACFB35">
              <w:t xml:space="preserve">the </w:t>
            </w:r>
            <w:r w:rsidR="00722AF5">
              <w:t xml:space="preserve">DPSIR. This matrix </w:t>
            </w:r>
            <w:r w:rsidR="7E7AD55B">
              <w:t>describes</w:t>
            </w:r>
            <w:r w:rsidR="00722AF5">
              <w:t xml:space="preserve"> the upstream nature of many impacts and identifies concrete intervention points (standards, traceability, circularity, public procurement, and consumer information). It also guides the prioritization of categories with higher potential incidence (e.g., food, housing/energy, transport, and institutional consumption).</w:t>
            </w:r>
          </w:p>
          <w:p w14:paraId="64939410" w14:textId="77777777" w:rsidR="007D048E" w:rsidRDefault="007D048E" w:rsidP="00722AF5">
            <w:pPr>
              <w:jc w:val="both"/>
            </w:pPr>
          </w:p>
          <w:p w14:paraId="29808CB3" w14:textId="3DFF2683" w:rsidR="00722AF5" w:rsidRDefault="00722AF5" w:rsidP="4820FEC8">
            <w:pPr>
              <w:jc w:val="both"/>
            </w:pPr>
            <w:r>
              <w:t>Complementary to the information</w:t>
            </w:r>
            <w:r w:rsidRPr="4820FEC8">
              <w:rPr>
                <w:rFonts w:ascii="Cambria Math" w:hAnsi="Cambria Math" w:cs="Cambria Math"/>
              </w:rPr>
              <w:t>‑</w:t>
            </w:r>
            <w:r>
              <w:t xml:space="preserve">gathering process, a workshop titled “Connecting consumption patterns and their effects on biodiversity: Identification of gaps and opportunities for articulation with economic instruments for conservation” </w:t>
            </w:r>
            <w:r w:rsidR="3F32F71E">
              <w:t>took place</w:t>
            </w:r>
            <w:r>
              <w:t xml:space="preserve"> on </w:t>
            </w:r>
            <w:r w:rsidR="1C2173BC">
              <w:t xml:space="preserve">the </w:t>
            </w:r>
            <w:r>
              <w:t>5</w:t>
            </w:r>
            <w:r w:rsidR="0B118E9D" w:rsidRPr="4820FEC8">
              <w:rPr>
                <w:vertAlign w:val="superscript"/>
              </w:rPr>
              <w:t>th</w:t>
            </w:r>
            <w:r>
              <w:t xml:space="preserve"> </w:t>
            </w:r>
            <w:r w:rsidR="0F480B19">
              <w:t>of November</w:t>
            </w:r>
            <w:r>
              <w:t xml:space="preserve"> 2025, with 34 participants from the public and private sectors (21 women and 13 men). This participatory process was conducted </w:t>
            </w:r>
            <w:r w:rsidR="1083FF93">
              <w:t xml:space="preserve">with public and private institutions </w:t>
            </w:r>
            <w:r>
              <w:t>through</w:t>
            </w:r>
            <w:r w:rsidR="407D530D">
              <w:t xml:space="preserve"> a</w:t>
            </w:r>
            <w:r>
              <w:t xml:space="preserve"> qualitative data </w:t>
            </w:r>
            <w:r w:rsidR="5AF786A9">
              <w:t>collection,</w:t>
            </w:r>
            <w:r>
              <w:t xml:space="preserve"> applying the DPSIR methodology for analysis, with defined roles, generative questions, and structured recording/systems. The workshop enabled the validation of </w:t>
            </w:r>
            <w:r>
              <w:lastRenderedPageBreak/>
              <w:t>findings, identification of information gaps and intersectoral coordination needs, and recognition of cross</w:t>
            </w:r>
            <w:r w:rsidRPr="4820FEC8">
              <w:rPr>
                <w:rFonts w:ascii="Cambria Math" w:hAnsi="Cambria Math" w:cs="Cambria Math"/>
              </w:rPr>
              <w:t>‑</w:t>
            </w:r>
            <w:r>
              <w:t>cutting patterns (e.g., obsolescence and e</w:t>
            </w:r>
            <w:r w:rsidRPr="4820FEC8">
              <w:rPr>
                <w:rFonts w:ascii="Cambria Math" w:hAnsi="Cambria Math" w:cs="Cambria Math"/>
              </w:rPr>
              <w:t>‑</w:t>
            </w:r>
            <w:r>
              <w:t>commerce, water stress in agriculture, urban expansion and construction waste, and marine</w:t>
            </w:r>
            <w:r w:rsidRPr="4820FEC8">
              <w:rPr>
                <w:rFonts w:ascii="Cambria Math" w:hAnsi="Cambria Math" w:cs="Cambria Math"/>
              </w:rPr>
              <w:t>‑</w:t>
            </w:r>
            <w:r>
              <w:t xml:space="preserve">coastal pressures associated with aquaculture). It strengthened stakeholder alignment and served as an input for the roadmap. With this workshop, </w:t>
            </w:r>
            <w:r w:rsidR="6A6A35D7">
              <w:t>activity</w:t>
            </w:r>
            <w:r>
              <w:t xml:space="preserve"> 1.2 was completed.</w:t>
            </w:r>
          </w:p>
          <w:p w14:paraId="0B74CC1C" w14:textId="77777777" w:rsidR="007D048E" w:rsidRDefault="007D048E" w:rsidP="00722AF5">
            <w:pPr>
              <w:jc w:val="both"/>
            </w:pPr>
          </w:p>
          <w:p w14:paraId="0AF15A9F" w14:textId="31E4197B" w:rsidR="00676C12" w:rsidRDefault="13EE4BFC" w:rsidP="008747D3">
            <w:pPr>
              <w:jc w:val="both"/>
            </w:pPr>
            <w:r>
              <w:t>For</w:t>
            </w:r>
            <w:r w:rsidR="007D048E">
              <w:t xml:space="preserve"> the awareness</w:t>
            </w:r>
            <w:r w:rsidR="007D048E" w:rsidRPr="4820FEC8">
              <w:rPr>
                <w:rFonts w:ascii="Cambria Math" w:hAnsi="Cambria Math" w:cs="Cambria Math"/>
              </w:rPr>
              <w:t>‑</w:t>
            </w:r>
            <w:r w:rsidR="007D048E">
              <w:t>raising component, target audiences and a messaging framework were defined for a national campaign, prioritizing youth (ages 18–35) and a decision</w:t>
            </w:r>
            <w:r w:rsidR="007D048E" w:rsidRPr="4820FEC8">
              <w:rPr>
                <w:rFonts w:ascii="Cambria Math" w:hAnsi="Cambria Math" w:cs="Cambria Math"/>
              </w:rPr>
              <w:t>‑</w:t>
            </w:r>
            <w:r w:rsidR="007D048E">
              <w:t>making segment (ages 25–45), using a direct tone suitable for dissemination on digital platforms. A narrative was developed, incorporating a “Did you know?” hook, secondary messages supported by metrics, and a positive</w:t>
            </w:r>
            <w:r w:rsidR="672DB3E5">
              <w:t>/</w:t>
            </w:r>
            <w:r w:rsidR="007D048E">
              <w:t>inclusive call to action such as “Be the change.” In addition, prototype communication materials and guidelines were prepared. Finally, a collaborative production and validation methodology was established—covering stages, quality</w:t>
            </w:r>
            <w:r w:rsidR="007D048E" w:rsidRPr="4820FEC8">
              <w:rPr>
                <w:rFonts w:ascii="Cambria Math" w:hAnsi="Cambria Math" w:cs="Cambria Math"/>
              </w:rPr>
              <w:t>‑</w:t>
            </w:r>
            <w:r w:rsidR="007D048E">
              <w:t>control procedures, review rounds, and institutional coordination—ensuring conceptual coherence and operational feasibility for scaling content and assessing performance.</w:t>
            </w:r>
          </w:p>
          <w:p w14:paraId="4EB5DD95" w14:textId="77777777" w:rsidR="007D048E" w:rsidRDefault="007D048E" w:rsidP="008747D3">
            <w:pPr>
              <w:jc w:val="both"/>
            </w:pPr>
          </w:p>
          <w:p w14:paraId="19A9432B" w14:textId="77777777" w:rsidR="00774117" w:rsidRPr="00774117" w:rsidRDefault="00774117" w:rsidP="00774117">
            <w:pPr>
              <w:jc w:val="both"/>
              <w:rPr>
                <w:b/>
                <w:bCs/>
              </w:rPr>
            </w:pPr>
            <w:r w:rsidRPr="00774117">
              <w:rPr>
                <w:b/>
                <w:bCs/>
              </w:rPr>
              <w:t>Progress in the First Quarter of 2026</w:t>
            </w:r>
          </w:p>
          <w:p w14:paraId="0D828970" w14:textId="77777777" w:rsidR="00774117" w:rsidRDefault="00774117" w:rsidP="00774117">
            <w:pPr>
              <w:jc w:val="both"/>
            </w:pPr>
            <w:r>
              <w:t>During the first quarter of the current year, progress was made in three areas:</w:t>
            </w:r>
          </w:p>
          <w:p w14:paraId="37D2E1B2" w14:textId="77777777" w:rsidR="00774117" w:rsidRDefault="00774117" w:rsidP="00774117">
            <w:pPr>
              <w:jc w:val="both"/>
            </w:pPr>
          </w:p>
          <w:p w14:paraId="44F2230D" w14:textId="13146950" w:rsidR="00774117" w:rsidRDefault="00774117" w:rsidP="00774117">
            <w:pPr>
              <w:jc w:val="both"/>
            </w:pPr>
            <w:r w:rsidRPr="4820FEC8">
              <w:rPr>
                <w:b/>
                <w:bCs/>
              </w:rPr>
              <w:t xml:space="preserve">1.- Information gathering: </w:t>
            </w:r>
            <w:r>
              <w:t>Two studies were initiated to further examine the impacts of productive activities and consumption patterns associated with agricultural, fruit</w:t>
            </w:r>
            <w:r w:rsidRPr="4820FEC8">
              <w:rPr>
                <w:rFonts w:ascii="Cambria Math" w:hAnsi="Cambria Math" w:cs="Cambria Math"/>
              </w:rPr>
              <w:t>‑</w:t>
            </w:r>
            <w:r>
              <w:t xml:space="preserve">growing, fisheries, and aquaculture activities. These studies </w:t>
            </w:r>
            <w:r w:rsidR="406C045A">
              <w:t>are based on</w:t>
            </w:r>
            <w:r>
              <w:t xml:space="preserve"> the results of the consultancy “Identification, characterization, and quantification of impact drivers on biodiversity and ecosystem services originating from productive activities and consumption patterns in Chile.”</w:t>
            </w:r>
          </w:p>
          <w:p w14:paraId="2409E522" w14:textId="77777777" w:rsidR="00774117" w:rsidRDefault="00774117" w:rsidP="00774117">
            <w:pPr>
              <w:jc w:val="both"/>
            </w:pPr>
          </w:p>
          <w:p w14:paraId="2218B050" w14:textId="10EE700F" w:rsidR="00774117" w:rsidRDefault="00774117" w:rsidP="00774117">
            <w:pPr>
              <w:jc w:val="both"/>
            </w:pPr>
            <w:r w:rsidRPr="4820FEC8">
              <w:rPr>
                <w:b/>
                <w:bCs/>
              </w:rPr>
              <w:t>2.- Awareness</w:t>
            </w:r>
            <w:r w:rsidRPr="4820FEC8">
              <w:rPr>
                <w:rFonts w:ascii="Cambria Math" w:hAnsi="Cambria Math" w:cs="Cambria Math"/>
                <w:b/>
                <w:bCs/>
              </w:rPr>
              <w:t>‑</w:t>
            </w:r>
            <w:r w:rsidRPr="4820FEC8">
              <w:rPr>
                <w:b/>
                <w:bCs/>
              </w:rPr>
              <w:t>raising:</w:t>
            </w:r>
            <w:r>
              <w:t xml:space="preserve"> Progress was made in designing communication materials for </w:t>
            </w:r>
            <w:r w:rsidR="0DFDEBB5">
              <w:t>an</w:t>
            </w:r>
            <w:r>
              <w:t xml:space="preserve"> educational campaign aimed at children</w:t>
            </w:r>
            <w:r w:rsidR="51314D35">
              <w:t>, youth and adults.</w:t>
            </w:r>
            <w:r>
              <w:t xml:space="preserve"> This campaign </w:t>
            </w:r>
            <w:r w:rsidR="17CC81A1">
              <w:t xml:space="preserve">includes </w:t>
            </w:r>
            <w:r>
              <w:t>a contest intended to promote reflection and environmental awareness among</w:t>
            </w:r>
            <w:r w:rsidR="104F7FE5">
              <w:t>st</w:t>
            </w:r>
            <w:r>
              <w:t xml:space="preserve"> children, </w:t>
            </w:r>
            <w:r w:rsidR="2B189ECD">
              <w:t xml:space="preserve">adolescents, </w:t>
            </w:r>
            <w:r>
              <w:t>and adults through the creation of audiovisual and photographic materials. Its objective is to demonstrate how everyday consumption decisions influence the conservation or degradation of nature, encouraging critical and creative thinking that support more responsible and sustainable consumption habits, particularly regarding their impact on biodiversity.</w:t>
            </w:r>
          </w:p>
          <w:p w14:paraId="6F0F82D5" w14:textId="77777777" w:rsidR="00774117" w:rsidRDefault="00774117" w:rsidP="00774117">
            <w:pPr>
              <w:jc w:val="both"/>
            </w:pPr>
          </w:p>
          <w:p w14:paraId="2AFA5858" w14:textId="7567BD86" w:rsidR="007D048E" w:rsidRDefault="00774117" w:rsidP="00774117">
            <w:pPr>
              <w:jc w:val="both"/>
            </w:pPr>
            <w:r w:rsidRPr="2D71FF67">
              <w:rPr>
                <w:b/>
                <w:bCs/>
              </w:rPr>
              <w:t>3.- Platform development:</w:t>
            </w:r>
            <w:r>
              <w:t xml:space="preserve"> </w:t>
            </w:r>
            <w:r w:rsidR="239A9ECB">
              <w:t>A</w:t>
            </w:r>
            <w:r>
              <w:t xml:space="preserve"> platform</w:t>
            </w:r>
            <w:r w:rsidR="239A9ECB">
              <w:t xml:space="preserve"> is in the process of </w:t>
            </w:r>
            <w:r w:rsidR="00C65E6B">
              <w:t>designing</w:t>
            </w:r>
            <w:r w:rsidR="239A9ECB">
              <w:t xml:space="preserve"> to</w:t>
            </w:r>
            <w:r>
              <w:t xml:space="preserve"> disseminate the information generated by the project and facilitate the exchange of experiences.</w:t>
            </w:r>
          </w:p>
        </w:tc>
      </w:tr>
      <w:tr w:rsidR="00676C12" w14:paraId="2D774151" w14:textId="77777777" w:rsidTr="4820FEC8">
        <w:tc>
          <w:tcPr>
            <w:tcW w:w="10457" w:type="dxa"/>
          </w:tcPr>
          <w:p w14:paraId="0739B982" w14:textId="77777777" w:rsidR="00676C12" w:rsidRPr="00AF4544" w:rsidRDefault="00676C12" w:rsidP="002D2F91">
            <w:pPr>
              <w:jc w:val="both"/>
              <w:rPr>
                <w:b/>
                <w:bCs/>
              </w:rPr>
            </w:pPr>
            <w:r w:rsidRPr="00AF4544">
              <w:rPr>
                <w:b/>
                <w:bCs/>
              </w:rPr>
              <w:lastRenderedPageBreak/>
              <w:t>Challenges:</w:t>
            </w:r>
          </w:p>
          <w:p w14:paraId="4A7E56A0" w14:textId="7626F49F" w:rsidR="007B2B92" w:rsidRDefault="007B2B92" w:rsidP="007B2B92">
            <w:pPr>
              <w:jc w:val="both"/>
            </w:pPr>
            <w:r>
              <w:t xml:space="preserve">The </w:t>
            </w:r>
            <w:r w:rsidR="528AED3C">
              <w:t xml:space="preserve">main </w:t>
            </w:r>
            <w:r>
              <w:t xml:space="preserve">difficulties and challenges are </w:t>
            </w:r>
            <w:r w:rsidR="1258A2B0">
              <w:t>primarily in</w:t>
            </w:r>
            <w:r w:rsidRPr="2D71FF67">
              <w:rPr>
                <w:b/>
                <w:bCs/>
              </w:rPr>
              <w:t xml:space="preserve"> information gaps and institutional coordination</w:t>
            </w:r>
            <w:r>
              <w:t>.</w:t>
            </w:r>
          </w:p>
          <w:p w14:paraId="6BCE15C8" w14:textId="2300B577" w:rsidR="007B2B92" w:rsidRDefault="007B2B92" w:rsidP="007B2B92">
            <w:pPr>
              <w:jc w:val="both"/>
            </w:pPr>
            <w:r>
              <w:t xml:space="preserve">In the collection and systematization of information, the main obstacle is not the absence of regulatory frameworks, but rather the lack of traceable and comparable data to attribute environmental pressures to final consumption. There are significant limitations in linking consumption activities pressures along supply chains, particularly when data </w:t>
            </w:r>
            <w:r w:rsidR="230DC397">
              <w:t>is</w:t>
            </w:r>
            <w:r>
              <w:t xml:space="preserve"> fragmented across the value chain, involve imported goods, or arise from complex production systems. This fragmentation hinders the development of robust footprint indicators (material, water, soil, emissions) and reduces the capacity to evaluate policies based on measurable results.</w:t>
            </w:r>
          </w:p>
          <w:p w14:paraId="5CE19F2D" w14:textId="77777777" w:rsidR="007B2B92" w:rsidRDefault="007B2B92" w:rsidP="007B2B92">
            <w:pPr>
              <w:jc w:val="both"/>
            </w:pPr>
          </w:p>
          <w:p w14:paraId="5C269BCE" w14:textId="020D7860" w:rsidR="007B2B92" w:rsidRDefault="007B2B92" w:rsidP="007B2B92">
            <w:pPr>
              <w:jc w:val="both"/>
            </w:pPr>
            <w:r>
              <w:t>A further relevant gap is the limited integration of the “conservation status” of ecosystems and biodiversity as a baseline for interpreting indicators. While pressures—such as extraction, emissions, and waste—are quantified, they are not consistently connected to ecological condition</w:t>
            </w:r>
            <w:r w:rsidR="3A6B0C99">
              <w:t>s</w:t>
            </w:r>
            <w:r>
              <w:t>, thresholds, or resilience, which reduces the usefulness of the evidence for informing decision</w:t>
            </w:r>
            <w:r w:rsidRPr="2D71FF67">
              <w:rPr>
                <w:rFonts w:ascii="Cambria Math" w:hAnsi="Cambria Math" w:cs="Cambria Math"/>
              </w:rPr>
              <w:t>‑</w:t>
            </w:r>
            <w:r>
              <w:t>making.</w:t>
            </w:r>
          </w:p>
          <w:p w14:paraId="7EAEFF8A" w14:textId="77777777" w:rsidR="007B2B92" w:rsidRDefault="007B2B92" w:rsidP="007B2B92">
            <w:pPr>
              <w:jc w:val="both"/>
            </w:pPr>
          </w:p>
          <w:p w14:paraId="50341B4E" w14:textId="77777777" w:rsidR="007B2B92" w:rsidRDefault="007B2B92" w:rsidP="007B2B92">
            <w:pPr>
              <w:jc w:val="both"/>
            </w:pPr>
            <w:r>
              <w:t xml:space="preserve">Regarding information gathering for the incorporation of a </w:t>
            </w:r>
            <w:r w:rsidRPr="007B2B92">
              <w:rPr>
                <w:b/>
                <w:bCs/>
              </w:rPr>
              <w:t>gender perspective</w:t>
            </w:r>
            <w:r>
              <w:t>, the assessment revealed a cross</w:t>
            </w:r>
            <w:r>
              <w:rPr>
                <w:rFonts w:ascii="Cambria Math" w:hAnsi="Cambria Math" w:cs="Cambria Math"/>
              </w:rPr>
              <w:t>‑</w:t>
            </w:r>
            <w:r>
              <w:t>cutting gap: the indicators, regulations, and instruments reviewed rarely include sex</w:t>
            </w:r>
            <w:r>
              <w:rPr>
                <w:rFonts w:ascii="Cambria Math" w:hAnsi="Cambria Math" w:cs="Cambria Math"/>
              </w:rPr>
              <w:t>‑</w:t>
            </w:r>
            <w:r>
              <w:t>disaggregated reporting or other variables necessary to monitor differentiated impacts. In the absence of direct data, it was necessary to use proxies (e.g., household expenditure by sex of main provider) and qualitative interpretations of roles and exposure. This limits analytical precision and highlights the need to strengthen information systems for future gender</w:t>
            </w:r>
            <w:r>
              <w:rPr>
                <w:rFonts w:ascii="Cambria Math" w:hAnsi="Cambria Math" w:cs="Cambria Math"/>
              </w:rPr>
              <w:t>‑</w:t>
            </w:r>
            <w:r>
              <w:t>sensitive monitoring.</w:t>
            </w:r>
          </w:p>
          <w:p w14:paraId="60BF02D1" w14:textId="77777777" w:rsidR="007B2B92" w:rsidRDefault="007B2B92" w:rsidP="007B2B92">
            <w:pPr>
              <w:jc w:val="both"/>
            </w:pPr>
          </w:p>
          <w:p w14:paraId="0F00D1A4" w14:textId="7A0867A2" w:rsidR="00676C12" w:rsidRDefault="007B2B92" w:rsidP="007B2B92">
            <w:pPr>
              <w:jc w:val="both"/>
            </w:pPr>
            <w:r>
              <w:lastRenderedPageBreak/>
              <w:t xml:space="preserve">In the area of </w:t>
            </w:r>
            <w:r w:rsidRPr="007B2B92">
              <w:rPr>
                <w:b/>
                <w:bCs/>
              </w:rPr>
              <w:t>awareness</w:t>
            </w:r>
            <w:r w:rsidRPr="007B2B92">
              <w:rPr>
                <w:rFonts w:ascii="Cambria Math" w:hAnsi="Cambria Math" w:cs="Cambria Math"/>
                <w:b/>
                <w:bCs/>
              </w:rPr>
              <w:t>‑</w:t>
            </w:r>
            <w:r w:rsidRPr="007B2B92">
              <w:rPr>
                <w:b/>
                <w:bCs/>
              </w:rPr>
              <w:t>raising,</w:t>
            </w:r>
            <w:r>
              <w:t xml:space="preserve"> the process required iterative rounds of review—successive adjustments based on technical, communication, and institutional observations—within tight correction timelines, as well as the consolidation of comments to avoid rework. This required close coordination with the communications teams of the Ministry of Environment and UNDP.</w:t>
            </w:r>
          </w:p>
        </w:tc>
      </w:tr>
      <w:tr w:rsidR="00676C12" w14:paraId="228C5871" w14:textId="77777777" w:rsidTr="4820FEC8">
        <w:tc>
          <w:tcPr>
            <w:tcW w:w="10457" w:type="dxa"/>
          </w:tcPr>
          <w:p w14:paraId="531197DE" w14:textId="77777777" w:rsidR="00676C12" w:rsidRDefault="00676C12" w:rsidP="00E26099">
            <w:pPr>
              <w:jc w:val="both"/>
              <w:rPr>
                <w:b/>
                <w:bCs/>
              </w:rPr>
            </w:pPr>
            <w:r w:rsidRPr="00AF4544">
              <w:rPr>
                <w:b/>
                <w:bCs/>
              </w:rPr>
              <w:lastRenderedPageBreak/>
              <w:t>Looking Ahead:</w:t>
            </w:r>
          </w:p>
          <w:p w14:paraId="03DDC1CB" w14:textId="2F564ED3" w:rsidR="00D30506" w:rsidRDefault="00D30506" w:rsidP="00D30506">
            <w:pPr>
              <w:jc w:val="both"/>
            </w:pPr>
            <w:r>
              <w:t>The</w:t>
            </w:r>
            <w:r w:rsidR="248B7841">
              <w:t xml:space="preserve"> following</w:t>
            </w:r>
            <w:r>
              <w:t xml:space="preserve"> actions aim to consolidate and implement the activities planned under the project.</w:t>
            </w:r>
          </w:p>
          <w:p w14:paraId="6D603E05" w14:textId="0C43B38F" w:rsidR="00D30506" w:rsidRDefault="00D30506" w:rsidP="00D30506">
            <w:pPr>
              <w:jc w:val="both"/>
            </w:pPr>
            <w:r>
              <w:t>For 2026, the</w:t>
            </w:r>
            <w:r w:rsidR="200FBC3A">
              <w:t xml:space="preserve"> a</w:t>
            </w:r>
            <w:r>
              <w:t>ctivities</w:t>
            </w:r>
            <w:r w:rsidR="6EC75C2F">
              <w:t xml:space="preserve"> described below</w:t>
            </w:r>
            <w:r>
              <w:t xml:space="preserve"> are expected to be carried out:</w:t>
            </w:r>
          </w:p>
          <w:p w14:paraId="20382547" w14:textId="77777777" w:rsidR="00D30506" w:rsidRDefault="00D30506" w:rsidP="00D30506">
            <w:pPr>
              <w:jc w:val="both"/>
            </w:pPr>
          </w:p>
          <w:p w14:paraId="1B616CDF" w14:textId="41A63CE5" w:rsidR="00D30506" w:rsidRDefault="00D30506" w:rsidP="00D30506">
            <w:pPr>
              <w:pStyle w:val="ListParagraph"/>
              <w:numPr>
                <w:ilvl w:val="0"/>
                <w:numId w:val="14"/>
              </w:numPr>
              <w:jc w:val="both"/>
            </w:pPr>
            <w:r w:rsidRPr="2D71FF67">
              <w:rPr>
                <w:b/>
                <w:bCs/>
              </w:rPr>
              <w:t xml:space="preserve">Information gathering: </w:t>
            </w:r>
            <w:r>
              <w:t>Finalize the methodological framework and develop indicators to assess the impacts on national biodiversity arising from production and consumption associated with the productive</w:t>
            </w:r>
            <w:r w:rsidR="02368837">
              <w:t xml:space="preserve"> sectors of</w:t>
            </w:r>
            <w:r>
              <w:t xml:space="preserve"> Fisheries and Aquaculture–Aquaculture (for marine ecosystems) and Agriculture and Forestry–Agriculture (for terrestrial ecosystems). This work will support the measurement of these impacts, the identification of information gaps, and the formulation of technical and strategic recommendations to prioritize key metrics for managing critical risks and accelerating the transition toward more sustainable consumption and production models.</w:t>
            </w:r>
          </w:p>
          <w:p w14:paraId="0010C7BC" w14:textId="7BE0AD7A" w:rsidR="00D30506" w:rsidRDefault="00D30506" w:rsidP="00D30506">
            <w:pPr>
              <w:pStyle w:val="ListParagraph"/>
              <w:numPr>
                <w:ilvl w:val="0"/>
                <w:numId w:val="14"/>
              </w:numPr>
              <w:jc w:val="both"/>
            </w:pPr>
            <w:r w:rsidRPr="4820FEC8">
              <w:rPr>
                <w:b/>
                <w:bCs/>
              </w:rPr>
              <w:t>Awareness</w:t>
            </w:r>
            <w:r w:rsidRPr="4820FEC8">
              <w:rPr>
                <w:rFonts w:ascii="Cambria Math" w:hAnsi="Cambria Math" w:cs="Cambria Math"/>
                <w:b/>
                <w:bCs/>
              </w:rPr>
              <w:t>‑</w:t>
            </w:r>
            <w:r w:rsidRPr="4820FEC8">
              <w:rPr>
                <w:b/>
                <w:bCs/>
              </w:rPr>
              <w:t xml:space="preserve">raising campaign: </w:t>
            </w:r>
            <w:r>
              <w:t xml:space="preserve">Consolidate, implement, and enhance the campaign through </w:t>
            </w:r>
            <w:r w:rsidR="21ABF87D">
              <w:t>evaluation</w:t>
            </w:r>
            <w:r>
              <w:t xml:space="preserve"> and learning processes. The final phase includes coordination between the Ministry of the Environment (MoE) and UNDP to access performance metrics (reach, views, interactions), assess narrative coherence, and systematize lessons learned and improvement opportunities for future public campaigns, culminating in a final communication evaluation report.</w:t>
            </w:r>
          </w:p>
          <w:p w14:paraId="3179A3C4" w14:textId="6DE9E4AD" w:rsidR="00676C12" w:rsidRDefault="00D30506" w:rsidP="00D30506">
            <w:pPr>
              <w:pStyle w:val="ListParagraph"/>
              <w:numPr>
                <w:ilvl w:val="0"/>
                <w:numId w:val="14"/>
              </w:numPr>
              <w:jc w:val="both"/>
            </w:pPr>
            <w:r>
              <w:t xml:space="preserve">Development and launch of </w:t>
            </w:r>
            <w:r w:rsidR="522FC7D4">
              <w:t>a</w:t>
            </w:r>
            <w:r>
              <w:t xml:space="preserve"> </w:t>
            </w:r>
            <w:r w:rsidRPr="2D71FF67">
              <w:rPr>
                <w:b/>
                <w:bCs/>
              </w:rPr>
              <w:t>web platform</w:t>
            </w:r>
            <w:r>
              <w:t xml:space="preserve"> for disseminating information generated by the project and enabling the exchange of experiences.</w:t>
            </w:r>
          </w:p>
        </w:tc>
      </w:tr>
    </w:tbl>
    <w:p w14:paraId="7D29B067" w14:textId="77777777" w:rsidR="00676C12" w:rsidRDefault="00676C12" w:rsidP="00676C12"/>
    <w:tbl>
      <w:tblPr>
        <w:tblStyle w:val="TableGrid"/>
        <w:tblW w:w="0" w:type="auto"/>
        <w:tblLook w:val="04A0" w:firstRow="1" w:lastRow="0" w:firstColumn="1" w:lastColumn="0" w:noHBand="0" w:noVBand="1"/>
      </w:tblPr>
      <w:tblGrid>
        <w:gridCol w:w="10456"/>
      </w:tblGrid>
      <w:tr w:rsidR="00676C12" w:rsidRPr="00AF4544" w14:paraId="089E5419" w14:textId="77777777" w:rsidTr="4820FEC8">
        <w:tc>
          <w:tcPr>
            <w:tcW w:w="10457" w:type="dxa"/>
            <w:shd w:val="clear" w:color="auto" w:fill="7F7F7F" w:themeFill="text1" w:themeFillTint="80"/>
          </w:tcPr>
          <w:p w14:paraId="436158F4" w14:textId="32281E14" w:rsidR="00676C12" w:rsidRPr="00AF4544" w:rsidRDefault="00676C12" w:rsidP="00BD32D3">
            <w:pPr>
              <w:rPr>
                <w:color w:val="FFFFFF" w:themeColor="background1"/>
              </w:rPr>
            </w:pPr>
            <w:r>
              <w:rPr>
                <w:color w:val="FFFFFF" w:themeColor="background1"/>
              </w:rPr>
              <w:t>Outcome</w:t>
            </w:r>
            <w:r w:rsidRPr="00AF4544">
              <w:rPr>
                <w:color w:val="FFFFFF" w:themeColor="background1"/>
              </w:rPr>
              <w:t xml:space="preserve"> </w:t>
            </w:r>
            <w:r>
              <w:rPr>
                <w:color w:val="FFFFFF" w:themeColor="background1"/>
              </w:rPr>
              <w:t>2</w:t>
            </w:r>
            <w:r w:rsidRPr="00AF4544">
              <w:rPr>
                <w:color w:val="FFFFFF" w:themeColor="background1"/>
              </w:rPr>
              <w:t xml:space="preserve">: </w:t>
            </w:r>
            <w:r w:rsidR="008C40DC" w:rsidRPr="008C40DC">
              <w:rPr>
                <w:color w:val="FFFFFF" w:themeColor="background1"/>
              </w:rPr>
              <w:t>Strategic roadmap for the design of economic instruments for the conservation of biodiversity agreed between the parties.</w:t>
            </w:r>
          </w:p>
        </w:tc>
      </w:tr>
      <w:tr w:rsidR="00676C12" w14:paraId="7F80AB44" w14:textId="77777777" w:rsidTr="4820FEC8">
        <w:tc>
          <w:tcPr>
            <w:tcW w:w="10457" w:type="dxa"/>
          </w:tcPr>
          <w:p w14:paraId="3263EF7C" w14:textId="77777777" w:rsidR="008A1EFF" w:rsidRDefault="00676C12" w:rsidP="008A1EFF">
            <w:pPr>
              <w:rPr>
                <w:b/>
                <w:bCs/>
              </w:rPr>
            </w:pPr>
            <w:r w:rsidRPr="4820FEC8">
              <w:rPr>
                <w:b/>
                <w:bCs/>
              </w:rPr>
              <w:t>Key achievements:</w:t>
            </w:r>
            <w:r w:rsidR="16EA6E42" w:rsidRPr="4820FEC8">
              <w:rPr>
                <w:b/>
                <w:bCs/>
              </w:rPr>
              <w:t xml:space="preserve"> </w:t>
            </w:r>
          </w:p>
          <w:p w14:paraId="60131986" w14:textId="01585EF1" w:rsidR="00676C12" w:rsidRDefault="3AA91500" w:rsidP="4820FEC8">
            <w:pPr>
              <w:rPr>
                <w:rFonts w:asciiTheme="minorHAnsi" w:eastAsia="Times New Roman" w:hAnsiTheme="minorHAnsi" w:cs="Segoe UI"/>
                <w:kern w:val="36"/>
                <w:lang w:eastAsia="en-US"/>
              </w:rPr>
            </w:pPr>
            <w:r w:rsidRPr="4820FEC8">
              <w:rPr>
                <w:rFonts w:asciiTheme="minorHAnsi" w:eastAsia="Times New Roman" w:hAnsiTheme="minorHAnsi" w:cs="Segoe UI"/>
                <w:kern w:val="36"/>
                <w:lang w:eastAsia="en-US"/>
              </w:rPr>
              <w:t>A</w:t>
            </w:r>
            <w:r w:rsidRPr="4820FEC8">
              <w:rPr>
                <w:rFonts w:asciiTheme="minorHAnsi" w:eastAsia="Times New Roman" w:hAnsiTheme="minorHAnsi" w:cs="Segoe UI"/>
                <w:b/>
                <w:bCs/>
                <w:kern w:val="36"/>
                <w:lang w:eastAsia="en-US"/>
              </w:rPr>
              <w:t xml:space="preserve"> </w:t>
            </w:r>
            <w:r w:rsidR="550C6BF0" w:rsidRPr="4820FEC8">
              <w:rPr>
                <w:rFonts w:asciiTheme="minorHAnsi" w:eastAsia="Times New Roman" w:hAnsiTheme="minorHAnsi" w:cs="Segoe UI"/>
                <w:b/>
                <w:bCs/>
                <w:kern w:val="36"/>
                <w:lang w:eastAsia="en-US"/>
              </w:rPr>
              <w:t>Workshop on the Identification of Economic Instruments and Nature</w:t>
            </w:r>
            <w:r w:rsidR="550C6BF0" w:rsidRPr="002E60E5">
              <w:rPr>
                <w:rFonts w:ascii="Cambria Math" w:eastAsia="Times New Roman" w:hAnsi="Cambria Math" w:cs="Cambria Math"/>
                <w:b/>
                <w:bCs/>
                <w:kern w:val="36"/>
                <w:lang w:eastAsia="en-US"/>
              </w:rPr>
              <w:t>‑</w:t>
            </w:r>
            <w:r w:rsidR="550C6BF0" w:rsidRPr="4820FEC8">
              <w:rPr>
                <w:rFonts w:asciiTheme="minorHAnsi" w:eastAsia="Times New Roman" w:hAnsiTheme="minorHAnsi" w:cs="Segoe UI"/>
                <w:b/>
                <w:bCs/>
                <w:kern w:val="36"/>
                <w:lang w:eastAsia="en-US"/>
              </w:rPr>
              <w:t>Positive Productive Practices</w:t>
            </w:r>
            <w:r w:rsidR="550C6BF0" w:rsidRPr="4820FEC8">
              <w:rPr>
                <w:rFonts w:asciiTheme="minorHAnsi" w:eastAsia="Times New Roman" w:hAnsiTheme="minorHAnsi" w:cs="Segoe UI"/>
                <w:kern w:val="36"/>
                <w:lang w:eastAsia="en-US"/>
              </w:rPr>
              <w:t xml:space="preserve">, </w:t>
            </w:r>
            <w:r w:rsidR="057A7B8C" w:rsidRPr="4820FEC8">
              <w:rPr>
                <w:rFonts w:asciiTheme="minorHAnsi" w:eastAsia="Times New Roman" w:hAnsiTheme="minorHAnsi" w:cs="Segoe UI"/>
                <w:kern w:val="36"/>
                <w:lang w:eastAsia="en-US"/>
              </w:rPr>
              <w:t xml:space="preserve">was </w:t>
            </w:r>
            <w:r w:rsidR="550C6BF0" w:rsidRPr="4820FEC8">
              <w:rPr>
                <w:rFonts w:asciiTheme="minorHAnsi" w:eastAsia="Times New Roman" w:hAnsiTheme="minorHAnsi" w:cs="Segoe UI"/>
                <w:kern w:val="36"/>
                <w:lang w:eastAsia="en-US"/>
              </w:rPr>
              <w:t>held on</w:t>
            </w:r>
            <w:r w:rsidR="6382E124" w:rsidRPr="4820FEC8">
              <w:rPr>
                <w:rFonts w:asciiTheme="minorHAnsi" w:eastAsia="Times New Roman" w:hAnsiTheme="minorHAnsi" w:cs="Segoe UI"/>
                <w:kern w:val="36"/>
                <w:lang w:eastAsia="en-US"/>
              </w:rPr>
              <w:t xml:space="preserve"> the</w:t>
            </w:r>
            <w:r w:rsidR="550C6BF0" w:rsidRPr="4820FEC8">
              <w:rPr>
                <w:rFonts w:asciiTheme="minorHAnsi" w:eastAsia="Times New Roman" w:hAnsiTheme="minorHAnsi" w:cs="Segoe UI"/>
                <w:kern w:val="36"/>
                <w:lang w:eastAsia="en-US"/>
              </w:rPr>
              <w:t xml:space="preserve"> 29</w:t>
            </w:r>
            <w:r w:rsidR="0F08E7AC" w:rsidRPr="4820FEC8">
              <w:rPr>
                <w:rFonts w:asciiTheme="minorHAnsi" w:eastAsia="Times New Roman" w:hAnsiTheme="minorHAnsi" w:cs="Segoe UI"/>
                <w:kern w:val="36"/>
                <w:vertAlign w:val="superscript"/>
                <w:lang w:eastAsia="en-US"/>
              </w:rPr>
              <w:t>th</w:t>
            </w:r>
            <w:r w:rsidR="0F08E7AC" w:rsidRPr="4820FEC8">
              <w:rPr>
                <w:rFonts w:asciiTheme="minorHAnsi" w:eastAsia="Times New Roman" w:hAnsiTheme="minorHAnsi" w:cs="Segoe UI"/>
                <w:kern w:val="36"/>
                <w:lang w:eastAsia="en-US"/>
              </w:rPr>
              <w:t xml:space="preserve"> of</w:t>
            </w:r>
            <w:r w:rsidR="550C6BF0" w:rsidRPr="4820FEC8">
              <w:rPr>
                <w:rFonts w:asciiTheme="minorHAnsi" w:eastAsia="Times New Roman" w:hAnsiTheme="minorHAnsi" w:cs="Segoe UI"/>
                <w:kern w:val="36"/>
                <w:lang w:eastAsia="en-US"/>
              </w:rPr>
              <w:t xml:space="preserve"> October 2025, with the participation of 26 public</w:t>
            </w:r>
            <w:r w:rsidR="550C6BF0" w:rsidRPr="002E60E5">
              <w:rPr>
                <w:rFonts w:ascii="Cambria Math" w:eastAsia="Times New Roman" w:hAnsi="Cambria Math" w:cs="Cambria Math"/>
                <w:kern w:val="36"/>
                <w:lang w:eastAsia="en-US"/>
              </w:rPr>
              <w:t>‑</w:t>
            </w:r>
            <w:r w:rsidR="550C6BF0" w:rsidRPr="4820FEC8">
              <w:rPr>
                <w:rFonts w:asciiTheme="minorHAnsi" w:eastAsia="Times New Roman" w:hAnsiTheme="minorHAnsi" w:cs="Segoe UI"/>
                <w:kern w:val="36"/>
                <w:lang w:eastAsia="en-US"/>
              </w:rPr>
              <w:t>sector representatives (19 women and 7 men). The objective of this workshop was to identify and analyze existing economic instruments, incentives, and nature</w:t>
            </w:r>
            <w:r w:rsidR="550C6BF0" w:rsidRPr="002E60E5">
              <w:rPr>
                <w:rFonts w:ascii="Cambria Math" w:eastAsia="Times New Roman" w:hAnsi="Cambria Math" w:cs="Cambria Math"/>
                <w:kern w:val="36"/>
                <w:lang w:eastAsia="en-US"/>
              </w:rPr>
              <w:t>‑</w:t>
            </w:r>
            <w:r w:rsidR="550C6BF0" w:rsidRPr="4820FEC8">
              <w:rPr>
                <w:rFonts w:asciiTheme="minorHAnsi" w:eastAsia="Times New Roman" w:hAnsiTheme="minorHAnsi" w:cs="Segoe UI"/>
                <w:kern w:val="36"/>
                <w:lang w:eastAsia="en-US"/>
              </w:rPr>
              <w:t>positive productive practices within the public sector</w:t>
            </w:r>
            <w:r w:rsidR="28C0FC43" w:rsidRPr="4820FEC8">
              <w:rPr>
                <w:rFonts w:asciiTheme="minorHAnsi" w:eastAsia="Times New Roman" w:hAnsiTheme="minorHAnsi" w:cs="Segoe UI"/>
                <w:kern w:val="36"/>
                <w:lang w:eastAsia="en-US"/>
              </w:rPr>
              <w:t>,</w:t>
            </w:r>
            <w:r w:rsidR="550C6BF0" w:rsidRPr="4820FEC8">
              <w:rPr>
                <w:rFonts w:asciiTheme="minorHAnsi" w:eastAsia="Times New Roman" w:hAnsiTheme="minorHAnsi" w:cs="Segoe UI"/>
                <w:kern w:val="36"/>
                <w:lang w:eastAsia="en-US"/>
              </w:rPr>
              <w:t xml:space="preserve"> that could contribute to the conservation of biodiversity and ecosystem services, while also exploring opportunities for inter</w:t>
            </w:r>
            <w:r w:rsidR="550C6BF0" w:rsidRPr="002E60E5">
              <w:rPr>
                <w:rFonts w:ascii="Cambria Math" w:eastAsia="Times New Roman" w:hAnsi="Cambria Math" w:cs="Cambria Math"/>
                <w:kern w:val="36"/>
                <w:lang w:eastAsia="en-US"/>
              </w:rPr>
              <w:t>‑</w:t>
            </w:r>
            <w:r w:rsidR="550C6BF0" w:rsidRPr="4820FEC8">
              <w:rPr>
                <w:rFonts w:asciiTheme="minorHAnsi" w:eastAsia="Times New Roman" w:hAnsiTheme="minorHAnsi" w:cs="Segoe UI"/>
                <w:kern w:val="36"/>
                <w:lang w:eastAsia="en-US"/>
              </w:rPr>
              <w:t xml:space="preserve">institutional coordination and improvement. </w:t>
            </w:r>
            <w:r w:rsidR="2AE39A38" w:rsidRPr="4820FEC8">
              <w:rPr>
                <w:rFonts w:asciiTheme="minorHAnsi" w:eastAsia="Times New Roman" w:hAnsiTheme="minorHAnsi" w:cs="Segoe UI"/>
                <w:kern w:val="36"/>
                <w:lang w:eastAsia="en-US"/>
              </w:rPr>
              <w:t>This workshop was held under p</w:t>
            </w:r>
            <w:r w:rsidR="550C6BF0" w:rsidRPr="4820FEC8">
              <w:rPr>
                <w:rFonts w:asciiTheme="minorHAnsi" w:eastAsia="Times New Roman" w:hAnsiTheme="minorHAnsi" w:cs="Segoe UI"/>
                <w:kern w:val="36"/>
                <w:lang w:eastAsia="en-US"/>
              </w:rPr>
              <w:t xml:space="preserve">roject </w:t>
            </w:r>
            <w:r w:rsidR="1722D262" w:rsidRPr="4820FEC8">
              <w:rPr>
                <w:rFonts w:asciiTheme="minorHAnsi" w:eastAsia="Times New Roman" w:hAnsiTheme="minorHAnsi" w:cs="Segoe UI"/>
                <w:kern w:val="36"/>
                <w:lang w:eastAsia="en-US"/>
              </w:rPr>
              <w:t>a</w:t>
            </w:r>
            <w:r w:rsidR="550C6BF0" w:rsidRPr="4820FEC8">
              <w:rPr>
                <w:rFonts w:asciiTheme="minorHAnsi" w:eastAsia="Times New Roman" w:hAnsiTheme="minorHAnsi" w:cs="Segoe UI"/>
                <w:kern w:val="36"/>
                <w:lang w:eastAsia="en-US"/>
              </w:rPr>
              <w:t>ctivity 2.1.</w:t>
            </w:r>
            <w:r w:rsidR="3BEA9E40" w:rsidRPr="4820FEC8">
              <w:rPr>
                <w:rFonts w:asciiTheme="minorHAnsi" w:eastAsia="Times New Roman" w:hAnsiTheme="minorHAnsi" w:cs="Segoe UI"/>
                <w:kern w:val="36"/>
                <w:lang w:eastAsia="en-US"/>
              </w:rPr>
              <w:t>for policy recommendations and for shaping the public–private collaboration roadmap.</w:t>
            </w:r>
          </w:p>
          <w:p w14:paraId="093DB2B9" w14:textId="77777777" w:rsidR="002E60E5" w:rsidRDefault="002E60E5" w:rsidP="002E60E5">
            <w:pPr>
              <w:jc w:val="both"/>
              <w:rPr>
                <w:rFonts w:eastAsia="Times New Roman" w:cs="Segoe UI"/>
                <w:kern w:val="36"/>
              </w:rPr>
            </w:pPr>
          </w:p>
          <w:p w14:paraId="6C8A1D8D" w14:textId="5866A9DF" w:rsidR="002E60E5" w:rsidRPr="002E60E5" w:rsidRDefault="2D9F2996" w:rsidP="002E60E5">
            <w:pPr>
              <w:jc w:val="both"/>
            </w:pPr>
            <w:r>
              <w:t>As a result of this participatory process, the following out</w:t>
            </w:r>
            <w:r w:rsidR="4234AA94">
              <w:t xml:space="preserve">puts </w:t>
            </w:r>
            <w:r>
              <w:t>were achieved:</w:t>
            </w:r>
          </w:p>
          <w:p w14:paraId="099C9AC5" w14:textId="1FE75CB2" w:rsidR="002E60E5" w:rsidRPr="002E60E5" w:rsidRDefault="6ECD07BD" w:rsidP="002E60E5">
            <w:pPr>
              <w:numPr>
                <w:ilvl w:val="0"/>
                <w:numId w:val="15"/>
              </w:numPr>
              <w:jc w:val="both"/>
            </w:pPr>
            <w:r>
              <w:t>A technical</w:t>
            </w:r>
            <w:r w:rsidR="550C6BF0">
              <w:t xml:space="preserve"> and conceptual </w:t>
            </w:r>
            <w:r w:rsidR="1E5C44B4">
              <w:t>discussion</w:t>
            </w:r>
            <w:r w:rsidR="550C6BF0">
              <w:t xml:space="preserve"> on innovative economic instruments for biodiversity </w:t>
            </w:r>
            <w:r w:rsidR="2E4B5025">
              <w:t>enabled</w:t>
            </w:r>
            <w:r w:rsidR="550C6BF0">
              <w:t xml:space="preserve"> the establishment of a common language among</w:t>
            </w:r>
            <w:r w:rsidR="5EB6C429">
              <w:t>st</w:t>
            </w:r>
            <w:r w:rsidR="550C6BF0">
              <w:t xml:space="preserve"> public and private stakeholders to advance toward</w:t>
            </w:r>
            <w:r w:rsidR="23ABFA49">
              <w:t>s</w:t>
            </w:r>
            <w:r w:rsidR="550C6BF0">
              <w:t xml:space="preserve"> a roadmap</w:t>
            </w:r>
            <w:r w:rsidR="70EF6C53">
              <w:t xml:space="preserve"> that </w:t>
            </w:r>
            <w:r w:rsidR="550C6BF0">
              <w:t>integrat</w:t>
            </w:r>
            <w:r w:rsidR="1EF06149">
              <w:t>es</w:t>
            </w:r>
            <w:r w:rsidR="550C6BF0">
              <w:t xml:space="preserve"> sustainable consumption and production (SCP) and biodiversity financing. This constitutes a key achievement, as it </w:t>
            </w:r>
            <w:r w:rsidR="4A6F56F9">
              <w:t>established a coordinated governance which is necessary</w:t>
            </w:r>
            <w:r w:rsidR="550C6BF0">
              <w:t xml:space="preserve"> to codesign policy recommendations and prioritize actions.</w:t>
            </w:r>
          </w:p>
          <w:p w14:paraId="328B1C51" w14:textId="5D8099CA" w:rsidR="002E60E5" w:rsidRDefault="7F5B466A" w:rsidP="002E60E5">
            <w:pPr>
              <w:numPr>
                <w:ilvl w:val="0"/>
                <w:numId w:val="15"/>
              </w:numPr>
              <w:jc w:val="both"/>
            </w:pPr>
            <w:r>
              <w:t>Ec</w:t>
            </w:r>
            <w:r w:rsidR="146F8911">
              <w:t xml:space="preserve">onomic </w:t>
            </w:r>
            <w:r w:rsidR="2D9F2996">
              <w:t>instruments contained in Law 21.600 were identified and disseminated for the policy document, including:</w:t>
            </w:r>
          </w:p>
          <w:p w14:paraId="065D5A09" w14:textId="2111C942" w:rsidR="002E60E5" w:rsidRDefault="0CFE763E" w:rsidP="002E60E5">
            <w:pPr>
              <w:numPr>
                <w:ilvl w:val="1"/>
                <w:numId w:val="15"/>
              </w:numPr>
              <w:jc w:val="both"/>
            </w:pPr>
            <w:r>
              <w:t>T</w:t>
            </w:r>
            <w:r w:rsidR="1B98641D">
              <w:t xml:space="preserve">he </w:t>
            </w:r>
            <w:r w:rsidR="1B98641D" w:rsidRPr="2D71FF67">
              <w:rPr>
                <w:b/>
                <w:bCs/>
              </w:rPr>
              <w:t>Biodiversity and Ecosystem Services Certification System</w:t>
            </w:r>
            <w:r w:rsidR="1B98641D">
              <w:t xml:space="preserve"> (Article 51), aimed at certifying or recognizing activities, practices, or sites for their contribution to conservation, and the </w:t>
            </w:r>
            <w:r w:rsidR="1B98641D" w:rsidRPr="2D71FF67">
              <w:rPr>
                <w:b/>
                <w:bCs/>
              </w:rPr>
              <w:t>Ecosystem Services Compensation Contracts</w:t>
            </w:r>
            <w:r w:rsidR="1B98641D">
              <w:t xml:space="preserve"> (Article 52), which establish agreements for conservation, restoration, or sustainable use in exchange for </w:t>
            </w:r>
            <w:r w:rsidR="00FE2149">
              <w:t>compensation.</w:t>
            </w:r>
          </w:p>
          <w:p w14:paraId="57EA2473" w14:textId="02BF0703" w:rsidR="002E60E5" w:rsidRPr="002E60E5" w:rsidRDefault="4B03349F" w:rsidP="002E60E5">
            <w:pPr>
              <w:numPr>
                <w:ilvl w:val="1"/>
                <w:numId w:val="15"/>
              </w:numPr>
              <w:jc w:val="both"/>
            </w:pPr>
            <w:r>
              <w:t>I</w:t>
            </w:r>
            <w:r w:rsidR="1B98641D">
              <w:t xml:space="preserve">n parallel, progress was made in public–private coordination mechanisms to scale these instruments and connect them with SCP, including efforts to strengthen articulation with the </w:t>
            </w:r>
            <w:r w:rsidR="1B98641D" w:rsidRPr="2D71FF67">
              <w:rPr>
                <w:b/>
                <w:bCs/>
              </w:rPr>
              <w:t>Advisory Committee on Sustainable Consumption and Production</w:t>
            </w:r>
            <w:r w:rsidR="1B98641D">
              <w:t xml:space="preserve"> as a platform to support private</w:t>
            </w:r>
            <w:r w:rsidR="06543746">
              <w:t xml:space="preserve"> </w:t>
            </w:r>
            <w:r w:rsidR="1B98641D">
              <w:t>sector coordination and enhance program outcomes.</w:t>
            </w:r>
          </w:p>
          <w:p w14:paraId="4C85220C" w14:textId="63DB8005" w:rsidR="002E60E5" w:rsidRPr="002E60E5" w:rsidRDefault="08D40AA7" w:rsidP="002E60E5">
            <w:pPr>
              <w:numPr>
                <w:ilvl w:val="0"/>
                <w:numId w:val="15"/>
              </w:numPr>
              <w:jc w:val="both"/>
            </w:pPr>
            <w:r>
              <w:t>Regarding</w:t>
            </w:r>
            <w:r w:rsidR="5A5BFA43">
              <w:t xml:space="preserve"> the </w:t>
            </w:r>
            <w:r w:rsidR="550C6BF0">
              <w:t>private</w:t>
            </w:r>
            <w:r w:rsidR="47889F62">
              <w:t xml:space="preserve"> </w:t>
            </w:r>
            <w:r w:rsidR="550C6BF0">
              <w:t xml:space="preserve">sector engagement in the roadmap, the </w:t>
            </w:r>
            <w:r w:rsidR="550C6BF0" w:rsidRPr="4820FEC8">
              <w:rPr>
                <w:b/>
                <w:bCs/>
              </w:rPr>
              <w:t>Business Pilot Action Plan on Biodiversity</w:t>
            </w:r>
            <w:r w:rsidR="550C6BF0">
              <w:t xml:space="preserve"> was positioned as a </w:t>
            </w:r>
            <w:r w:rsidR="56B77E8D">
              <w:t xml:space="preserve">liaison </w:t>
            </w:r>
            <w:r w:rsidR="550C6BF0">
              <w:t>between the update</w:t>
            </w:r>
            <w:r w:rsidR="17EFF313">
              <w:t>d n</w:t>
            </w:r>
            <w:r w:rsidR="550C6BF0">
              <w:t xml:space="preserve">ational Biodiversity Strategy and the </w:t>
            </w:r>
            <w:r w:rsidR="550C6BF0">
              <w:lastRenderedPageBreak/>
              <w:t>implementation of Target 15 of the Kunming–Montreal Framework</w:t>
            </w:r>
            <w:r w:rsidR="159663BA">
              <w:t xml:space="preserve">. It </w:t>
            </w:r>
            <w:r w:rsidR="550C6BF0">
              <w:t>incorporat</w:t>
            </w:r>
            <w:r w:rsidR="42AE3D4E">
              <w:t>es</w:t>
            </w:r>
            <w:r w:rsidR="550C6BF0">
              <w:t xml:space="preserve"> dependencies and impacts, as well as </w:t>
            </w:r>
            <w:r w:rsidR="0CDC0F4F">
              <w:t>governance</w:t>
            </w:r>
            <w:r w:rsidR="550C6BF0">
              <w:t xml:space="preserve"> through an Executive Committee composed of 20 companies. This is reinforced by voluntary commitments to adopt disclosure and management standards.</w:t>
            </w:r>
          </w:p>
          <w:p w14:paraId="2A781122" w14:textId="46438533" w:rsidR="002E60E5" w:rsidRDefault="550C6BF0" w:rsidP="002E60E5">
            <w:pPr>
              <w:numPr>
                <w:ilvl w:val="0"/>
                <w:numId w:val="15"/>
              </w:numPr>
              <w:jc w:val="both"/>
            </w:pPr>
            <w:r>
              <w:t xml:space="preserve">Finally, concrete actions </w:t>
            </w:r>
            <w:r w:rsidR="03FDD63E">
              <w:t xml:space="preserve">of the private sector </w:t>
            </w:r>
            <w:r>
              <w:t xml:space="preserve">aligned with economic instruments and Sustainable Consumption and Production were systematized, including </w:t>
            </w:r>
            <w:r w:rsidR="53A66AD6">
              <w:t>food waste</w:t>
            </w:r>
            <w:r>
              <w:t xml:space="preserve"> reduction efforts and the development of “</w:t>
            </w:r>
            <w:r w:rsidR="48544DF9">
              <w:t>free deforestation”</w:t>
            </w:r>
            <w:r>
              <w:t xml:space="preserve"> supply chains.</w:t>
            </w:r>
          </w:p>
          <w:p w14:paraId="71333872" w14:textId="77777777" w:rsidR="00430649" w:rsidRDefault="00430649" w:rsidP="00430649">
            <w:pPr>
              <w:jc w:val="both"/>
            </w:pPr>
          </w:p>
          <w:p w14:paraId="657A1B3F" w14:textId="51CE0395" w:rsidR="00430649" w:rsidRPr="002E60E5" w:rsidRDefault="00430649" w:rsidP="00430649">
            <w:pPr>
              <w:jc w:val="both"/>
              <w:rPr>
                <w:b/>
                <w:bCs/>
              </w:rPr>
            </w:pPr>
            <w:r w:rsidRPr="00430649">
              <w:rPr>
                <w:b/>
                <w:bCs/>
              </w:rPr>
              <w:t>Achievements in the First Quarter of 2026</w:t>
            </w:r>
            <w:r>
              <w:rPr>
                <w:b/>
                <w:bCs/>
              </w:rPr>
              <w:t>:</w:t>
            </w:r>
          </w:p>
          <w:p w14:paraId="07001FF1" w14:textId="336CEB87" w:rsidR="00430649" w:rsidRPr="00430649" w:rsidRDefault="3CF98F7C" w:rsidP="00430649">
            <w:pPr>
              <w:pStyle w:val="ListParagraph"/>
              <w:numPr>
                <w:ilvl w:val="0"/>
                <w:numId w:val="15"/>
              </w:numPr>
              <w:jc w:val="both"/>
            </w:pPr>
            <w:r>
              <w:t xml:space="preserve">The </w:t>
            </w:r>
            <w:r w:rsidRPr="4820FEC8">
              <w:rPr>
                <w:b/>
                <w:bCs/>
              </w:rPr>
              <w:t>National Seminar “Nature and Biodiversity: Public–Private Coordination for Effective Management”</w:t>
            </w:r>
            <w:r>
              <w:t xml:space="preserve"> was held</w:t>
            </w:r>
            <w:r w:rsidR="19B0F260">
              <w:t xml:space="preserve"> on the </w:t>
            </w:r>
            <w:r w:rsidR="00FE2149">
              <w:t>14</w:t>
            </w:r>
            <w:r w:rsidR="00FE2149" w:rsidRPr="00FE2149">
              <w:t>th of</w:t>
            </w:r>
            <w:r w:rsidR="42544D7D">
              <w:t xml:space="preserve"> January 2026</w:t>
            </w:r>
            <w:r>
              <w:t>, bringing together participants from both the public and private sectors. The event was attended by 82 participants (48 women and 31 men).</w:t>
            </w:r>
          </w:p>
          <w:p w14:paraId="2AD626AF" w14:textId="3C53C095" w:rsidR="00430649" w:rsidRPr="00430649" w:rsidRDefault="3CF98F7C" w:rsidP="00430649">
            <w:pPr>
              <w:pStyle w:val="ListParagraph"/>
              <w:numPr>
                <w:ilvl w:val="0"/>
                <w:numId w:val="15"/>
              </w:numPr>
              <w:jc w:val="both"/>
            </w:pPr>
            <w:r>
              <w:t>Two consultancies were initiated to support the development of the Roadmap:</w:t>
            </w:r>
            <w:r w:rsidR="00430649">
              <w:br/>
            </w:r>
            <w:r>
              <w:t xml:space="preserve">• </w:t>
            </w:r>
            <w:r w:rsidRPr="4820FEC8">
              <w:rPr>
                <w:b/>
                <w:bCs/>
              </w:rPr>
              <w:t>A comparative analysis of international experiences</w:t>
            </w:r>
            <w:r>
              <w:t xml:space="preserve"> on labels, certifications, and credits linked to biodiversity criteria, and the potential for their integration into national initiatives; and</w:t>
            </w:r>
            <w:r w:rsidR="00430649">
              <w:br/>
            </w:r>
            <w:r>
              <w:t xml:space="preserve">• </w:t>
            </w:r>
            <w:r w:rsidRPr="4820FEC8">
              <w:rPr>
                <w:b/>
                <w:bCs/>
              </w:rPr>
              <w:t>The</w:t>
            </w:r>
            <w:r w:rsidR="0971018D" w:rsidRPr="4820FEC8">
              <w:rPr>
                <w:b/>
                <w:bCs/>
              </w:rPr>
              <w:t xml:space="preserve"> elaboration</w:t>
            </w:r>
            <w:r w:rsidRPr="4820FEC8">
              <w:rPr>
                <w:b/>
                <w:bCs/>
              </w:rPr>
              <w:t xml:space="preserve"> of a guid</w:t>
            </w:r>
            <w:r w:rsidR="4DC25211" w:rsidRPr="4820FEC8">
              <w:rPr>
                <w:b/>
                <w:bCs/>
              </w:rPr>
              <w:t>eline</w:t>
            </w:r>
            <w:r w:rsidRPr="4820FEC8">
              <w:rPr>
                <w:b/>
                <w:bCs/>
              </w:rPr>
              <w:t xml:space="preserve"> document</w:t>
            </w:r>
            <w:r>
              <w:t xml:space="preserve"> with recommendations for incorporating biodiversity considerations into productive development instruments of the Chilean Economic Development Agency (CORFO).</w:t>
            </w:r>
          </w:p>
          <w:p w14:paraId="345A1913" w14:textId="3D31654A" w:rsidR="002E60E5" w:rsidRDefault="002E60E5" w:rsidP="002E60E5">
            <w:pPr>
              <w:jc w:val="both"/>
            </w:pPr>
          </w:p>
        </w:tc>
      </w:tr>
      <w:tr w:rsidR="00676C12" w14:paraId="3561F661" w14:textId="77777777" w:rsidTr="4820FEC8">
        <w:tc>
          <w:tcPr>
            <w:tcW w:w="10457" w:type="dxa"/>
          </w:tcPr>
          <w:p w14:paraId="063746D8" w14:textId="77777777" w:rsidR="00676C12" w:rsidRPr="00AF4544" w:rsidRDefault="00676C12" w:rsidP="004B052B">
            <w:pPr>
              <w:jc w:val="both"/>
              <w:rPr>
                <w:b/>
                <w:bCs/>
              </w:rPr>
            </w:pPr>
            <w:r w:rsidRPr="00AF4544">
              <w:rPr>
                <w:b/>
                <w:bCs/>
              </w:rPr>
              <w:lastRenderedPageBreak/>
              <w:t>Challenges:</w:t>
            </w:r>
          </w:p>
          <w:p w14:paraId="50E2B6B7" w14:textId="77777777" w:rsidR="001D7A35" w:rsidRPr="001D7A35" w:rsidRDefault="001D7A35" w:rsidP="001D7A35">
            <w:pPr>
              <w:jc w:val="both"/>
            </w:pPr>
          </w:p>
          <w:p w14:paraId="6A4A5235" w14:textId="6CCAEE6F" w:rsidR="18F18D96" w:rsidRDefault="18F18D96" w:rsidP="00C2A40E">
            <w:pPr>
              <w:spacing w:line="300" w:lineRule="auto"/>
              <w:jc w:val="both"/>
            </w:pPr>
            <w:r w:rsidRPr="00585075">
              <w:t xml:space="preserve">A key barrier identified was the limited access to clear and consolidated institutional information, particularly regarding which public entities are responsible for specific aspects of biodiversity conservation and how their mandates interact. This lack of clarity made it difficult for participating public-sector professionals to understand how their own roles connect to national biodiversity objectives. To help address this gap, the workshop included a presentation that clarified the institutional landscape, introduced the concept and </w:t>
            </w:r>
            <w:proofErr w:type="gramStart"/>
            <w:r w:rsidRPr="00585075">
              <w:t>current status</w:t>
            </w:r>
            <w:proofErr w:type="gramEnd"/>
            <w:r w:rsidRPr="00585075">
              <w:t xml:space="preserve"> of biodiversity in Chile, and illustrated how biodiversity considerations intersect with production and consumption patterns. This provided participants with a concrete framework for understanding both the governance context and the relevance of mainstreaming biodiversity into sectoral decision</w:t>
            </w:r>
            <w:r w:rsidRPr="00585075">
              <w:rPr>
                <w:rFonts w:ascii="Cambria Math" w:hAnsi="Cambria Math" w:cs="Cambria Math"/>
              </w:rPr>
              <w:t>‑</w:t>
            </w:r>
            <w:r w:rsidRPr="00585075">
              <w:t>making.</w:t>
            </w:r>
          </w:p>
          <w:p w14:paraId="3A7CA099" w14:textId="1D4BFEAF" w:rsidR="00C2A40E" w:rsidRDefault="00C2A40E" w:rsidP="00C2A40E">
            <w:pPr>
              <w:jc w:val="both"/>
            </w:pPr>
          </w:p>
          <w:p w14:paraId="082ED4BB" w14:textId="77777777" w:rsidR="001D7A35" w:rsidRPr="001D7A35" w:rsidRDefault="001D7A35" w:rsidP="001D7A35">
            <w:pPr>
              <w:jc w:val="both"/>
            </w:pPr>
            <w:r w:rsidRPr="001D7A35">
              <w:t>Furthermore, the workshop identified several challenges that must be addressed in the development of the roadmap:</w:t>
            </w:r>
          </w:p>
          <w:p w14:paraId="07A3AD74" w14:textId="4716AAC2" w:rsidR="001D7A35" w:rsidRPr="001D7A35" w:rsidRDefault="2BE716C6" w:rsidP="001D7A35">
            <w:pPr>
              <w:numPr>
                <w:ilvl w:val="0"/>
                <w:numId w:val="16"/>
              </w:numPr>
              <w:jc w:val="both"/>
            </w:pPr>
            <w:r w:rsidRPr="4820FEC8">
              <w:rPr>
                <w:b/>
                <w:bCs/>
              </w:rPr>
              <w:t>Lack of metrics, standardized indicators, and information gaps</w:t>
            </w:r>
            <w:r>
              <w:t xml:space="preserve"> for assessing impacts on biodiversity and ecosystem services. Participants underscored the need to develop methodologies and capacities for </w:t>
            </w:r>
            <w:r w:rsidR="032745D7">
              <w:t>long-term</w:t>
            </w:r>
            <w:r>
              <w:t xml:space="preserve"> economic assessment. In this regard, under </w:t>
            </w:r>
            <w:r w:rsidR="43503349">
              <w:t>Outcome</w:t>
            </w:r>
            <w:r>
              <w:t xml:space="preserve"> 1, the project has advanced in generating methodological proposals and indicators that provide traceability and continuity over time in measuring the impacts of production and consumption patterns on biodiversity.</w:t>
            </w:r>
          </w:p>
          <w:p w14:paraId="2D41F25D" w14:textId="3565CC15" w:rsidR="001D7A35" w:rsidRPr="001D7A35" w:rsidRDefault="001D7A35" w:rsidP="001D7A35">
            <w:pPr>
              <w:numPr>
                <w:ilvl w:val="0"/>
                <w:numId w:val="16"/>
              </w:numPr>
              <w:jc w:val="both"/>
            </w:pPr>
            <w:r w:rsidRPr="001D7A35">
              <w:t xml:space="preserve">A further challenge highlighted during the participatory sessions concerns </w:t>
            </w:r>
            <w:r w:rsidRPr="001D7A35">
              <w:rPr>
                <w:b/>
                <w:bCs/>
              </w:rPr>
              <w:t>greenwashing</w:t>
            </w:r>
            <w:r w:rsidRPr="001D7A35">
              <w:t>, particularly when regulatory oversight is insufficient. Strengthening the monitoring of labels and certifications and incorporating mandatory sustainability and biodiversity criteria into application processes, were proposed as necessary measures.</w:t>
            </w:r>
          </w:p>
          <w:p w14:paraId="747779B0" w14:textId="231D47C6" w:rsidR="009E3A53" w:rsidRDefault="2BE716C6" w:rsidP="009E3A53">
            <w:pPr>
              <w:numPr>
                <w:ilvl w:val="0"/>
                <w:numId w:val="16"/>
              </w:numPr>
              <w:jc w:val="both"/>
            </w:pPr>
            <w:r>
              <w:t xml:space="preserve">Lastly, the </w:t>
            </w:r>
            <w:r w:rsidRPr="4820FEC8">
              <w:rPr>
                <w:b/>
                <w:bCs/>
              </w:rPr>
              <w:t xml:space="preserve">inclusive and </w:t>
            </w:r>
            <w:r w:rsidR="4D941F6B" w:rsidRPr="4820FEC8">
              <w:rPr>
                <w:b/>
                <w:bCs/>
              </w:rPr>
              <w:t>gender responsive</w:t>
            </w:r>
            <w:r w:rsidRPr="4820FEC8">
              <w:rPr>
                <w:b/>
                <w:bCs/>
              </w:rPr>
              <w:t xml:space="preserve"> approach</w:t>
            </w:r>
            <w:r>
              <w:t xml:space="preserve"> introduces practical requirements: coordinating multiple programs and institutions to avoid duplication and maximize impact, while ensuring alignment between environmental, social, and economic objectives. Although existing programs with a focus on women and the need for intersectoral coordination were acknowledged, the challenge </w:t>
            </w:r>
            <w:r w:rsidR="6D5A17B2">
              <w:t>is to transform</w:t>
            </w:r>
            <w:r>
              <w:t xml:space="preserve"> these priorities into operational criteria (targeting, equitable participation, and </w:t>
            </w:r>
            <w:r w:rsidR="7959AE7A">
              <w:t>gender sensitive</w:t>
            </w:r>
            <w:r>
              <w:t xml:space="preserve"> indicators) within both the design of instruments and the roadmap.</w:t>
            </w:r>
          </w:p>
          <w:p w14:paraId="60C7EFB8" w14:textId="77777777" w:rsidR="009E3A53" w:rsidRDefault="009E3A53" w:rsidP="009E3A53">
            <w:pPr>
              <w:ind w:left="360"/>
              <w:jc w:val="both"/>
            </w:pPr>
          </w:p>
          <w:p w14:paraId="14164501" w14:textId="0035DA08" w:rsidR="00676C12" w:rsidRDefault="00714038" w:rsidP="004B052B">
            <w:pPr>
              <w:jc w:val="both"/>
            </w:pPr>
            <w:r w:rsidRPr="00714038">
              <w:lastRenderedPageBreak/>
              <w:t xml:space="preserve">To strengthen this component’s roadmap—designed to support the implementation of the National Plan for Sustainable Consumption and Production—it is important to explicitly acknowledge the change in government and the potential reprioritization of the Ministry’s environmental agenda as a key challenge. Given the </w:t>
            </w:r>
            <w:r w:rsidR="00DE202B" w:rsidRPr="00714038">
              <w:t>implications of governance</w:t>
            </w:r>
            <w:r w:rsidRPr="00714038">
              <w:t xml:space="preserve">, this political risk should be recognized as a critical factor that may affect coordination, and </w:t>
            </w:r>
            <w:r w:rsidR="00576AEC">
              <w:t>i</w:t>
            </w:r>
            <w:r w:rsidRPr="00714038">
              <w:t>mplementation of the proposed actions. Additionally, the potential challenge posed by the change in government for the design of the roadmap itself was identified, underscoring the need to anticipate and address possible shifts in priorities and institutional direction.</w:t>
            </w:r>
          </w:p>
        </w:tc>
      </w:tr>
      <w:tr w:rsidR="00676C12" w14:paraId="05E3180E" w14:textId="77777777" w:rsidTr="4820FEC8">
        <w:tc>
          <w:tcPr>
            <w:tcW w:w="10457" w:type="dxa"/>
          </w:tcPr>
          <w:p w14:paraId="0A35B7DD" w14:textId="77777777" w:rsidR="00676C12" w:rsidRPr="00AF4544" w:rsidRDefault="00676C12" w:rsidP="00BD32D3">
            <w:pPr>
              <w:rPr>
                <w:b/>
                <w:bCs/>
              </w:rPr>
            </w:pPr>
            <w:r w:rsidRPr="00AF4544">
              <w:rPr>
                <w:b/>
                <w:bCs/>
              </w:rPr>
              <w:lastRenderedPageBreak/>
              <w:t>Looking Ahead:</w:t>
            </w:r>
          </w:p>
          <w:p w14:paraId="718DFDEB" w14:textId="3B293C1F" w:rsidR="006F4C5A" w:rsidRPr="006F4C5A" w:rsidRDefault="684FF506" w:rsidP="006F4C5A">
            <w:pPr>
              <w:jc w:val="both"/>
              <w:rPr>
                <w:lang w:val="en"/>
              </w:rPr>
            </w:pPr>
            <w:r>
              <w:t xml:space="preserve">To achieve the targets established under </w:t>
            </w:r>
            <w:r w:rsidR="15BA38E3">
              <w:t xml:space="preserve">Outcome </w:t>
            </w:r>
            <w:r>
              <w:t xml:space="preserve">2, </w:t>
            </w:r>
            <w:r w:rsidR="00685596" w:rsidRPr="00685596">
              <w:t xml:space="preserve">efforts are directed towards advancing the implementation of two innovative economic instruments on biodiversity (Certification and Compensation) by </w:t>
            </w:r>
            <w:r w:rsidR="00244650" w:rsidRPr="00685596">
              <w:t>analyzing</w:t>
            </w:r>
            <w:r w:rsidR="00685596" w:rsidRPr="00685596">
              <w:t xml:space="preserve"> governance,</w:t>
            </w:r>
            <w:r w:rsidR="00244650">
              <w:t xml:space="preserve"> </w:t>
            </w:r>
            <w:r>
              <w:t xml:space="preserve">verifiable standards, and public–private collaboration, aligned with sustainable consumption and production and incorporating an inclusive approach. </w:t>
            </w:r>
            <w:r w:rsidR="008372A9" w:rsidRPr="008372A9">
              <w:t xml:space="preserve">In the short term, the main objective will be to translate the participatory </w:t>
            </w:r>
            <w:r w:rsidR="008F5F42" w:rsidRPr="008372A9">
              <w:t>input</w:t>
            </w:r>
            <w:r w:rsidR="008372A9" w:rsidRPr="008372A9">
              <w:t xml:space="preserve"> into a practical operational framework. This includes an inter</w:t>
            </w:r>
            <w:r w:rsidR="008372A9" w:rsidRPr="008372A9">
              <w:rPr>
                <w:rFonts w:ascii="Cambria Math" w:hAnsi="Cambria Math" w:cs="Cambria Math"/>
              </w:rPr>
              <w:t>‑</w:t>
            </w:r>
            <w:r w:rsidR="008372A9" w:rsidRPr="008372A9">
              <w:t>institutional coordination structure that reduces fragmentation, clarifies roles, and ensures continuity. The Sustainable Consumption and Production Committee will serve as the primary governance mechanism for the implementation of the roadmap, providing the institutional platform needed to guide, coordinate, and oversee progress.</w:t>
            </w:r>
          </w:p>
          <w:p w14:paraId="379BE81E" w14:textId="77777777" w:rsidR="006F4C5A" w:rsidRPr="006F4C5A" w:rsidRDefault="006F4C5A" w:rsidP="006F4C5A">
            <w:pPr>
              <w:jc w:val="both"/>
              <w:rPr>
                <w:lang w:val="en"/>
              </w:rPr>
            </w:pPr>
            <w:r w:rsidRPr="006F4C5A">
              <w:rPr>
                <w:lang w:val="en"/>
              </w:rPr>
              <w:t>For 2026, the following activities are planned:</w:t>
            </w:r>
          </w:p>
          <w:p w14:paraId="7324A6F4" w14:textId="77777777" w:rsidR="006F4C5A" w:rsidRPr="006F4C5A" w:rsidRDefault="006F4C5A" w:rsidP="006F4C5A">
            <w:pPr>
              <w:jc w:val="both"/>
              <w:rPr>
                <w:lang w:val="en"/>
              </w:rPr>
            </w:pPr>
          </w:p>
          <w:p w14:paraId="27199F45" w14:textId="77777777" w:rsidR="006F4C5A" w:rsidRPr="006F4C5A" w:rsidRDefault="006F4C5A" w:rsidP="006F4C5A">
            <w:pPr>
              <w:pStyle w:val="ListParagraph"/>
              <w:numPr>
                <w:ilvl w:val="0"/>
                <w:numId w:val="17"/>
              </w:numPr>
              <w:jc w:val="both"/>
              <w:rPr>
                <w:lang w:val="en"/>
              </w:rPr>
            </w:pPr>
            <w:r w:rsidRPr="006F4C5A">
              <w:rPr>
                <w:lang w:val="en"/>
              </w:rPr>
              <w:t>Preparation of a policy document on innovative instruments for financing biodiversity conservation.</w:t>
            </w:r>
          </w:p>
          <w:p w14:paraId="1639916B" w14:textId="2ACA2B8D" w:rsidR="006F4C5A" w:rsidRPr="006F4C5A" w:rsidRDefault="4E22654D" w:rsidP="4820FEC8">
            <w:pPr>
              <w:pStyle w:val="ListParagraph"/>
              <w:numPr>
                <w:ilvl w:val="0"/>
                <w:numId w:val="17"/>
              </w:numPr>
              <w:jc w:val="both"/>
            </w:pPr>
            <w:r w:rsidRPr="4820FEC8">
              <w:t xml:space="preserve">An </w:t>
            </w:r>
            <w:r w:rsidR="26EACE27" w:rsidRPr="4820FEC8">
              <w:t xml:space="preserve">international seminar on Economic Incentives for Biodiversity Conservation, organized jointly with </w:t>
            </w:r>
            <w:r w:rsidR="25285B8F" w:rsidRPr="4820FEC8">
              <w:t xml:space="preserve">another </w:t>
            </w:r>
            <w:r w:rsidR="26EACE27" w:rsidRPr="4820FEC8">
              <w:t>GEF</w:t>
            </w:r>
            <w:r w:rsidR="2B799404" w:rsidRPr="4820FEC8">
              <w:t xml:space="preserve"> project called “</w:t>
            </w:r>
            <w:r w:rsidR="2B799404" w:rsidRPr="4820FEC8">
              <w:rPr>
                <w:i/>
                <w:iCs/>
              </w:rPr>
              <w:t xml:space="preserve">Economic instruments and tools to support the conservation of biodiversity” </w:t>
            </w:r>
            <w:r w:rsidR="2B799404" w:rsidRPr="4820FEC8">
              <w:t>(Ministry of Environment/UNDP)</w:t>
            </w:r>
            <w:r w:rsidR="21FAF981" w:rsidRPr="4820FEC8">
              <w:t xml:space="preserve"> to be held in May.</w:t>
            </w:r>
          </w:p>
          <w:p w14:paraId="659B94A9" w14:textId="23BFC41B" w:rsidR="006F4C5A" w:rsidRPr="006F4C5A" w:rsidRDefault="26EACE27" w:rsidP="006F4C5A">
            <w:pPr>
              <w:pStyle w:val="ListParagraph"/>
              <w:numPr>
                <w:ilvl w:val="0"/>
                <w:numId w:val="17"/>
              </w:numPr>
              <w:jc w:val="both"/>
            </w:pPr>
            <w:r w:rsidRPr="00C2A40E">
              <w:t xml:space="preserve">Completion of two consultancies aimed at advancing the implementation of innovative instruments promoted under Law 21.600—specifically the Biodiversity and Ecosystem Services Certification System and the Ecosystem Services Compensation Contracts—and </w:t>
            </w:r>
            <w:r w:rsidR="3A142C78" w:rsidRPr="00C2A40E">
              <w:t>elaboration of a</w:t>
            </w:r>
            <w:r w:rsidRPr="00C2A40E">
              <w:t xml:space="preserve"> guid</w:t>
            </w:r>
            <w:r w:rsidR="7AEA3537" w:rsidRPr="00C2A40E">
              <w:t>eline</w:t>
            </w:r>
            <w:r w:rsidRPr="00C2A40E">
              <w:t xml:space="preserve"> document with recommendations for incorporating biodiversity considerations into productive</w:t>
            </w:r>
            <w:r w:rsidRPr="00C2A40E">
              <w:rPr>
                <w:rFonts w:ascii="Cambria Math" w:hAnsi="Cambria Math" w:cs="Cambria Math"/>
              </w:rPr>
              <w:t>‑</w:t>
            </w:r>
            <w:r w:rsidRPr="00C2A40E">
              <w:t>development instruments of the Chilean Economic Development Agency (CORFO).</w:t>
            </w:r>
          </w:p>
          <w:p w14:paraId="7FAC0906" w14:textId="62C42F79" w:rsidR="00676C12" w:rsidRPr="006F4C5A" w:rsidRDefault="561993D4" w:rsidP="76640DCC">
            <w:pPr>
              <w:pStyle w:val="ListParagraph"/>
              <w:numPr>
                <w:ilvl w:val="0"/>
                <w:numId w:val="17"/>
              </w:numPr>
              <w:jc w:val="both"/>
            </w:pPr>
            <w:r w:rsidRPr="76640DCC">
              <w:t xml:space="preserve">Conducting a final workshop to validate the </w:t>
            </w:r>
            <w:proofErr w:type="gramStart"/>
            <w:r w:rsidRPr="76640DCC">
              <w:t>Roadmap</w:t>
            </w:r>
            <w:proofErr w:type="gramEnd"/>
            <w:r w:rsidRPr="76640DCC">
              <w:t>, to be agreed upon by all participating parties.</w:t>
            </w:r>
          </w:p>
        </w:tc>
      </w:tr>
    </w:tbl>
    <w:p w14:paraId="741E81B6" w14:textId="77777777" w:rsidR="00676C12" w:rsidRDefault="00676C12" w:rsidP="00676C12"/>
    <w:tbl>
      <w:tblPr>
        <w:tblStyle w:val="TableGrid"/>
        <w:tblW w:w="0" w:type="auto"/>
        <w:tblLook w:val="04A0" w:firstRow="1" w:lastRow="0" w:firstColumn="1" w:lastColumn="0" w:noHBand="0" w:noVBand="1"/>
      </w:tblPr>
      <w:tblGrid>
        <w:gridCol w:w="10456"/>
      </w:tblGrid>
      <w:tr w:rsidR="00154DC6" w:rsidRPr="00AF4544" w14:paraId="53C17405" w14:textId="77777777" w:rsidTr="4820FEC8">
        <w:tc>
          <w:tcPr>
            <w:tcW w:w="10457" w:type="dxa"/>
            <w:shd w:val="clear" w:color="auto" w:fill="D1D1D1" w:themeFill="background2" w:themeFillShade="E6"/>
          </w:tcPr>
          <w:p w14:paraId="45AB329C" w14:textId="7AB69B14" w:rsidR="00154DC6" w:rsidRPr="00B673D7" w:rsidRDefault="00154DC6" w:rsidP="00BD32D3">
            <w:pPr>
              <w:rPr>
                <w:b/>
                <w:bCs/>
                <w:color w:val="FFFFFF" w:themeColor="background1"/>
              </w:rPr>
            </w:pPr>
            <w:r w:rsidRPr="00B673D7">
              <w:rPr>
                <w:b/>
                <w:bCs/>
              </w:rPr>
              <w:t xml:space="preserve">Outcome 3: </w:t>
            </w:r>
            <w:r w:rsidR="00220911" w:rsidRPr="00B673D7">
              <w:rPr>
                <w:b/>
                <w:bCs/>
              </w:rPr>
              <w:t>Pilot case of community entrepreneurship for coastal conservation with a focus on biodiversity and sustainable tourism designed</w:t>
            </w:r>
          </w:p>
        </w:tc>
      </w:tr>
      <w:tr w:rsidR="00154DC6" w14:paraId="36286422" w14:textId="77777777" w:rsidTr="4820FEC8">
        <w:tc>
          <w:tcPr>
            <w:tcW w:w="10457" w:type="dxa"/>
          </w:tcPr>
          <w:p w14:paraId="3F8CCC7E" w14:textId="5372BAA5" w:rsidR="00154DC6" w:rsidRDefault="00154DC6" w:rsidP="00BD32D3">
            <w:pPr>
              <w:rPr>
                <w:b/>
                <w:bCs/>
              </w:rPr>
            </w:pPr>
            <w:r w:rsidRPr="00AF4544">
              <w:rPr>
                <w:b/>
                <w:bCs/>
              </w:rPr>
              <w:t>Key achievements</w:t>
            </w:r>
          </w:p>
          <w:p w14:paraId="6C5CDBC2" w14:textId="5F65857C" w:rsidR="00C75959" w:rsidRDefault="00713303" w:rsidP="007C6ABD">
            <w:r w:rsidRPr="009D1616">
              <w:t xml:space="preserve">“In 2025, the pilot was established in </w:t>
            </w:r>
            <w:proofErr w:type="spellStart"/>
            <w:r w:rsidRPr="009D1616">
              <w:t>Tongoy</w:t>
            </w:r>
            <w:proofErr w:type="spellEnd"/>
            <w:r w:rsidRPr="009D1616">
              <w:t>, a coastal town in the Coquimbo Region</w:t>
            </w:r>
            <w:r>
              <w:t>.</w:t>
            </w:r>
            <w:r w:rsidR="009D1616">
              <w:t xml:space="preserve"> </w:t>
            </w:r>
            <w:r w:rsidR="00C75959">
              <w:t xml:space="preserve">A key initial </w:t>
            </w:r>
            <w:r w:rsidR="00D25458" w:rsidRPr="00D25458">
              <w:t>achievement</w:t>
            </w:r>
            <w:r w:rsidR="00C75959">
              <w:t xml:space="preserve"> </w:t>
            </w:r>
            <w:r w:rsidR="34EBE7CC">
              <w:t xml:space="preserve">is </w:t>
            </w:r>
            <w:r w:rsidR="00C75959">
              <w:t>the technical definition of the pilot and its operational architecture</w:t>
            </w:r>
            <w:r w:rsidR="008F5F42">
              <w:t xml:space="preserve"> in </w:t>
            </w:r>
            <w:proofErr w:type="spellStart"/>
            <w:r w:rsidR="008F5F42">
              <w:t>Tongoy</w:t>
            </w:r>
            <w:proofErr w:type="spellEnd"/>
            <w:r w:rsidR="00C75959">
              <w:t xml:space="preserve">, aligned with the objective of the KBF project to connect </w:t>
            </w:r>
            <w:r w:rsidR="5716F0E2">
              <w:t>sustainable</w:t>
            </w:r>
            <w:r w:rsidR="5AE6C0CD">
              <w:t xml:space="preserve"> production</w:t>
            </w:r>
            <w:r w:rsidR="09CC293E">
              <w:t xml:space="preserve"> and consumption</w:t>
            </w:r>
            <w:r w:rsidR="00C75959">
              <w:t xml:space="preserve"> patterns with biodiversity and with the enabling instruments established under Law 21,600</w:t>
            </w:r>
            <w:r w:rsidR="00A37CA0">
              <w:t xml:space="preserve"> that creates the biodiversity and protected areas service and the national system of protected areas</w:t>
            </w:r>
            <w:r w:rsidR="00C75959">
              <w:t xml:space="preserve">. </w:t>
            </w:r>
            <w:r w:rsidR="00A14B4C" w:rsidRPr="00A14B4C">
              <w:t>The pilot aims to systematize and design a sustainable, community</w:t>
            </w:r>
            <w:r w:rsidR="00A14B4C" w:rsidRPr="00A14B4C">
              <w:rPr>
                <w:rFonts w:ascii="Cambria Math" w:hAnsi="Cambria Math" w:cs="Cambria Math"/>
              </w:rPr>
              <w:t>‑</w:t>
            </w:r>
            <w:r w:rsidR="00A14B4C" w:rsidRPr="00A14B4C">
              <w:t>based model within a Benthic Resource Management Area (AMERB), through the identification of extractive practices and sustainable operational patterns, and the development of recommendations for a potential Cleaner Production Agreement (APL).</w:t>
            </w:r>
            <w:r w:rsidR="00EA5DAF">
              <w:t xml:space="preserve"> </w:t>
            </w:r>
            <w:r w:rsidR="00C75959">
              <w:t>This constitutes a substantive advancement, as it operationalizes the target of Result 3 into a structured implementation pathway (characterization → traceability and market assessment → business model proposal → proposal for potential APL enablement).</w:t>
            </w:r>
          </w:p>
          <w:p w14:paraId="7F368295" w14:textId="77777777" w:rsidR="00EA5DAF" w:rsidRDefault="00EA5DAF" w:rsidP="00C75959">
            <w:pPr>
              <w:jc w:val="both"/>
            </w:pPr>
          </w:p>
          <w:p w14:paraId="4167819C" w14:textId="00CF974D" w:rsidR="00C75959" w:rsidRDefault="00C75959" w:rsidP="00C75959">
            <w:pPr>
              <w:jc w:val="both"/>
            </w:pPr>
            <w:r>
              <w:t xml:space="preserve">A second </w:t>
            </w:r>
            <w:r w:rsidR="00EA5DAF" w:rsidRPr="00D25458">
              <w:t>achievement</w:t>
            </w:r>
            <w:r>
              <w:t xml:space="preserve"> is </w:t>
            </w:r>
            <w:r w:rsidR="003535CF">
              <w:t xml:space="preserve">a document </w:t>
            </w:r>
            <w:r w:rsidR="008B4100">
              <w:t xml:space="preserve">with </w:t>
            </w:r>
            <w:r>
              <w:t>initial characterization of AMERB governance and management, including organizational structure, operational tiers (governing and operational bodies), and core obligations vis</w:t>
            </w:r>
            <w:r>
              <w:rPr>
                <w:rFonts w:ascii="Cambria Math" w:hAnsi="Cambria Math" w:cs="Cambria Math"/>
              </w:rPr>
              <w:t>‑</w:t>
            </w:r>
            <w:r>
              <w:t>à</w:t>
            </w:r>
            <w:r>
              <w:rPr>
                <w:rFonts w:ascii="Cambria Math" w:hAnsi="Cambria Math" w:cs="Cambria Math"/>
              </w:rPr>
              <w:t>‑</w:t>
            </w:r>
            <w:r>
              <w:t>vis sectoral authorities. The document systematizes the allocation, monitoring, and compliance processes inherent to the AMERB regime, and details internal roles and coordination flows for quota management, registries, landings, and enforcement. This provides the foundational governance parameters required to support a community</w:t>
            </w:r>
            <w:r>
              <w:rPr>
                <w:rFonts w:ascii="Cambria Math" w:hAnsi="Cambria Math" w:cs="Cambria Math"/>
              </w:rPr>
              <w:t>‑</w:t>
            </w:r>
            <w:r>
              <w:t>based enterprise model with clearly defined procedures.</w:t>
            </w:r>
          </w:p>
          <w:p w14:paraId="7810EA9C" w14:textId="77777777" w:rsidR="008B4100" w:rsidRDefault="008B4100" w:rsidP="00C75959">
            <w:pPr>
              <w:jc w:val="both"/>
            </w:pPr>
          </w:p>
          <w:p w14:paraId="3AE4194F" w14:textId="1226DD9F" w:rsidR="00C75959" w:rsidRDefault="00C75959" w:rsidP="00C75959">
            <w:pPr>
              <w:jc w:val="both"/>
            </w:pPr>
            <w:r>
              <w:lastRenderedPageBreak/>
              <w:t>A third</w:t>
            </w:r>
            <w:r w:rsidR="008B4100" w:rsidRPr="00D25458">
              <w:t xml:space="preserve"> achievement</w:t>
            </w:r>
            <w:r>
              <w:t xml:space="preserve"> is the mapping of stakeholders and relational dynamics within the socio</w:t>
            </w:r>
            <w:r>
              <w:rPr>
                <w:rFonts w:ascii="Cambria Math" w:hAnsi="Cambria Math" w:cs="Cambria Math"/>
              </w:rPr>
              <w:t>‑</w:t>
            </w:r>
            <w:r>
              <w:t>productive system, which is critical for co</w:t>
            </w:r>
            <w:r>
              <w:rPr>
                <w:rFonts w:ascii="Cambria Math" w:hAnsi="Cambria Math" w:cs="Cambria Math"/>
              </w:rPr>
              <w:t>‑</w:t>
            </w:r>
            <w:r>
              <w:t>management and for integrating nature</w:t>
            </w:r>
            <w:r>
              <w:rPr>
                <w:rFonts w:ascii="Cambria Math" w:hAnsi="Cambria Math" w:cs="Cambria Math"/>
              </w:rPr>
              <w:t>‑</w:t>
            </w:r>
            <w:r>
              <w:t>based tourism and conservation objectives. The report develops a stakeholder map based on “influence” and “participation,” identifying regulatory and institutional actors, community</w:t>
            </w:r>
            <w:r>
              <w:rPr>
                <w:rFonts w:ascii="Cambria Math" w:hAnsi="Cambria Math" w:cs="Cambria Math"/>
              </w:rPr>
              <w:t>‑</w:t>
            </w:r>
            <w:r>
              <w:t>based private actors, corporate private actors, commercial entities, and research/academic institutions. It categorizes linkages into commercial, institutional, and research</w:t>
            </w:r>
            <w:r>
              <w:rPr>
                <w:rFonts w:ascii="Cambria Math" w:hAnsi="Cambria Math" w:cs="Cambria Math"/>
              </w:rPr>
              <w:t>‑</w:t>
            </w:r>
            <w:r>
              <w:t>oriented relationships. This mapping supports the design of an expanded governance framework for the pilot and enables anticipation of necessary coordination agreements (e.g., with seed suppliers, sanitary authorities, academia, and the municipal government).</w:t>
            </w:r>
          </w:p>
          <w:p w14:paraId="6DF1000C" w14:textId="77777777" w:rsidR="007A6ACF" w:rsidRDefault="007A6ACF" w:rsidP="00C75959">
            <w:pPr>
              <w:jc w:val="both"/>
            </w:pPr>
          </w:p>
          <w:p w14:paraId="178DCE19" w14:textId="2F7477D0" w:rsidR="00154DC6" w:rsidRDefault="00C75959" w:rsidP="00C75959">
            <w:pPr>
              <w:jc w:val="both"/>
            </w:pPr>
            <w:r>
              <w:t>Finally, initial progress has been achieved in the integration of a gender perspective based on diagnostic evidence. The report presents gender</w:t>
            </w:r>
            <w:r>
              <w:rPr>
                <w:rFonts w:ascii="Cambria Math" w:hAnsi="Cambria Math" w:cs="Cambria Math"/>
              </w:rPr>
              <w:t>‑</w:t>
            </w:r>
            <w:r>
              <w:t>disaggregated data for local organizations (e.g., distribution of male/female membership), enabling the formulation of affirmative measures and the monitoring of targets related to women’s participation.</w:t>
            </w:r>
          </w:p>
        </w:tc>
      </w:tr>
      <w:tr w:rsidR="00154DC6" w14:paraId="492252F6" w14:textId="77777777" w:rsidTr="4820FEC8">
        <w:tc>
          <w:tcPr>
            <w:tcW w:w="10457" w:type="dxa"/>
          </w:tcPr>
          <w:p w14:paraId="46963807" w14:textId="77777777" w:rsidR="00154DC6" w:rsidRDefault="00154DC6" w:rsidP="00BD32D3">
            <w:pPr>
              <w:jc w:val="both"/>
              <w:rPr>
                <w:b/>
                <w:bCs/>
              </w:rPr>
            </w:pPr>
            <w:r w:rsidRPr="00AF4544">
              <w:rPr>
                <w:b/>
                <w:bCs/>
              </w:rPr>
              <w:lastRenderedPageBreak/>
              <w:t>Challenges:</w:t>
            </w:r>
          </w:p>
          <w:p w14:paraId="7B05C28C" w14:textId="77777777" w:rsidR="006C2AB3" w:rsidRPr="00AF4544" w:rsidRDefault="006C2AB3" w:rsidP="00BD32D3">
            <w:pPr>
              <w:jc w:val="both"/>
              <w:rPr>
                <w:b/>
                <w:bCs/>
              </w:rPr>
            </w:pPr>
          </w:p>
          <w:p w14:paraId="1A03AB05" w14:textId="2A5F9EE2" w:rsidR="00694304" w:rsidRDefault="00694304" w:rsidP="08E2EA0C">
            <w:pPr>
              <w:jc w:val="both"/>
            </w:pPr>
            <w:r w:rsidRPr="76640DCC">
              <w:t xml:space="preserve">By late 2025, the pilot site was shifted from </w:t>
            </w:r>
            <w:proofErr w:type="spellStart"/>
            <w:r w:rsidRPr="76640DCC">
              <w:t>Tongoy</w:t>
            </w:r>
            <w:proofErr w:type="spellEnd"/>
            <w:r w:rsidRPr="76640DCC">
              <w:t xml:space="preserve"> to Puerto Aldea due to suboptimal conditions of trust and internal governance that hindered </w:t>
            </w:r>
            <w:r w:rsidR="1AEFFCEA">
              <w:t xml:space="preserve">its </w:t>
            </w:r>
            <w:r w:rsidR="2F7887C5">
              <w:t>implementation.</w:t>
            </w:r>
            <w:r w:rsidRPr="76640DCC">
              <w:t xml:space="preserve"> Although this change required an adjustment of the work plan, it can be interpreted as an achievement in adaptive management, as it prioritizes enabling conditions for community co</w:t>
            </w:r>
            <w:r w:rsidRPr="76640DCC">
              <w:rPr>
                <w:rFonts w:ascii="Cambria Math" w:hAnsi="Cambria Math" w:cs="Cambria Math"/>
              </w:rPr>
              <w:t>‑</w:t>
            </w:r>
            <w:r w:rsidRPr="76640DCC">
              <w:t>design, initial implementation, and future replicability of the model.</w:t>
            </w:r>
            <w:r w:rsidR="59F74114">
              <w:t xml:space="preserve"> Also, this pilot will allow a strong collaboration with the GEF project </w:t>
            </w:r>
            <w:r w:rsidR="3F5469AC">
              <w:t>“</w:t>
            </w:r>
            <w:r w:rsidR="3F5469AC" w:rsidRPr="007833FD">
              <w:rPr>
                <w:i/>
                <w:iCs/>
              </w:rPr>
              <w:t>Catalysing Implementation of a Strategic Action Programme for the Sustainable Management of Shared Living Marine Resources in the Humboldt Current System</w:t>
            </w:r>
            <w:r w:rsidR="3F5469AC" w:rsidRPr="08E2EA0C">
              <w:rPr>
                <w:i/>
                <w:iCs/>
              </w:rPr>
              <w:t xml:space="preserve">” </w:t>
            </w:r>
            <w:r w:rsidR="3F5469AC" w:rsidRPr="08E2EA0C">
              <w:t xml:space="preserve">which also is implementing a pilot on </w:t>
            </w:r>
            <w:r w:rsidR="3C12883C" w:rsidRPr="08E2EA0C">
              <w:t>productive diversification in Puerto Aldea.</w:t>
            </w:r>
          </w:p>
          <w:p w14:paraId="359CA895" w14:textId="77777777" w:rsidR="00A3071A" w:rsidRDefault="00A3071A" w:rsidP="08E2EA0C">
            <w:pPr>
              <w:jc w:val="both"/>
            </w:pPr>
          </w:p>
          <w:p w14:paraId="46D6004A" w14:textId="707CF8A5" w:rsidR="00A338EA" w:rsidRDefault="00A338EA" w:rsidP="00A338EA">
            <w:pPr>
              <w:jc w:val="both"/>
            </w:pPr>
            <w:r>
              <w:t xml:space="preserve">In Puerto Aldea, a marine resource with commercial potential known as </w:t>
            </w:r>
            <w:proofErr w:type="spellStart"/>
            <w:r>
              <w:t>chocha</w:t>
            </w:r>
            <w:proofErr w:type="spellEnd"/>
            <w:r>
              <w:t xml:space="preserve">, in </w:t>
            </w:r>
            <w:r w:rsidR="0054389B">
              <w:t>Spanish</w:t>
            </w:r>
            <w:r>
              <w:t xml:space="preserve"> (</w:t>
            </w:r>
            <w:proofErr w:type="spellStart"/>
            <w:r>
              <w:t>Calyptraea</w:t>
            </w:r>
            <w:proofErr w:type="spellEnd"/>
            <w:r>
              <w:t xml:space="preserve"> </w:t>
            </w:r>
            <w:proofErr w:type="spellStart"/>
            <w:r>
              <w:t>trochiformis</w:t>
            </w:r>
            <w:proofErr w:type="spellEnd"/>
            <w:r>
              <w:t xml:space="preserve">) has been identified. This species corresponds to a filter-feeding gastropod </w:t>
            </w:r>
            <w:r w:rsidR="00E61311">
              <w:t>whose natural distribution range</w:t>
            </w:r>
            <w:r>
              <w:t xml:space="preserve"> from Ecuador to the Coquimbo Region.</w:t>
            </w:r>
          </w:p>
          <w:p w14:paraId="1AD5F5E5" w14:textId="77777777" w:rsidR="00A338EA" w:rsidRDefault="00A338EA" w:rsidP="00A338EA">
            <w:pPr>
              <w:jc w:val="both"/>
            </w:pPr>
            <w:proofErr w:type="spellStart"/>
            <w:r>
              <w:t>Chocha</w:t>
            </w:r>
            <w:proofErr w:type="spellEnd"/>
            <w:r>
              <w:t xml:space="preserve"> maintains a close ecological relationship with seagrass meadows—ecosystems of high ecological value that perform essential functions, including:</w:t>
            </w:r>
          </w:p>
          <w:p w14:paraId="1D4711F5" w14:textId="77777777" w:rsidR="00A338EA" w:rsidRDefault="00A338EA" w:rsidP="00A338EA">
            <w:pPr>
              <w:jc w:val="both"/>
            </w:pPr>
          </w:p>
          <w:p w14:paraId="4A88AD95" w14:textId="2AD6B270" w:rsidR="00A338EA" w:rsidRDefault="00A338EA" w:rsidP="00A338EA">
            <w:pPr>
              <w:pStyle w:val="ListParagraph"/>
              <w:numPr>
                <w:ilvl w:val="0"/>
                <w:numId w:val="22"/>
              </w:numPr>
              <w:jc w:val="both"/>
            </w:pPr>
            <w:r>
              <w:t xml:space="preserve">providing refuge and breeding grounds for a wide variety of marine </w:t>
            </w:r>
            <w:r w:rsidR="00E61311">
              <w:t>species.</w:t>
            </w:r>
          </w:p>
          <w:p w14:paraId="78781534" w14:textId="4CC74A65" w:rsidR="00A338EA" w:rsidRDefault="00A338EA" w:rsidP="00A338EA">
            <w:pPr>
              <w:pStyle w:val="ListParagraph"/>
              <w:numPr>
                <w:ilvl w:val="0"/>
                <w:numId w:val="22"/>
              </w:numPr>
              <w:jc w:val="both"/>
            </w:pPr>
            <w:r>
              <w:t xml:space="preserve">filtering and improving water </w:t>
            </w:r>
            <w:r w:rsidR="00E61311">
              <w:t>quality.</w:t>
            </w:r>
          </w:p>
          <w:p w14:paraId="31D25132" w14:textId="77777777" w:rsidR="00A338EA" w:rsidRDefault="00A338EA" w:rsidP="00A338EA">
            <w:pPr>
              <w:pStyle w:val="ListParagraph"/>
              <w:numPr>
                <w:ilvl w:val="0"/>
                <w:numId w:val="22"/>
              </w:numPr>
              <w:jc w:val="both"/>
            </w:pPr>
            <w:r>
              <w:t>possessing a high capacity for carbon capture and storage (blue carbon).</w:t>
            </w:r>
          </w:p>
          <w:p w14:paraId="6C81B4D1" w14:textId="77777777" w:rsidR="00A338EA" w:rsidRDefault="00A338EA" w:rsidP="00A338EA">
            <w:pPr>
              <w:jc w:val="both"/>
            </w:pPr>
          </w:p>
          <w:p w14:paraId="4702A4F8" w14:textId="77777777" w:rsidR="00A338EA" w:rsidRDefault="00A338EA" w:rsidP="00A338EA">
            <w:pPr>
              <w:jc w:val="both"/>
            </w:pPr>
            <w:r>
              <w:t>Historically, between 1985 and 1990, this resource was intensively exploited by the artisanal fishing sector, leading to the local extinction of the population in Puerto Aldea. Subsequently, following the establishment of the Puerto Aldea Artisanal Fishers and Divers Guild Association in 2000, together with favorable environmental conditions and the adoption of more responsible harvesting practices, the species successfully re-established itself in the area.</w:t>
            </w:r>
          </w:p>
          <w:p w14:paraId="7BD256AC" w14:textId="4B7F9F6D" w:rsidR="00A338EA" w:rsidRDefault="00A338EA" w:rsidP="00A338EA">
            <w:pPr>
              <w:jc w:val="both"/>
            </w:pPr>
            <w:r>
              <w:t xml:space="preserve">At present, the </w:t>
            </w:r>
            <w:proofErr w:type="spellStart"/>
            <w:r>
              <w:t>chocha</w:t>
            </w:r>
            <w:proofErr w:type="spellEnd"/>
            <w:r>
              <w:t xml:space="preserve"> population is subject to sustainable management within the AMERB framework, constituting a significant example of benthic resource recovery achieved through community-based management.</w:t>
            </w:r>
          </w:p>
          <w:p w14:paraId="030B678A" w14:textId="050C7A24" w:rsidR="00694304" w:rsidRDefault="00694304" w:rsidP="08E2EA0C">
            <w:pPr>
              <w:jc w:val="both"/>
              <w:rPr>
                <w:lang w:val="en"/>
              </w:rPr>
            </w:pPr>
          </w:p>
          <w:p w14:paraId="5814AA7B" w14:textId="64572256" w:rsidR="00694304" w:rsidRDefault="0A10C1EC" w:rsidP="08E2EA0C">
            <w:pPr>
              <w:jc w:val="both"/>
            </w:pPr>
            <w:r w:rsidRPr="08E2EA0C">
              <w:t>Other challenges identified is that the pilot is structured around multiple actors with varying levels of influence and participation (institutions, community</w:t>
            </w:r>
            <w:r w:rsidRPr="08E2EA0C">
              <w:rPr>
                <w:rFonts w:ascii="Cambria Math" w:hAnsi="Cambria Math" w:cs="Cambria Math"/>
              </w:rPr>
              <w:t>‑</w:t>
            </w:r>
            <w:r w:rsidRPr="08E2EA0C">
              <w:t>based private actors, private sector companies, commerce, and academia), which will require strong coordination mechanisms for aligning incentives, agreements, and responsibilities. This is particularly relevant for sanitary matters and authorizations for human consumption, where regional sanitary authorities also influence operational feasibility.</w:t>
            </w:r>
          </w:p>
          <w:p w14:paraId="54FEAC3C" w14:textId="1FAE611B" w:rsidR="00154DC6" w:rsidRPr="00B330BE" w:rsidRDefault="00154DC6" w:rsidP="4820FEC8">
            <w:pPr>
              <w:jc w:val="both"/>
            </w:pPr>
          </w:p>
        </w:tc>
      </w:tr>
      <w:tr w:rsidR="00154DC6" w14:paraId="3815E1D9" w14:textId="77777777" w:rsidTr="4820FEC8">
        <w:tc>
          <w:tcPr>
            <w:tcW w:w="10457" w:type="dxa"/>
          </w:tcPr>
          <w:p w14:paraId="44D5870D" w14:textId="77777777" w:rsidR="00154DC6" w:rsidRDefault="00154DC6" w:rsidP="00BD32D3">
            <w:pPr>
              <w:rPr>
                <w:b/>
                <w:bCs/>
              </w:rPr>
            </w:pPr>
            <w:r w:rsidRPr="00AF4544">
              <w:rPr>
                <w:b/>
                <w:bCs/>
              </w:rPr>
              <w:t>Looking Ahead:</w:t>
            </w:r>
          </w:p>
          <w:p w14:paraId="3FDFC3BF" w14:textId="77777777" w:rsidR="00057DB6" w:rsidRPr="00AF4544" w:rsidRDefault="00057DB6" w:rsidP="00BD32D3">
            <w:pPr>
              <w:rPr>
                <w:b/>
                <w:bCs/>
              </w:rPr>
            </w:pPr>
          </w:p>
          <w:p w14:paraId="6DA33954" w14:textId="5316D6DD" w:rsidR="00057DB6" w:rsidRDefault="3E86176E" w:rsidP="00057DB6">
            <w:pPr>
              <w:jc w:val="both"/>
            </w:pPr>
            <w:r>
              <w:t>The Pilot in</w:t>
            </w:r>
            <w:r w:rsidR="00057DB6">
              <w:t xml:space="preserve"> Puerto Alde</w:t>
            </w:r>
            <w:r w:rsidR="2DE2AEA7">
              <w:t>a</w:t>
            </w:r>
            <w:r w:rsidR="00CE6897">
              <w:t xml:space="preserve"> </w:t>
            </w:r>
            <w:r w:rsidR="00057DB6">
              <w:t>should focus on securing enabling conditions, closing information gaps, and formalizing operational agreements with key stakeholders:</w:t>
            </w:r>
          </w:p>
          <w:p w14:paraId="29DB3E3C" w14:textId="77777777" w:rsidR="00057DB6" w:rsidRDefault="00057DB6" w:rsidP="00057DB6">
            <w:pPr>
              <w:jc w:val="both"/>
            </w:pPr>
          </w:p>
          <w:p w14:paraId="26B243E5" w14:textId="77777777" w:rsidR="00057DB6" w:rsidRDefault="00057DB6" w:rsidP="00195344">
            <w:pPr>
              <w:pStyle w:val="ListParagraph"/>
              <w:numPr>
                <w:ilvl w:val="0"/>
                <w:numId w:val="18"/>
              </w:numPr>
              <w:jc w:val="both"/>
            </w:pPr>
            <w:r w:rsidRPr="00195344">
              <w:rPr>
                <w:b/>
                <w:bCs/>
              </w:rPr>
              <w:t>Adjust the work plan for the new pilot site:</w:t>
            </w:r>
            <w:r>
              <w:t xml:space="preserve"> update the schedule, field activities, and stakeholder engagement strategy in Puerto Aldea </w:t>
            </w:r>
            <w:proofErr w:type="gramStart"/>
            <w:r>
              <w:t>to re</w:t>
            </w:r>
            <w:r w:rsidRPr="00195344">
              <w:rPr>
                <w:rFonts w:ascii="Cambria Math" w:hAnsi="Cambria Math" w:cs="Cambria Math"/>
              </w:rPr>
              <w:t>‑</w:t>
            </w:r>
            <w:r>
              <w:t>establish</w:t>
            </w:r>
            <w:proofErr w:type="gramEnd"/>
            <w:r>
              <w:t xml:space="preserve"> methodological continuity following pending and rescheduled actions.</w:t>
            </w:r>
          </w:p>
          <w:p w14:paraId="76C5FA8E" w14:textId="7531E17D" w:rsidR="00057DB6" w:rsidRDefault="00057DB6" w:rsidP="00195344">
            <w:pPr>
              <w:pStyle w:val="ListParagraph"/>
              <w:numPr>
                <w:ilvl w:val="0"/>
                <w:numId w:val="18"/>
              </w:numPr>
              <w:jc w:val="both"/>
            </w:pPr>
            <w:r w:rsidRPr="00DC0DF5">
              <w:rPr>
                <w:b/>
                <w:bCs/>
              </w:rPr>
              <w:t>Complete the organizational and governance characterization of the AMERB:</w:t>
            </w:r>
            <w:r>
              <w:t xml:space="preserve"> </w:t>
            </w:r>
            <w:r w:rsidR="797D58BE">
              <w:t xml:space="preserve">by </w:t>
            </w:r>
            <w:r w:rsidR="4B2735D1">
              <w:t>establishing</w:t>
            </w:r>
            <w:r>
              <w:t xml:space="preserve"> roles, decision</w:t>
            </w:r>
            <w:r w:rsidRPr="00195344">
              <w:rPr>
                <w:rFonts w:ascii="Cambria Math" w:hAnsi="Cambria Math" w:cs="Cambria Math"/>
              </w:rPr>
              <w:t>‑</w:t>
            </w:r>
            <w:r>
              <w:t xml:space="preserve">making processes, internal control mechanisms, and reporting and monitoring obligations linked to relevant institutions, ensuring that the model is </w:t>
            </w:r>
            <w:r w:rsidR="1B24D877">
              <w:t>implemented under</w:t>
            </w:r>
            <w:r>
              <w:t xml:space="preserve"> clear governance rules and realistic management capacities.</w:t>
            </w:r>
          </w:p>
          <w:p w14:paraId="7BD80637" w14:textId="15A46CED" w:rsidR="00057DB6" w:rsidRDefault="00057DB6" w:rsidP="00195344">
            <w:pPr>
              <w:pStyle w:val="ListParagraph"/>
              <w:numPr>
                <w:ilvl w:val="0"/>
                <w:numId w:val="18"/>
              </w:numPr>
              <w:jc w:val="both"/>
            </w:pPr>
            <w:r w:rsidRPr="00DC0DF5">
              <w:rPr>
                <w:b/>
                <w:bCs/>
              </w:rPr>
              <w:t>Validate and refine the stakeholder map for Puerto Aldea:</w:t>
            </w:r>
            <w:r>
              <w:t xml:space="preserve"> </w:t>
            </w:r>
            <w:r w:rsidR="3F4C5081">
              <w:t>Identify and engage with local</w:t>
            </w:r>
            <w:r>
              <w:t xml:space="preserve"> actors (sectoral and sanitary authorities, municipal government, academia, commerce, and community</w:t>
            </w:r>
            <w:r w:rsidRPr="00195344">
              <w:rPr>
                <w:rFonts w:ascii="Cambria Math" w:hAnsi="Cambria Math" w:cs="Cambria Math"/>
              </w:rPr>
              <w:t>‑</w:t>
            </w:r>
            <w:r>
              <w:t>based private actors) and define a coordination pathway through technical working groups, focal points, and formalized commitments.</w:t>
            </w:r>
          </w:p>
          <w:p w14:paraId="1AFFE6C6" w14:textId="6859337E" w:rsidR="00057DB6" w:rsidRDefault="00057DB6" w:rsidP="00195344">
            <w:pPr>
              <w:pStyle w:val="ListParagraph"/>
              <w:numPr>
                <w:ilvl w:val="0"/>
                <w:numId w:val="18"/>
              </w:numPr>
              <w:jc w:val="both"/>
            </w:pPr>
            <w:r w:rsidRPr="00D07A4D">
              <w:rPr>
                <w:b/>
                <w:bCs/>
              </w:rPr>
              <w:t>Co</w:t>
            </w:r>
            <w:r w:rsidRPr="00D07A4D">
              <w:rPr>
                <w:rFonts w:ascii="Cambria Math" w:hAnsi="Cambria Math" w:cs="Cambria Math"/>
                <w:b/>
                <w:bCs/>
              </w:rPr>
              <w:t>‑</w:t>
            </w:r>
            <w:r w:rsidRPr="00D07A4D">
              <w:rPr>
                <w:b/>
                <w:bCs/>
              </w:rPr>
              <w:t>design the community</w:t>
            </w:r>
            <w:r w:rsidRPr="00D07A4D">
              <w:rPr>
                <w:rFonts w:ascii="Cambria Math" w:hAnsi="Cambria Math" w:cs="Cambria Math"/>
                <w:b/>
                <w:bCs/>
              </w:rPr>
              <w:t>‑</w:t>
            </w:r>
            <w:r w:rsidRPr="00D07A4D">
              <w:rPr>
                <w:b/>
                <w:bCs/>
              </w:rPr>
              <w:t xml:space="preserve">based enterprise model: </w:t>
            </w:r>
            <w:r>
              <w:t>conduct participatory workshops to define the value proposition</w:t>
            </w:r>
            <w:r w:rsidR="00562759">
              <w:t xml:space="preserve"> of the </w:t>
            </w:r>
            <w:proofErr w:type="spellStart"/>
            <w:r w:rsidR="00562759">
              <w:t>Chocha</w:t>
            </w:r>
            <w:proofErr w:type="spellEnd"/>
            <w:r>
              <w:t xml:space="preserve"> (fisheries/aquaculture combined with nature</w:t>
            </w:r>
            <w:r w:rsidRPr="00195344">
              <w:rPr>
                <w:rFonts w:ascii="Cambria Math" w:hAnsi="Cambria Math" w:cs="Cambria Math"/>
              </w:rPr>
              <w:t>‑</w:t>
            </w:r>
            <w:r>
              <w:t>based tourism), establish governance arrangements, and develop a portfolio of biodiversity</w:t>
            </w:r>
            <w:r w:rsidRPr="00195344">
              <w:rPr>
                <w:rFonts w:ascii="Cambria Math" w:hAnsi="Cambria Math" w:cs="Cambria Math"/>
              </w:rPr>
              <w:t>‑</w:t>
            </w:r>
            <w:r>
              <w:t>responsible production practices (standards, traceability mechanisms, and environmental management measures).</w:t>
            </w:r>
          </w:p>
          <w:p w14:paraId="19EC1FC7" w14:textId="71CAC8EC" w:rsidR="00783774" w:rsidRPr="00783774" w:rsidRDefault="00057DB6" w:rsidP="00783774">
            <w:pPr>
              <w:pStyle w:val="ListParagraph"/>
              <w:numPr>
                <w:ilvl w:val="0"/>
                <w:numId w:val="18"/>
              </w:numPr>
              <w:jc w:val="both"/>
            </w:pPr>
            <w:r w:rsidRPr="00D07A4D">
              <w:rPr>
                <w:b/>
                <w:bCs/>
              </w:rPr>
              <w:t xml:space="preserve">Support information gathering </w:t>
            </w:r>
            <w:r w:rsidR="63167361" w:rsidRPr="08E2EA0C">
              <w:rPr>
                <w:b/>
                <w:bCs/>
              </w:rPr>
              <w:t>for a</w:t>
            </w:r>
            <w:r w:rsidRPr="08E2EA0C">
              <w:rPr>
                <w:b/>
                <w:bCs/>
              </w:rPr>
              <w:t xml:space="preserve"> </w:t>
            </w:r>
            <w:r w:rsidRPr="00D07A4D">
              <w:rPr>
                <w:b/>
                <w:bCs/>
              </w:rPr>
              <w:t>Clean Production Agreement (APL</w:t>
            </w:r>
            <w:r w:rsidR="0088709E">
              <w:rPr>
                <w:b/>
                <w:bCs/>
              </w:rPr>
              <w:t xml:space="preserve">, in </w:t>
            </w:r>
            <w:r w:rsidR="00C6271E">
              <w:rPr>
                <w:b/>
                <w:bCs/>
              </w:rPr>
              <w:t>Spanish</w:t>
            </w:r>
            <w:r w:rsidRPr="00D07A4D">
              <w:rPr>
                <w:b/>
                <w:bCs/>
              </w:rPr>
              <w:t>):</w:t>
            </w:r>
            <w:r>
              <w:t xml:space="preserve"> initiate demonstration activities—such as best</w:t>
            </w:r>
            <w:r w:rsidRPr="00195344">
              <w:rPr>
                <w:rFonts w:ascii="Cambria Math" w:hAnsi="Cambria Math" w:cs="Cambria Math"/>
              </w:rPr>
              <w:t>‑</w:t>
            </w:r>
            <w:r>
              <w:t>practice implementation, traceability exercises, and operational improvements—accompanied by technical assistance.</w:t>
            </w:r>
            <w:r w:rsidR="00783774">
              <w:t xml:space="preserve"> </w:t>
            </w:r>
            <w:r w:rsidR="00783774" w:rsidRPr="00783774">
              <w:t>The APL enables the implementation of a sustainable productive management framework for the Puerto Aldea fishing cove through the adoption of measures and actions aimed at ensuring an appropriate coexistence between extractive activities and local biodiversity, reducing emissions discharged into the marine environment, and promoting the development of activities associated with artisanal fisheries within a sustainability-based framework.</w:t>
            </w:r>
          </w:p>
          <w:p w14:paraId="1544481F" w14:textId="27E85067" w:rsidR="00057DB6" w:rsidRDefault="00057DB6" w:rsidP="00195344">
            <w:pPr>
              <w:pStyle w:val="ListParagraph"/>
              <w:numPr>
                <w:ilvl w:val="0"/>
                <w:numId w:val="18"/>
              </w:numPr>
              <w:jc w:val="both"/>
            </w:pPr>
            <w:r w:rsidRPr="00BA109A">
              <w:rPr>
                <w:b/>
                <w:bCs/>
              </w:rPr>
              <w:t>Operationalize the gender approach</w:t>
            </w:r>
            <w:r>
              <w:t>: ensure minimum participation thresholds (</w:t>
            </w:r>
            <w:r w:rsidR="00BA109A">
              <w:t xml:space="preserve">more than </w:t>
            </w:r>
            <w:r>
              <w:t>30% women), adjust scheduling and logistics, increase visibility of women’s roles, and agree on simple indicators to monitor participation and benefit distribution.</w:t>
            </w:r>
          </w:p>
          <w:p w14:paraId="77C0BCBF" w14:textId="693DD55D" w:rsidR="00154DC6" w:rsidRPr="00195344" w:rsidRDefault="00057DB6" w:rsidP="00195344">
            <w:pPr>
              <w:pStyle w:val="ListParagraph"/>
              <w:numPr>
                <w:ilvl w:val="0"/>
                <w:numId w:val="18"/>
              </w:numPr>
              <w:jc w:val="both"/>
              <w:rPr>
                <w:lang w:val="en"/>
              </w:rPr>
            </w:pPr>
            <w:r w:rsidRPr="00BA109A">
              <w:rPr>
                <w:b/>
                <w:bCs/>
              </w:rPr>
              <w:t>Develop an initial monitoring system</w:t>
            </w:r>
            <w:r>
              <w:t>: define minimum evidence requirements, including baseline information and operational and biodiversity indicators, to document early results and support future model replicability.</w:t>
            </w:r>
          </w:p>
        </w:tc>
      </w:tr>
    </w:tbl>
    <w:p w14:paraId="55FF243D" w14:textId="77777777" w:rsidR="00154DC6" w:rsidRDefault="00154DC6" w:rsidP="00676C12"/>
    <w:p w14:paraId="7679E697" w14:textId="77777777" w:rsidR="00154DC6" w:rsidRDefault="00154DC6" w:rsidP="00676C12"/>
    <w:p w14:paraId="5C6AA6A6" w14:textId="77777777" w:rsidR="00154DC6" w:rsidRDefault="00154DC6" w:rsidP="00676C12"/>
    <w:p w14:paraId="3B8738C1" w14:textId="77777777" w:rsidR="00154DC6" w:rsidRDefault="00154DC6" w:rsidP="00676C12"/>
    <w:tbl>
      <w:tblPr>
        <w:tblStyle w:val="TableGrid"/>
        <w:tblW w:w="0" w:type="auto"/>
        <w:shd w:val="clear" w:color="auto" w:fill="FFFF00"/>
        <w:tblLook w:val="04A0" w:firstRow="1" w:lastRow="0" w:firstColumn="1" w:lastColumn="0" w:noHBand="0" w:noVBand="1"/>
      </w:tblPr>
      <w:tblGrid>
        <w:gridCol w:w="10456"/>
      </w:tblGrid>
      <w:tr w:rsidR="00676C12" w:rsidRPr="00AF4544" w14:paraId="62A53A17" w14:textId="77777777" w:rsidTr="00662973">
        <w:tc>
          <w:tcPr>
            <w:tcW w:w="10456" w:type="dxa"/>
          </w:tcPr>
          <w:p w14:paraId="51631EE6" w14:textId="77777777" w:rsidR="00676C12" w:rsidRPr="00AF4544" w:rsidRDefault="00676C12" w:rsidP="00BD32D3">
            <w:pPr>
              <w:rPr>
                <w:color w:val="FFFFFF" w:themeColor="background1"/>
              </w:rPr>
            </w:pPr>
            <w:r>
              <w:rPr>
                <w:color w:val="FFFFFF" w:themeColor="background1"/>
              </w:rPr>
              <w:t>MEL and Communications Activities</w:t>
            </w:r>
          </w:p>
        </w:tc>
      </w:tr>
      <w:tr w:rsidR="00676C12" w14:paraId="28415450" w14:textId="77777777" w:rsidTr="00662973">
        <w:tc>
          <w:tcPr>
            <w:tcW w:w="10456" w:type="dxa"/>
          </w:tcPr>
          <w:p w14:paraId="77B26AB4" w14:textId="77777777" w:rsidR="00676C12" w:rsidRPr="00AF4544" w:rsidRDefault="00676C12" w:rsidP="00BD32D3">
            <w:pPr>
              <w:rPr>
                <w:b/>
                <w:bCs/>
              </w:rPr>
            </w:pPr>
            <w:r w:rsidRPr="00AF4544">
              <w:rPr>
                <w:b/>
                <w:bCs/>
              </w:rPr>
              <w:t>Key achievements:</w:t>
            </w:r>
          </w:p>
          <w:p w14:paraId="186B7DF4" w14:textId="755DD0BD" w:rsidR="00407AE6" w:rsidRDefault="003A629F" w:rsidP="003A629F">
            <w:pPr>
              <w:jc w:val="both"/>
            </w:pPr>
            <w:r w:rsidRPr="00662973">
              <w:rPr>
                <w:b/>
                <w:bCs/>
              </w:rPr>
              <w:t>Traceable and replicable methodological framework:</w:t>
            </w:r>
            <w:r w:rsidR="00662973">
              <w:rPr>
                <w:b/>
                <w:bCs/>
              </w:rPr>
              <w:t xml:space="preserve"> </w:t>
            </w:r>
            <w:r>
              <w:t>A causality</w:t>
            </w:r>
            <w:r>
              <w:rPr>
                <w:rFonts w:ascii="Cambria Math" w:hAnsi="Cambria Math" w:cs="Cambria Math"/>
              </w:rPr>
              <w:t>‑</w:t>
            </w:r>
            <w:r>
              <w:t>based approach aligned with IPBES was consolidated, structuring the diagnostic around five direct drivers and organizing it under the DPSIR framework. This enables</w:t>
            </w:r>
            <w:r w:rsidR="18A7D740">
              <w:t xml:space="preserve"> a</w:t>
            </w:r>
            <w:r>
              <w:t xml:space="preserve"> clear differentiation of pressures, state, and impacts</w:t>
            </w:r>
            <w:r w:rsidR="12655598">
              <w:t xml:space="preserve"> of production and consumption patterns on </w:t>
            </w:r>
            <w:r w:rsidR="0058752A">
              <w:t>biodiversity</w:t>
            </w:r>
            <w:r>
              <w:t xml:space="preserve"> and guides decision</w:t>
            </w:r>
            <w:r>
              <w:rPr>
                <w:rFonts w:ascii="Cambria Math" w:hAnsi="Cambria Math" w:cs="Cambria Math"/>
              </w:rPr>
              <w:t>‑</w:t>
            </w:r>
            <w:r>
              <w:t xml:space="preserve">making (“where to act first” and “what to measure”). </w:t>
            </w:r>
          </w:p>
          <w:p w14:paraId="15DA13CA" w14:textId="77777777" w:rsidR="00407AE6" w:rsidRDefault="00407AE6" w:rsidP="003A629F">
            <w:pPr>
              <w:jc w:val="both"/>
            </w:pPr>
          </w:p>
          <w:p w14:paraId="0F01E5D2" w14:textId="6ECBA732" w:rsidR="003A629F" w:rsidRDefault="003A629F" w:rsidP="003A629F">
            <w:pPr>
              <w:jc w:val="both"/>
            </w:pPr>
            <w:r>
              <w:t>The multicriteria prioritization focuses efforts through:</w:t>
            </w:r>
          </w:p>
          <w:p w14:paraId="56DA617C" w14:textId="77777777" w:rsidR="003A629F" w:rsidRDefault="003A629F" w:rsidP="003A629F">
            <w:pPr>
              <w:jc w:val="both"/>
            </w:pPr>
          </w:p>
          <w:p w14:paraId="12DAB4BB" w14:textId="77777777" w:rsidR="003A629F" w:rsidRDefault="003A629F" w:rsidP="001A730D">
            <w:pPr>
              <w:pStyle w:val="ListParagraph"/>
              <w:numPr>
                <w:ilvl w:val="0"/>
                <w:numId w:val="19"/>
              </w:numPr>
              <w:jc w:val="both"/>
            </w:pPr>
            <w:r>
              <w:t xml:space="preserve">A </w:t>
            </w:r>
            <w:r w:rsidRPr="001A730D">
              <w:rPr>
                <w:b/>
                <w:bCs/>
              </w:rPr>
              <w:t>prioritization scheme for productive sectors/groups</w:t>
            </w:r>
            <w:r>
              <w:t xml:space="preserve"> (with weighted criteria), which directs actions and indicators toward areas of greatest relevance and risk for biodiversity.</w:t>
            </w:r>
          </w:p>
          <w:p w14:paraId="6001E709" w14:textId="1DBA35A8" w:rsidR="003A629F" w:rsidRDefault="003A629F" w:rsidP="00BD32D3">
            <w:pPr>
              <w:pStyle w:val="ListParagraph"/>
              <w:numPr>
                <w:ilvl w:val="0"/>
                <w:numId w:val="19"/>
              </w:numPr>
              <w:jc w:val="both"/>
            </w:pPr>
            <w:r w:rsidRPr="001A730D">
              <w:rPr>
                <w:b/>
                <w:bCs/>
              </w:rPr>
              <w:t>Proposal of SMART indicators and technical sheets:</w:t>
            </w:r>
            <w:r w:rsidR="001A730D" w:rsidRPr="001A730D">
              <w:rPr>
                <w:b/>
                <w:bCs/>
              </w:rPr>
              <w:t xml:space="preserve"> </w:t>
            </w:r>
            <w:r>
              <w:t>Indicators were designed using SMART criteria, accompanied by technical sheets (definition, calculation method, frequency, sources), transforming the diagnostic into an initial foundation for periodic monitoring and results tracking.</w:t>
            </w:r>
          </w:p>
          <w:p w14:paraId="2CBB0B02" w14:textId="252B0EBB" w:rsidR="003A629F" w:rsidRDefault="003A629F" w:rsidP="00BD32D3">
            <w:pPr>
              <w:pStyle w:val="ListParagraph"/>
              <w:numPr>
                <w:ilvl w:val="0"/>
                <w:numId w:val="19"/>
              </w:numPr>
              <w:jc w:val="both"/>
            </w:pPr>
            <w:r w:rsidRPr="001A730D">
              <w:rPr>
                <w:b/>
                <w:bCs/>
              </w:rPr>
              <w:t>Operationalization of the consumption</w:t>
            </w:r>
            <w:r w:rsidRPr="001A730D">
              <w:rPr>
                <w:rFonts w:ascii="Cambria Math" w:hAnsi="Cambria Math" w:cs="Cambria Math"/>
                <w:b/>
                <w:bCs/>
              </w:rPr>
              <w:t>‑</w:t>
            </w:r>
            <w:r w:rsidRPr="001A730D">
              <w:rPr>
                <w:b/>
                <w:bCs/>
              </w:rPr>
              <w:t>impact linkage:</w:t>
            </w:r>
            <w:r w:rsidR="001A730D">
              <w:t xml:space="preserve"> </w:t>
            </w:r>
            <w:r>
              <w:t xml:space="preserve">A matrix was developed that connects consumption categories with upstream impact pathways, identifying intervention points (standards, </w:t>
            </w:r>
            <w:r>
              <w:lastRenderedPageBreak/>
              <w:t>traceability, circularity, public procurement, consumer information) and enabling a monitoring framework across all supply systems.</w:t>
            </w:r>
          </w:p>
          <w:p w14:paraId="0FBA8B50" w14:textId="77777777" w:rsidR="00AB1150" w:rsidRDefault="00AB1150" w:rsidP="003A629F">
            <w:pPr>
              <w:jc w:val="both"/>
            </w:pPr>
          </w:p>
          <w:p w14:paraId="4D45E052" w14:textId="5B65AFDF" w:rsidR="003A629F" w:rsidRDefault="003A629F" w:rsidP="003A629F">
            <w:pPr>
              <w:jc w:val="both"/>
            </w:pPr>
            <w:r w:rsidRPr="00AB1150">
              <w:rPr>
                <w:b/>
                <w:bCs/>
              </w:rPr>
              <w:t>Participatory learning and validation:</w:t>
            </w:r>
            <w:r w:rsidR="00AB1150">
              <w:rPr>
                <w:b/>
                <w:bCs/>
              </w:rPr>
              <w:t xml:space="preserve"> </w:t>
            </w:r>
            <w:r>
              <w:t xml:space="preserve">A qualitative participatory process was carried out with public and private institutions, generating </w:t>
            </w:r>
            <w:proofErr w:type="gramStart"/>
            <w:r>
              <w:t>inputs</w:t>
            </w:r>
            <w:proofErr w:type="gramEnd"/>
            <w:r>
              <w:t xml:space="preserve"> to validate findings, identify information gaps, and strengthen intersectoral coordination needs. This supported evidence</w:t>
            </w:r>
            <w:r>
              <w:rPr>
                <w:rFonts w:ascii="Cambria Math" w:hAnsi="Cambria Math" w:cs="Cambria Math"/>
              </w:rPr>
              <w:t>‑</w:t>
            </w:r>
            <w:r>
              <w:t>based learning and refinement of the approach.</w:t>
            </w:r>
          </w:p>
          <w:p w14:paraId="2903BDC9" w14:textId="77777777" w:rsidR="00AB1150" w:rsidRDefault="00AB1150" w:rsidP="003A629F">
            <w:pPr>
              <w:jc w:val="both"/>
            </w:pPr>
          </w:p>
          <w:p w14:paraId="4ECB4360" w14:textId="77777777" w:rsidR="00AB1150" w:rsidRPr="00AB1150" w:rsidRDefault="003A629F" w:rsidP="003A629F">
            <w:pPr>
              <w:jc w:val="both"/>
              <w:rPr>
                <w:b/>
                <w:bCs/>
                <w:u w:val="single"/>
              </w:rPr>
            </w:pPr>
            <w:r w:rsidRPr="00AB1150">
              <w:rPr>
                <w:b/>
                <w:bCs/>
                <w:u w:val="single"/>
              </w:rPr>
              <w:t>Communication</w:t>
            </w:r>
            <w:r w:rsidRPr="00AB1150">
              <w:rPr>
                <w:rFonts w:ascii="Cambria Math" w:hAnsi="Cambria Math" w:cs="Cambria Math"/>
                <w:b/>
                <w:bCs/>
                <w:u w:val="single"/>
              </w:rPr>
              <w:t>‑</w:t>
            </w:r>
            <w:r w:rsidRPr="00AB1150">
              <w:rPr>
                <w:b/>
                <w:bCs/>
                <w:u w:val="single"/>
              </w:rPr>
              <w:t>related achievements:</w:t>
            </w:r>
            <w:r w:rsidR="00AB1150" w:rsidRPr="00AB1150">
              <w:rPr>
                <w:b/>
                <w:bCs/>
                <w:u w:val="single"/>
              </w:rPr>
              <w:t xml:space="preserve"> </w:t>
            </w:r>
          </w:p>
          <w:p w14:paraId="6CC10598" w14:textId="77777777" w:rsidR="00AB1150" w:rsidRDefault="00AB1150" w:rsidP="003A629F">
            <w:pPr>
              <w:jc w:val="both"/>
            </w:pPr>
          </w:p>
          <w:p w14:paraId="59FEF797" w14:textId="4893487C" w:rsidR="003A629F" w:rsidRDefault="003A629F" w:rsidP="003A629F">
            <w:pPr>
              <w:jc w:val="both"/>
            </w:pPr>
            <w:r w:rsidRPr="00AB1150">
              <w:rPr>
                <w:b/>
                <w:bCs/>
              </w:rPr>
              <w:t>Definition of priority audiences and messaging strategy:</w:t>
            </w:r>
            <w:r w:rsidR="00AB1150">
              <w:rPr>
                <w:b/>
                <w:bCs/>
              </w:rPr>
              <w:t xml:space="preserve"> </w:t>
            </w:r>
            <w:r>
              <w:t>Target audiences were segmented, and a message framework for a national campaign was defined, prioritizing audiences with high amplification potential and decision</w:t>
            </w:r>
            <w:r>
              <w:rPr>
                <w:rFonts w:ascii="Cambria Math" w:hAnsi="Cambria Math" w:cs="Cambria Math"/>
              </w:rPr>
              <w:t>‑</w:t>
            </w:r>
            <w:r>
              <w:t>making influence, using a direct tone suitable for digital outreach.</w:t>
            </w:r>
          </w:p>
          <w:p w14:paraId="69A63FDA" w14:textId="072FA534" w:rsidR="003A629F" w:rsidRDefault="003A629F" w:rsidP="003A629F">
            <w:pPr>
              <w:jc w:val="both"/>
            </w:pPr>
            <w:r w:rsidRPr="00A04201">
              <w:rPr>
                <w:b/>
                <w:bCs/>
              </w:rPr>
              <w:t>Narrative architecture and creative guidelines:</w:t>
            </w:r>
            <w:r w:rsidR="00A04201" w:rsidRPr="00A04201">
              <w:rPr>
                <w:b/>
                <w:bCs/>
              </w:rPr>
              <w:t xml:space="preserve"> </w:t>
            </w:r>
            <w:r w:rsidRPr="00A04201">
              <w:t>A</w:t>
            </w:r>
            <w:r>
              <w:t xml:space="preserve"> communication structure was developed (a “Did you know…?” hook, secondary messages with data/indicators, and a positive and inclusive call to action), along with guidelines for responsible representation and conceptual coherence.</w:t>
            </w:r>
          </w:p>
          <w:p w14:paraId="6FC71743" w14:textId="4807ABD9" w:rsidR="003A629F" w:rsidRDefault="003A629F" w:rsidP="003A629F">
            <w:pPr>
              <w:jc w:val="both"/>
            </w:pPr>
            <w:r w:rsidRPr="00A04201">
              <w:rPr>
                <w:b/>
                <w:bCs/>
              </w:rPr>
              <w:t>Prototyping of materials and content:</w:t>
            </w:r>
            <w:r w:rsidR="00A04201">
              <w:t xml:space="preserve"> </w:t>
            </w:r>
            <w:r>
              <w:t>Pilot pieces and guidelines for digital formats were advanced, facilitating scalability and consistency of the campaign.</w:t>
            </w:r>
          </w:p>
          <w:p w14:paraId="7A1A412C" w14:textId="63766429" w:rsidR="007D554B" w:rsidRDefault="003A629F" w:rsidP="003A629F">
            <w:pPr>
              <w:jc w:val="both"/>
            </w:pPr>
            <w:r w:rsidRPr="00A04201">
              <w:rPr>
                <w:b/>
                <w:bCs/>
              </w:rPr>
              <w:t>Production methodology and institutional validation:</w:t>
            </w:r>
            <w:r w:rsidR="00A04201">
              <w:rPr>
                <w:b/>
                <w:bCs/>
              </w:rPr>
              <w:t xml:space="preserve"> </w:t>
            </w:r>
            <w:r>
              <w:t>A workflow was established with defined stages, quality controls, review rounds, and institutional coordination, enabling operational readiness for publication and content maintenance.</w:t>
            </w:r>
          </w:p>
          <w:p w14:paraId="31A87FF3" w14:textId="4648573E" w:rsidR="003A629F" w:rsidRDefault="003A629F" w:rsidP="003A629F">
            <w:pPr>
              <w:jc w:val="both"/>
            </w:pPr>
          </w:p>
        </w:tc>
      </w:tr>
      <w:tr w:rsidR="00676C12" w14:paraId="11492651" w14:textId="77777777" w:rsidTr="00C233AD">
        <w:tc>
          <w:tcPr>
            <w:tcW w:w="10456" w:type="dxa"/>
          </w:tcPr>
          <w:p w14:paraId="6D4C3C07" w14:textId="77777777" w:rsidR="00676C12" w:rsidRPr="008461B5" w:rsidRDefault="00676C12" w:rsidP="00EA13DA">
            <w:pPr>
              <w:jc w:val="both"/>
              <w:rPr>
                <w:b/>
                <w:bCs/>
              </w:rPr>
            </w:pPr>
            <w:r w:rsidRPr="008461B5">
              <w:rPr>
                <w:b/>
                <w:bCs/>
              </w:rPr>
              <w:lastRenderedPageBreak/>
              <w:t>Challenges:</w:t>
            </w:r>
          </w:p>
          <w:p w14:paraId="37D5BF82" w14:textId="72C68AF9" w:rsidR="00C233AD" w:rsidRDefault="00C233AD" w:rsidP="00C233AD">
            <w:pPr>
              <w:jc w:val="both"/>
            </w:pPr>
            <w:r>
              <w:t xml:space="preserve">In Chile, the </w:t>
            </w:r>
            <w:r w:rsidRPr="00614112">
              <w:rPr>
                <w:b/>
                <w:bCs/>
              </w:rPr>
              <w:t>change of government</w:t>
            </w:r>
            <w:r>
              <w:t xml:space="preserve"> represents one of the key challenges for project implementation. On March 11, 2026, a new presidential term will begin, bringing changes in senior leadership across all public institutions. This may lead to delays in implementation due to slower validation processes for the various project deliverables. To mitigate this risk, the national counterpart has reviewed and validated the planning required to ensure successful completion of the project at the end of 2025 and the beginning of 2026. Additionally, all communication materials have been revised to ensure that the project’s objectives are conveyed clearly and </w:t>
            </w:r>
            <w:r w:rsidR="00BC2CD2">
              <w:t>accessible</w:t>
            </w:r>
            <w:r>
              <w:t xml:space="preserve"> to stakeholders.</w:t>
            </w:r>
          </w:p>
          <w:p w14:paraId="1D33E202" w14:textId="77777777" w:rsidR="00BC2CD2" w:rsidRDefault="00BC2CD2" w:rsidP="00C233AD">
            <w:pPr>
              <w:jc w:val="both"/>
            </w:pPr>
          </w:p>
          <w:p w14:paraId="1E20BED0" w14:textId="5244780F" w:rsidR="00C233AD" w:rsidRDefault="00C233AD" w:rsidP="00C233AD">
            <w:pPr>
              <w:jc w:val="both"/>
            </w:pPr>
            <w:r>
              <w:t xml:space="preserve">Within this context, the </w:t>
            </w:r>
            <w:r w:rsidRPr="00BC2CD2">
              <w:rPr>
                <w:b/>
                <w:bCs/>
              </w:rPr>
              <w:t>focal point within the national counterpart may also change</w:t>
            </w:r>
            <w:r>
              <w:t xml:space="preserve">. For this reason, agreements on the 2026 work plan and the commitments related to project objectives and activities </w:t>
            </w:r>
            <w:r w:rsidR="722F72FA">
              <w:t xml:space="preserve">will need to be </w:t>
            </w:r>
            <w:r>
              <w:t>formally established. To support a smooth transition and maintain continuity, meetings with the incoming national authorities are planned, including a formal presentation of the project and the implementation plan for 2026.</w:t>
            </w:r>
          </w:p>
          <w:p w14:paraId="68620B1C" w14:textId="77777777" w:rsidR="00CC1064" w:rsidRDefault="00CC1064" w:rsidP="00C233AD">
            <w:pPr>
              <w:jc w:val="both"/>
            </w:pPr>
          </w:p>
          <w:p w14:paraId="13D9D962" w14:textId="0048A577" w:rsidR="00C233AD" w:rsidRDefault="00C233AD" w:rsidP="00C233AD">
            <w:pPr>
              <w:jc w:val="both"/>
            </w:pPr>
            <w:r w:rsidRPr="00CC1064">
              <w:rPr>
                <w:b/>
                <w:bCs/>
              </w:rPr>
              <w:t>Data gaps:</w:t>
            </w:r>
            <w:r w:rsidR="00CC1064">
              <w:rPr>
                <w:b/>
                <w:bCs/>
              </w:rPr>
              <w:t xml:space="preserve"> </w:t>
            </w:r>
            <w:r>
              <w:t>Significant information and traceability gaps persist, making it difficult to attribute environmental pressures to productive activities and</w:t>
            </w:r>
            <w:proofErr w:type="gramStart"/>
            <w:r>
              <w:t>, in particular, to</w:t>
            </w:r>
            <w:proofErr w:type="gramEnd"/>
            <w:r>
              <w:t xml:space="preserve"> final consumption. Fragmented data across value chains—including imported goods and complex production systems—limits the development of consistent footprint indicators (materials, water, land, emissions) and reduces the capacity to evaluate policies using a results</w:t>
            </w:r>
            <w:r>
              <w:rPr>
                <w:rFonts w:ascii="Cambria Math" w:hAnsi="Cambria Math" w:cs="Cambria Math"/>
              </w:rPr>
              <w:t>‑</w:t>
            </w:r>
            <w:r>
              <w:t>based approach. To address this, the project will propose a methodology and indicators to support traceability and identify information gaps, contributing to improved data on the impacts of production and consumption patterns on biodiversity conservation.</w:t>
            </w:r>
          </w:p>
          <w:p w14:paraId="7F9D6176" w14:textId="77777777" w:rsidR="00C163CA" w:rsidRDefault="00C163CA" w:rsidP="00C233AD">
            <w:pPr>
              <w:jc w:val="both"/>
            </w:pPr>
          </w:p>
          <w:p w14:paraId="5A4522C9" w14:textId="7B8AFDD4" w:rsidR="00C233AD" w:rsidRDefault="00C233AD" w:rsidP="00C233AD">
            <w:pPr>
              <w:jc w:val="both"/>
            </w:pPr>
            <w:r w:rsidRPr="00C163CA">
              <w:rPr>
                <w:b/>
                <w:bCs/>
              </w:rPr>
              <w:t>Greenwashing:</w:t>
            </w:r>
            <w:r w:rsidR="00C163CA">
              <w:rPr>
                <w:b/>
                <w:bCs/>
              </w:rPr>
              <w:t xml:space="preserve"> </w:t>
            </w:r>
            <w:r>
              <w:t>This risk was highlighted during participatory sessions, where stakeholders noted that companies may adopt communication strategies that overstate their environmental responsibility. To address this concern, the roadmap will include recommendations for strengthening public policy and institutional arrangements for monitoring, reporting, and verifying activities related to production and consumption patterns.</w:t>
            </w:r>
          </w:p>
          <w:p w14:paraId="0A31AA89" w14:textId="77777777" w:rsidR="0058141F" w:rsidRDefault="0058141F" w:rsidP="00C233AD">
            <w:pPr>
              <w:jc w:val="both"/>
            </w:pPr>
          </w:p>
          <w:p w14:paraId="61EB0C71" w14:textId="26CD3B20" w:rsidR="00676C12" w:rsidRPr="00EA13DA" w:rsidRDefault="00C233AD" w:rsidP="0058141F">
            <w:pPr>
              <w:jc w:val="both"/>
            </w:pPr>
            <w:r w:rsidRPr="0058141F">
              <w:rPr>
                <w:b/>
                <w:bCs/>
              </w:rPr>
              <w:t>Weaknesses in pilot governance:</w:t>
            </w:r>
            <w:r w:rsidR="0058141F">
              <w:rPr>
                <w:b/>
                <w:bCs/>
              </w:rPr>
              <w:t xml:space="preserve"> </w:t>
            </w:r>
            <w:r>
              <w:t>Another potential challenge relates to insufficient stakeholder commitment or changes in governance within local organizations. To mitigate this risk, the project will implement outreach activities and structured dialogue mechanisms with key local actors.</w:t>
            </w:r>
          </w:p>
        </w:tc>
      </w:tr>
      <w:tr w:rsidR="00676C12" w14:paraId="175324DA" w14:textId="77777777" w:rsidTr="00E30DEC">
        <w:tc>
          <w:tcPr>
            <w:tcW w:w="10456" w:type="dxa"/>
          </w:tcPr>
          <w:p w14:paraId="3E4FAE0B" w14:textId="77777777" w:rsidR="00676C12" w:rsidRPr="00E30DEC" w:rsidRDefault="00676C12" w:rsidP="00BD32D3">
            <w:pPr>
              <w:rPr>
                <w:rFonts w:asciiTheme="minorHAnsi" w:hAnsiTheme="minorHAnsi"/>
                <w:b/>
                <w:bCs/>
              </w:rPr>
            </w:pPr>
            <w:r w:rsidRPr="00E30DEC">
              <w:rPr>
                <w:rFonts w:asciiTheme="minorHAnsi" w:hAnsiTheme="minorHAnsi"/>
                <w:b/>
                <w:bCs/>
              </w:rPr>
              <w:lastRenderedPageBreak/>
              <w:t>Looking Ahead:</w:t>
            </w:r>
          </w:p>
          <w:p w14:paraId="6ADD6C23" w14:textId="66B339D7" w:rsidR="00E30DEC" w:rsidRPr="00E30DEC" w:rsidRDefault="00E30DEC" w:rsidP="00B51661">
            <w:pPr>
              <w:pStyle w:val="NormalWeb"/>
              <w:numPr>
                <w:ilvl w:val="0"/>
                <w:numId w:val="21"/>
              </w:numPr>
              <w:spacing w:line="300" w:lineRule="atLeast"/>
              <w:rPr>
                <w:rFonts w:asciiTheme="minorHAnsi" w:hAnsiTheme="minorHAnsi" w:cs="Segoe UI"/>
                <w:sz w:val="21"/>
                <w:szCs w:val="21"/>
                <w:lang w:val="en-US" w:eastAsia="en-US"/>
              </w:rPr>
            </w:pPr>
            <w:r w:rsidRPr="00081F73">
              <w:rPr>
                <w:rStyle w:val="Strong"/>
                <w:rFonts w:asciiTheme="minorHAnsi" w:eastAsiaTheme="majorEastAsia" w:hAnsiTheme="minorHAnsi" w:cs="Segoe UI"/>
                <w:sz w:val="21"/>
                <w:szCs w:val="21"/>
                <w:lang w:val="en-US"/>
              </w:rPr>
              <w:t>For the collection of information and for awareness</w:t>
            </w:r>
            <w:r w:rsidR="23BCE3CB" w:rsidRPr="30089901">
              <w:rPr>
                <w:rStyle w:val="Strong"/>
                <w:rFonts w:asciiTheme="minorHAnsi" w:eastAsiaTheme="majorEastAsia" w:hAnsiTheme="minorHAnsi" w:cs="Segoe UI"/>
                <w:sz w:val="21"/>
                <w:szCs w:val="21"/>
                <w:lang w:val="en-US"/>
              </w:rPr>
              <w:t xml:space="preserve"> </w:t>
            </w:r>
            <w:r w:rsidRPr="00081F73">
              <w:rPr>
                <w:rStyle w:val="Strong"/>
                <w:rFonts w:asciiTheme="minorHAnsi" w:eastAsiaTheme="majorEastAsia" w:hAnsiTheme="minorHAnsi" w:cs="Segoe UI"/>
                <w:sz w:val="21"/>
                <w:szCs w:val="21"/>
                <w:lang w:val="en-US"/>
              </w:rPr>
              <w:t>raising on responsible production and consumption patterns:</w:t>
            </w:r>
            <w:r w:rsidRPr="005603DB">
              <w:rPr>
                <w:lang w:val="en-US"/>
              </w:rPr>
              <w:br/>
            </w:r>
            <w:r w:rsidR="00081F73">
              <w:rPr>
                <w:rStyle w:val="Strong"/>
                <w:rFonts w:asciiTheme="minorHAnsi" w:eastAsiaTheme="majorEastAsia" w:hAnsiTheme="minorHAnsi" w:cs="Segoe UI"/>
                <w:sz w:val="21"/>
                <w:szCs w:val="21"/>
                <w:lang w:val="en-US"/>
              </w:rPr>
              <w:t>a)</w:t>
            </w:r>
            <w:r w:rsidRPr="00E30DEC">
              <w:rPr>
                <w:rStyle w:val="Strong"/>
                <w:rFonts w:asciiTheme="minorHAnsi" w:eastAsiaTheme="majorEastAsia" w:hAnsiTheme="minorHAnsi" w:cs="Segoe UI"/>
                <w:sz w:val="21"/>
                <w:szCs w:val="21"/>
                <w:lang w:val="en-US"/>
              </w:rPr>
              <w:t xml:space="preserve"> Information gathering:</w:t>
            </w:r>
            <w:r w:rsidRPr="00E30DEC">
              <w:rPr>
                <w:rFonts w:asciiTheme="minorHAnsi" w:hAnsiTheme="minorHAnsi" w:cs="Segoe UI"/>
                <w:sz w:val="21"/>
                <w:szCs w:val="21"/>
                <w:lang w:val="en-US"/>
              </w:rPr>
              <w:t xml:space="preserve"> Indicators will be developed to evaluate the impacts on national biodiversity arising from production and consumption associated with agricultural, livestock, forestry, fisheries, and aquaculture productive groups. This effort will strengthen the proposal for an information</w:t>
            </w:r>
            <w:r w:rsidR="484C54C7" w:rsidRPr="30089901">
              <w:rPr>
                <w:rFonts w:asciiTheme="minorHAnsi" w:hAnsiTheme="minorHAnsi" w:cs="Segoe UI"/>
                <w:sz w:val="21"/>
                <w:szCs w:val="21"/>
                <w:lang w:val="en-US"/>
              </w:rPr>
              <w:t xml:space="preserve"> </w:t>
            </w:r>
            <w:r w:rsidRPr="00E30DEC">
              <w:rPr>
                <w:rFonts w:asciiTheme="minorHAnsi" w:hAnsiTheme="minorHAnsi" w:cs="Segoe UI"/>
                <w:sz w:val="21"/>
                <w:szCs w:val="21"/>
                <w:lang w:val="en-US"/>
              </w:rPr>
              <w:t>traceability framework and a methodology for identifying, characterizing, and quantifying the drivers of impact on biodiversity and ecosystem services.</w:t>
            </w:r>
            <w:r w:rsidRPr="005603DB">
              <w:rPr>
                <w:lang w:val="en-US"/>
              </w:rPr>
              <w:br/>
            </w:r>
            <w:r w:rsidR="00081F73">
              <w:rPr>
                <w:rStyle w:val="Strong"/>
                <w:rFonts w:asciiTheme="minorHAnsi" w:eastAsiaTheme="majorEastAsia" w:hAnsiTheme="minorHAnsi" w:cs="Segoe UI"/>
                <w:sz w:val="21"/>
                <w:szCs w:val="21"/>
                <w:lang w:val="en-US"/>
              </w:rPr>
              <w:t>b)</w:t>
            </w:r>
            <w:r w:rsidRPr="00E30DEC">
              <w:rPr>
                <w:rStyle w:val="Strong"/>
                <w:rFonts w:asciiTheme="minorHAnsi" w:eastAsiaTheme="majorEastAsia" w:hAnsiTheme="minorHAnsi" w:cs="Segoe UI"/>
                <w:sz w:val="21"/>
                <w:szCs w:val="21"/>
                <w:lang w:val="en-US"/>
              </w:rPr>
              <w:t xml:space="preserve"> Awareness</w:t>
            </w:r>
            <w:r w:rsidR="45DACF14" w:rsidRPr="30089901">
              <w:rPr>
                <w:rStyle w:val="Strong"/>
                <w:rFonts w:asciiTheme="minorHAnsi" w:eastAsiaTheme="majorEastAsia" w:hAnsiTheme="minorHAnsi" w:cs="Segoe UI"/>
                <w:sz w:val="21"/>
                <w:szCs w:val="21"/>
                <w:lang w:val="en-US"/>
              </w:rPr>
              <w:t xml:space="preserve"> </w:t>
            </w:r>
            <w:r w:rsidRPr="00E30DEC">
              <w:rPr>
                <w:rStyle w:val="Strong"/>
                <w:rFonts w:asciiTheme="minorHAnsi" w:eastAsiaTheme="majorEastAsia" w:hAnsiTheme="minorHAnsi" w:cs="Segoe UI"/>
                <w:sz w:val="21"/>
                <w:szCs w:val="21"/>
                <w:lang w:val="en-US"/>
              </w:rPr>
              <w:t>raising:</w:t>
            </w:r>
            <w:r w:rsidRPr="00E30DEC">
              <w:rPr>
                <w:rFonts w:asciiTheme="minorHAnsi" w:hAnsiTheme="minorHAnsi" w:cs="Segoe UI"/>
                <w:sz w:val="21"/>
                <w:szCs w:val="21"/>
                <w:lang w:val="en-US"/>
              </w:rPr>
              <w:t xml:space="preserve"> An awareness campaign will be implemented, comprising environmental education activities aligned with the project’s objectives; a contest targeting children, youth, and adults on the impacts of production and consumption patterns on biodiversity; and the design and implementation of an institutional digital platform to disseminate the project and its respective outputs.</w:t>
            </w:r>
          </w:p>
          <w:p w14:paraId="4B8A6EB4" w14:textId="63BB0799" w:rsidR="00E30DEC" w:rsidRPr="00E30DEC" w:rsidRDefault="00E30DEC" w:rsidP="00081F73">
            <w:pPr>
              <w:pStyle w:val="NormalWeb"/>
              <w:numPr>
                <w:ilvl w:val="1"/>
                <w:numId w:val="21"/>
              </w:numPr>
              <w:spacing w:line="300" w:lineRule="atLeast"/>
              <w:ind w:left="738" w:hanging="284"/>
              <w:rPr>
                <w:rFonts w:asciiTheme="minorHAnsi" w:hAnsiTheme="minorHAnsi" w:cs="Segoe UI"/>
                <w:sz w:val="21"/>
                <w:szCs w:val="21"/>
                <w:lang w:val="en-US"/>
              </w:rPr>
            </w:pPr>
            <w:r w:rsidRPr="00E30DEC">
              <w:rPr>
                <w:rStyle w:val="Strong"/>
                <w:rFonts w:asciiTheme="minorHAnsi" w:eastAsiaTheme="majorEastAsia" w:hAnsiTheme="minorHAnsi" w:cs="Segoe UI"/>
                <w:sz w:val="21"/>
                <w:szCs w:val="21"/>
                <w:lang w:val="en-US"/>
              </w:rPr>
              <w:t>Regarding the Strategic Roadmap for the design of economic instruments for biodiversity conservation:</w:t>
            </w:r>
            <w:r w:rsidRPr="00E30DEC">
              <w:rPr>
                <w:rFonts w:asciiTheme="minorHAnsi" w:hAnsiTheme="minorHAnsi" w:cs="Segoe UI"/>
                <w:sz w:val="21"/>
                <w:szCs w:val="21"/>
                <w:lang w:val="en-US"/>
              </w:rPr>
              <w:br/>
            </w:r>
            <w:r w:rsidR="00081F73">
              <w:rPr>
                <w:rStyle w:val="Strong"/>
                <w:rFonts w:asciiTheme="minorHAnsi" w:eastAsiaTheme="majorEastAsia" w:hAnsiTheme="minorHAnsi" w:cs="Segoe UI"/>
                <w:sz w:val="21"/>
                <w:szCs w:val="21"/>
                <w:lang w:val="en-US"/>
              </w:rPr>
              <w:t>a)</w:t>
            </w:r>
            <w:r w:rsidRPr="00E30DEC">
              <w:rPr>
                <w:rFonts w:asciiTheme="minorHAnsi" w:hAnsiTheme="minorHAnsi" w:cs="Segoe UI"/>
                <w:sz w:val="21"/>
                <w:szCs w:val="21"/>
                <w:lang w:val="en-US"/>
              </w:rPr>
              <w:t xml:space="preserve"> The participatory processes established under the project will be carried out to reach agreement on the roadmap for designing economic instruments aimed at biodiversity conservation.</w:t>
            </w:r>
            <w:r w:rsidRPr="00E30DEC">
              <w:rPr>
                <w:rFonts w:asciiTheme="minorHAnsi" w:hAnsiTheme="minorHAnsi" w:cs="Segoe UI"/>
                <w:sz w:val="21"/>
                <w:szCs w:val="21"/>
                <w:lang w:val="en-US"/>
              </w:rPr>
              <w:br/>
            </w:r>
            <w:r w:rsidR="00081F73">
              <w:rPr>
                <w:rFonts w:asciiTheme="minorHAnsi" w:hAnsiTheme="minorHAnsi" w:cs="Segoe UI"/>
                <w:sz w:val="21"/>
                <w:szCs w:val="21"/>
                <w:lang w:val="en-US"/>
              </w:rPr>
              <w:t>b</w:t>
            </w:r>
            <w:r w:rsidR="00081F73" w:rsidRPr="00081F73">
              <w:rPr>
                <w:lang w:val="en-US"/>
              </w:rPr>
              <w:t>)</w:t>
            </w:r>
            <w:r w:rsidRPr="00E30DEC">
              <w:rPr>
                <w:rFonts w:asciiTheme="minorHAnsi" w:hAnsiTheme="minorHAnsi" w:cs="Segoe UI"/>
                <w:sz w:val="21"/>
                <w:szCs w:val="21"/>
                <w:lang w:val="en-US"/>
              </w:rPr>
              <w:t xml:space="preserve"> Two technical documents are expected as outputs: the first containing the development, design, and layout of a recommendation guide for integrating biodiversity into productive development instruments at the Production Development Corporation (CORFO) in Chile; and the second presenting an analysis of comparative experiences on labels, certifications, and credit mechanisms linked to biodiversity criteria, as well as the potential for their incorporation into national practices.</w:t>
            </w:r>
          </w:p>
          <w:p w14:paraId="18C5D020" w14:textId="35920DFB" w:rsidR="00E30DEC" w:rsidRPr="00E30DEC" w:rsidRDefault="00E30DEC" w:rsidP="00081F73">
            <w:pPr>
              <w:pStyle w:val="NormalWeb"/>
              <w:numPr>
                <w:ilvl w:val="1"/>
                <w:numId w:val="21"/>
              </w:numPr>
              <w:spacing w:line="300" w:lineRule="atLeast"/>
              <w:ind w:left="738" w:hanging="284"/>
              <w:rPr>
                <w:rFonts w:asciiTheme="minorHAnsi" w:hAnsiTheme="minorHAnsi" w:cs="Segoe UI"/>
                <w:sz w:val="21"/>
                <w:szCs w:val="21"/>
                <w:lang w:val="en-US"/>
              </w:rPr>
            </w:pPr>
            <w:r w:rsidRPr="00E30DEC">
              <w:rPr>
                <w:rStyle w:val="Strong"/>
                <w:rFonts w:asciiTheme="minorHAnsi" w:eastAsiaTheme="majorEastAsia" w:hAnsiTheme="minorHAnsi" w:cs="Segoe UI"/>
                <w:sz w:val="21"/>
                <w:szCs w:val="21"/>
                <w:lang w:val="en-US"/>
              </w:rPr>
              <w:t>Regarding the pilot case, the following deliverables are expected:</w:t>
            </w:r>
            <w:r w:rsidRPr="005603DB">
              <w:rPr>
                <w:lang w:val="en-US"/>
              </w:rPr>
              <w:br/>
            </w:r>
            <w:r w:rsidR="00081F73">
              <w:rPr>
                <w:rFonts w:asciiTheme="minorHAnsi" w:hAnsiTheme="minorHAnsi" w:cs="Segoe UI"/>
                <w:sz w:val="21"/>
                <w:szCs w:val="21"/>
                <w:lang w:val="en-US"/>
              </w:rPr>
              <w:t>a</w:t>
            </w:r>
            <w:r w:rsidR="00081F73" w:rsidRPr="00081F73">
              <w:rPr>
                <w:lang w:val="en-US"/>
              </w:rPr>
              <w:t>)</w:t>
            </w:r>
            <w:r w:rsidRPr="00E30DEC">
              <w:rPr>
                <w:rFonts w:asciiTheme="minorHAnsi" w:hAnsiTheme="minorHAnsi" w:cs="Segoe UI"/>
                <w:sz w:val="21"/>
                <w:szCs w:val="21"/>
                <w:lang w:val="en-US"/>
              </w:rPr>
              <w:t xml:space="preserve"> A technical document for Puerto Aldea detailing the </w:t>
            </w:r>
            <w:r w:rsidR="04BDCD57" w:rsidRPr="30089901">
              <w:rPr>
                <w:rFonts w:asciiTheme="minorHAnsi" w:hAnsiTheme="minorHAnsi" w:cs="Segoe UI"/>
                <w:sz w:val="21"/>
                <w:szCs w:val="21"/>
                <w:lang w:val="en-US"/>
              </w:rPr>
              <w:t>codesign</w:t>
            </w:r>
            <w:r w:rsidRPr="00E30DEC">
              <w:rPr>
                <w:rFonts w:asciiTheme="minorHAnsi" w:hAnsiTheme="minorHAnsi" w:cs="Segoe UI"/>
                <w:sz w:val="21"/>
                <w:szCs w:val="21"/>
                <w:lang w:val="en-US"/>
              </w:rPr>
              <w:t xml:space="preserve"> of a </w:t>
            </w:r>
            <w:proofErr w:type="spellStart"/>
            <w:r w:rsidR="04BDCD57" w:rsidRPr="30089901">
              <w:rPr>
                <w:rFonts w:asciiTheme="minorHAnsi" w:hAnsiTheme="minorHAnsi" w:cs="Segoe UI"/>
                <w:sz w:val="21"/>
                <w:szCs w:val="21"/>
                <w:lang w:val="en-US"/>
              </w:rPr>
              <w:t>biodiversityf</w:t>
            </w:r>
            <w:proofErr w:type="spellEnd"/>
            <w:r w:rsidR="1150F148" w:rsidRPr="30089901">
              <w:rPr>
                <w:rFonts w:asciiTheme="minorHAnsi" w:hAnsiTheme="minorHAnsi" w:cs="Segoe UI"/>
                <w:sz w:val="21"/>
                <w:szCs w:val="21"/>
                <w:lang w:val="en-US"/>
              </w:rPr>
              <w:t xml:space="preserve"> </w:t>
            </w:r>
            <w:proofErr w:type="spellStart"/>
            <w:r w:rsidR="04BDCD57" w:rsidRPr="30089901">
              <w:rPr>
                <w:rFonts w:asciiTheme="minorHAnsi" w:hAnsiTheme="minorHAnsi" w:cs="Segoe UI"/>
                <w:sz w:val="21"/>
                <w:szCs w:val="21"/>
                <w:lang w:val="en-US"/>
              </w:rPr>
              <w:t>ocused</w:t>
            </w:r>
            <w:proofErr w:type="spellEnd"/>
            <w:r w:rsidRPr="00E30DEC">
              <w:rPr>
                <w:rFonts w:asciiTheme="minorHAnsi" w:hAnsiTheme="minorHAnsi" w:cs="Segoe UI"/>
                <w:sz w:val="21"/>
                <w:szCs w:val="21"/>
                <w:lang w:val="en-US"/>
              </w:rPr>
              <w:t xml:space="preserve"> community</w:t>
            </w:r>
            <w:r w:rsidR="2193F0F2" w:rsidRPr="30089901">
              <w:rPr>
                <w:rFonts w:asciiTheme="minorHAnsi" w:hAnsiTheme="minorHAnsi" w:cs="Segoe UI"/>
                <w:sz w:val="21"/>
                <w:szCs w:val="21"/>
                <w:lang w:val="en-US"/>
              </w:rPr>
              <w:t xml:space="preserve"> </w:t>
            </w:r>
            <w:r w:rsidRPr="00E30DEC">
              <w:rPr>
                <w:rFonts w:asciiTheme="minorHAnsi" w:hAnsiTheme="minorHAnsi" w:cs="Segoe UI"/>
                <w:sz w:val="21"/>
                <w:szCs w:val="21"/>
                <w:lang w:val="en-US"/>
              </w:rPr>
              <w:t xml:space="preserve">based </w:t>
            </w:r>
            <w:r w:rsidR="04BDCD57" w:rsidRPr="30089901">
              <w:rPr>
                <w:rFonts w:asciiTheme="minorHAnsi" w:hAnsiTheme="minorHAnsi" w:cs="Segoe UI"/>
                <w:sz w:val="21"/>
                <w:szCs w:val="21"/>
                <w:lang w:val="en-US"/>
              </w:rPr>
              <w:t>enterprise</w:t>
            </w:r>
            <w:r w:rsidR="42D87CCD" w:rsidRPr="30089901">
              <w:rPr>
                <w:rFonts w:asciiTheme="minorHAnsi" w:hAnsiTheme="minorHAnsi" w:cs="Segoe UI"/>
                <w:sz w:val="21"/>
                <w:szCs w:val="21"/>
                <w:lang w:val="en-US"/>
              </w:rPr>
              <w:t>s</w:t>
            </w:r>
            <w:r w:rsidRPr="00E30DEC">
              <w:rPr>
                <w:rFonts w:asciiTheme="minorHAnsi" w:hAnsiTheme="minorHAnsi" w:cs="Segoe UI"/>
                <w:sz w:val="21"/>
                <w:szCs w:val="21"/>
                <w:lang w:val="en-US"/>
              </w:rPr>
              <w:t xml:space="preserve"> and providing recommendations for a potential Clean Production Agreement (CPA).</w:t>
            </w:r>
            <w:r w:rsidRPr="005603DB">
              <w:rPr>
                <w:lang w:val="en-US"/>
              </w:rPr>
              <w:br/>
            </w:r>
            <w:r w:rsidR="00081F73">
              <w:rPr>
                <w:rFonts w:asciiTheme="minorHAnsi" w:hAnsiTheme="minorHAnsi" w:cs="Segoe UI"/>
                <w:sz w:val="21"/>
                <w:szCs w:val="21"/>
                <w:lang w:val="en-US"/>
              </w:rPr>
              <w:t>b</w:t>
            </w:r>
            <w:r w:rsidR="00081F73" w:rsidRPr="00081F73">
              <w:rPr>
                <w:lang w:val="en-US"/>
              </w:rPr>
              <w:t>)</w:t>
            </w:r>
            <w:r w:rsidRPr="00E30DEC">
              <w:rPr>
                <w:rFonts w:asciiTheme="minorHAnsi" w:hAnsiTheme="minorHAnsi" w:cs="Segoe UI"/>
                <w:sz w:val="21"/>
                <w:szCs w:val="21"/>
                <w:lang w:val="en-US"/>
              </w:rPr>
              <w:t xml:space="preserve"> A value</w:t>
            </w:r>
            <w:r w:rsidR="14D66AB5" w:rsidRPr="30089901">
              <w:rPr>
                <w:rFonts w:asciiTheme="minorHAnsi" w:hAnsiTheme="minorHAnsi" w:cs="Segoe UI"/>
                <w:sz w:val="21"/>
                <w:szCs w:val="21"/>
                <w:lang w:val="en-US"/>
              </w:rPr>
              <w:t xml:space="preserve"> </w:t>
            </w:r>
            <w:r w:rsidRPr="00E30DEC">
              <w:rPr>
                <w:rFonts w:asciiTheme="minorHAnsi" w:hAnsiTheme="minorHAnsi" w:cs="Segoe UI"/>
                <w:sz w:val="21"/>
                <w:szCs w:val="21"/>
                <w:lang w:val="en-US"/>
              </w:rPr>
              <w:t>added product for direct human consumption—specifically “</w:t>
            </w:r>
            <w:proofErr w:type="spellStart"/>
            <w:r w:rsidRPr="00E30DEC">
              <w:rPr>
                <w:rFonts w:asciiTheme="minorHAnsi" w:hAnsiTheme="minorHAnsi" w:cs="Segoe UI"/>
                <w:sz w:val="21"/>
                <w:szCs w:val="21"/>
                <w:lang w:val="en-US"/>
              </w:rPr>
              <w:t>Chocha</w:t>
            </w:r>
            <w:proofErr w:type="spellEnd"/>
            <w:r w:rsidRPr="00E30DEC">
              <w:rPr>
                <w:rFonts w:asciiTheme="minorHAnsi" w:hAnsiTheme="minorHAnsi" w:cs="Segoe UI"/>
                <w:sz w:val="21"/>
                <w:szCs w:val="21"/>
                <w:lang w:val="en-US"/>
              </w:rPr>
              <w:t xml:space="preserve"> Mousse” (</w:t>
            </w:r>
            <w:proofErr w:type="spellStart"/>
            <w:r w:rsidRPr="00E30DEC">
              <w:rPr>
                <w:rStyle w:val="Emphasis"/>
                <w:rFonts w:asciiTheme="minorHAnsi" w:eastAsiaTheme="majorEastAsia" w:hAnsiTheme="minorHAnsi" w:cs="Segoe UI"/>
                <w:sz w:val="21"/>
                <w:szCs w:val="21"/>
                <w:lang w:val="en-US"/>
              </w:rPr>
              <w:t>Calyptraea</w:t>
            </w:r>
            <w:proofErr w:type="spellEnd"/>
            <w:r w:rsidRPr="00E30DEC">
              <w:rPr>
                <w:rStyle w:val="Emphasis"/>
                <w:rFonts w:asciiTheme="minorHAnsi" w:eastAsiaTheme="majorEastAsia" w:hAnsiTheme="minorHAnsi" w:cs="Segoe UI"/>
                <w:sz w:val="21"/>
                <w:szCs w:val="21"/>
                <w:lang w:val="en-US"/>
              </w:rPr>
              <w:t xml:space="preserve"> </w:t>
            </w:r>
            <w:proofErr w:type="spellStart"/>
            <w:r w:rsidRPr="00E30DEC">
              <w:rPr>
                <w:rStyle w:val="Emphasis"/>
                <w:rFonts w:asciiTheme="minorHAnsi" w:eastAsiaTheme="majorEastAsia" w:hAnsiTheme="minorHAnsi" w:cs="Segoe UI"/>
                <w:sz w:val="21"/>
                <w:szCs w:val="21"/>
                <w:lang w:val="en-US"/>
              </w:rPr>
              <w:t>trochiformis</w:t>
            </w:r>
            <w:proofErr w:type="spellEnd"/>
            <w:r w:rsidRPr="00E30DEC">
              <w:rPr>
                <w:rFonts w:asciiTheme="minorHAnsi" w:hAnsiTheme="minorHAnsi" w:cs="Segoe UI"/>
                <w:sz w:val="21"/>
                <w:szCs w:val="21"/>
                <w:lang w:val="en-US"/>
              </w:rPr>
              <w:t>)—obtained under sustainable management and biodiversity conservation criteria in the cove of Puerto Aldea, Coquimbo Region.</w:t>
            </w:r>
            <w:r w:rsidRPr="005603DB">
              <w:rPr>
                <w:lang w:val="en-US"/>
              </w:rPr>
              <w:br/>
            </w:r>
            <w:r w:rsidR="00081F73">
              <w:rPr>
                <w:rFonts w:asciiTheme="minorHAnsi" w:hAnsiTheme="minorHAnsi" w:cs="Segoe UI"/>
                <w:sz w:val="21"/>
                <w:szCs w:val="21"/>
                <w:lang w:val="en-US"/>
              </w:rPr>
              <w:t>c</w:t>
            </w:r>
            <w:r w:rsidR="00081F73" w:rsidRPr="00081F73">
              <w:rPr>
                <w:lang w:val="en-US"/>
              </w:rPr>
              <w:t>)</w:t>
            </w:r>
            <w:r w:rsidRPr="00E30DEC">
              <w:rPr>
                <w:rFonts w:asciiTheme="minorHAnsi" w:hAnsiTheme="minorHAnsi" w:cs="Segoe UI"/>
                <w:sz w:val="21"/>
                <w:szCs w:val="21"/>
                <w:lang w:val="en-US"/>
              </w:rPr>
              <w:t xml:space="preserve"> An underwater audiovisual production documenting the extraction process of the </w:t>
            </w:r>
            <w:proofErr w:type="spellStart"/>
            <w:r w:rsidRPr="00E30DEC">
              <w:rPr>
                <w:rFonts w:asciiTheme="minorHAnsi" w:hAnsiTheme="minorHAnsi" w:cs="Segoe UI"/>
                <w:sz w:val="21"/>
                <w:szCs w:val="21"/>
                <w:lang w:val="en-US"/>
              </w:rPr>
              <w:t>Chocha</w:t>
            </w:r>
            <w:proofErr w:type="spellEnd"/>
            <w:r w:rsidRPr="00E30DEC">
              <w:rPr>
                <w:rFonts w:asciiTheme="minorHAnsi" w:hAnsiTheme="minorHAnsi" w:cs="Segoe UI"/>
                <w:sz w:val="21"/>
                <w:szCs w:val="21"/>
                <w:lang w:val="en-US"/>
              </w:rPr>
              <w:t xml:space="preserve"> (</w:t>
            </w:r>
            <w:proofErr w:type="spellStart"/>
            <w:r w:rsidRPr="00E30DEC">
              <w:rPr>
                <w:rStyle w:val="Emphasis"/>
                <w:rFonts w:asciiTheme="minorHAnsi" w:eastAsiaTheme="majorEastAsia" w:hAnsiTheme="minorHAnsi" w:cs="Segoe UI"/>
                <w:sz w:val="21"/>
                <w:szCs w:val="21"/>
                <w:lang w:val="en-US"/>
              </w:rPr>
              <w:t>Trochita</w:t>
            </w:r>
            <w:proofErr w:type="spellEnd"/>
            <w:r w:rsidRPr="00E30DEC">
              <w:rPr>
                <w:rStyle w:val="Emphasis"/>
                <w:rFonts w:asciiTheme="minorHAnsi" w:eastAsiaTheme="majorEastAsia" w:hAnsiTheme="minorHAnsi" w:cs="Segoe UI"/>
                <w:sz w:val="21"/>
                <w:szCs w:val="21"/>
                <w:lang w:val="en-US"/>
              </w:rPr>
              <w:t xml:space="preserve"> </w:t>
            </w:r>
            <w:proofErr w:type="spellStart"/>
            <w:r w:rsidRPr="00E30DEC">
              <w:rPr>
                <w:rStyle w:val="Emphasis"/>
                <w:rFonts w:asciiTheme="minorHAnsi" w:eastAsiaTheme="majorEastAsia" w:hAnsiTheme="minorHAnsi" w:cs="Segoe UI"/>
                <w:sz w:val="21"/>
                <w:szCs w:val="21"/>
                <w:lang w:val="en-US"/>
              </w:rPr>
              <w:t>trochiformis</w:t>
            </w:r>
            <w:proofErr w:type="spellEnd"/>
            <w:r w:rsidRPr="00E30DEC">
              <w:rPr>
                <w:rFonts w:asciiTheme="minorHAnsi" w:hAnsiTheme="minorHAnsi" w:cs="Segoe UI"/>
                <w:sz w:val="21"/>
                <w:szCs w:val="21"/>
                <w:lang w:val="en-US"/>
              </w:rPr>
              <w:t>) resource in Puerto Aldea.</w:t>
            </w:r>
          </w:p>
          <w:p w14:paraId="280307E8" w14:textId="12BCAA49" w:rsidR="00676C12" w:rsidRDefault="00676C12" w:rsidP="00886F21">
            <w:pPr>
              <w:jc w:val="both"/>
            </w:pPr>
          </w:p>
        </w:tc>
      </w:tr>
    </w:tbl>
    <w:p w14:paraId="6BB9834E" w14:textId="77777777" w:rsidR="00676C12" w:rsidRDefault="00676C12" w:rsidP="00676C12"/>
    <w:p w14:paraId="6F260BBE" w14:textId="30BE1EF5" w:rsidR="00676C12" w:rsidRDefault="00676C12" w:rsidP="00676C12">
      <w:pPr>
        <w:sectPr w:rsidR="00676C12" w:rsidSect="00676C12">
          <w:headerReference w:type="default" r:id="rId12"/>
          <w:pgSz w:w="11906" w:h="16838"/>
          <w:pgMar w:top="720" w:right="720" w:bottom="720" w:left="720" w:header="708" w:footer="708" w:gutter="0"/>
          <w:cols w:space="720"/>
        </w:sectPr>
      </w:pPr>
    </w:p>
    <w:p w14:paraId="3A57B371" w14:textId="518BCDB7" w:rsidR="00676C12" w:rsidRPr="00763BA3" w:rsidRDefault="00676C12" w:rsidP="00676C12">
      <w:pPr>
        <w:rPr>
          <w:b/>
          <w:bCs/>
        </w:rPr>
      </w:pPr>
      <w:r w:rsidRPr="00763BA3">
        <w:rPr>
          <w:b/>
          <w:bCs/>
        </w:rPr>
        <w:lastRenderedPageBreak/>
        <w:t>RESULTS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1"/>
        <w:gridCol w:w="4477"/>
        <w:gridCol w:w="59"/>
        <w:gridCol w:w="1484"/>
        <w:gridCol w:w="75"/>
        <w:gridCol w:w="2126"/>
        <w:gridCol w:w="2402"/>
        <w:gridCol w:w="8"/>
        <w:gridCol w:w="1760"/>
      </w:tblGrid>
      <w:tr w:rsidR="00DC7BBE" w:rsidRPr="008E0641" w14:paraId="39261A69" w14:textId="55CFD3CC" w:rsidTr="008C0D2A">
        <w:tc>
          <w:tcPr>
            <w:tcW w:w="5000" w:type="pct"/>
            <w:gridSpan w:val="10"/>
            <w:shd w:val="clear" w:color="auto" w:fill="D9D9D9" w:themeFill="background1" w:themeFillShade="D9"/>
          </w:tcPr>
          <w:p w14:paraId="3295D556" w14:textId="7791E35D" w:rsidR="00DC7BBE" w:rsidRPr="008E0641" w:rsidRDefault="00DC7BBE" w:rsidP="00BD32D3">
            <w:pPr>
              <w:rPr>
                <w:rFonts w:asciiTheme="minorHAnsi" w:hAnsiTheme="minorHAnsi" w:cs="Calibri"/>
                <w:b/>
                <w:bCs/>
                <w:sz w:val="18"/>
                <w:szCs w:val="18"/>
              </w:rPr>
            </w:pPr>
            <w:r w:rsidRPr="008E0641">
              <w:rPr>
                <w:rFonts w:asciiTheme="minorHAnsi" w:hAnsiTheme="minorHAnsi" w:cs="Calibri"/>
                <w:b/>
                <w:bCs/>
                <w:sz w:val="18"/>
                <w:szCs w:val="18"/>
              </w:rPr>
              <w:t>Outcome 1: &lt; Strategy for gathering information and raising awareness about responsible production and consumption guidelines &gt;</w:t>
            </w:r>
          </w:p>
        </w:tc>
      </w:tr>
      <w:tr w:rsidR="00DC7BBE" w:rsidRPr="008E0641" w14:paraId="5EEA6B89" w14:textId="7BCDAD92" w:rsidTr="007C45D0">
        <w:tc>
          <w:tcPr>
            <w:tcW w:w="536" w:type="pct"/>
          </w:tcPr>
          <w:p w14:paraId="05D003A4" w14:textId="77777777" w:rsidR="00DC7BBE" w:rsidRPr="008E0641" w:rsidRDefault="00DC7BBE" w:rsidP="00BD32D3">
            <w:pPr>
              <w:rPr>
                <w:rFonts w:asciiTheme="minorHAnsi" w:hAnsiTheme="minorHAnsi" w:cs="Calibri"/>
                <w:b/>
                <w:bCs/>
                <w:sz w:val="18"/>
                <w:szCs w:val="18"/>
              </w:rPr>
            </w:pPr>
          </w:p>
        </w:tc>
        <w:tc>
          <w:tcPr>
            <w:tcW w:w="1627" w:type="pct"/>
            <w:gridSpan w:val="2"/>
          </w:tcPr>
          <w:p w14:paraId="182867B9" w14:textId="77777777" w:rsidR="00DC7BBE" w:rsidRPr="008E0641" w:rsidRDefault="00DC7BBE" w:rsidP="00BD32D3">
            <w:pPr>
              <w:rPr>
                <w:rFonts w:asciiTheme="minorHAnsi" w:hAnsiTheme="minorHAnsi" w:cs="Calibri"/>
                <w:sz w:val="18"/>
                <w:szCs w:val="18"/>
              </w:rPr>
            </w:pPr>
          </w:p>
        </w:tc>
        <w:tc>
          <w:tcPr>
            <w:tcW w:w="553" w:type="pct"/>
            <w:gridSpan w:val="2"/>
            <w:vAlign w:val="center"/>
          </w:tcPr>
          <w:p w14:paraId="611FE013" w14:textId="77777777" w:rsidR="00DC7BBE" w:rsidRPr="008E0641" w:rsidRDefault="00DC7BBE" w:rsidP="008461B5">
            <w:pPr>
              <w:jc w:val="center"/>
              <w:rPr>
                <w:rFonts w:asciiTheme="minorHAnsi" w:hAnsiTheme="minorHAnsi" w:cs="Calibri"/>
                <w:b/>
                <w:bCs/>
                <w:sz w:val="18"/>
                <w:szCs w:val="18"/>
              </w:rPr>
            </w:pPr>
            <w:r w:rsidRPr="008E0641">
              <w:rPr>
                <w:rFonts w:asciiTheme="minorHAnsi" w:hAnsiTheme="minorHAnsi" w:cs="Calibri"/>
                <w:b/>
                <w:bCs/>
                <w:sz w:val="18"/>
                <w:szCs w:val="18"/>
              </w:rPr>
              <w:t xml:space="preserve">Baseline </w:t>
            </w:r>
            <w:r w:rsidRPr="008E0641">
              <w:rPr>
                <w:rFonts w:asciiTheme="minorHAnsi" w:hAnsiTheme="minorHAnsi" w:cs="Calibri"/>
                <w:sz w:val="18"/>
                <w:szCs w:val="18"/>
              </w:rPr>
              <w:t>(YY)</w:t>
            </w:r>
          </w:p>
        </w:tc>
        <w:tc>
          <w:tcPr>
            <w:tcW w:w="789" w:type="pct"/>
            <w:gridSpan w:val="2"/>
            <w:vAlign w:val="center"/>
          </w:tcPr>
          <w:p w14:paraId="1EE417C4" w14:textId="77777777" w:rsidR="00DC7BBE" w:rsidRPr="008E0641" w:rsidRDefault="00DC7BBE" w:rsidP="008461B5">
            <w:pPr>
              <w:jc w:val="center"/>
              <w:rPr>
                <w:rFonts w:asciiTheme="minorHAnsi" w:hAnsiTheme="minorHAnsi" w:cs="Calibri"/>
                <w:b/>
                <w:bCs/>
                <w:sz w:val="18"/>
                <w:szCs w:val="18"/>
              </w:rPr>
            </w:pPr>
            <w:r w:rsidRPr="008E0641">
              <w:rPr>
                <w:rFonts w:asciiTheme="minorHAnsi" w:hAnsiTheme="minorHAnsi" w:cs="Calibri"/>
                <w:b/>
                <w:bCs/>
                <w:sz w:val="18"/>
                <w:szCs w:val="18"/>
              </w:rPr>
              <w:t>Target</w:t>
            </w:r>
          </w:p>
          <w:p w14:paraId="2F706C08" w14:textId="77777777" w:rsidR="00DC7BBE" w:rsidRPr="008E0641" w:rsidRDefault="00DC7BBE" w:rsidP="008461B5">
            <w:pPr>
              <w:jc w:val="center"/>
              <w:rPr>
                <w:rFonts w:asciiTheme="minorHAnsi" w:hAnsiTheme="minorHAnsi" w:cs="Calibri"/>
                <w:sz w:val="18"/>
                <w:szCs w:val="18"/>
              </w:rPr>
            </w:pPr>
            <w:r w:rsidRPr="008E0641">
              <w:rPr>
                <w:rFonts w:asciiTheme="minorHAnsi" w:hAnsiTheme="minorHAnsi" w:cs="Calibri"/>
                <w:sz w:val="18"/>
                <w:szCs w:val="18"/>
              </w:rPr>
              <w:t>(MM-YY)</w:t>
            </w:r>
          </w:p>
        </w:tc>
        <w:tc>
          <w:tcPr>
            <w:tcW w:w="861" w:type="pct"/>
            <w:vAlign w:val="center"/>
          </w:tcPr>
          <w:p w14:paraId="06ED40BB" w14:textId="77777777" w:rsidR="00DC7BBE" w:rsidRPr="008E0641" w:rsidRDefault="00DC7BBE" w:rsidP="008461B5">
            <w:pPr>
              <w:jc w:val="center"/>
              <w:rPr>
                <w:rFonts w:asciiTheme="minorHAnsi" w:hAnsiTheme="minorHAnsi" w:cs="Calibri"/>
                <w:b/>
                <w:bCs/>
                <w:sz w:val="18"/>
                <w:szCs w:val="18"/>
              </w:rPr>
            </w:pPr>
            <w:r w:rsidRPr="008E0641">
              <w:rPr>
                <w:rFonts w:asciiTheme="minorHAnsi" w:hAnsiTheme="minorHAnsi" w:cs="Calibri"/>
                <w:b/>
                <w:bCs/>
                <w:sz w:val="18"/>
                <w:szCs w:val="18"/>
              </w:rPr>
              <w:t>STATUS</w:t>
            </w:r>
          </w:p>
        </w:tc>
        <w:tc>
          <w:tcPr>
            <w:tcW w:w="634" w:type="pct"/>
            <w:gridSpan w:val="2"/>
            <w:vAlign w:val="center"/>
          </w:tcPr>
          <w:p w14:paraId="56D906E5" w14:textId="77777777" w:rsidR="00DC7BBE" w:rsidRPr="008E0641" w:rsidRDefault="00DC7BBE" w:rsidP="008461B5">
            <w:pPr>
              <w:jc w:val="center"/>
              <w:rPr>
                <w:rFonts w:asciiTheme="minorHAnsi" w:hAnsiTheme="minorHAnsi" w:cs="Calibri"/>
                <w:b/>
                <w:bCs/>
                <w:sz w:val="18"/>
                <w:szCs w:val="18"/>
              </w:rPr>
            </w:pPr>
            <w:r w:rsidRPr="008E0641">
              <w:rPr>
                <w:rFonts w:asciiTheme="minorHAnsi" w:hAnsiTheme="minorHAnsi" w:cs="Calibri"/>
                <w:b/>
                <w:bCs/>
                <w:sz w:val="18"/>
                <w:szCs w:val="18"/>
              </w:rPr>
              <w:t>Responsible Org</w:t>
            </w:r>
          </w:p>
        </w:tc>
      </w:tr>
      <w:tr w:rsidR="00DC7BBE" w:rsidRPr="008E0641" w14:paraId="248F47A3" w14:textId="30502698" w:rsidTr="007C45D0">
        <w:tc>
          <w:tcPr>
            <w:tcW w:w="536" w:type="pct"/>
            <w:vMerge w:val="restart"/>
            <w:vAlign w:val="center"/>
          </w:tcPr>
          <w:p w14:paraId="622C59A2" w14:textId="77777777" w:rsidR="00DC7BBE" w:rsidRPr="008E0641" w:rsidRDefault="00DC7BBE" w:rsidP="00D02B15">
            <w:pPr>
              <w:jc w:val="both"/>
              <w:rPr>
                <w:rFonts w:asciiTheme="minorHAnsi" w:hAnsiTheme="minorHAnsi" w:cs="Calibri"/>
                <w:b/>
                <w:bCs/>
                <w:sz w:val="18"/>
                <w:szCs w:val="18"/>
              </w:rPr>
            </w:pPr>
            <w:r w:rsidRPr="008E0641">
              <w:rPr>
                <w:rFonts w:asciiTheme="minorHAnsi" w:hAnsiTheme="minorHAnsi" w:cs="Calibri"/>
                <w:b/>
                <w:bCs/>
                <w:sz w:val="18"/>
                <w:szCs w:val="18"/>
              </w:rPr>
              <w:t>Outcome Indicators</w:t>
            </w:r>
          </w:p>
          <w:p w14:paraId="5A778726" w14:textId="77777777" w:rsidR="00DC7BBE" w:rsidRPr="008E0641" w:rsidRDefault="00DC7BBE" w:rsidP="00D02B15">
            <w:pPr>
              <w:jc w:val="both"/>
              <w:rPr>
                <w:rFonts w:asciiTheme="minorHAnsi" w:hAnsiTheme="minorHAnsi" w:cs="Calibri"/>
                <w:b/>
                <w:bCs/>
                <w:sz w:val="18"/>
                <w:szCs w:val="18"/>
              </w:rPr>
            </w:pPr>
          </w:p>
        </w:tc>
        <w:tc>
          <w:tcPr>
            <w:tcW w:w="1627" w:type="pct"/>
            <w:gridSpan w:val="2"/>
            <w:vAlign w:val="center"/>
          </w:tcPr>
          <w:p w14:paraId="36889AD7" w14:textId="132090B8" w:rsidR="00DC7BBE" w:rsidRPr="008E0641" w:rsidRDefault="00DC7BBE" w:rsidP="00D02B15">
            <w:pPr>
              <w:jc w:val="both"/>
              <w:rPr>
                <w:rFonts w:asciiTheme="minorHAnsi" w:hAnsiTheme="minorHAnsi" w:cs="Calibri"/>
                <w:sz w:val="18"/>
                <w:szCs w:val="18"/>
              </w:rPr>
            </w:pPr>
            <w:r w:rsidRPr="008E0641">
              <w:rPr>
                <w:rFonts w:asciiTheme="minorHAnsi" w:hAnsiTheme="minorHAnsi" w:cs="Calibri"/>
                <w:sz w:val="18"/>
                <w:szCs w:val="18"/>
              </w:rPr>
              <w:t>1.1 Number of analytical and policy instruments developed that allow for the assessment and communication of the impact of unsustainable consumption and production on biodiversity and ecosystem services.</w:t>
            </w:r>
          </w:p>
        </w:tc>
        <w:tc>
          <w:tcPr>
            <w:tcW w:w="553" w:type="pct"/>
            <w:gridSpan w:val="2"/>
            <w:vAlign w:val="center"/>
          </w:tcPr>
          <w:p w14:paraId="31A9025F" w14:textId="77777777" w:rsidR="00DC7BBE" w:rsidRPr="008E0641" w:rsidRDefault="00DC7BBE" w:rsidP="00D02B15">
            <w:pPr>
              <w:jc w:val="both"/>
              <w:rPr>
                <w:rFonts w:asciiTheme="minorHAnsi" w:hAnsiTheme="minorHAnsi" w:cs="Calibri"/>
                <w:b/>
                <w:bCs/>
                <w:sz w:val="18"/>
                <w:szCs w:val="18"/>
              </w:rPr>
            </w:pPr>
          </w:p>
          <w:p w14:paraId="3BCCCF4D" w14:textId="02CABB64" w:rsidR="00DC7BBE" w:rsidRPr="008E0641" w:rsidRDefault="00DC7BBE" w:rsidP="00D02B15">
            <w:pPr>
              <w:jc w:val="both"/>
              <w:rPr>
                <w:rFonts w:asciiTheme="minorHAnsi" w:hAnsiTheme="minorHAnsi" w:cs="Calibri"/>
                <w:b/>
                <w:bCs/>
                <w:sz w:val="18"/>
                <w:szCs w:val="18"/>
              </w:rPr>
            </w:pPr>
            <w:r w:rsidRPr="009B1FE6">
              <w:rPr>
                <w:rFonts w:asciiTheme="minorHAnsi" w:hAnsiTheme="minorHAnsi" w:cs="Calibri"/>
                <w:b/>
                <w:bCs/>
                <w:sz w:val="18"/>
                <w:szCs w:val="18"/>
              </w:rPr>
              <w:t>Not applicable</w:t>
            </w:r>
          </w:p>
        </w:tc>
        <w:tc>
          <w:tcPr>
            <w:tcW w:w="789" w:type="pct"/>
            <w:gridSpan w:val="2"/>
            <w:vAlign w:val="center"/>
          </w:tcPr>
          <w:p w14:paraId="6843A9FD" w14:textId="2499E4D9" w:rsidR="00DC7BBE" w:rsidRPr="008E0641" w:rsidRDefault="00DC7BBE" w:rsidP="00D02B15">
            <w:pPr>
              <w:jc w:val="both"/>
              <w:rPr>
                <w:rFonts w:asciiTheme="minorHAnsi" w:hAnsiTheme="minorHAnsi" w:cs="Calibri"/>
                <w:sz w:val="18"/>
                <w:szCs w:val="18"/>
              </w:rPr>
            </w:pPr>
            <w:r w:rsidRPr="008E0641">
              <w:rPr>
                <w:rFonts w:asciiTheme="minorHAnsi" w:hAnsiTheme="minorHAnsi" w:cs="Calibri"/>
                <w:sz w:val="18"/>
                <w:szCs w:val="18"/>
              </w:rPr>
              <w:t>1.1.1 Report on the impact of consumption and production.</w:t>
            </w:r>
          </w:p>
          <w:p w14:paraId="72E90070" w14:textId="3EED2E53" w:rsidR="00DC7BBE" w:rsidRPr="008E0641" w:rsidRDefault="00DC7BBE" w:rsidP="00D02B15">
            <w:pPr>
              <w:jc w:val="both"/>
              <w:rPr>
                <w:rFonts w:asciiTheme="minorHAnsi" w:hAnsiTheme="minorHAnsi" w:cs="Calibri"/>
                <w:sz w:val="18"/>
                <w:szCs w:val="18"/>
              </w:rPr>
            </w:pPr>
            <w:r w:rsidRPr="008E0641">
              <w:rPr>
                <w:rFonts w:asciiTheme="minorHAnsi" w:hAnsiTheme="minorHAnsi" w:cs="Calibri"/>
                <w:sz w:val="18"/>
                <w:szCs w:val="18"/>
              </w:rPr>
              <w:t>1.1.2 Proposal of indicators for responsible production and consumption.</w:t>
            </w:r>
          </w:p>
          <w:p w14:paraId="2CC2CB12" w14:textId="06DD4D3E" w:rsidR="00DC7BBE" w:rsidRPr="008E0641" w:rsidRDefault="00DC7BBE" w:rsidP="00D02B15">
            <w:pPr>
              <w:jc w:val="both"/>
              <w:rPr>
                <w:rFonts w:asciiTheme="minorHAnsi" w:hAnsiTheme="minorHAnsi" w:cs="Calibri"/>
                <w:sz w:val="18"/>
                <w:szCs w:val="18"/>
              </w:rPr>
            </w:pPr>
            <w:r w:rsidRPr="008E0641">
              <w:rPr>
                <w:rFonts w:asciiTheme="minorHAnsi" w:hAnsiTheme="minorHAnsi" w:cs="Calibri"/>
                <w:sz w:val="18"/>
                <w:szCs w:val="18"/>
              </w:rPr>
              <w:t>1.1.3 Policy document on the impact of consumption decisions and practices of key economic sectors on biodiversity and ecosystem services.</w:t>
            </w:r>
          </w:p>
        </w:tc>
        <w:tc>
          <w:tcPr>
            <w:tcW w:w="861" w:type="pct"/>
            <w:vAlign w:val="center"/>
          </w:tcPr>
          <w:p w14:paraId="47F53A85" w14:textId="061FF6FD" w:rsidR="00DC7BBE" w:rsidRPr="008E0641" w:rsidRDefault="00DC7BBE" w:rsidP="00D02B15">
            <w:pPr>
              <w:jc w:val="both"/>
              <w:rPr>
                <w:rFonts w:asciiTheme="minorHAnsi" w:hAnsiTheme="minorHAnsi" w:cs="Calibri"/>
                <w:b/>
                <w:bCs/>
                <w:sz w:val="18"/>
                <w:szCs w:val="18"/>
              </w:rPr>
            </w:pPr>
            <w:r w:rsidRPr="00BA2067">
              <w:rPr>
                <w:rFonts w:asciiTheme="minorHAnsi" w:hAnsiTheme="minorHAnsi" w:cs="Calibri"/>
                <w:b/>
                <w:bCs/>
                <w:sz w:val="18"/>
                <w:szCs w:val="18"/>
              </w:rPr>
              <w:t>Under development (</w:t>
            </w:r>
            <w:r w:rsidR="00F63458">
              <w:rPr>
                <w:rFonts w:asciiTheme="minorHAnsi" w:hAnsiTheme="minorHAnsi" w:cs="Calibri"/>
                <w:b/>
                <w:bCs/>
                <w:sz w:val="18"/>
                <w:szCs w:val="18"/>
              </w:rPr>
              <w:t>70</w:t>
            </w:r>
            <w:r w:rsidRPr="00BA2067">
              <w:rPr>
                <w:rFonts w:asciiTheme="minorHAnsi" w:hAnsiTheme="minorHAnsi" w:cs="Calibri"/>
                <w:b/>
                <w:bCs/>
                <w:sz w:val="18"/>
                <w:szCs w:val="18"/>
              </w:rPr>
              <w:t>%)</w:t>
            </w:r>
          </w:p>
        </w:tc>
        <w:tc>
          <w:tcPr>
            <w:tcW w:w="634" w:type="pct"/>
            <w:gridSpan w:val="2"/>
            <w:vAlign w:val="center"/>
          </w:tcPr>
          <w:p w14:paraId="25D2D703" w14:textId="7A5C6352" w:rsidR="00DC7BBE" w:rsidRPr="008E0641" w:rsidRDefault="007C45D0" w:rsidP="007C45D0">
            <w:pPr>
              <w:jc w:val="cente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53AE5446" w14:textId="4580827D" w:rsidTr="007C45D0">
        <w:tc>
          <w:tcPr>
            <w:tcW w:w="536" w:type="pct"/>
            <w:vMerge/>
            <w:vAlign w:val="center"/>
          </w:tcPr>
          <w:p w14:paraId="27BBFEE0" w14:textId="77777777" w:rsidR="007C45D0" w:rsidRPr="008E0641" w:rsidRDefault="007C45D0" w:rsidP="007C45D0">
            <w:pPr>
              <w:jc w:val="both"/>
              <w:rPr>
                <w:rFonts w:asciiTheme="minorHAnsi" w:hAnsiTheme="minorHAnsi" w:cs="Calibri"/>
                <w:sz w:val="18"/>
                <w:szCs w:val="18"/>
              </w:rPr>
            </w:pPr>
          </w:p>
        </w:tc>
        <w:tc>
          <w:tcPr>
            <w:tcW w:w="1627" w:type="pct"/>
            <w:gridSpan w:val="2"/>
            <w:vAlign w:val="center"/>
          </w:tcPr>
          <w:p w14:paraId="722D95DD" w14:textId="6D8447F0" w:rsidR="007C45D0" w:rsidRPr="008E0641" w:rsidRDefault="007C45D0" w:rsidP="007C45D0">
            <w:pPr>
              <w:jc w:val="both"/>
              <w:rPr>
                <w:rFonts w:asciiTheme="minorHAnsi" w:hAnsiTheme="minorHAnsi" w:cs="Calibri"/>
                <w:sz w:val="18"/>
                <w:szCs w:val="18"/>
              </w:rPr>
            </w:pPr>
            <w:r w:rsidRPr="008E0641">
              <w:rPr>
                <w:rFonts w:asciiTheme="minorHAnsi" w:hAnsiTheme="minorHAnsi" w:cs="Calibri"/>
                <w:sz w:val="18"/>
                <w:szCs w:val="18"/>
              </w:rPr>
              <w:t>1.2 Number of communication, awareness and regional exchange initiatives on sustainable patterns of production and consumption that are responsible with biodiversity.</w:t>
            </w:r>
          </w:p>
        </w:tc>
        <w:tc>
          <w:tcPr>
            <w:tcW w:w="553" w:type="pct"/>
            <w:gridSpan w:val="2"/>
            <w:vAlign w:val="center"/>
          </w:tcPr>
          <w:p w14:paraId="59DB2BDB" w14:textId="777DE5E0" w:rsidR="007C45D0" w:rsidRPr="008E0641" w:rsidRDefault="007C45D0" w:rsidP="007C45D0">
            <w:pPr>
              <w:jc w:val="center"/>
              <w:rPr>
                <w:rFonts w:asciiTheme="minorHAnsi" w:hAnsiTheme="minorHAnsi" w:cs="Calibri"/>
                <w:b/>
                <w:bCs/>
                <w:sz w:val="18"/>
                <w:szCs w:val="18"/>
              </w:rPr>
            </w:pPr>
            <w:r w:rsidRPr="009B1FE6">
              <w:rPr>
                <w:rFonts w:asciiTheme="minorHAnsi" w:hAnsiTheme="minorHAnsi" w:cs="Calibri"/>
                <w:b/>
                <w:bCs/>
                <w:sz w:val="18"/>
                <w:szCs w:val="18"/>
              </w:rPr>
              <w:t>Not applicable</w:t>
            </w:r>
          </w:p>
        </w:tc>
        <w:tc>
          <w:tcPr>
            <w:tcW w:w="789" w:type="pct"/>
            <w:gridSpan w:val="2"/>
            <w:vAlign w:val="center"/>
          </w:tcPr>
          <w:p w14:paraId="482E520A" w14:textId="20FA52CC" w:rsidR="007C45D0" w:rsidRPr="00E03589" w:rsidRDefault="007C45D0" w:rsidP="007C45D0">
            <w:pPr>
              <w:jc w:val="both"/>
              <w:rPr>
                <w:rFonts w:asciiTheme="minorHAnsi" w:hAnsiTheme="minorHAnsi" w:cs="Calibri"/>
                <w:sz w:val="18"/>
                <w:szCs w:val="18"/>
              </w:rPr>
            </w:pPr>
            <w:r w:rsidRPr="00E03589">
              <w:rPr>
                <w:rFonts w:asciiTheme="minorHAnsi" w:hAnsiTheme="minorHAnsi" w:cs="Calibri"/>
                <w:sz w:val="18"/>
                <w:szCs w:val="18"/>
              </w:rPr>
              <w:t>1.1.4 National awareness campaign on sustainable production and consumption patterns. 1.1.5 Regional platform to promote the exchange of perspectives and learning on production and consumption that are responsible with biodiversity.</w:t>
            </w:r>
          </w:p>
        </w:tc>
        <w:tc>
          <w:tcPr>
            <w:tcW w:w="861" w:type="pct"/>
            <w:vAlign w:val="center"/>
          </w:tcPr>
          <w:p w14:paraId="340E2F89" w14:textId="21D0ECE2" w:rsidR="007C45D0" w:rsidRPr="008E0641" w:rsidRDefault="007C45D0" w:rsidP="007C45D0">
            <w:pPr>
              <w:jc w:val="both"/>
              <w:rPr>
                <w:rFonts w:asciiTheme="minorHAnsi" w:hAnsiTheme="minorHAnsi" w:cs="Calibri"/>
                <w:b/>
                <w:bCs/>
                <w:sz w:val="18"/>
                <w:szCs w:val="18"/>
              </w:rPr>
            </w:pPr>
            <w:r w:rsidRPr="00BA2067">
              <w:rPr>
                <w:rFonts w:asciiTheme="minorHAnsi" w:hAnsiTheme="minorHAnsi" w:cs="Calibri"/>
                <w:b/>
                <w:bCs/>
                <w:sz w:val="18"/>
                <w:szCs w:val="18"/>
              </w:rPr>
              <w:t>Under development (</w:t>
            </w:r>
            <w:r>
              <w:rPr>
                <w:rFonts w:asciiTheme="minorHAnsi" w:hAnsiTheme="minorHAnsi" w:cs="Calibri"/>
                <w:b/>
                <w:bCs/>
                <w:sz w:val="18"/>
                <w:szCs w:val="18"/>
              </w:rPr>
              <w:t>50</w:t>
            </w:r>
            <w:r w:rsidRPr="00BA2067">
              <w:rPr>
                <w:rFonts w:asciiTheme="minorHAnsi" w:hAnsiTheme="minorHAnsi" w:cs="Calibri"/>
                <w:b/>
                <w:bCs/>
                <w:sz w:val="18"/>
                <w:szCs w:val="18"/>
              </w:rPr>
              <w:t>%)</w:t>
            </w:r>
          </w:p>
        </w:tc>
        <w:tc>
          <w:tcPr>
            <w:tcW w:w="634" w:type="pct"/>
            <w:gridSpan w:val="2"/>
            <w:vAlign w:val="center"/>
          </w:tcPr>
          <w:p w14:paraId="1F4275CF" w14:textId="780E2584"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2096273F" w14:textId="066B4CAF" w:rsidTr="00BD32D3">
        <w:tc>
          <w:tcPr>
            <w:tcW w:w="536" w:type="pct"/>
            <w:vMerge w:val="restart"/>
          </w:tcPr>
          <w:p w14:paraId="61E3E59B" w14:textId="77777777" w:rsidR="007C45D0" w:rsidRPr="008E0641" w:rsidRDefault="007C45D0" w:rsidP="007C45D0">
            <w:pPr>
              <w:rPr>
                <w:rFonts w:asciiTheme="minorHAnsi" w:hAnsiTheme="minorHAnsi" w:cs="Calibri"/>
                <w:sz w:val="18"/>
                <w:szCs w:val="18"/>
              </w:rPr>
            </w:pPr>
            <w:r w:rsidRPr="008E0641">
              <w:rPr>
                <w:rFonts w:asciiTheme="minorHAnsi" w:hAnsiTheme="minorHAnsi" w:cs="Calibri"/>
                <w:b/>
                <w:bCs/>
                <w:sz w:val="18"/>
                <w:szCs w:val="18"/>
              </w:rPr>
              <w:t>Output Indicators</w:t>
            </w:r>
          </w:p>
        </w:tc>
        <w:tc>
          <w:tcPr>
            <w:tcW w:w="1627" w:type="pct"/>
            <w:gridSpan w:val="2"/>
            <w:vAlign w:val="center"/>
          </w:tcPr>
          <w:p w14:paraId="7EEC65E3" w14:textId="529D86F8" w:rsidR="007C45D0" w:rsidRPr="008E0641" w:rsidRDefault="007C45D0" w:rsidP="007C45D0">
            <w:pPr>
              <w:jc w:val="both"/>
              <w:rPr>
                <w:rFonts w:asciiTheme="minorHAnsi" w:hAnsiTheme="minorHAnsi" w:cs="Calibri"/>
                <w:sz w:val="18"/>
                <w:szCs w:val="18"/>
              </w:rPr>
            </w:pPr>
            <w:r w:rsidRPr="008E0641">
              <w:rPr>
                <w:rFonts w:asciiTheme="minorHAnsi" w:hAnsiTheme="minorHAnsi" w:cs="Calibri"/>
                <w:sz w:val="18"/>
                <w:szCs w:val="18"/>
              </w:rPr>
              <w:t>1.</w:t>
            </w:r>
            <w:r>
              <w:rPr>
                <w:rFonts w:asciiTheme="minorHAnsi" w:hAnsiTheme="minorHAnsi" w:cs="Calibri"/>
                <w:sz w:val="18"/>
                <w:szCs w:val="18"/>
              </w:rPr>
              <w:t>1.1</w:t>
            </w:r>
            <w:r w:rsidRPr="008E0641">
              <w:rPr>
                <w:rFonts w:asciiTheme="minorHAnsi" w:hAnsiTheme="minorHAnsi" w:cs="Calibri"/>
                <w:sz w:val="18"/>
                <w:szCs w:val="18"/>
              </w:rPr>
              <w:t xml:space="preserve"> </w:t>
            </w:r>
            <w:r w:rsidRPr="007C6F25">
              <w:rPr>
                <w:rFonts w:asciiTheme="minorHAnsi" w:hAnsiTheme="minorHAnsi" w:cs="Calibri"/>
                <w:sz w:val="18"/>
                <w:szCs w:val="18"/>
              </w:rPr>
              <w:t>Report on the impact of consumption and production</w:t>
            </w:r>
          </w:p>
        </w:tc>
        <w:tc>
          <w:tcPr>
            <w:tcW w:w="553" w:type="pct"/>
            <w:gridSpan w:val="2"/>
            <w:vAlign w:val="center"/>
          </w:tcPr>
          <w:p w14:paraId="4E0DBBF6" w14:textId="62647A73"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7FF0A800" w14:textId="16FD1594" w:rsidR="007C45D0" w:rsidRPr="00F174E5" w:rsidRDefault="007C45D0" w:rsidP="007C45D0">
            <w:pPr>
              <w:rPr>
                <w:rFonts w:asciiTheme="minorHAnsi" w:hAnsiTheme="minorHAnsi" w:cs="Calibri"/>
                <w:sz w:val="18"/>
                <w:szCs w:val="18"/>
              </w:rPr>
            </w:pPr>
            <w:r w:rsidRPr="00F174E5">
              <w:rPr>
                <w:rFonts w:asciiTheme="minorHAnsi" w:hAnsiTheme="minorHAnsi" w:cs="Calibri"/>
                <w:sz w:val="18"/>
                <w:szCs w:val="18"/>
              </w:rPr>
              <w:t>Report on the impact of consumption and overall production (02-26)</w:t>
            </w:r>
          </w:p>
        </w:tc>
        <w:tc>
          <w:tcPr>
            <w:tcW w:w="861" w:type="pct"/>
            <w:vAlign w:val="center"/>
          </w:tcPr>
          <w:p w14:paraId="4E6A0DD2" w14:textId="2567B961" w:rsidR="007C45D0" w:rsidRPr="008E0641" w:rsidRDefault="007C45D0" w:rsidP="007C45D0">
            <w:pPr>
              <w:jc w:val="center"/>
              <w:rPr>
                <w:rFonts w:asciiTheme="minorHAnsi" w:hAnsiTheme="minorHAnsi" w:cs="Calibri"/>
                <w:b/>
                <w:bCs/>
                <w:sz w:val="18"/>
                <w:szCs w:val="18"/>
              </w:rPr>
            </w:pPr>
            <w:r w:rsidRPr="00AC3D99">
              <w:rPr>
                <w:rFonts w:asciiTheme="minorHAnsi" w:hAnsiTheme="minorHAnsi" w:cs="Calibri"/>
                <w:b/>
                <w:bCs/>
                <w:sz w:val="18"/>
                <w:szCs w:val="18"/>
              </w:rPr>
              <w:t>Meets (100%)</w:t>
            </w:r>
          </w:p>
        </w:tc>
        <w:tc>
          <w:tcPr>
            <w:tcW w:w="634" w:type="pct"/>
            <w:gridSpan w:val="2"/>
            <w:vAlign w:val="center"/>
          </w:tcPr>
          <w:p w14:paraId="55A11B03" w14:textId="751CE681"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3B41A58A" w14:textId="3DE369F6" w:rsidTr="00BD32D3">
        <w:tc>
          <w:tcPr>
            <w:tcW w:w="536" w:type="pct"/>
            <w:vMerge/>
          </w:tcPr>
          <w:p w14:paraId="29169E65" w14:textId="77777777" w:rsidR="007C45D0" w:rsidRPr="008E0641" w:rsidRDefault="007C45D0" w:rsidP="007C45D0">
            <w:pPr>
              <w:rPr>
                <w:rFonts w:asciiTheme="minorHAnsi" w:hAnsiTheme="minorHAnsi" w:cs="Calibri"/>
                <w:b/>
                <w:bCs/>
                <w:sz w:val="18"/>
                <w:szCs w:val="18"/>
              </w:rPr>
            </w:pPr>
          </w:p>
        </w:tc>
        <w:tc>
          <w:tcPr>
            <w:tcW w:w="1627" w:type="pct"/>
            <w:gridSpan w:val="2"/>
            <w:vAlign w:val="center"/>
          </w:tcPr>
          <w:p w14:paraId="63C75D22" w14:textId="73F0F911" w:rsidR="007C45D0" w:rsidRPr="008E0641" w:rsidRDefault="007C45D0" w:rsidP="007C45D0">
            <w:pPr>
              <w:jc w:val="both"/>
              <w:rPr>
                <w:rFonts w:asciiTheme="minorHAnsi" w:hAnsiTheme="minorHAnsi" w:cs="Calibri"/>
                <w:sz w:val="18"/>
                <w:szCs w:val="18"/>
              </w:rPr>
            </w:pPr>
            <w:r>
              <w:rPr>
                <w:rFonts w:asciiTheme="minorHAnsi" w:hAnsiTheme="minorHAnsi" w:cs="Calibri"/>
                <w:sz w:val="18"/>
                <w:szCs w:val="18"/>
              </w:rPr>
              <w:t xml:space="preserve">1.1.1 </w:t>
            </w:r>
            <w:r w:rsidRPr="005E0C33">
              <w:rPr>
                <w:rFonts w:asciiTheme="minorHAnsi" w:hAnsiTheme="minorHAnsi" w:cs="Calibri"/>
                <w:sz w:val="18"/>
                <w:szCs w:val="18"/>
              </w:rPr>
              <w:t>Report on the impact of consumption and production</w:t>
            </w:r>
          </w:p>
        </w:tc>
        <w:tc>
          <w:tcPr>
            <w:tcW w:w="553" w:type="pct"/>
            <w:gridSpan w:val="2"/>
            <w:vAlign w:val="center"/>
          </w:tcPr>
          <w:p w14:paraId="724CD663" w14:textId="2B6F29C9"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08C98988" w14:textId="5D658EC9" w:rsidR="007C45D0" w:rsidRPr="002A28F3" w:rsidRDefault="007C45D0" w:rsidP="007C45D0">
            <w:pPr>
              <w:jc w:val="both"/>
              <w:rPr>
                <w:rFonts w:asciiTheme="minorHAnsi" w:hAnsiTheme="minorHAnsi" w:cs="Calibri"/>
                <w:sz w:val="18"/>
                <w:szCs w:val="18"/>
              </w:rPr>
            </w:pPr>
            <w:r w:rsidRPr="002A28F3">
              <w:rPr>
                <w:rFonts w:asciiTheme="minorHAnsi" w:hAnsiTheme="minorHAnsi" w:cs="Calibri"/>
                <w:sz w:val="18"/>
                <w:szCs w:val="18"/>
              </w:rPr>
              <w:t xml:space="preserve">Development of indicators to assess the impacts on national biodiversity caused by production and consumption from productive activities associated with the </w:t>
            </w:r>
            <w:r w:rsidRPr="002A28F3">
              <w:rPr>
                <w:rFonts w:asciiTheme="minorHAnsi" w:hAnsiTheme="minorHAnsi" w:cs="Calibri"/>
                <w:sz w:val="18"/>
                <w:szCs w:val="18"/>
              </w:rPr>
              <w:lastRenderedPageBreak/>
              <w:t>productive groups Fishing and Aquaculture-Aquaculture Fishing and Aquaculture-Fishing (05-26)</w:t>
            </w:r>
          </w:p>
        </w:tc>
        <w:tc>
          <w:tcPr>
            <w:tcW w:w="861" w:type="pct"/>
            <w:vAlign w:val="center"/>
          </w:tcPr>
          <w:p w14:paraId="36ADD9BC" w14:textId="63FC7853" w:rsidR="007C45D0" w:rsidRPr="008E0641" w:rsidRDefault="007C45D0" w:rsidP="007C45D0">
            <w:pPr>
              <w:jc w:val="center"/>
              <w:rPr>
                <w:rFonts w:asciiTheme="minorHAnsi" w:hAnsiTheme="minorHAnsi" w:cs="Calibri"/>
                <w:b/>
                <w:bCs/>
                <w:sz w:val="18"/>
                <w:szCs w:val="18"/>
              </w:rPr>
            </w:pPr>
            <w:r w:rsidRPr="007B1487">
              <w:rPr>
                <w:rFonts w:asciiTheme="minorHAnsi" w:hAnsiTheme="minorHAnsi" w:cs="Calibri"/>
                <w:b/>
                <w:bCs/>
                <w:sz w:val="18"/>
                <w:szCs w:val="18"/>
              </w:rPr>
              <w:lastRenderedPageBreak/>
              <w:t xml:space="preserve">Under development </w:t>
            </w:r>
            <w:r w:rsidRPr="004608D8">
              <w:rPr>
                <w:rFonts w:asciiTheme="minorHAnsi" w:hAnsiTheme="minorHAnsi" w:cs="Calibri"/>
                <w:b/>
                <w:bCs/>
                <w:sz w:val="18"/>
                <w:szCs w:val="18"/>
              </w:rPr>
              <w:t>(</w:t>
            </w:r>
            <w:r>
              <w:rPr>
                <w:rFonts w:asciiTheme="minorHAnsi" w:hAnsiTheme="minorHAnsi" w:cs="Calibri"/>
                <w:b/>
                <w:bCs/>
                <w:sz w:val="18"/>
                <w:szCs w:val="18"/>
              </w:rPr>
              <w:t>4</w:t>
            </w:r>
            <w:r w:rsidRPr="004608D8">
              <w:rPr>
                <w:rFonts w:asciiTheme="minorHAnsi" w:hAnsiTheme="minorHAnsi" w:cs="Calibri"/>
                <w:b/>
                <w:bCs/>
                <w:sz w:val="18"/>
                <w:szCs w:val="18"/>
              </w:rPr>
              <w:t>0%)</w:t>
            </w:r>
          </w:p>
        </w:tc>
        <w:tc>
          <w:tcPr>
            <w:tcW w:w="634" w:type="pct"/>
            <w:gridSpan w:val="2"/>
            <w:vAlign w:val="center"/>
          </w:tcPr>
          <w:p w14:paraId="4686C508" w14:textId="28578EA0"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25CB66B9" w14:textId="3EE7177E" w:rsidTr="00BD32D3">
        <w:tc>
          <w:tcPr>
            <w:tcW w:w="536" w:type="pct"/>
            <w:vMerge/>
          </w:tcPr>
          <w:p w14:paraId="1F4C7D96" w14:textId="77777777" w:rsidR="007C45D0" w:rsidRPr="008E0641" w:rsidRDefault="007C45D0" w:rsidP="007C45D0">
            <w:pPr>
              <w:rPr>
                <w:rFonts w:asciiTheme="minorHAnsi" w:hAnsiTheme="minorHAnsi" w:cs="Calibri"/>
                <w:b/>
                <w:bCs/>
                <w:sz w:val="18"/>
                <w:szCs w:val="18"/>
              </w:rPr>
            </w:pPr>
          </w:p>
        </w:tc>
        <w:tc>
          <w:tcPr>
            <w:tcW w:w="1627" w:type="pct"/>
            <w:gridSpan w:val="2"/>
            <w:vAlign w:val="center"/>
          </w:tcPr>
          <w:p w14:paraId="547AA2E1" w14:textId="163F1E4E" w:rsidR="007C45D0" w:rsidRPr="008E0641" w:rsidRDefault="007C45D0" w:rsidP="007C45D0">
            <w:pPr>
              <w:jc w:val="both"/>
              <w:rPr>
                <w:rFonts w:asciiTheme="minorHAnsi" w:hAnsiTheme="minorHAnsi" w:cs="Calibri"/>
                <w:sz w:val="18"/>
                <w:szCs w:val="18"/>
              </w:rPr>
            </w:pPr>
            <w:r w:rsidRPr="00F00D5F">
              <w:rPr>
                <w:rFonts w:asciiTheme="minorHAnsi" w:hAnsiTheme="minorHAnsi" w:cs="Calibri"/>
                <w:sz w:val="18"/>
                <w:szCs w:val="18"/>
              </w:rPr>
              <w:t>1.1.2_Proposal of responsible production and consumption indicators</w:t>
            </w:r>
          </w:p>
        </w:tc>
        <w:tc>
          <w:tcPr>
            <w:tcW w:w="553" w:type="pct"/>
            <w:gridSpan w:val="2"/>
            <w:vAlign w:val="center"/>
          </w:tcPr>
          <w:p w14:paraId="7FC78533" w14:textId="25DAC0C6" w:rsidR="007C45D0" w:rsidRPr="008E0641" w:rsidRDefault="007C45D0" w:rsidP="007C45D0">
            <w:pPr>
              <w:jc w:val="both"/>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vAlign w:val="center"/>
          </w:tcPr>
          <w:p w14:paraId="244DF236" w14:textId="4A4A660E" w:rsidR="007C45D0" w:rsidRPr="007B3110" w:rsidRDefault="007C45D0" w:rsidP="007C45D0">
            <w:pPr>
              <w:jc w:val="both"/>
              <w:rPr>
                <w:rFonts w:asciiTheme="minorHAnsi" w:hAnsiTheme="minorHAnsi" w:cs="Calibri"/>
                <w:sz w:val="18"/>
                <w:szCs w:val="18"/>
              </w:rPr>
            </w:pPr>
            <w:r w:rsidRPr="007B3110">
              <w:rPr>
                <w:rFonts w:asciiTheme="minorHAnsi" w:hAnsiTheme="minorHAnsi" w:cs="Calibri"/>
                <w:sz w:val="18"/>
                <w:szCs w:val="18"/>
              </w:rPr>
              <w:t>Identification, characterization and quantification of the drivers of impact on biodiversity and ecosystem services originating from productive activities and consumption patterns in Chile (02-26).</w:t>
            </w:r>
          </w:p>
        </w:tc>
        <w:tc>
          <w:tcPr>
            <w:tcW w:w="861" w:type="pct"/>
            <w:vAlign w:val="center"/>
          </w:tcPr>
          <w:p w14:paraId="5D51BEAF" w14:textId="7247BF34" w:rsidR="007C45D0" w:rsidRPr="008E0641" w:rsidRDefault="007C45D0" w:rsidP="007C45D0">
            <w:pPr>
              <w:jc w:val="center"/>
              <w:rPr>
                <w:rFonts w:asciiTheme="minorHAnsi" w:hAnsiTheme="minorHAnsi" w:cs="Calibri"/>
                <w:b/>
                <w:bCs/>
                <w:sz w:val="18"/>
                <w:szCs w:val="18"/>
              </w:rPr>
            </w:pPr>
            <w:r w:rsidRPr="007C563B">
              <w:rPr>
                <w:rFonts w:asciiTheme="minorHAnsi" w:hAnsiTheme="minorHAnsi" w:cs="Calibri"/>
                <w:b/>
                <w:bCs/>
                <w:sz w:val="18"/>
                <w:szCs w:val="18"/>
              </w:rPr>
              <w:t>Meets (100%)</w:t>
            </w:r>
          </w:p>
        </w:tc>
        <w:tc>
          <w:tcPr>
            <w:tcW w:w="634" w:type="pct"/>
            <w:gridSpan w:val="2"/>
            <w:vAlign w:val="center"/>
          </w:tcPr>
          <w:p w14:paraId="240D1AD7" w14:textId="7C7F9A1E"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341DE952" w14:textId="7612D649" w:rsidTr="00BD32D3">
        <w:tc>
          <w:tcPr>
            <w:tcW w:w="536" w:type="pct"/>
            <w:vMerge/>
          </w:tcPr>
          <w:p w14:paraId="3B6C579B" w14:textId="77777777" w:rsidR="007C45D0" w:rsidRPr="008E0641" w:rsidRDefault="007C45D0" w:rsidP="007C45D0">
            <w:pPr>
              <w:rPr>
                <w:rFonts w:asciiTheme="minorHAnsi" w:hAnsiTheme="minorHAnsi" w:cs="Calibri"/>
                <w:sz w:val="18"/>
                <w:szCs w:val="18"/>
              </w:rPr>
            </w:pPr>
          </w:p>
        </w:tc>
        <w:tc>
          <w:tcPr>
            <w:tcW w:w="1627" w:type="pct"/>
            <w:gridSpan w:val="2"/>
            <w:vAlign w:val="center"/>
          </w:tcPr>
          <w:p w14:paraId="4669A63B" w14:textId="138B723D" w:rsidR="007C45D0" w:rsidRPr="008E0641" w:rsidRDefault="007C45D0" w:rsidP="007C45D0">
            <w:pPr>
              <w:jc w:val="both"/>
              <w:rPr>
                <w:rFonts w:asciiTheme="minorHAnsi" w:hAnsiTheme="minorHAnsi" w:cs="Calibri"/>
                <w:sz w:val="18"/>
                <w:szCs w:val="18"/>
              </w:rPr>
            </w:pPr>
            <w:r w:rsidRPr="00AC5C9B">
              <w:rPr>
                <w:rFonts w:asciiTheme="minorHAnsi" w:hAnsiTheme="minorHAnsi" w:cs="Calibri"/>
                <w:sz w:val="18"/>
                <w:szCs w:val="18"/>
              </w:rPr>
              <w:t>1.1.2_Proposal of responsible production and consumption indicators</w:t>
            </w:r>
          </w:p>
        </w:tc>
        <w:tc>
          <w:tcPr>
            <w:tcW w:w="553" w:type="pct"/>
            <w:gridSpan w:val="2"/>
            <w:vAlign w:val="center"/>
          </w:tcPr>
          <w:p w14:paraId="5E1B05DD" w14:textId="7051275A"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4DBCE6B8" w14:textId="25CEEF2F" w:rsidR="007C45D0" w:rsidRPr="00267091" w:rsidRDefault="007C45D0" w:rsidP="007C45D0">
            <w:pPr>
              <w:jc w:val="both"/>
              <w:rPr>
                <w:rFonts w:asciiTheme="minorHAnsi" w:hAnsiTheme="minorHAnsi" w:cs="Calibri"/>
                <w:sz w:val="18"/>
                <w:szCs w:val="18"/>
              </w:rPr>
            </w:pPr>
            <w:r w:rsidRPr="00267091">
              <w:rPr>
                <w:rFonts w:asciiTheme="minorHAnsi" w:hAnsiTheme="minorHAnsi" w:cs="Calibri"/>
                <w:sz w:val="18"/>
                <w:szCs w:val="18"/>
              </w:rPr>
              <w:t>Development of indicators to assess the impacts on national biodiversity caused by the production and consumption from productive activities associated with the Agricultural-Forestry-Agriculture and Agricultural-Forestry-Fruit Growing production groups (05-26)</w:t>
            </w:r>
          </w:p>
        </w:tc>
        <w:tc>
          <w:tcPr>
            <w:tcW w:w="861" w:type="pct"/>
            <w:vAlign w:val="center"/>
          </w:tcPr>
          <w:p w14:paraId="62EC0F36" w14:textId="1C78F325" w:rsidR="007C45D0" w:rsidRPr="008E0641" w:rsidRDefault="007C45D0" w:rsidP="007C45D0">
            <w:pPr>
              <w:jc w:val="center"/>
              <w:rPr>
                <w:rFonts w:asciiTheme="minorHAnsi" w:hAnsiTheme="minorHAnsi" w:cs="Calibri"/>
                <w:b/>
                <w:bCs/>
                <w:sz w:val="18"/>
                <w:szCs w:val="18"/>
              </w:rPr>
            </w:pPr>
            <w:r w:rsidRPr="007B1487">
              <w:rPr>
                <w:rFonts w:asciiTheme="minorHAnsi" w:hAnsiTheme="minorHAnsi" w:cs="Calibri"/>
                <w:b/>
                <w:bCs/>
                <w:sz w:val="18"/>
                <w:szCs w:val="18"/>
              </w:rPr>
              <w:t xml:space="preserve">Under development </w:t>
            </w:r>
            <w:r w:rsidRPr="00B12C07">
              <w:rPr>
                <w:rFonts w:asciiTheme="minorHAnsi" w:hAnsiTheme="minorHAnsi" w:cs="Calibri"/>
                <w:b/>
                <w:bCs/>
                <w:sz w:val="18"/>
                <w:szCs w:val="18"/>
              </w:rPr>
              <w:t>(</w:t>
            </w:r>
            <w:r>
              <w:rPr>
                <w:rFonts w:asciiTheme="minorHAnsi" w:hAnsiTheme="minorHAnsi" w:cs="Calibri"/>
                <w:b/>
                <w:bCs/>
                <w:sz w:val="18"/>
                <w:szCs w:val="18"/>
              </w:rPr>
              <w:t>4</w:t>
            </w:r>
            <w:r w:rsidRPr="00B12C07">
              <w:rPr>
                <w:rFonts w:asciiTheme="minorHAnsi" w:hAnsiTheme="minorHAnsi" w:cs="Calibri"/>
                <w:b/>
                <w:bCs/>
                <w:sz w:val="18"/>
                <w:szCs w:val="18"/>
              </w:rPr>
              <w:t>0%)</w:t>
            </w:r>
          </w:p>
        </w:tc>
        <w:tc>
          <w:tcPr>
            <w:tcW w:w="634" w:type="pct"/>
            <w:gridSpan w:val="2"/>
            <w:vAlign w:val="center"/>
          </w:tcPr>
          <w:p w14:paraId="151079D0" w14:textId="2D118813"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508E86C6" w14:textId="22714C90" w:rsidTr="00BD32D3">
        <w:tc>
          <w:tcPr>
            <w:tcW w:w="536" w:type="pct"/>
          </w:tcPr>
          <w:p w14:paraId="26D5E1D2" w14:textId="77777777" w:rsidR="007C45D0" w:rsidRPr="008E0641" w:rsidRDefault="007C45D0" w:rsidP="007C45D0">
            <w:pPr>
              <w:rPr>
                <w:rFonts w:asciiTheme="minorHAnsi" w:hAnsiTheme="minorHAnsi" w:cs="Calibri"/>
                <w:sz w:val="18"/>
                <w:szCs w:val="18"/>
              </w:rPr>
            </w:pPr>
          </w:p>
        </w:tc>
        <w:tc>
          <w:tcPr>
            <w:tcW w:w="1627" w:type="pct"/>
            <w:gridSpan w:val="2"/>
            <w:vAlign w:val="center"/>
          </w:tcPr>
          <w:p w14:paraId="7644EFE1" w14:textId="42E593A2" w:rsidR="007C45D0" w:rsidRPr="00AC5C9B" w:rsidRDefault="007C45D0" w:rsidP="007C45D0">
            <w:pPr>
              <w:jc w:val="both"/>
              <w:rPr>
                <w:rFonts w:asciiTheme="minorHAnsi" w:hAnsiTheme="minorHAnsi" w:cs="Calibri"/>
                <w:sz w:val="18"/>
                <w:szCs w:val="18"/>
              </w:rPr>
            </w:pPr>
            <w:r>
              <w:rPr>
                <w:rFonts w:asciiTheme="minorHAnsi" w:hAnsiTheme="minorHAnsi" w:cs="Calibri"/>
                <w:sz w:val="18"/>
                <w:szCs w:val="18"/>
              </w:rPr>
              <w:t>1</w:t>
            </w:r>
            <w:r w:rsidRPr="002A51C9">
              <w:rPr>
                <w:rFonts w:asciiTheme="minorHAnsi" w:hAnsiTheme="minorHAnsi" w:cs="Calibri"/>
                <w:sz w:val="18"/>
                <w:szCs w:val="18"/>
              </w:rPr>
              <w:t>.1.3_Policy document on the impact of consumption decisions and practices of key economic sectors on biodiversity and ecosystem services</w:t>
            </w:r>
          </w:p>
        </w:tc>
        <w:tc>
          <w:tcPr>
            <w:tcW w:w="553" w:type="pct"/>
            <w:gridSpan w:val="2"/>
            <w:vAlign w:val="center"/>
          </w:tcPr>
          <w:p w14:paraId="4DB38C97" w14:textId="1EF38A8A"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7C254E73" w14:textId="0A150F75" w:rsidR="007C45D0" w:rsidRPr="00267091" w:rsidRDefault="007C45D0" w:rsidP="007C45D0">
            <w:pPr>
              <w:jc w:val="both"/>
              <w:rPr>
                <w:rFonts w:asciiTheme="minorHAnsi" w:hAnsiTheme="minorHAnsi" w:cs="Calibri"/>
                <w:sz w:val="18"/>
                <w:szCs w:val="18"/>
              </w:rPr>
            </w:pPr>
            <w:r w:rsidRPr="00F106EE">
              <w:rPr>
                <w:rFonts w:asciiTheme="minorHAnsi" w:hAnsiTheme="minorHAnsi" w:cs="Calibri"/>
                <w:sz w:val="18"/>
                <w:szCs w:val="18"/>
              </w:rPr>
              <w:t>Policy document on the impact of consumption choices and practices of key economic sectors on biodiversity and ecosystem services (05-26)</w:t>
            </w:r>
          </w:p>
        </w:tc>
        <w:tc>
          <w:tcPr>
            <w:tcW w:w="861" w:type="pct"/>
            <w:vAlign w:val="center"/>
          </w:tcPr>
          <w:p w14:paraId="3E3F8A90" w14:textId="152AE560" w:rsidR="007C45D0" w:rsidRPr="008E0641" w:rsidRDefault="007C45D0" w:rsidP="007C45D0">
            <w:pPr>
              <w:jc w:val="center"/>
              <w:rPr>
                <w:rFonts w:asciiTheme="minorHAnsi" w:hAnsiTheme="minorHAnsi" w:cs="Calibri"/>
                <w:b/>
                <w:bCs/>
                <w:sz w:val="18"/>
                <w:szCs w:val="18"/>
              </w:rPr>
            </w:pPr>
            <w:r w:rsidRPr="006C0BC7">
              <w:rPr>
                <w:rFonts w:asciiTheme="minorHAnsi" w:hAnsiTheme="minorHAnsi" w:cs="Calibri"/>
                <w:b/>
                <w:bCs/>
                <w:sz w:val="18"/>
                <w:szCs w:val="18"/>
              </w:rPr>
              <w:t>In design (</w:t>
            </w:r>
            <w:r>
              <w:rPr>
                <w:rFonts w:asciiTheme="minorHAnsi" w:hAnsiTheme="minorHAnsi" w:cs="Calibri"/>
                <w:b/>
                <w:bCs/>
                <w:sz w:val="18"/>
                <w:szCs w:val="18"/>
              </w:rPr>
              <w:t>70</w:t>
            </w:r>
            <w:r w:rsidRPr="006C0BC7">
              <w:rPr>
                <w:rFonts w:asciiTheme="minorHAnsi" w:hAnsiTheme="minorHAnsi" w:cs="Calibri"/>
                <w:b/>
                <w:bCs/>
                <w:sz w:val="18"/>
                <w:szCs w:val="18"/>
              </w:rPr>
              <w:t>%)</w:t>
            </w:r>
          </w:p>
        </w:tc>
        <w:tc>
          <w:tcPr>
            <w:tcW w:w="634" w:type="pct"/>
            <w:gridSpan w:val="2"/>
            <w:vAlign w:val="center"/>
          </w:tcPr>
          <w:p w14:paraId="26B388A9" w14:textId="03812CAE"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1679149C" w14:textId="5B3B07D5" w:rsidTr="00BD32D3">
        <w:tc>
          <w:tcPr>
            <w:tcW w:w="536" w:type="pct"/>
          </w:tcPr>
          <w:p w14:paraId="18387D72" w14:textId="77777777" w:rsidR="007C45D0" w:rsidRPr="008E0641" w:rsidRDefault="007C45D0" w:rsidP="007C45D0">
            <w:pPr>
              <w:rPr>
                <w:rFonts w:asciiTheme="minorHAnsi" w:hAnsiTheme="minorHAnsi" w:cs="Calibri"/>
                <w:sz w:val="18"/>
                <w:szCs w:val="18"/>
              </w:rPr>
            </w:pPr>
          </w:p>
        </w:tc>
        <w:tc>
          <w:tcPr>
            <w:tcW w:w="1627" w:type="pct"/>
            <w:gridSpan w:val="2"/>
          </w:tcPr>
          <w:p w14:paraId="4A313A22" w14:textId="3466BF34" w:rsidR="007C45D0" w:rsidRDefault="007C45D0" w:rsidP="007C45D0">
            <w:pPr>
              <w:rPr>
                <w:rFonts w:asciiTheme="minorHAnsi" w:hAnsiTheme="minorHAnsi" w:cs="Calibri"/>
                <w:sz w:val="18"/>
                <w:szCs w:val="18"/>
              </w:rPr>
            </w:pPr>
            <w:r w:rsidRPr="00DA60AF">
              <w:rPr>
                <w:rFonts w:asciiTheme="minorHAnsi" w:hAnsiTheme="minorHAnsi" w:cs="Calibri"/>
                <w:sz w:val="18"/>
                <w:szCs w:val="18"/>
              </w:rPr>
              <w:t>1.1.4 National awareness campaign on sustainable production and consumption patterns.</w:t>
            </w:r>
          </w:p>
        </w:tc>
        <w:tc>
          <w:tcPr>
            <w:tcW w:w="553" w:type="pct"/>
            <w:gridSpan w:val="2"/>
            <w:vAlign w:val="center"/>
          </w:tcPr>
          <w:p w14:paraId="5D8FFB46" w14:textId="179B2C5E"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77A78CDC" w14:textId="160A51CE" w:rsidR="007C45D0" w:rsidRPr="00F106EE" w:rsidRDefault="007C45D0" w:rsidP="007C45D0">
            <w:pPr>
              <w:jc w:val="both"/>
              <w:rPr>
                <w:rFonts w:asciiTheme="minorHAnsi" w:hAnsiTheme="minorHAnsi" w:cs="Calibri"/>
                <w:sz w:val="18"/>
                <w:szCs w:val="18"/>
              </w:rPr>
            </w:pPr>
            <w:r w:rsidRPr="004E1C59">
              <w:rPr>
                <w:rFonts w:asciiTheme="minorHAnsi" w:hAnsiTheme="minorHAnsi" w:cs="Calibri"/>
                <w:sz w:val="18"/>
                <w:szCs w:val="18"/>
              </w:rPr>
              <w:t>Awareness campaign (03-26)</w:t>
            </w:r>
          </w:p>
        </w:tc>
        <w:tc>
          <w:tcPr>
            <w:tcW w:w="861" w:type="pct"/>
            <w:vAlign w:val="center"/>
          </w:tcPr>
          <w:p w14:paraId="71D3CB5B" w14:textId="7820FD79" w:rsidR="007C45D0" w:rsidRPr="008E0641" w:rsidRDefault="007C45D0" w:rsidP="007C45D0">
            <w:pPr>
              <w:jc w:val="center"/>
              <w:rPr>
                <w:rFonts w:asciiTheme="minorHAnsi" w:hAnsiTheme="minorHAnsi" w:cs="Calibri"/>
                <w:b/>
                <w:bCs/>
                <w:sz w:val="18"/>
                <w:szCs w:val="18"/>
              </w:rPr>
            </w:pPr>
            <w:r w:rsidRPr="007B1487">
              <w:rPr>
                <w:rFonts w:asciiTheme="minorHAnsi" w:hAnsiTheme="minorHAnsi" w:cs="Calibri"/>
                <w:b/>
                <w:bCs/>
                <w:sz w:val="18"/>
                <w:szCs w:val="18"/>
              </w:rPr>
              <w:t>Under development (35%)</w:t>
            </w:r>
          </w:p>
        </w:tc>
        <w:tc>
          <w:tcPr>
            <w:tcW w:w="634" w:type="pct"/>
            <w:gridSpan w:val="2"/>
            <w:vAlign w:val="center"/>
          </w:tcPr>
          <w:p w14:paraId="652D5093" w14:textId="3F95A2B6"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2D659973" w14:textId="487E9E0A" w:rsidTr="00BD32D3">
        <w:tc>
          <w:tcPr>
            <w:tcW w:w="536" w:type="pct"/>
          </w:tcPr>
          <w:p w14:paraId="0718BD46" w14:textId="77777777" w:rsidR="007C45D0" w:rsidRPr="008E0641" w:rsidRDefault="007C45D0" w:rsidP="007C45D0">
            <w:pPr>
              <w:rPr>
                <w:rFonts w:asciiTheme="minorHAnsi" w:hAnsiTheme="minorHAnsi" w:cs="Calibri"/>
                <w:sz w:val="18"/>
                <w:szCs w:val="18"/>
              </w:rPr>
            </w:pPr>
          </w:p>
        </w:tc>
        <w:tc>
          <w:tcPr>
            <w:tcW w:w="1627" w:type="pct"/>
            <w:gridSpan w:val="2"/>
          </w:tcPr>
          <w:p w14:paraId="5B21DBC7" w14:textId="0BE7B528" w:rsidR="007C45D0" w:rsidRPr="00DA60AF" w:rsidRDefault="007C45D0" w:rsidP="007C45D0">
            <w:pPr>
              <w:rPr>
                <w:rFonts w:asciiTheme="minorHAnsi" w:hAnsiTheme="minorHAnsi" w:cs="Calibri"/>
                <w:sz w:val="18"/>
                <w:szCs w:val="18"/>
              </w:rPr>
            </w:pPr>
            <w:r>
              <w:rPr>
                <w:rFonts w:asciiTheme="minorHAnsi" w:hAnsiTheme="minorHAnsi" w:cs="Calibri"/>
                <w:sz w:val="18"/>
                <w:szCs w:val="18"/>
              </w:rPr>
              <w:t xml:space="preserve">1.1.4 </w:t>
            </w:r>
            <w:r w:rsidRPr="00C550AE">
              <w:rPr>
                <w:rFonts w:asciiTheme="minorHAnsi" w:hAnsiTheme="minorHAnsi" w:cs="Calibri"/>
                <w:sz w:val="18"/>
                <w:szCs w:val="18"/>
              </w:rPr>
              <w:t>National awareness campaign on sustainable production and consumption patterns.</w:t>
            </w:r>
          </w:p>
        </w:tc>
        <w:tc>
          <w:tcPr>
            <w:tcW w:w="553" w:type="pct"/>
            <w:gridSpan w:val="2"/>
            <w:vAlign w:val="center"/>
          </w:tcPr>
          <w:p w14:paraId="3CF947B8" w14:textId="5ACAD400"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4241434C" w14:textId="24800257" w:rsidR="007C45D0" w:rsidRPr="004E1C59" w:rsidRDefault="007C45D0" w:rsidP="007C45D0">
            <w:pPr>
              <w:jc w:val="both"/>
              <w:rPr>
                <w:rFonts w:asciiTheme="minorHAnsi" w:hAnsiTheme="minorHAnsi" w:cs="Calibri"/>
                <w:sz w:val="18"/>
                <w:szCs w:val="18"/>
              </w:rPr>
            </w:pPr>
            <w:r w:rsidRPr="00102919">
              <w:rPr>
                <w:rFonts w:asciiTheme="minorHAnsi" w:hAnsiTheme="minorHAnsi" w:cs="Calibri"/>
                <w:sz w:val="18"/>
                <w:szCs w:val="18"/>
              </w:rPr>
              <w:t>Education campaign (04-26)</w:t>
            </w:r>
          </w:p>
        </w:tc>
        <w:tc>
          <w:tcPr>
            <w:tcW w:w="861" w:type="pct"/>
            <w:vAlign w:val="center"/>
          </w:tcPr>
          <w:p w14:paraId="5CBF9233" w14:textId="7ECCF99A" w:rsidR="007C45D0" w:rsidRPr="008E0641" w:rsidRDefault="007C45D0" w:rsidP="007C45D0">
            <w:pPr>
              <w:jc w:val="center"/>
              <w:rPr>
                <w:rFonts w:asciiTheme="minorHAnsi" w:hAnsiTheme="minorHAnsi" w:cs="Calibri"/>
                <w:b/>
                <w:bCs/>
                <w:sz w:val="18"/>
                <w:szCs w:val="18"/>
              </w:rPr>
            </w:pPr>
            <w:r w:rsidRPr="007B1487">
              <w:rPr>
                <w:rFonts w:asciiTheme="minorHAnsi" w:hAnsiTheme="minorHAnsi" w:cs="Calibri"/>
                <w:b/>
                <w:bCs/>
                <w:sz w:val="18"/>
                <w:szCs w:val="18"/>
              </w:rPr>
              <w:t xml:space="preserve">Under development </w:t>
            </w:r>
            <w:r w:rsidRPr="00BF0D70">
              <w:rPr>
                <w:rFonts w:asciiTheme="minorHAnsi" w:hAnsiTheme="minorHAnsi" w:cs="Calibri"/>
                <w:b/>
                <w:bCs/>
                <w:sz w:val="18"/>
                <w:szCs w:val="18"/>
              </w:rPr>
              <w:t>(</w:t>
            </w:r>
            <w:r>
              <w:rPr>
                <w:rFonts w:asciiTheme="minorHAnsi" w:hAnsiTheme="minorHAnsi" w:cs="Calibri"/>
                <w:b/>
                <w:bCs/>
                <w:sz w:val="18"/>
                <w:szCs w:val="18"/>
              </w:rPr>
              <w:t>3</w:t>
            </w:r>
            <w:r w:rsidRPr="00BF0D70">
              <w:rPr>
                <w:rFonts w:asciiTheme="minorHAnsi" w:hAnsiTheme="minorHAnsi" w:cs="Calibri"/>
                <w:b/>
                <w:bCs/>
                <w:sz w:val="18"/>
                <w:szCs w:val="18"/>
              </w:rPr>
              <w:t>0%)</w:t>
            </w:r>
          </w:p>
        </w:tc>
        <w:tc>
          <w:tcPr>
            <w:tcW w:w="634" w:type="pct"/>
            <w:gridSpan w:val="2"/>
            <w:vAlign w:val="center"/>
          </w:tcPr>
          <w:p w14:paraId="3C589554" w14:textId="1AB05E6D"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69B938FE" w14:textId="7D81C35B" w:rsidTr="00BD32D3">
        <w:tc>
          <w:tcPr>
            <w:tcW w:w="536" w:type="pct"/>
          </w:tcPr>
          <w:p w14:paraId="69DE3FE8" w14:textId="77777777" w:rsidR="007C45D0" w:rsidRPr="008E0641" w:rsidRDefault="007C45D0" w:rsidP="007C45D0">
            <w:pPr>
              <w:rPr>
                <w:rFonts w:asciiTheme="minorHAnsi" w:hAnsiTheme="minorHAnsi" w:cs="Calibri"/>
                <w:sz w:val="18"/>
                <w:szCs w:val="18"/>
              </w:rPr>
            </w:pPr>
          </w:p>
        </w:tc>
        <w:tc>
          <w:tcPr>
            <w:tcW w:w="1627" w:type="pct"/>
            <w:gridSpan w:val="2"/>
          </w:tcPr>
          <w:p w14:paraId="0E469CEC" w14:textId="32FD7710" w:rsidR="007C45D0" w:rsidRDefault="007C45D0" w:rsidP="007C45D0">
            <w:pPr>
              <w:rPr>
                <w:rFonts w:asciiTheme="minorHAnsi" w:hAnsiTheme="minorHAnsi" w:cs="Calibri"/>
                <w:sz w:val="18"/>
                <w:szCs w:val="18"/>
              </w:rPr>
            </w:pPr>
            <w:r>
              <w:rPr>
                <w:rFonts w:asciiTheme="minorHAnsi" w:hAnsiTheme="minorHAnsi" w:cs="Calibri"/>
                <w:sz w:val="18"/>
                <w:szCs w:val="18"/>
              </w:rPr>
              <w:t xml:space="preserve">1.1.5 </w:t>
            </w:r>
            <w:r w:rsidRPr="007F2A76">
              <w:rPr>
                <w:rFonts w:asciiTheme="minorHAnsi" w:hAnsiTheme="minorHAnsi" w:cs="Calibri"/>
                <w:sz w:val="18"/>
                <w:szCs w:val="18"/>
              </w:rPr>
              <w:t>Regional platform to promote the exchange of perspectives and learning on responsible production and consumption with biodiversity</w:t>
            </w:r>
          </w:p>
        </w:tc>
        <w:tc>
          <w:tcPr>
            <w:tcW w:w="553" w:type="pct"/>
            <w:gridSpan w:val="2"/>
            <w:vAlign w:val="center"/>
          </w:tcPr>
          <w:p w14:paraId="45FEC3F4" w14:textId="06033B6B"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vAlign w:val="center"/>
          </w:tcPr>
          <w:p w14:paraId="59B046A6" w14:textId="49D0732B" w:rsidR="007C45D0" w:rsidRPr="00102919" w:rsidRDefault="007C45D0" w:rsidP="007C45D0">
            <w:pPr>
              <w:jc w:val="center"/>
              <w:rPr>
                <w:rFonts w:asciiTheme="minorHAnsi" w:hAnsiTheme="minorHAnsi" w:cs="Calibri"/>
                <w:sz w:val="18"/>
                <w:szCs w:val="18"/>
              </w:rPr>
            </w:pPr>
            <w:r w:rsidRPr="00980480">
              <w:rPr>
                <w:rFonts w:asciiTheme="minorHAnsi" w:hAnsiTheme="minorHAnsi" w:cs="Calibri"/>
                <w:sz w:val="18"/>
                <w:szCs w:val="18"/>
              </w:rPr>
              <w:t>Platform launch (04-26)</w:t>
            </w:r>
          </w:p>
        </w:tc>
        <w:tc>
          <w:tcPr>
            <w:tcW w:w="861" w:type="pct"/>
            <w:vAlign w:val="center"/>
          </w:tcPr>
          <w:p w14:paraId="5A93346E" w14:textId="5E871211" w:rsidR="007C45D0" w:rsidRPr="008E0641" w:rsidRDefault="007C45D0" w:rsidP="007C45D0">
            <w:pPr>
              <w:jc w:val="center"/>
              <w:rPr>
                <w:rFonts w:asciiTheme="minorHAnsi" w:hAnsiTheme="minorHAnsi" w:cs="Calibri"/>
                <w:b/>
                <w:bCs/>
                <w:sz w:val="18"/>
                <w:szCs w:val="18"/>
              </w:rPr>
            </w:pPr>
            <w:r w:rsidRPr="007B1487">
              <w:rPr>
                <w:rFonts w:asciiTheme="minorHAnsi" w:hAnsiTheme="minorHAnsi" w:cs="Calibri"/>
                <w:b/>
                <w:bCs/>
                <w:sz w:val="18"/>
                <w:szCs w:val="18"/>
              </w:rPr>
              <w:t xml:space="preserve">Under development </w:t>
            </w:r>
            <w:r w:rsidRPr="0008099D">
              <w:rPr>
                <w:rFonts w:asciiTheme="minorHAnsi" w:hAnsiTheme="minorHAnsi" w:cs="Calibri"/>
                <w:b/>
                <w:bCs/>
                <w:sz w:val="18"/>
                <w:szCs w:val="18"/>
              </w:rPr>
              <w:t>(</w:t>
            </w:r>
            <w:r>
              <w:rPr>
                <w:rFonts w:asciiTheme="minorHAnsi" w:hAnsiTheme="minorHAnsi" w:cs="Calibri"/>
                <w:b/>
                <w:bCs/>
                <w:sz w:val="18"/>
                <w:szCs w:val="18"/>
              </w:rPr>
              <w:t>2</w:t>
            </w:r>
            <w:r w:rsidRPr="0008099D">
              <w:rPr>
                <w:rFonts w:asciiTheme="minorHAnsi" w:hAnsiTheme="minorHAnsi" w:cs="Calibri"/>
                <w:b/>
                <w:bCs/>
                <w:sz w:val="18"/>
                <w:szCs w:val="18"/>
              </w:rPr>
              <w:t>0%)</w:t>
            </w:r>
          </w:p>
        </w:tc>
        <w:tc>
          <w:tcPr>
            <w:tcW w:w="634" w:type="pct"/>
            <w:gridSpan w:val="2"/>
            <w:vAlign w:val="center"/>
          </w:tcPr>
          <w:p w14:paraId="5C4F4FE7" w14:textId="1798B97A"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025EE3AE" w14:textId="1E1C84BA" w:rsidTr="008C0D2A">
        <w:tc>
          <w:tcPr>
            <w:tcW w:w="5000" w:type="pct"/>
            <w:gridSpan w:val="10"/>
            <w:shd w:val="clear" w:color="auto" w:fill="D9D9D9" w:themeFill="background1" w:themeFillShade="D9"/>
          </w:tcPr>
          <w:p w14:paraId="7A8CB093" w14:textId="69C838E6" w:rsidR="007C45D0" w:rsidRPr="000B228C" w:rsidRDefault="007C45D0" w:rsidP="007C45D0">
            <w:pPr>
              <w:jc w:val="both"/>
              <w:rPr>
                <w:rFonts w:asciiTheme="minorHAnsi" w:hAnsiTheme="minorHAnsi" w:cs="Calibri"/>
                <w:b/>
                <w:bCs/>
                <w:sz w:val="18"/>
                <w:szCs w:val="18"/>
              </w:rPr>
            </w:pPr>
            <w:r w:rsidRPr="000B228C">
              <w:rPr>
                <w:rFonts w:asciiTheme="minorHAnsi" w:hAnsiTheme="minorHAnsi" w:cs="Calibri"/>
                <w:b/>
                <w:bCs/>
                <w:sz w:val="18"/>
                <w:szCs w:val="18"/>
              </w:rPr>
              <w:t>Outcome 2: Strategic roadmap for the design of economic instruments for the conservation of biodiversity agreed between the parties &gt;</w:t>
            </w:r>
          </w:p>
        </w:tc>
      </w:tr>
      <w:tr w:rsidR="007C45D0" w:rsidRPr="008E0641" w14:paraId="78C80D83" w14:textId="7ED9676C" w:rsidTr="007C45D0">
        <w:tc>
          <w:tcPr>
            <w:tcW w:w="536" w:type="pct"/>
          </w:tcPr>
          <w:p w14:paraId="0D512976" w14:textId="77777777" w:rsidR="007C45D0" w:rsidRPr="008E0641" w:rsidRDefault="007C45D0" w:rsidP="007C45D0">
            <w:pPr>
              <w:rPr>
                <w:rFonts w:asciiTheme="minorHAnsi" w:hAnsiTheme="minorHAnsi" w:cs="Calibri"/>
                <w:b/>
                <w:bCs/>
                <w:sz w:val="18"/>
                <w:szCs w:val="18"/>
              </w:rPr>
            </w:pPr>
          </w:p>
        </w:tc>
        <w:tc>
          <w:tcPr>
            <w:tcW w:w="1627" w:type="pct"/>
            <w:gridSpan w:val="2"/>
          </w:tcPr>
          <w:p w14:paraId="7DB03D87" w14:textId="77777777" w:rsidR="007C45D0" w:rsidRPr="008E0641" w:rsidRDefault="007C45D0" w:rsidP="007C45D0">
            <w:pPr>
              <w:rPr>
                <w:rFonts w:asciiTheme="minorHAnsi" w:hAnsiTheme="minorHAnsi" w:cs="Calibri"/>
                <w:sz w:val="18"/>
                <w:szCs w:val="18"/>
              </w:rPr>
            </w:pPr>
          </w:p>
        </w:tc>
        <w:tc>
          <w:tcPr>
            <w:tcW w:w="553" w:type="pct"/>
            <w:gridSpan w:val="2"/>
          </w:tcPr>
          <w:p w14:paraId="6D355493" w14:textId="77777777" w:rsidR="007C45D0" w:rsidRPr="008E0641"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 xml:space="preserve">Baseline </w:t>
            </w:r>
            <w:r w:rsidRPr="008E0641">
              <w:rPr>
                <w:rFonts w:asciiTheme="minorHAnsi" w:hAnsiTheme="minorHAnsi" w:cs="Calibri"/>
                <w:sz w:val="18"/>
                <w:szCs w:val="18"/>
              </w:rPr>
              <w:t>(YY)</w:t>
            </w:r>
          </w:p>
        </w:tc>
        <w:tc>
          <w:tcPr>
            <w:tcW w:w="789" w:type="pct"/>
            <w:gridSpan w:val="2"/>
          </w:tcPr>
          <w:p w14:paraId="31FA75BA" w14:textId="77777777" w:rsidR="007C45D0" w:rsidRPr="008E0641"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Target</w:t>
            </w:r>
          </w:p>
          <w:p w14:paraId="708330D1" w14:textId="77777777" w:rsidR="007C45D0" w:rsidRPr="008E0641" w:rsidRDefault="007C45D0" w:rsidP="007C45D0">
            <w:pPr>
              <w:jc w:val="center"/>
              <w:rPr>
                <w:rFonts w:asciiTheme="minorHAnsi" w:hAnsiTheme="minorHAnsi" w:cs="Calibri"/>
                <w:b/>
                <w:bCs/>
                <w:sz w:val="18"/>
                <w:szCs w:val="18"/>
              </w:rPr>
            </w:pPr>
            <w:r w:rsidRPr="008E0641">
              <w:rPr>
                <w:rFonts w:asciiTheme="minorHAnsi" w:hAnsiTheme="minorHAnsi" w:cs="Calibri"/>
                <w:sz w:val="18"/>
                <w:szCs w:val="18"/>
              </w:rPr>
              <w:t>(MM-YY)</w:t>
            </w:r>
          </w:p>
        </w:tc>
        <w:tc>
          <w:tcPr>
            <w:tcW w:w="861" w:type="pct"/>
          </w:tcPr>
          <w:p w14:paraId="73F4B05E" w14:textId="77777777" w:rsidR="007C45D0" w:rsidRPr="008E0641" w:rsidRDefault="007C45D0" w:rsidP="007C45D0">
            <w:pPr>
              <w:rPr>
                <w:rFonts w:asciiTheme="minorHAnsi" w:hAnsiTheme="minorHAnsi" w:cs="Calibri"/>
                <w:b/>
                <w:bCs/>
                <w:sz w:val="18"/>
                <w:szCs w:val="18"/>
              </w:rPr>
            </w:pPr>
            <w:r w:rsidRPr="008E0641">
              <w:rPr>
                <w:rFonts w:asciiTheme="minorHAnsi" w:hAnsiTheme="minorHAnsi" w:cs="Calibri"/>
                <w:b/>
                <w:bCs/>
                <w:sz w:val="18"/>
                <w:szCs w:val="18"/>
              </w:rPr>
              <w:t>STATUS</w:t>
            </w:r>
          </w:p>
        </w:tc>
        <w:tc>
          <w:tcPr>
            <w:tcW w:w="634" w:type="pct"/>
            <w:gridSpan w:val="2"/>
          </w:tcPr>
          <w:p w14:paraId="0D1EFC77" w14:textId="77777777" w:rsidR="007C45D0" w:rsidRPr="008E0641" w:rsidRDefault="007C45D0" w:rsidP="007C45D0">
            <w:pPr>
              <w:rPr>
                <w:rFonts w:asciiTheme="minorHAnsi" w:hAnsiTheme="minorHAnsi" w:cs="Calibri"/>
                <w:b/>
                <w:bCs/>
                <w:sz w:val="18"/>
                <w:szCs w:val="18"/>
              </w:rPr>
            </w:pPr>
            <w:r w:rsidRPr="008E0641">
              <w:rPr>
                <w:rFonts w:asciiTheme="minorHAnsi" w:hAnsiTheme="minorHAnsi" w:cs="Calibri"/>
                <w:b/>
                <w:bCs/>
                <w:sz w:val="18"/>
                <w:szCs w:val="18"/>
              </w:rPr>
              <w:t>Responsible Org</w:t>
            </w:r>
          </w:p>
        </w:tc>
      </w:tr>
      <w:tr w:rsidR="007C45D0" w:rsidRPr="008E0641" w14:paraId="5AD8D6DC" w14:textId="5BC1B207" w:rsidTr="00BD32D3">
        <w:tc>
          <w:tcPr>
            <w:tcW w:w="536" w:type="pct"/>
            <w:vAlign w:val="center"/>
          </w:tcPr>
          <w:p w14:paraId="2DBB41D8" w14:textId="77777777" w:rsidR="007C45D0" w:rsidRPr="008E0641"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Outcome Indicators</w:t>
            </w:r>
          </w:p>
          <w:p w14:paraId="03D9BAA3" w14:textId="77777777" w:rsidR="007C45D0" w:rsidRPr="008E0641" w:rsidRDefault="007C45D0" w:rsidP="007C45D0">
            <w:pPr>
              <w:jc w:val="center"/>
              <w:rPr>
                <w:rFonts w:asciiTheme="minorHAnsi" w:hAnsiTheme="minorHAnsi" w:cs="Calibri"/>
                <w:b/>
                <w:bCs/>
                <w:sz w:val="18"/>
                <w:szCs w:val="18"/>
              </w:rPr>
            </w:pPr>
          </w:p>
        </w:tc>
        <w:tc>
          <w:tcPr>
            <w:tcW w:w="1627" w:type="pct"/>
            <w:gridSpan w:val="2"/>
            <w:vAlign w:val="center"/>
          </w:tcPr>
          <w:p w14:paraId="52D9B769" w14:textId="7BAE10B6" w:rsidR="007C45D0" w:rsidRPr="008E0641" w:rsidRDefault="007C45D0" w:rsidP="007C45D0">
            <w:pPr>
              <w:jc w:val="both"/>
              <w:rPr>
                <w:rFonts w:asciiTheme="minorHAnsi" w:hAnsiTheme="minorHAnsi" w:cs="Calibri"/>
                <w:sz w:val="18"/>
                <w:szCs w:val="18"/>
              </w:rPr>
            </w:pPr>
            <w:r w:rsidRPr="00116D78">
              <w:rPr>
                <w:rFonts w:asciiTheme="minorHAnsi" w:hAnsiTheme="minorHAnsi" w:cs="Calibri"/>
                <w:sz w:val="18"/>
                <w:szCs w:val="18"/>
              </w:rPr>
              <w:t>2.1 Number of policy proposals and strategic planning developed to integrate biodiversity financing instruments with sustainable production and consumption policies.</w:t>
            </w:r>
          </w:p>
        </w:tc>
        <w:tc>
          <w:tcPr>
            <w:tcW w:w="553" w:type="pct"/>
            <w:gridSpan w:val="2"/>
            <w:vAlign w:val="center"/>
          </w:tcPr>
          <w:p w14:paraId="055E19D4" w14:textId="77777777" w:rsidR="007C45D0" w:rsidRPr="008E0641" w:rsidRDefault="007C45D0" w:rsidP="007C45D0">
            <w:pPr>
              <w:jc w:val="center"/>
              <w:rPr>
                <w:rFonts w:asciiTheme="minorHAnsi" w:hAnsiTheme="minorHAnsi" w:cs="Calibri"/>
                <w:b/>
                <w:bCs/>
                <w:sz w:val="18"/>
                <w:szCs w:val="18"/>
              </w:rPr>
            </w:pPr>
          </w:p>
          <w:p w14:paraId="061195F6" w14:textId="493BB24D"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05047A59" w14:textId="798F0606" w:rsidR="007C45D0" w:rsidRDefault="007C45D0" w:rsidP="007C45D0">
            <w:pPr>
              <w:jc w:val="both"/>
              <w:rPr>
                <w:rFonts w:asciiTheme="minorHAnsi" w:hAnsiTheme="minorHAnsi" w:cs="Calibri"/>
                <w:sz w:val="18"/>
                <w:szCs w:val="18"/>
              </w:rPr>
            </w:pPr>
            <w:r w:rsidRPr="00AC621D">
              <w:rPr>
                <w:rFonts w:asciiTheme="minorHAnsi" w:hAnsiTheme="minorHAnsi" w:cs="Calibri"/>
                <w:sz w:val="18"/>
                <w:szCs w:val="18"/>
              </w:rPr>
              <w:t>2.1.1 Policy document on innovative instruments for financing biodiversity conservation</w:t>
            </w:r>
            <w:r>
              <w:rPr>
                <w:rFonts w:asciiTheme="minorHAnsi" w:hAnsiTheme="minorHAnsi" w:cs="Calibri"/>
                <w:sz w:val="18"/>
                <w:szCs w:val="18"/>
              </w:rPr>
              <w:t xml:space="preserve"> (</w:t>
            </w:r>
            <w:r w:rsidRPr="00111004">
              <w:rPr>
                <w:rFonts w:asciiTheme="minorHAnsi" w:hAnsiTheme="minorHAnsi"/>
                <w:sz w:val="18"/>
                <w:szCs w:val="18"/>
              </w:rPr>
              <w:t>05-26</w:t>
            </w:r>
            <w:r>
              <w:rPr>
                <w:rFonts w:asciiTheme="minorHAnsi" w:hAnsiTheme="minorHAnsi"/>
                <w:sz w:val="18"/>
                <w:szCs w:val="18"/>
              </w:rPr>
              <w:t>)</w:t>
            </w:r>
          </w:p>
          <w:p w14:paraId="43296873" w14:textId="2884D94D" w:rsidR="007C45D0" w:rsidRPr="00AC621D" w:rsidRDefault="007C45D0" w:rsidP="007C45D0">
            <w:pPr>
              <w:jc w:val="both"/>
              <w:rPr>
                <w:rFonts w:asciiTheme="minorHAnsi" w:hAnsiTheme="minorHAnsi" w:cs="Calibri"/>
                <w:sz w:val="18"/>
                <w:szCs w:val="18"/>
              </w:rPr>
            </w:pPr>
            <w:r w:rsidRPr="00AC621D">
              <w:rPr>
                <w:rFonts w:asciiTheme="minorHAnsi" w:hAnsiTheme="minorHAnsi" w:cs="Calibri"/>
                <w:sz w:val="18"/>
                <w:szCs w:val="18"/>
              </w:rPr>
              <w:t>2.1.2 Roadmap for collaboration between sustainable consumption and production policies and instruments and biodiversity financing</w:t>
            </w:r>
            <w:r>
              <w:rPr>
                <w:rFonts w:asciiTheme="minorHAnsi" w:hAnsiTheme="minorHAnsi" w:cs="Calibri"/>
                <w:sz w:val="18"/>
                <w:szCs w:val="18"/>
              </w:rPr>
              <w:t xml:space="preserve"> (</w:t>
            </w:r>
            <w:r w:rsidRPr="00111004">
              <w:rPr>
                <w:rFonts w:asciiTheme="minorHAnsi" w:hAnsiTheme="minorHAnsi"/>
                <w:sz w:val="18"/>
                <w:szCs w:val="18"/>
              </w:rPr>
              <w:t>05-26</w:t>
            </w:r>
            <w:r>
              <w:rPr>
                <w:rFonts w:asciiTheme="minorHAnsi" w:hAnsiTheme="minorHAnsi"/>
                <w:sz w:val="18"/>
                <w:szCs w:val="18"/>
              </w:rPr>
              <w:t>)</w:t>
            </w:r>
          </w:p>
        </w:tc>
        <w:tc>
          <w:tcPr>
            <w:tcW w:w="861" w:type="pct"/>
            <w:vAlign w:val="center"/>
          </w:tcPr>
          <w:p w14:paraId="2698D620" w14:textId="3C35B78B" w:rsidR="007C45D0" w:rsidRPr="00892D58" w:rsidRDefault="007C45D0" w:rsidP="007C45D0">
            <w:pPr>
              <w:jc w:val="center"/>
              <w:rPr>
                <w:rFonts w:asciiTheme="minorHAnsi" w:hAnsiTheme="minorHAnsi" w:cs="Calibri"/>
                <w:b/>
                <w:bCs/>
                <w:sz w:val="18"/>
                <w:szCs w:val="18"/>
              </w:rPr>
            </w:pPr>
            <w:r w:rsidRPr="00892D58">
              <w:rPr>
                <w:rFonts w:asciiTheme="minorHAnsi" w:hAnsiTheme="minorHAnsi" w:cs="Calibri"/>
                <w:b/>
                <w:bCs/>
                <w:sz w:val="18"/>
                <w:szCs w:val="18"/>
              </w:rPr>
              <w:t>Under development (30%)</w:t>
            </w:r>
          </w:p>
        </w:tc>
        <w:tc>
          <w:tcPr>
            <w:tcW w:w="634" w:type="pct"/>
            <w:gridSpan w:val="2"/>
            <w:vAlign w:val="center"/>
          </w:tcPr>
          <w:p w14:paraId="505B5501" w14:textId="4E9A32A1"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E0641" w14:paraId="41C5670B" w14:textId="36CA7B95" w:rsidTr="00BD32D3">
        <w:tc>
          <w:tcPr>
            <w:tcW w:w="536" w:type="pct"/>
            <w:vMerge w:val="restart"/>
            <w:vAlign w:val="center"/>
          </w:tcPr>
          <w:p w14:paraId="037745E7" w14:textId="77777777" w:rsidR="007C45D0" w:rsidRPr="008E0641" w:rsidRDefault="007C45D0" w:rsidP="007C45D0">
            <w:pPr>
              <w:jc w:val="center"/>
              <w:rPr>
                <w:rFonts w:asciiTheme="minorHAnsi" w:hAnsiTheme="minorHAnsi" w:cs="Calibri"/>
                <w:sz w:val="18"/>
                <w:szCs w:val="18"/>
              </w:rPr>
            </w:pPr>
            <w:r w:rsidRPr="008E0641">
              <w:rPr>
                <w:rFonts w:asciiTheme="minorHAnsi" w:hAnsiTheme="minorHAnsi" w:cs="Calibri"/>
                <w:b/>
                <w:bCs/>
                <w:sz w:val="18"/>
                <w:szCs w:val="18"/>
              </w:rPr>
              <w:t>Output Indicators</w:t>
            </w:r>
          </w:p>
        </w:tc>
        <w:tc>
          <w:tcPr>
            <w:tcW w:w="1627" w:type="pct"/>
            <w:gridSpan w:val="2"/>
            <w:vAlign w:val="center"/>
          </w:tcPr>
          <w:p w14:paraId="50395A9F" w14:textId="413BC784" w:rsidR="007C45D0" w:rsidRDefault="007C45D0" w:rsidP="007C45D0">
            <w:pPr>
              <w:jc w:val="both"/>
              <w:rPr>
                <w:rFonts w:asciiTheme="minorHAnsi" w:hAnsiTheme="minorHAnsi" w:cs="Calibri"/>
                <w:sz w:val="18"/>
                <w:szCs w:val="18"/>
              </w:rPr>
            </w:pPr>
            <w:r w:rsidRPr="00AC621D">
              <w:rPr>
                <w:rFonts w:asciiTheme="minorHAnsi" w:hAnsiTheme="minorHAnsi" w:cs="Calibri"/>
                <w:sz w:val="18"/>
                <w:szCs w:val="18"/>
              </w:rPr>
              <w:t>2.1.1 Policy document on innovative instruments for financing biodiversity conservation.</w:t>
            </w:r>
          </w:p>
          <w:p w14:paraId="11C15B5B" w14:textId="7BACB7F9" w:rsidR="007C45D0" w:rsidRPr="008E0641" w:rsidRDefault="007C45D0" w:rsidP="007C45D0">
            <w:pPr>
              <w:jc w:val="both"/>
              <w:rPr>
                <w:rFonts w:asciiTheme="minorHAnsi" w:hAnsiTheme="minorHAnsi" w:cs="Calibri"/>
                <w:sz w:val="18"/>
                <w:szCs w:val="18"/>
              </w:rPr>
            </w:pPr>
          </w:p>
        </w:tc>
        <w:tc>
          <w:tcPr>
            <w:tcW w:w="553" w:type="pct"/>
            <w:gridSpan w:val="2"/>
            <w:vAlign w:val="center"/>
          </w:tcPr>
          <w:p w14:paraId="41DA5A85" w14:textId="3B97DDE1" w:rsidR="007C45D0" w:rsidRPr="008E0641"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89" w:type="pct"/>
            <w:gridSpan w:val="2"/>
          </w:tcPr>
          <w:p w14:paraId="70CF7D73" w14:textId="528F5AB2" w:rsidR="007C45D0" w:rsidRPr="000B786B" w:rsidRDefault="007C45D0" w:rsidP="007C45D0">
            <w:pPr>
              <w:jc w:val="both"/>
              <w:rPr>
                <w:rFonts w:asciiTheme="minorHAnsi" w:hAnsiTheme="minorHAnsi" w:cs="Calibri"/>
                <w:sz w:val="18"/>
                <w:szCs w:val="18"/>
              </w:rPr>
            </w:pPr>
            <w:r w:rsidRPr="000B786B">
              <w:rPr>
                <w:rFonts w:asciiTheme="minorHAnsi" w:hAnsiTheme="minorHAnsi" w:cs="Calibri"/>
                <w:sz w:val="18"/>
                <w:szCs w:val="18"/>
              </w:rPr>
              <w:t>Policy document on innovative instruments for financing biodiversity conservation (05-26)</w:t>
            </w:r>
          </w:p>
        </w:tc>
        <w:tc>
          <w:tcPr>
            <w:tcW w:w="861" w:type="pct"/>
            <w:vAlign w:val="center"/>
          </w:tcPr>
          <w:p w14:paraId="630C9C83" w14:textId="2F7AE4BA" w:rsidR="007C45D0" w:rsidRPr="008E0641" w:rsidRDefault="007C45D0" w:rsidP="007C45D0">
            <w:pPr>
              <w:jc w:val="center"/>
              <w:rPr>
                <w:rFonts w:asciiTheme="minorHAnsi" w:hAnsiTheme="minorHAnsi" w:cs="Calibri"/>
                <w:b/>
                <w:bCs/>
                <w:sz w:val="18"/>
                <w:szCs w:val="18"/>
              </w:rPr>
            </w:pPr>
            <w:r w:rsidRPr="00892D58">
              <w:rPr>
                <w:rFonts w:asciiTheme="minorHAnsi" w:hAnsiTheme="minorHAnsi" w:cs="Calibri"/>
                <w:b/>
                <w:bCs/>
                <w:sz w:val="18"/>
                <w:szCs w:val="18"/>
              </w:rPr>
              <w:t>Under development (</w:t>
            </w:r>
            <w:r>
              <w:rPr>
                <w:rFonts w:asciiTheme="minorHAnsi" w:hAnsiTheme="minorHAnsi" w:cs="Calibri"/>
                <w:b/>
                <w:bCs/>
                <w:sz w:val="18"/>
                <w:szCs w:val="18"/>
              </w:rPr>
              <w:t>80</w:t>
            </w:r>
            <w:r w:rsidRPr="00892D58">
              <w:rPr>
                <w:rFonts w:asciiTheme="minorHAnsi" w:hAnsiTheme="minorHAnsi" w:cs="Calibri"/>
                <w:b/>
                <w:bCs/>
                <w:sz w:val="18"/>
                <w:szCs w:val="18"/>
              </w:rPr>
              <w:t>%)</w:t>
            </w:r>
          </w:p>
        </w:tc>
        <w:tc>
          <w:tcPr>
            <w:tcW w:w="634" w:type="pct"/>
            <w:gridSpan w:val="2"/>
            <w:vAlign w:val="center"/>
          </w:tcPr>
          <w:p w14:paraId="75DD319E" w14:textId="35BB2325" w:rsidR="007C45D0" w:rsidRPr="008E0641" w:rsidRDefault="007C45D0" w:rsidP="007C45D0">
            <w:pPr>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053EB" w14:paraId="530673C5" w14:textId="2A17805B" w:rsidTr="00BD32D3">
        <w:tc>
          <w:tcPr>
            <w:tcW w:w="536" w:type="pct"/>
            <w:vMerge/>
          </w:tcPr>
          <w:p w14:paraId="2132A721" w14:textId="77777777" w:rsidR="007C45D0" w:rsidRPr="008053EB" w:rsidRDefault="007C45D0" w:rsidP="007C45D0">
            <w:pPr>
              <w:jc w:val="both"/>
              <w:rPr>
                <w:rFonts w:asciiTheme="minorHAnsi" w:hAnsiTheme="minorHAnsi" w:cs="Calibri"/>
                <w:sz w:val="18"/>
                <w:szCs w:val="18"/>
              </w:rPr>
            </w:pPr>
          </w:p>
        </w:tc>
        <w:tc>
          <w:tcPr>
            <w:tcW w:w="1627" w:type="pct"/>
            <w:gridSpan w:val="2"/>
            <w:vAlign w:val="center"/>
          </w:tcPr>
          <w:p w14:paraId="2F425E67" w14:textId="0736B760" w:rsidR="007C45D0" w:rsidRPr="008053EB" w:rsidRDefault="007C45D0" w:rsidP="007C45D0">
            <w:pPr>
              <w:jc w:val="both"/>
              <w:rPr>
                <w:rFonts w:asciiTheme="minorHAnsi" w:hAnsiTheme="minorHAnsi" w:cs="Calibri"/>
                <w:sz w:val="18"/>
                <w:szCs w:val="18"/>
              </w:rPr>
            </w:pPr>
            <w:r w:rsidRPr="008053EB">
              <w:rPr>
                <w:rFonts w:asciiTheme="minorHAnsi" w:hAnsiTheme="minorHAnsi" w:cs="Calibri"/>
                <w:sz w:val="18"/>
                <w:szCs w:val="18"/>
              </w:rPr>
              <w:t>2.1.2 Roadmap for collaboration between sustainable consumption and production policies and instruments and biodiversity financing.</w:t>
            </w:r>
          </w:p>
        </w:tc>
        <w:tc>
          <w:tcPr>
            <w:tcW w:w="553" w:type="pct"/>
            <w:gridSpan w:val="2"/>
            <w:vAlign w:val="center"/>
          </w:tcPr>
          <w:p w14:paraId="202C5EDA" w14:textId="2B447F5C" w:rsidR="007C45D0" w:rsidRPr="008053EB" w:rsidRDefault="007C45D0" w:rsidP="007C45D0">
            <w:pPr>
              <w:jc w:val="center"/>
              <w:rPr>
                <w:rFonts w:asciiTheme="minorHAnsi" w:hAnsiTheme="minorHAnsi" w:cs="Calibri"/>
                <w:sz w:val="18"/>
                <w:szCs w:val="18"/>
              </w:rPr>
            </w:pPr>
            <w:r w:rsidRPr="008053EB">
              <w:rPr>
                <w:rFonts w:asciiTheme="minorHAnsi" w:hAnsiTheme="minorHAnsi" w:cs="Calibri"/>
                <w:b/>
                <w:bCs/>
                <w:sz w:val="18"/>
                <w:szCs w:val="18"/>
              </w:rPr>
              <w:t>Not applicable</w:t>
            </w:r>
          </w:p>
        </w:tc>
        <w:tc>
          <w:tcPr>
            <w:tcW w:w="789" w:type="pct"/>
            <w:gridSpan w:val="2"/>
          </w:tcPr>
          <w:p w14:paraId="613F84F8" w14:textId="779C8C96" w:rsidR="007C45D0" w:rsidRPr="008053EB" w:rsidRDefault="007C45D0" w:rsidP="007C45D0">
            <w:pPr>
              <w:jc w:val="both"/>
              <w:rPr>
                <w:rFonts w:asciiTheme="minorHAnsi" w:hAnsiTheme="minorHAnsi" w:cs="Calibri"/>
                <w:sz w:val="18"/>
                <w:szCs w:val="18"/>
              </w:rPr>
            </w:pPr>
            <w:r w:rsidRPr="008053EB">
              <w:rPr>
                <w:rFonts w:asciiTheme="minorHAnsi" w:hAnsiTheme="minorHAnsi" w:cs="Calibri"/>
                <w:sz w:val="18"/>
                <w:szCs w:val="18"/>
              </w:rPr>
              <w:t>Roadmap for collaboration between policies and instruments for sustainable consumption and production and biodiversity financing (5-26)</w:t>
            </w:r>
          </w:p>
        </w:tc>
        <w:tc>
          <w:tcPr>
            <w:tcW w:w="861" w:type="pct"/>
            <w:vAlign w:val="center"/>
          </w:tcPr>
          <w:p w14:paraId="5CDD0BA3" w14:textId="5D4FEEC0" w:rsidR="007C45D0" w:rsidRPr="008053EB" w:rsidRDefault="007C45D0" w:rsidP="007C45D0">
            <w:pPr>
              <w:jc w:val="center"/>
              <w:rPr>
                <w:rFonts w:asciiTheme="minorHAnsi" w:hAnsiTheme="minorHAnsi" w:cs="Calibri"/>
                <w:sz w:val="18"/>
                <w:szCs w:val="18"/>
              </w:rPr>
            </w:pPr>
            <w:r w:rsidRPr="000B228C">
              <w:rPr>
                <w:rFonts w:asciiTheme="minorHAnsi" w:hAnsiTheme="minorHAnsi" w:cs="Calibri"/>
                <w:b/>
                <w:bCs/>
                <w:sz w:val="18"/>
                <w:szCs w:val="18"/>
              </w:rPr>
              <w:t>In design (</w:t>
            </w:r>
            <w:r>
              <w:rPr>
                <w:rFonts w:asciiTheme="minorHAnsi" w:hAnsiTheme="minorHAnsi" w:cs="Calibri"/>
                <w:b/>
                <w:bCs/>
                <w:sz w:val="18"/>
                <w:szCs w:val="18"/>
              </w:rPr>
              <w:t>1</w:t>
            </w:r>
            <w:r w:rsidRPr="000B228C">
              <w:rPr>
                <w:rFonts w:asciiTheme="minorHAnsi" w:hAnsiTheme="minorHAnsi" w:cs="Calibri"/>
                <w:b/>
                <w:bCs/>
                <w:sz w:val="18"/>
                <w:szCs w:val="18"/>
              </w:rPr>
              <w:t>0%)</w:t>
            </w:r>
          </w:p>
        </w:tc>
        <w:tc>
          <w:tcPr>
            <w:tcW w:w="634" w:type="pct"/>
            <w:gridSpan w:val="2"/>
            <w:vAlign w:val="center"/>
          </w:tcPr>
          <w:p w14:paraId="27145B7C" w14:textId="3FDCD7ED" w:rsidR="007C45D0" w:rsidRPr="008053EB" w:rsidRDefault="007C45D0" w:rsidP="007C45D0">
            <w:pPr>
              <w:jc w:val="both"/>
              <w:rPr>
                <w:rFonts w:asciiTheme="minorHAnsi" w:hAnsiTheme="minorHAnsi" w:cs="Calibri"/>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053EB" w14:paraId="5CC22ECB" w14:textId="221625BC" w:rsidTr="008C0D2A">
        <w:tc>
          <w:tcPr>
            <w:tcW w:w="5000" w:type="pct"/>
            <w:gridSpan w:val="10"/>
            <w:shd w:val="clear" w:color="auto" w:fill="E8E8E8" w:themeFill="background2"/>
          </w:tcPr>
          <w:p w14:paraId="1B490E9C" w14:textId="123DCEC4" w:rsidR="007C45D0" w:rsidRPr="008053EB" w:rsidRDefault="007C45D0" w:rsidP="007C45D0">
            <w:pPr>
              <w:jc w:val="both"/>
              <w:rPr>
                <w:rFonts w:asciiTheme="minorHAnsi" w:hAnsiTheme="minorHAnsi" w:cs="Calibri"/>
                <w:sz w:val="18"/>
                <w:szCs w:val="18"/>
              </w:rPr>
            </w:pPr>
            <w:r w:rsidRPr="000B228C">
              <w:rPr>
                <w:rFonts w:asciiTheme="minorHAnsi" w:hAnsiTheme="minorHAnsi" w:cs="Calibri"/>
                <w:b/>
                <w:bCs/>
                <w:sz w:val="18"/>
                <w:szCs w:val="18"/>
              </w:rPr>
              <w:t xml:space="preserve">Outcome </w:t>
            </w:r>
            <w:r>
              <w:rPr>
                <w:rFonts w:asciiTheme="minorHAnsi" w:hAnsiTheme="minorHAnsi" w:cs="Calibri"/>
                <w:b/>
                <w:bCs/>
                <w:sz w:val="18"/>
                <w:szCs w:val="18"/>
              </w:rPr>
              <w:t>3</w:t>
            </w:r>
            <w:r w:rsidRPr="000B228C">
              <w:rPr>
                <w:rFonts w:asciiTheme="minorHAnsi" w:hAnsiTheme="minorHAnsi" w:cs="Calibri"/>
                <w:b/>
                <w:bCs/>
                <w:sz w:val="18"/>
                <w:szCs w:val="18"/>
              </w:rPr>
              <w:t xml:space="preserve"> &lt; : </w:t>
            </w:r>
            <w:r w:rsidRPr="007B5422">
              <w:rPr>
                <w:rFonts w:asciiTheme="minorHAnsi" w:hAnsiTheme="minorHAnsi" w:cs="Calibri"/>
                <w:b/>
                <w:bCs/>
                <w:sz w:val="18"/>
                <w:szCs w:val="18"/>
              </w:rPr>
              <w:t>Pilot case of community entrepreneurship for coastal conservation with a focus on biodiversity and sustainable tourism designed</w:t>
            </w:r>
          </w:p>
        </w:tc>
      </w:tr>
      <w:tr w:rsidR="007C45D0" w:rsidRPr="008053EB" w14:paraId="4732880F" w14:textId="172F81F5" w:rsidTr="007C45D0">
        <w:trPr>
          <w:trHeight w:val="55"/>
        </w:trPr>
        <w:tc>
          <w:tcPr>
            <w:tcW w:w="558" w:type="pct"/>
            <w:gridSpan w:val="2"/>
          </w:tcPr>
          <w:p w14:paraId="47A8F010" w14:textId="77777777" w:rsidR="007C45D0" w:rsidRPr="000B228C" w:rsidRDefault="007C45D0" w:rsidP="007C45D0">
            <w:pPr>
              <w:jc w:val="both"/>
              <w:rPr>
                <w:rFonts w:asciiTheme="minorHAnsi" w:hAnsiTheme="minorHAnsi" w:cs="Calibri"/>
                <w:b/>
                <w:bCs/>
                <w:sz w:val="18"/>
                <w:szCs w:val="18"/>
              </w:rPr>
            </w:pPr>
          </w:p>
        </w:tc>
        <w:tc>
          <w:tcPr>
            <w:tcW w:w="1626" w:type="pct"/>
            <w:gridSpan w:val="2"/>
            <w:vAlign w:val="center"/>
          </w:tcPr>
          <w:p w14:paraId="370E81A3" w14:textId="77777777" w:rsidR="007C45D0" w:rsidRPr="000B228C" w:rsidRDefault="007C45D0" w:rsidP="007C45D0">
            <w:pPr>
              <w:jc w:val="center"/>
              <w:rPr>
                <w:rFonts w:asciiTheme="minorHAnsi" w:hAnsiTheme="minorHAnsi" w:cs="Calibri"/>
                <w:b/>
                <w:bCs/>
                <w:sz w:val="18"/>
                <w:szCs w:val="18"/>
              </w:rPr>
            </w:pPr>
          </w:p>
        </w:tc>
        <w:tc>
          <w:tcPr>
            <w:tcW w:w="559" w:type="pct"/>
            <w:gridSpan w:val="2"/>
            <w:vAlign w:val="center"/>
          </w:tcPr>
          <w:p w14:paraId="42900C4D" w14:textId="24EE1509" w:rsidR="007C45D0" w:rsidRPr="000B228C"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 xml:space="preserve">Baseline </w:t>
            </w:r>
            <w:r w:rsidRPr="008E0641">
              <w:rPr>
                <w:rFonts w:asciiTheme="minorHAnsi" w:hAnsiTheme="minorHAnsi" w:cs="Calibri"/>
                <w:sz w:val="18"/>
                <w:szCs w:val="18"/>
              </w:rPr>
              <w:t>(YY)</w:t>
            </w:r>
          </w:p>
        </w:tc>
        <w:tc>
          <w:tcPr>
            <w:tcW w:w="762" w:type="pct"/>
            <w:vAlign w:val="center"/>
          </w:tcPr>
          <w:p w14:paraId="5CA9B071" w14:textId="77777777" w:rsidR="007C45D0" w:rsidRPr="008E0641"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Target</w:t>
            </w:r>
          </w:p>
          <w:p w14:paraId="2B34C7C1" w14:textId="74E2C566" w:rsidR="007C45D0" w:rsidRPr="000B228C" w:rsidRDefault="007C45D0" w:rsidP="007C45D0">
            <w:pPr>
              <w:jc w:val="center"/>
              <w:rPr>
                <w:rFonts w:asciiTheme="minorHAnsi" w:hAnsiTheme="minorHAnsi" w:cs="Calibri"/>
                <w:b/>
                <w:bCs/>
                <w:sz w:val="18"/>
                <w:szCs w:val="18"/>
              </w:rPr>
            </w:pPr>
            <w:r w:rsidRPr="008E0641">
              <w:rPr>
                <w:rFonts w:asciiTheme="minorHAnsi" w:hAnsiTheme="minorHAnsi" w:cs="Calibri"/>
                <w:sz w:val="18"/>
                <w:szCs w:val="18"/>
              </w:rPr>
              <w:t>(MM-YY)</w:t>
            </w:r>
          </w:p>
        </w:tc>
        <w:tc>
          <w:tcPr>
            <w:tcW w:w="864" w:type="pct"/>
            <w:gridSpan w:val="2"/>
            <w:vAlign w:val="center"/>
          </w:tcPr>
          <w:p w14:paraId="22E01287" w14:textId="3ABBDEE7" w:rsidR="007C45D0" w:rsidRPr="000B228C"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STATUS</w:t>
            </w:r>
          </w:p>
        </w:tc>
        <w:tc>
          <w:tcPr>
            <w:tcW w:w="631" w:type="pct"/>
            <w:vAlign w:val="center"/>
          </w:tcPr>
          <w:p w14:paraId="1FACE74F" w14:textId="54631FB4" w:rsidR="007C45D0" w:rsidRPr="000B228C" w:rsidRDefault="007C45D0" w:rsidP="007C45D0">
            <w:pPr>
              <w:jc w:val="center"/>
              <w:rPr>
                <w:rFonts w:asciiTheme="minorHAnsi" w:hAnsiTheme="minorHAnsi" w:cs="Calibri"/>
                <w:b/>
                <w:bCs/>
                <w:sz w:val="18"/>
                <w:szCs w:val="18"/>
              </w:rPr>
            </w:pPr>
            <w:r w:rsidRPr="008E0641">
              <w:rPr>
                <w:rFonts w:asciiTheme="minorHAnsi" w:hAnsiTheme="minorHAnsi" w:cs="Calibri"/>
                <w:b/>
                <w:bCs/>
                <w:sz w:val="18"/>
                <w:szCs w:val="18"/>
              </w:rPr>
              <w:t>Responsible Org</w:t>
            </w:r>
          </w:p>
        </w:tc>
      </w:tr>
      <w:tr w:rsidR="007C45D0" w:rsidRPr="008053EB" w14:paraId="14EAA0A7" w14:textId="48BD1980" w:rsidTr="00BD32D3">
        <w:trPr>
          <w:trHeight w:val="55"/>
        </w:trPr>
        <w:tc>
          <w:tcPr>
            <w:tcW w:w="558" w:type="pct"/>
            <w:gridSpan w:val="2"/>
            <w:vAlign w:val="center"/>
          </w:tcPr>
          <w:p w14:paraId="3D125CA7" w14:textId="77777777" w:rsidR="007C45D0" w:rsidRPr="007B5422" w:rsidRDefault="007C45D0" w:rsidP="007C45D0">
            <w:pPr>
              <w:jc w:val="center"/>
              <w:rPr>
                <w:rFonts w:asciiTheme="minorHAnsi" w:hAnsiTheme="minorHAnsi" w:cs="Calibri"/>
                <w:b/>
                <w:bCs/>
                <w:sz w:val="18"/>
                <w:szCs w:val="18"/>
              </w:rPr>
            </w:pPr>
            <w:r w:rsidRPr="007B5422">
              <w:rPr>
                <w:rFonts w:asciiTheme="minorHAnsi" w:hAnsiTheme="minorHAnsi" w:cs="Calibri"/>
                <w:b/>
                <w:bCs/>
                <w:sz w:val="18"/>
                <w:szCs w:val="18"/>
              </w:rPr>
              <w:t>Outcome Indicators</w:t>
            </w:r>
          </w:p>
          <w:p w14:paraId="11CDB49D" w14:textId="77777777" w:rsidR="007C45D0" w:rsidRPr="000B228C" w:rsidRDefault="007C45D0" w:rsidP="007C45D0">
            <w:pPr>
              <w:jc w:val="center"/>
              <w:rPr>
                <w:rFonts w:asciiTheme="minorHAnsi" w:hAnsiTheme="minorHAnsi" w:cs="Calibri"/>
                <w:b/>
                <w:bCs/>
                <w:sz w:val="18"/>
                <w:szCs w:val="18"/>
              </w:rPr>
            </w:pPr>
          </w:p>
        </w:tc>
        <w:tc>
          <w:tcPr>
            <w:tcW w:w="1626" w:type="pct"/>
            <w:gridSpan w:val="2"/>
            <w:vAlign w:val="center"/>
          </w:tcPr>
          <w:p w14:paraId="1B96B7D7" w14:textId="09A47C83" w:rsidR="007C45D0" w:rsidRPr="008277D7" w:rsidRDefault="007C45D0" w:rsidP="007C45D0">
            <w:pPr>
              <w:jc w:val="both"/>
              <w:rPr>
                <w:rFonts w:asciiTheme="minorHAnsi" w:hAnsiTheme="minorHAnsi" w:cs="Calibri"/>
                <w:sz w:val="18"/>
                <w:szCs w:val="18"/>
              </w:rPr>
            </w:pPr>
            <w:r>
              <w:rPr>
                <w:rFonts w:asciiTheme="minorHAnsi" w:hAnsiTheme="minorHAnsi" w:cs="Calibri"/>
                <w:sz w:val="18"/>
                <w:szCs w:val="18"/>
              </w:rPr>
              <w:t xml:space="preserve">3.1 </w:t>
            </w:r>
            <w:r w:rsidRPr="008277D7">
              <w:rPr>
                <w:rFonts w:asciiTheme="minorHAnsi" w:hAnsiTheme="minorHAnsi" w:cs="Calibri"/>
                <w:sz w:val="18"/>
                <w:szCs w:val="18"/>
              </w:rPr>
              <w:t>Pilot case designed and with initial implementation underway, which integrates sustainable business models based on fishing, aquaculture and responsible community tourism with biodiversity.</w:t>
            </w:r>
          </w:p>
        </w:tc>
        <w:tc>
          <w:tcPr>
            <w:tcW w:w="559" w:type="pct"/>
            <w:gridSpan w:val="2"/>
            <w:vAlign w:val="center"/>
          </w:tcPr>
          <w:p w14:paraId="00176D8E" w14:textId="2AC5F463" w:rsidR="007C45D0" w:rsidRPr="000B228C" w:rsidRDefault="007C45D0" w:rsidP="007C45D0">
            <w:pPr>
              <w:jc w:val="center"/>
              <w:rPr>
                <w:rFonts w:asciiTheme="minorHAnsi" w:hAnsiTheme="minorHAnsi" w:cs="Calibri"/>
                <w:b/>
                <w:bCs/>
                <w:sz w:val="18"/>
                <w:szCs w:val="18"/>
              </w:rPr>
            </w:pPr>
            <w:r w:rsidRPr="008053EB">
              <w:rPr>
                <w:rFonts w:asciiTheme="minorHAnsi" w:hAnsiTheme="minorHAnsi" w:cs="Calibri"/>
                <w:b/>
                <w:bCs/>
                <w:sz w:val="18"/>
                <w:szCs w:val="18"/>
              </w:rPr>
              <w:t>Not applicable</w:t>
            </w:r>
          </w:p>
        </w:tc>
        <w:tc>
          <w:tcPr>
            <w:tcW w:w="762" w:type="pct"/>
          </w:tcPr>
          <w:p w14:paraId="1DD287C7" w14:textId="360FADCC" w:rsidR="007C45D0" w:rsidRPr="000B228C" w:rsidRDefault="007C45D0" w:rsidP="007C45D0">
            <w:pPr>
              <w:jc w:val="both"/>
              <w:rPr>
                <w:rFonts w:asciiTheme="minorHAnsi" w:hAnsiTheme="minorHAnsi" w:cs="Calibri"/>
                <w:b/>
                <w:bCs/>
                <w:sz w:val="18"/>
                <w:szCs w:val="18"/>
              </w:rPr>
            </w:pPr>
            <w:r w:rsidRPr="00C5422B">
              <w:rPr>
                <w:rFonts w:asciiTheme="minorHAnsi" w:hAnsiTheme="minorHAnsi" w:cs="Calibri"/>
                <w:sz w:val="18"/>
                <w:szCs w:val="18"/>
              </w:rPr>
              <w:t xml:space="preserve">3.1.1 Systematization of the pilot case on small-scale community fishing and aquaculture in a marine resource management area in southern Chile, </w:t>
            </w:r>
            <w:r w:rsidRPr="00C5422B">
              <w:rPr>
                <w:rFonts w:asciiTheme="minorHAnsi" w:hAnsiTheme="minorHAnsi" w:cs="Calibri"/>
                <w:sz w:val="18"/>
                <w:szCs w:val="18"/>
              </w:rPr>
              <w:lastRenderedPageBreak/>
              <w:t>designed and in the initial phase of implementation, including lessons learned and recommendations for replication and scaling up.</w:t>
            </w:r>
          </w:p>
        </w:tc>
        <w:tc>
          <w:tcPr>
            <w:tcW w:w="864" w:type="pct"/>
            <w:gridSpan w:val="2"/>
            <w:vAlign w:val="center"/>
          </w:tcPr>
          <w:p w14:paraId="30AF90B2" w14:textId="0AB41822" w:rsidR="007C45D0" w:rsidRPr="000B228C" w:rsidRDefault="007C45D0" w:rsidP="007C45D0">
            <w:pPr>
              <w:jc w:val="center"/>
              <w:rPr>
                <w:rFonts w:asciiTheme="minorHAnsi" w:hAnsiTheme="minorHAnsi" w:cs="Calibri"/>
                <w:b/>
                <w:bCs/>
                <w:sz w:val="18"/>
                <w:szCs w:val="18"/>
              </w:rPr>
            </w:pPr>
            <w:r w:rsidRPr="008F251A">
              <w:rPr>
                <w:rFonts w:asciiTheme="minorHAnsi" w:hAnsiTheme="minorHAnsi" w:cs="Calibri"/>
                <w:b/>
                <w:bCs/>
                <w:sz w:val="18"/>
                <w:szCs w:val="18"/>
              </w:rPr>
              <w:lastRenderedPageBreak/>
              <w:t>Under development (30%)</w:t>
            </w:r>
          </w:p>
        </w:tc>
        <w:tc>
          <w:tcPr>
            <w:tcW w:w="631" w:type="pct"/>
            <w:vAlign w:val="center"/>
          </w:tcPr>
          <w:p w14:paraId="57D802A7" w14:textId="17A813B4" w:rsidR="007C45D0" w:rsidRPr="000B228C" w:rsidRDefault="007C45D0" w:rsidP="007C45D0">
            <w:pPr>
              <w:jc w:val="both"/>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r w:rsidR="007C45D0" w:rsidRPr="008053EB" w14:paraId="19A5C1FB" w14:textId="32AD7A2C" w:rsidTr="00BD32D3">
        <w:trPr>
          <w:trHeight w:val="55"/>
        </w:trPr>
        <w:tc>
          <w:tcPr>
            <w:tcW w:w="558" w:type="pct"/>
            <w:gridSpan w:val="2"/>
            <w:vAlign w:val="center"/>
          </w:tcPr>
          <w:p w14:paraId="75B2E94D" w14:textId="6E6BB584" w:rsidR="007C45D0" w:rsidRPr="000B228C" w:rsidRDefault="007C45D0" w:rsidP="007C45D0">
            <w:pPr>
              <w:jc w:val="center"/>
              <w:rPr>
                <w:rFonts w:asciiTheme="minorHAnsi" w:hAnsiTheme="minorHAnsi" w:cs="Calibri"/>
                <w:b/>
                <w:bCs/>
                <w:sz w:val="18"/>
                <w:szCs w:val="18"/>
              </w:rPr>
            </w:pPr>
            <w:r w:rsidRPr="00C5422B">
              <w:rPr>
                <w:rFonts w:asciiTheme="minorHAnsi" w:hAnsiTheme="minorHAnsi" w:cs="Calibri"/>
                <w:b/>
                <w:bCs/>
                <w:sz w:val="18"/>
                <w:szCs w:val="18"/>
              </w:rPr>
              <w:t>Output Indicators</w:t>
            </w:r>
          </w:p>
        </w:tc>
        <w:tc>
          <w:tcPr>
            <w:tcW w:w="1626" w:type="pct"/>
            <w:gridSpan w:val="2"/>
            <w:vAlign w:val="center"/>
          </w:tcPr>
          <w:p w14:paraId="6BAD194B" w14:textId="7F4F55FE" w:rsidR="007C45D0" w:rsidRPr="00C5422B" w:rsidRDefault="007C45D0" w:rsidP="007C45D0">
            <w:pPr>
              <w:jc w:val="both"/>
              <w:rPr>
                <w:rFonts w:asciiTheme="minorHAnsi" w:hAnsiTheme="minorHAnsi" w:cs="Calibri"/>
                <w:sz w:val="18"/>
                <w:szCs w:val="18"/>
              </w:rPr>
            </w:pPr>
            <w:r w:rsidRPr="00C5422B">
              <w:rPr>
                <w:rFonts w:asciiTheme="minorHAnsi" w:hAnsiTheme="minorHAnsi" w:cs="Calibri"/>
                <w:sz w:val="18"/>
                <w:szCs w:val="18"/>
              </w:rPr>
              <w:t>3.1.1 Systematization of the pilot case on small-scale community fishing and aquaculture in a marine resource management area in southern Chile, designed and in the initial phase of implementation, including lessons learned and recommendations for replication and scaling up.</w:t>
            </w:r>
          </w:p>
        </w:tc>
        <w:tc>
          <w:tcPr>
            <w:tcW w:w="559" w:type="pct"/>
            <w:gridSpan w:val="2"/>
            <w:vAlign w:val="center"/>
          </w:tcPr>
          <w:p w14:paraId="6AB048DB" w14:textId="073D37BE" w:rsidR="007C45D0" w:rsidRPr="00C5422B" w:rsidRDefault="007C45D0" w:rsidP="007C45D0">
            <w:pPr>
              <w:jc w:val="center"/>
              <w:rPr>
                <w:rFonts w:asciiTheme="minorHAnsi" w:hAnsiTheme="minorHAnsi" w:cs="Calibri"/>
                <w:sz w:val="18"/>
                <w:szCs w:val="18"/>
              </w:rPr>
            </w:pPr>
            <w:r w:rsidRPr="008053EB">
              <w:rPr>
                <w:rFonts w:asciiTheme="minorHAnsi" w:hAnsiTheme="minorHAnsi" w:cs="Calibri"/>
                <w:b/>
                <w:bCs/>
                <w:sz w:val="18"/>
                <w:szCs w:val="18"/>
              </w:rPr>
              <w:t>Not applicable</w:t>
            </w:r>
          </w:p>
        </w:tc>
        <w:tc>
          <w:tcPr>
            <w:tcW w:w="762" w:type="pct"/>
          </w:tcPr>
          <w:p w14:paraId="07E7E815" w14:textId="219DDD82" w:rsidR="007C45D0" w:rsidRPr="00BF0119" w:rsidRDefault="007C45D0" w:rsidP="007C45D0">
            <w:pPr>
              <w:jc w:val="both"/>
              <w:rPr>
                <w:rFonts w:asciiTheme="minorHAnsi" w:hAnsiTheme="minorHAnsi" w:cs="Calibri"/>
                <w:sz w:val="18"/>
                <w:szCs w:val="18"/>
              </w:rPr>
            </w:pPr>
            <w:r w:rsidRPr="00BF0119">
              <w:rPr>
                <w:rFonts w:asciiTheme="minorHAnsi" w:hAnsiTheme="minorHAnsi" w:cs="Calibri"/>
                <w:sz w:val="18"/>
                <w:szCs w:val="18"/>
              </w:rPr>
              <w:t>Design of a pilot community business venture for the Benthic Resource Management and Exploitation Area (AMERB) of Puerto Aldea based on the promotion and adoption of responsible production and consumption practices with biodiversity including biodiversity valuation criteria and certification mechanisms within the framework of Law 21.600 (03-26</w:t>
            </w:r>
            <w:r>
              <w:rPr>
                <w:rFonts w:asciiTheme="minorHAnsi" w:hAnsiTheme="minorHAnsi" w:cs="Calibri"/>
                <w:sz w:val="18"/>
                <w:szCs w:val="18"/>
              </w:rPr>
              <w:t>)</w:t>
            </w:r>
          </w:p>
        </w:tc>
        <w:tc>
          <w:tcPr>
            <w:tcW w:w="864" w:type="pct"/>
            <w:gridSpan w:val="2"/>
            <w:vAlign w:val="center"/>
          </w:tcPr>
          <w:p w14:paraId="66BF1E08" w14:textId="433181DE" w:rsidR="007C45D0" w:rsidRPr="000B228C" w:rsidRDefault="007C45D0" w:rsidP="007C45D0">
            <w:pPr>
              <w:jc w:val="center"/>
              <w:rPr>
                <w:rFonts w:asciiTheme="minorHAnsi" w:hAnsiTheme="minorHAnsi" w:cs="Calibri"/>
                <w:b/>
                <w:bCs/>
                <w:sz w:val="18"/>
                <w:szCs w:val="18"/>
              </w:rPr>
            </w:pPr>
            <w:r w:rsidRPr="008F251A">
              <w:rPr>
                <w:rFonts w:asciiTheme="minorHAnsi" w:hAnsiTheme="minorHAnsi" w:cs="Calibri"/>
                <w:b/>
                <w:bCs/>
                <w:sz w:val="18"/>
                <w:szCs w:val="18"/>
              </w:rPr>
              <w:t>Under development (</w:t>
            </w:r>
            <w:r>
              <w:rPr>
                <w:rFonts w:asciiTheme="minorHAnsi" w:hAnsiTheme="minorHAnsi" w:cs="Calibri"/>
                <w:b/>
                <w:bCs/>
                <w:sz w:val="18"/>
                <w:szCs w:val="18"/>
              </w:rPr>
              <w:t>4</w:t>
            </w:r>
            <w:r w:rsidRPr="008F251A">
              <w:rPr>
                <w:rFonts w:asciiTheme="minorHAnsi" w:hAnsiTheme="minorHAnsi" w:cs="Calibri"/>
                <w:b/>
                <w:bCs/>
                <w:sz w:val="18"/>
                <w:szCs w:val="18"/>
              </w:rPr>
              <w:t>0%)</w:t>
            </w:r>
          </w:p>
        </w:tc>
        <w:tc>
          <w:tcPr>
            <w:tcW w:w="631" w:type="pct"/>
            <w:vAlign w:val="center"/>
          </w:tcPr>
          <w:p w14:paraId="0821F44C" w14:textId="6565C1EE" w:rsidR="007C45D0" w:rsidRPr="000B228C" w:rsidRDefault="007C45D0" w:rsidP="007C45D0">
            <w:pPr>
              <w:jc w:val="both"/>
              <w:rPr>
                <w:rFonts w:asciiTheme="minorHAnsi" w:hAnsiTheme="minorHAnsi" w:cs="Calibri"/>
                <w:b/>
                <w:bCs/>
                <w:sz w:val="18"/>
                <w:szCs w:val="18"/>
              </w:rPr>
            </w:pPr>
            <w:proofErr w:type="spellStart"/>
            <w:r>
              <w:rPr>
                <w:rFonts w:asciiTheme="minorHAnsi" w:hAnsiTheme="minorHAnsi" w:cs="Calibri"/>
                <w:b/>
                <w:bCs/>
                <w:sz w:val="18"/>
                <w:szCs w:val="18"/>
              </w:rPr>
              <w:t>MoE</w:t>
            </w:r>
            <w:proofErr w:type="spellEnd"/>
            <w:r>
              <w:rPr>
                <w:rFonts w:asciiTheme="minorHAnsi" w:hAnsiTheme="minorHAnsi" w:cs="Calibri"/>
                <w:b/>
                <w:bCs/>
                <w:sz w:val="18"/>
                <w:szCs w:val="18"/>
              </w:rPr>
              <w:t xml:space="preserve"> and UNDP</w:t>
            </w:r>
          </w:p>
        </w:tc>
      </w:tr>
    </w:tbl>
    <w:p w14:paraId="3CA8CB8E" w14:textId="77777777" w:rsidR="00676C12" w:rsidRDefault="00676C12" w:rsidP="008053EB">
      <w:pPr>
        <w:jc w:val="both"/>
      </w:pPr>
    </w:p>
    <w:p w14:paraId="1236B64E" w14:textId="77777777" w:rsidR="00CD51DF" w:rsidRDefault="00CD51DF" w:rsidP="008053EB">
      <w:pPr>
        <w:jc w:val="both"/>
      </w:pPr>
    </w:p>
    <w:p w14:paraId="100977D6" w14:textId="77777777" w:rsidR="00CD51DF" w:rsidRDefault="00CD51DF" w:rsidP="008053EB">
      <w:pPr>
        <w:jc w:val="both"/>
      </w:pPr>
    </w:p>
    <w:p w14:paraId="7F419A98" w14:textId="77777777" w:rsidR="00CD51DF" w:rsidRDefault="00CD51DF" w:rsidP="008053EB">
      <w:pPr>
        <w:jc w:val="both"/>
      </w:pPr>
    </w:p>
    <w:p w14:paraId="071667C2" w14:textId="77777777" w:rsidR="00CD51DF" w:rsidRDefault="00CD51DF" w:rsidP="008053EB">
      <w:pPr>
        <w:jc w:val="both"/>
      </w:pPr>
    </w:p>
    <w:p w14:paraId="22461AE8" w14:textId="77777777" w:rsidR="00CD51DF" w:rsidRDefault="00CD51DF" w:rsidP="008053EB">
      <w:pPr>
        <w:jc w:val="both"/>
      </w:pPr>
    </w:p>
    <w:p w14:paraId="1A709092" w14:textId="77777777" w:rsidR="00CD51DF" w:rsidRDefault="00CD51DF" w:rsidP="008053EB">
      <w:pPr>
        <w:jc w:val="both"/>
      </w:pPr>
    </w:p>
    <w:p w14:paraId="67A992FB" w14:textId="77777777" w:rsidR="00CD51DF" w:rsidRDefault="00CD51DF" w:rsidP="008053EB">
      <w:pPr>
        <w:jc w:val="both"/>
      </w:pPr>
    </w:p>
    <w:p w14:paraId="01EB5BF4" w14:textId="77777777" w:rsidR="00CD51DF" w:rsidRDefault="00CD51DF" w:rsidP="008053EB">
      <w:pPr>
        <w:jc w:val="both"/>
      </w:pPr>
    </w:p>
    <w:p w14:paraId="737609AD" w14:textId="77777777" w:rsidR="00CD51DF" w:rsidRDefault="00CD51DF" w:rsidP="008053EB">
      <w:pPr>
        <w:jc w:val="both"/>
      </w:pPr>
    </w:p>
    <w:p w14:paraId="408DE719" w14:textId="77777777" w:rsidR="00CD51DF" w:rsidRDefault="00CD51DF" w:rsidP="008053EB">
      <w:pPr>
        <w:jc w:val="both"/>
      </w:pPr>
    </w:p>
    <w:p w14:paraId="2FE58721" w14:textId="77777777" w:rsidR="00CD51DF" w:rsidRPr="008053EB" w:rsidRDefault="00CD51DF" w:rsidP="008053EB">
      <w:pPr>
        <w:jc w:val="both"/>
      </w:pPr>
    </w:p>
    <w:p w14:paraId="4002F1D4" w14:textId="77777777" w:rsidR="00676C12" w:rsidRPr="00763BA3" w:rsidRDefault="00676C12" w:rsidP="00676C12">
      <w:pPr>
        <w:rPr>
          <w:b/>
          <w:bCs/>
        </w:rPr>
      </w:pPr>
      <w:r w:rsidRPr="00763BA3">
        <w:rPr>
          <w:b/>
          <w:bCs/>
        </w:rPr>
        <w:lastRenderedPageBreak/>
        <w:t>RISK FRAMEWORK</w:t>
      </w:r>
    </w:p>
    <w:tbl>
      <w:tblPr>
        <w:tblStyle w:val="21"/>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7"/>
        <w:gridCol w:w="1418"/>
        <w:gridCol w:w="2256"/>
        <w:gridCol w:w="2045"/>
        <w:gridCol w:w="2397"/>
        <w:gridCol w:w="1980"/>
        <w:gridCol w:w="2697"/>
      </w:tblGrid>
      <w:tr w:rsidR="00676C12" w14:paraId="04CD2B5E" w14:textId="77777777" w:rsidTr="00B43432">
        <w:trPr>
          <w:trHeight w:val="305"/>
        </w:trPr>
        <w:tc>
          <w:tcPr>
            <w:tcW w:w="1377" w:type="dxa"/>
          </w:tcPr>
          <w:p w14:paraId="4C04166D" w14:textId="77777777" w:rsidR="00676C12" w:rsidRDefault="00676C12" w:rsidP="00BD32D3">
            <w:pPr>
              <w:spacing w:before="80" w:after="80"/>
              <w:jc w:val="center"/>
              <w:rPr>
                <w:sz w:val="20"/>
                <w:szCs w:val="20"/>
              </w:rPr>
            </w:pPr>
            <w:r>
              <w:rPr>
                <w:sz w:val="20"/>
                <w:szCs w:val="20"/>
              </w:rPr>
              <w:t>Category of Risk</w:t>
            </w:r>
          </w:p>
        </w:tc>
        <w:tc>
          <w:tcPr>
            <w:tcW w:w="1418" w:type="dxa"/>
            <w:tcMar>
              <w:top w:w="29" w:type="dxa"/>
              <w:left w:w="29" w:type="dxa"/>
              <w:bottom w:w="29" w:type="dxa"/>
              <w:right w:w="29" w:type="dxa"/>
            </w:tcMar>
          </w:tcPr>
          <w:p w14:paraId="53DD2737" w14:textId="77777777" w:rsidR="00676C12" w:rsidRDefault="00676C12" w:rsidP="00BD32D3">
            <w:pPr>
              <w:spacing w:before="80" w:after="80"/>
              <w:jc w:val="center"/>
              <w:rPr>
                <w:sz w:val="20"/>
                <w:szCs w:val="20"/>
              </w:rPr>
            </w:pPr>
            <w:r>
              <w:rPr>
                <w:sz w:val="20"/>
                <w:szCs w:val="20"/>
              </w:rPr>
              <w:t xml:space="preserve">Risks </w:t>
            </w:r>
          </w:p>
        </w:tc>
        <w:tc>
          <w:tcPr>
            <w:tcW w:w="2256" w:type="dxa"/>
          </w:tcPr>
          <w:p w14:paraId="66365E17" w14:textId="77777777" w:rsidR="00676C12" w:rsidRDefault="00676C12" w:rsidP="00BD32D3">
            <w:pPr>
              <w:spacing w:before="80" w:after="80"/>
              <w:jc w:val="center"/>
              <w:rPr>
                <w:sz w:val="20"/>
                <w:szCs w:val="20"/>
              </w:rPr>
            </w:pPr>
            <w:r>
              <w:rPr>
                <w:sz w:val="20"/>
                <w:szCs w:val="20"/>
              </w:rPr>
              <w:t>Likelihood</w:t>
            </w:r>
          </w:p>
        </w:tc>
        <w:tc>
          <w:tcPr>
            <w:tcW w:w="2045" w:type="dxa"/>
          </w:tcPr>
          <w:p w14:paraId="4EC494E3" w14:textId="77777777" w:rsidR="00676C12" w:rsidRDefault="00676C12" w:rsidP="00BD32D3">
            <w:pPr>
              <w:spacing w:before="80" w:after="80"/>
              <w:jc w:val="center"/>
              <w:rPr>
                <w:sz w:val="20"/>
                <w:szCs w:val="20"/>
              </w:rPr>
            </w:pPr>
            <w:r>
              <w:rPr>
                <w:sz w:val="20"/>
                <w:szCs w:val="20"/>
              </w:rPr>
              <w:t>Impact</w:t>
            </w:r>
          </w:p>
        </w:tc>
        <w:tc>
          <w:tcPr>
            <w:tcW w:w="2397" w:type="dxa"/>
          </w:tcPr>
          <w:p w14:paraId="66909DF5" w14:textId="77777777" w:rsidR="00676C12" w:rsidRDefault="00676C12" w:rsidP="00BD32D3">
            <w:pPr>
              <w:spacing w:before="80" w:after="80"/>
              <w:jc w:val="center"/>
              <w:rPr>
                <w:sz w:val="20"/>
                <w:szCs w:val="20"/>
              </w:rPr>
            </w:pPr>
            <w:r>
              <w:rPr>
                <w:sz w:val="20"/>
                <w:szCs w:val="20"/>
              </w:rPr>
              <w:t>Level</w:t>
            </w:r>
          </w:p>
        </w:tc>
        <w:tc>
          <w:tcPr>
            <w:tcW w:w="1980" w:type="dxa"/>
          </w:tcPr>
          <w:p w14:paraId="5508A382" w14:textId="77777777" w:rsidR="00676C12" w:rsidRDefault="00676C12" w:rsidP="00BD32D3">
            <w:pPr>
              <w:spacing w:before="80" w:after="80"/>
              <w:jc w:val="center"/>
              <w:rPr>
                <w:sz w:val="20"/>
                <w:szCs w:val="20"/>
              </w:rPr>
            </w:pPr>
            <w:r>
              <w:rPr>
                <w:sz w:val="20"/>
                <w:szCs w:val="20"/>
              </w:rPr>
              <w:t>Implications for project/ programme</w:t>
            </w:r>
          </w:p>
        </w:tc>
        <w:tc>
          <w:tcPr>
            <w:tcW w:w="2697" w:type="dxa"/>
            <w:tcMar>
              <w:top w:w="29" w:type="dxa"/>
              <w:left w:w="29" w:type="dxa"/>
              <w:bottom w:w="29" w:type="dxa"/>
              <w:right w:w="29" w:type="dxa"/>
            </w:tcMar>
          </w:tcPr>
          <w:p w14:paraId="47759475" w14:textId="77777777" w:rsidR="00676C12" w:rsidRDefault="00676C12" w:rsidP="00BD32D3">
            <w:pPr>
              <w:spacing w:before="80" w:after="80"/>
              <w:jc w:val="center"/>
              <w:rPr>
                <w:sz w:val="20"/>
                <w:szCs w:val="20"/>
              </w:rPr>
            </w:pPr>
            <w:r>
              <w:rPr>
                <w:sz w:val="20"/>
                <w:szCs w:val="20"/>
              </w:rPr>
              <w:t xml:space="preserve">Mitigation measures </w:t>
            </w:r>
          </w:p>
        </w:tc>
      </w:tr>
      <w:tr w:rsidR="00676C12" w14:paraId="626C830B" w14:textId="77777777" w:rsidTr="00B43432">
        <w:trPr>
          <w:trHeight w:val="276"/>
        </w:trPr>
        <w:tc>
          <w:tcPr>
            <w:tcW w:w="1377" w:type="dxa"/>
          </w:tcPr>
          <w:p w14:paraId="4E0566FA" w14:textId="77777777" w:rsidR="00676C12" w:rsidRDefault="00676C12" w:rsidP="00BD32D3">
            <w:pPr>
              <w:spacing w:before="80" w:after="80"/>
              <w:jc w:val="center"/>
              <w:rPr>
                <w:sz w:val="18"/>
                <w:szCs w:val="18"/>
              </w:rPr>
            </w:pPr>
            <w:r>
              <w:rPr>
                <w:sz w:val="18"/>
                <w:szCs w:val="18"/>
              </w:rPr>
              <w:t>Contextual / Programmatic / Institutional</w:t>
            </w:r>
          </w:p>
        </w:tc>
        <w:tc>
          <w:tcPr>
            <w:tcW w:w="1418" w:type="dxa"/>
            <w:tcMar>
              <w:top w:w="29" w:type="dxa"/>
              <w:left w:w="29" w:type="dxa"/>
              <w:bottom w:w="29" w:type="dxa"/>
              <w:right w:w="29" w:type="dxa"/>
            </w:tcMar>
          </w:tcPr>
          <w:p w14:paraId="404C56A4" w14:textId="77777777" w:rsidR="00676C12" w:rsidRDefault="00676C12" w:rsidP="00BD32D3">
            <w:pPr>
              <w:spacing w:before="80" w:after="80"/>
              <w:jc w:val="center"/>
              <w:rPr>
                <w:sz w:val="18"/>
                <w:szCs w:val="18"/>
              </w:rPr>
            </w:pPr>
            <w:r>
              <w:rPr>
                <w:sz w:val="18"/>
                <w:szCs w:val="18"/>
              </w:rPr>
              <w:t>High priority risks for project/ programme</w:t>
            </w:r>
          </w:p>
        </w:tc>
        <w:tc>
          <w:tcPr>
            <w:tcW w:w="2256" w:type="dxa"/>
          </w:tcPr>
          <w:p w14:paraId="4BA4B8E7" w14:textId="77777777" w:rsidR="00676C12" w:rsidRDefault="00676C12" w:rsidP="00676C12">
            <w:pPr>
              <w:widowControl w:val="0"/>
              <w:numPr>
                <w:ilvl w:val="0"/>
                <w:numId w:val="1"/>
              </w:numPr>
              <w:pBdr>
                <w:top w:val="nil"/>
                <w:left w:val="nil"/>
                <w:bottom w:val="nil"/>
                <w:right w:val="nil"/>
                <w:between w:val="nil"/>
              </w:pBdr>
              <w:rPr>
                <w:color w:val="212529"/>
                <w:sz w:val="18"/>
                <w:szCs w:val="18"/>
              </w:rPr>
            </w:pPr>
            <w:r>
              <w:rPr>
                <w:color w:val="212529"/>
                <w:sz w:val="18"/>
                <w:szCs w:val="18"/>
              </w:rPr>
              <w:t>Very improbable (1)</w:t>
            </w:r>
          </w:p>
          <w:p w14:paraId="09566245" w14:textId="77777777" w:rsidR="00676C12" w:rsidRDefault="00676C12" w:rsidP="00676C12">
            <w:pPr>
              <w:widowControl w:val="0"/>
              <w:numPr>
                <w:ilvl w:val="0"/>
                <w:numId w:val="1"/>
              </w:numPr>
              <w:pBdr>
                <w:top w:val="nil"/>
                <w:left w:val="nil"/>
                <w:bottom w:val="nil"/>
                <w:right w:val="nil"/>
                <w:between w:val="nil"/>
              </w:pBdr>
              <w:rPr>
                <w:color w:val="212529"/>
                <w:sz w:val="18"/>
                <w:szCs w:val="18"/>
              </w:rPr>
            </w:pPr>
            <w:r>
              <w:rPr>
                <w:color w:val="212529"/>
                <w:sz w:val="18"/>
                <w:szCs w:val="18"/>
              </w:rPr>
              <w:t>Improbable (2)</w:t>
            </w:r>
          </w:p>
          <w:p w14:paraId="52049734" w14:textId="77777777" w:rsidR="00676C12" w:rsidRDefault="00676C12" w:rsidP="00676C12">
            <w:pPr>
              <w:widowControl w:val="0"/>
              <w:numPr>
                <w:ilvl w:val="0"/>
                <w:numId w:val="1"/>
              </w:numPr>
              <w:pBdr>
                <w:top w:val="nil"/>
                <w:left w:val="nil"/>
                <w:bottom w:val="nil"/>
                <w:right w:val="nil"/>
                <w:between w:val="nil"/>
              </w:pBdr>
              <w:rPr>
                <w:color w:val="212529"/>
                <w:sz w:val="18"/>
                <w:szCs w:val="18"/>
              </w:rPr>
            </w:pPr>
            <w:r>
              <w:rPr>
                <w:color w:val="212529"/>
                <w:sz w:val="18"/>
                <w:szCs w:val="18"/>
              </w:rPr>
              <w:t xml:space="preserve">Possible (3) </w:t>
            </w:r>
          </w:p>
          <w:p w14:paraId="15299131" w14:textId="77777777" w:rsidR="00676C12" w:rsidRDefault="00676C12" w:rsidP="00676C12">
            <w:pPr>
              <w:widowControl w:val="0"/>
              <w:numPr>
                <w:ilvl w:val="0"/>
                <w:numId w:val="1"/>
              </w:numPr>
              <w:pBdr>
                <w:top w:val="nil"/>
                <w:left w:val="nil"/>
                <w:bottom w:val="nil"/>
                <w:right w:val="nil"/>
                <w:between w:val="nil"/>
              </w:pBdr>
              <w:rPr>
                <w:color w:val="212529"/>
                <w:sz w:val="18"/>
                <w:szCs w:val="18"/>
              </w:rPr>
            </w:pPr>
            <w:r>
              <w:rPr>
                <w:color w:val="212529"/>
                <w:sz w:val="18"/>
                <w:szCs w:val="18"/>
              </w:rPr>
              <w:t>Probable (4)</w:t>
            </w:r>
          </w:p>
          <w:p w14:paraId="76B3BC78" w14:textId="77777777" w:rsidR="00676C12" w:rsidRDefault="00676C12" w:rsidP="00676C12">
            <w:pPr>
              <w:widowControl w:val="0"/>
              <w:numPr>
                <w:ilvl w:val="0"/>
                <w:numId w:val="1"/>
              </w:numPr>
              <w:pBdr>
                <w:top w:val="nil"/>
                <w:left w:val="nil"/>
                <w:bottom w:val="nil"/>
                <w:right w:val="nil"/>
                <w:between w:val="nil"/>
              </w:pBdr>
              <w:rPr>
                <w:color w:val="212529"/>
                <w:sz w:val="18"/>
                <w:szCs w:val="18"/>
              </w:rPr>
            </w:pPr>
            <w:r>
              <w:rPr>
                <w:color w:val="212529"/>
                <w:sz w:val="18"/>
                <w:szCs w:val="18"/>
              </w:rPr>
              <w:t>Very probable (5)</w:t>
            </w:r>
          </w:p>
        </w:tc>
        <w:tc>
          <w:tcPr>
            <w:tcW w:w="2045" w:type="dxa"/>
          </w:tcPr>
          <w:p w14:paraId="68524638" w14:textId="77777777" w:rsidR="00676C12" w:rsidRDefault="00676C12" w:rsidP="00676C12">
            <w:pPr>
              <w:widowControl w:val="0"/>
              <w:numPr>
                <w:ilvl w:val="0"/>
                <w:numId w:val="2"/>
              </w:numPr>
              <w:pBdr>
                <w:top w:val="nil"/>
                <w:left w:val="nil"/>
                <w:bottom w:val="nil"/>
                <w:right w:val="nil"/>
                <w:between w:val="nil"/>
              </w:pBdr>
              <w:rPr>
                <w:color w:val="212529"/>
                <w:sz w:val="18"/>
                <w:szCs w:val="18"/>
              </w:rPr>
            </w:pPr>
            <w:r>
              <w:rPr>
                <w:color w:val="212529"/>
                <w:sz w:val="18"/>
                <w:szCs w:val="18"/>
              </w:rPr>
              <w:t>Negligible (1)</w:t>
            </w:r>
          </w:p>
          <w:p w14:paraId="375CD1A6" w14:textId="77777777" w:rsidR="00676C12" w:rsidRDefault="00676C12" w:rsidP="00676C12">
            <w:pPr>
              <w:widowControl w:val="0"/>
              <w:numPr>
                <w:ilvl w:val="0"/>
                <w:numId w:val="2"/>
              </w:numPr>
              <w:pBdr>
                <w:top w:val="nil"/>
                <w:left w:val="nil"/>
                <w:bottom w:val="nil"/>
                <w:right w:val="nil"/>
                <w:between w:val="nil"/>
              </w:pBdr>
              <w:rPr>
                <w:color w:val="212529"/>
                <w:sz w:val="18"/>
                <w:szCs w:val="18"/>
              </w:rPr>
            </w:pPr>
            <w:r>
              <w:rPr>
                <w:color w:val="212529"/>
                <w:sz w:val="18"/>
                <w:szCs w:val="18"/>
              </w:rPr>
              <w:t>Low (2)</w:t>
            </w:r>
          </w:p>
          <w:p w14:paraId="7EE39814" w14:textId="77777777" w:rsidR="00676C12" w:rsidRDefault="00676C12" w:rsidP="00676C12">
            <w:pPr>
              <w:widowControl w:val="0"/>
              <w:numPr>
                <w:ilvl w:val="0"/>
                <w:numId w:val="2"/>
              </w:numPr>
              <w:pBdr>
                <w:top w:val="nil"/>
                <w:left w:val="nil"/>
                <w:bottom w:val="nil"/>
                <w:right w:val="nil"/>
                <w:between w:val="nil"/>
              </w:pBdr>
              <w:rPr>
                <w:color w:val="212529"/>
                <w:sz w:val="18"/>
                <w:szCs w:val="18"/>
              </w:rPr>
            </w:pPr>
            <w:r>
              <w:rPr>
                <w:color w:val="212529"/>
                <w:sz w:val="18"/>
                <w:szCs w:val="18"/>
              </w:rPr>
              <w:t>Moderate (3)</w:t>
            </w:r>
          </w:p>
          <w:p w14:paraId="7C4E421B" w14:textId="77777777" w:rsidR="00676C12" w:rsidRDefault="00676C12" w:rsidP="00676C12">
            <w:pPr>
              <w:widowControl w:val="0"/>
              <w:numPr>
                <w:ilvl w:val="0"/>
                <w:numId w:val="2"/>
              </w:numPr>
              <w:pBdr>
                <w:top w:val="nil"/>
                <w:left w:val="nil"/>
                <w:bottom w:val="nil"/>
                <w:right w:val="nil"/>
                <w:between w:val="nil"/>
              </w:pBdr>
              <w:rPr>
                <w:color w:val="212529"/>
                <w:sz w:val="18"/>
                <w:szCs w:val="18"/>
              </w:rPr>
            </w:pPr>
            <w:r>
              <w:rPr>
                <w:color w:val="212529"/>
                <w:sz w:val="18"/>
                <w:szCs w:val="18"/>
              </w:rPr>
              <w:t>Significant (4)</w:t>
            </w:r>
          </w:p>
          <w:p w14:paraId="614AF5F9" w14:textId="77777777" w:rsidR="00676C12" w:rsidRDefault="00676C12" w:rsidP="00676C12">
            <w:pPr>
              <w:widowControl w:val="0"/>
              <w:numPr>
                <w:ilvl w:val="0"/>
                <w:numId w:val="2"/>
              </w:numPr>
              <w:pBdr>
                <w:top w:val="nil"/>
                <w:left w:val="nil"/>
                <w:bottom w:val="nil"/>
                <w:right w:val="nil"/>
                <w:between w:val="nil"/>
              </w:pBdr>
              <w:rPr>
                <w:color w:val="212529"/>
                <w:sz w:val="18"/>
                <w:szCs w:val="18"/>
              </w:rPr>
            </w:pPr>
            <w:r>
              <w:rPr>
                <w:color w:val="212529"/>
                <w:sz w:val="18"/>
                <w:szCs w:val="18"/>
              </w:rPr>
              <w:t>Catastrophic (5)</w:t>
            </w:r>
          </w:p>
        </w:tc>
        <w:tc>
          <w:tcPr>
            <w:tcW w:w="2397" w:type="dxa"/>
          </w:tcPr>
          <w:p w14:paraId="13CB4E84" w14:textId="77777777" w:rsidR="00676C12" w:rsidRDefault="00676C12" w:rsidP="00BD32D3">
            <w:pPr>
              <w:spacing w:before="80" w:after="80"/>
              <w:jc w:val="center"/>
              <w:rPr>
                <w:sz w:val="18"/>
                <w:szCs w:val="18"/>
              </w:rPr>
            </w:pPr>
            <w:r>
              <w:rPr>
                <w:sz w:val="18"/>
                <w:szCs w:val="18"/>
              </w:rPr>
              <w:t>[calculate likelihood x impact]</w:t>
            </w:r>
          </w:p>
          <w:p w14:paraId="798FD77F" w14:textId="77777777" w:rsidR="00676C12" w:rsidRDefault="00676C12" w:rsidP="00BD32D3">
            <w:pPr>
              <w:spacing w:before="80" w:after="80"/>
              <w:jc w:val="center"/>
              <w:rPr>
                <w:sz w:val="18"/>
                <w:szCs w:val="18"/>
              </w:rPr>
            </w:pPr>
            <w:r>
              <w:rPr>
                <w:sz w:val="18"/>
                <w:szCs w:val="18"/>
              </w:rPr>
              <w:t>(1-3 negligible, 4-6 low, 8-12 medium, 15 high, 16-25 very high)</w:t>
            </w:r>
          </w:p>
        </w:tc>
        <w:tc>
          <w:tcPr>
            <w:tcW w:w="1980" w:type="dxa"/>
          </w:tcPr>
          <w:p w14:paraId="1E4B1029" w14:textId="77777777" w:rsidR="00676C12" w:rsidRDefault="00676C12" w:rsidP="00BD32D3">
            <w:pPr>
              <w:spacing w:before="80" w:after="80"/>
              <w:jc w:val="center"/>
              <w:rPr>
                <w:sz w:val="18"/>
                <w:szCs w:val="18"/>
              </w:rPr>
            </w:pPr>
            <w:r>
              <w:rPr>
                <w:sz w:val="18"/>
                <w:szCs w:val="18"/>
              </w:rPr>
              <w:t>Analysis of the implications for the project/programme</w:t>
            </w:r>
          </w:p>
        </w:tc>
        <w:tc>
          <w:tcPr>
            <w:tcW w:w="2697" w:type="dxa"/>
            <w:tcMar>
              <w:top w:w="29" w:type="dxa"/>
              <w:left w:w="29" w:type="dxa"/>
              <w:bottom w:w="29" w:type="dxa"/>
              <w:right w:w="29" w:type="dxa"/>
            </w:tcMar>
          </w:tcPr>
          <w:p w14:paraId="40B7B376" w14:textId="77777777" w:rsidR="00676C12" w:rsidRDefault="00676C12" w:rsidP="00BD32D3">
            <w:pPr>
              <w:spacing w:before="80" w:after="80"/>
              <w:rPr>
                <w:sz w:val="18"/>
                <w:szCs w:val="18"/>
              </w:rPr>
            </w:pPr>
            <w:r>
              <w:rPr>
                <w:sz w:val="18"/>
                <w:szCs w:val="18"/>
              </w:rPr>
              <w:t>Measures being taken and/or proposed to mitigate risk</w:t>
            </w:r>
          </w:p>
        </w:tc>
      </w:tr>
      <w:tr w:rsidR="00676C12" w14:paraId="392B296D" w14:textId="77777777" w:rsidTr="00B43432">
        <w:trPr>
          <w:trHeight w:val="276"/>
        </w:trPr>
        <w:tc>
          <w:tcPr>
            <w:tcW w:w="1377" w:type="dxa"/>
            <w:vAlign w:val="center"/>
          </w:tcPr>
          <w:p w14:paraId="77EC1A47" w14:textId="570C8E17" w:rsidR="00676C12" w:rsidRDefault="006A2A7F" w:rsidP="000554A1">
            <w:pPr>
              <w:spacing w:before="80" w:after="80"/>
              <w:jc w:val="center"/>
              <w:rPr>
                <w:sz w:val="18"/>
                <w:szCs w:val="18"/>
              </w:rPr>
            </w:pPr>
            <w:r w:rsidRPr="006A2A7F">
              <w:rPr>
                <w:sz w:val="18"/>
                <w:szCs w:val="18"/>
              </w:rPr>
              <w:t>Contextual</w:t>
            </w:r>
          </w:p>
        </w:tc>
        <w:tc>
          <w:tcPr>
            <w:tcW w:w="1418" w:type="dxa"/>
            <w:tcMar>
              <w:top w:w="29" w:type="dxa"/>
              <w:left w:w="29" w:type="dxa"/>
              <w:bottom w:w="29" w:type="dxa"/>
              <w:right w:w="29" w:type="dxa"/>
            </w:tcMar>
            <w:vAlign w:val="center"/>
          </w:tcPr>
          <w:p w14:paraId="37B91B77" w14:textId="5C156C9F" w:rsidR="00676C12" w:rsidRDefault="006A2A7F" w:rsidP="000554A1">
            <w:pPr>
              <w:spacing w:before="80" w:after="80"/>
              <w:jc w:val="center"/>
              <w:rPr>
                <w:sz w:val="18"/>
                <w:szCs w:val="18"/>
              </w:rPr>
            </w:pPr>
            <w:r w:rsidRPr="006A2A7F">
              <w:rPr>
                <w:sz w:val="18"/>
                <w:szCs w:val="18"/>
              </w:rPr>
              <w:t>Change of Government and Institutional Priorities (Political Instability)</w:t>
            </w:r>
          </w:p>
        </w:tc>
        <w:tc>
          <w:tcPr>
            <w:tcW w:w="2256" w:type="dxa"/>
            <w:vAlign w:val="center"/>
          </w:tcPr>
          <w:p w14:paraId="535F7FDE" w14:textId="5C2A3C8E" w:rsidR="00676C12" w:rsidRDefault="006A2A7F" w:rsidP="000554A1">
            <w:pPr>
              <w:spacing w:before="80" w:after="80"/>
              <w:jc w:val="center"/>
              <w:rPr>
                <w:sz w:val="18"/>
                <w:szCs w:val="18"/>
              </w:rPr>
            </w:pPr>
            <w:r>
              <w:rPr>
                <w:sz w:val="18"/>
                <w:szCs w:val="18"/>
              </w:rPr>
              <w:t>4</w:t>
            </w:r>
          </w:p>
        </w:tc>
        <w:tc>
          <w:tcPr>
            <w:tcW w:w="2045" w:type="dxa"/>
            <w:vAlign w:val="center"/>
          </w:tcPr>
          <w:p w14:paraId="11B9471C" w14:textId="5B61F72A" w:rsidR="00676C12" w:rsidRDefault="006A2A7F" w:rsidP="000554A1">
            <w:pPr>
              <w:spacing w:before="80" w:after="80"/>
              <w:jc w:val="center"/>
              <w:rPr>
                <w:sz w:val="18"/>
                <w:szCs w:val="18"/>
              </w:rPr>
            </w:pPr>
            <w:r>
              <w:rPr>
                <w:sz w:val="18"/>
                <w:szCs w:val="18"/>
              </w:rPr>
              <w:t>3</w:t>
            </w:r>
          </w:p>
        </w:tc>
        <w:tc>
          <w:tcPr>
            <w:tcW w:w="2397" w:type="dxa"/>
            <w:vAlign w:val="center"/>
          </w:tcPr>
          <w:p w14:paraId="0BE9C063" w14:textId="5F765BF8" w:rsidR="00676C12" w:rsidRDefault="006A2A7F" w:rsidP="000554A1">
            <w:pPr>
              <w:spacing w:before="80" w:after="80"/>
              <w:jc w:val="center"/>
              <w:rPr>
                <w:sz w:val="18"/>
                <w:szCs w:val="18"/>
              </w:rPr>
            </w:pPr>
            <w:r>
              <w:rPr>
                <w:sz w:val="18"/>
                <w:szCs w:val="18"/>
              </w:rPr>
              <w:t>medium</w:t>
            </w:r>
          </w:p>
        </w:tc>
        <w:tc>
          <w:tcPr>
            <w:tcW w:w="1980" w:type="dxa"/>
          </w:tcPr>
          <w:p w14:paraId="218646D2" w14:textId="1FC1A86D" w:rsidR="00676C12" w:rsidRDefault="00AA0EBA" w:rsidP="00CD51DF">
            <w:pPr>
              <w:spacing w:before="80" w:after="80"/>
              <w:jc w:val="both"/>
              <w:rPr>
                <w:sz w:val="18"/>
                <w:szCs w:val="18"/>
              </w:rPr>
            </w:pPr>
            <w:r w:rsidRPr="00AA0EBA">
              <w:rPr>
                <w:sz w:val="18"/>
                <w:szCs w:val="18"/>
              </w:rPr>
              <w:t>There is a risk associated with the change of government (March 11), which could lead to adjustments in priorities, review criteria, and institutional approval timelines. This risk is particularly evident in the launch of the awareness campaign, as the communication materials produced must be reviewed and approved by the Ministry of the Environment's Communications Department. In the event of a transition to a new administration, some materials may be left pending review and approval.</w:t>
            </w:r>
          </w:p>
        </w:tc>
        <w:tc>
          <w:tcPr>
            <w:tcW w:w="2697" w:type="dxa"/>
            <w:tcMar>
              <w:top w:w="29" w:type="dxa"/>
              <w:left w:w="29" w:type="dxa"/>
              <w:bottom w:w="29" w:type="dxa"/>
              <w:right w:w="29" w:type="dxa"/>
            </w:tcMar>
          </w:tcPr>
          <w:p w14:paraId="3757AA40" w14:textId="11888B1B" w:rsidR="00676C12" w:rsidRDefault="000554A1" w:rsidP="000554A1">
            <w:pPr>
              <w:spacing w:before="80" w:after="80"/>
              <w:jc w:val="both"/>
              <w:rPr>
                <w:sz w:val="18"/>
                <w:szCs w:val="18"/>
              </w:rPr>
            </w:pPr>
            <w:r w:rsidRPr="000554A1">
              <w:rPr>
                <w:sz w:val="18"/>
                <w:szCs w:val="18"/>
              </w:rPr>
              <w:t>To reduce the likelihood of delays associated with the change of government, the development and delivery of communication materials for approval will be expedited before March 11th. A review schedule, focal points, and response times will be agreed upon with the Communications Department of the Ministry of the Environment. Additionally, materials will be designed with a modular structure and editable versions to allow for rapid adjustments in the event of changes in guidelines. Simultaneously, a record of observations and approvals will be maintained, and an alternative phased launch plan (e.g., progressive dissemination of already validated content) will be defined to avoid a complete halt to the campaign in case of delays in final approval. The new authorities of the incoming government, who will be the project's counterpart, will be informed early on.</w:t>
            </w:r>
          </w:p>
        </w:tc>
      </w:tr>
      <w:tr w:rsidR="00676C12" w14:paraId="08C6EBDD" w14:textId="77777777" w:rsidTr="00B43432">
        <w:trPr>
          <w:trHeight w:val="276"/>
        </w:trPr>
        <w:tc>
          <w:tcPr>
            <w:tcW w:w="1377" w:type="dxa"/>
            <w:vAlign w:val="center"/>
          </w:tcPr>
          <w:p w14:paraId="47E0FBB6" w14:textId="23CD1138" w:rsidR="00676C12" w:rsidRDefault="006508CD" w:rsidP="004B5FD4">
            <w:pPr>
              <w:spacing w:before="80" w:after="80"/>
              <w:jc w:val="center"/>
              <w:rPr>
                <w:sz w:val="18"/>
                <w:szCs w:val="18"/>
              </w:rPr>
            </w:pPr>
            <w:r w:rsidRPr="006508CD">
              <w:rPr>
                <w:sz w:val="18"/>
                <w:szCs w:val="18"/>
              </w:rPr>
              <w:lastRenderedPageBreak/>
              <w:t>Institutional:</w:t>
            </w:r>
          </w:p>
        </w:tc>
        <w:tc>
          <w:tcPr>
            <w:tcW w:w="1418" w:type="dxa"/>
            <w:tcMar>
              <w:top w:w="29" w:type="dxa"/>
              <w:left w:w="29" w:type="dxa"/>
              <w:bottom w:w="29" w:type="dxa"/>
              <w:right w:w="29" w:type="dxa"/>
            </w:tcMar>
            <w:vAlign w:val="center"/>
          </w:tcPr>
          <w:p w14:paraId="1D25490A" w14:textId="01562860" w:rsidR="00676C12" w:rsidRDefault="00F575FC" w:rsidP="004B5FD4">
            <w:pPr>
              <w:spacing w:before="80" w:after="80"/>
              <w:jc w:val="center"/>
              <w:rPr>
                <w:sz w:val="18"/>
                <w:szCs w:val="18"/>
              </w:rPr>
            </w:pPr>
            <w:r w:rsidRPr="00F575FC">
              <w:rPr>
                <w:sz w:val="18"/>
                <w:szCs w:val="18"/>
              </w:rPr>
              <w:t>Operational workload exceeding the capacity of the MMA team</w:t>
            </w:r>
          </w:p>
        </w:tc>
        <w:tc>
          <w:tcPr>
            <w:tcW w:w="2256" w:type="dxa"/>
            <w:vAlign w:val="center"/>
          </w:tcPr>
          <w:p w14:paraId="3A6FC8E5" w14:textId="5A5E8365" w:rsidR="00676C12" w:rsidRDefault="00310372" w:rsidP="004B5FD4">
            <w:pPr>
              <w:spacing w:before="80" w:after="80"/>
              <w:jc w:val="center"/>
              <w:rPr>
                <w:sz w:val="18"/>
                <w:szCs w:val="18"/>
              </w:rPr>
            </w:pPr>
            <w:r>
              <w:rPr>
                <w:sz w:val="18"/>
                <w:szCs w:val="18"/>
              </w:rPr>
              <w:t>3</w:t>
            </w:r>
          </w:p>
        </w:tc>
        <w:tc>
          <w:tcPr>
            <w:tcW w:w="2045" w:type="dxa"/>
            <w:vAlign w:val="center"/>
          </w:tcPr>
          <w:p w14:paraId="6D7ABEDF" w14:textId="76E3A2BD" w:rsidR="00676C12" w:rsidRDefault="00310372" w:rsidP="004B5FD4">
            <w:pPr>
              <w:spacing w:before="80" w:after="80"/>
              <w:jc w:val="center"/>
              <w:rPr>
                <w:sz w:val="18"/>
                <w:szCs w:val="18"/>
              </w:rPr>
            </w:pPr>
            <w:r>
              <w:rPr>
                <w:sz w:val="18"/>
                <w:szCs w:val="18"/>
              </w:rPr>
              <w:t>2</w:t>
            </w:r>
          </w:p>
        </w:tc>
        <w:tc>
          <w:tcPr>
            <w:tcW w:w="2397" w:type="dxa"/>
            <w:vAlign w:val="center"/>
          </w:tcPr>
          <w:p w14:paraId="18F96E5F" w14:textId="5A08EF83" w:rsidR="00676C12" w:rsidRDefault="00310372" w:rsidP="004B5FD4">
            <w:pPr>
              <w:spacing w:before="80" w:after="80"/>
              <w:jc w:val="center"/>
              <w:rPr>
                <w:sz w:val="18"/>
                <w:szCs w:val="18"/>
              </w:rPr>
            </w:pPr>
            <w:r>
              <w:rPr>
                <w:sz w:val="18"/>
                <w:szCs w:val="18"/>
              </w:rPr>
              <w:t>low</w:t>
            </w:r>
          </w:p>
        </w:tc>
        <w:tc>
          <w:tcPr>
            <w:tcW w:w="1980" w:type="dxa"/>
          </w:tcPr>
          <w:p w14:paraId="340BE1A5" w14:textId="21D64DEB" w:rsidR="00676C12" w:rsidRDefault="007C1D28" w:rsidP="007C1D28">
            <w:pPr>
              <w:spacing w:before="80" w:after="80"/>
              <w:jc w:val="both"/>
              <w:rPr>
                <w:sz w:val="18"/>
                <w:szCs w:val="18"/>
              </w:rPr>
            </w:pPr>
            <w:r w:rsidRPr="007C1D28">
              <w:rPr>
                <w:sz w:val="18"/>
                <w:szCs w:val="18"/>
              </w:rPr>
              <w:t>There is a risk of the Ministry of Environment team becoming overworked, which could reduce their availability to coordinate, review, and validate project deliverables, especially during periods of high institutional demand. This could lead to delays in reviews/validations, rescheduling of activities, bottlenecks, and missed communication milestones.</w:t>
            </w:r>
          </w:p>
        </w:tc>
        <w:tc>
          <w:tcPr>
            <w:tcW w:w="2697" w:type="dxa"/>
            <w:tcMar>
              <w:top w:w="29" w:type="dxa"/>
              <w:left w:w="29" w:type="dxa"/>
              <w:bottom w:w="29" w:type="dxa"/>
              <w:right w:w="29" w:type="dxa"/>
            </w:tcMar>
          </w:tcPr>
          <w:p w14:paraId="46DC3415" w14:textId="7ECD006E" w:rsidR="00676C12" w:rsidRDefault="00733101" w:rsidP="00733101">
            <w:pPr>
              <w:spacing w:before="80" w:after="80"/>
              <w:jc w:val="both"/>
              <w:rPr>
                <w:sz w:val="18"/>
                <w:szCs w:val="18"/>
              </w:rPr>
            </w:pPr>
            <w:r w:rsidRPr="00733101">
              <w:rPr>
                <w:sz w:val="18"/>
                <w:szCs w:val="18"/>
              </w:rPr>
              <w:t xml:space="preserve">Plan with a realistic schedule, prioritize critical </w:t>
            </w:r>
            <w:r w:rsidR="006B581C">
              <w:rPr>
                <w:sz w:val="18"/>
                <w:szCs w:val="18"/>
              </w:rPr>
              <w:t>achievements</w:t>
            </w:r>
            <w:r w:rsidRPr="00733101">
              <w:rPr>
                <w:sz w:val="18"/>
                <w:szCs w:val="18"/>
              </w:rPr>
              <w:t>, simplify products for review (executive summaries), establish fixed review windows and delegate to focal points, and use agile approval mechanisms (traceable comments and version control).</w:t>
            </w:r>
          </w:p>
        </w:tc>
      </w:tr>
      <w:tr w:rsidR="00676C12" w14:paraId="0BB5EC75" w14:textId="77777777" w:rsidTr="00B43432">
        <w:trPr>
          <w:trHeight w:val="276"/>
        </w:trPr>
        <w:tc>
          <w:tcPr>
            <w:tcW w:w="1377" w:type="dxa"/>
            <w:vAlign w:val="center"/>
          </w:tcPr>
          <w:p w14:paraId="525335C8" w14:textId="0D1A4D71" w:rsidR="00676C12" w:rsidRDefault="006D00C9" w:rsidP="004B5FD4">
            <w:pPr>
              <w:spacing w:before="80" w:after="80"/>
              <w:jc w:val="center"/>
              <w:rPr>
                <w:sz w:val="18"/>
                <w:szCs w:val="18"/>
              </w:rPr>
            </w:pPr>
            <w:r w:rsidRPr="006D00C9">
              <w:rPr>
                <w:sz w:val="18"/>
                <w:szCs w:val="18"/>
              </w:rPr>
              <w:t>Institutional</w:t>
            </w:r>
          </w:p>
        </w:tc>
        <w:tc>
          <w:tcPr>
            <w:tcW w:w="1418" w:type="dxa"/>
            <w:tcMar>
              <w:top w:w="29" w:type="dxa"/>
              <w:left w:w="29" w:type="dxa"/>
              <w:bottom w:w="29" w:type="dxa"/>
              <w:right w:w="29" w:type="dxa"/>
            </w:tcMar>
            <w:vAlign w:val="center"/>
          </w:tcPr>
          <w:p w14:paraId="5D4311D8" w14:textId="423B73E1" w:rsidR="00676C12" w:rsidRDefault="0093634E" w:rsidP="004B5FD4">
            <w:pPr>
              <w:spacing w:before="80" w:after="80"/>
              <w:jc w:val="center"/>
              <w:rPr>
                <w:sz w:val="18"/>
                <w:szCs w:val="18"/>
              </w:rPr>
            </w:pPr>
            <w:r>
              <w:rPr>
                <w:sz w:val="18"/>
                <w:szCs w:val="18"/>
              </w:rPr>
              <w:t>C</w:t>
            </w:r>
            <w:r w:rsidR="006D00C9" w:rsidRPr="006D00C9">
              <w:rPr>
                <w:sz w:val="18"/>
                <w:szCs w:val="18"/>
              </w:rPr>
              <w:t>hange of counterparty (MMA)</w:t>
            </w:r>
          </w:p>
        </w:tc>
        <w:tc>
          <w:tcPr>
            <w:tcW w:w="2256" w:type="dxa"/>
            <w:vAlign w:val="center"/>
          </w:tcPr>
          <w:p w14:paraId="711083A7" w14:textId="13D44208" w:rsidR="00676C12" w:rsidRDefault="00C3200C" w:rsidP="004B5FD4">
            <w:pPr>
              <w:spacing w:before="80" w:after="80"/>
              <w:jc w:val="center"/>
              <w:rPr>
                <w:sz w:val="18"/>
                <w:szCs w:val="18"/>
              </w:rPr>
            </w:pPr>
            <w:r>
              <w:rPr>
                <w:sz w:val="18"/>
                <w:szCs w:val="18"/>
              </w:rPr>
              <w:t>5</w:t>
            </w:r>
          </w:p>
        </w:tc>
        <w:tc>
          <w:tcPr>
            <w:tcW w:w="2045" w:type="dxa"/>
            <w:vAlign w:val="center"/>
          </w:tcPr>
          <w:p w14:paraId="219784FF" w14:textId="50F5DA89" w:rsidR="00676C12" w:rsidRDefault="00C3200C" w:rsidP="004B5FD4">
            <w:pPr>
              <w:spacing w:before="80" w:after="80"/>
              <w:jc w:val="center"/>
              <w:rPr>
                <w:sz w:val="18"/>
                <w:szCs w:val="18"/>
              </w:rPr>
            </w:pPr>
            <w:r>
              <w:rPr>
                <w:sz w:val="18"/>
                <w:szCs w:val="18"/>
              </w:rPr>
              <w:t>4</w:t>
            </w:r>
          </w:p>
        </w:tc>
        <w:tc>
          <w:tcPr>
            <w:tcW w:w="2397" w:type="dxa"/>
            <w:vAlign w:val="center"/>
          </w:tcPr>
          <w:p w14:paraId="4CD5F0B2" w14:textId="09CCBDB4" w:rsidR="00676C12" w:rsidRDefault="00C3200C" w:rsidP="004B5FD4">
            <w:pPr>
              <w:spacing w:before="80" w:after="80"/>
              <w:jc w:val="center"/>
              <w:rPr>
                <w:sz w:val="18"/>
                <w:szCs w:val="18"/>
              </w:rPr>
            </w:pPr>
            <w:r>
              <w:rPr>
                <w:sz w:val="18"/>
                <w:szCs w:val="18"/>
              </w:rPr>
              <w:t>very high</w:t>
            </w:r>
          </w:p>
        </w:tc>
        <w:tc>
          <w:tcPr>
            <w:tcW w:w="1980" w:type="dxa"/>
          </w:tcPr>
          <w:p w14:paraId="467FB022" w14:textId="3EE790FD" w:rsidR="00676C12" w:rsidRDefault="00A03F83" w:rsidP="00A03F83">
            <w:pPr>
              <w:spacing w:before="80" w:after="80"/>
              <w:jc w:val="both"/>
              <w:rPr>
                <w:sz w:val="18"/>
                <w:szCs w:val="18"/>
              </w:rPr>
            </w:pPr>
            <w:r w:rsidRPr="00A03F83">
              <w:rPr>
                <w:sz w:val="18"/>
                <w:szCs w:val="18"/>
              </w:rPr>
              <w:t>There is a risk of institutional disruption due to the changes in the technical and/or administrative counterpart of the Ministry of the Environment (</w:t>
            </w:r>
            <w:proofErr w:type="spellStart"/>
            <w:r w:rsidRPr="00A03F83">
              <w:rPr>
                <w:sz w:val="18"/>
                <w:szCs w:val="18"/>
              </w:rPr>
              <w:t>M</w:t>
            </w:r>
            <w:r w:rsidR="0093634E">
              <w:rPr>
                <w:sz w:val="18"/>
                <w:szCs w:val="18"/>
              </w:rPr>
              <w:t>oE</w:t>
            </w:r>
            <w:proofErr w:type="spellEnd"/>
            <w:r w:rsidRPr="00A03F83">
              <w:rPr>
                <w:sz w:val="18"/>
                <w:szCs w:val="18"/>
              </w:rPr>
              <w:t xml:space="preserve">) during project implementation. This turnover can lead to a loss of institutional memory and prior agreements, as well as shifts in priorities and review criteria, particularly affecting the coordination, validation, and approval processes for deliverables. Consequently, it may be necessary to re-share </w:t>
            </w:r>
            <w:r w:rsidRPr="00A03F83">
              <w:rPr>
                <w:sz w:val="18"/>
                <w:szCs w:val="18"/>
              </w:rPr>
              <w:lastRenderedPageBreak/>
              <w:t>progress, adjust already developed deliverables, and reschedule activities, increasing response times and creating risks of schedule delays and reduced work efficiency</w:t>
            </w:r>
          </w:p>
        </w:tc>
        <w:tc>
          <w:tcPr>
            <w:tcW w:w="2697" w:type="dxa"/>
            <w:tcMar>
              <w:top w:w="29" w:type="dxa"/>
              <w:left w:w="29" w:type="dxa"/>
              <w:bottom w:w="29" w:type="dxa"/>
              <w:right w:w="29" w:type="dxa"/>
            </w:tcMar>
          </w:tcPr>
          <w:p w14:paraId="2B94EF88" w14:textId="445EB496" w:rsidR="00676C12" w:rsidRDefault="00D3587C" w:rsidP="00D3587C">
            <w:pPr>
              <w:spacing w:before="80" w:after="80"/>
              <w:jc w:val="both"/>
              <w:rPr>
                <w:sz w:val="18"/>
                <w:szCs w:val="18"/>
              </w:rPr>
            </w:pPr>
            <w:r w:rsidRPr="00D3587C">
              <w:rPr>
                <w:sz w:val="18"/>
                <w:szCs w:val="18"/>
              </w:rPr>
              <w:lastRenderedPageBreak/>
              <w:t>Formalize agreements and definitions in writing, maintain traceability (minutes and version control), establish at least two focal points (principal and alternate), conduct rapid inductions before each change and hold regular follow-up meetings with a fixed schedule to ensure continuity.</w:t>
            </w:r>
          </w:p>
        </w:tc>
      </w:tr>
      <w:tr w:rsidR="00D04896" w14:paraId="10CD0B3B" w14:textId="77777777" w:rsidTr="00B43432">
        <w:trPr>
          <w:trHeight w:val="1400"/>
        </w:trPr>
        <w:tc>
          <w:tcPr>
            <w:tcW w:w="1377" w:type="dxa"/>
            <w:vMerge w:val="restart"/>
            <w:vAlign w:val="center"/>
          </w:tcPr>
          <w:p w14:paraId="5D3CF2E2" w14:textId="45198F17" w:rsidR="00D04896" w:rsidRDefault="00D04896" w:rsidP="004B5FD4">
            <w:pPr>
              <w:spacing w:before="80" w:after="80"/>
              <w:jc w:val="center"/>
              <w:rPr>
                <w:sz w:val="18"/>
                <w:szCs w:val="18"/>
              </w:rPr>
            </w:pPr>
            <w:r w:rsidRPr="00D12C6F">
              <w:rPr>
                <w:sz w:val="18"/>
                <w:szCs w:val="18"/>
              </w:rPr>
              <w:t>Program</w:t>
            </w:r>
          </w:p>
        </w:tc>
        <w:tc>
          <w:tcPr>
            <w:tcW w:w="1418" w:type="dxa"/>
            <w:vMerge w:val="restart"/>
            <w:tcMar>
              <w:top w:w="29" w:type="dxa"/>
              <w:left w:w="29" w:type="dxa"/>
              <w:bottom w:w="29" w:type="dxa"/>
              <w:right w:w="29" w:type="dxa"/>
            </w:tcMar>
            <w:vAlign w:val="center"/>
          </w:tcPr>
          <w:p w14:paraId="063EB2A7" w14:textId="232A1467" w:rsidR="00D04896" w:rsidRDefault="00D269B3" w:rsidP="004B5FD4">
            <w:pPr>
              <w:spacing w:before="80" w:after="80"/>
              <w:jc w:val="center"/>
              <w:rPr>
                <w:sz w:val="18"/>
                <w:szCs w:val="18"/>
              </w:rPr>
            </w:pPr>
            <w:r>
              <w:rPr>
                <w:sz w:val="18"/>
                <w:szCs w:val="18"/>
              </w:rPr>
              <w:t>La</w:t>
            </w:r>
            <w:r w:rsidR="00E850DB">
              <w:rPr>
                <w:sz w:val="18"/>
                <w:szCs w:val="18"/>
              </w:rPr>
              <w:t>c</w:t>
            </w:r>
            <w:r>
              <w:rPr>
                <w:sz w:val="18"/>
                <w:szCs w:val="18"/>
              </w:rPr>
              <w:t xml:space="preserve">k of data </w:t>
            </w:r>
          </w:p>
        </w:tc>
        <w:tc>
          <w:tcPr>
            <w:tcW w:w="2256" w:type="dxa"/>
            <w:vAlign w:val="center"/>
          </w:tcPr>
          <w:p w14:paraId="2E586F62" w14:textId="77F5F3DB" w:rsidR="00D04896" w:rsidRDefault="00D04896" w:rsidP="004B5FD4">
            <w:pPr>
              <w:spacing w:before="80" w:after="80"/>
              <w:jc w:val="center"/>
              <w:rPr>
                <w:sz w:val="18"/>
                <w:szCs w:val="18"/>
              </w:rPr>
            </w:pPr>
            <w:r>
              <w:rPr>
                <w:sz w:val="18"/>
                <w:szCs w:val="18"/>
              </w:rPr>
              <w:t>5</w:t>
            </w:r>
          </w:p>
        </w:tc>
        <w:tc>
          <w:tcPr>
            <w:tcW w:w="2045" w:type="dxa"/>
            <w:vAlign w:val="center"/>
          </w:tcPr>
          <w:p w14:paraId="11B5DDB8" w14:textId="31991431" w:rsidR="00D04896" w:rsidRDefault="00D04896" w:rsidP="004B5FD4">
            <w:pPr>
              <w:spacing w:before="80" w:after="80"/>
              <w:jc w:val="center"/>
              <w:rPr>
                <w:sz w:val="18"/>
                <w:szCs w:val="18"/>
              </w:rPr>
            </w:pPr>
            <w:r>
              <w:rPr>
                <w:sz w:val="18"/>
                <w:szCs w:val="18"/>
              </w:rPr>
              <w:t>3</w:t>
            </w:r>
          </w:p>
        </w:tc>
        <w:tc>
          <w:tcPr>
            <w:tcW w:w="2397" w:type="dxa"/>
            <w:vAlign w:val="center"/>
          </w:tcPr>
          <w:p w14:paraId="09078A87" w14:textId="0999C6D3" w:rsidR="00D04896" w:rsidRDefault="00D04896" w:rsidP="004B5FD4">
            <w:pPr>
              <w:spacing w:before="80" w:after="80"/>
              <w:jc w:val="center"/>
              <w:rPr>
                <w:sz w:val="18"/>
                <w:szCs w:val="18"/>
              </w:rPr>
            </w:pPr>
            <w:r>
              <w:rPr>
                <w:sz w:val="18"/>
                <w:szCs w:val="18"/>
              </w:rPr>
              <w:t>high</w:t>
            </w:r>
          </w:p>
        </w:tc>
        <w:tc>
          <w:tcPr>
            <w:tcW w:w="1980" w:type="dxa"/>
          </w:tcPr>
          <w:p w14:paraId="08A9C386" w14:textId="77777777" w:rsidR="00D04896" w:rsidRDefault="00D04896" w:rsidP="00A03F83">
            <w:pPr>
              <w:spacing w:before="80" w:after="80"/>
              <w:jc w:val="both"/>
              <w:rPr>
                <w:sz w:val="18"/>
                <w:szCs w:val="18"/>
              </w:rPr>
            </w:pPr>
            <w:r w:rsidRPr="00BB3182">
              <w:rPr>
                <w:sz w:val="18"/>
                <w:szCs w:val="18"/>
              </w:rPr>
              <w:t xml:space="preserve">1. Some of the biodiversity impact indicators derived from some of the proposed production and consumption activities cannot be estimated due to a lack of data. </w:t>
            </w:r>
          </w:p>
          <w:p w14:paraId="015A16BE" w14:textId="5A9394A0" w:rsidR="00D04896" w:rsidRDefault="00D04896" w:rsidP="00A03F83">
            <w:pPr>
              <w:spacing w:before="80" w:after="80"/>
              <w:jc w:val="both"/>
              <w:rPr>
                <w:sz w:val="18"/>
                <w:szCs w:val="18"/>
              </w:rPr>
            </w:pPr>
          </w:p>
        </w:tc>
        <w:tc>
          <w:tcPr>
            <w:tcW w:w="2697" w:type="dxa"/>
            <w:tcMar>
              <w:top w:w="29" w:type="dxa"/>
              <w:left w:w="29" w:type="dxa"/>
              <w:bottom w:w="29" w:type="dxa"/>
              <w:right w:w="29" w:type="dxa"/>
            </w:tcMar>
          </w:tcPr>
          <w:p w14:paraId="78272540" w14:textId="3FEBF52D" w:rsidR="00D04896" w:rsidRDefault="000469A6" w:rsidP="000469A6">
            <w:pPr>
              <w:spacing w:before="80" w:after="80"/>
              <w:jc w:val="both"/>
              <w:rPr>
                <w:sz w:val="18"/>
                <w:szCs w:val="18"/>
              </w:rPr>
            </w:pPr>
            <w:r w:rsidRPr="000469A6">
              <w:rPr>
                <w:sz w:val="18"/>
                <w:szCs w:val="18"/>
              </w:rPr>
              <w:t>1_If applicable, the roadmap will include recommendations for generating the data necessary for calculating the indicators.</w:t>
            </w:r>
          </w:p>
        </w:tc>
      </w:tr>
      <w:tr w:rsidR="00D04896" w14:paraId="5BCD74D5" w14:textId="77777777" w:rsidTr="00B43432">
        <w:trPr>
          <w:trHeight w:val="1400"/>
        </w:trPr>
        <w:tc>
          <w:tcPr>
            <w:tcW w:w="1377" w:type="dxa"/>
            <w:vMerge/>
            <w:vAlign w:val="center"/>
          </w:tcPr>
          <w:p w14:paraId="61CD1CD5" w14:textId="77777777" w:rsidR="00D04896" w:rsidRPr="00D12C6F" w:rsidRDefault="00D04896" w:rsidP="004B5FD4">
            <w:pPr>
              <w:spacing w:before="80" w:after="80"/>
              <w:jc w:val="center"/>
              <w:rPr>
                <w:sz w:val="18"/>
                <w:szCs w:val="18"/>
              </w:rPr>
            </w:pPr>
          </w:p>
        </w:tc>
        <w:tc>
          <w:tcPr>
            <w:tcW w:w="1418" w:type="dxa"/>
            <w:vMerge/>
            <w:tcMar>
              <w:top w:w="29" w:type="dxa"/>
              <w:left w:w="29" w:type="dxa"/>
              <w:bottom w:w="29" w:type="dxa"/>
              <w:right w:w="29" w:type="dxa"/>
            </w:tcMar>
            <w:vAlign w:val="center"/>
          </w:tcPr>
          <w:p w14:paraId="14D7FFD5" w14:textId="77777777" w:rsidR="00D04896" w:rsidRPr="00D12C6F" w:rsidRDefault="00D04896" w:rsidP="004B5FD4">
            <w:pPr>
              <w:spacing w:before="80" w:after="80"/>
              <w:jc w:val="center"/>
              <w:rPr>
                <w:sz w:val="18"/>
                <w:szCs w:val="18"/>
              </w:rPr>
            </w:pPr>
          </w:p>
        </w:tc>
        <w:tc>
          <w:tcPr>
            <w:tcW w:w="2256" w:type="dxa"/>
            <w:vAlign w:val="center"/>
          </w:tcPr>
          <w:p w14:paraId="3D7E49CC" w14:textId="59040BF0" w:rsidR="00D04896" w:rsidRDefault="00D13ED6" w:rsidP="004B5FD4">
            <w:pPr>
              <w:spacing w:before="80" w:after="80"/>
              <w:jc w:val="center"/>
              <w:rPr>
                <w:sz w:val="18"/>
                <w:szCs w:val="18"/>
              </w:rPr>
            </w:pPr>
            <w:r>
              <w:rPr>
                <w:sz w:val="18"/>
                <w:szCs w:val="18"/>
              </w:rPr>
              <w:t>2</w:t>
            </w:r>
          </w:p>
        </w:tc>
        <w:tc>
          <w:tcPr>
            <w:tcW w:w="2045" w:type="dxa"/>
            <w:vAlign w:val="center"/>
          </w:tcPr>
          <w:p w14:paraId="30E1F286" w14:textId="0B4ACB16" w:rsidR="00D04896" w:rsidRDefault="00D13ED6" w:rsidP="004B5FD4">
            <w:pPr>
              <w:spacing w:before="80" w:after="80"/>
              <w:jc w:val="center"/>
              <w:rPr>
                <w:sz w:val="18"/>
                <w:szCs w:val="18"/>
              </w:rPr>
            </w:pPr>
            <w:r>
              <w:rPr>
                <w:sz w:val="18"/>
                <w:szCs w:val="18"/>
              </w:rPr>
              <w:t>4</w:t>
            </w:r>
          </w:p>
        </w:tc>
        <w:tc>
          <w:tcPr>
            <w:tcW w:w="2397" w:type="dxa"/>
            <w:vAlign w:val="center"/>
          </w:tcPr>
          <w:p w14:paraId="6721C93B" w14:textId="7B735E9A" w:rsidR="00D04896" w:rsidRDefault="00D13ED6" w:rsidP="004B5FD4">
            <w:pPr>
              <w:spacing w:before="80" w:after="80"/>
              <w:jc w:val="center"/>
              <w:rPr>
                <w:sz w:val="18"/>
                <w:szCs w:val="18"/>
              </w:rPr>
            </w:pPr>
            <w:r>
              <w:rPr>
                <w:sz w:val="18"/>
                <w:szCs w:val="18"/>
              </w:rPr>
              <w:t>medium</w:t>
            </w:r>
          </w:p>
        </w:tc>
        <w:tc>
          <w:tcPr>
            <w:tcW w:w="1980" w:type="dxa"/>
          </w:tcPr>
          <w:p w14:paraId="1631D260" w14:textId="6AB9B615" w:rsidR="00D04896" w:rsidRPr="00BB3182" w:rsidRDefault="00D04896" w:rsidP="00A03F83">
            <w:pPr>
              <w:spacing w:before="80" w:after="80"/>
              <w:jc w:val="both"/>
              <w:rPr>
                <w:sz w:val="18"/>
                <w:szCs w:val="18"/>
              </w:rPr>
            </w:pPr>
            <w:r w:rsidRPr="00BB3182">
              <w:rPr>
                <w:sz w:val="18"/>
                <w:szCs w:val="18"/>
              </w:rPr>
              <w:t>2. The coordination and synergy between the two areas of work—sustainable consumption and the development of economic mechanisms and tools for conservation—will not continue after the project</w:t>
            </w:r>
          </w:p>
        </w:tc>
        <w:tc>
          <w:tcPr>
            <w:tcW w:w="2697" w:type="dxa"/>
            <w:tcMar>
              <w:top w:w="29" w:type="dxa"/>
              <w:left w:w="29" w:type="dxa"/>
              <w:bottom w:w="29" w:type="dxa"/>
              <w:right w:w="29" w:type="dxa"/>
            </w:tcMar>
          </w:tcPr>
          <w:p w14:paraId="10605C9C" w14:textId="2D641918" w:rsidR="00D04896" w:rsidRDefault="0047301D" w:rsidP="0047301D">
            <w:pPr>
              <w:spacing w:before="80" w:after="80"/>
              <w:jc w:val="both"/>
              <w:rPr>
                <w:sz w:val="18"/>
                <w:szCs w:val="18"/>
              </w:rPr>
            </w:pPr>
            <w:r w:rsidRPr="0047301D">
              <w:rPr>
                <w:sz w:val="18"/>
                <w:szCs w:val="18"/>
              </w:rPr>
              <w:t>2_The roadmap, as a final product, aims to generate continuity of efforts</w:t>
            </w:r>
          </w:p>
        </w:tc>
      </w:tr>
      <w:tr w:rsidR="00D04896" w14:paraId="6FF97A24" w14:textId="77777777" w:rsidTr="00B43432">
        <w:trPr>
          <w:trHeight w:val="1400"/>
        </w:trPr>
        <w:tc>
          <w:tcPr>
            <w:tcW w:w="1377" w:type="dxa"/>
            <w:vMerge/>
            <w:vAlign w:val="center"/>
          </w:tcPr>
          <w:p w14:paraId="7407F700" w14:textId="77777777" w:rsidR="00D04896" w:rsidRPr="00D12C6F" w:rsidRDefault="00D04896" w:rsidP="004B5FD4">
            <w:pPr>
              <w:spacing w:before="80" w:after="80"/>
              <w:jc w:val="center"/>
              <w:rPr>
                <w:sz w:val="18"/>
                <w:szCs w:val="18"/>
              </w:rPr>
            </w:pPr>
          </w:p>
        </w:tc>
        <w:tc>
          <w:tcPr>
            <w:tcW w:w="1418" w:type="dxa"/>
            <w:vMerge/>
            <w:tcMar>
              <w:top w:w="29" w:type="dxa"/>
              <w:left w:w="29" w:type="dxa"/>
              <w:bottom w:w="29" w:type="dxa"/>
              <w:right w:w="29" w:type="dxa"/>
            </w:tcMar>
            <w:vAlign w:val="center"/>
          </w:tcPr>
          <w:p w14:paraId="709BC338" w14:textId="77777777" w:rsidR="00D04896" w:rsidRPr="00D12C6F" w:rsidRDefault="00D04896" w:rsidP="004B5FD4">
            <w:pPr>
              <w:spacing w:before="80" w:after="80"/>
              <w:jc w:val="center"/>
              <w:rPr>
                <w:sz w:val="18"/>
                <w:szCs w:val="18"/>
              </w:rPr>
            </w:pPr>
          </w:p>
        </w:tc>
        <w:tc>
          <w:tcPr>
            <w:tcW w:w="2256" w:type="dxa"/>
            <w:vAlign w:val="center"/>
          </w:tcPr>
          <w:p w14:paraId="229D1DE0" w14:textId="3366E208" w:rsidR="00D04896" w:rsidRDefault="009E72FD" w:rsidP="004B5FD4">
            <w:pPr>
              <w:spacing w:before="80" w:after="80"/>
              <w:jc w:val="center"/>
              <w:rPr>
                <w:sz w:val="18"/>
                <w:szCs w:val="18"/>
              </w:rPr>
            </w:pPr>
            <w:r>
              <w:rPr>
                <w:sz w:val="18"/>
                <w:szCs w:val="18"/>
              </w:rPr>
              <w:t>2</w:t>
            </w:r>
          </w:p>
        </w:tc>
        <w:tc>
          <w:tcPr>
            <w:tcW w:w="2045" w:type="dxa"/>
            <w:vAlign w:val="center"/>
          </w:tcPr>
          <w:p w14:paraId="008FEED3" w14:textId="0CFA26C0" w:rsidR="00D04896" w:rsidRDefault="009E72FD" w:rsidP="004B5FD4">
            <w:pPr>
              <w:spacing w:before="80" w:after="80"/>
              <w:jc w:val="center"/>
              <w:rPr>
                <w:sz w:val="18"/>
                <w:szCs w:val="18"/>
              </w:rPr>
            </w:pPr>
            <w:r>
              <w:rPr>
                <w:sz w:val="18"/>
                <w:szCs w:val="18"/>
              </w:rPr>
              <w:t>4</w:t>
            </w:r>
          </w:p>
        </w:tc>
        <w:tc>
          <w:tcPr>
            <w:tcW w:w="2397" w:type="dxa"/>
            <w:vAlign w:val="center"/>
          </w:tcPr>
          <w:p w14:paraId="2CC9BCF7" w14:textId="0843512E" w:rsidR="00D04896" w:rsidRDefault="009E72FD" w:rsidP="004B5FD4">
            <w:pPr>
              <w:spacing w:before="80" w:after="80"/>
              <w:jc w:val="center"/>
              <w:rPr>
                <w:sz w:val="18"/>
                <w:szCs w:val="18"/>
              </w:rPr>
            </w:pPr>
            <w:r>
              <w:rPr>
                <w:sz w:val="18"/>
                <w:szCs w:val="18"/>
              </w:rPr>
              <w:t>medium</w:t>
            </w:r>
          </w:p>
        </w:tc>
        <w:tc>
          <w:tcPr>
            <w:tcW w:w="1980" w:type="dxa"/>
          </w:tcPr>
          <w:p w14:paraId="52631EEE" w14:textId="7FC61EDC" w:rsidR="00D04896" w:rsidRPr="00BB3182" w:rsidRDefault="002208A7" w:rsidP="00731BEC">
            <w:pPr>
              <w:spacing w:before="80" w:after="80"/>
              <w:jc w:val="both"/>
              <w:rPr>
                <w:sz w:val="18"/>
                <w:szCs w:val="18"/>
              </w:rPr>
            </w:pPr>
            <w:r w:rsidRPr="002208A7">
              <w:rPr>
                <w:sz w:val="18"/>
                <w:szCs w:val="18"/>
              </w:rPr>
              <w:t xml:space="preserve">3_The coordination and synergy between both areas of work, sustainable consumption and generation of economic mechanisms and tools for conservation, will not </w:t>
            </w:r>
            <w:r w:rsidRPr="002208A7">
              <w:rPr>
                <w:sz w:val="18"/>
                <w:szCs w:val="18"/>
              </w:rPr>
              <w:lastRenderedPageBreak/>
              <w:t>continue after the project.</w:t>
            </w:r>
          </w:p>
        </w:tc>
        <w:tc>
          <w:tcPr>
            <w:tcW w:w="2697" w:type="dxa"/>
            <w:tcMar>
              <w:top w:w="29" w:type="dxa"/>
              <w:left w:w="29" w:type="dxa"/>
              <w:bottom w:w="29" w:type="dxa"/>
              <w:right w:w="29" w:type="dxa"/>
            </w:tcMar>
          </w:tcPr>
          <w:p w14:paraId="3FA67594" w14:textId="509255E6" w:rsidR="00D04896" w:rsidRDefault="00731BEC" w:rsidP="00731BEC">
            <w:pPr>
              <w:spacing w:before="80" w:after="80"/>
              <w:jc w:val="both"/>
              <w:rPr>
                <w:sz w:val="18"/>
                <w:szCs w:val="18"/>
              </w:rPr>
            </w:pPr>
            <w:r w:rsidRPr="00731BEC">
              <w:rPr>
                <w:sz w:val="18"/>
                <w:szCs w:val="18"/>
              </w:rPr>
              <w:lastRenderedPageBreak/>
              <w:t>3_The roadmap, as a final product, aims to generate recommendations to maintain coordination and synergies</w:t>
            </w:r>
          </w:p>
        </w:tc>
      </w:tr>
    </w:tbl>
    <w:p w14:paraId="2F9F2B49" w14:textId="77777777" w:rsidR="00D74B74" w:rsidRDefault="00D74B74" w:rsidP="00676C12"/>
    <w:p w14:paraId="723430FA" w14:textId="77777777" w:rsidR="00570CA7" w:rsidRPr="00570CA7" w:rsidRDefault="00570CA7" w:rsidP="00570CA7"/>
    <w:p w14:paraId="7A20BDD3" w14:textId="77777777" w:rsidR="00570CA7" w:rsidRDefault="00570CA7" w:rsidP="00570CA7"/>
    <w:p w14:paraId="3543AB1B" w14:textId="7117F5D3" w:rsidR="00570CA7" w:rsidRPr="00570CA7" w:rsidRDefault="00570CA7" w:rsidP="00570CA7">
      <w:pPr>
        <w:tabs>
          <w:tab w:val="left" w:pos="3500"/>
        </w:tabs>
        <w:sectPr w:rsidR="00570CA7" w:rsidRPr="00570CA7" w:rsidSect="00676C12">
          <w:headerReference w:type="default" r:id="rId13"/>
          <w:pgSz w:w="16838" w:h="11906" w:orient="landscape"/>
          <w:pgMar w:top="1440" w:right="1440" w:bottom="1440" w:left="1440" w:header="708" w:footer="708" w:gutter="0"/>
          <w:cols w:space="708"/>
          <w:docGrid w:linePitch="360"/>
        </w:sectPr>
      </w:pPr>
      <w:r>
        <w:tab/>
      </w:r>
    </w:p>
    <w:p w14:paraId="66594FDA" w14:textId="77777777" w:rsidR="001A4962" w:rsidRPr="000C78DF" w:rsidRDefault="001A4962" w:rsidP="001A4962">
      <w:pPr>
        <w:rPr>
          <w:b/>
          <w:bCs/>
        </w:rPr>
      </w:pPr>
      <w:r w:rsidRPr="000C78DF">
        <w:rPr>
          <w:b/>
          <w:bCs/>
        </w:rPr>
        <w:lastRenderedPageBreak/>
        <w:t>2025-2026 BUDGET REPORT</w:t>
      </w:r>
    </w:p>
    <w:p w14:paraId="0B595CD4" w14:textId="77777777" w:rsidR="001A4962" w:rsidRDefault="001A4962" w:rsidP="001A4962">
      <w:pPr>
        <w:jc w:val="center"/>
      </w:pP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2"/>
        <w:gridCol w:w="1476"/>
        <w:gridCol w:w="1477"/>
        <w:gridCol w:w="1275"/>
      </w:tblGrid>
      <w:tr w:rsidR="001A4962" w:rsidRPr="00A80C8F" w14:paraId="1A044942" w14:textId="77777777" w:rsidTr="00BD32D3">
        <w:trPr>
          <w:trHeight w:val="300"/>
        </w:trPr>
        <w:tc>
          <w:tcPr>
            <w:tcW w:w="5000" w:type="pct"/>
            <w:gridSpan w:val="4"/>
            <w:shd w:val="clear" w:color="000000" w:fill="16A086"/>
            <w:vAlign w:val="center"/>
            <w:hideMark/>
          </w:tcPr>
          <w:p w14:paraId="7E4AE370" w14:textId="77777777" w:rsidR="001A4962" w:rsidRPr="00A80C8F" w:rsidRDefault="001A4962" w:rsidP="00BD32D3">
            <w:pPr>
              <w:jc w:val="center"/>
              <w:rPr>
                <w:rFonts w:asciiTheme="minorHAnsi" w:eastAsia="Times New Roman" w:hAnsiTheme="minorHAnsi" w:cs="Times New Roman"/>
                <w:b/>
                <w:bCs/>
                <w:color w:val="FFFFFF"/>
                <w:sz w:val="18"/>
                <w:szCs w:val="18"/>
                <w:lang w:eastAsia="es-CL"/>
              </w:rPr>
            </w:pPr>
          </w:p>
        </w:tc>
      </w:tr>
      <w:tr w:rsidR="001A4962" w:rsidRPr="00A80C8F" w14:paraId="3D1D3663" w14:textId="77777777" w:rsidTr="00BD32D3">
        <w:trPr>
          <w:trHeight w:val="549"/>
        </w:trPr>
        <w:tc>
          <w:tcPr>
            <w:tcW w:w="2556" w:type="pct"/>
            <w:shd w:val="clear" w:color="000000" w:fill="DCEAF7"/>
            <w:vAlign w:val="center"/>
          </w:tcPr>
          <w:p w14:paraId="317B2F56" w14:textId="77777777" w:rsidR="001A4962" w:rsidRPr="00A80C8F" w:rsidRDefault="001A4962" w:rsidP="00BD32D3">
            <w:pPr>
              <w:rPr>
                <w:rFonts w:asciiTheme="minorHAnsi" w:eastAsia="Times New Roman" w:hAnsiTheme="minorHAnsi" w:cs="Times New Roman"/>
                <w:b/>
                <w:bCs/>
                <w:color w:val="000000"/>
                <w:sz w:val="18"/>
                <w:szCs w:val="18"/>
                <w:lang w:eastAsia="es-CL"/>
              </w:rPr>
            </w:pPr>
          </w:p>
        </w:tc>
        <w:tc>
          <w:tcPr>
            <w:tcW w:w="853" w:type="pct"/>
            <w:shd w:val="clear" w:color="000000" w:fill="DCEAF7"/>
            <w:vAlign w:val="center"/>
          </w:tcPr>
          <w:p w14:paraId="5DD3BF39" w14:textId="77777777" w:rsidR="001A4962" w:rsidRPr="00A80C8F" w:rsidRDefault="001A4962" w:rsidP="00BD32D3">
            <w:pPr>
              <w:jc w:val="center"/>
              <w:rPr>
                <w:rFonts w:asciiTheme="minorHAnsi" w:eastAsia="Times New Roman" w:hAnsiTheme="minorHAnsi" w:cs="Times New Roman"/>
                <w:b/>
                <w:bCs/>
                <w:sz w:val="18"/>
                <w:szCs w:val="18"/>
                <w:lang w:eastAsia="es-CL"/>
              </w:rPr>
            </w:pPr>
            <w:r w:rsidRPr="00A80C8F">
              <w:rPr>
                <w:rFonts w:asciiTheme="minorHAnsi" w:eastAsia="Times New Roman" w:hAnsiTheme="minorHAnsi" w:cs="Times New Roman"/>
                <w:b/>
                <w:bCs/>
                <w:sz w:val="18"/>
                <w:szCs w:val="18"/>
                <w:lang w:eastAsia="es-CL"/>
              </w:rPr>
              <w:t>2025 (USD$)</w:t>
            </w:r>
          </w:p>
        </w:tc>
        <w:tc>
          <w:tcPr>
            <w:tcW w:w="854" w:type="pct"/>
            <w:shd w:val="clear" w:color="auto" w:fill="DAE9F7" w:themeFill="text2" w:themeFillTint="1A"/>
            <w:vAlign w:val="center"/>
          </w:tcPr>
          <w:p w14:paraId="1F5BC467" w14:textId="77777777" w:rsidR="001A4962" w:rsidRPr="00A80C8F" w:rsidRDefault="001A4962" w:rsidP="00BD32D3">
            <w:pPr>
              <w:jc w:val="center"/>
              <w:rPr>
                <w:rFonts w:asciiTheme="minorHAnsi" w:eastAsia="Times New Roman" w:hAnsiTheme="minorHAnsi" w:cs="Times New Roman"/>
                <w:b/>
                <w:bCs/>
                <w:sz w:val="18"/>
                <w:szCs w:val="18"/>
                <w:lang w:eastAsia="es-CL"/>
              </w:rPr>
            </w:pPr>
            <w:r w:rsidRPr="00A80C8F">
              <w:rPr>
                <w:rFonts w:asciiTheme="minorHAnsi" w:eastAsia="Times New Roman" w:hAnsiTheme="minorHAnsi" w:cs="Times New Roman"/>
                <w:b/>
                <w:bCs/>
                <w:sz w:val="18"/>
                <w:szCs w:val="18"/>
                <w:lang w:eastAsia="es-CL"/>
              </w:rPr>
              <w:t>2026 (USD$)</w:t>
            </w:r>
          </w:p>
        </w:tc>
        <w:tc>
          <w:tcPr>
            <w:tcW w:w="738" w:type="pct"/>
            <w:shd w:val="clear" w:color="auto" w:fill="DAE9F7" w:themeFill="text2" w:themeFillTint="1A"/>
            <w:vAlign w:val="center"/>
          </w:tcPr>
          <w:p w14:paraId="1E8A5CF7" w14:textId="77777777" w:rsidR="001A4962" w:rsidRPr="00A80C8F" w:rsidRDefault="001A4962" w:rsidP="00BD32D3">
            <w:pPr>
              <w:jc w:val="center"/>
              <w:rPr>
                <w:rFonts w:asciiTheme="minorHAnsi" w:eastAsia="Times New Roman" w:hAnsiTheme="minorHAnsi" w:cs="Times New Roman"/>
                <w:b/>
                <w:bCs/>
                <w:sz w:val="18"/>
                <w:szCs w:val="18"/>
                <w:lang w:eastAsia="es-CL"/>
              </w:rPr>
            </w:pPr>
            <w:r w:rsidRPr="00A80C8F">
              <w:rPr>
                <w:rFonts w:asciiTheme="minorHAnsi" w:eastAsia="Times New Roman" w:hAnsiTheme="minorHAnsi" w:cs="Times New Roman"/>
                <w:b/>
                <w:bCs/>
                <w:sz w:val="18"/>
                <w:szCs w:val="18"/>
                <w:lang w:eastAsia="es-CL"/>
              </w:rPr>
              <w:t>TOTAL</w:t>
            </w:r>
          </w:p>
        </w:tc>
      </w:tr>
      <w:tr w:rsidR="001A4962" w:rsidRPr="00F97D37" w14:paraId="68A8367F" w14:textId="77777777" w:rsidTr="00BD32D3">
        <w:trPr>
          <w:trHeight w:val="549"/>
        </w:trPr>
        <w:tc>
          <w:tcPr>
            <w:tcW w:w="5000" w:type="pct"/>
            <w:gridSpan w:val="4"/>
            <w:shd w:val="clear" w:color="000000" w:fill="DCEAF7"/>
            <w:vAlign w:val="center"/>
          </w:tcPr>
          <w:p w14:paraId="24BC58D2" w14:textId="77777777" w:rsidR="001A4962" w:rsidRPr="00A80C8F" w:rsidRDefault="001A4962" w:rsidP="00BD32D3">
            <w:pP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PRODUCTO 1:</w:t>
            </w:r>
            <w:r w:rsidRPr="00A80C8F">
              <w:rPr>
                <w:rFonts w:asciiTheme="minorHAnsi" w:eastAsia="DengXian" w:hAnsiTheme="minorHAnsi" w:cs="Times New Roman"/>
                <w:b/>
                <w:bCs/>
                <w:color w:val="000000"/>
                <w:sz w:val="18"/>
                <w:szCs w:val="18"/>
                <w:lang w:eastAsia="es-CL"/>
              </w:rPr>
              <w:t xml:space="preserve"> </w:t>
            </w:r>
            <w:r w:rsidRPr="00A80C8F">
              <w:rPr>
                <w:rFonts w:asciiTheme="minorHAnsi" w:eastAsia="Times New Roman" w:hAnsiTheme="minorHAnsi" w:cs="Times New Roman"/>
                <w:b/>
                <w:bCs/>
                <w:color w:val="000000"/>
                <w:sz w:val="18"/>
                <w:szCs w:val="18"/>
                <w:lang w:eastAsia="es-CL"/>
              </w:rPr>
              <w:t>Strategy for gathering information and raising awareness about responsible production and consumption guidelines.</w:t>
            </w:r>
          </w:p>
        </w:tc>
      </w:tr>
      <w:tr w:rsidR="001A4962" w:rsidRPr="00A80C8F" w14:paraId="66137743" w14:textId="77777777" w:rsidTr="00BD32D3">
        <w:trPr>
          <w:trHeight w:val="530"/>
        </w:trPr>
        <w:tc>
          <w:tcPr>
            <w:tcW w:w="2556" w:type="pct"/>
            <w:vAlign w:val="center"/>
            <w:hideMark/>
          </w:tcPr>
          <w:p w14:paraId="183F878C"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1.1: Development of studies to characterize unsustainable consumption and production patterns</w:t>
            </w:r>
          </w:p>
        </w:tc>
        <w:tc>
          <w:tcPr>
            <w:tcW w:w="853" w:type="pct"/>
            <w:vAlign w:val="center"/>
            <w:hideMark/>
          </w:tcPr>
          <w:p w14:paraId="583FBE6E"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3.812,0</w:t>
            </w:r>
          </w:p>
        </w:tc>
        <w:tc>
          <w:tcPr>
            <w:tcW w:w="854" w:type="pct"/>
            <w:vAlign w:val="center"/>
          </w:tcPr>
          <w:p w14:paraId="2079611F"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xml:space="preserve">$    </w:t>
            </w:r>
            <w:r>
              <w:rPr>
                <w:rFonts w:asciiTheme="minorHAnsi" w:hAnsiTheme="minorHAnsi"/>
                <w:color w:val="000000"/>
                <w:sz w:val="18"/>
                <w:szCs w:val="18"/>
              </w:rPr>
              <w:t>24.943,7</w:t>
            </w:r>
          </w:p>
        </w:tc>
        <w:tc>
          <w:tcPr>
            <w:tcW w:w="738" w:type="pct"/>
            <w:vAlign w:val="center"/>
          </w:tcPr>
          <w:p w14:paraId="6B8FAFF6" w14:textId="77777777" w:rsidR="001A4962" w:rsidRPr="00A80C8F" w:rsidRDefault="001A4962" w:rsidP="00BD32D3">
            <w:pPr>
              <w:jc w:val="center"/>
              <w:rPr>
                <w:rFonts w:asciiTheme="minorHAnsi" w:hAnsiTheme="minorHAnsi"/>
                <w:color w:val="000000"/>
                <w:sz w:val="18"/>
                <w:szCs w:val="18"/>
              </w:rPr>
            </w:pPr>
          </w:p>
          <w:p w14:paraId="025E5812"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28.</w:t>
            </w:r>
            <w:r>
              <w:rPr>
                <w:rFonts w:asciiTheme="minorHAnsi" w:hAnsiTheme="minorHAnsi"/>
                <w:color w:val="000000"/>
                <w:sz w:val="18"/>
                <w:szCs w:val="18"/>
              </w:rPr>
              <w:t>755</w:t>
            </w:r>
            <w:r w:rsidRPr="00A80C8F">
              <w:rPr>
                <w:rFonts w:asciiTheme="minorHAnsi" w:hAnsiTheme="minorHAnsi"/>
                <w:color w:val="000000"/>
                <w:sz w:val="18"/>
                <w:szCs w:val="18"/>
              </w:rPr>
              <w:t>,</w:t>
            </w:r>
            <w:r>
              <w:rPr>
                <w:rFonts w:asciiTheme="minorHAnsi" w:hAnsiTheme="minorHAnsi"/>
                <w:color w:val="000000"/>
                <w:sz w:val="18"/>
                <w:szCs w:val="18"/>
              </w:rPr>
              <w:t>7</w:t>
            </w:r>
          </w:p>
          <w:p w14:paraId="78656CFF" w14:textId="77777777" w:rsidR="001A4962" w:rsidRPr="00A80C8F" w:rsidRDefault="001A4962" w:rsidP="00BD32D3">
            <w:pPr>
              <w:jc w:val="center"/>
              <w:rPr>
                <w:rFonts w:asciiTheme="minorHAnsi" w:hAnsiTheme="minorHAnsi"/>
                <w:color w:val="000000"/>
                <w:sz w:val="18"/>
                <w:szCs w:val="18"/>
              </w:rPr>
            </w:pPr>
          </w:p>
        </w:tc>
      </w:tr>
      <w:tr w:rsidR="001A4962" w:rsidRPr="00A80C8F" w14:paraId="6B2F6806" w14:textId="77777777" w:rsidTr="00BD32D3">
        <w:trPr>
          <w:trHeight w:val="530"/>
        </w:trPr>
        <w:tc>
          <w:tcPr>
            <w:tcW w:w="2556" w:type="pct"/>
            <w:vAlign w:val="center"/>
            <w:hideMark/>
          </w:tcPr>
          <w:p w14:paraId="13D3233A"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1.2: Workshop on unsustainable consumption and production patterns</w:t>
            </w:r>
          </w:p>
        </w:tc>
        <w:tc>
          <w:tcPr>
            <w:tcW w:w="853" w:type="pct"/>
            <w:vAlign w:val="center"/>
          </w:tcPr>
          <w:p w14:paraId="25FB3267"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473,7</w:t>
            </w:r>
          </w:p>
          <w:p w14:paraId="30C95417" w14:textId="77777777" w:rsidR="001A4962" w:rsidRPr="00A80C8F" w:rsidRDefault="001A4962" w:rsidP="00BD32D3">
            <w:pPr>
              <w:jc w:val="center"/>
              <w:rPr>
                <w:rFonts w:asciiTheme="minorHAnsi" w:hAnsiTheme="minorHAnsi"/>
                <w:color w:val="000000"/>
                <w:sz w:val="18"/>
                <w:szCs w:val="18"/>
              </w:rPr>
            </w:pPr>
          </w:p>
        </w:tc>
        <w:tc>
          <w:tcPr>
            <w:tcW w:w="854" w:type="pct"/>
          </w:tcPr>
          <w:p w14:paraId="36ABB273"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17,1</w:t>
            </w:r>
          </w:p>
          <w:p w14:paraId="73E9B32D" w14:textId="77777777" w:rsidR="001A4962" w:rsidRPr="00A80C8F" w:rsidRDefault="001A4962" w:rsidP="00BD32D3">
            <w:pPr>
              <w:jc w:val="center"/>
              <w:rPr>
                <w:rFonts w:asciiTheme="minorHAnsi" w:hAnsiTheme="minorHAnsi"/>
                <w:color w:val="000000"/>
                <w:sz w:val="18"/>
                <w:szCs w:val="18"/>
              </w:rPr>
            </w:pPr>
          </w:p>
        </w:tc>
        <w:tc>
          <w:tcPr>
            <w:tcW w:w="738" w:type="pct"/>
          </w:tcPr>
          <w:p w14:paraId="678BB789"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490,8</w:t>
            </w:r>
          </w:p>
          <w:p w14:paraId="760CFC13" w14:textId="77777777" w:rsidR="001A4962" w:rsidRPr="00A80C8F" w:rsidRDefault="001A4962" w:rsidP="00BD32D3">
            <w:pPr>
              <w:jc w:val="center"/>
              <w:rPr>
                <w:rFonts w:asciiTheme="minorHAnsi" w:hAnsiTheme="minorHAnsi"/>
                <w:color w:val="000000"/>
                <w:sz w:val="18"/>
                <w:szCs w:val="18"/>
              </w:rPr>
            </w:pPr>
          </w:p>
        </w:tc>
      </w:tr>
      <w:tr w:rsidR="001A4962" w:rsidRPr="00A80C8F" w14:paraId="0A328EBA" w14:textId="77777777" w:rsidTr="00BD32D3">
        <w:trPr>
          <w:trHeight w:val="520"/>
        </w:trPr>
        <w:tc>
          <w:tcPr>
            <w:tcW w:w="2556" w:type="pct"/>
            <w:vAlign w:val="center"/>
            <w:hideMark/>
          </w:tcPr>
          <w:p w14:paraId="14B6A997"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1.3: Design, launch, and evaluation of the awareness campaign and the regional platform:</w:t>
            </w:r>
          </w:p>
        </w:tc>
        <w:tc>
          <w:tcPr>
            <w:tcW w:w="853" w:type="pct"/>
            <w:vAlign w:val="center"/>
            <w:hideMark/>
          </w:tcPr>
          <w:p w14:paraId="3E94BFA0"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84,2</w:t>
            </w:r>
          </w:p>
          <w:p w14:paraId="6B8838AF" w14:textId="77777777" w:rsidR="001A4962" w:rsidRPr="00A80C8F" w:rsidRDefault="001A4962" w:rsidP="00BD32D3">
            <w:pPr>
              <w:jc w:val="center"/>
              <w:rPr>
                <w:rFonts w:asciiTheme="minorHAnsi" w:hAnsiTheme="minorHAnsi"/>
                <w:color w:val="000000"/>
                <w:sz w:val="18"/>
                <w:szCs w:val="18"/>
              </w:rPr>
            </w:pPr>
          </w:p>
        </w:tc>
        <w:tc>
          <w:tcPr>
            <w:tcW w:w="854" w:type="pct"/>
          </w:tcPr>
          <w:p w14:paraId="63F3906D"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xml:space="preserve">$    </w:t>
            </w:r>
            <w:r w:rsidRPr="001F570D">
              <w:rPr>
                <w:rFonts w:asciiTheme="minorHAnsi" w:hAnsiTheme="minorHAnsi"/>
                <w:color w:val="000000"/>
                <w:sz w:val="18"/>
                <w:szCs w:val="18"/>
              </w:rPr>
              <w:t>39.006,1</w:t>
            </w:r>
          </w:p>
          <w:p w14:paraId="11F8935F" w14:textId="77777777" w:rsidR="001A4962" w:rsidRPr="00A80C8F" w:rsidRDefault="001A4962" w:rsidP="00BD32D3">
            <w:pPr>
              <w:jc w:val="center"/>
              <w:rPr>
                <w:rFonts w:asciiTheme="minorHAnsi" w:hAnsiTheme="minorHAnsi"/>
                <w:color w:val="000000"/>
                <w:sz w:val="18"/>
                <w:szCs w:val="18"/>
              </w:rPr>
            </w:pPr>
          </w:p>
        </w:tc>
        <w:tc>
          <w:tcPr>
            <w:tcW w:w="738" w:type="pct"/>
          </w:tcPr>
          <w:p w14:paraId="083A5AF6"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39.0</w:t>
            </w:r>
            <w:r>
              <w:rPr>
                <w:rFonts w:asciiTheme="minorHAnsi" w:hAnsiTheme="minorHAnsi"/>
                <w:color w:val="000000"/>
                <w:sz w:val="18"/>
                <w:szCs w:val="18"/>
              </w:rPr>
              <w:t>88</w:t>
            </w:r>
            <w:r w:rsidRPr="00A80C8F">
              <w:rPr>
                <w:rFonts w:asciiTheme="minorHAnsi" w:hAnsiTheme="minorHAnsi"/>
                <w:color w:val="000000"/>
                <w:sz w:val="18"/>
                <w:szCs w:val="18"/>
              </w:rPr>
              <w:t>,</w:t>
            </w:r>
            <w:r>
              <w:rPr>
                <w:rFonts w:asciiTheme="minorHAnsi" w:hAnsiTheme="minorHAnsi"/>
                <w:color w:val="000000"/>
                <w:sz w:val="18"/>
                <w:szCs w:val="18"/>
              </w:rPr>
              <w:t>3</w:t>
            </w:r>
            <w:r w:rsidRPr="00A80C8F">
              <w:rPr>
                <w:rFonts w:asciiTheme="minorHAnsi" w:hAnsiTheme="minorHAnsi"/>
                <w:color w:val="000000"/>
                <w:sz w:val="18"/>
                <w:szCs w:val="18"/>
              </w:rPr>
              <w:t xml:space="preserve"> </w:t>
            </w:r>
          </w:p>
          <w:p w14:paraId="41C052BA" w14:textId="77777777" w:rsidR="001A4962" w:rsidRPr="00A80C8F" w:rsidRDefault="001A4962" w:rsidP="00BD32D3">
            <w:pPr>
              <w:jc w:val="center"/>
              <w:rPr>
                <w:rFonts w:asciiTheme="minorHAnsi" w:hAnsiTheme="minorHAnsi"/>
                <w:color w:val="000000"/>
                <w:sz w:val="18"/>
                <w:szCs w:val="18"/>
              </w:rPr>
            </w:pPr>
          </w:p>
        </w:tc>
      </w:tr>
      <w:tr w:rsidR="001A4962" w:rsidRPr="00A80C8F" w14:paraId="15503016" w14:textId="77777777" w:rsidTr="00BD32D3">
        <w:trPr>
          <w:trHeight w:val="300"/>
        </w:trPr>
        <w:tc>
          <w:tcPr>
            <w:tcW w:w="2556" w:type="pct"/>
            <w:vAlign w:val="center"/>
            <w:hideMark/>
          </w:tcPr>
          <w:p w14:paraId="509A314A"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Fees</w:t>
            </w:r>
          </w:p>
        </w:tc>
        <w:tc>
          <w:tcPr>
            <w:tcW w:w="853" w:type="pct"/>
            <w:vAlign w:val="center"/>
          </w:tcPr>
          <w:p w14:paraId="4661B4CE"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6.295,7</w:t>
            </w:r>
          </w:p>
        </w:tc>
        <w:tc>
          <w:tcPr>
            <w:tcW w:w="854" w:type="pct"/>
          </w:tcPr>
          <w:p w14:paraId="2D622345"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8.7</w:t>
            </w:r>
            <w:r>
              <w:rPr>
                <w:rFonts w:asciiTheme="minorHAnsi" w:hAnsiTheme="minorHAnsi"/>
                <w:color w:val="000000"/>
                <w:sz w:val="18"/>
                <w:szCs w:val="18"/>
              </w:rPr>
              <w:t>35</w:t>
            </w:r>
            <w:r w:rsidRPr="00A80C8F">
              <w:rPr>
                <w:rFonts w:asciiTheme="minorHAnsi" w:hAnsiTheme="minorHAnsi"/>
                <w:color w:val="000000"/>
                <w:sz w:val="18"/>
                <w:szCs w:val="18"/>
              </w:rPr>
              <w:t>,</w:t>
            </w:r>
            <w:r>
              <w:rPr>
                <w:rFonts w:asciiTheme="minorHAnsi" w:hAnsiTheme="minorHAnsi"/>
                <w:color w:val="000000"/>
                <w:sz w:val="18"/>
                <w:szCs w:val="18"/>
              </w:rPr>
              <w:t>1</w:t>
            </w:r>
          </w:p>
        </w:tc>
        <w:tc>
          <w:tcPr>
            <w:tcW w:w="738" w:type="pct"/>
          </w:tcPr>
          <w:p w14:paraId="28EFDF24"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15.0</w:t>
            </w:r>
            <w:r>
              <w:rPr>
                <w:rFonts w:asciiTheme="minorHAnsi" w:hAnsiTheme="minorHAnsi"/>
                <w:color w:val="000000"/>
                <w:sz w:val="18"/>
                <w:szCs w:val="18"/>
              </w:rPr>
              <w:t>030,8</w:t>
            </w:r>
          </w:p>
        </w:tc>
      </w:tr>
      <w:tr w:rsidR="001A4962" w:rsidRPr="00A80C8F" w14:paraId="32B95BD5" w14:textId="77777777" w:rsidTr="00BD32D3">
        <w:trPr>
          <w:trHeight w:val="300"/>
        </w:trPr>
        <w:tc>
          <w:tcPr>
            <w:tcW w:w="2556" w:type="pct"/>
            <w:vAlign w:val="center"/>
            <w:hideMark/>
          </w:tcPr>
          <w:p w14:paraId="405184D3" w14:textId="77777777" w:rsidR="001A4962" w:rsidRPr="00A80C8F" w:rsidRDefault="001A4962" w:rsidP="00BD32D3">
            <w:pPr>
              <w:jc w:val="cente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TOTAL, PRODUCT 1</w:t>
            </w:r>
          </w:p>
        </w:tc>
        <w:tc>
          <w:tcPr>
            <w:tcW w:w="853" w:type="pct"/>
            <w:vAlign w:val="bottom"/>
          </w:tcPr>
          <w:p w14:paraId="12615B69"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10.665,6</w:t>
            </w:r>
          </w:p>
        </w:tc>
        <w:tc>
          <w:tcPr>
            <w:tcW w:w="854" w:type="pct"/>
            <w:vAlign w:val="center"/>
          </w:tcPr>
          <w:p w14:paraId="3BFC8CEF"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7</w:t>
            </w:r>
            <w:r>
              <w:rPr>
                <w:rFonts w:asciiTheme="minorHAnsi" w:hAnsiTheme="minorHAnsi"/>
                <w:color w:val="000000"/>
                <w:sz w:val="18"/>
                <w:szCs w:val="18"/>
              </w:rPr>
              <w:t>2</w:t>
            </w:r>
            <w:r w:rsidRPr="00A80C8F">
              <w:rPr>
                <w:rFonts w:asciiTheme="minorHAnsi" w:hAnsiTheme="minorHAnsi"/>
                <w:color w:val="000000"/>
                <w:sz w:val="18"/>
                <w:szCs w:val="18"/>
              </w:rPr>
              <w:t>.</w:t>
            </w:r>
            <w:r>
              <w:rPr>
                <w:rFonts w:asciiTheme="minorHAnsi" w:hAnsiTheme="minorHAnsi"/>
                <w:color w:val="000000"/>
                <w:sz w:val="18"/>
                <w:szCs w:val="18"/>
              </w:rPr>
              <w:t>702,2</w:t>
            </w:r>
            <w:r w:rsidRPr="00A80C8F">
              <w:rPr>
                <w:rFonts w:asciiTheme="minorHAnsi" w:hAnsiTheme="minorHAnsi"/>
                <w:color w:val="000000"/>
                <w:sz w:val="18"/>
                <w:szCs w:val="18"/>
              </w:rPr>
              <w:t>,4</w:t>
            </w:r>
          </w:p>
        </w:tc>
        <w:tc>
          <w:tcPr>
            <w:tcW w:w="738" w:type="pct"/>
          </w:tcPr>
          <w:p w14:paraId="62B772BB" w14:textId="77777777" w:rsidR="001A4962" w:rsidRPr="00A80C8F" w:rsidRDefault="001A4962" w:rsidP="00BD32D3">
            <w:pPr>
              <w:jc w:val="center"/>
              <w:rPr>
                <w:rFonts w:asciiTheme="minorHAnsi" w:hAnsiTheme="minorHAnsi"/>
                <w:color w:val="000000"/>
                <w:sz w:val="18"/>
                <w:szCs w:val="18"/>
              </w:rPr>
            </w:pPr>
            <w:r w:rsidRPr="00A80C8F">
              <w:rPr>
                <w:rFonts w:asciiTheme="minorHAnsi" w:hAnsiTheme="minorHAnsi"/>
                <w:color w:val="000000"/>
                <w:sz w:val="18"/>
                <w:szCs w:val="18"/>
              </w:rPr>
              <w:t>$    83.36</w:t>
            </w:r>
            <w:r>
              <w:rPr>
                <w:rFonts w:asciiTheme="minorHAnsi" w:hAnsiTheme="minorHAnsi"/>
                <w:color w:val="000000"/>
                <w:sz w:val="18"/>
                <w:szCs w:val="18"/>
              </w:rPr>
              <w:t>7</w:t>
            </w:r>
            <w:r w:rsidRPr="00A80C8F">
              <w:rPr>
                <w:rFonts w:asciiTheme="minorHAnsi" w:hAnsiTheme="minorHAnsi"/>
                <w:color w:val="000000"/>
                <w:sz w:val="18"/>
                <w:szCs w:val="18"/>
              </w:rPr>
              <w:t xml:space="preserve">,7 </w:t>
            </w:r>
          </w:p>
        </w:tc>
      </w:tr>
      <w:tr w:rsidR="001A4962" w:rsidRPr="00F97D37" w14:paraId="2DCA56FC" w14:textId="77777777" w:rsidTr="00BD32D3">
        <w:trPr>
          <w:trHeight w:val="301"/>
        </w:trPr>
        <w:tc>
          <w:tcPr>
            <w:tcW w:w="5000" w:type="pct"/>
            <w:gridSpan w:val="4"/>
            <w:shd w:val="clear" w:color="000000" w:fill="DCEAF7"/>
            <w:vAlign w:val="center"/>
            <w:hideMark/>
          </w:tcPr>
          <w:p w14:paraId="0C04C370" w14:textId="77777777" w:rsidR="001A4962" w:rsidRPr="00A80C8F" w:rsidRDefault="001A4962" w:rsidP="00BD32D3">
            <w:pP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PRODUCTO 2:</w:t>
            </w:r>
            <w:r w:rsidRPr="00A80C8F">
              <w:rPr>
                <w:rFonts w:asciiTheme="minorHAnsi" w:eastAsia="Times New Roman" w:hAnsiTheme="minorHAnsi" w:cs="Times New Roman"/>
                <w:color w:val="3C4043"/>
                <w:sz w:val="18"/>
                <w:szCs w:val="18"/>
                <w:lang w:eastAsia="es-CL"/>
              </w:rPr>
              <w:t xml:space="preserve"> </w:t>
            </w:r>
            <w:r w:rsidRPr="00A80C8F">
              <w:rPr>
                <w:rFonts w:asciiTheme="minorHAnsi" w:eastAsia="Times New Roman" w:hAnsiTheme="minorHAnsi" w:cs="Times New Roman"/>
                <w:b/>
                <w:bCs/>
                <w:color w:val="000000"/>
                <w:sz w:val="18"/>
                <w:szCs w:val="18"/>
                <w:lang w:eastAsia="es-CL"/>
              </w:rPr>
              <w:t>Strategic roadmap for the design of economic instruments for the conservation of biodiversity agreed between the parties.</w:t>
            </w:r>
          </w:p>
        </w:tc>
      </w:tr>
      <w:tr w:rsidR="001A4962" w:rsidRPr="00A80C8F" w14:paraId="3FE5232C" w14:textId="77777777" w:rsidTr="00BD32D3">
        <w:trPr>
          <w:trHeight w:val="790"/>
        </w:trPr>
        <w:tc>
          <w:tcPr>
            <w:tcW w:w="2556" w:type="pct"/>
            <w:vAlign w:val="center"/>
            <w:hideMark/>
          </w:tcPr>
          <w:p w14:paraId="4677DD55"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xml:space="preserve">Activity 2.1: Workshop on economic instruments to promote biodiversity conservation and responsible production practices </w:t>
            </w:r>
            <w:proofErr w:type="gramStart"/>
            <w:r w:rsidRPr="00A80C8F">
              <w:rPr>
                <w:rFonts w:asciiTheme="minorHAnsi" w:eastAsia="Times New Roman" w:hAnsiTheme="minorHAnsi" w:cs="Times New Roman"/>
                <w:color w:val="000000"/>
                <w:sz w:val="18"/>
                <w:szCs w:val="18"/>
                <w:lang w:eastAsia="es-CL"/>
              </w:rPr>
              <w:t>with regard to</w:t>
            </w:r>
            <w:proofErr w:type="gramEnd"/>
            <w:r w:rsidRPr="00A80C8F">
              <w:rPr>
                <w:rFonts w:asciiTheme="minorHAnsi" w:eastAsia="Times New Roman" w:hAnsiTheme="minorHAnsi" w:cs="Times New Roman"/>
                <w:color w:val="000000"/>
                <w:sz w:val="18"/>
                <w:szCs w:val="18"/>
                <w:lang w:eastAsia="es-CL"/>
              </w:rPr>
              <w:t xml:space="preserve"> biodiversity</w:t>
            </w:r>
          </w:p>
        </w:tc>
        <w:tc>
          <w:tcPr>
            <w:tcW w:w="853" w:type="pct"/>
            <w:vAlign w:val="center"/>
            <w:hideMark/>
          </w:tcPr>
          <w:p w14:paraId="7F72F345"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p w14:paraId="77EBA5C2"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$1.538,6</w:t>
            </w:r>
          </w:p>
          <w:p w14:paraId="264301E2"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854" w:type="pct"/>
            <w:vAlign w:val="center"/>
          </w:tcPr>
          <w:p w14:paraId="73ABFF0F"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$4.419,9</w:t>
            </w:r>
          </w:p>
        </w:tc>
        <w:tc>
          <w:tcPr>
            <w:tcW w:w="738" w:type="pct"/>
            <w:vAlign w:val="center"/>
          </w:tcPr>
          <w:p w14:paraId="2864D8FD"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hAnsiTheme="minorHAnsi"/>
                <w:color w:val="000000"/>
                <w:sz w:val="18"/>
                <w:szCs w:val="18"/>
              </w:rPr>
              <w:t>$5.958,4</w:t>
            </w:r>
          </w:p>
        </w:tc>
      </w:tr>
      <w:tr w:rsidR="001A4962" w:rsidRPr="00A80C8F" w14:paraId="01EBAB56" w14:textId="77777777" w:rsidTr="00BD32D3">
        <w:trPr>
          <w:trHeight w:val="530"/>
        </w:trPr>
        <w:tc>
          <w:tcPr>
            <w:tcW w:w="2556" w:type="pct"/>
            <w:vAlign w:val="center"/>
            <w:hideMark/>
          </w:tcPr>
          <w:p w14:paraId="548330D7" w14:textId="526C2DB4"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w:t>
            </w:r>
            <w:r w:rsidR="005679D9">
              <w:rPr>
                <w:rFonts w:asciiTheme="minorHAnsi" w:eastAsia="Times New Roman" w:hAnsiTheme="minorHAnsi" w:cs="Times New Roman"/>
                <w:color w:val="000000"/>
                <w:sz w:val="18"/>
                <w:szCs w:val="18"/>
                <w:lang w:eastAsia="es-CL"/>
              </w:rPr>
              <w:t>i</w:t>
            </w:r>
            <w:r w:rsidRPr="00A80C8F">
              <w:rPr>
                <w:rFonts w:asciiTheme="minorHAnsi" w:eastAsia="Times New Roman" w:hAnsiTheme="minorHAnsi" w:cs="Times New Roman"/>
                <w:color w:val="000000"/>
                <w:sz w:val="18"/>
                <w:szCs w:val="18"/>
                <w:lang w:eastAsia="es-CL"/>
              </w:rPr>
              <w:t>vity 2.2: Workshop on biodiversity transition plans and instruments for companies.</w:t>
            </w:r>
          </w:p>
        </w:tc>
        <w:tc>
          <w:tcPr>
            <w:tcW w:w="853" w:type="pct"/>
            <w:vAlign w:val="center"/>
            <w:hideMark/>
          </w:tcPr>
          <w:p w14:paraId="47F58A7C"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0</w:t>
            </w:r>
          </w:p>
        </w:tc>
        <w:tc>
          <w:tcPr>
            <w:tcW w:w="854" w:type="pct"/>
            <w:vAlign w:val="center"/>
          </w:tcPr>
          <w:p w14:paraId="31CEA3D8"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0</w:t>
            </w:r>
          </w:p>
          <w:p w14:paraId="5F70656A"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738" w:type="pct"/>
          </w:tcPr>
          <w:p w14:paraId="75EF8C70"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0</w:t>
            </w:r>
          </w:p>
        </w:tc>
      </w:tr>
      <w:tr w:rsidR="001A4962" w:rsidRPr="00A80C8F" w14:paraId="55622DEE" w14:textId="77777777" w:rsidTr="00BD32D3">
        <w:trPr>
          <w:trHeight w:val="1050"/>
        </w:trPr>
        <w:tc>
          <w:tcPr>
            <w:tcW w:w="2556" w:type="pct"/>
            <w:vAlign w:val="center"/>
            <w:hideMark/>
          </w:tcPr>
          <w:p w14:paraId="4918C574"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2.3: National seminar on economic instruments, motivations for their application, and improvements in consumption decisions and production practices.</w:t>
            </w:r>
          </w:p>
        </w:tc>
        <w:tc>
          <w:tcPr>
            <w:tcW w:w="853" w:type="pct"/>
            <w:vAlign w:val="center"/>
            <w:hideMark/>
          </w:tcPr>
          <w:p w14:paraId="565BCA5C"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w:t>
            </w:r>
          </w:p>
        </w:tc>
        <w:tc>
          <w:tcPr>
            <w:tcW w:w="854" w:type="pct"/>
            <w:vAlign w:val="center"/>
          </w:tcPr>
          <w:p w14:paraId="1A6F0663"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hAnsiTheme="minorHAnsi"/>
                <w:color w:val="000000"/>
                <w:sz w:val="18"/>
                <w:szCs w:val="18"/>
              </w:rPr>
              <w:t xml:space="preserve">    </w:t>
            </w:r>
          </w:p>
          <w:p w14:paraId="3054CB13"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hAnsiTheme="minorHAnsi"/>
                <w:color w:val="000000"/>
                <w:sz w:val="18"/>
                <w:szCs w:val="18"/>
              </w:rPr>
              <w:t>$204,0</w:t>
            </w:r>
          </w:p>
          <w:p w14:paraId="3FFF59D7"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738" w:type="pct"/>
          </w:tcPr>
          <w:p w14:paraId="422660F3"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r>
      <w:tr w:rsidR="001A4962" w:rsidRPr="00A80C8F" w14:paraId="66F54368" w14:textId="77777777" w:rsidTr="00BD32D3">
        <w:trPr>
          <w:trHeight w:val="530"/>
        </w:trPr>
        <w:tc>
          <w:tcPr>
            <w:tcW w:w="2556" w:type="pct"/>
            <w:vAlign w:val="center"/>
            <w:hideMark/>
          </w:tcPr>
          <w:p w14:paraId="3288F3A1"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2.3: International seminar (GEF IECB)</w:t>
            </w:r>
          </w:p>
        </w:tc>
        <w:tc>
          <w:tcPr>
            <w:tcW w:w="853" w:type="pct"/>
            <w:vAlign w:val="center"/>
            <w:hideMark/>
          </w:tcPr>
          <w:p w14:paraId="4AF73E1B"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w:t>
            </w:r>
          </w:p>
        </w:tc>
        <w:tc>
          <w:tcPr>
            <w:tcW w:w="854" w:type="pct"/>
            <w:vAlign w:val="center"/>
          </w:tcPr>
          <w:p w14:paraId="0A166AC1"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$ 9.914,0</w:t>
            </w:r>
          </w:p>
          <w:p w14:paraId="190A1288"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738" w:type="pct"/>
          </w:tcPr>
          <w:p w14:paraId="3275A986"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p>
        </w:tc>
      </w:tr>
      <w:tr w:rsidR="001A4962" w:rsidRPr="00A80C8F" w14:paraId="0F4FDF1B" w14:textId="77777777" w:rsidTr="00BD32D3">
        <w:trPr>
          <w:trHeight w:val="790"/>
        </w:trPr>
        <w:tc>
          <w:tcPr>
            <w:tcW w:w="2556" w:type="pct"/>
            <w:vAlign w:val="center"/>
            <w:hideMark/>
          </w:tcPr>
          <w:p w14:paraId="6A27E2CB"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Other studies: Comparative experiences of seals, biodiversity certification</w:t>
            </w:r>
          </w:p>
        </w:tc>
        <w:tc>
          <w:tcPr>
            <w:tcW w:w="853" w:type="pct"/>
            <w:vAlign w:val="center"/>
            <w:hideMark/>
          </w:tcPr>
          <w:p w14:paraId="173462CF"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w:t>
            </w:r>
          </w:p>
        </w:tc>
        <w:tc>
          <w:tcPr>
            <w:tcW w:w="854" w:type="pct"/>
            <w:vAlign w:val="center"/>
          </w:tcPr>
          <w:p w14:paraId="4FBF699A"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$14.840,6</w:t>
            </w:r>
          </w:p>
          <w:p w14:paraId="7D4320F1"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738" w:type="pct"/>
          </w:tcPr>
          <w:p w14:paraId="1353C240"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r>
      <w:tr w:rsidR="001A4962" w:rsidRPr="00A80C8F" w14:paraId="239E94C8" w14:textId="77777777" w:rsidTr="00BD32D3">
        <w:trPr>
          <w:trHeight w:val="530"/>
        </w:trPr>
        <w:tc>
          <w:tcPr>
            <w:tcW w:w="2556" w:type="pct"/>
            <w:vAlign w:val="center"/>
            <w:hideMark/>
          </w:tcPr>
          <w:p w14:paraId="062EB7B9" w14:textId="77777777" w:rsidR="001A4962" w:rsidRPr="00A80C8F" w:rsidRDefault="001A4962" w:rsidP="00BD32D3">
            <w:pPr>
              <w:jc w:val="both"/>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xml:space="preserve">Other studies: Guide for linking biodiversity in CORFO's development instruments </w:t>
            </w:r>
          </w:p>
        </w:tc>
        <w:tc>
          <w:tcPr>
            <w:tcW w:w="853" w:type="pct"/>
            <w:vAlign w:val="center"/>
            <w:hideMark/>
          </w:tcPr>
          <w:p w14:paraId="494AEE6D"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w:t>
            </w:r>
          </w:p>
        </w:tc>
        <w:tc>
          <w:tcPr>
            <w:tcW w:w="854" w:type="pct"/>
            <w:vAlign w:val="center"/>
          </w:tcPr>
          <w:p w14:paraId="5AA9AA9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$13.879,6</w:t>
            </w:r>
          </w:p>
          <w:p w14:paraId="3A02E270"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738" w:type="pct"/>
          </w:tcPr>
          <w:p w14:paraId="1BB5AC45"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r>
      <w:tr w:rsidR="001A4962" w:rsidRPr="00A80C8F" w14:paraId="3B4C3FEA" w14:textId="77777777" w:rsidTr="00BD32D3">
        <w:trPr>
          <w:trHeight w:val="300"/>
        </w:trPr>
        <w:tc>
          <w:tcPr>
            <w:tcW w:w="2556" w:type="pct"/>
            <w:vAlign w:val="center"/>
            <w:hideMark/>
          </w:tcPr>
          <w:p w14:paraId="15BE7B99" w14:textId="77777777" w:rsidR="001A4962" w:rsidRPr="00A80C8F" w:rsidRDefault="001A4962" w:rsidP="00BD32D3">
            <w:pPr>
              <w:rPr>
                <w:rFonts w:asciiTheme="minorHAnsi" w:eastAsia="Times New Roman" w:hAnsiTheme="minorHAnsi" w:cs="Times New Roman"/>
                <w:color w:val="000000"/>
                <w:sz w:val="18"/>
                <w:szCs w:val="18"/>
                <w:lang w:eastAsia="es-CL"/>
              </w:rPr>
            </w:pPr>
            <w:proofErr w:type="spellStart"/>
            <w:r w:rsidRPr="00A80C8F">
              <w:rPr>
                <w:rFonts w:asciiTheme="minorHAnsi" w:eastAsia="Times New Roman" w:hAnsiTheme="minorHAnsi" w:cs="Times New Roman"/>
                <w:color w:val="000000"/>
                <w:sz w:val="18"/>
                <w:szCs w:val="18"/>
                <w:lang w:eastAsia="es-CL"/>
              </w:rPr>
              <w:t>Honorarios</w:t>
            </w:r>
            <w:proofErr w:type="spellEnd"/>
          </w:p>
        </w:tc>
        <w:tc>
          <w:tcPr>
            <w:tcW w:w="853" w:type="pct"/>
            <w:vAlign w:val="center"/>
            <w:hideMark/>
          </w:tcPr>
          <w:p w14:paraId="4798663D"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$5.679,8</w:t>
            </w:r>
            <w:r w:rsidRPr="00A80C8F">
              <w:rPr>
                <w:rFonts w:asciiTheme="minorHAnsi" w:eastAsia="Times New Roman" w:hAnsiTheme="minorHAnsi" w:cs="Times New Roman"/>
                <w:color w:val="000000"/>
                <w:sz w:val="18"/>
                <w:szCs w:val="18"/>
                <w:lang w:eastAsia="es-CL"/>
              </w:rPr>
              <w:tab/>
            </w:r>
          </w:p>
        </w:tc>
        <w:tc>
          <w:tcPr>
            <w:tcW w:w="854" w:type="pct"/>
            <w:vAlign w:val="center"/>
          </w:tcPr>
          <w:p w14:paraId="3C96FAD7"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6.988,1</w:t>
            </w:r>
          </w:p>
        </w:tc>
        <w:tc>
          <w:tcPr>
            <w:tcW w:w="738" w:type="pct"/>
          </w:tcPr>
          <w:p w14:paraId="0721EB4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r>
      <w:tr w:rsidR="001A4962" w:rsidRPr="00A80C8F" w14:paraId="50EECB2B" w14:textId="77777777" w:rsidTr="00BD32D3">
        <w:trPr>
          <w:trHeight w:val="300"/>
        </w:trPr>
        <w:tc>
          <w:tcPr>
            <w:tcW w:w="2556" w:type="pct"/>
            <w:vAlign w:val="center"/>
            <w:hideMark/>
          </w:tcPr>
          <w:p w14:paraId="773CB92A" w14:textId="77777777" w:rsidR="001A4962" w:rsidRPr="00A80C8F" w:rsidRDefault="001A4962" w:rsidP="00BD32D3">
            <w:pPr>
              <w:jc w:val="cente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TOTAL PRODUCT 2</w:t>
            </w:r>
          </w:p>
        </w:tc>
        <w:tc>
          <w:tcPr>
            <w:tcW w:w="853" w:type="pct"/>
            <w:vAlign w:val="center"/>
          </w:tcPr>
          <w:p w14:paraId="6F987332"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p w14:paraId="46883794"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$7.218,4</w:t>
            </w:r>
            <w:r w:rsidRPr="00A80C8F">
              <w:rPr>
                <w:rFonts w:asciiTheme="minorHAnsi" w:eastAsia="Times New Roman" w:hAnsiTheme="minorHAnsi" w:cs="Times New Roman"/>
                <w:color w:val="000000"/>
                <w:sz w:val="18"/>
                <w:szCs w:val="18"/>
                <w:lang w:eastAsia="es-CL"/>
              </w:rPr>
              <w:tab/>
            </w:r>
            <w:r w:rsidRPr="00A80C8F">
              <w:rPr>
                <w:rFonts w:asciiTheme="minorHAnsi" w:eastAsia="Times New Roman" w:hAnsiTheme="minorHAnsi" w:cs="Times New Roman"/>
                <w:color w:val="000000"/>
                <w:sz w:val="18"/>
                <w:szCs w:val="18"/>
                <w:lang w:eastAsia="es-CL"/>
              </w:rPr>
              <w:tab/>
            </w:r>
          </w:p>
        </w:tc>
        <w:tc>
          <w:tcPr>
            <w:tcW w:w="854" w:type="pct"/>
            <w:vAlign w:val="center"/>
          </w:tcPr>
          <w:p w14:paraId="72C910B0"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$5</w:t>
            </w:r>
            <w:r>
              <w:rPr>
                <w:rFonts w:asciiTheme="minorHAnsi" w:eastAsia="Times New Roman" w:hAnsiTheme="minorHAnsi" w:cs="Times New Roman"/>
                <w:color w:val="000000"/>
                <w:sz w:val="18"/>
                <w:szCs w:val="18"/>
                <w:lang w:eastAsia="es-CL"/>
              </w:rPr>
              <w:t>0</w:t>
            </w:r>
            <w:r w:rsidRPr="00A80C8F">
              <w:rPr>
                <w:rFonts w:asciiTheme="minorHAnsi" w:eastAsia="Times New Roman" w:hAnsiTheme="minorHAnsi" w:cs="Times New Roman"/>
                <w:color w:val="000000"/>
                <w:sz w:val="18"/>
                <w:szCs w:val="18"/>
                <w:lang w:eastAsia="es-CL"/>
              </w:rPr>
              <w:t>.2</w:t>
            </w:r>
            <w:r>
              <w:rPr>
                <w:rFonts w:asciiTheme="minorHAnsi" w:eastAsia="Times New Roman" w:hAnsiTheme="minorHAnsi" w:cs="Times New Roman"/>
                <w:color w:val="000000"/>
                <w:sz w:val="18"/>
                <w:szCs w:val="18"/>
                <w:lang w:eastAsia="es-CL"/>
              </w:rPr>
              <w:t>46</w:t>
            </w:r>
            <w:r w:rsidRPr="00A80C8F">
              <w:rPr>
                <w:rFonts w:asciiTheme="minorHAnsi" w:eastAsia="Times New Roman" w:hAnsiTheme="minorHAnsi" w:cs="Times New Roman"/>
                <w:color w:val="000000"/>
                <w:sz w:val="18"/>
                <w:szCs w:val="18"/>
                <w:lang w:eastAsia="es-CL"/>
              </w:rPr>
              <w:t>,2</w:t>
            </w:r>
          </w:p>
        </w:tc>
        <w:tc>
          <w:tcPr>
            <w:tcW w:w="738" w:type="pct"/>
            <w:vAlign w:val="center"/>
          </w:tcPr>
          <w:p w14:paraId="26922DA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$5</w:t>
            </w:r>
            <w:r>
              <w:rPr>
                <w:rFonts w:asciiTheme="minorHAnsi" w:eastAsia="Times New Roman" w:hAnsiTheme="minorHAnsi" w:cs="Times New Roman"/>
                <w:color w:val="000000"/>
                <w:sz w:val="18"/>
                <w:szCs w:val="18"/>
                <w:lang w:eastAsia="es-CL"/>
              </w:rPr>
              <w:t>7</w:t>
            </w:r>
            <w:r w:rsidRPr="00A80C8F">
              <w:rPr>
                <w:rFonts w:asciiTheme="minorHAnsi" w:eastAsia="Times New Roman" w:hAnsiTheme="minorHAnsi" w:cs="Times New Roman"/>
                <w:color w:val="000000"/>
                <w:sz w:val="18"/>
                <w:szCs w:val="18"/>
                <w:lang w:eastAsia="es-CL"/>
              </w:rPr>
              <w:t>.46</w:t>
            </w:r>
            <w:r>
              <w:rPr>
                <w:rFonts w:asciiTheme="minorHAnsi" w:eastAsia="Times New Roman" w:hAnsiTheme="minorHAnsi" w:cs="Times New Roman"/>
                <w:color w:val="000000"/>
                <w:sz w:val="18"/>
                <w:szCs w:val="18"/>
                <w:lang w:eastAsia="es-CL"/>
              </w:rPr>
              <w:t>4</w:t>
            </w:r>
            <w:r w:rsidRPr="00A80C8F">
              <w:rPr>
                <w:rFonts w:asciiTheme="minorHAnsi" w:eastAsia="Times New Roman" w:hAnsiTheme="minorHAnsi" w:cs="Times New Roman"/>
                <w:color w:val="000000"/>
                <w:sz w:val="18"/>
                <w:szCs w:val="18"/>
                <w:lang w:eastAsia="es-CL"/>
              </w:rPr>
              <w:t>,5</w:t>
            </w:r>
          </w:p>
        </w:tc>
      </w:tr>
      <w:tr w:rsidR="001A4962" w:rsidRPr="00F97D37" w14:paraId="1A06C965" w14:textId="77777777" w:rsidTr="00BD32D3">
        <w:trPr>
          <w:trHeight w:val="396"/>
        </w:trPr>
        <w:tc>
          <w:tcPr>
            <w:tcW w:w="5000" w:type="pct"/>
            <w:gridSpan w:val="4"/>
            <w:shd w:val="clear" w:color="000000" w:fill="DCEAF7"/>
            <w:vAlign w:val="center"/>
            <w:hideMark/>
          </w:tcPr>
          <w:p w14:paraId="73F5067C" w14:textId="77777777" w:rsidR="001A4962" w:rsidRPr="00A80C8F" w:rsidRDefault="001A4962" w:rsidP="00BD32D3">
            <w:pP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PRODUCTO 3: Pilot case of community entrepreneurship for coastal conservation with a focus on biodiversity and sustainable tourism designed.</w:t>
            </w:r>
          </w:p>
        </w:tc>
      </w:tr>
      <w:tr w:rsidR="001A4962" w:rsidRPr="00A80C8F" w14:paraId="298030C1" w14:textId="77777777" w:rsidTr="00BD32D3">
        <w:trPr>
          <w:trHeight w:val="780"/>
        </w:trPr>
        <w:tc>
          <w:tcPr>
            <w:tcW w:w="2556" w:type="pct"/>
            <w:vAlign w:val="center"/>
            <w:hideMark/>
          </w:tcPr>
          <w:p w14:paraId="1168F565"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3.1: Strengthening Community-Based Enterprises with a Focus on Biodiversity and Sustainable Tourism</w:t>
            </w:r>
          </w:p>
        </w:tc>
        <w:tc>
          <w:tcPr>
            <w:tcW w:w="853" w:type="pct"/>
            <w:vAlign w:val="bottom"/>
            <w:hideMark/>
          </w:tcPr>
          <w:p w14:paraId="029AE508"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w:t>
            </w:r>
          </w:p>
        </w:tc>
        <w:tc>
          <w:tcPr>
            <w:tcW w:w="854" w:type="pct"/>
            <w:vAlign w:val="center"/>
          </w:tcPr>
          <w:p w14:paraId="0B51265F"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p w14:paraId="4339C269"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$13.</w:t>
            </w:r>
            <w:r>
              <w:rPr>
                <w:rFonts w:asciiTheme="minorHAnsi" w:eastAsia="Times New Roman" w:hAnsiTheme="minorHAnsi" w:cs="Times New Roman"/>
                <w:color w:val="000000"/>
                <w:sz w:val="18"/>
                <w:szCs w:val="18"/>
                <w:lang w:eastAsia="es-CL"/>
              </w:rPr>
              <w:t>186</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1</w:t>
            </w:r>
          </w:p>
        </w:tc>
        <w:tc>
          <w:tcPr>
            <w:tcW w:w="738" w:type="pct"/>
            <w:vAlign w:val="center"/>
          </w:tcPr>
          <w:p w14:paraId="19E413F3"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p w14:paraId="5DDE055A"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$13.</w:t>
            </w:r>
            <w:r>
              <w:rPr>
                <w:rFonts w:asciiTheme="minorHAnsi" w:eastAsia="Times New Roman" w:hAnsiTheme="minorHAnsi" w:cs="Times New Roman"/>
                <w:color w:val="000000"/>
                <w:sz w:val="18"/>
                <w:szCs w:val="18"/>
                <w:lang w:eastAsia="es-CL"/>
              </w:rPr>
              <w:t>186</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1</w:t>
            </w:r>
          </w:p>
        </w:tc>
      </w:tr>
      <w:tr w:rsidR="001A4962" w:rsidRPr="00A80C8F" w14:paraId="57495054" w14:textId="77777777" w:rsidTr="00BD32D3">
        <w:trPr>
          <w:trHeight w:val="530"/>
        </w:trPr>
        <w:tc>
          <w:tcPr>
            <w:tcW w:w="2556" w:type="pct"/>
            <w:vAlign w:val="center"/>
            <w:hideMark/>
          </w:tcPr>
          <w:p w14:paraId="35DB1489"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xml:space="preserve">Activity 3.2: Productive diversification in relation to the </w:t>
            </w:r>
            <w:proofErr w:type="spellStart"/>
            <w:r w:rsidRPr="00A80C8F">
              <w:rPr>
                <w:rFonts w:asciiTheme="minorHAnsi" w:eastAsia="Times New Roman" w:hAnsiTheme="minorHAnsi" w:cs="Times New Roman"/>
                <w:color w:val="000000"/>
                <w:sz w:val="18"/>
                <w:szCs w:val="18"/>
                <w:lang w:eastAsia="es-CL"/>
              </w:rPr>
              <w:t>chocha</w:t>
            </w:r>
            <w:proofErr w:type="spellEnd"/>
            <w:r w:rsidRPr="00A80C8F">
              <w:rPr>
                <w:rFonts w:asciiTheme="minorHAnsi" w:eastAsia="Times New Roman" w:hAnsiTheme="minorHAnsi" w:cs="Times New Roman"/>
                <w:color w:val="000000"/>
                <w:sz w:val="18"/>
                <w:szCs w:val="18"/>
                <w:lang w:eastAsia="es-CL"/>
              </w:rPr>
              <w:t xml:space="preserve"> </w:t>
            </w:r>
          </w:p>
        </w:tc>
        <w:tc>
          <w:tcPr>
            <w:tcW w:w="853" w:type="pct"/>
            <w:vAlign w:val="bottom"/>
            <w:hideMark/>
          </w:tcPr>
          <w:p w14:paraId="30AF9CFE"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 </w:t>
            </w:r>
          </w:p>
        </w:tc>
        <w:tc>
          <w:tcPr>
            <w:tcW w:w="854" w:type="pct"/>
            <w:vAlign w:val="center"/>
          </w:tcPr>
          <w:p w14:paraId="5C269237"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$13.</w:t>
            </w:r>
            <w:r>
              <w:rPr>
                <w:rFonts w:asciiTheme="minorHAnsi" w:eastAsia="Times New Roman" w:hAnsiTheme="minorHAnsi" w:cs="Times New Roman"/>
                <w:color w:val="000000"/>
                <w:sz w:val="18"/>
                <w:szCs w:val="18"/>
                <w:lang w:eastAsia="es-CL"/>
              </w:rPr>
              <w:t>824</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3</w:t>
            </w:r>
          </w:p>
        </w:tc>
        <w:tc>
          <w:tcPr>
            <w:tcW w:w="738" w:type="pct"/>
            <w:vAlign w:val="center"/>
          </w:tcPr>
          <w:p w14:paraId="4EC42EEE"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$13.</w:t>
            </w:r>
            <w:r>
              <w:rPr>
                <w:rFonts w:asciiTheme="minorHAnsi" w:eastAsia="Times New Roman" w:hAnsiTheme="minorHAnsi" w:cs="Times New Roman"/>
                <w:color w:val="000000"/>
                <w:sz w:val="18"/>
                <w:szCs w:val="18"/>
                <w:lang w:eastAsia="es-CL"/>
              </w:rPr>
              <w:t>824</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3</w:t>
            </w:r>
          </w:p>
        </w:tc>
      </w:tr>
      <w:tr w:rsidR="001A4962" w:rsidRPr="00A80C8F" w14:paraId="45BE50C9" w14:textId="77777777" w:rsidTr="00BD32D3">
        <w:trPr>
          <w:trHeight w:val="290"/>
        </w:trPr>
        <w:tc>
          <w:tcPr>
            <w:tcW w:w="2556" w:type="pct"/>
            <w:vAlign w:val="center"/>
            <w:hideMark/>
          </w:tcPr>
          <w:p w14:paraId="329B87A0"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Activity 3.2:  video</w:t>
            </w:r>
          </w:p>
        </w:tc>
        <w:tc>
          <w:tcPr>
            <w:tcW w:w="853" w:type="pct"/>
            <w:vAlign w:val="bottom"/>
            <w:hideMark/>
          </w:tcPr>
          <w:p w14:paraId="13AEC830"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854" w:type="pct"/>
            <w:vAlign w:val="center"/>
          </w:tcPr>
          <w:p w14:paraId="3342A2B8"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$1.1</w:t>
            </w:r>
            <w:r>
              <w:rPr>
                <w:rFonts w:asciiTheme="minorHAnsi" w:eastAsia="Times New Roman" w:hAnsiTheme="minorHAnsi" w:cs="Times New Roman"/>
                <w:color w:val="000000"/>
                <w:sz w:val="18"/>
                <w:szCs w:val="18"/>
                <w:lang w:eastAsia="es-CL"/>
              </w:rPr>
              <w:t>6</w:t>
            </w:r>
            <w:r w:rsidRPr="00A80C8F">
              <w:rPr>
                <w:rFonts w:asciiTheme="minorHAnsi" w:eastAsia="Times New Roman" w:hAnsiTheme="minorHAnsi" w:cs="Times New Roman"/>
                <w:color w:val="000000"/>
                <w:sz w:val="18"/>
                <w:szCs w:val="18"/>
                <w:lang w:eastAsia="es-CL"/>
              </w:rPr>
              <w:t>1,</w:t>
            </w:r>
            <w:r>
              <w:rPr>
                <w:rFonts w:asciiTheme="minorHAnsi" w:eastAsia="Times New Roman" w:hAnsiTheme="minorHAnsi" w:cs="Times New Roman"/>
                <w:color w:val="000000"/>
                <w:sz w:val="18"/>
                <w:szCs w:val="18"/>
                <w:lang w:eastAsia="es-CL"/>
              </w:rPr>
              <w:t>7</w:t>
            </w:r>
          </w:p>
        </w:tc>
        <w:tc>
          <w:tcPr>
            <w:tcW w:w="738" w:type="pct"/>
            <w:vAlign w:val="center"/>
          </w:tcPr>
          <w:p w14:paraId="1E69390C"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$1.1</w:t>
            </w:r>
            <w:r>
              <w:rPr>
                <w:rFonts w:asciiTheme="minorHAnsi" w:eastAsia="Times New Roman" w:hAnsiTheme="minorHAnsi" w:cs="Times New Roman"/>
                <w:color w:val="000000"/>
                <w:sz w:val="18"/>
                <w:szCs w:val="18"/>
                <w:lang w:eastAsia="es-CL"/>
              </w:rPr>
              <w:t>6</w:t>
            </w:r>
            <w:r w:rsidRPr="00A80C8F">
              <w:rPr>
                <w:rFonts w:asciiTheme="minorHAnsi" w:eastAsia="Times New Roman" w:hAnsiTheme="minorHAnsi" w:cs="Times New Roman"/>
                <w:color w:val="000000"/>
                <w:sz w:val="18"/>
                <w:szCs w:val="18"/>
                <w:lang w:eastAsia="es-CL"/>
              </w:rPr>
              <w:t>1,</w:t>
            </w:r>
            <w:r>
              <w:rPr>
                <w:rFonts w:asciiTheme="minorHAnsi" w:eastAsia="Times New Roman" w:hAnsiTheme="minorHAnsi" w:cs="Times New Roman"/>
                <w:color w:val="000000"/>
                <w:sz w:val="18"/>
                <w:szCs w:val="18"/>
                <w:lang w:eastAsia="es-CL"/>
              </w:rPr>
              <w:t>7</w:t>
            </w:r>
          </w:p>
        </w:tc>
      </w:tr>
      <w:tr w:rsidR="001A4962" w:rsidRPr="00A80C8F" w14:paraId="59B38339" w14:textId="77777777" w:rsidTr="00BD32D3">
        <w:trPr>
          <w:trHeight w:val="290"/>
        </w:trPr>
        <w:tc>
          <w:tcPr>
            <w:tcW w:w="2556" w:type="pct"/>
            <w:vAlign w:val="center"/>
            <w:hideMark/>
          </w:tcPr>
          <w:p w14:paraId="312DF72D"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travel</w:t>
            </w:r>
          </w:p>
        </w:tc>
        <w:tc>
          <w:tcPr>
            <w:tcW w:w="853" w:type="pct"/>
            <w:vAlign w:val="bottom"/>
            <w:hideMark/>
          </w:tcPr>
          <w:p w14:paraId="4B70501D"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854" w:type="pct"/>
            <w:vAlign w:val="center"/>
          </w:tcPr>
          <w:p w14:paraId="2EBE4F6A"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$2.</w:t>
            </w:r>
            <w:r>
              <w:rPr>
                <w:rFonts w:asciiTheme="minorHAnsi" w:eastAsia="Times New Roman" w:hAnsiTheme="minorHAnsi" w:cs="Times New Roman"/>
                <w:color w:val="000000"/>
                <w:sz w:val="18"/>
                <w:szCs w:val="18"/>
                <w:lang w:eastAsia="es-CL"/>
              </w:rPr>
              <w:t>487,5</w:t>
            </w:r>
          </w:p>
        </w:tc>
        <w:tc>
          <w:tcPr>
            <w:tcW w:w="738" w:type="pct"/>
            <w:vAlign w:val="center"/>
          </w:tcPr>
          <w:p w14:paraId="55F9580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$2.</w:t>
            </w:r>
            <w:r>
              <w:rPr>
                <w:rFonts w:asciiTheme="minorHAnsi" w:eastAsia="Times New Roman" w:hAnsiTheme="minorHAnsi" w:cs="Times New Roman"/>
                <w:color w:val="000000"/>
                <w:sz w:val="18"/>
                <w:szCs w:val="18"/>
                <w:lang w:eastAsia="es-CL"/>
              </w:rPr>
              <w:t>487,5</w:t>
            </w:r>
          </w:p>
        </w:tc>
      </w:tr>
      <w:tr w:rsidR="001A4962" w:rsidRPr="00A80C8F" w14:paraId="7AAEC7E6" w14:textId="77777777" w:rsidTr="00BD32D3">
        <w:trPr>
          <w:trHeight w:val="290"/>
        </w:trPr>
        <w:tc>
          <w:tcPr>
            <w:tcW w:w="2556" w:type="pct"/>
            <w:vAlign w:val="center"/>
            <w:hideMark/>
          </w:tcPr>
          <w:p w14:paraId="56BE0AC1"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unforeseen expenses</w:t>
            </w:r>
          </w:p>
        </w:tc>
        <w:tc>
          <w:tcPr>
            <w:tcW w:w="853" w:type="pct"/>
            <w:vAlign w:val="bottom"/>
            <w:hideMark/>
          </w:tcPr>
          <w:p w14:paraId="53AF8147"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854" w:type="pct"/>
            <w:vAlign w:val="center"/>
          </w:tcPr>
          <w:p w14:paraId="0EFF619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w:t>
            </w:r>
            <w:r w:rsidRPr="00C33E87">
              <w:rPr>
                <w:rFonts w:asciiTheme="minorHAnsi" w:eastAsia="Times New Roman" w:hAnsiTheme="minorHAnsi" w:cs="Times New Roman"/>
                <w:color w:val="000000"/>
                <w:sz w:val="18"/>
                <w:szCs w:val="18"/>
                <w:lang w:eastAsia="es-CL"/>
              </w:rPr>
              <w:t>3</w:t>
            </w:r>
            <w:r>
              <w:rPr>
                <w:rFonts w:asciiTheme="minorHAnsi" w:eastAsia="Times New Roman" w:hAnsiTheme="minorHAnsi" w:cs="Times New Roman"/>
                <w:color w:val="000000"/>
                <w:sz w:val="18"/>
                <w:szCs w:val="18"/>
                <w:lang w:eastAsia="es-CL"/>
              </w:rPr>
              <w:t>.</w:t>
            </w:r>
            <w:r w:rsidRPr="00C33E87">
              <w:rPr>
                <w:rFonts w:asciiTheme="minorHAnsi" w:eastAsia="Times New Roman" w:hAnsiTheme="minorHAnsi" w:cs="Times New Roman"/>
                <w:color w:val="000000"/>
                <w:sz w:val="18"/>
                <w:szCs w:val="18"/>
                <w:lang w:eastAsia="es-CL"/>
              </w:rPr>
              <w:t>790,9</w:t>
            </w:r>
          </w:p>
        </w:tc>
        <w:tc>
          <w:tcPr>
            <w:tcW w:w="738" w:type="pct"/>
            <w:vAlign w:val="center"/>
          </w:tcPr>
          <w:p w14:paraId="76501E7E"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w:t>
            </w:r>
            <w:r w:rsidRPr="00C33E87">
              <w:rPr>
                <w:rFonts w:asciiTheme="minorHAnsi" w:eastAsia="Times New Roman" w:hAnsiTheme="minorHAnsi" w:cs="Times New Roman"/>
                <w:color w:val="000000"/>
                <w:sz w:val="18"/>
                <w:szCs w:val="18"/>
                <w:lang w:eastAsia="es-CL"/>
              </w:rPr>
              <w:t>3</w:t>
            </w:r>
            <w:r>
              <w:rPr>
                <w:rFonts w:asciiTheme="minorHAnsi" w:eastAsia="Times New Roman" w:hAnsiTheme="minorHAnsi" w:cs="Times New Roman"/>
                <w:color w:val="000000"/>
                <w:sz w:val="18"/>
                <w:szCs w:val="18"/>
                <w:lang w:eastAsia="es-CL"/>
              </w:rPr>
              <w:t>.</w:t>
            </w:r>
            <w:r w:rsidRPr="00C33E87">
              <w:rPr>
                <w:rFonts w:asciiTheme="minorHAnsi" w:eastAsia="Times New Roman" w:hAnsiTheme="minorHAnsi" w:cs="Times New Roman"/>
                <w:color w:val="000000"/>
                <w:sz w:val="18"/>
                <w:szCs w:val="18"/>
                <w:lang w:eastAsia="es-CL"/>
              </w:rPr>
              <w:t>790,9</w:t>
            </w:r>
          </w:p>
        </w:tc>
      </w:tr>
      <w:tr w:rsidR="001A4962" w:rsidRPr="00A80C8F" w14:paraId="7A1A6B7B" w14:textId="77777777" w:rsidTr="00BD32D3">
        <w:trPr>
          <w:trHeight w:val="290"/>
        </w:trPr>
        <w:tc>
          <w:tcPr>
            <w:tcW w:w="2556" w:type="pct"/>
            <w:vAlign w:val="center"/>
            <w:hideMark/>
          </w:tcPr>
          <w:p w14:paraId="1E37B3C6"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fees</w:t>
            </w:r>
          </w:p>
        </w:tc>
        <w:tc>
          <w:tcPr>
            <w:tcW w:w="853" w:type="pct"/>
            <w:vAlign w:val="bottom"/>
            <w:hideMark/>
          </w:tcPr>
          <w:p w14:paraId="59F87816"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$2.224,0</w:t>
            </w:r>
          </w:p>
        </w:tc>
        <w:tc>
          <w:tcPr>
            <w:tcW w:w="854" w:type="pct"/>
            <w:vAlign w:val="center"/>
          </w:tcPr>
          <w:p w14:paraId="2C23D6EF"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$1.7</w:t>
            </w:r>
            <w:r>
              <w:rPr>
                <w:rFonts w:asciiTheme="minorHAnsi" w:eastAsia="Times New Roman" w:hAnsiTheme="minorHAnsi" w:cs="Times New Roman"/>
                <w:color w:val="000000"/>
                <w:sz w:val="18"/>
                <w:szCs w:val="18"/>
                <w:lang w:eastAsia="es-CL"/>
              </w:rPr>
              <w:t>4</w:t>
            </w:r>
            <w:r w:rsidRPr="00A80C8F">
              <w:rPr>
                <w:rFonts w:asciiTheme="minorHAnsi" w:eastAsia="Times New Roman" w:hAnsiTheme="minorHAnsi" w:cs="Times New Roman"/>
                <w:color w:val="000000"/>
                <w:sz w:val="18"/>
                <w:szCs w:val="18"/>
                <w:lang w:eastAsia="es-CL"/>
              </w:rPr>
              <w:t>7,</w:t>
            </w:r>
            <w:r>
              <w:rPr>
                <w:rFonts w:asciiTheme="minorHAnsi" w:eastAsia="Times New Roman" w:hAnsiTheme="minorHAnsi" w:cs="Times New Roman"/>
                <w:color w:val="000000"/>
                <w:sz w:val="18"/>
                <w:szCs w:val="18"/>
                <w:lang w:eastAsia="es-CL"/>
              </w:rPr>
              <w:t>0</w:t>
            </w:r>
          </w:p>
        </w:tc>
        <w:tc>
          <w:tcPr>
            <w:tcW w:w="738" w:type="pct"/>
            <w:vAlign w:val="center"/>
          </w:tcPr>
          <w:p w14:paraId="75F95AB9"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$1.7</w:t>
            </w:r>
            <w:r>
              <w:rPr>
                <w:rFonts w:asciiTheme="minorHAnsi" w:eastAsia="Times New Roman" w:hAnsiTheme="minorHAnsi" w:cs="Times New Roman"/>
                <w:color w:val="000000"/>
                <w:sz w:val="18"/>
                <w:szCs w:val="18"/>
                <w:lang w:eastAsia="es-CL"/>
              </w:rPr>
              <w:t>4</w:t>
            </w:r>
            <w:r w:rsidRPr="00A80C8F">
              <w:rPr>
                <w:rFonts w:asciiTheme="minorHAnsi" w:eastAsia="Times New Roman" w:hAnsiTheme="minorHAnsi" w:cs="Times New Roman"/>
                <w:color w:val="000000"/>
                <w:sz w:val="18"/>
                <w:szCs w:val="18"/>
                <w:lang w:eastAsia="es-CL"/>
              </w:rPr>
              <w:t>7,</w:t>
            </w:r>
            <w:r>
              <w:rPr>
                <w:rFonts w:asciiTheme="minorHAnsi" w:eastAsia="Times New Roman" w:hAnsiTheme="minorHAnsi" w:cs="Times New Roman"/>
                <w:color w:val="000000"/>
                <w:sz w:val="18"/>
                <w:szCs w:val="18"/>
                <w:lang w:eastAsia="es-CL"/>
              </w:rPr>
              <w:t>0</w:t>
            </w:r>
          </w:p>
        </w:tc>
      </w:tr>
      <w:tr w:rsidR="001A4962" w:rsidRPr="00A80C8F" w14:paraId="44C31452" w14:textId="77777777" w:rsidTr="00BD32D3">
        <w:trPr>
          <w:trHeight w:val="290"/>
        </w:trPr>
        <w:tc>
          <w:tcPr>
            <w:tcW w:w="2556" w:type="pct"/>
            <w:shd w:val="clear" w:color="auto" w:fill="E8E8E8" w:themeFill="background2"/>
            <w:vAlign w:val="center"/>
            <w:hideMark/>
          </w:tcPr>
          <w:p w14:paraId="629A4CAF" w14:textId="77777777" w:rsidR="001A4962" w:rsidRPr="00A80C8F" w:rsidRDefault="001A4962" w:rsidP="00BD32D3">
            <w:pP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total product 3</w:t>
            </w:r>
          </w:p>
        </w:tc>
        <w:tc>
          <w:tcPr>
            <w:tcW w:w="853" w:type="pct"/>
            <w:shd w:val="clear" w:color="auto" w:fill="E8E8E8" w:themeFill="background2"/>
            <w:vAlign w:val="center"/>
            <w:hideMark/>
          </w:tcPr>
          <w:p w14:paraId="547CD148"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$2.224,0</w:t>
            </w:r>
          </w:p>
        </w:tc>
        <w:tc>
          <w:tcPr>
            <w:tcW w:w="854" w:type="pct"/>
            <w:shd w:val="clear" w:color="auto" w:fill="E8E8E8" w:themeFill="background2"/>
            <w:vAlign w:val="center"/>
          </w:tcPr>
          <w:p w14:paraId="53758CB9"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$3</w:t>
            </w:r>
            <w:r>
              <w:rPr>
                <w:rFonts w:asciiTheme="minorHAnsi" w:eastAsia="Times New Roman" w:hAnsiTheme="minorHAnsi" w:cs="Times New Roman"/>
                <w:color w:val="000000"/>
                <w:sz w:val="18"/>
                <w:szCs w:val="18"/>
                <w:lang w:eastAsia="es-CL"/>
              </w:rPr>
              <w:t>6.188</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6</w:t>
            </w:r>
          </w:p>
        </w:tc>
        <w:tc>
          <w:tcPr>
            <w:tcW w:w="738" w:type="pct"/>
            <w:shd w:val="clear" w:color="auto" w:fill="E8E8E8" w:themeFill="background2"/>
            <w:vAlign w:val="center"/>
          </w:tcPr>
          <w:p w14:paraId="5FA47FAE"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hAnsiTheme="minorHAnsi"/>
                <w:color w:val="000000"/>
                <w:sz w:val="18"/>
                <w:szCs w:val="18"/>
              </w:rPr>
              <w:t>$3</w:t>
            </w:r>
            <w:r>
              <w:rPr>
                <w:rFonts w:asciiTheme="minorHAnsi" w:hAnsiTheme="minorHAnsi"/>
                <w:color w:val="000000"/>
                <w:sz w:val="18"/>
                <w:szCs w:val="18"/>
              </w:rPr>
              <w:t>8</w:t>
            </w:r>
            <w:r w:rsidRPr="00A80C8F">
              <w:rPr>
                <w:rFonts w:asciiTheme="minorHAnsi" w:hAnsiTheme="minorHAnsi"/>
                <w:color w:val="000000"/>
                <w:sz w:val="18"/>
                <w:szCs w:val="18"/>
              </w:rPr>
              <w:t>.</w:t>
            </w:r>
            <w:r>
              <w:rPr>
                <w:rFonts w:asciiTheme="minorHAnsi" w:hAnsiTheme="minorHAnsi"/>
                <w:color w:val="000000"/>
                <w:sz w:val="18"/>
                <w:szCs w:val="18"/>
              </w:rPr>
              <w:t>412</w:t>
            </w:r>
            <w:r w:rsidRPr="00A80C8F">
              <w:rPr>
                <w:rFonts w:asciiTheme="minorHAnsi" w:hAnsiTheme="minorHAnsi"/>
                <w:color w:val="000000"/>
                <w:sz w:val="18"/>
                <w:szCs w:val="18"/>
              </w:rPr>
              <w:t>,</w:t>
            </w:r>
            <w:r>
              <w:rPr>
                <w:rFonts w:asciiTheme="minorHAnsi" w:hAnsiTheme="minorHAnsi"/>
                <w:color w:val="000000"/>
                <w:sz w:val="18"/>
                <w:szCs w:val="18"/>
              </w:rPr>
              <w:t>6</w:t>
            </w:r>
          </w:p>
        </w:tc>
      </w:tr>
      <w:tr w:rsidR="001A4962" w:rsidRPr="00A80C8F" w14:paraId="1A5642B6" w14:textId="77777777" w:rsidTr="00BD32D3">
        <w:trPr>
          <w:trHeight w:val="290"/>
        </w:trPr>
        <w:tc>
          <w:tcPr>
            <w:tcW w:w="2556" w:type="pct"/>
            <w:shd w:val="clear" w:color="000000" w:fill="DCEAF7"/>
            <w:vAlign w:val="center"/>
            <w:hideMark/>
          </w:tcPr>
          <w:p w14:paraId="0AEF6D07" w14:textId="77777777" w:rsidR="001A4962" w:rsidRPr="00A80C8F" w:rsidRDefault="001A4962" w:rsidP="00BD32D3">
            <w:pP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TOTAL PRODUCTS</w:t>
            </w:r>
          </w:p>
        </w:tc>
        <w:tc>
          <w:tcPr>
            <w:tcW w:w="853" w:type="pct"/>
            <w:shd w:val="clear" w:color="auto" w:fill="DAE9F7" w:themeFill="text2" w:themeFillTint="1A"/>
            <w:vAlign w:val="center"/>
          </w:tcPr>
          <w:p w14:paraId="1E3653DA" w14:textId="77777777" w:rsidR="001A4962" w:rsidRPr="00A80C8F" w:rsidRDefault="001A4962" w:rsidP="00BD32D3">
            <w:pPr>
              <w:jc w:val="cente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$20.107,92</w:t>
            </w:r>
          </w:p>
        </w:tc>
        <w:tc>
          <w:tcPr>
            <w:tcW w:w="854" w:type="pct"/>
            <w:shd w:val="clear" w:color="auto" w:fill="DAE9F7" w:themeFill="text2" w:themeFillTint="1A"/>
            <w:vAlign w:val="center"/>
          </w:tcPr>
          <w:p w14:paraId="253B8F6A" w14:textId="77777777" w:rsidR="001A4962" w:rsidRPr="00A80C8F" w:rsidRDefault="001A4962" w:rsidP="00BD32D3">
            <w:pPr>
              <w:jc w:val="center"/>
              <w:rPr>
                <w:rFonts w:asciiTheme="minorHAnsi" w:eastAsia="Times New Roman" w:hAnsiTheme="minorHAnsi" w:cs="Times New Roman"/>
                <w:b/>
                <w:bCs/>
                <w:color w:val="000000"/>
                <w:sz w:val="18"/>
                <w:szCs w:val="18"/>
                <w:lang w:eastAsia="es-CL"/>
              </w:rPr>
            </w:pPr>
            <w:r w:rsidRPr="00A80C8F">
              <w:rPr>
                <w:rFonts w:asciiTheme="minorHAnsi" w:eastAsia="Times New Roman" w:hAnsiTheme="minorHAnsi" w:cs="Times New Roman"/>
                <w:b/>
                <w:bCs/>
                <w:color w:val="000000"/>
                <w:sz w:val="18"/>
                <w:szCs w:val="18"/>
                <w:lang w:eastAsia="es-CL"/>
              </w:rPr>
              <w:t>$</w:t>
            </w:r>
            <w:r>
              <w:rPr>
                <w:rFonts w:asciiTheme="minorHAnsi" w:eastAsia="Times New Roman" w:hAnsiTheme="minorHAnsi" w:cs="Times New Roman"/>
                <w:b/>
                <w:bCs/>
                <w:color w:val="000000"/>
                <w:sz w:val="18"/>
                <w:szCs w:val="18"/>
                <w:lang w:eastAsia="es-CL"/>
              </w:rPr>
              <w:t>159.137,0</w:t>
            </w:r>
          </w:p>
        </w:tc>
        <w:tc>
          <w:tcPr>
            <w:tcW w:w="738" w:type="pct"/>
            <w:shd w:val="clear" w:color="auto" w:fill="DAE9F7" w:themeFill="text2" w:themeFillTint="1A"/>
            <w:vAlign w:val="center"/>
          </w:tcPr>
          <w:p w14:paraId="78F99857" w14:textId="77777777" w:rsidR="001A4962" w:rsidRPr="00A80C8F" w:rsidRDefault="001A4962" w:rsidP="00BD32D3">
            <w:pPr>
              <w:jc w:val="center"/>
              <w:rPr>
                <w:rFonts w:asciiTheme="minorHAnsi" w:eastAsia="Times New Roman" w:hAnsiTheme="minorHAnsi" w:cs="Times New Roman"/>
                <w:b/>
                <w:bCs/>
                <w:color w:val="000000"/>
                <w:sz w:val="18"/>
                <w:szCs w:val="18"/>
                <w:lang w:eastAsia="es-CL"/>
              </w:rPr>
            </w:pPr>
          </w:p>
        </w:tc>
      </w:tr>
      <w:tr w:rsidR="001A4962" w:rsidRPr="00A80C8F" w14:paraId="0FAD02ED" w14:textId="77777777" w:rsidTr="00BD32D3">
        <w:trPr>
          <w:trHeight w:val="290"/>
        </w:trPr>
        <w:tc>
          <w:tcPr>
            <w:tcW w:w="2556" w:type="pct"/>
            <w:vAlign w:val="center"/>
            <w:hideMark/>
          </w:tcPr>
          <w:p w14:paraId="7A49F264"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DPC</w:t>
            </w:r>
          </w:p>
        </w:tc>
        <w:tc>
          <w:tcPr>
            <w:tcW w:w="853" w:type="pct"/>
            <w:vAlign w:val="center"/>
            <w:hideMark/>
          </w:tcPr>
          <w:p w14:paraId="01E4E1F7"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p w14:paraId="44BD691E"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p>
        </w:tc>
        <w:tc>
          <w:tcPr>
            <w:tcW w:w="854" w:type="pct"/>
          </w:tcPr>
          <w:p w14:paraId="31767A12"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$7.189,1</w:t>
            </w:r>
          </w:p>
        </w:tc>
        <w:tc>
          <w:tcPr>
            <w:tcW w:w="738" w:type="pct"/>
          </w:tcPr>
          <w:p w14:paraId="2935CAAC"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$7.189,1</w:t>
            </w:r>
          </w:p>
        </w:tc>
      </w:tr>
      <w:tr w:rsidR="001A4962" w:rsidRPr="00A80C8F" w14:paraId="471E90FD" w14:textId="77777777" w:rsidTr="00BD32D3">
        <w:trPr>
          <w:trHeight w:val="290"/>
        </w:trPr>
        <w:tc>
          <w:tcPr>
            <w:tcW w:w="2556" w:type="pct"/>
            <w:vAlign w:val="center"/>
            <w:hideMark/>
          </w:tcPr>
          <w:p w14:paraId="7B55FAC9" w14:textId="77777777" w:rsidR="001A4962" w:rsidRPr="00A80C8F" w:rsidRDefault="001A4962" w:rsidP="00BD32D3">
            <w:pP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lastRenderedPageBreak/>
              <w:t>GMS</w:t>
            </w:r>
          </w:p>
        </w:tc>
        <w:tc>
          <w:tcPr>
            <w:tcW w:w="853" w:type="pct"/>
            <w:tcBorders>
              <w:bottom w:val="single" w:sz="4" w:space="0" w:color="auto"/>
            </w:tcBorders>
            <w:vAlign w:val="center"/>
          </w:tcPr>
          <w:p w14:paraId="2C82F62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$1.608,54</w:t>
            </w:r>
          </w:p>
        </w:tc>
        <w:tc>
          <w:tcPr>
            <w:tcW w:w="854" w:type="pct"/>
            <w:tcBorders>
              <w:bottom w:val="single" w:sz="4" w:space="0" w:color="auto"/>
            </w:tcBorders>
            <w:vAlign w:val="center"/>
          </w:tcPr>
          <w:p w14:paraId="372AA0EB"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1</w:t>
            </w:r>
            <w:r w:rsidRPr="00A80C8F">
              <w:rPr>
                <w:rFonts w:asciiTheme="minorHAnsi" w:eastAsia="Times New Roman" w:hAnsiTheme="minorHAnsi" w:cs="Times New Roman"/>
                <w:color w:val="000000"/>
                <w:sz w:val="18"/>
                <w:szCs w:val="18"/>
                <w:lang w:eastAsia="es-CL"/>
              </w:rPr>
              <w:t>1.</w:t>
            </w:r>
            <w:r>
              <w:rPr>
                <w:rFonts w:asciiTheme="minorHAnsi" w:eastAsia="Times New Roman" w:hAnsiTheme="minorHAnsi" w:cs="Times New Roman"/>
                <w:color w:val="000000"/>
                <w:sz w:val="18"/>
                <w:szCs w:val="18"/>
                <w:lang w:eastAsia="es-CL"/>
              </w:rPr>
              <w:t>957</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5</w:t>
            </w:r>
          </w:p>
        </w:tc>
        <w:tc>
          <w:tcPr>
            <w:tcW w:w="738" w:type="pct"/>
            <w:tcBorders>
              <w:bottom w:val="single" w:sz="4" w:space="0" w:color="auto"/>
            </w:tcBorders>
            <w:vAlign w:val="center"/>
          </w:tcPr>
          <w:p w14:paraId="796C3447" w14:textId="77777777" w:rsidR="001A4962" w:rsidRPr="00A80C8F" w:rsidRDefault="001A4962" w:rsidP="00BD32D3">
            <w:pPr>
              <w:jc w:val="center"/>
              <w:rPr>
                <w:rFonts w:asciiTheme="minorHAnsi" w:eastAsia="Times New Roman" w:hAnsiTheme="minorHAnsi" w:cs="Times New Roman"/>
                <w:color w:val="000000"/>
                <w:sz w:val="18"/>
                <w:szCs w:val="18"/>
                <w:lang w:eastAsia="es-CL"/>
              </w:rPr>
            </w:pPr>
            <w:r w:rsidRPr="00A80C8F">
              <w:rPr>
                <w:rFonts w:asciiTheme="minorHAnsi" w:eastAsia="Times New Roman" w:hAnsiTheme="minorHAnsi" w:cs="Times New Roman"/>
                <w:color w:val="000000"/>
                <w:sz w:val="18"/>
                <w:szCs w:val="18"/>
                <w:lang w:eastAsia="es-CL"/>
              </w:rPr>
              <w:t>$1</w:t>
            </w:r>
            <w:r>
              <w:rPr>
                <w:rFonts w:asciiTheme="minorHAnsi" w:eastAsia="Times New Roman" w:hAnsiTheme="minorHAnsi" w:cs="Times New Roman"/>
                <w:color w:val="000000"/>
                <w:sz w:val="18"/>
                <w:szCs w:val="18"/>
                <w:lang w:eastAsia="es-CL"/>
              </w:rPr>
              <w:t>3</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566</w:t>
            </w:r>
            <w:r w:rsidRPr="00A80C8F">
              <w:rPr>
                <w:rFonts w:asciiTheme="minorHAnsi" w:eastAsia="Times New Roman" w:hAnsiTheme="minorHAnsi" w:cs="Times New Roman"/>
                <w:color w:val="000000"/>
                <w:sz w:val="18"/>
                <w:szCs w:val="18"/>
                <w:lang w:eastAsia="es-CL"/>
              </w:rPr>
              <w:t>,</w:t>
            </w:r>
            <w:r>
              <w:rPr>
                <w:rFonts w:asciiTheme="minorHAnsi" w:eastAsia="Times New Roman" w:hAnsiTheme="minorHAnsi" w:cs="Times New Roman"/>
                <w:color w:val="000000"/>
                <w:sz w:val="18"/>
                <w:szCs w:val="18"/>
                <w:lang w:eastAsia="es-CL"/>
              </w:rPr>
              <w:t>0</w:t>
            </w:r>
          </w:p>
        </w:tc>
      </w:tr>
      <w:tr w:rsidR="001A4962" w:rsidRPr="00A80C8F" w14:paraId="299B63DC" w14:textId="77777777" w:rsidTr="00BD32D3">
        <w:trPr>
          <w:trHeight w:val="290"/>
        </w:trPr>
        <w:tc>
          <w:tcPr>
            <w:tcW w:w="2556" w:type="pct"/>
            <w:shd w:val="clear" w:color="000000" w:fill="16A086"/>
            <w:vAlign w:val="center"/>
            <w:hideMark/>
          </w:tcPr>
          <w:p w14:paraId="7AAD03DC" w14:textId="77777777" w:rsidR="001A4962" w:rsidRPr="00A80C8F" w:rsidRDefault="001A4962" w:rsidP="00BD32D3">
            <w:pPr>
              <w:rPr>
                <w:rFonts w:asciiTheme="minorHAnsi" w:eastAsia="Times New Roman" w:hAnsiTheme="minorHAnsi" w:cs="Times New Roman"/>
                <w:b/>
                <w:bCs/>
                <w:color w:val="FFFFFF"/>
                <w:sz w:val="18"/>
                <w:szCs w:val="18"/>
                <w:lang w:eastAsia="es-CL"/>
              </w:rPr>
            </w:pPr>
            <w:r w:rsidRPr="00A80C8F">
              <w:rPr>
                <w:rFonts w:asciiTheme="minorHAnsi" w:eastAsia="Times New Roman" w:hAnsiTheme="minorHAnsi" w:cs="Times New Roman"/>
                <w:b/>
                <w:bCs/>
                <w:color w:val="FFFFFF"/>
                <w:sz w:val="18"/>
                <w:szCs w:val="18"/>
                <w:lang w:eastAsia="es-CL"/>
              </w:rPr>
              <w:t>TOTAL KBF</w:t>
            </w:r>
          </w:p>
          <w:p w14:paraId="5A7A19D6" w14:textId="77777777" w:rsidR="001A4962" w:rsidRPr="00A80C8F" w:rsidRDefault="001A4962" w:rsidP="00BD32D3">
            <w:pPr>
              <w:rPr>
                <w:rFonts w:asciiTheme="minorHAnsi" w:eastAsia="Times New Roman" w:hAnsiTheme="minorHAnsi" w:cs="Times New Roman"/>
                <w:b/>
                <w:bCs/>
                <w:color w:val="FFFFFF"/>
                <w:sz w:val="18"/>
                <w:szCs w:val="18"/>
                <w:lang w:eastAsia="es-CL"/>
              </w:rPr>
            </w:pPr>
          </w:p>
          <w:p w14:paraId="193E1DF5" w14:textId="77777777" w:rsidR="001A4962" w:rsidRPr="00A80C8F" w:rsidRDefault="001A4962" w:rsidP="00BD32D3">
            <w:pPr>
              <w:rPr>
                <w:rFonts w:asciiTheme="minorHAnsi" w:eastAsia="Times New Roman" w:hAnsiTheme="minorHAnsi" w:cs="Times New Roman"/>
                <w:b/>
                <w:bCs/>
                <w:color w:val="FFFFFF"/>
                <w:sz w:val="18"/>
                <w:szCs w:val="18"/>
                <w:lang w:eastAsia="es-CL"/>
              </w:rPr>
            </w:pPr>
          </w:p>
        </w:tc>
        <w:tc>
          <w:tcPr>
            <w:tcW w:w="853" w:type="pct"/>
            <w:tcBorders>
              <w:bottom w:val="single" w:sz="4" w:space="0" w:color="auto"/>
            </w:tcBorders>
            <w:shd w:val="clear" w:color="auto" w:fill="16A086"/>
            <w:vAlign w:val="center"/>
          </w:tcPr>
          <w:p w14:paraId="7F0FF31A" w14:textId="77777777" w:rsidR="001A4962" w:rsidRPr="00A80C8F" w:rsidRDefault="001A4962" w:rsidP="00BD32D3">
            <w:pPr>
              <w:jc w:val="center"/>
              <w:rPr>
                <w:rFonts w:asciiTheme="minorHAnsi" w:eastAsia="Times New Roman" w:hAnsiTheme="minorHAnsi" w:cs="Times New Roman"/>
                <w:b/>
                <w:bCs/>
                <w:color w:val="FFFFFF"/>
                <w:sz w:val="18"/>
                <w:szCs w:val="18"/>
                <w:lang w:eastAsia="es-CL"/>
              </w:rPr>
            </w:pPr>
            <w:r w:rsidRPr="00A80C8F">
              <w:rPr>
                <w:rFonts w:asciiTheme="minorHAnsi" w:eastAsia="Times New Roman" w:hAnsiTheme="minorHAnsi" w:cs="Times New Roman"/>
                <w:b/>
                <w:bCs/>
                <w:color w:val="FFFFFF"/>
                <w:sz w:val="18"/>
                <w:szCs w:val="18"/>
                <w:lang w:eastAsia="es-CL"/>
              </w:rPr>
              <w:t>$2</w:t>
            </w:r>
            <w:r>
              <w:rPr>
                <w:rFonts w:asciiTheme="minorHAnsi" w:eastAsia="Times New Roman" w:hAnsiTheme="minorHAnsi" w:cs="Times New Roman"/>
                <w:b/>
                <w:bCs/>
                <w:color w:val="FFFFFF"/>
                <w:sz w:val="18"/>
                <w:szCs w:val="18"/>
                <w:lang w:eastAsia="es-CL"/>
              </w:rPr>
              <w:t>1.716</w:t>
            </w:r>
            <w:r w:rsidRPr="00A80C8F">
              <w:rPr>
                <w:rFonts w:asciiTheme="minorHAnsi" w:eastAsia="Times New Roman" w:hAnsiTheme="minorHAnsi" w:cs="Times New Roman"/>
                <w:b/>
                <w:bCs/>
                <w:color w:val="FFFFFF"/>
                <w:sz w:val="18"/>
                <w:szCs w:val="18"/>
                <w:lang w:eastAsia="es-CL"/>
              </w:rPr>
              <w:t>,</w:t>
            </w:r>
            <w:r>
              <w:rPr>
                <w:rFonts w:asciiTheme="minorHAnsi" w:eastAsia="Times New Roman" w:hAnsiTheme="minorHAnsi" w:cs="Times New Roman"/>
                <w:b/>
                <w:bCs/>
                <w:color w:val="FFFFFF"/>
                <w:sz w:val="18"/>
                <w:szCs w:val="18"/>
                <w:lang w:eastAsia="es-CL"/>
              </w:rPr>
              <w:t>5</w:t>
            </w:r>
          </w:p>
        </w:tc>
        <w:tc>
          <w:tcPr>
            <w:tcW w:w="854" w:type="pct"/>
            <w:tcBorders>
              <w:bottom w:val="single" w:sz="4" w:space="0" w:color="auto"/>
            </w:tcBorders>
            <w:shd w:val="clear" w:color="auto" w:fill="16A086"/>
            <w:vAlign w:val="center"/>
          </w:tcPr>
          <w:p w14:paraId="21EE2801" w14:textId="77777777" w:rsidR="001A4962" w:rsidRPr="00A80C8F" w:rsidRDefault="001A4962" w:rsidP="00BD32D3">
            <w:pPr>
              <w:jc w:val="center"/>
              <w:rPr>
                <w:rFonts w:asciiTheme="minorHAnsi" w:eastAsia="Times New Roman" w:hAnsiTheme="minorHAnsi" w:cs="Times New Roman"/>
                <w:b/>
                <w:bCs/>
                <w:color w:val="FFFFFF"/>
                <w:sz w:val="18"/>
                <w:szCs w:val="18"/>
                <w:lang w:eastAsia="es-CL"/>
              </w:rPr>
            </w:pPr>
            <w:r w:rsidRPr="00A80C8F">
              <w:rPr>
                <w:rFonts w:asciiTheme="minorHAnsi" w:eastAsia="Times New Roman" w:hAnsiTheme="minorHAnsi" w:cs="Times New Roman"/>
                <w:b/>
                <w:bCs/>
                <w:color w:val="FFFFFF"/>
                <w:sz w:val="18"/>
                <w:szCs w:val="18"/>
                <w:lang w:eastAsia="es-CL"/>
              </w:rPr>
              <w:t xml:space="preserve">           $</w:t>
            </w:r>
            <w:r w:rsidRPr="00A80C8F">
              <w:rPr>
                <w:rFonts w:asciiTheme="minorHAnsi" w:hAnsiTheme="minorHAnsi"/>
                <w:b/>
                <w:bCs/>
                <w:color w:val="000000"/>
                <w:sz w:val="18"/>
                <w:szCs w:val="18"/>
              </w:rPr>
              <w:t xml:space="preserve"> </w:t>
            </w:r>
            <w:r w:rsidRPr="00A80C8F">
              <w:rPr>
                <w:rFonts w:asciiTheme="minorHAnsi" w:eastAsia="Times New Roman" w:hAnsiTheme="minorHAnsi" w:cs="Times New Roman"/>
                <w:b/>
                <w:bCs/>
                <w:color w:val="FFFFFF"/>
                <w:sz w:val="18"/>
                <w:szCs w:val="18"/>
                <w:lang w:eastAsia="es-CL"/>
              </w:rPr>
              <w:t>1</w:t>
            </w:r>
            <w:r>
              <w:rPr>
                <w:rFonts w:asciiTheme="minorHAnsi" w:eastAsia="Times New Roman" w:hAnsiTheme="minorHAnsi" w:cs="Times New Roman"/>
                <w:b/>
                <w:bCs/>
                <w:color w:val="FFFFFF"/>
                <w:sz w:val="18"/>
                <w:szCs w:val="18"/>
                <w:lang w:eastAsia="es-CL"/>
              </w:rPr>
              <w:t>78</w:t>
            </w:r>
            <w:r w:rsidRPr="00A80C8F">
              <w:rPr>
                <w:rFonts w:asciiTheme="minorHAnsi" w:eastAsia="Times New Roman" w:hAnsiTheme="minorHAnsi" w:cs="Times New Roman"/>
                <w:b/>
                <w:bCs/>
                <w:color w:val="FFFFFF"/>
                <w:sz w:val="18"/>
                <w:szCs w:val="18"/>
                <w:lang w:eastAsia="es-CL"/>
              </w:rPr>
              <w:t>.</w:t>
            </w:r>
            <w:r>
              <w:rPr>
                <w:rFonts w:asciiTheme="minorHAnsi" w:eastAsia="Times New Roman" w:hAnsiTheme="minorHAnsi" w:cs="Times New Roman"/>
                <w:b/>
                <w:bCs/>
                <w:color w:val="FFFFFF"/>
                <w:sz w:val="18"/>
                <w:szCs w:val="18"/>
                <w:lang w:eastAsia="es-CL"/>
              </w:rPr>
              <w:t>283,5</w:t>
            </w:r>
          </w:p>
        </w:tc>
        <w:tc>
          <w:tcPr>
            <w:tcW w:w="738" w:type="pct"/>
            <w:tcBorders>
              <w:bottom w:val="single" w:sz="4" w:space="0" w:color="auto"/>
            </w:tcBorders>
            <w:shd w:val="clear" w:color="auto" w:fill="16A086"/>
            <w:vAlign w:val="center"/>
          </w:tcPr>
          <w:p w14:paraId="48817612" w14:textId="77777777" w:rsidR="001A4962" w:rsidRPr="00A80C8F" w:rsidRDefault="001A4962" w:rsidP="00BD32D3">
            <w:pPr>
              <w:jc w:val="center"/>
              <w:rPr>
                <w:rFonts w:asciiTheme="minorHAnsi" w:eastAsia="Times New Roman" w:hAnsiTheme="minorHAnsi" w:cs="Times New Roman"/>
                <w:b/>
                <w:bCs/>
                <w:color w:val="FFFFFF"/>
                <w:sz w:val="18"/>
                <w:szCs w:val="18"/>
                <w:lang w:eastAsia="es-CL"/>
              </w:rPr>
            </w:pPr>
            <w:r w:rsidRPr="00A80C8F">
              <w:rPr>
                <w:rFonts w:asciiTheme="minorHAnsi" w:eastAsia="Times New Roman" w:hAnsiTheme="minorHAnsi" w:cs="Times New Roman"/>
                <w:b/>
                <w:bCs/>
                <w:color w:val="FFFFFF"/>
                <w:sz w:val="18"/>
                <w:szCs w:val="18"/>
                <w:lang w:eastAsia="es-CL"/>
              </w:rPr>
              <w:t>$200</w:t>
            </w:r>
            <w:r>
              <w:rPr>
                <w:rFonts w:asciiTheme="minorHAnsi" w:eastAsia="Times New Roman" w:hAnsiTheme="minorHAnsi" w:cs="Times New Roman"/>
                <w:b/>
                <w:bCs/>
                <w:color w:val="FFFFFF"/>
                <w:sz w:val="18"/>
                <w:szCs w:val="18"/>
                <w:lang w:eastAsia="es-CL"/>
              </w:rPr>
              <w:t>000</w:t>
            </w:r>
          </w:p>
        </w:tc>
      </w:tr>
    </w:tbl>
    <w:p w14:paraId="4952C829" w14:textId="77777777" w:rsidR="001A4962" w:rsidRDefault="001A4962" w:rsidP="001A4962">
      <w:pPr>
        <w:jc w:val="center"/>
      </w:pPr>
    </w:p>
    <w:p w14:paraId="07D5B38D" w14:textId="77777777" w:rsidR="001A4962" w:rsidRDefault="001A4962" w:rsidP="001A4962">
      <w:pPr>
        <w:jc w:val="center"/>
      </w:pPr>
    </w:p>
    <w:p w14:paraId="2C55D5DB" w14:textId="77777777" w:rsidR="001A4962" w:rsidRDefault="001A4962" w:rsidP="001A4962">
      <w:pPr>
        <w:jc w:val="center"/>
      </w:pPr>
    </w:p>
    <w:p w14:paraId="73F9FDC9" w14:textId="77777777" w:rsidR="001A4962" w:rsidRDefault="001A4962" w:rsidP="001A4962">
      <w:pPr>
        <w:jc w:val="center"/>
      </w:pPr>
    </w:p>
    <w:p w14:paraId="5889EFF2" w14:textId="77777777" w:rsidR="001A4962" w:rsidRDefault="001A4962" w:rsidP="001A4962">
      <w:pPr>
        <w:jc w:val="center"/>
      </w:pPr>
    </w:p>
    <w:p w14:paraId="3EC6EE5B" w14:textId="77777777" w:rsidR="001A4962" w:rsidRDefault="001A4962" w:rsidP="001A4962"/>
    <w:p w14:paraId="25970493" w14:textId="77777777" w:rsidR="008C0D2A" w:rsidRDefault="008C0D2A" w:rsidP="00676C12"/>
    <w:p w14:paraId="1EA3003F" w14:textId="77777777" w:rsidR="008C0D2A" w:rsidRDefault="008C0D2A" w:rsidP="00676C12"/>
    <w:p w14:paraId="210B6EDD" w14:textId="37B35311" w:rsidR="008C0D2A" w:rsidRDefault="008C0D2A" w:rsidP="00676C12"/>
    <w:p w14:paraId="71F1BA7D" w14:textId="77777777" w:rsidR="00BB5721" w:rsidRDefault="00BB5721" w:rsidP="00676C12"/>
    <w:sectPr w:rsidR="00BB5721" w:rsidSect="00D74B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F4CF" w14:textId="77777777" w:rsidR="00272951" w:rsidRDefault="00272951" w:rsidP="00676C12">
      <w:r>
        <w:separator/>
      </w:r>
    </w:p>
  </w:endnote>
  <w:endnote w:type="continuationSeparator" w:id="0">
    <w:p w14:paraId="76221832" w14:textId="77777777" w:rsidR="00272951" w:rsidRDefault="00272951" w:rsidP="0067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5E83" w14:textId="77777777" w:rsidR="00272951" w:rsidRDefault="00272951" w:rsidP="00676C12">
      <w:r>
        <w:separator/>
      </w:r>
    </w:p>
  </w:footnote>
  <w:footnote w:type="continuationSeparator" w:id="0">
    <w:p w14:paraId="25A4B4E8" w14:textId="77777777" w:rsidR="00272951" w:rsidRDefault="00272951" w:rsidP="0067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CEE" w14:textId="49AB47D6" w:rsidR="00676C12" w:rsidRDefault="00676C12">
    <w:pPr>
      <w:pStyle w:val="Header"/>
    </w:pPr>
    <w:r>
      <w:rPr>
        <w:noProof/>
      </w:rPr>
      <w:drawing>
        <wp:anchor distT="0" distB="0" distL="114300" distR="114300" simplePos="0" relativeHeight="251658240" behindDoc="0" locked="0" layoutInCell="1" allowOverlap="1" wp14:anchorId="4AEFB130" wp14:editId="57EF4393">
          <wp:simplePos x="0" y="0"/>
          <wp:positionH relativeFrom="column">
            <wp:posOffset>5838825</wp:posOffset>
          </wp:positionH>
          <wp:positionV relativeFrom="paragraph">
            <wp:posOffset>-497205</wp:posOffset>
          </wp:positionV>
          <wp:extent cx="923446" cy="1181100"/>
          <wp:effectExtent l="0" t="0" r="0" b="0"/>
          <wp:wrapSquare wrapText="bothSides"/>
          <wp:docPr id="18125116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
                    <a:extLst>
                      <a:ext uri="{28A0092B-C50C-407E-A947-70E740481C1C}">
                        <a14:useLocalDpi xmlns:a14="http://schemas.microsoft.com/office/drawing/2010/main" val="0"/>
                      </a:ext>
                    </a:extLst>
                  </a:blip>
                  <a:srcRect l="26251" t="14276" r="24010" b="19865"/>
                  <a:stretch>
                    <a:fillRect/>
                  </a:stretch>
                </pic:blipFill>
                <pic:spPr bwMode="auto">
                  <a:xfrm>
                    <a:off x="0" y="0"/>
                    <a:ext cx="925494" cy="1183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464C" w14:textId="77777777" w:rsidR="00676C12" w:rsidRDefault="00676C12">
    <w:pPr>
      <w:pStyle w:val="Header"/>
    </w:pPr>
    <w:r>
      <w:rPr>
        <w:noProof/>
      </w:rPr>
      <w:drawing>
        <wp:anchor distT="0" distB="0" distL="114300" distR="114300" simplePos="0" relativeHeight="251658241" behindDoc="0" locked="0" layoutInCell="1" allowOverlap="1" wp14:anchorId="46A8810A" wp14:editId="556C9BE1">
          <wp:simplePos x="0" y="0"/>
          <wp:positionH relativeFrom="column">
            <wp:posOffset>8763000</wp:posOffset>
          </wp:positionH>
          <wp:positionV relativeFrom="paragraph">
            <wp:posOffset>-554355</wp:posOffset>
          </wp:positionV>
          <wp:extent cx="923446" cy="1181100"/>
          <wp:effectExtent l="0" t="0" r="0" b="0"/>
          <wp:wrapSquare wrapText="bothSides"/>
          <wp:docPr id="2280704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
                    <a:extLst>
                      <a:ext uri="{28A0092B-C50C-407E-A947-70E740481C1C}">
                        <a14:useLocalDpi xmlns:a14="http://schemas.microsoft.com/office/drawing/2010/main" val="0"/>
                      </a:ext>
                    </a:extLst>
                  </a:blip>
                  <a:srcRect l="26251" t="14276" r="24010" b="19865"/>
                  <a:stretch>
                    <a:fillRect/>
                  </a:stretch>
                </pic:blipFill>
                <pic:spPr bwMode="auto">
                  <a:xfrm>
                    <a:off x="0" y="0"/>
                    <a:ext cx="923446"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AC9"/>
    <w:multiLevelType w:val="multilevel"/>
    <w:tmpl w:val="F7EE2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0140F"/>
    <w:multiLevelType w:val="multilevel"/>
    <w:tmpl w:val="D4F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E5C42"/>
    <w:multiLevelType w:val="hybridMultilevel"/>
    <w:tmpl w:val="161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F272E"/>
    <w:multiLevelType w:val="hybridMultilevel"/>
    <w:tmpl w:val="7DCA3D0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 w15:restartNumberingAfterBreak="0">
    <w:nsid w:val="20B44785"/>
    <w:multiLevelType w:val="multilevel"/>
    <w:tmpl w:val="EDBA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D7133"/>
    <w:multiLevelType w:val="multilevel"/>
    <w:tmpl w:val="087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F1806"/>
    <w:multiLevelType w:val="hybridMultilevel"/>
    <w:tmpl w:val="B11044D6"/>
    <w:lvl w:ilvl="0" w:tplc="BE30C978">
      <w:numFmt w:val="bullet"/>
      <w:lvlText w:val="•"/>
      <w:lvlJc w:val="left"/>
      <w:pPr>
        <w:ind w:left="1080" w:hanging="72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01B98"/>
    <w:multiLevelType w:val="hybridMultilevel"/>
    <w:tmpl w:val="C6CC099A"/>
    <w:lvl w:ilvl="0" w:tplc="04090001">
      <w:start w:val="1"/>
      <w:numFmt w:val="bullet"/>
      <w:lvlText w:val=""/>
      <w:lvlJc w:val="left"/>
      <w:pPr>
        <w:ind w:left="758" w:hanging="360"/>
      </w:pPr>
      <w:rPr>
        <w:rFonts w:ascii="Symbol" w:hAnsi="Symbol" w:hint="default"/>
      </w:rPr>
    </w:lvl>
    <w:lvl w:ilvl="1" w:tplc="1AF69B40">
      <w:numFmt w:val="bullet"/>
      <w:lvlText w:val="•"/>
      <w:lvlJc w:val="left"/>
      <w:pPr>
        <w:ind w:left="1478" w:hanging="360"/>
      </w:pPr>
      <w:rPr>
        <w:rFonts w:ascii="Aptos" w:eastAsiaTheme="majorEastAsia" w:hAnsi="Aptos" w:cs="Segoe UI" w:hint="default"/>
        <w:b/>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15:restartNumberingAfterBreak="0">
    <w:nsid w:val="31F96386"/>
    <w:multiLevelType w:val="multilevel"/>
    <w:tmpl w:val="40C8B15A"/>
    <w:lvl w:ilvl="0">
      <w:start w:val="1"/>
      <w:numFmt w:val="bullet"/>
      <w:lvlText w:val=""/>
      <w:lvlJc w:val="left"/>
      <w:pPr>
        <w:ind w:left="720" w:hanging="360"/>
      </w:pPr>
      <w:rPr>
        <w:rFonts w:ascii="Wingdings" w:eastAsia="Times New Roman" w:hAnsi="Wingdings" w:cs="Times New Roman" w:hint="default"/>
        <w:b w:val="0"/>
        <w:color w:val="202428"/>
        <w:sz w:val="21"/>
        <w:szCs w:val="16"/>
      </w:rPr>
    </w:lvl>
    <w:lvl w:ilvl="1">
      <w:start w:val="1"/>
      <w:numFmt w:val="bullet"/>
      <w:lvlText w:val="o"/>
      <w:lvlJc w:val="left"/>
      <w:pPr>
        <w:ind w:left="1095" w:hanging="360"/>
      </w:pPr>
      <w:rPr>
        <w:rFonts w:ascii="Courier New" w:eastAsia="Courier New" w:hAnsi="Courier New" w:cs="Courier New"/>
      </w:rPr>
    </w:lvl>
    <w:lvl w:ilvl="2">
      <w:start w:val="1"/>
      <w:numFmt w:val="bullet"/>
      <w:lvlText w:val="▪"/>
      <w:lvlJc w:val="left"/>
      <w:pPr>
        <w:ind w:left="1815" w:hanging="360"/>
      </w:pPr>
      <w:rPr>
        <w:rFonts w:ascii="Noto Sans Symbols" w:eastAsia="Noto Sans Symbols" w:hAnsi="Noto Sans Symbols" w:cs="Noto Sans Symbols"/>
      </w:rPr>
    </w:lvl>
    <w:lvl w:ilvl="3">
      <w:start w:val="1"/>
      <w:numFmt w:val="bullet"/>
      <w:lvlText w:val="●"/>
      <w:lvlJc w:val="left"/>
      <w:pPr>
        <w:ind w:left="2535" w:hanging="360"/>
      </w:pPr>
      <w:rPr>
        <w:rFonts w:ascii="Noto Sans Symbols" w:eastAsia="Noto Sans Symbols" w:hAnsi="Noto Sans Symbols" w:cs="Noto Sans Symbols"/>
      </w:rPr>
    </w:lvl>
    <w:lvl w:ilvl="4">
      <w:start w:val="1"/>
      <w:numFmt w:val="bullet"/>
      <w:lvlText w:val="o"/>
      <w:lvlJc w:val="left"/>
      <w:pPr>
        <w:ind w:left="3255" w:hanging="360"/>
      </w:pPr>
      <w:rPr>
        <w:rFonts w:ascii="Courier New" w:eastAsia="Courier New" w:hAnsi="Courier New" w:cs="Courier New"/>
      </w:rPr>
    </w:lvl>
    <w:lvl w:ilvl="5">
      <w:start w:val="1"/>
      <w:numFmt w:val="bullet"/>
      <w:lvlText w:val="▪"/>
      <w:lvlJc w:val="left"/>
      <w:pPr>
        <w:ind w:left="3975" w:hanging="360"/>
      </w:pPr>
      <w:rPr>
        <w:rFonts w:ascii="Noto Sans Symbols" w:eastAsia="Noto Sans Symbols" w:hAnsi="Noto Sans Symbols" w:cs="Noto Sans Symbols"/>
      </w:rPr>
    </w:lvl>
    <w:lvl w:ilvl="6">
      <w:start w:val="1"/>
      <w:numFmt w:val="bullet"/>
      <w:lvlText w:val="●"/>
      <w:lvlJc w:val="left"/>
      <w:pPr>
        <w:ind w:left="4695" w:hanging="360"/>
      </w:pPr>
      <w:rPr>
        <w:rFonts w:ascii="Noto Sans Symbols" w:eastAsia="Noto Sans Symbols" w:hAnsi="Noto Sans Symbols" w:cs="Noto Sans Symbols"/>
      </w:rPr>
    </w:lvl>
    <w:lvl w:ilvl="7">
      <w:start w:val="1"/>
      <w:numFmt w:val="bullet"/>
      <w:lvlText w:val="o"/>
      <w:lvlJc w:val="left"/>
      <w:pPr>
        <w:ind w:left="5415" w:hanging="360"/>
      </w:pPr>
      <w:rPr>
        <w:rFonts w:ascii="Courier New" w:eastAsia="Courier New" w:hAnsi="Courier New" w:cs="Courier New"/>
      </w:rPr>
    </w:lvl>
    <w:lvl w:ilvl="8">
      <w:start w:val="1"/>
      <w:numFmt w:val="bullet"/>
      <w:lvlText w:val="▪"/>
      <w:lvlJc w:val="left"/>
      <w:pPr>
        <w:ind w:left="6135" w:hanging="360"/>
      </w:pPr>
      <w:rPr>
        <w:rFonts w:ascii="Noto Sans Symbols" w:eastAsia="Noto Sans Symbols" w:hAnsi="Noto Sans Symbols" w:cs="Noto Sans Symbols"/>
      </w:rPr>
    </w:lvl>
  </w:abstractNum>
  <w:abstractNum w:abstractNumId="9" w15:restartNumberingAfterBreak="0">
    <w:nsid w:val="35B81E27"/>
    <w:multiLevelType w:val="multilevel"/>
    <w:tmpl w:val="D4F6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87866"/>
    <w:multiLevelType w:val="multilevel"/>
    <w:tmpl w:val="472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D6305"/>
    <w:multiLevelType w:val="hybridMultilevel"/>
    <w:tmpl w:val="F58C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9514F"/>
    <w:multiLevelType w:val="hybridMultilevel"/>
    <w:tmpl w:val="865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A6E1D"/>
    <w:multiLevelType w:val="multilevel"/>
    <w:tmpl w:val="612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B69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576656"/>
    <w:multiLevelType w:val="hybridMultilevel"/>
    <w:tmpl w:val="79EA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E757B"/>
    <w:multiLevelType w:val="multilevel"/>
    <w:tmpl w:val="FC20F4D0"/>
    <w:lvl w:ilvl="0">
      <w:start w:val="1"/>
      <w:numFmt w:val="bullet"/>
      <w:lvlText w:val=""/>
      <w:lvlJc w:val="left"/>
      <w:pPr>
        <w:ind w:left="720" w:hanging="360"/>
      </w:pPr>
      <w:rPr>
        <w:rFonts w:ascii="Wingdings" w:eastAsia="Times New Roman" w:hAnsi="Wingdings" w:cs="Times New Roman" w:hint="default"/>
        <w:b w:val="0"/>
        <w:color w:val="202428"/>
        <w:sz w:val="21"/>
        <w:szCs w:val="16"/>
      </w:rPr>
    </w:lvl>
    <w:lvl w:ilvl="1">
      <w:start w:val="1"/>
      <w:numFmt w:val="bullet"/>
      <w:lvlText w:val="o"/>
      <w:lvlJc w:val="left"/>
      <w:pPr>
        <w:ind w:left="1095" w:hanging="360"/>
      </w:pPr>
      <w:rPr>
        <w:rFonts w:ascii="Courier New" w:eastAsia="Courier New" w:hAnsi="Courier New" w:cs="Courier New"/>
      </w:rPr>
    </w:lvl>
    <w:lvl w:ilvl="2">
      <w:start w:val="1"/>
      <w:numFmt w:val="bullet"/>
      <w:lvlText w:val="▪"/>
      <w:lvlJc w:val="left"/>
      <w:pPr>
        <w:ind w:left="1815" w:hanging="360"/>
      </w:pPr>
      <w:rPr>
        <w:rFonts w:ascii="Noto Sans Symbols" w:eastAsia="Noto Sans Symbols" w:hAnsi="Noto Sans Symbols" w:cs="Noto Sans Symbols"/>
      </w:rPr>
    </w:lvl>
    <w:lvl w:ilvl="3">
      <w:start w:val="1"/>
      <w:numFmt w:val="bullet"/>
      <w:lvlText w:val="●"/>
      <w:lvlJc w:val="left"/>
      <w:pPr>
        <w:ind w:left="2535" w:hanging="360"/>
      </w:pPr>
      <w:rPr>
        <w:rFonts w:ascii="Noto Sans Symbols" w:eastAsia="Noto Sans Symbols" w:hAnsi="Noto Sans Symbols" w:cs="Noto Sans Symbols"/>
      </w:rPr>
    </w:lvl>
    <w:lvl w:ilvl="4">
      <w:start w:val="1"/>
      <w:numFmt w:val="bullet"/>
      <w:lvlText w:val="o"/>
      <w:lvlJc w:val="left"/>
      <w:pPr>
        <w:ind w:left="3255" w:hanging="360"/>
      </w:pPr>
      <w:rPr>
        <w:rFonts w:ascii="Courier New" w:eastAsia="Courier New" w:hAnsi="Courier New" w:cs="Courier New"/>
      </w:rPr>
    </w:lvl>
    <w:lvl w:ilvl="5">
      <w:start w:val="1"/>
      <w:numFmt w:val="bullet"/>
      <w:lvlText w:val="▪"/>
      <w:lvlJc w:val="left"/>
      <w:pPr>
        <w:ind w:left="3975" w:hanging="360"/>
      </w:pPr>
      <w:rPr>
        <w:rFonts w:ascii="Noto Sans Symbols" w:eastAsia="Noto Sans Symbols" w:hAnsi="Noto Sans Symbols" w:cs="Noto Sans Symbols"/>
      </w:rPr>
    </w:lvl>
    <w:lvl w:ilvl="6">
      <w:start w:val="1"/>
      <w:numFmt w:val="bullet"/>
      <w:lvlText w:val="●"/>
      <w:lvlJc w:val="left"/>
      <w:pPr>
        <w:ind w:left="4695" w:hanging="360"/>
      </w:pPr>
      <w:rPr>
        <w:rFonts w:ascii="Noto Sans Symbols" w:eastAsia="Noto Sans Symbols" w:hAnsi="Noto Sans Symbols" w:cs="Noto Sans Symbols"/>
      </w:rPr>
    </w:lvl>
    <w:lvl w:ilvl="7">
      <w:start w:val="1"/>
      <w:numFmt w:val="bullet"/>
      <w:lvlText w:val="o"/>
      <w:lvlJc w:val="left"/>
      <w:pPr>
        <w:ind w:left="5415" w:hanging="360"/>
      </w:pPr>
      <w:rPr>
        <w:rFonts w:ascii="Courier New" w:eastAsia="Courier New" w:hAnsi="Courier New" w:cs="Courier New"/>
      </w:rPr>
    </w:lvl>
    <w:lvl w:ilvl="8">
      <w:start w:val="1"/>
      <w:numFmt w:val="bullet"/>
      <w:lvlText w:val="▪"/>
      <w:lvlJc w:val="left"/>
      <w:pPr>
        <w:ind w:left="6135" w:hanging="360"/>
      </w:pPr>
      <w:rPr>
        <w:rFonts w:ascii="Noto Sans Symbols" w:eastAsia="Noto Sans Symbols" w:hAnsi="Noto Sans Symbols" w:cs="Noto Sans Symbols"/>
      </w:rPr>
    </w:lvl>
  </w:abstractNum>
  <w:abstractNum w:abstractNumId="17" w15:restartNumberingAfterBreak="0">
    <w:nsid w:val="55A96C9F"/>
    <w:multiLevelType w:val="hybridMultilevel"/>
    <w:tmpl w:val="C766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84AD8"/>
    <w:multiLevelType w:val="hybridMultilevel"/>
    <w:tmpl w:val="03B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958D3"/>
    <w:multiLevelType w:val="hybridMultilevel"/>
    <w:tmpl w:val="D30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37578"/>
    <w:multiLevelType w:val="hybridMultilevel"/>
    <w:tmpl w:val="8D40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93E25"/>
    <w:multiLevelType w:val="hybridMultilevel"/>
    <w:tmpl w:val="C7163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355430">
    <w:abstractNumId w:val="8"/>
  </w:num>
  <w:num w:numId="2" w16cid:durableId="1144278090">
    <w:abstractNumId w:val="16"/>
  </w:num>
  <w:num w:numId="3" w16cid:durableId="490559442">
    <w:abstractNumId w:val="20"/>
  </w:num>
  <w:num w:numId="4" w16cid:durableId="2046323257">
    <w:abstractNumId w:val="6"/>
  </w:num>
  <w:num w:numId="5" w16cid:durableId="347945562">
    <w:abstractNumId w:val="18"/>
  </w:num>
  <w:num w:numId="6" w16cid:durableId="768739730">
    <w:abstractNumId w:val="4"/>
  </w:num>
  <w:num w:numId="7" w16cid:durableId="502209708">
    <w:abstractNumId w:val="13"/>
  </w:num>
  <w:num w:numId="8" w16cid:durableId="1128814124">
    <w:abstractNumId w:val="10"/>
  </w:num>
  <w:num w:numId="9" w16cid:durableId="1997613951">
    <w:abstractNumId w:val="5"/>
  </w:num>
  <w:num w:numId="10" w16cid:durableId="1499424653">
    <w:abstractNumId w:val="11"/>
  </w:num>
  <w:num w:numId="11" w16cid:durableId="962080632">
    <w:abstractNumId w:val="12"/>
  </w:num>
  <w:num w:numId="12" w16cid:durableId="299771717">
    <w:abstractNumId w:val="14"/>
  </w:num>
  <w:num w:numId="13" w16cid:durableId="773325990">
    <w:abstractNumId w:val="0"/>
  </w:num>
  <w:num w:numId="14" w16cid:durableId="1968583324">
    <w:abstractNumId w:val="15"/>
  </w:num>
  <w:num w:numId="15" w16cid:durableId="1344940403">
    <w:abstractNumId w:val="9"/>
  </w:num>
  <w:num w:numId="16" w16cid:durableId="913588603">
    <w:abstractNumId w:val="1"/>
  </w:num>
  <w:num w:numId="17" w16cid:durableId="1014452132">
    <w:abstractNumId w:val="21"/>
  </w:num>
  <w:num w:numId="18" w16cid:durableId="1374646831">
    <w:abstractNumId w:val="17"/>
  </w:num>
  <w:num w:numId="19" w16cid:durableId="1057389354">
    <w:abstractNumId w:val="19"/>
  </w:num>
  <w:num w:numId="20" w16cid:durableId="990477787">
    <w:abstractNumId w:val="3"/>
  </w:num>
  <w:num w:numId="21" w16cid:durableId="1042747370">
    <w:abstractNumId w:val="7"/>
  </w:num>
  <w:num w:numId="22" w16cid:durableId="240213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12"/>
    <w:rsid w:val="00000E22"/>
    <w:rsid w:val="00000EF1"/>
    <w:rsid w:val="00011F4D"/>
    <w:rsid w:val="00017380"/>
    <w:rsid w:val="00017D54"/>
    <w:rsid w:val="00017F45"/>
    <w:rsid w:val="00022125"/>
    <w:rsid w:val="00024C75"/>
    <w:rsid w:val="0003107B"/>
    <w:rsid w:val="0003483F"/>
    <w:rsid w:val="000363E8"/>
    <w:rsid w:val="00042EFE"/>
    <w:rsid w:val="000469A6"/>
    <w:rsid w:val="00046DCE"/>
    <w:rsid w:val="00047207"/>
    <w:rsid w:val="00052382"/>
    <w:rsid w:val="00053D22"/>
    <w:rsid w:val="00055254"/>
    <w:rsid w:val="000554A1"/>
    <w:rsid w:val="0005736F"/>
    <w:rsid w:val="00057DB6"/>
    <w:rsid w:val="000612E2"/>
    <w:rsid w:val="00065399"/>
    <w:rsid w:val="0006558D"/>
    <w:rsid w:val="0007042E"/>
    <w:rsid w:val="000716DC"/>
    <w:rsid w:val="000759B3"/>
    <w:rsid w:val="0008099D"/>
    <w:rsid w:val="000818DA"/>
    <w:rsid w:val="00081F73"/>
    <w:rsid w:val="00082C2C"/>
    <w:rsid w:val="00090BFD"/>
    <w:rsid w:val="00097E5A"/>
    <w:rsid w:val="000A35D3"/>
    <w:rsid w:val="000B228C"/>
    <w:rsid w:val="000B6FA2"/>
    <w:rsid w:val="000B786B"/>
    <w:rsid w:val="000D09CB"/>
    <w:rsid w:val="000D16AA"/>
    <w:rsid w:val="000D19BC"/>
    <w:rsid w:val="000D2035"/>
    <w:rsid w:val="000D55CB"/>
    <w:rsid w:val="000D6E4E"/>
    <w:rsid w:val="000D79DE"/>
    <w:rsid w:val="000E117B"/>
    <w:rsid w:val="000E4A8D"/>
    <w:rsid w:val="000E76D3"/>
    <w:rsid w:val="000F0B86"/>
    <w:rsid w:val="000F113C"/>
    <w:rsid w:val="000F162E"/>
    <w:rsid w:val="000F1C26"/>
    <w:rsid w:val="000F2A85"/>
    <w:rsid w:val="000F5E70"/>
    <w:rsid w:val="000F6216"/>
    <w:rsid w:val="0010058B"/>
    <w:rsid w:val="00101679"/>
    <w:rsid w:val="001028C0"/>
    <w:rsid w:val="00102919"/>
    <w:rsid w:val="0010339E"/>
    <w:rsid w:val="00106004"/>
    <w:rsid w:val="001155BE"/>
    <w:rsid w:val="00116D78"/>
    <w:rsid w:val="00123F5F"/>
    <w:rsid w:val="001251BA"/>
    <w:rsid w:val="00126453"/>
    <w:rsid w:val="00130346"/>
    <w:rsid w:val="001325ED"/>
    <w:rsid w:val="00132725"/>
    <w:rsid w:val="00134017"/>
    <w:rsid w:val="00136513"/>
    <w:rsid w:val="00142CCB"/>
    <w:rsid w:val="00143CFC"/>
    <w:rsid w:val="001504FA"/>
    <w:rsid w:val="001514EA"/>
    <w:rsid w:val="00152A52"/>
    <w:rsid w:val="00154DC6"/>
    <w:rsid w:val="001561AC"/>
    <w:rsid w:val="001564A4"/>
    <w:rsid w:val="0016029E"/>
    <w:rsid w:val="0016128E"/>
    <w:rsid w:val="00162CDE"/>
    <w:rsid w:val="00162D92"/>
    <w:rsid w:val="00164D07"/>
    <w:rsid w:val="00171EB5"/>
    <w:rsid w:val="001723D6"/>
    <w:rsid w:val="00177641"/>
    <w:rsid w:val="001854B6"/>
    <w:rsid w:val="00191889"/>
    <w:rsid w:val="00191A47"/>
    <w:rsid w:val="00191AB4"/>
    <w:rsid w:val="00195344"/>
    <w:rsid w:val="0019558B"/>
    <w:rsid w:val="001A0B1B"/>
    <w:rsid w:val="001A4638"/>
    <w:rsid w:val="001A4962"/>
    <w:rsid w:val="001A5277"/>
    <w:rsid w:val="001A730D"/>
    <w:rsid w:val="001B4D3E"/>
    <w:rsid w:val="001C27E7"/>
    <w:rsid w:val="001C3DC7"/>
    <w:rsid w:val="001C43DA"/>
    <w:rsid w:val="001C50B4"/>
    <w:rsid w:val="001C5AC1"/>
    <w:rsid w:val="001C7E70"/>
    <w:rsid w:val="001D0AE8"/>
    <w:rsid w:val="001D0D73"/>
    <w:rsid w:val="001D6E20"/>
    <w:rsid w:val="001D7A35"/>
    <w:rsid w:val="001E0AA2"/>
    <w:rsid w:val="001E0D86"/>
    <w:rsid w:val="001E31A8"/>
    <w:rsid w:val="001E5A18"/>
    <w:rsid w:val="001E6DF7"/>
    <w:rsid w:val="001F58CC"/>
    <w:rsid w:val="001F6FBB"/>
    <w:rsid w:val="001F7FFC"/>
    <w:rsid w:val="00210A0E"/>
    <w:rsid w:val="00211AF1"/>
    <w:rsid w:val="002138EF"/>
    <w:rsid w:val="00214B85"/>
    <w:rsid w:val="00216195"/>
    <w:rsid w:val="002167D9"/>
    <w:rsid w:val="00216D0F"/>
    <w:rsid w:val="00217C7B"/>
    <w:rsid w:val="002208A7"/>
    <w:rsid w:val="00220911"/>
    <w:rsid w:val="002211B8"/>
    <w:rsid w:val="00227900"/>
    <w:rsid w:val="0023579F"/>
    <w:rsid w:val="00235D00"/>
    <w:rsid w:val="0023688F"/>
    <w:rsid w:val="00236ED2"/>
    <w:rsid w:val="00244104"/>
    <w:rsid w:val="00244650"/>
    <w:rsid w:val="00247D22"/>
    <w:rsid w:val="00250D40"/>
    <w:rsid w:val="002530CE"/>
    <w:rsid w:val="00255510"/>
    <w:rsid w:val="00257947"/>
    <w:rsid w:val="002654DA"/>
    <w:rsid w:val="00266CE5"/>
    <w:rsid w:val="0026706B"/>
    <w:rsid w:val="00267091"/>
    <w:rsid w:val="002676B4"/>
    <w:rsid w:val="00272951"/>
    <w:rsid w:val="002731CA"/>
    <w:rsid w:val="00274457"/>
    <w:rsid w:val="00275219"/>
    <w:rsid w:val="002824EC"/>
    <w:rsid w:val="00283E6B"/>
    <w:rsid w:val="00286286"/>
    <w:rsid w:val="00286F09"/>
    <w:rsid w:val="0029107C"/>
    <w:rsid w:val="00294973"/>
    <w:rsid w:val="002A28F3"/>
    <w:rsid w:val="002A51C9"/>
    <w:rsid w:val="002B2460"/>
    <w:rsid w:val="002B4784"/>
    <w:rsid w:val="002B56C8"/>
    <w:rsid w:val="002C2DFD"/>
    <w:rsid w:val="002C3C11"/>
    <w:rsid w:val="002C4971"/>
    <w:rsid w:val="002D2001"/>
    <w:rsid w:val="002D2F91"/>
    <w:rsid w:val="002D77E8"/>
    <w:rsid w:val="002D7957"/>
    <w:rsid w:val="002E0B68"/>
    <w:rsid w:val="002E2C51"/>
    <w:rsid w:val="002E4C61"/>
    <w:rsid w:val="002E60E5"/>
    <w:rsid w:val="002E689E"/>
    <w:rsid w:val="002E7F4F"/>
    <w:rsid w:val="00310372"/>
    <w:rsid w:val="00310A30"/>
    <w:rsid w:val="00313F39"/>
    <w:rsid w:val="00315579"/>
    <w:rsid w:val="003176B4"/>
    <w:rsid w:val="00320FA0"/>
    <w:rsid w:val="003218C0"/>
    <w:rsid w:val="00321D4F"/>
    <w:rsid w:val="00321E8D"/>
    <w:rsid w:val="003242F9"/>
    <w:rsid w:val="00331DC4"/>
    <w:rsid w:val="00333478"/>
    <w:rsid w:val="003341F5"/>
    <w:rsid w:val="00336295"/>
    <w:rsid w:val="00343D40"/>
    <w:rsid w:val="003442DB"/>
    <w:rsid w:val="003467F6"/>
    <w:rsid w:val="00346C2A"/>
    <w:rsid w:val="0034787C"/>
    <w:rsid w:val="003510F6"/>
    <w:rsid w:val="003513A8"/>
    <w:rsid w:val="00352A90"/>
    <w:rsid w:val="003535CF"/>
    <w:rsid w:val="003636A6"/>
    <w:rsid w:val="0037157D"/>
    <w:rsid w:val="003728B2"/>
    <w:rsid w:val="003752E7"/>
    <w:rsid w:val="003763EB"/>
    <w:rsid w:val="00377B2A"/>
    <w:rsid w:val="00381098"/>
    <w:rsid w:val="00382523"/>
    <w:rsid w:val="00386552"/>
    <w:rsid w:val="00386DAE"/>
    <w:rsid w:val="00387148"/>
    <w:rsid w:val="003877F5"/>
    <w:rsid w:val="00392FD1"/>
    <w:rsid w:val="003935FD"/>
    <w:rsid w:val="003A1CBE"/>
    <w:rsid w:val="003A514A"/>
    <w:rsid w:val="003A629F"/>
    <w:rsid w:val="003B00CB"/>
    <w:rsid w:val="003B1A7E"/>
    <w:rsid w:val="003B34E2"/>
    <w:rsid w:val="003B3E33"/>
    <w:rsid w:val="003B45C9"/>
    <w:rsid w:val="003B6A79"/>
    <w:rsid w:val="003C2A86"/>
    <w:rsid w:val="003C7836"/>
    <w:rsid w:val="003C7D7F"/>
    <w:rsid w:val="003D0554"/>
    <w:rsid w:val="003D12DE"/>
    <w:rsid w:val="003D21D6"/>
    <w:rsid w:val="003D489E"/>
    <w:rsid w:val="003E09FE"/>
    <w:rsid w:val="003E2A2B"/>
    <w:rsid w:val="003E3BA3"/>
    <w:rsid w:val="003F1DF4"/>
    <w:rsid w:val="003F589F"/>
    <w:rsid w:val="003F58F5"/>
    <w:rsid w:val="003F6120"/>
    <w:rsid w:val="00400A0F"/>
    <w:rsid w:val="00402BFC"/>
    <w:rsid w:val="00402F85"/>
    <w:rsid w:val="00404596"/>
    <w:rsid w:val="00406512"/>
    <w:rsid w:val="00407AE6"/>
    <w:rsid w:val="00407CBE"/>
    <w:rsid w:val="00410695"/>
    <w:rsid w:val="00410A09"/>
    <w:rsid w:val="00414324"/>
    <w:rsid w:val="00414E8B"/>
    <w:rsid w:val="004150C3"/>
    <w:rsid w:val="00420E5C"/>
    <w:rsid w:val="00423E27"/>
    <w:rsid w:val="00430649"/>
    <w:rsid w:val="00430920"/>
    <w:rsid w:val="004326B3"/>
    <w:rsid w:val="004352D0"/>
    <w:rsid w:val="00440256"/>
    <w:rsid w:val="004424B4"/>
    <w:rsid w:val="00442CF5"/>
    <w:rsid w:val="00443194"/>
    <w:rsid w:val="00443A04"/>
    <w:rsid w:val="00446403"/>
    <w:rsid w:val="004478DB"/>
    <w:rsid w:val="004544BD"/>
    <w:rsid w:val="004608D8"/>
    <w:rsid w:val="00463DD8"/>
    <w:rsid w:val="004668F6"/>
    <w:rsid w:val="00467987"/>
    <w:rsid w:val="0047301D"/>
    <w:rsid w:val="004755DD"/>
    <w:rsid w:val="0047567F"/>
    <w:rsid w:val="00482BA4"/>
    <w:rsid w:val="00484B55"/>
    <w:rsid w:val="00485BFE"/>
    <w:rsid w:val="00490BBD"/>
    <w:rsid w:val="00493766"/>
    <w:rsid w:val="00493C9E"/>
    <w:rsid w:val="004940CD"/>
    <w:rsid w:val="00497F75"/>
    <w:rsid w:val="004A0367"/>
    <w:rsid w:val="004A39F6"/>
    <w:rsid w:val="004A478F"/>
    <w:rsid w:val="004B052B"/>
    <w:rsid w:val="004B321A"/>
    <w:rsid w:val="004B5FD4"/>
    <w:rsid w:val="004C24C8"/>
    <w:rsid w:val="004C305C"/>
    <w:rsid w:val="004C520F"/>
    <w:rsid w:val="004D0BD2"/>
    <w:rsid w:val="004D3C5B"/>
    <w:rsid w:val="004D4D80"/>
    <w:rsid w:val="004E1C59"/>
    <w:rsid w:val="004E284E"/>
    <w:rsid w:val="004E3FC8"/>
    <w:rsid w:val="004E5FB0"/>
    <w:rsid w:val="004E6566"/>
    <w:rsid w:val="004F67B6"/>
    <w:rsid w:val="004F703F"/>
    <w:rsid w:val="00501207"/>
    <w:rsid w:val="00501E38"/>
    <w:rsid w:val="00504522"/>
    <w:rsid w:val="00526004"/>
    <w:rsid w:val="00533461"/>
    <w:rsid w:val="00533E81"/>
    <w:rsid w:val="005349C0"/>
    <w:rsid w:val="0054389B"/>
    <w:rsid w:val="00546C8D"/>
    <w:rsid w:val="00547619"/>
    <w:rsid w:val="005514A6"/>
    <w:rsid w:val="005603DB"/>
    <w:rsid w:val="00561289"/>
    <w:rsid w:val="0056258C"/>
    <w:rsid w:val="00562759"/>
    <w:rsid w:val="005679D9"/>
    <w:rsid w:val="00570CA7"/>
    <w:rsid w:val="00572F52"/>
    <w:rsid w:val="00576AEC"/>
    <w:rsid w:val="00577310"/>
    <w:rsid w:val="0058141F"/>
    <w:rsid w:val="00584680"/>
    <w:rsid w:val="00585075"/>
    <w:rsid w:val="005864CE"/>
    <w:rsid w:val="0058752A"/>
    <w:rsid w:val="0058758D"/>
    <w:rsid w:val="00590383"/>
    <w:rsid w:val="005918D1"/>
    <w:rsid w:val="00594D7D"/>
    <w:rsid w:val="0059531D"/>
    <w:rsid w:val="00596C52"/>
    <w:rsid w:val="005A03EA"/>
    <w:rsid w:val="005A223D"/>
    <w:rsid w:val="005A7A2C"/>
    <w:rsid w:val="005C5718"/>
    <w:rsid w:val="005D67CA"/>
    <w:rsid w:val="005D725D"/>
    <w:rsid w:val="005D79E6"/>
    <w:rsid w:val="005E0C33"/>
    <w:rsid w:val="005E1A19"/>
    <w:rsid w:val="005E1D87"/>
    <w:rsid w:val="005E22B4"/>
    <w:rsid w:val="005E59FB"/>
    <w:rsid w:val="005E7EA8"/>
    <w:rsid w:val="005F19F3"/>
    <w:rsid w:val="005F2CFC"/>
    <w:rsid w:val="005F4441"/>
    <w:rsid w:val="005F54FD"/>
    <w:rsid w:val="006033EC"/>
    <w:rsid w:val="00605850"/>
    <w:rsid w:val="00605AB9"/>
    <w:rsid w:val="006064D5"/>
    <w:rsid w:val="00614112"/>
    <w:rsid w:val="006154F6"/>
    <w:rsid w:val="00616713"/>
    <w:rsid w:val="00616BFD"/>
    <w:rsid w:val="0062019E"/>
    <w:rsid w:val="006205C1"/>
    <w:rsid w:val="00621233"/>
    <w:rsid w:val="00622A20"/>
    <w:rsid w:val="00627C32"/>
    <w:rsid w:val="00631053"/>
    <w:rsid w:val="006339EB"/>
    <w:rsid w:val="00634BA0"/>
    <w:rsid w:val="00644E64"/>
    <w:rsid w:val="006508CD"/>
    <w:rsid w:val="0065263F"/>
    <w:rsid w:val="0065395E"/>
    <w:rsid w:val="00654985"/>
    <w:rsid w:val="00662973"/>
    <w:rsid w:val="00662E0B"/>
    <w:rsid w:val="00673DB8"/>
    <w:rsid w:val="00673E3B"/>
    <w:rsid w:val="00675CF4"/>
    <w:rsid w:val="006765D9"/>
    <w:rsid w:val="00676C12"/>
    <w:rsid w:val="0068263F"/>
    <w:rsid w:val="00685596"/>
    <w:rsid w:val="00691598"/>
    <w:rsid w:val="00694304"/>
    <w:rsid w:val="00695B1B"/>
    <w:rsid w:val="00697F84"/>
    <w:rsid w:val="006A2A7F"/>
    <w:rsid w:val="006A66CF"/>
    <w:rsid w:val="006A6BC7"/>
    <w:rsid w:val="006B0F65"/>
    <w:rsid w:val="006B2513"/>
    <w:rsid w:val="006B4D26"/>
    <w:rsid w:val="006B5594"/>
    <w:rsid w:val="006B581C"/>
    <w:rsid w:val="006C0BC7"/>
    <w:rsid w:val="006C2AB3"/>
    <w:rsid w:val="006C5220"/>
    <w:rsid w:val="006C6504"/>
    <w:rsid w:val="006D00C9"/>
    <w:rsid w:val="006F13E2"/>
    <w:rsid w:val="006F1866"/>
    <w:rsid w:val="006F4C5A"/>
    <w:rsid w:val="006F6B4C"/>
    <w:rsid w:val="006F6F0E"/>
    <w:rsid w:val="007055F0"/>
    <w:rsid w:val="00707499"/>
    <w:rsid w:val="00713303"/>
    <w:rsid w:val="00714038"/>
    <w:rsid w:val="007148B5"/>
    <w:rsid w:val="00715C4D"/>
    <w:rsid w:val="007202AF"/>
    <w:rsid w:val="00722AF5"/>
    <w:rsid w:val="00723CFA"/>
    <w:rsid w:val="00724038"/>
    <w:rsid w:val="00724516"/>
    <w:rsid w:val="00727EC8"/>
    <w:rsid w:val="00731BEC"/>
    <w:rsid w:val="00733101"/>
    <w:rsid w:val="0073366C"/>
    <w:rsid w:val="00733961"/>
    <w:rsid w:val="00736A59"/>
    <w:rsid w:val="00737447"/>
    <w:rsid w:val="00740043"/>
    <w:rsid w:val="00741E02"/>
    <w:rsid w:val="00741E93"/>
    <w:rsid w:val="0074576D"/>
    <w:rsid w:val="007458AD"/>
    <w:rsid w:val="00751E0B"/>
    <w:rsid w:val="00754778"/>
    <w:rsid w:val="00762469"/>
    <w:rsid w:val="00764CDF"/>
    <w:rsid w:val="007670D5"/>
    <w:rsid w:val="00770925"/>
    <w:rsid w:val="00770A16"/>
    <w:rsid w:val="00774070"/>
    <w:rsid w:val="00774117"/>
    <w:rsid w:val="00774824"/>
    <w:rsid w:val="00775239"/>
    <w:rsid w:val="00775D57"/>
    <w:rsid w:val="00780DBD"/>
    <w:rsid w:val="007829B7"/>
    <w:rsid w:val="007833FD"/>
    <w:rsid w:val="00783774"/>
    <w:rsid w:val="0078382D"/>
    <w:rsid w:val="00783D78"/>
    <w:rsid w:val="00783DB3"/>
    <w:rsid w:val="0078552D"/>
    <w:rsid w:val="00785543"/>
    <w:rsid w:val="007875FD"/>
    <w:rsid w:val="007935A6"/>
    <w:rsid w:val="00794814"/>
    <w:rsid w:val="007A0245"/>
    <w:rsid w:val="007A1032"/>
    <w:rsid w:val="007A2184"/>
    <w:rsid w:val="007A2251"/>
    <w:rsid w:val="007A2E46"/>
    <w:rsid w:val="007A6ACF"/>
    <w:rsid w:val="007B069D"/>
    <w:rsid w:val="007B1487"/>
    <w:rsid w:val="007B2B92"/>
    <w:rsid w:val="007B3110"/>
    <w:rsid w:val="007B5422"/>
    <w:rsid w:val="007B75DC"/>
    <w:rsid w:val="007C17DD"/>
    <w:rsid w:val="007C1D28"/>
    <w:rsid w:val="007C2461"/>
    <w:rsid w:val="007C45D0"/>
    <w:rsid w:val="007C53AD"/>
    <w:rsid w:val="007C563B"/>
    <w:rsid w:val="007C6723"/>
    <w:rsid w:val="007C6ABD"/>
    <w:rsid w:val="007C6F25"/>
    <w:rsid w:val="007D048E"/>
    <w:rsid w:val="007D1D0A"/>
    <w:rsid w:val="007D3D3B"/>
    <w:rsid w:val="007D4AA2"/>
    <w:rsid w:val="007D554B"/>
    <w:rsid w:val="007D5811"/>
    <w:rsid w:val="007D6711"/>
    <w:rsid w:val="007E0B98"/>
    <w:rsid w:val="007E13C3"/>
    <w:rsid w:val="007E19A4"/>
    <w:rsid w:val="007E21FF"/>
    <w:rsid w:val="007E45FD"/>
    <w:rsid w:val="007E73C4"/>
    <w:rsid w:val="007F20A2"/>
    <w:rsid w:val="007F2A76"/>
    <w:rsid w:val="00801693"/>
    <w:rsid w:val="008025B2"/>
    <w:rsid w:val="008053EB"/>
    <w:rsid w:val="00807557"/>
    <w:rsid w:val="00815356"/>
    <w:rsid w:val="008153CC"/>
    <w:rsid w:val="00820B17"/>
    <w:rsid w:val="008215BF"/>
    <w:rsid w:val="00826C34"/>
    <w:rsid w:val="008277D7"/>
    <w:rsid w:val="008316D8"/>
    <w:rsid w:val="00831922"/>
    <w:rsid w:val="00833743"/>
    <w:rsid w:val="0083389B"/>
    <w:rsid w:val="008354F3"/>
    <w:rsid w:val="008372A9"/>
    <w:rsid w:val="008376B9"/>
    <w:rsid w:val="008401E0"/>
    <w:rsid w:val="00840B9F"/>
    <w:rsid w:val="008424CC"/>
    <w:rsid w:val="00842D18"/>
    <w:rsid w:val="00845730"/>
    <w:rsid w:val="008461B5"/>
    <w:rsid w:val="00851AC5"/>
    <w:rsid w:val="00852F89"/>
    <w:rsid w:val="00853B20"/>
    <w:rsid w:val="00865ED3"/>
    <w:rsid w:val="00867D56"/>
    <w:rsid w:val="00873687"/>
    <w:rsid w:val="008747D3"/>
    <w:rsid w:val="00875A98"/>
    <w:rsid w:val="0088141C"/>
    <w:rsid w:val="008860CF"/>
    <w:rsid w:val="00886118"/>
    <w:rsid w:val="00886F21"/>
    <w:rsid w:val="0088709E"/>
    <w:rsid w:val="0089069A"/>
    <w:rsid w:val="00892D58"/>
    <w:rsid w:val="0089402E"/>
    <w:rsid w:val="008969B6"/>
    <w:rsid w:val="008A0BC1"/>
    <w:rsid w:val="008A1EFF"/>
    <w:rsid w:val="008A4188"/>
    <w:rsid w:val="008A4694"/>
    <w:rsid w:val="008A4E5F"/>
    <w:rsid w:val="008B109C"/>
    <w:rsid w:val="008B198F"/>
    <w:rsid w:val="008B3A1E"/>
    <w:rsid w:val="008B4100"/>
    <w:rsid w:val="008B6DC8"/>
    <w:rsid w:val="008C0D2A"/>
    <w:rsid w:val="008C13F3"/>
    <w:rsid w:val="008C40DC"/>
    <w:rsid w:val="008C5813"/>
    <w:rsid w:val="008C5955"/>
    <w:rsid w:val="008C640C"/>
    <w:rsid w:val="008C7964"/>
    <w:rsid w:val="008D071C"/>
    <w:rsid w:val="008D5B0B"/>
    <w:rsid w:val="008E0641"/>
    <w:rsid w:val="008E0910"/>
    <w:rsid w:val="008E1CB1"/>
    <w:rsid w:val="008E62C4"/>
    <w:rsid w:val="008E687E"/>
    <w:rsid w:val="008F251A"/>
    <w:rsid w:val="008F30D9"/>
    <w:rsid w:val="008F5DC6"/>
    <w:rsid w:val="008F5F42"/>
    <w:rsid w:val="008F6E91"/>
    <w:rsid w:val="008F7769"/>
    <w:rsid w:val="009008CF"/>
    <w:rsid w:val="0090215E"/>
    <w:rsid w:val="00906F85"/>
    <w:rsid w:val="00907BAA"/>
    <w:rsid w:val="00916DD5"/>
    <w:rsid w:val="00920B03"/>
    <w:rsid w:val="00921046"/>
    <w:rsid w:val="00922117"/>
    <w:rsid w:val="00923713"/>
    <w:rsid w:val="00926BE7"/>
    <w:rsid w:val="009305A2"/>
    <w:rsid w:val="00932774"/>
    <w:rsid w:val="0093634E"/>
    <w:rsid w:val="00936D2D"/>
    <w:rsid w:val="0094355D"/>
    <w:rsid w:val="009479EC"/>
    <w:rsid w:val="009512A6"/>
    <w:rsid w:val="00952741"/>
    <w:rsid w:val="0095693E"/>
    <w:rsid w:val="00957851"/>
    <w:rsid w:val="009611A4"/>
    <w:rsid w:val="0096752E"/>
    <w:rsid w:val="00967FDA"/>
    <w:rsid w:val="00973520"/>
    <w:rsid w:val="00977371"/>
    <w:rsid w:val="00980480"/>
    <w:rsid w:val="00982E72"/>
    <w:rsid w:val="00985B66"/>
    <w:rsid w:val="00985DF7"/>
    <w:rsid w:val="00987F13"/>
    <w:rsid w:val="009949BC"/>
    <w:rsid w:val="00995847"/>
    <w:rsid w:val="0099659F"/>
    <w:rsid w:val="009A38F4"/>
    <w:rsid w:val="009B1FE6"/>
    <w:rsid w:val="009B47D3"/>
    <w:rsid w:val="009C029F"/>
    <w:rsid w:val="009C6368"/>
    <w:rsid w:val="009C6DAA"/>
    <w:rsid w:val="009C713D"/>
    <w:rsid w:val="009D1616"/>
    <w:rsid w:val="009D1941"/>
    <w:rsid w:val="009D3B59"/>
    <w:rsid w:val="009D3C0C"/>
    <w:rsid w:val="009E201B"/>
    <w:rsid w:val="009E3A53"/>
    <w:rsid w:val="009E51F3"/>
    <w:rsid w:val="009E72FD"/>
    <w:rsid w:val="009E7747"/>
    <w:rsid w:val="009F69C0"/>
    <w:rsid w:val="00A00FBD"/>
    <w:rsid w:val="00A010A9"/>
    <w:rsid w:val="00A021A3"/>
    <w:rsid w:val="00A038E5"/>
    <w:rsid w:val="00A03F83"/>
    <w:rsid w:val="00A04201"/>
    <w:rsid w:val="00A0683A"/>
    <w:rsid w:val="00A07245"/>
    <w:rsid w:val="00A10BB1"/>
    <w:rsid w:val="00A145B9"/>
    <w:rsid w:val="00A14B4C"/>
    <w:rsid w:val="00A16074"/>
    <w:rsid w:val="00A2263C"/>
    <w:rsid w:val="00A22E44"/>
    <w:rsid w:val="00A238C4"/>
    <w:rsid w:val="00A3071A"/>
    <w:rsid w:val="00A3362F"/>
    <w:rsid w:val="00A338EA"/>
    <w:rsid w:val="00A34962"/>
    <w:rsid w:val="00A3594C"/>
    <w:rsid w:val="00A36E62"/>
    <w:rsid w:val="00A37313"/>
    <w:rsid w:val="00A37CA0"/>
    <w:rsid w:val="00A40D09"/>
    <w:rsid w:val="00A40FA4"/>
    <w:rsid w:val="00A416BB"/>
    <w:rsid w:val="00A44BB1"/>
    <w:rsid w:val="00A46958"/>
    <w:rsid w:val="00A50A9A"/>
    <w:rsid w:val="00A6183A"/>
    <w:rsid w:val="00A6245F"/>
    <w:rsid w:val="00A62D70"/>
    <w:rsid w:val="00A67197"/>
    <w:rsid w:val="00A67EE4"/>
    <w:rsid w:val="00A75263"/>
    <w:rsid w:val="00A760D9"/>
    <w:rsid w:val="00A81C7B"/>
    <w:rsid w:val="00A81E5B"/>
    <w:rsid w:val="00A83805"/>
    <w:rsid w:val="00A851EC"/>
    <w:rsid w:val="00A87713"/>
    <w:rsid w:val="00A91105"/>
    <w:rsid w:val="00A9289A"/>
    <w:rsid w:val="00A974CD"/>
    <w:rsid w:val="00A97532"/>
    <w:rsid w:val="00AA0EBA"/>
    <w:rsid w:val="00AA2221"/>
    <w:rsid w:val="00AA3E01"/>
    <w:rsid w:val="00AA4830"/>
    <w:rsid w:val="00AA52A9"/>
    <w:rsid w:val="00AA697B"/>
    <w:rsid w:val="00AA6AFE"/>
    <w:rsid w:val="00AB023D"/>
    <w:rsid w:val="00AB1150"/>
    <w:rsid w:val="00AB5748"/>
    <w:rsid w:val="00AB6F62"/>
    <w:rsid w:val="00AB72E4"/>
    <w:rsid w:val="00AC30AE"/>
    <w:rsid w:val="00AC3D99"/>
    <w:rsid w:val="00AC5B01"/>
    <w:rsid w:val="00AC5C9B"/>
    <w:rsid w:val="00AC621D"/>
    <w:rsid w:val="00AC6BD2"/>
    <w:rsid w:val="00AC7D96"/>
    <w:rsid w:val="00AD2203"/>
    <w:rsid w:val="00AD2E64"/>
    <w:rsid w:val="00AD3321"/>
    <w:rsid w:val="00AD44DE"/>
    <w:rsid w:val="00AD6570"/>
    <w:rsid w:val="00AE1B53"/>
    <w:rsid w:val="00AE25C4"/>
    <w:rsid w:val="00AE6A60"/>
    <w:rsid w:val="00AF2904"/>
    <w:rsid w:val="00AF5F86"/>
    <w:rsid w:val="00AF7271"/>
    <w:rsid w:val="00AF79E9"/>
    <w:rsid w:val="00B012B3"/>
    <w:rsid w:val="00B1285A"/>
    <w:rsid w:val="00B12C07"/>
    <w:rsid w:val="00B167EE"/>
    <w:rsid w:val="00B25C65"/>
    <w:rsid w:val="00B26F43"/>
    <w:rsid w:val="00B330BE"/>
    <w:rsid w:val="00B34641"/>
    <w:rsid w:val="00B35C0A"/>
    <w:rsid w:val="00B43432"/>
    <w:rsid w:val="00B453B6"/>
    <w:rsid w:val="00B476C3"/>
    <w:rsid w:val="00B47AA8"/>
    <w:rsid w:val="00B47FC1"/>
    <w:rsid w:val="00B51661"/>
    <w:rsid w:val="00B531FC"/>
    <w:rsid w:val="00B66135"/>
    <w:rsid w:val="00B664BD"/>
    <w:rsid w:val="00B673D7"/>
    <w:rsid w:val="00B73B99"/>
    <w:rsid w:val="00B73E61"/>
    <w:rsid w:val="00B75260"/>
    <w:rsid w:val="00B801BF"/>
    <w:rsid w:val="00B8039C"/>
    <w:rsid w:val="00B80DC7"/>
    <w:rsid w:val="00B83E02"/>
    <w:rsid w:val="00B854B8"/>
    <w:rsid w:val="00B86312"/>
    <w:rsid w:val="00B8682B"/>
    <w:rsid w:val="00B916A2"/>
    <w:rsid w:val="00B9351E"/>
    <w:rsid w:val="00B945DA"/>
    <w:rsid w:val="00B952CE"/>
    <w:rsid w:val="00BA0C7A"/>
    <w:rsid w:val="00BA109A"/>
    <w:rsid w:val="00BA2067"/>
    <w:rsid w:val="00BB1C49"/>
    <w:rsid w:val="00BB1DD1"/>
    <w:rsid w:val="00BB3182"/>
    <w:rsid w:val="00BB5721"/>
    <w:rsid w:val="00BC2CD2"/>
    <w:rsid w:val="00BC6E12"/>
    <w:rsid w:val="00BC70B3"/>
    <w:rsid w:val="00BC7503"/>
    <w:rsid w:val="00BC7605"/>
    <w:rsid w:val="00BC77F6"/>
    <w:rsid w:val="00BD150D"/>
    <w:rsid w:val="00BD32D3"/>
    <w:rsid w:val="00BD40AD"/>
    <w:rsid w:val="00BD5823"/>
    <w:rsid w:val="00BD6B1E"/>
    <w:rsid w:val="00BE269A"/>
    <w:rsid w:val="00BE27DE"/>
    <w:rsid w:val="00BE5D0D"/>
    <w:rsid w:val="00BF0119"/>
    <w:rsid w:val="00BF0D70"/>
    <w:rsid w:val="00BF1B90"/>
    <w:rsid w:val="00BF59F9"/>
    <w:rsid w:val="00BF5A1A"/>
    <w:rsid w:val="00BF6D03"/>
    <w:rsid w:val="00C0201B"/>
    <w:rsid w:val="00C04868"/>
    <w:rsid w:val="00C0665A"/>
    <w:rsid w:val="00C150C9"/>
    <w:rsid w:val="00C151C2"/>
    <w:rsid w:val="00C163CA"/>
    <w:rsid w:val="00C20413"/>
    <w:rsid w:val="00C233AD"/>
    <w:rsid w:val="00C25C8B"/>
    <w:rsid w:val="00C2A40E"/>
    <w:rsid w:val="00C31BC9"/>
    <w:rsid w:val="00C3200C"/>
    <w:rsid w:val="00C32E0A"/>
    <w:rsid w:val="00C3352A"/>
    <w:rsid w:val="00C34930"/>
    <w:rsid w:val="00C414CD"/>
    <w:rsid w:val="00C42628"/>
    <w:rsid w:val="00C4465D"/>
    <w:rsid w:val="00C45E7D"/>
    <w:rsid w:val="00C50290"/>
    <w:rsid w:val="00C5185B"/>
    <w:rsid w:val="00C5355C"/>
    <w:rsid w:val="00C5422B"/>
    <w:rsid w:val="00C54BBF"/>
    <w:rsid w:val="00C550AE"/>
    <w:rsid w:val="00C61F5E"/>
    <w:rsid w:val="00C6271E"/>
    <w:rsid w:val="00C65E6B"/>
    <w:rsid w:val="00C669EB"/>
    <w:rsid w:val="00C709EA"/>
    <w:rsid w:val="00C71273"/>
    <w:rsid w:val="00C75959"/>
    <w:rsid w:val="00C76002"/>
    <w:rsid w:val="00C8033C"/>
    <w:rsid w:val="00C852CC"/>
    <w:rsid w:val="00C85AF1"/>
    <w:rsid w:val="00C9219E"/>
    <w:rsid w:val="00C95804"/>
    <w:rsid w:val="00C95EDB"/>
    <w:rsid w:val="00C96C28"/>
    <w:rsid w:val="00CA3DC5"/>
    <w:rsid w:val="00CA512E"/>
    <w:rsid w:val="00CB00A8"/>
    <w:rsid w:val="00CB1FD9"/>
    <w:rsid w:val="00CB3010"/>
    <w:rsid w:val="00CB382F"/>
    <w:rsid w:val="00CB50CE"/>
    <w:rsid w:val="00CB5BC4"/>
    <w:rsid w:val="00CB7D9E"/>
    <w:rsid w:val="00CC0423"/>
    <w:rsid w:val="00CC1064"/>
    <w:rsid w:val="00CC143B"/>
    <w:rsid w:val="00CC16E7"/>
    <w:rsid w:val="00CC41B1"/>
    <w:rsid w:val="00CC5930"/>
    <w:rsid w:val="00CD3200"/>
    <w:rsid w:val="00CD51DF"/>
    <w:rsid w:val="00CD5BB6"/>
    <w:rsid w:val="00CD5E55"/>
    <w:rsid w:val="00CD6557"/>
    <w:rsid w:val="00CD6ED6"/>
    <w:rsid w:val="00CE5997"/>
    <w:rsid w:val="00CE6897"/>
    <w:rsid w:val="00CE6DB0"/>
    <w:rsid w:val="00CF1AA5"/>
    <w:rsid w:val="00CF34EF"/>
    <w:rsid w:val="00CF3E5F"/>
    <w:rsid w:val="00CF5154"/>
    <w:rsid w:val="00CF604A"/>
    <w:rsid w:val="00CF61F7"/>
    <w:rsid w:val="00CF7739"/>
    <w:rsid w:val="00D01A11"/>
    <w:rsid w:val="00D01D40"/>
    <w:rsid w:val="00D01FC7"/>
    <w:rsid w:val="00D0204F"/>
    <w:rsid w:val="00D02B15"/>
    <w:rsid w:val="00D04896"/>
    <w:rsid w:val="00D05344"/>
    <w:rsid w:val="00D06635"/>
    <w:rsid w:val="00D07A4D"/>
    <w:rsid w:val="00D07FE6"/>
    <w:rsid w:val="00D104C0"/>
    <w:rsid w:val="00D114C5"/>
    <w:rsid w:val="00D12996"/>
    <w:rsid w:val="00D12C6F"/>
    <w:rsid w:val="00D13ED6"/>
    <w:rsid w:val="00D14242"/>
    <w:rsid w:val="00D143C5"/>
    <w:rsid w:val="00D14C29"/>
    <w:rsid w:val="00D15165"/>
    <w:rsid w:val="00D20D60"/>
    <w:rsid w:val="00D20D74"/>
    <w:rsid w:val="00D2465E"/>
    <w:rsid w:val="00D25458"/>
    <w:rsid w:val="00D269B3"/>
    <w:rsid w:val="00D30506"/>
    <w:rsid w:val="00D3587C"/>
    <w:rsid w:val="00D45691"/>
    <w:rsid w:val="00D52708"/>
    <w:rsid w:val="00D563F9"/>
    <w:rsid w:val="00D62496"/>
    <w:rsid w:val="00D62FAF"/>
    <w:rsid w:val="00D63BFC"/>
    <w:rsid w:val="00D66906"/>
    <w:rsid w:val="00D72017"/>
    <w:rsid w:val="00D74B74"/>
    <w:rsid w:val="00D7530B"/>
    <w:rsid w:val="00D77BD9"/>
    <w:rsid w:val="00D801D1"/>
    <w:rsid w:val="00D80286"/>
    <w:rsid w:val="00D803E8"/>
    <w:rsid w:val="00D824C1"/>
    <w:rsid w:val="00D824D5"/>
    <w:rsid w:val="00D8420C"/>
    <w:rsid w:val="00D87A27"/>
    <w:rsid w:val="00D93E27"/>
    <w:rsid w:val="00DA3481"/>
    <w:rsid w:val="00DA5EC5"/>
    <w:rsid w:val="00DA60AF"/>
    <w:rsid w:val="00DC0DA7"/>
    <w:rsid w:val="00DC0DF5"/>
    <w:rsid w:val="00DC36BD"/>
    <w:rsid w:val="00DC448F"/>
    <w:rsid w:val="00DC6D51"/>
    <w:rsid w:val="00DC7BBE"/>
    <w:rsid w:val="00DD27F2"/>
    <w:rsid w:val="00DD2BEE"/>
    <w:rsid w:val="00DD360D"/>
    <w:rsid w:val="00DD6CB7"/>
    <w:rsid w:val="00DE202B"/>
    <w:rsid w:val="00DE2092"/>
    <w:rsid w:val="00DE5B8F"/>
    <w:rsid w:val="00DE6B3D"/>
    <w:rsid w:val="00DF1749"/>
    <w:rsid w:val="00DF3BCD"/>
    <w:rsid w:val="00DF4D6E"/>
    <w:rsid w:val="00DF526A"/>
    <w:rsid w:val="00DF6CC4"/>
    <w:rsid w:val="00DF740D"/>
    <w:rsid w:val="00E01062"/>
    <w:rsid w:val="00E02FEF"/>
    <w:rsid w:val="00E03467"/>
    <w:rsid w:val="00E03589"/>
    <w:rsid w:val="00E10CED"/>
    <w:rsid w:val="00E1150D"/>
    <w:rsid w:val="00E152DE"/>
    <w:rsid w:val="00E21099"/>
    <w:rsid w:val="00E23D22"/>
    <w:rsid w:val="00E24A30"/>
    <w:rsid w:val="00E26099"/>
    <w:rsid w:val="00E26B88"/>
    <w:rsid w:val="00E26C69"/>
    <w:rsid w:val="00E30018"/>
    <w:rsid w:val="00E30DEC"/>
    <w:rsid w:val="00E3493F"/>
    <w:rsid w:val="00E379C1"/>
    <w:rsid w:val="00E431A3"/>
    <w:rsid w:val="00E4500B"/>
    <w:rsid w:val="00E45C0A"/>
    <w:rsid w:val="00E4600A"/>
    <w:rsid w:val="00E52E92"/>
    <w:rsid w:val="00E53394"/>
    <w:rsid w:val="00E536FC"/>
    <w:rsid w:val="00E55DFF"/>
    <w:rsid w:val="00E61311"/>
    <w:rsid w:val="00E615C2"/>
    <w:rsid w:val="00E63CB2"/>
    <w:rsid w:val="00E71957"/>
    <w:rsid w:val="00E76518"/>
    <w:rsid w:val="00E77730"/>
    <w:rsid w:val="00E802E9"/>
    <w:rsid w:val="00E806EF"/>
    <w:rsid w:val="00E82893"/>
    <w:rsid w:val="00E8358E"/>
    <w:rsid w:val="00E850DB"/>
    <w:rsid w:val="00E85D26"/>
    <w:rsid w:val="00E96BE3"/>
    <w:rsid w:val="00E971CE"/>
    <w:rsid w:val="00E97278"/>
    <w:rsid w:val="00EA13DA"/>
    <w:rsid w:val="00EA47FA"/>
    <w:rsid w:val="00EA4ED0"/>
    <w:rsid w:val="00EA5DAF"/>
    <w:rsid w:val="00EA5F2D"/>
    <w:rsid w:val="00EA695C"/>
    <w:rsid w:val="00EB4BC7"/>
    <w:rsid w:val="00EB5B75"/>
    <w:rsid w:val="00EB5CE2"/>
    <w:rsid w:val="00EB6C0B"/>
    <w:rsid w:val="00EB72C2"/>
    <w:rsid w:val="00EC3794"/>
    <w:rsid w:val="00ED7EA1"/>
    <w:rsid w:val="00EE3698"/>
    <w:rsid w:val="00EE7C8C"/>
    <w:rsid w:val="00EF4116"/>
    <w:rsid w:val="00EF4D07"/>
    <w:rsid w:val="00EF5DE5"/>
    <w:rsid w:val="00F00D5F"/>
    <w:rsid w:val="00F0621F"/>
    <w:rsid w:val="00F106EE"/>
    <w:rsid w:val="00F13D2F"/>
    <w:rsid w:val="00F15373"/>
    <w:rsid w:val="00F15C4E"/>
    <w:rsid w:val="00F174E5"/>
    <w:rsid w:val="00F24A3F"/>
    <w:rsid w:val="00F31879"/>
    <w:rsid w:val="00F33C22"/>
    <w:rsid w:val="00F360D5"/>
    <w:rsid w:val="00F41D0F"/>
    <w:rsid w:val="00F459FB"/>
    <w:rsid w:val="00F46888"/>
    <w:rsid w:val="00F5372E"/>
    <w:rsid w:val="00F54B3D"/>
    <w:rsid w:val="00F56046"/>
    <w:rsid w:val="00F56A93"/>
    <w:rsid w:val="00F575FC"/>
    <w:rsid w:val="00F6096B"/>
    <w:rsid w:val="00F60F57"/>
    <w:rsid w:val="00F62A8F"/>
    <w:rsid w:val="00F63458"/>
    <w:rsid w:val="00F63C89"/>
    <w:rsid w:val="00F64B91"/>
    <w:rsid w:val="00F655A2"/>
    <w:rsid w:val="00F74B58"/>
    <w:rsid w:val="00F75DDE"/>
    <w:rsid w:val="00F776BA"/>
    <w:rsid w:val="00F8533B"/>
    <w:rsid w:val="00F86DE8"/>
    <w:rsid w:val="00F879C1"/>
    <w:rsid w:val="00F9188F"/>
    <w:rsid w:val="00F928B8"/>
    <w:rsid w:val="00F957AC"/>
    <w:rsid w:val="00F95BFF"/>
    <w:rsid w:val="00FA3C1A"/>
    <w:rsid w:val="00FB02EC"/>
    <w:rsid w:val="00FB319E"/>
    <w:rsid w:val="00FC1AC4"/>
    <w:rsid w:val="00FC3FA2"/>
    <w:rsid w:val="00FC3FFA"/>
    <w:rsid w:val="00FC57AC"/>
    <w:rsid w:val="00FC6C47"/>
    <w:rsid w:val="00FC6CAE"/>
    <w:rsid w:val="00FC789A"/>
    <w:rsid w:val="00FD0752"/>
    <w:rsid w:val="00FD7C32"/>
    <w:rsid w:val="00FE2149"/>
    <w:rsid w:val="00FE426B"/>
    <w:rsid w:val="00FE45AB"/>
    <w:rsid w:val="00FE6C01"/>
    <w:rsid w:val="00FF16A8"/>
    <w:rsid w:val="00FF4DF8"/>
    <w:rsid w:val="00FF7722"/>
    <w:rsid w:val="021ABCFA"/>
    <w:rsid w:val="02368837"/>
    <w:rsid w:val="032745D7"/>
    <w:rsid w:val="034ADD43"/>
    <w:rsid w:val="0361A8D0"/>
    <w:rsid w:val="03E145B5"/>
    <w:rsid w:val="03FDD63E"/>
    <w:rsid w:val="047EF833"/>
    <w:rsid w:val="04BDCD57"/>
    <w:rsid w:val="057A7B8C"/>
    <w:rsid w:val="05E3D6AC"/>
    <w:rsid w:val="063A5686"/>
    <w:rsid w:val="06543746"/>
    <w:rsid w:val="06F7A403"/>
    <w:rsid w:val="0800045D"/>
    <w:rsid w:val="086B2842"/>
    <w:rsid w:val="086E085C"/>
    <w:rsid w:val="08D40AA7"/>
    <w:rsid w:val="08E2EA0C"/>
    <w:rsid w:val="0971018D"/>
    <w:rsid w:val="09AC16B4"/>
    <w:rsid w:val="09CC293E"/>
    <w:rsid w:val="0A10C1EC"/>
    <w:rsid w:val="0A49C83E"/>
    <w:rsid w:val="0A6466B1"/>
    <w:rsid w:val="0B118E9D"/>
    <w:rsid w:val="0CDC0F4F"/>
    <w:rsid w:val="0CFE763E"/>
    <w:rsid w:val="0D36535B"/>
    <w:rsid w:val="0D5791C9"/>
    <w:rsid w:val="0DFDEBB5"/>
    <w:rsid w:val="0F08E7AC"/>
    <w:rsid w:val="0F480B19"/>
    <w:rsid w:val="104F7FE5"/>
    <w:rsid w:val="1083FF93"/>
    <w:rsid w:val="10E98213"/>
    <w:rsid w:val="1150F148"/>
    <w:rsid w:val="124FBA17"/>
    <w:rsid w:val="1258A2B0"/>
    <w:rsid w:val="12655598"/>
    <w:rsid w:val="13EE4BFC"/>
    <w:rsid w:val="146F8911"/>
    <w:rsid w:val="14978312"/>
    <w:rsid w:val="14CEA924"/>
    <w:rsid w:val="14D66AB5"/>
    <w:rsid w:val="159663BA"/>
    <w:rsid w:val="15BA38E3"/>
    <w:rsid w:val="16EA6E42"/>
    <w:rsid w:val="1722D262"/>
    <w:rsid w:val="17CC81A1"/>
    <w:rsid w:val="17EFF313"/>
    <w:rsid w:val="186B0BB7"/>
    <w:rsid w:val="187C7769"/>
    <w:rsid w:val="18A46B4E"/>
    <w:rsid w:val="18A7D740"/>
    <w:rsid w:val="18F18D96"/>
    <w:rsid w:val="190D3E30"/>
    <w:rsid w:val="1921A957"/>
    <w:rsid w:val="19B0F260"/>
    <w:rsid w:val="1AEFFCEA"/>
    <w:rsid w:val="1B24D877"/>
    <w:rsid w:val="1B929A05"/>
    <w:rsid w:val="1B98641D"/>
    <w:rsid w:val="1BA0DB5D"/>
    <w:rsid w:val="1C2173BC"/>
    <w:rsid w:val="1D73BBC7"/>
    <w:rsid w:val="1E43FD1B"/>
    <w:rsid w:val="1E5C44B4"/>
    <w:rsid w:val="1EA8AFDA"/>
    <w:rsid w:val="1EF06149"/>
    <w:rsid w:val="1F69194E"/>
    <w:rsid w:val="1F73DDF7"/>
    <w:rsid w:val="200FBC3A"/>
    <w:rsid w:val="2193F0F2"/>
    <w:rsid w:val="21ABF87D"/>
    <w:rsid w:val="21FAF981"/>
    <w:rsid w:val="2238E1BF"/>
    <w:rsid w:val="2256F000"/>
    <w:rsid w:val="228FDC7E"/>
    <w:rsid w:val="22E2088B"/>
    <w:rsid w:val="230DC397"/>
    <w:rsid w:val="23190D63"/>
    <w:rsid w:val="236691D5"/>
    <w:rsid w:val="239A9ECB"/>
    <w:rsid w:val="23ABFA49"/>
    <w:rsid w:val="23BCE3CB"/>
    <w:rsid w:val="248B7841"/>
    <w:rsid w:val="24F664F2"/>
    <w:rsid w:val="25285B8F"/>
    <w:rsid w:val="258EB88B"/>
    <w:rsid w:val="26C68431"/>
    <w:rsid w:val="26EACE27"/>
    <w:rsid w:val="27BB06DF"/>
    <w:rsid w:val="281B8E5B"/>
    <w:rsid w:val="28A983C5"/>
    <w:rsid w:val="28C0FC43"/>
    <w:rsid w:val="291FD3D7"/>
    <w:rsid w:val="2A3F617C"/>
    <w:rsid w:val="2A7C76AD"/>
    <w:rsid w:val="2AD84201"/>
    <w:rsid w:val="2AE39A38"/>
    <w:rsid w:val="2B189ECD"/>
    <w:rsid w:val="2B799404"/>
    <w:rsid w:val="2BBCF2AE"/>
    <w:rsid w:val="2BE716C6"/>
    <w:rsid w:val="2C288DDC"/>
    <w:rsid w:val="2CF4203D"/>
    <w:rsid w:val="2D073458"/>
    <w:rsid w:val="2D71FF67"/>
    <w:rsid w:val="2D9F2996"/>
    <w:rsid w:val="2DA44D6C"/>
    <w:rsid w:val="2DBF7A91"/>
    <w:rsid w:val="2DD145D9"/>
    <w:rsid w:val="2DE2AEA7"/>
    <w:rsid w:val="2E48EE2D"/>
    <w:rsid w:val="2E4B5025"/>
    <w:rsid w:val="2E5FE7BB"/>
    <w:rsid w:val="2E88C8C8"/>
    <w:rsid w:val="2F2916F9"/>
    <w:rsid w:val="2F7887C5"/>
    <w:rsid w:val="30089901"/>
    <w:rsid w:val="30B366F2"/>
    <w:rsid w:val="31222DE3"/>
    <w:rsid w:val="32A6255B"/>
    <w:rsid w:val="34779D6F"/>
    <w:rsid w:val="34EBE7CC"/>
    <w:rsid w:val="37B58744"/>
    <w:rsid w:val="38BE63EA"/>
    <w:rsid w:val="3920D745"/>
    <w:rsid w:val="3A142C78"/>
    <w:rsid w:val="3A4E8E9C"/>
    <w:rsid w:val="3A6B0C99"/>
    <w:rsid w:val="3AA91500"/>
    <w:rsid w:val="3ACCBFE7"/>
    <w:rsid w:val="3B19631D"/>
    <w:rsid w:val="3BEA9E40"/>
    <w:rsid w:val="3BF8227B"/>
    <w:rsid w:val="3C12883C"/>
    <w:rsid w:val="3CF98F7C"/>
    <w:rsid w:val="3D254255"/>
    <w:rsid w:val="3D3A4DCC"/>
    <w:rsid w:val="3D6B9632"/>
    <w:rsid w:val="3DA8CE71"/>
    <w:rsid w:val="3E45E372"/>
    <w:rsid w:val="3E70E8EE"/>
    <w:rsid w:val="3E86176E"/>
    <w:rsid w:val="3F32F71E"/>
    <w:rsid w:val="3F4C5081"/>
    <w:rsid w:val="3F5469AC"/>
    <w:rsid w:val="406C045A"/>
    <w:rsid w:val="407D530D"/>
    <w:rsid w:val="40AC3D23"/>
    <w:rsid w:val="4234AA94"/>
    <w:rsid w:val="42544D7D"/>
    <w:rsid w:val="426F930F"/>
    <w:rsid w:val="42AE3D4E"/>
    <w:rsid w:val="42D87CCD"/>
    <w:rsid w:val="430BABBA"/>
    <w:rsid w:val="43503349"/>
    <w:rsid w:val="43FAC095"/>
    <w:rsid w:val="4446B4A7"/>
    <w:rsid w:val="44B7B4DD"/>
    <w:rsid w:val="457C6DC5"/>
    <w:rsid w:val="45DACF14"/>
    <w:rsid w:val="45E74D8F"/>
    <w:rsid w:val="466B9FEB"/>
    <w:rsid w:val="46F63787"/>
    <w:rsid w:val="47889F62"/>
    <w:rsid w:val="4820FEC8"/>
    <w:rsid w:val="484C54C7"/>
    <w:rsid w:val="48544DF9"/>
    <w:rsid w:val="4907CCA0"/>
    <w:rsid w:val="49D043C5"/>
    <w:rsid w:val="4A2E70FD"/>
    <w:rsid w:val="4A6F56F9"/>
    <w:rsid w:val="4AB107FF"/>
    <w:rsid w:val="4B03349F"/>
    <w:rsid w:val="4B2735D1"/>
    <w:rsid w:val="4D797427"/>
    <w:rsid w:val="4D941F6B"/>
    <w:rsid w:val="4DC25211"/>
    <w:rsid w:val="4E22654D"/>
    <w:rsid w:val="4F3EAB6D"/>
    <w:rsid w:val="4FD4B9EB"/>
    <w:rsid w:val="51314D35"/>
    <w:rsid w:val="51B98E5A"/>
    <w:rsid w:val="522FC7D4"/>
    <w:rsid w:val="528AED3C"/>
    <w:rsid w:val="53A66AD6"/>
    <w:rsid w:val="54473E77"/>
    <w:rsid w:val="5493E9D4"/>
    <w:rsid w:val="550C6BF0"/>
    <w:rsid w:val="55E03BAD"/>
    <w:rsid w:val="561993D4"/>
    <w:rsid w:val="56B77E8D"/>
    <w:rsid w:val="570B2A0D"/>
    <w:rsid w:val="5716F0E2"/>
    <w:rsid w:val="5736E0A4"/>
    <w:rsid w:val="59A0BBF4"/>
    <w:rsid w:val="59F74114"/>
    <w:rsid w:val="5A5BFA43"/>
    <w:rsid w:val="5AA1F6C1"/>
    <w:rsid w:val="5AE6C0CD"/>
    <w:rsid w:val="5AF786A9"/>
    <w:rsid w:val="5D056448"/>
    <w:rsid w:val="5EB6C429"/>
    <w:rsid w:val="5F991EA1"/>
    <w:rsid w:val="6041C830"/>
    <w:rsid w:val="60D32DB7"/>
    <w:rsid w:val="612011A7"/>
    <w:rsid w:val="61807171"/>
    <w:rsid w:val="62F62FD1"/>
    <w:rsid w:val="63167361"/>
    <w:rsid w:val="6365A6CD"/>
    <w:rsid w:val="637920F5"/>
    <w:rsid w:val="6382E124"/>
    <w:rsid w:val="64AB9299"/>
    <w:rsid w:val="64EF2758"/>
    <w:rsid w:val="651CF776"/>
    <w:rsid w:val="66089874"/>
    <w:rsid w:val="66608D83"/>
    <w:rsid w:val="672DB3E5"/>
    <w:rsid w:val="677D8F5B"/>
    <w:rsid w:val="67C1B58D"/>
    <w:rsid w:val="684FF506"/>
    <w:rsid w:val="68A50BB9"/>
    <w:rsid w:val="6A1BADB5"/>
    <w:rsid w:val="6A6A35D7"/>
    <w:rsid w:val="6A8222C2"/>
    <w:rsid w:val="6B493083"/>
    <w:rsid w:val="6BEA0235"/>
    <w:rsid w:val="6CDEB291"/>
    <w:rsid w:val="6D5A17B2"/>
    <w:rsid w:val="6DF62E11"/>
    <w:rsid w:val="6E1F42AB"/>
    <w:rsid w:val="6E2798E8"/>
    <w:rsid w:val="6EC75C2F"/>
    <w:rsid w:val="6ECD07BD"/>
    <w:rsid w:val="6FACFB35"/>
    <w:rsid w:val="70378A00"/>
    <w:rsid w:val="704623E7"/>
    <w:rsid w:val="70EF6C53"/>
    <w:rsid w:val="72122903"/>
    <w:rsid w:val="722F72FA"/>
    <w:rsid w:val="7233A8B6"/>
    <w:rsid w:val="7259C747"/>
    <w:rsid w:val="72CD13EF"/>
    <w:rsid w:val="74E60E6C"/>
    <w:rsid w:val="76640DCC"/>
    <w:rsid w:val="774BB7F1"/>
    <w:rsid w:val="77D07584"/>
    <w:rsid w:val="77D93968"/>
    <w:rsid w:val="77E4D66B"/>
    <w:rsid w:val="780CDA90"/>
    <w:rsid w:val="78719170"/>
    <w:rsid w:val="788ABF22"/>
    <w:rsid w:val="78FA0298"/>
    <w:rsid w:val="7959AE7A"/>
    <w:rsid w:val="797D58BE"/>
    <w:rsid w:val="79FBF514"/>
    <w:rsid w:val="7A993608"/>
    <w:rsid w:val="7AEA3537"/>
    <w:rsid w:val="7D8BE98D"/>
    <w:rsid w:val="7E7AD55B"/>
    <w:rsid w:val="7F5B46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6724"/>
  <w15:chartTrackingRefBased/>
  <w15:docId w15:val="{1FFCB28D-C8F5-47A8-9C38-6EFA6E40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12"/>
    <w:pPr>
      <w:spacing w:after="0" w:line="240" w:lineRule="auto"/>
    </w:pPr>
    <w:rPr>
      <w:rFonts w:ascii="Aptos" w:eastAsia="Aptos" w:hAnsi="Aptos" w:cs="Aptos"/>
      <w:kern w:val="0"/>
      <w:sz w:val="22"/>
      <w:szCs w:val="22"/>
      <w:lang w:val="en-US" w:eastAsia="en-GB"/>
      <w14:ligatures w14:val="none"/>
    </w:rPr>
  </w:style>
  <w:style w:type="paragraph" w:styleId="Heading1">
    <w:name w:val="heading 1"/>
    <w:basedOn w:val="Normal"/>
    <w:next w:val="Normal"/>
    <w:link w:val="Heading1Char"/>
    <w:uiPriority w:val="9"/>
    <w:qFormat/>
    <w:rsid w:val="00676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6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6C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C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6C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6C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6C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6C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6C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39E"/>
    <w:pPr>
      <w:spacing w:after="0" w:line="240" w:lineRule="auto"/>
      <w:jc w:val="both"/>
    </w:pPr>
    <w:rPr>
      <w:rFonts w:ascii="Roboto" w:eastAsiaTheme="minorEastAsia" w:hAnsi="Roboto"/>
      <w:kern w:val="0"/>
      <w:lang w:val="en-US" w:eastAsia="ja-JP"/>
      <w14:ligatures w14:val="none"/>
    </w:rPr>
  </w:style>
  <w:style w:type="character" w:customStyle="1" w:styleId="Heading1Char">
    <w:name w:val="Heading 1 Char"/>
    <w:basedOn w:val="DefaultParagraphFont"/>
    <w:link w:val="Heading1"/>
    <w:uiPriority w:val="9"/>
    <w:rsid w:val="00676C12"/>
    <w:rPr>
      <w:rFonts w:asciiTheme="majorHAnsi" w:eastAsiaTheme="majorEastAsia" w:hAnsiTheme="majorHAnsi" w:cstheme="majorBidi"/>
      <w:color w:val="0F4761" w:themeColor="accent1" w:themeShade="BF"/>
      <w:kern w:val="0"/>
      <w:sz w:val="40"/>
      <w:szCs w:val="40"/>
      <w:lang w:val="en-US" w:eastAsia="ja-JP"/>
      <w14:ligatures w14:val="none"/>
    </w:rPr>
  </w:style>
  <w:style w:type="character" w:customStyle="1" w:styleId="Heading2Char">
    <w:name w:val="Heading 2 Char"/>
    <w:basedOn w:val="DefaultParagraphFont"/>
    <w:link w:val="Heading2"/>
    <w:uiPriority w:val="9"/>
    <w:semiHidden/>
    <w:rsid w:val="00676C12"/>
    <w:rPr>
      <w:rFonts w:asciiTheme="majorHAnsi" w:eastAsiaTheme="majorEastAsia" w:hAnsiTheme="majorHAnsi" w:cstheme="majorBidi"/>
      <w:color w:val="0F4761" w:themeColor="accent1" w:themeShade="BF"/>
      <w:kern w:val="0"/>
      <w:sz w:val="32"/>
      <w:szCs w:val="32"/>
      <w:lang w:val="en-US" w:eastAsia="ja-JP"/>
      <w14:ligatures w14:val="none"/>
    </w:rPr>
  </w:style>
  <w:style w:type="character" w:customStyle="1" w:styleId="Heading3Char">
    <w:name w:val="Heading 3 Char"/>
    <w:basedOn w:val="DefaultParagraphFont"/>
    <w:link w:val="Heading3"/>
    <w:uiPriority w:val="9"/>
    <w:semiHidden/>
    <w:rsid w:val="00676C12"/>
    <w:rPr>
      <w:rFonts w:eastAsiaTheme="majorEastAsia" w:cstheme="majorBidi"/>
      <w:color w:val="0F4761" w:themeColor="accent1" w:themeShade="BF"/>
      <w:kern w:val="0"/>
      <w:sz w:val="28"/>
      <w:szCs w:val="28"/>
      <w:lang w:val="en-US" w:eastAsia="ja-JP"/>
      <w14:ligatures w14:val="none"/>
    </w:rPr>
  </w:style>
  <w:style w:type="character" w:customStyle="1" w:styleId="Heading4Char">
    <w:name w:val="Heading 4 Char"/>
    <w:basedOn w:val="DefaultParagraphFont"/>
    <w:link w:val="Heading4"/>
    <w:uiPriority w:val="9"/>
    <w:semiHidden/>
    <w:rsid w:val="00676C12"/>
    <w:rPr>
      <w:rFonts w:eastAsiaTheme="majorEastAsia" w:cstheme="majorBidi"/>
      <w:i/>
      <w:iCs/>
      <w:color w:val="0F4761" w:themeColor="accent1" w:themeShade="BF"/>
      <w:kern w:val="0"/>
      <w:lang w:val="en-US" w:eastAsia="ja-JP"/>
      <w14:ligatures w14:val="none"/>
    </w:rPr>
  </w:style>
  <w:style w:type="character" w:customStyle="1" w:styleId="Heading5Char">
    <w:name w:val="Heading 5 Char"/>
    <w:basedOn w:val="DefaultParagraphFont"/>
    <w:link w:val="Heading5"/>
    <w:uiPriority w:val="9"/>
    <w:semiHidden/>
    <w:rsid w:val="00676C12"/>
    <w:rPr>
      <w:rFonts w:eastAsiaTheme="majorEastAsia" w:cstheme="majorBidi"/>
      <w:color w:val="0F4761" w:themeColor="accent1" w:themeShade="BF"/>
      <w:kern w:val="0"/>
      <w:lang w:val="en-US" w:eastAsia="ja-JP"/>
      <w14:ligatures w14:val="none"/>
    </w:rPr>
  </w:style>
  <w:style w:type="character" w:customStyle="1" w:styleId="Heading6Char">
    <w:name w:val="Heading 6 Char"/>
    <w:basedOn w:val="DefaultParagraphFont"/>
    <w:link w:val="Heading6"/>
    <w:uiPriority w:val="9"/>
    <w:semiHidden/>
    <w:rsid w:val="00676C12"/>
    <w:rPr>
      <w:rFonts w:eastAsiaTheme="majorEastAsia"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semiHidden/>
    <w:rsid w:val="00676C12"/>
    <w:rPr>
      <w:rFonts w:eastAsiaTheme="majorEastAsia"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semiHidden/>
    <w:rsid w:val="00676C12"/>
    <w:rPr>
      <w:rFonts w:eastAsiaTheme="majorEastAsia"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semiHidden/>
    <w:rsid w:val="00676C12"/>
    <w:rPr>
      <w:rFonts w:eastAsiaTheme="majorEastAsia" w:cstheme="majorBidi"/>
      <w:color w:val="272727" w:themeColor="text1" w:themeTint="D8"/>
      <w:kern w:val="0"/>
      <w:lang w:val="en-US" w:eastAsia="ja-JP"/>
      <w14:ligatures w14:val="none"/>
    </w:rPr>
  </w:style>
  <w:style w:type="paragraph" w:styleId="Title">
    <w:name w:val="Title"/>
    <w:basedOn w:val="Normal"/>
    <w:next w:val="Normal"/>
    <w:link w:val="TitleChar"/>
    <w:uiPriority w:val="10"/>
    <w:qFormat/>
    <w:rsid w:val="00676C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C12"/>
    <w:rPr>
      <w:rFonts w:asciiTheme="majorHAnsi" w:eastAsiaTheme="majorEastAsia" w:hAnsiTheme="majorHAnsi" w:cstheme="majorBidi"/>
      <w:spacing w:val="-10"/>
      <w:kern w:val="28"/>
      <w:sz w:val="56"/>
      <w:szCs w:val="56"/>
      <w:lang w:val="en-US" w:eastAsia="ja-JP"/>
      <w14:ligatures w14:val="none"/>
    </w:rPr>
  </w:style>
  <w:style w:type="paragraph" w:styleId="Subtitle">
    <w:name w:val="Subtitle"/>
    <w:basedOn w:val="Normal"/>
    <w:next w:val="Normal"/>
    <w:link w:val="SubtitleChar"/>
    <w:uiPriority w:val="11"/>
    <w:qFormat/>
    <w:rsid w:val="00676C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C12"/>
    <w:rPr>
      <w:rFonts w:eastAsiaTheme="majorEastAsia" w:cstheme="majorBidi"/>
      <w:color w:val="595959" w:themeColor="text1" w:themeTint="A6"/>
      <w:spacing w:val="15"/>
      <w:kern w:val="0"/>
      <w:sz w:val="28"/>
      <w:szCs w:val="28"/>
      <w:lang w:val="en-US" w:eastAsia="ja-JP"/>
      <w14:ligatures w14:val="none"/>
    </w:rPr>
  </w:style>
  <w:style w:type="paragraph" w:styleId="Quote">
    <w:name w:val="Quote"/>
    <w:basedOn w:val="Normal"/>
    <w:next w:val="Normal"/>
    <w:link w:val="QuoteChar"/>
    <w:uiPriority w:val="29"/>
    <w:qFormat/>
    <w:rsid w:val="00676C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6C12"/>
    <w:rPr>
      <w:rFonts w:ascii="Roboto" w:eastAsiaTheme="minorEastAsia" w:hAnsi="Roboto"/>
      <w:i/>
      <w:iCs/>
      <w:color w:val="404040" w:themeColor="text1" w:themeTint="BF"/>
      <w:kern w:val="0"/>
      <w:lang w:val="en-US" w:eastAsia="ja-JP"/>
      <w14:ligatures w14:val="none"/>
    </w:rPr>
  </w:style>
  <w:style w:type="paragraph" w:styleId="ListParagraph">
    <w:name w:val="List Paragraph"/>
    <w:basedOn w:val="Normal"/>
    <w:uiPriority w:val="34"/>
    <w:qFormat/>
    <w:rsid w:val="00676C12"/>
    <w:pPr>
      <w:ind w:left="720"/>
      <w:contextualSpacing/>
    </w:pPr>
  </w:style>
  <w:style w:type="character" w:styleId="IntenseEmphasis">
    <w:name w:val="Intense Emphasis"/>
    <w:basedOn w:val="DefaultParagraphFont"/>
    <w:uiPriority w:val="21"/>
    <w:qFormat/>
    <w:rsid w:val="00676C12"/>
    <w:rPr>
      <w:i/>
      <w:iCs/>
      <w:color w:val="0F4761" w:themeColor="accent1" w:themeShade="BF"/>
    </w:rPr>
  </w:style>
  <w:style w:type="paragraph" w:styleId="IntenseQuote">
    <w:name w:val="Intense Quote"/>
    <w:basedOn w:val="Normal"/>
    <w:next w:val="Normal"/>
    <w:link w:val="IntenseQuoteChar"/>
    <w:uiPriority w:val="30"/>
    <w:qFormat/>
    <w:rsid w:val="0067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C12"/>
    <w:rPr>
      <w:rFonts w:ascii="Roboto" w:eastAsiaTheme="minorEastAsia" w:hAnsi="Roboto"/>
      <w:i/>
      <w:iCs/>
      <w:color w:val="0F4761" w:themeColor="accent1" w:themeShade="BF"/>
      <w:kern w:val="0"/>
      <w:lang w:val="en-US" w:eastAsia="ja-JP"/>
      <w14:ligatures w14:val="none"/>
    </w:rPr>
  </w:style>
  <w:style w:type="character" w:styleId="IntenseReference">
    <w:name w:val="Intense Reference"/>
    <w:basedOn w:val="DefaultParagraphFont"/>
    <w:uiPriority w:val="32"/>
    <w:qFormat/>
    <w:rsid w:val="00676C12"/>
    <w:rPr>
      <w:b/>
      <w:bCs/>
      <w:smallCaps/>
      <w:color w:val="0F4761" w:themeColor="accent1" w:themeShade="BF"/>
      <w:spacing w:val="5"/>
    </w:rPr>
  </w:style>
  <w:style w:type="table" w:styleId="TableGrid">
    <w:name w:val="Table Grid"/>
    <w:basedOn w:val="TableNormal"/>
    <w:uiPriority w:val="39"/>
    <w:qFormat/>
    <w:rsid w:val="00676C12"/>
    <w:pPr>
      <w:spacing w:after="0" w:line="240" w:lineRule="auto"/>
    </w:pPr>
    <w:rPr>
      <w:rFonts w:ascii="Aptos" w:eastAsia="Aptos" w:hAnsi="Aptos" w:cs="Aptos"/>
      <w:kern w:val="0"/>
      <w:sz w:val="22"/>
      <w:szCs w:val="22"/>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21"/>
    <w:basedOn w:val="TableNormal"/>
    <w:rsid w:val="00676C12"/>
    <w:pPr>
      <w:spacing w:after="0" w:line="240" w:lineRule="auto"/>
    </w:pPr>
    <w:rPr>
      <w:rFonts w:ascii="Aptos" w:eastAsia="Aptos" w:hAnsi="Aptos" w:cs="Aptos"/>
      <w:kern w:val="0"/>
      <w:sz w:val="22"/>
      <w:szCs w:val="22"/>
      <w:lang w:val="en-US" w:eastAsia="en-GB"/>
      <w14:ligatures w14:val="none"/>
    </w:rPr>
    <w:tblPr>
      <w:tblStyleRowBandSize w:val="1"/>
      <w:tblStyleColBandSize w:val="1"/>
      <w:tblCellMar>
        <w:left w:w="0" w:type="dxa"/>
        <w:right w:w="0" w:type="dxa"/>
      </w:tblCellMar>
    </w:tblPr>
  </w:style>
  <w:style w:type="table" w:customStyle="1" w:styleId="7">
    <w:name w:val="7"/>
    <w:basedOn w:val="TableNormal"/>
    <w:rsid w:val="00676C12"/>
    <w:pPr>
      <w:spacing w:after="0" w:line="240" w:lineRule="auto"/>
    </w:pPr>
    <w:rPr>
      <w:rFonts w:ascii="Aptos" w:eastAsia="Aptos" w:hAnsi="Aptos" w:cs="Aptos"/>
      <w:kern w:val="0"/>
      <w:sz w:val="22"/>
      <w:szCs w:val="22"/>
      <w:lang w:val="en-US" w:eastAsia="en-GB"/>
      <w14:ligatures w14:val="none"/>
    </w:rPr>
    <w:tblPr>
      <w:tblStyleRowBandSize w:val="1"/>
      <w:tblStyleColBandSize w:val="1"/>
    </w:tblPr>
  </w:style>
  <w:style w:type="paragraph" w:styleId="Header">
    <w:name w:val="header"/>
    <w:basedOn w:val="Normal"/>
    <w:link w:val="HeaderChar"/>
    <w:uiPriority w:val="99"/>
    <w:unhideWhenUsed/>
    <w:rsid w:val="00676C12"/>
    <w:pPr>
      <w:tabs>
        <w:tab w:val="center" w:pos="4513"/>
        <w:tab w:val="right" w:pos="9026"/>
      </w:tabs>
    </w:pPr>
  </w:style>
  <w:style w:type="character" w:customStyle="1" w:styleId="HeaderChar">
    <w:name w:val="Header Char"/>
    <w:basedOn w:val="DefaultParagraphFont"/>
    <w:link w:val="Header"/>
    <w:uiPriority w:val="99"/>
    <w:rsid w:val="00676C12"/>
    <w:rPr>
      <w:rFonts w:ascii="Aptos" w:eastAsia="Aptos" w:hAnsi="Aptos" w:cs="Aptos"/>
      <w:kern w:val="0"/>
      <w:sz w:val="22"/>
      <w:szCs w:val="22"/>
      <w:lang w:val="en-US" w:eastAsia="en-GB"/>
      <w14:ligatures w14:val="none"/>
    </w:rPr>
  </w:style>
  <w:style w:type="paragraph" w:styleId="Footer">
    <w:name w:val="footer"/>
    <w:basedOn w:val="Normal"/>
    <w:link w:val="FooterChar"/>
    <w:uiPriority w:val="99"/>
    <w:unhideWhenUsed/>
    <w:rsid w:val="00676C12"/>
    <w:pPr>
      <w:tabs>
        <w:tab w:val="center" w:pos="4513"/>
        <w:tab w:val="right" w:pos="9026"/>
      </w:tabs>
    </w:pPr>
  </w:style>
  <w:style w:type="character" w:customStyle="1" w:styleId="FooterChar">
    <w:name w:val="Footer Char"/>
    <w:basedOn w:val="DefaultParagraphFont"/>
    <w:link w:val="Footer"/>
    <w:uiPriority w:val="99"/>
    <w:rsid w:val="00676C12"/>
    <w:rPr>
      <w:rFonts w:ascii="Aptos" w:eastAsia="Aptos" w:hAnsi="Aptos" w:cs="Aptos"/>
      <w:kern w:val="0"/>
      <w:sz w:val="22"/>
      <w:szCs w:val="22"/>
      <w:lang w:val="en-US" w:eastAsia="en-GB"/>
      <w14:ligatures w14:val="none"/>
    </w:rPr>
  </w:style>
  <w:style w:type="paragraph" w:styleId="NormalWeb">
    <w:name w:val="Normal (Web)"/>
    <w:basedOn w:val="Normal"/>
    <w:uiPriority w:val="99"/>
    <w:semiHidden/>
    <w:unhideWhenUsed/>
    <w:rsid w:val="00D74B74"/>
    <w:pPr>
      <w:spacing w:before="100" w:beforeAutospacing="1" w:after="100" w:afterAutospacing="1"/>
    </w:pPr>
    <w:rPr>
      <w:rFonts w:ascii="Times New Roman" w:eastAsia="Times New Roman" w:hAnsi="Times New Roman" w:cs="Times New Roman"/>
      <w:sz w:val="24"/>
      <w:szCs w:val="24"/>
      <w:lang w:val="es-CL" w:eastAsia="es-CL"/>
    </w:rPr>
  </w:style>
  <w:style w:type="character" w:styleId="Strong">
    <w:name w:val="Strong"/>
    <w:basedOn w:val="DefaultParagraphFont"/>
    <w:uiPriority w:val="22"/>
    <w:qFormat/>
    <w:rsid w:val="00E30DEC"/>
    <w:rPr>
      <w:b/>
      <w:bCs/>
    </w:rPr>
  </w:style>
  <w:style w:type="character" w:styleId="Emphasis">
    <w:name w:val="Emphasis"/>
    <w:basedOn w:val="DefaultParagraphFont"/>
    <w:uiPriority w:val="20"/>
    <w:qFormat/>
    <w:rsid w:val="00E30DEC"/>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lang w:val="en-US"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85596"/>
    <w:pPr>
      <w:spacing w:after="0" w:line="240" w:lineRule="auto"/>
    </w:pPr>
    <w:rPr>
      <w:rFonts w:ascii="Aptos" w:eastAsia="Aptos" w:hAnsi="Aptos" w:cs="Aptos"/>
      <w:kern w:val="0"/>
      <w:sz w:val="22"/>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851">
      <w:bodyDiv w:val="1"/>
      <w:marLeft w:val="0"/>
      <w:marRight w:val="0"/>
      <w:marTop w:val="0"/>
      <w:marBottom w:val="0"/>
      <w:divBdr>
        <w:top w:val="none" w:sz="0" w:space="0" w:color="auto"/>
        <w:left w:val="none" w:sz="0" w:space="0" w:color="auto"/>
        <w:bottom w:val="none" w:sz="0" w:space="0" w:color="auto"/>
        <w:right w:val="none" w:sz="0" w:space="0" w:color="auto"/>
      </w:divBdr>
      <w:divsChild>
        <w:div w:id="799108317">
          <w:marLeft w:val="0"/>
          <w:marRight w:val="0"/>
          <w:marTop w:val="0"/>
          <w:marBottom w:val="0"/>
          <w:divBdr>
            <w:top w:val="none" w:sz="0" w:space="0" w:color="auto"/>
            <w:left w:val="none" w:sz="0" w:space="0" w:color="auto"/>
            <w:bottom w:val="none" w:sz="0" w:space="0" w:color="auto"/>
            <w:right w:val="none" w:sz="0" w:space="0" w:color="auto"/>
          </w:divBdr>
        </w:div>
      </w:divsChild>
    </w:div>
    <w:div w:id="47657848">
      <w:bodyDiv w:val="1"/>
      <w:marLeft w:val="0"/>
      <w:marRight w:val="0"/>
      <w:marTop w:val="0"/>
      <w:marBottom w:val="0"/>
      <w:divBdr>
        <w:top w:val="none" w:sz="0" w:space="0" w:color="auto"/>
        <w:left w:val="none" w:sz="0" w:space="0" w:color="auto"/>
        <w:bottom w:val="none" w:sz="0" w:space="0" w:color="auto"/>
        <w:right w:val="none" w:sz="0" w:space="0" w:color="auto"/>
      </w:divBdr>
      <w:divsChild>
        <w:div w:id="836189315">
          <w:marLeft w:val="0"/>
          <w:marRight w:val="0"/>
          <w:marTop w:val="0"/>
          <w:marBottom w:val="0"/>
          <w:divBdr>
            <w:top w:val="none" w:sz="0" w:space="0" w:color="auto"/>
            <w:left w:val="none" w:sz="0" w:space="0" w:color="auto"/>
            <w:bottom w:val="none" w:sz="0" w:space="0" w:color="auto"/>
            <w:right w:val="none" w:sz="0" w:space="0" w:color="auto"/>
          </w:divBdr>
        </w:div>
      </w:divsChild>
    </w:div>
    <w:div w:id="117993491">
      <w:bodyDiv w:val="1"/>
      <w:marLeft w:val="0"/>
      <w:marRight w:val="0"/>
      <w:marTop w:val="0"/>
      <w:marBottom w:val="0"/>
      <w:divBdr>
        <w:top w:val="none" w:sz="0" w:space="0" w:color="auto"/>
        <w:left w:val="none" w:sz="0" w:space="0" w:color="auto"/>
        <w:bottom w:val="none" w:sz="0" w:space="0" w:color="auto"/>
        <w:right w:val="none" w:sz="0" w:space="0" w:color="auto"/>
      </w:divBdr>
      <w:divsChild>
        <w:div w:id="88744916">
          <w:marLeft w:val="0"/>
          <w:marRight w:val="0"/>
          <w:marTop w:val="0"/>
          <w:marBottom w:val="0"/>
          <w:divBdr>
            <w:top w:val="none" w:sz="0" w:space="0" w:color="auto"/>
            <w:left w:val="none" w:sz="0" w:space="0" w:color="auto"/>
            <w:bottom w:val="none" w:sz="0" w:space="0" w:color="auto"/>
            <w:right w:val="none" w:sz="0" w:space="0" w:color="auto"/>
          </w:divBdr>
        </w:div>
      </w:divsChild>
    </w:div>
    <w:div w:id="341324573">
      <w:bodyDiv w:val="1"/>
      <w:marLeft w:val="0"/>
      <w:marRight w:val="0"/>
      <w:marTop w:val="0"/>
      <w:marBottom w:val="0"/>
      <w:divBdr>
        <w:top w:val="none" w:sz="0" w:space="0" w:color="auto"/>
        <w:left w:val="none" w:sz="0" w:space="0" w:color="auto"/>
        <w:bottom w:val="none" w:sz="0" w:space="0" w:color="auto"/>
        <w:right w:val="none" w:sz="0" w:space="0" w:color="auto"/>
      </w:divBdr>
      <w:divsChild>
        <w:div w:id="1461531178">
          <w:marLeft w:val="0"/>
          <w:marRight w:val="0"/>
          <w:marTop w:val="0"/>
          <w:marBottom w:val="0"/>
          <w:divBdr>
            <w:top w:val="none" w:sz="0" w:space="0" w:color="auto"/>
            <w:left w:val="none" w:sz="0" w:space="0" w:color="auto"/>
            <w:bottom w:val="none" w:sz="0" w:space="0" w:color="auto"/>
            <w:right w:val="none" w:sz="0" w:space="0" w:color="auto"/>
          </w:divBdr>
        </w:div>
      </w:divsChild>
    </w:div>
    <w:div w:id="377437579">
      <w:bodyDiv w:val="1"/>
      <w:marLeft w:val="0"/>
      <w:marRight w:val="0"/>
      <w:marTop w:val="0"/>
      <w:marBottom w:val="0"/>
      <w:divBdr>
        <w:top w:val="none" w:sz="0" w:space="0" w:color="auto"/>
        <w:left w:val="none" w:sz="0" w:space="0" w:color="auto"/>
        <w:bottom w:val="none" w:sz="0" w:space="0" w:color="auto"/>
        <w:right w:val="none" w:sz="0" w:space="0" w:color="auto"/>
      </w:divBdr>
      <w:divsChild>
        <w:div w:id="1029454909">
          <w:marLeft w:val="0"/>
          <w:marRight w:val="0"/>
          <w:marTop w:val="0"/>
          <w:marBottom w:val="0"/>
          <w:divBdr>
            <w:top w:val="none" w:sz="0" w:space="0" w:color="auto"/>
            <w:left w:val="none" w:sz="0" w:space="0" w:color="auto"/>
            <w:bottom w:val="none" w:sz="0" w:space="0" w:color="auto"/>
            <w:right w:val="none" w:sz="0" w:space="0" w:color="auto"/>
          </w:divBdr>
        </w:div>
      </w:divsChild>
    </w:div>
    <w:div w:id="613025102">
      <w:bodyDiv w:val="1"/>
      <w:marLeft w:val="0"/>
      <w:marRight w:val="0"/>
      <w:marTop w:val="0"/>
      <w:marBottom w:val="0"/>
      <w:divBdr>
        <w:top w:val="none" w:sz="0" w:space="0" w:color="auto"/>
        <w:left w:val="none" w:sz="0" w:space="0" w:color="auto"/>
        <w:bottom w:val="none" w:sz="0" w:space="0" w:color="auto"/>
        <w:right w:val="none" w:sz="0" w:space="0" w:color="auto"/>
      </w:divBdr>
      <w:divsChild>
        <w:div w:id="1268848432">
          <w:marLeft w:val="0"/>
          <w:marRight w:val="0"/>
          <w:marTop w:val="0"/>
          <w:marBottom w:val="0"/>
          <w:divBdr>
            <w:top w:val="none" w:sz="0" w:space="0" w:color="auto"/>
            <w:left w:val="none" w:sz="0" w:space="0" w:color="auto"/>
            <w:bottom w:val="none" w:sz="0" w:space="0" w:color="auto"/>
            <w:right w:val="none" w:sz="0" w:space="0" w:color="auto"/>
          </w:divBdr>
        </w:div>
      </w:divsChild>
    </w:div>
    <w:div w:id="648636679">
      <w:bodyDiv w:val="1"/>
      <w:marLeft w:val="0"/>
      <w:marRight w:val="0"/>
      <w:marTop w:val="0"/>
      <w:marBottom w:val="0"/>
      <w:divBdr>
        <w:top w:val="none" w:sz="0" w:space="0" w:color="auto"/>
        <w:left w:val="none" w:sz="0" w:space="0" w:color="auto"/>
        <w:bottom w:val="none" w:sz="0" w:space="0" w:color="auto"/>
        <w:right w:val="none" w:sz="0" w:space="0" w:color="auto"/>
      </w:divBdr>
      <w:divsChild>
        <w:div w:id="2076510430">
          <w:marLeft w:val="0"/>
          <w:marRight w:val="0"/>
          <w:marTop w:val="0"/>
          <w:marBottom w:val="0"/>
          <w:divBdr>
            <w:top w:val="none" w:sz="0" w:space="0" w:color="auto"/>
            <w:left w:val="none" w:sz="0" w:space="0" w:color="auto"/>
            <w:bottom w:val="none" w:sz="0" w:space="0" w:color="auto"/>
            <w:right w:val="none" w:sz="0" w:space="0" w:color="auto"/>
          </w:divBdr>
        </w:div>
      </w:divsChild>
    </w:div>
    <w:div w:id="662927330">
      <w:bodyDiv w:val="1"/>
      <w:marLeft w:val="0"/>
      <w:marRight w:val="0"/>
      <w:marTop w:val="0"/>
      <w:marBottom w:val="0"/>
      <w:divBdr>
        <w:top w:val="none" w:sz="0" w:space="0" w:color="auto"/>
        <w:left w:val="none" w:sz="0" w:space="0" w:color="auto"/>
        <w:bottom w:val="none" w:sz="0" w:space="0" w:color="auto"/>
        <w:right w:val="none" w:sz="0" w:space="0" w:color="auto"/>
      </w:divBdr>
      <w:divsChild>
        <w:div w:id="1516265516">
          <w:marLeft w:val="0"/>
          <w:marRight w:val="0"/>
          <w:marTop w:val="0"/>
          <w:marBottom w:val="0"/>
          <w:divBdr>
            <w:top w:val="none" w:sz="0" w:space="0" w:color="auto"/>
            <w:left w:val="none" w:sz="0" w:space="0" w:color="auto"/>
            <w:bottom w:val="none" w:sz="0" w:space="0" w:color="auto"/>
            <w:right w:val="none" w:sz="0" w:space="0" w:color="auto"/>
          </w:divBdr>
        </w:div>
      </w:divsChild>
    </w:div>
    <w:div w:id="837575951">
      <w:bodyDiv w:val="1"/>
      <w:marLeft w:val="0"/>
      <w:marRight w:val="0"/>
      <w:marTop w:val="0"/>
      <w:marBottom w:val="0"/>
      <w:divBdr>
        <w:top w:val="none" w:sz="0" w:space="0" w:color="auto"/>
        <w:left w:val="none" w:sz="0" w:space="0" w:color="auto"/>
        <w:bottom w:val="none" w:sz="0" w:space="0" w:color="auto"/>
        <w:right w:val="none" w:sz="0" w:space="0" w:color="auto"/>
      </w:divBdr>
      <w:divsChild>
        <w:div w:id="171336756">
          <w:marLeft w:val="0"/>
          <w:marRight w:val="0"/>
          <w:marTop w:val="0"/>
          <w:marBottom w:val="0"/>
          <w:divBdr>
            <w:top w:val="none" w:sz="0" w:space="0" w:color="auto"/>
            <w:left w:val="none" w:sz="0" w:space="0" w:color="auto"/>
            <w:bottom w:val="none" w:sz="0" w:space="0" w:color="auto"/>
            <w:right w:val="none" w:sz="0" w:space="0" w:color="auto"/>
          </w:divBdr>
        </w:div>
      </w:divsChild>
    </w:div>
    <w:div w:id="1087309652">
      <w:bodyDiv w:val="1"/>
      <w:marLeft w:val="0"/>
      <w:marRight w:val="0"/>
      <w:marTop w:val="0"/>
      <w:marBottom w:val="0"/>
      <w:divBdr>
        <w:top w:val="none" w:sz="0" w:space="0" w:color="auto"/>
        <w:left w:val="none" w:sz="0" w:space="0" w:color="auto"/>
        <w:bottom w:val="none" w:sz="0" w:space="0" w:color="auto"/>
        <w:right w:val="none" w:sz="0" w:space="0" w:color="auto"/>
      </w:divBdr>
      <w:divsChild>
        <w:div w:id="649332878">
          <w:marLeft w:val="0"/>
          <w:marRight w:val="0"/>
          <w:marTop w:val="0"/>
          <w:marBottom w:val="0"/>
          <w:divBdr>
            <w:top w:val="none" w:sz="0" w:space="0" w:color="auto"/>
            <w:left w:val="none" w:sz="0" w:space="0" w:color="auto"/>
            <w:bottom w:val="none" w:sz="0" w:space="0" w:color="auto"/>
            <w:right w:val="none" w:sz="0" w:space="0" w:color="auto"/>
          </w:divBdr>
        </w:div>
      </w:divsChild>
    </w:div>
    <w:div w:id="1101027817">
      <w:bodyDiv w:val="1"/>
      <w:marLeft w:val="0"/>
      <w:marRight w:val="0"/>
      <w:marTop w:val="0"/>
      <w:marBottom w:val="0"/>
      <w:divBdr>
        <w:top w:val="none" w:sz="0" w:space="0" w:color="auto"/>
        <w:left w:val="none" w:sz="0" w:space="0" w:color="auto"/>
        <w:bottom w:val="none" w:sz="0" w:space="0" w:color="auto"/>
        <w:right w:val="none" w:sz="0" w:space="0" w:color="auto"/>
      </w:divBdr>
      <w:divsChild>
        <w:div w:id="1425570069">
          <w:marLeft w:val="0"/>
          <w:marRight w:val="0"/>
          <w:marTop w:val="0"/>
          <w:marBottom w:val="0"/>
          <w:divBdr>
            <w:top w:val="none" w:sz="0" w:space="0" w:color="auto"/>
            <w:left w:val="none" w:sz="0" w:space="0" w:color="auto"/>
            <w:bottom w:val="none" w:sz="0" w:space="0" w:color="auto"/>
            <w:right w:val="none" w:sz="0" w:space="0" w:color="auto"/>
          </w:divBdr>
        </w:div>
      </w:divsChild>
    </w:div>
    <w:div w:id="1128203363">
      <w:bodyDiv w:val="1"/>
      <w:marLeft w:val="0"/>
      <w:marRight w:val="0"/>
      <w:marTop w:val="0"/>
      <w:marBottom w:val="0"/>
      <w:divBdr>
        <w:top w:val="none" w:sz="0" w:space="0" w:color="auto"/>
        <w:left w:val="none" w:sz="0" w:space="0" w:color="auto"/>
        <w:bottom w:val="none" w:sz="0" w:space="0" w:color="auto"/>
        <w:right w:val="none" w:sz="0" w:space="0" w:color="auto"/>
      </w:divBdr>
      <w:divsChild>
        <w:div w:id="1808624719">
          <w:marLeft w:val="0"/>
          <w:marRight w:val="0"/>
          <w:marTop w:val="0"/>
          <w:marBottom w:val="0"/>
          <w:divBdr>
            <w:top w:val="none" w:sz="0" w:space="0" w:color="auto"/>
            <w:left w:val="none" w:sz="0" w:space="0" w:color="auto"/>
            <w:bottom w:val="none" w:sz="0" w:space="0" w:color="auto"/>
            <w:right w:val="none" w:sz="0" w:space="0" w:color="auto"/>
          </w:divBdr>
        </w:div>
      </w:divsChild>
    </w:div>
    <w:div w:id="1207327870">
      <w:bodyDiv w:val="1"/>
      <w:marLeft w:val="0"/>
      <w:marRight w:val="0"/>
      <w:marTop w:val="0"/>
      <w:marBottom w:val="0"/>
      <w:divBdr>
        <w:top w:val="none" w:sz="0" w:space="0" w:color="auto"/>
        <w:left w:val="none" w:sz="0" w:space="0" w:color="auto"/>
        <w:bottom w:val="none" w:sz="0" w:space="0" w:color="auto"/>
        <w:right w:val="none" w:sz="0" w:space="0" w:color="auto"/>
      </w:divBdr>
      <w:divsChild>
        <w:div w:id="637495662">
          <w:marLeft w:val="0"/>
          <w:marRight w:val="0"/>
          <w:marTop w:val="0"/>
          <w:marBottom w:val="0"/>
          <w:divBdr>
            <w:top w:val="none" w:sz="0" w:space="0" w:color="auto"/>
            <w:left w:val="none" w:sz="0" w:space="0" w:color="auto"/>
            <w:bottom w:val="none" w:sz="0" w:space="0" w:color="auto"/>
            <w:right w:val="none" w:sz="0" w:space="0" w:color="auto"/>
          </w:divBdr>
        </w:div>
      </w:divsChild>
    </w:div>
    <w:div w:id="1252737438">
      <w:bodyDiv w:val="1"/>
      <w:marLeft w:val="0"/>
      <w:marRight w:val="0"/>
      <w:marTop w:val="0"/>
      <w:marBottom w:val="0"/>
      <w:divBdr>
        <w:top w:val="none" w:sz="0" w:space="0" w:color="auto"/>
        <w:left w:val="none" w:sz="0" w:space="0" w:color="auto"/>
        <w:bottom w:val="none" w:sz="0" w:space="0" w:color="auto"/>
        <w:right w:val="none" w:sz="0" w:space="0" w:color="auto"/>
      </w:divBdr>
      <w:divsChild>
        <w:div w:id="1232501183">
          <w:marLeft w:val="0"/>
          <w:marRight w:val="0"/>
          <w:marTop w:val="0"/>
          <w:marBottom w:val="0"/>
          <w:divBdr>
            <w:top w:val="none" w:sz="0" w:space="0" w:color="auto"/>
            <w:left w:val="none" w:sz="0" w:space="0" w:color="auto"/>
            <w:bottom w:val="none" w:sz="0" w:space="0" w:color="auto"/>
            <w:right w:val="none" w:sz="0" w:space="0" w:color="auto"/>
          </w:divBdr>
        </w:div>
      </w:divsChild>
    </w:div>
    <w:div w:id="1505627123">
      <w:bodyDiv w:val="1"/>
      <w:marLeft w:val="0"/>
      <w:marRight w:val="0"/>
      <w:marTop w:val="0"/>
      <w:marBottom w:val="0"/>
      <w:divBdr>
        <w:top w:val="none" w:sz="0" w:space="0" w:color="auto"/>
        <w:left w:val="none" w:sz="0" w:space="0" w:color="auto"/>
        <w:bottom w:val="none" w:sz="0" w:space="0" w:color="auto"/>
        <w:right w:val="none" w:sz="0" w:space="0" w:color="auto"/>
      </w:divBdr>
      <w:divsChild>
        <w:div w:id="434979276">
          <w:marLeft w:val="0"/>
          <w:marRight w:val="0"/>
          <w:marTop w:val="0"/>
          <w:marBottom w:val="0"/>
          <w:divBdr>
            <w:top w:val="none" w:sz="0" w:space="0" w:color="auto"/>
            <w:left w:val="none" w:sz="0" w:space="0" w:color="auto"/>
            <w:bottom w:val="none" w:sz="0" w:space="0" w:color="auto"/>
            <w:right w:val="none" w:sz="0" w:space="0" w:color="auto"/>
          </w:divBdr>
        </w:div>
      </w:divsChild>
    </w:div>
    <w:div w:id="1711103823">
      <w:bodyDiv w:val="1"/>
      <w:marLeft w:val="0"/>
      <w:marRight w:val="0"/>
      <w:marTop w:val="0"/>
      <w:marBottom w:val="0"/>
      <w:divBdr>
        <w:top w:val="none" w:sz="0" w:space="0" w:color="auto"/>
        <w:left w:val="none" w:sz="0" w:space="0" w:color="auto"/>
        <w:bottom w:val="none" w:sz="0" w:space="0" w:color="auto"/>
        <w:right w:val="none" w:sz="0" w:space="0" w:color="auto"/>
      </w:divBdr>
      <w:divsChild>
        <w:div w:id="1403792026">
          <w:marLeft w:val="0"/>
          <w:marRight w:val="0"/>
          <w:marTop w:val="0"/>
          <w:marBottom w:val="0"/>
          <w:divBdr>
            <w:top w:val="none" w:sz="0" w:space="0" w:color="auto"/>
            <w:left w:val="none" w:sz="0" w:space="0" w:color="auto"/>
            <w:bottom w:val="none" w:sz="0" w:space="0" w:color="auto"/>
            <w:right w:val="none" w:sz="0" w:space="0" w:color="auto"/>
          </w:divBdr>
        </w:div>
      </w:divsChild>
    </w:div>
    <w:div w:id="1863007660">
      <w:bodyDiv w:val="1"/>
      <w:marLeft w:val="0"/>
      <w:marRight w:val="0"/>
      <w:marTop w:val="0"/>
      <w:marBottom w:val="0"/>
      <w:divBdr>
        <w:top w:val="none" w:sz="0" w:space="0" w:color="auto"/>
        <w:left w:val="none" w:sz="0" w:space="0" w:color="auto"/>
        <w:bottom w:val="none" w:sz="0" w:space="0" w:color="auto"/>
        <w:right w:val="none" w:sz="0" w:space="0" w:color="auto"/>
      </w:divBdr>
      <w:divsChild>
        <w:div w:id="261573036">
          <w:marLeft w:val="0"/>
          <w:marRight w:val="0"/>
          <w:marTop w:val="0"/>
          <w:marBottom w:val="0"/>
          <w:divBdr>
            <w:top w:val="none" w:sz="0" w:space="0" w:color="auto"/>
            <w:left w:val="none" w:sz="0" w:space="0" w:color="auto"/>
            <w:bottom w:val="none" w:sz="0" w:space="0" w:color="auto"/>
            <w:right w:val="none" w:sz="0" w:space="0" w:color="auto"/>
          </w:divBdr>
        </w:div>
      </w:divsChild>
    </w:div>
    <w:div w:id="2030252903">
      <w:bodyDiv w:val="1"/>
      <w:marLeft w:val="0"/>
      <w:marRight w:val="0"/>
      <w:marTop w:val="0"/>
      <w:marBottom w:val="0"/>
      <w:divBdr>
        <w:top w:val="none" w:sz="0" w:space="0" w:color="auto"/>
        <w:left w:val="none" w:sz="0" w:space="0" w:color="auto"/>
        <w:bottom w:val="none" w:sz="0" w:space="0" w:color="auto"/>
        <w:right w:val="none" w:sz="0" w:space="0" w:color="auto"/>
      </w:divBdr>
      <w:divsChild>
        <w:div w:id="1472091128">
          <w:marLeft w:val="0"/>
          <w:marRight w:val="0"/>
          <w:marTop w:val="0"/>
          <w:marBottom w:val="0"/>
          <w:divBdr>
            <w:top w:val="none" w:sz="0" w:space="0" w:color="auto"/>
            <w:left w:val="none" w:sz="0" w:space="0" w:color="auto"/>
            <w:bottom w:val="none" w:sz="0" w:space="0" w:color="auto"/>
            <w:right w:val="none" w:sz="0" w:space="0" w:color="auto"/>
          </w:divBdr>
        </w:div>
      </w:divsChild>
    </w:div>
    <w:div w:id="2061440062">
      <w:bodyDiv w:val="1"/>
      <w:marLeft w:val="0"/>
      <w:marRight w:val="0"/>
      <w:marTop w:val="0"/>
      <w:marBottom w:val="0"/>
      <w:divBdr>
        <w:top w:val="none" w:sz="0" w:space="0" w:color="auto"/>
        <w:left w:val="none" w:sz="0" w:space="0" w:color="auto"/>
        <w:bottom w:val="none" w:sz="0" w:space="0" w:color="auto"/>
        <w:right w:val="none" w:sz="0" w:space="0" w:color="auto"/>
      </w:divBdr>
      <w:divsChild>
        <w:div w:id="1533763467">
          <w:marLeft w:val="0"/>
          <w:marRight w:val="0"/>
          <w:marTop w:val="0"/>
          <w:marBottom w:val="0"/>
          <w:divBdr>
            <w:top w:val="none" w:sz="0" w:space="0" w:color="auto"/>
            <w:left w:val="none" w:sz="0" w:space="0" w:color="auto"/>
            <w:bottom w:val="none" w:sz="0" w:space="0" w:color="auto"/>
            <w:right w:val="none" w:sz="0" w:space="0" w:color="auto"/>
          </w:divBdr>
        </w:div>
      </w:divsChild>
    </w:div>
    <w:div w:id="2089035572">
      <w:bodyDiv w:val="1"/>
      <w:marLeft w:val="0"/>
      <w:marRight w:val="0"/>
      <w:marTop w:val="0"/>
      <w:marBottom w:val="0"/>
      <w:divBdr>
        <w:top w:val="none" w:sz="0" w:space="0" w:color="auto"/>
        <w:left w:val="none" w:sz="0" w:space="0" w:color="auto"/>
        <w:bottom w:val="none" w:sz="0" w:space="0" w:color="auto"/>
        <w:right w:val="none" w:sz="0" w:space="0" w:color="auto"/>
      </w:divBdr>
      <w:divsChild>
        <w:div w:id="87793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Annual Report</DocumentType>
    <UploadedBy xmlns="b1528a4b-5ccb-40f7-a09e-43427183cd95">yousif.almasri@undp.org</UploadedBy>
    <Classification xmlns="b1528a4b-5ccb-40f7-a09e-43427183cd95">External</Classification>
    <FormCode xmlns="b1528a4b-5ccb-40f7-a09e-43427183cd95" xsi:nil="true"/>
    <FundId xmlns="f9695bc1-6109-4dcd-a27a-f8a0370b00e2">2324</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MPTF_00357_00004</ProjectId>
    <FundCode xmlns="f9695bc1-6109-4dcd-a27a-f8a0370b00e2">MPTF_00357</FundCode>
    <Comments xmlns="f9695bc1-6109-4dcd-a27a-f8a0370b00e2" xsi:nil="true"/>
    <Active xmlns="f9695bc1-6109-4dcd-a27a-f8a0370b00e2">Yes</Active>
    <DocumentDate xmlns="b1528a4b-5ccb-40f7-a09e-43427183cd95">2026-04-14T07:00:00+00:00</DocumentDate>
    <Featured xmlns="b1528a4b-5ccb-40f7-a09e-43427183cd95">1</Featured>
    <FormTypeCode xmlns="b1528a4b-5ccb-40f7-a09e-43427183c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27205978DAE34B9F52D660454E7374" ma:contentTypeVersion="19" ma:contentTypeDescription="Create a new document." ma:contentTypeScope="" ma:versionID="b4d9c0f9c9e6ff727a9e90ddc99f601d">
  <xsd:schema xmlns:xsd="http://www.w3.org/2001/XMLSchema" xmlns:xs="http://www.w3.org/2001/XMLSchema" xmlns:p="http://schemas.microsoft.com/office/2006/metadata/properties" xmlns:ns2="64e9e09d-43a3-4192-b712-27f685b813ca" xmlns:ns3="b844176a-2e1e-4910-88cf-c2e4bfcd214e" xmlns:ns4="7eea83de-eeb2-4e6a-b60b-921662f49bb3" targetNamespace="http://schemas.microsoft.com/office/2006/metadata/properties" ma:root="true" ma:fieldsID="2ce01e83e6f2f3585dc9f0f44f8efcac" ns2:_="" ns3:_="" ns4:_="">
    <xsd:import namespace="64e9e09d-43a3-4192-b712-27f685b813ca"/>
    <xsd:import namespace="b844176a-2e1e-4910-88cf-c2e4bfcd214e"/>
    <xsd:import namespace="7eea83de-eeb2-4e6a-b60b-921662f49b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9e09d-43a3-4192-b712-27f685b81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4176a-2e1e-4910-88cf-c2e4bfcd21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a83de-eeb2-4e6a-b60b-921662f49bb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865cd3-64b8-48a6-b13c-76804ed251cc}" ma:internalName="TaxCatchAll" ma:showField="CatchAllData" ma:web="7eea83de-eeb2-4e6a-b60b-921662f49bb3">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67EA-8C14-4CD4-B811-E188ACE9447B}"/>
</file>

<file path=customXml/itemProps2.xml><?xml version="1.0" encoding="utf-8"?>
<ds:datastoreItem xmlns:ds="http://schemas.openxmlformats.org/officeDocument/2006/customXml" ds:itemID="{6AC525DE-F29F-46F3-8A6C-B26EACDB9AAE}">
  <ds:schemaRefs>
    <ds:schemaRef ds:uri="http://schemas.microsoft.com/office/2006/metadata/properties"/>
    <ds:schemaRef ds:uri="http://schemas.microsoft.com/office/infopath/2007/PartnerControls"/>
    <ds:schemaRef ds:uri="7eea83de-eeb2-4e6a-b60b-921662f49bb3"/>
    <ds:schemaRef ds:uri="64e9e09d-43a3-4192-b712-27f685b813ca"/>
  </ds:schemaRefs>
</ds:datastoreItem>
</file>

<file path=customXml/itemProps3.xml><?xml version="1.0" encoding="utf-8"?>
<ds:datastoreItem xmlns:ds="http://schemas.openxmlformats.org/officeDocument/2006/customXml" ds:itemID="{5E18A82E-A3E2-48B3-ACA6-66BAF6FFBAEB}">
  <ds:schemaRefs>
    <ds:schemaRef ds:uri="http://schemas.microsoft.com/sharepoint/v3/contenttype/forms"/>
  </ds:schemaRefs>
</ds:datastoreItem>
</file>

<file path=customXml/itemProps4.xml><?xml version="1.0" encoding="utf-8"?>
<ds:datastoreItem xmlns:ds="http://schemas.openxmlformats.org/officeDocument/2006/customXml" ds:itemID="{12DB414F-187C-43EB-A98C-954661172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9e09d-43a3-4192-b712-27f685b813ca"/>
    <ds:schemaRef ds:uri="b844176a-2e1e-4910-88cf-c2e4bfcd214e"/>
    <ds:schemaRef ds:uri="7eea83de-eeb2-4e6a-b60b-921662f49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1AD6A-40BB-4656-BDEF-F22796799D97}">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7051</Words>
  <Characters>40195</Characters>
  <Application>Microsoft Office Word</Application>
  <DocSecurity>0</DocSecurity>
  <Lines>334</Lines>
  <Paragraphs>94</Paragraphs>
  <ScaleCrop>false</ScaleCrop>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KBF Narrative Report 2025 -Chile .docx</dc:title>
  <dc:subject/>
  <dc:creator>Luis Pineda</dc:creator>
  <cp:keywords/>
  <dc:description/>
  <cp:lastModifiedBy>Yousif Almasri</cp:lastModifiedBy>
  <cp:revision>3</cp:revision>
  <dcterms:created xsi:type="dcterms:W3CDTF">2026-04-01T19:14:00Z</dcterms:created>
  <dcterms:modified xsi:type="dcterms:W3CDTF">2026-04-15T15:52:00Z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y fmtid="{D5CDD505-2E9C-101B-9397-08002B2CF9AE}" pid="3" name="_dlc_DocIdItemGuid">
    <vt:lpwstr>2c88d6c0-13b4-4f07-a789-460bc61b0e9e</vt:lpwstr>
  </property>
  <property fmtid="{D5CDD505-2E9C-101B-9397-08002B2CF9AE}" pid="4" name="MediaServiceImageTags">
    <vt:lpwstr/>
  </property>
</Properties>
</file>