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3D885" w14:textId="63385B66" w:rsidR="00494053" w:rsidRPr="00925FBE" w:rsidRDefault="00DA5828" w:rsidP="43A704B3">
      <w:pPr>
        <w:jc w:val="both"/>
        <w:rPr>
          <w:rFonts w:cs="Open Sans"/>
        </w:rPr>
      </w:pPr>
      <w:r w:rsidRPr="00925FBE">
        <w:rPr>
          <w:noProof/>
        </w:rPr>
        <w:drawing>
          <wp:anchor distT="0" distB="0" distL="114300" distR="114300" simplePos="0" relativeHeight="251662340" behindDoc="0" locked="0" layoutInCell="1" allowOverlap="1" wp14:anchorId="467633D5" wp14:editId="57D36AEF">
            <wp:simplePos x="0" y="0"/>
            <wp:positionH relativeFrom="column">
              <wp:posOffset>4254500</wp:posOffset>
            </wp:positionH>
            <wp:positionV relativeFrom="paragraph">
              <wp:posOffset>157480</wp:posOffset>
            </wp:positionV>
            <wp:extent cx="1339215" cy="803910"/>
            <wp:effectExtent l="0" t="0" r="0" b="0"/>
            <wp:wrapNone/>
            <wp:docPr id="189449989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9215" cy="803910"/>
                    </a:xfrm>
                    <a:prstGeom prst="rect">
                      <a:avLst/>
                    </a:prstGeom>
                    <a:noFill/>
                    <a:ln>
                      <a:noFill/>
                    </a:ln>
                  </pic:spPr>
                </pic:pic>
              </a:graphicData>
            </a:graphic>
            <wp14:sizeRelH relativeFrom="page">
              <wp14:pctWidth>0</wp14:pctWidth>
            </wp14:sizeRelH>
            <wp14:sizeRelV relativeFrom="page">
              <wp14:pctHeight>0</wp14:pctHeight>
            </wp14:sizeRelV>
          </wp:anchor>
        </w:drawing>
      </w:r>
      <w:r w:rsidR="00DB3C9B" w:rsidRPr="00925FBE">
        <w:rPr>
          <w:noProof/>
        </w:rPr>
        <w:drawing>
          <wp:anchor distT="0" distB="0" distL="114300" distR="114300" simplePos="0" relativeHeight="251663364" behindDoc="0" locked="0" layoutInCell="1" allowOverlap="1" wp14:anchorId="0B005062" wp14:editId="42F6AF13">
            <wp:simplePos x="0" y="0"/>
            <wp:positionH relativeFrom="column">
              <wp:posOffset>0</wp:posOffset>
            </wp:positionH>
            <wp:positionV relativeFrom="paragraph">
              <wp:posOffset>76200</wp:posOffset>
            </wp:positionV>
            <wp:extent cx="899160" cy="885190"/>
            <wp:effectExtent l="0" t="0" r="0" b="0"/>
            <wp:wrapNone/>
            <wp:docPr id="482723822" name="Image 2" descr="Fonds d'équipement des Nations unies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nds d'équipement des Nations unies — Wikipédia"/>
                    <pic:cNvPicPr>
                      <a:picLocks noChangeAspect="1" noChangeArrowheads="1"/>
                    </pic:cNvPicPr>
                  </pic:nvPicPr>
                  <pic:blipFill rotWithShape="1">
                    <a:blip r:embed="rId12">
                      <a:extLst>
                        <a:ext uri="{28A0092B-C50C-407E-A947-70E740481C1C}">
                          <a14:useLocalDpi xmlns:a14="http://schemas.microsoft.com/office/drawing/2010/main" val="0"/>
                        </a:ext>
                      </a:extLst>
                    </a:blip>
                    <a:srcRect b="9556"/>
                    <a:stretch/>
                  </pic:blipFill>
                  <pic:spPr bwMode="auto">
                    <a:xfrm>
                      <a:off x="0" y="0"/>
                      <a:ext cx="899160" cy="8851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D4412A" w14:textId="07B0CE8A" w:rsidR="00C800A3" w:rsidRPr="00925FBE" w:rsidRDefault="00C800A3" w:rsidP="00DB3C9B">
      <w:pPr>
        <w:jc w:val="center"/>
      </w:pPr>
    </w:p>
    <w:p w14:paraId="7273B9E4" w14:textId="1ADB5089" w:rsidR="00C800A3" w:rsidRPr="00925FBE" w:rsidRDefault="00C800A3" w:rsidP="00DB3C9B">
      <w:pPr>
        <w:jc w:val="center"/>
      </w:pPr>
    </w:p>
    <w:p w14:paraId="0E4476E6" w14:textId="5225EE73" w:rsidR="00B4103C" w:rsidRPr="00925FBE" w:rsidRDefault="00B4103C" w:rsidP="00DB3C9B">
      <w:pPr>
        <w:jc w:val="center"/>
      </w:pPr>
    </w:p>
    <w:p w14:paraId="0528FE5C" w14:textId="6C0BCCBE" w:rsidR="00DA5828" w:rsidRPr="00925FBE" w:rsidRDefault="00DA5828" w:rsidP="00DB3C9B">
      <w:pPr>
        <w:jc w:val="center"/>
      </w:pPr>
    </w:p>
    <w:p w14:paraId="33A411F9" w14:textId="72661361" w:rsidR="00DA5828" w:rsidRPr="00925FBE" w:rsidRDefault="00DA5828" w:rsidP="00DB3C9B">
      <w:pPr>
        <w:jc w:val="center"/>
      </w:pPr>
    </w:p>
    <w:p w14:paraId="7BBA9C19" w14:textId="77777777" w:rsidR="00DA5828" w:rsidRPr="00925FBE" w:rsidRDefault="00DA5828" w:rsidP="00DB3C9B">
      <w:pPr>
        <w:jc w:val="center"/>
        <w:rPr>
          <w:b/>
          <w:bCs/>
          <w:color w:val="000099"/>
        </w:rPr>
      </w:pPr>
    </w:p>
    <w:p w14:paraId="70758CED" w14:textId="77777777" w:rsidR="00DA5828" w:rsidRPr="00925FBE" w:rsidRDefault="00DA5828" w:rsidP="00DB3C9B">
      <w:pPr>
        <w:jc w:val="center"/>
        <w:rPr>
          <w:b/>
          <w:bCs/>
          <w:color w:val="000099"/>
        </w:rPr>
      </w:pPr>
    </w:p>
    <w:p w14:paraId="49DAB41C" w14:textId="4326364E" w:rsidR="00B4103C" w:rsidRPr="00925FBE" w:rsidRDefault="00E7038C" w:rsidP="43A704B3">
      <w:pPr>
        <w:jc w:val="both"/>
        <w:rPr>
          <w:rFonts w:cs="Open Sans"/>
        </w:rPr>
      </w:pPr>
      <w:r w:rsidRPr="00925FBE">
        <w:rPr>
          <w:rFonts w:cs="Open Sans"/>
          <w:noProof/>
        </w:rPr>
        <w:drawing>
          <wp:inline distT="0" distB="0" distL="0" distR="0" wp14:anchorId="2BFE2BFF" wp14:editId="651D86E4">
            <wp:extent cx="5731510" cy="3136900"/>
            <wp:effectExtent l="0" t="0" r="2540" b="6350"/>
            <wp:docPr id="39060459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604597" name=""/>
                    <pic:cNvPicPr/>
                  </pic:nvPicPr>
                  <pic:blipFill>
                    <a:blip r:embed="rId13"/>
                    <a:stretch>
                      <a:fillRect/>
                    </a:stretch>
                  </pic:blipFill>
                  <pic:spPr>
                    <a:xfrm>
                      <a:off x="0" y="0"/>
                      <a:ext cx="5731510" cy="3136900"/>
                    </a:xfrm>
                    <a:prstGeom prst="rect">
                      <a:avLst/>
                    </a:prstGeom>
                  </pic:spPr>
                </pic:pic>
              </a:graphicData>
            </a:graphic>
          </wp:inline>
        </w:drawing>
      </w:r>
    </w:p>
    <w:p w14:paraId="2C520682" w14:textId="46D25A63" w:rsidR="00B4103C" w:rsidRPr="00925FBE" w:rsidRDefault="00494053" w:rsidP="43A704B3">
      <w:pPr>
        <w:jc w:val="both"/>
        <w:rPr>
          <w:rFonts w:eastAsia="Calibri"/>
          <w:szCs w:val="20"/>
        </w:rPr>
      </w:pPr>
      <w:r w:rsidRPr="00925FBE">
        <w:rPr>
          <w:rFonts w:eastAsia="Calibri"/>
          <w:szCs w:val="20"/>
        </w:rPr>
        <w:t xml:space="preserve"> </w:t>
      </w:r>
    </w:p>
    <w:p w14:paraId="306ABE94" w14:textId="41481E83" w:rsidR="00D25B3A" w:rsidRPr="00925FBE" w:rsidRDefault="001E0F45" w:rsidP="00BE29A7">
      <w:pPr>
        <w:jc w:val="both"/>
        <w:rPr>
          <w:rFonts w:eastAsia="Times New Roman" w:cs="Open Sans"/>
          <w:b/>
          <w:bCs/>
          <w:color w:val="0074AC"/>
          <w:kern w:val="28"/>
          <w:sz w:val="48"/>
          <w:szCs w:val="48"/>
          <w14:cntxtAlts/>
        </w:rPr>
      </w:pPr>
      <w:r w:rsidRPr="00925FBE">
        <w:rPr>
          <w:rFonts w:cs="Open Sans"/>
          <w:noProof/>
          <w:lang w:eastAsia="es-ES_tradnl"/>
        </w:rPr>
        <mc:AlternateContent>
          <mc:Choice Requires="wps">
            <w:drawing>
              <wp:anchor distT="0" distB="0" distL="114300" distR="114300" simplePos="0" relativeHeight="251658243" behindDoc="0" locked="0" layoutInCell="1" allowOverlap="1" wp14:anchorId="02DE5106" wp14:editId="6655E091">
                <wp:simplePos x="0" y="0"/>
                <wp:positionH relativeFrom="column">
                  <wp:posOffset>29845</wp:posOffset>
                </wp:positionH>
                <wp:positionV relativeFrom="paragraph">
                  <wp:posOffset>140970</wp:posOffset>
                </wp:positionV>
                <wp:extent cx="1623695" cy="28829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3695" cy="288290"/>
                        </a:xfrm>
                        <a:prstGeom prst="rect">
                          <a:avLst/>
                        </a:prstGeom>
                        <a:solidFill>
                          <a:srgbClr val="3333CC"/>
                        </a:solidFill>
                        <a:ln>
                          <a:noFill/>
                        </a:ln>
                        <a:effectLst/>
                      </wps:spPr>
                      <wps:txbx>
                        <w:txbxContent>
                          <w:p w14:paraId="1F3F204B" w14:textId="77777777" w:rsidR="00303178" w:rsidRPr="00925FBE" w:rsidRDefault="00303178" w:rsidP="00795723">
                            <w:pPr>
                              <w:spacing w:before="0" w:after="0" w:line="286" w:lineRule="auto"/>
                              <w:jc w:val="center"/>
                              <w:rPr>
                                <w:rFonts w:cstheme="majorHAnsi"/>
                                <w:b/>
                                <w:bCs/>
                                <w:color w:val="FFFFFF" w:themeColor="background1"/>
                                <w:sz w:val="26"/>
                                <w:szCs w:val="26"/>
                              </w:rPr>
                            </w:pPr>
                            <w:r w:rsidRPr="00925FBE">
                              <w:rPr>
                                <w:rFonts w:cstheme="majorHAnsi"/>
                                <w:b/>
                                <w:bCs/>
                                <w:color w:val="FFFFFF" w:themeColor="background1"/>
                                <w:sz w:val="26"/>
                                <w:szCs w:val="26"/>
                              </w:rPr>
                              <w:t>UNCDF Evaluation</w:t>
                            </w:r>
                          </w:p>
                        </w:txbxContent>
                      </wps:txbx>
                      <wps:bodyPr rot="0" vert="horz" wrap="square" lIns="36576" tIns="36576" rIns="36576" bIns="36576" anchor="t" anchorCtr="0" upright="1">
                        <a:noAutofit/>
                      </wps:bodyPr>
                    </wps:wsp>
                  </a:graphicData>
                </a:graphic>
                <wp14:sizeRelH relativeFrom="margin">
                  <wp14:pctWidth>0</wp14:pctWidth>
                </wp14:sizeRelH>
              </wp:anchor>
            </w:drawing>
          </mc:Choice>
          <mc:Fallback>
            <w:pict>
              <v:rect w14:anchorId="02DE5106" id="Rectangle 3" o:spid="_x0000_s1026" style="position:absolute;left:0;text-align:left;margin-left:2.35pt;margin-top:11.1pt;width:127.85pt;height:22.7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" fillcolor="#33c" stroked="f">
                <v:textbox inset="2.88pt,2.88pt,2.88pt,2.88pt">
                  <w:txbxContent>
                    <w:p w14:paraId="1F3F204B" w14:textId="77777777" w:rsidR="00303178" w:rsidRPr="00925FBE" w:rsidRDefault="00303178" w:rsidP="00795723">
                      <w:pPr>
                        <w:spacing w:before="0" w:after="0" w:line="286" w:lineRule="auto"/>
                        <w:jc w:val="center"/>
                        <w:rPr>
                          <w:rFonts w:cstheme="majorHAnsi"/>
                          <w:b/>
                          <w:bCs/>
                          <w:color w:val="FFFFFF" w:themeColor="background1"/>
                          <w:sz w:val="26"/>
                          <w:szCs w:val="26"/>
                        </w:rPr>
                      </w:pPr>
                      <w:r w:rsidRPr="00925FBE">
                        <w:rPr>
                          <w:rFonts w:cstheme="majorHAnsi"/>
                          <w:b/>
                          <w:bCs/>
                          <w:color w:val="FFFFFF" w:themeColor="background1"/>
                          <w:sz w:val="26"/>
                          <w:szCs w:val="26"/>
                        </w:rPr>
                        <w:t>UNCDF Evaluation</w:t>
                      </w:r>
                    </w:p>
                  </w:txbxContent>
                </v:textbox>
              </v:rect>
            </w:pict>
          </mc:Fallback>
        </mc:AlternateContent>
      </w:r>
      <w:r w:rsidRPr="00925FBE">
        <w:rPr>
          <w:noProof/>
        </w:rPr>
        <w:drawing>
          <wp:anchor distT="0" distB="0" distL="114300" distR="114300" simplePos="0" relativeHeight="251665412" behindDoc="0" locked="0" layoutInCell="1" allowOverlap="1" wp14:anchorId="35C65835" wp14:editId="0B76C450">
            <wp:simplePos x="0" y="0"/>
            <wp:positionH relativeFrom="column">
              <wp:posOffset>4252595</wp:posOffset>
            </wp:positionH>
            <wp:positionV relativeFrom="paragraph">
              <wp:posOffset>67945</wp:posOffset>
            </wp:positionV>
            <wp:extent cx="1447800" cy="798195"/>
            <wp:effectExtent l="0" t="0" r="0" b="190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7800" cy="798195"/>
                    </a:xfrm>
                    <a:prstGeom prst="rect">
                      <a:avLst/>
                    </a:prstGeom>
                    <a:noFill/>
                  </pic:spPr>
                </pic:pic>
              </a:graphicData>
            </a:graphic>
          </wp:anchor>
        </w:drawing>
      </w:r>
      <w:r w:rsidRPr="00925FBE">
        <w:rPr>
          <w:rFonts w:cs="Open Sans"/>
          <w:noProof/>
          <w:lang w:eastAsia="es-ES_tradnl"/>
        </w:rPr>
        <mc:AlternateContent>
          <mc:Choice Requires="wps">
            <w:drawing>
              <wp:anchor distT="0" distB="0" distL="114300" distR="114300" simplePos="0" relativeHeight="251661316" behindDoc="0" locked="0" layoutInCell="1" allowOverlap="1" wp14:anchorId="778EF9B2" wp14:editId="23156455">
                <wp:simplePos x="0" y="0"/>
                <wp:positionH relativeFrom="column">
                  <wp:posOffset>-140335</wp:posOffset>
                </wp:positionH>
                <wp:positionV relativeFrom="paragraph">
                  <wp:posOffset>476250</wp:posOffset>
                </wp:positionV>
                <wp:extent cx="1623695" cy="288290"/>
                <wp:effectExtent l="0" t="0" r="0" b="0"/>
                <wp:wrapNone/>
                <wp:docPr id="476595307" name="Rectangle 476595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3695" cy="288290"/>
                        </a:xfrm>
                        <a:prstGeom prst="rect">
                          <a:avLst/>
                        </a:prstGeom>
                        <a:solidFill>
                          <a:schemeClr val="bg1"/>
                        </a:solidFill>
                        <a:ln>
                          <a:noFill/>
                        </a:ln>
                        <a:effectLst/>
                      </wps:spPr>
                      <wps:txbx>
                        <w:txbxContent>
                          <w:p w14:paraId="4041EEAF" w14:textId="1E49B7BB" w:rsidR="0029064C" w:rsidRPr="00925FBE" w:rsidRDefault="00334D1E" w:rsidP="0029064C">
                            <w:pPr>
                              <w:shd w:val="clear" w:color="auto" w:fill="FFFFFF" w:themeFill="background1"/>
                              <w:spacing w:before="0" w:after="0" w:line="286" w:lineRule="auto"/>
                              <w:jc w:val="center"/>
                              <w:rPr>
                                <w:rFonts w:cstheme="majorHAnsi"/>
                                <w:b/>
                                <w:bCs/>
                                <w:color w:val="000099"/>
                                <w:sz w:val="26"/>
                                <w:szCs w:val="26"/>
                              </w:rPr>
                            </w:pPr>
                            <w:r>
                              <w:rPr>
                                <w:rFonts w:cstheme="majorHAnsi"/>
                                <w:b/>
                                <w:bCs/>
                                <w:color w:val="000099"/>
                                <w:sz w:val="26"/>
                                <w:szCs w:val="26"/>
                              </w:rPr>
                              <w:t>Décembre</w:t>
                            </w:r>
                            <w:r w:rsidRPr="00925FBE">
                              <w:rPr>
                                <w:rFonts w:cstheme="majorHAnsi"/>
                                <w:b/>
                                <w:bCs/>
                                <w:color w:val="000099"/>
                                <w:sz w:val="26"/>
                                <w:szCs w:val="26"/>
                              </w:rPr>
                              <w:t xml:space="preserve"> </w:t>
                            </w:r>
                            <w:r w:rsidR="0029064C" w:rsidRPr="00925FBE">
                              <w:rPr>
                                <w:rFonts w:cstheme="majorHAnsi"/>
                                <w:b/>
                                <w:bCs/>
                                <w:color w:val="000099"/>
                                <w:sz w:val="26"/>
                                <w:szCs w:val="26"/>
                              </w:rPr>
                              <w:t>2025</w:t>
                            </w:r>
                          </w:p>
                        </w:txbxContent>
                      </wps:txbx>
                      <wps:bodyPr rot="0" vert="horz" wrap="square" lIns="36576" tIns="36576" rIns="36576" bIns="36576" anchor="t" anchorCtr="0" upright="1">
                        <a:noAutofit/>
                      </wps:bodyPr>
                    </wps:wsp>
                  </a:graphicData>
                </a:graphic>
                <wp14:sizeRelH relativeFrom="margin">
                  <wp14:pctWidth>0</wp14:pctWidth>
                </wp14:sizeRelH>
              </wp:anchor>
            </w:drawing>
          </mc:Choice>
          <mc:Fallback>
            <w:pict>
              <v:rect w14:anchorId="778EF9B2" id="Rectangle 476595307" o:spid="_x0000_s1027" style="position:absolute;left:0;text-align:left;margin-left:-11.05pt;margin-top:37.5pt;width:127.85pt;height:22.7pt;z-index:2516613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" fillcolor="white [3212]" stroked="f">
                <v:textbox inset="2.88pt,2.88pt,2.88pt,2.88pt">
                  <w:txbxContent>
                    <w:p w14:paraId="4041EEAF" w14:textId="1E49B7BB" w:rsidR="0029064C" w:rsidRPr="00925FBE" w:rsidRDefault="00334D1E" w:rsidP="0029064C">
                      <w:pPr>
                        <w:shd w:val="clear" w:color="auto" w:fill="FFFFFF" w:themeFill="background1"/>
                        <w:spacing w:before="0" w:after="0" w:line="286" w:lineRule="auto"/>
                        <w:jc w:val="center"/>
                        <w:rPr>
                          <w:rFonts w:cstheme="majorHAnsi"/>
                          <w:b/>
                          <w:bCs/>
                          <w:color w:val="000099"/>
                          <w:sz w:val="26"/>
                          <w:szCs w:val="26"/>
                        </w:rPr>
                      </w:pPr>
                      <w:r>
                        <w:rPr>
                          <w:rFonts w:cstheme="majorHAnsi"/>
                          <w:b/>
                          <w:bCs/>
                          <w:color w:val="000099"/>
                          <w:sz w:val="26"/>
                          <w:szCs w:val="26"/>
                        </w:rPr>
                        <w:t>Décembre</w:t>
                      </w:r>
                      <w:r w:rsidRPr="00925FBE">
                        <w:rPr>
                          <w:rFonts w:cstheme="majorHAnsi"/>
                          <w:b/>
                          <w:bCs/>
                          <w:color w:val="000099"/>
                          <w:sz w:val="26"/>
                          <w:szCs w:val="26"/>
                        </w:rPr>
                        <w:t xml:space="preserve"> </w:t>
                      </w:r>
                      <w:r w:rsidR="0029064C" w:rsidRPr="00925FBE">
                        <w:rPr>
                          <w:rFonts w:cstheme="majorHAnsi"/>
                          <w:b/>
                          <w:bCs/>
                          <w:color w:val="000099"/>
                          <w:sz w:val="26"/>
                          <w:szCs w:val="26"/>
                        </w:rPr>
                        <w:t>2025</w:t>
                      </w:r>
                    </w:p>
                  </w:txbxContent>
                </v:textbox>
              </v:rect>
            </w:pict>
          </mc:Fallback>
        </mc:AlternateContent>
      </w:r>
      <w:r w:rsidR="00633CEB" w:rsidRPr="00925FBE">
        <w:rPr>
          <w:rFonts w:cs="Open Sans"/>
          <w:noProof/>
          <w:sz w:val="24"/>
          <w:szCs w:val="24"/>
          <w:lang w:eastAsia="es-ES_tradnl"/>
        </w:rPr>
        <mc:AlternateContent>
          <mc:Choice Requires="wps">
            <w:drawing>
              <wp:anchor distT="36576" distB="36576" distL="36576" distR="36576" simplePos="0" relativeHeight="251658240" behindDoc="0" locked="0" layoutInCell="1" allowOverlap="1" wp14:anchorId="76017E6E" wp14:editId="138B0905">
                <wp:simplePos x="0" y="0"/>
                <wp:positionH relativeFrom="column">
                  <wp:posOffset>0</wp:posOffset>
                </wp:positionH>
                <wp:positionV relativeFrom="paragraph">
                  <wp:posOffset>1094740</wp:posOffset>
                </wp:positionV>
                <wp:extent cx="6210300" cy="1120140"/>
                <wp:effectExtent l="0" t="0" r="0" b="381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1120140"/>
                        </a:xfrm>
                        <a:prstGeom prst="rect">
                          <a:avLst/>
                        </a:prstGeom>
                        <a:noFill/>
                        <a:ln>
                          <a:noFill/>
                        </a:ln>
                        <a:effectLst/>
                        <a:extLst>
                          <a:ext uri="{909E8E84-426E-40dd-AFC4-6F175D3DCCD1}">
                            <a14:hiddenFill xmlns:pic="http://schemas.openxmlformats.org/drawingml/2006/picture" xmlns:ma14="http://schemas.microsoft.com/office/mac/drawingml/2011/main"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solidFill>
                                <a:srgbClr val="5B9BD5"/>
                              </a:solidFill>
                            </a14:hiddenFill>
                          </a:ext>
                          <a:ext uri="{91240B29-F687-4f45-9708-019B960494DF}">
                            <a14:hiddenLine xmlns:pic="http://schemas.openxmlformats.org/drawingml/2006/picture" xmlns:ma14="http://schemas.microsoft.com/office/mac/drawingml/2011/main"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25400">
                              <a:solidFill>
                                <a:schemeClr val="dk1">
                                  <a:lumMod val="0"/>
                                  <a:lumOff val="0"/>
                                </a:schemeClr>
                              </a:solidFill>
                              <a:miter lim="800000"/>
                              <a:headEnd/>
                              <a:tailEnd/>
                            </a14:hiddenLine>
                          </a:ext>
                          <a:ext uri="{AF507438-7753-43e0-B8FC-AC1667EBCBE1}">
                            <a14:hiddenEffects xmlns:pic="http://schemas.openxmlformats.org/drawingml/2006/picture" xmlns:ma14="http://schemas.microsoft.com/office/mac/drawingml/2011/main"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14:hiddenEffects>
                          </a:ext>
                        </a:extLst>
                      </wps:spPr>
                      <wps:txbx>
                        <w:txbxContent>
                          <w:p w14:paraId="412E5C3E" w14:textId="55EAE909" w:rsidR="00E7038C" w:rsidRPr="00925FBE" w:rsidRDefault="00E7038C" w:rsidP="00E7038C">
                            <w:pPr>
                              <w:pStyle w:val="CoverTitle"/>
                              <w:widowControl w:val="0"/>
                              <w:spacing w:after="120" w:line="240" w:lineRule="auto"/>
                              <w:rPr>
                                <w:rFonts w:cs="Open Sans ExtraBold"/>
                                <w:b w:val="0"/>
                                <w:bCs w:val="0"/>
                                <w:color w:val="000099"/>
                                <w:sz w:val="48"/>
                                <w:szCs w:val="48"/>
                                <w14:ligatures w14:val="none"/>
                              </w:rPr>
                            </w:pPr>
                            <w:r w:rsidRPr="00925FBE">
                              <w:rPr>
                                <w:rFonts w:cs="Open Sans ExtraBold"/>
                                <w:b w:val="0"/>
                                <w:color w:val="000099"/>
                                <w:sz w:val="48"/>
                                <w:szCs w:val="48"/>
                                <w14:ligatures w14:val="none"/>
                              </w:rPr>
                              <w:t xml:space="preserve">Projet “Kibira </w:t>
                            </w:r>
                            <w:r w:rsidR="001D23A5">
                              <w:rPr>
                                <w:rFonts w:cs="Open Sans ExtraBold"/>
                                <w:b w:val="0"/>
                                <w:color w:val="000099"/>
                                <w:sz w:val="48"/>
                                <w:szCs w:val="48"/>
                                <w14:ligatures w14:val="none"/>
                              </w:rPr>
                              <w:t>s</w:t>
                            </w:r>
                            <w:r w:rsidRPr="00925FBE">
                              <w:rPr>
                                <w:rFonts w:cs="Open Sans ExtraBold"/>
                                <w:b w:val="0"/>
                                <w:color w:val="000099"/>
                                <w:sz w:val="48"/>
                                <w:szCs w:val="48"/>
                                <w14:ligatures w14:val="none"/>
                              </w:rPr>
                              <w:t xml:space="preserve">anctuaire de </w:t>
                            </w:r>
                            <w:r w:rsidR="001D23A5">
                              <w:rPr>
                                <w:rFonts w:cs="Open Sans ExtraBold"/>
                                <w:b w:val="0"/>
                                <w:color w:val="000099"/>
                                <w:sz w:val="48"/>
                                <w:szCs w:val="48"/>
                                <w14:ligatures w14:val="none"/>
                              </w:rPr>
                              <w:t>p</w:t>
                            </w:r>
                            <w:r w:rsidRPr="00925FBE">
                              <w:rPr>
                                <w:rFonts w:cs="Open Sans ExtraBold"/>
                                <w:b w:val="0"/>
                                <w:color w:val="000099"/>
                                <w:sz w:val="48"/>
                                <w:szCs w:val="48"/>
                                <w14:ligatures w14:val="none"/>
                              </w:rPr>
                              <w:t>aix”</w:t>
                            </w:r>
                          </w:p>
                          <w:p w14:paraId="41289E50" w14:textId="0D1A32C4" w:rsidR="00E7038C" w:rsidRPr="00925FBE" w:rsidRDefault="00303178" w:rsidP="00E7038C">
                            <w:pPr>
                              <w:pStyle w:val="CoverTitle"/>
                              <w:widowControl w:val="0"/>
                              <w:spacing w:after="120" w:line="240" w:lineRule="auto"/>
                            </w:pPr>
                            <w:r w:rsidRPr="00925FBE">
                              <w:rPr>
                                <w:rFonts w:cs="Open Sans ExtraBold"/>
                                <w:b w:val="0"/>
                                <w:color w:val="000099"/>
                                <w:sz w:val="48"/>
                                <w:szCs w:val="48"/>
                                <w14:ligatures w14:val="none"/>
                              </w:rPr>
                              <w:t xml:space="preserve">Evaluation </w:t>
                            </w:r>
                            <w:r w:rsidR="00DB3C9B" w:rsidRPr="00925FBE">
                              <w:rPr>
                                <w:rFonts w:cs="Open Sans ExtraBold"/>
                                <w:b w:val="0"/>
                                <w:color w:val="000099"/>
                                <w:sz w:val="48"/>
                                <w:szCs w:val="48"/>
                                <w14:ligatures w14:val="none"/>
                              </w:rPr>
                              <w:t xml:space="preserve">finale </w:t>
                            </w:r>
                            <w:r w:rsidR="00E7038C" w:rsidRPr="00925FBE">
                              <w:rPr>
                                <w:rFonts w:cs="Open Sans ExtraBold"/>
                                <w:b w:val="0"/>
                                <w:color w:val="000099"/>
                                <w:sz w:val="48"/>
                                <w:szCs w:val="48"/>
                                <w14:ligatures w14:val="none"/>
                              </w:rPr>
                              <w:t xml:space="preserve">– Rapport </w:t>
                            </w:r>
                            <w:r w:rsidR="00334D1E">
                              <w:rPr>
                                <w:rFonts w:cs="Open Sans ExtraBold"/>
                                <w:b w:val="0"/>
                                <w:color w:val="000099"/>
                                <w:sz w:val="48"/>
                                <w:szCs w:val="48"/>
                                <w14:ligatures w14:val="none"/>
                              </w:rPr>
                              <w:t>final</w:t>
                            </w:r>
                          </w:p>
                        </w:txbxContent>
                      </wps:txbx>
                      <wps:bodyPr rot="0" vert="horz" wrap="square" lIns="576" tIns="576" rIns="576" bIns="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17E6E" id="_x0000_t202" coordsize="21600,21600" o:spt="202" path="m,l,21600r21600,l21600,xe">
                <v:stroke joinstyle="miter"/>
                <v:path gradientshapeok="t" o:connecttype="rect"/>
              </v:shapetype>
              <v:shape id="Text Box 6" o:spid="_x0000_s1028" type="#_x0000_t202" style="position:absolute;left:0;text-align:left;margin-left:0;margin-top:86.2pt;width:489pt;height:88.2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" filled="f" stroked="f">
                <v:textbox inset=".016mm,.016mm,.016mm,.016mm">
                  <w:txbxContent>
                    <w:p w14:paraId="412E5C3E" w14:textId="55EAE909" w:rsidR="00E7038C" w:rsidRPr="00925FBE" w:rsidRDefault="00E7038C" w:rsidP="00E7038C">
                      <w:pPr>
                        <w:pStyle w:val="CoverTitle"/>
                        <w:widowControl w:val="0"/>
                        <w:spacing w:after="120" w:line="240" w:lineRule="auto"/>
                        <w:rPr>
                          <w:rFonts w:cs="Open Sans ExtraBold"/>
                          <w:b w:val="0"/>
                          <w:bCs w:val="0"/>
                          <w:color w:val="000099"/>
                          <w:sz w:val="48"/>
                          <w:szCs w:val="48"/>
                          <w14:ligatures w14:val="none"/>
                        </w:rPr>
                      </w:pPr>
                      <w:r w:rsidRPr="00925FBE">
                        <w:rPr>
                          <w:rFonts w:cs="Open Sans ExtraBold"/>
                          <w:b w:val="0"/>
                          <w:color w:val="000099"/>
                          <w:sz w:val="48"/>
                          <w:szCs w:val="48"/>
                          <w14:ligatures w14:val="none"/>
                        </w:rPr>
                        <w:t xml:space="preserve">Projet “Kibira </w:t>
                      </w:r>
                      <w:r w:rsidR="001D23A5">
                        <w:rPr>
                          <w:rFonts w:cs="Open Sans ExtraBold"/>
                          <w:b w:val="0"/>
                          <w:color w:val="000099"/>
                          <w:sz w:val="48"/>
                          <w:szCs w:val="48"/>
                          <w14:ligatures w14:val="none"/>
                        </w:rPr>
                        <w:t>s</w:t>
                      </w:r>
                      <w:r w:rsidRPr="00925FBE">
                        <w:rPr>
                          <w:rFonts w:cs="Open Sans ExtraBold"/>
                          <w:b w:val="0"/>
                          <w:color w:val="000099"/>
                          <w:sz w:val="48"/>
                          <w:szCs w:val="48"/>
                          <w14:ligatures w14:val="none"/>
                        </w:rPr>
                        <w:t xml:space="preserve">anctuaire de </w:t>
                      </w:r>
                      <w:r w:rsidR="001D23A5">
                        <w:rPr>
                          <w:rFonts w:cs="Open Sans ExtraBold"/>
                          <w:b w:val="0"/>
                          <w:color w:val="000099"/>
                          <w:sz w:val="48"/>
                          <w:szCs w:val="48"/>
                          <w14:ligatures w14:val="none"/>
                        </w:rPr>
                        <w:t>p</w:t>
                      </w:r>
                      <w:r w:rsidRPr="00925FBE">
                        <w:rPr>
                          <w:rFonts w:cs="Open Sans ExtraBold"/>
                          <w:b w:val="0"/>
                          <w:color w:val="000099"/>
                          <w:sz w:val="48"/>
                          <w:szCs w:val="48"/>
                          <w14:ligatures w14:val="none"/>
                        </w:rPr>
                        <w:t>aix”</w:t>
                      </w:r>
                    </w:p>
                    <w:p w14:paraId="41289E50" w14:textId="0D1A32C4" w:rsidR="00E7038C" w:rsidRPr="00925FBE" w:rsidRDefault="00303178" w:rsidP="00E7038C">
                      <w:pPr>
                        <w:pStyle w:val="CoverTitle"/>
                        <w:widowControl w:val="0"/>
                        <w:spacing w:after="120" w:line="240" w:lineRule="auto"/>
                      </w:pPr>
                      <w:r w:rsidRPr="00925FBE">
                        <w:rPr>
                          <w:rFonts w:cs="Open Sans ExtraBold"/>
                          <w:b w:val="0"/>
                          <w:color w:val="000099"/>
                          <w:sz w:val="48"/>
                          <w:szCs w:val="48"/>
                          <w14:ligatures w14:val="none"/>
                        </w:rPr>
                        <w:t xml:space="preserve">Evaluation </w:t>
                      </w:r>
                      <w:r w:rsidR="00DB3C9B" w:rsidRPr="00925FBE">
                        <w:rPr>
                          <w:rFonts w:cs="Open Sans ExtraBold"/>
                          <w:b w:val="0"/>
                          <w:color w:val="000099"/>
                          <w:sz w:val="48"/>
                          <w:szCs w:val="48"/>
                          <w14:ligatures w14:val="none"/>
                        </w:rPr>
                        <w:t xml:space="preserve">finale </w:t>
                      </w:r>
                      <w:r w:rsidR="00E7038C" w:rsidRPr="00925FBE">
                        <w:rPr>
                          <w:rFonts w:cs="Open Sans ExtraBold"/>
                          <w:b w:val="0"/>
                          <w:color w:val="000099"/>
                          <w:sz w:val="48"/>
                          <w:szCs w:val="48"/>
                          <w14:ligatures w14:val="none"/>
                        </w:rPr>
                        <w:t xml:space="preserve">– Rapport </w:t>
                      </w:r>
                      <w:r w:rsidR="00334D1E">
                        <w:rPr>
                          <w:rFonts w:cs="Open Sans ExtraBold"/>
                          <w:b w:val="0"/>
                          <w:color w:val="000099"/>
                          <w:sz w:val="48"/>
                          <w:szCs w:val="48"/>
                          <w14:ligatures w14:val="none"/>
                        </w:rPr>
                        <w:t>final</w:t>
                      </w:r>
                    </w:p>
                  </w:txbxContent>
                </v:textbox>
              </v:shape>
            </w:pict>
          </mc:Fallback>
        </mc:AlternateContent>
      </w:r>
      <w:r w:rsidR="00D25B3A" w:rsidRPr="00925FBE">
        <w:rPr>
          <w:rFonts w:eastAsia="Times New Roman" w:cs="Open Sans"/>
          <w:b/>
          <w:bCs/>
          <w:color w:val="0074AC"/>
          <w:kern w:val="28"/>
          <w:sz w:val="48"/>
          <w:szCs w:val="48"/>
          <w14:cntxtAlts/>
        </w:rPr>
        <w:br w:type="page"/>
      </w:r>
    </w:p>
    <w:p w14:paraId="0A1DEF0A" w14:textId="0864AA95" w:rsidR="00D25B3A" w:rsidRPr="00925FBE" w:rsidRDefault="008A04A9" w:rsidP="00776702">
      <w:pPr>
        <w:pStyle w:val="Heading1"/>
        <w:numPr>
          <w:ilvl w:val="0"/>
          <w:numId w:val="0"/>
        </w:numPr>
        <w:ind w:left="720" w:hanging="720"/>
        <w:rPr>
          <w:rFonts w:ascii="Open Sans" w:hAnsi="Open Sans"/>
        </w:rPr>
      </w:pPr>
      <w:bookmarkStart w:id="0" w:name="_Toc216948951"/>
      <w:bookmarkStart w:id="1" w:name="_Hlk22557994"/>
      <w:r w:rsidRPr="00925FBE">
        <w:rPr>
          <w:rFonts w:ascii="Open Sans" w:hAnsi="Open Sans"/>
        </w:rPr>
        <w:lastRenderedPageBreak/>
        <w:t>Personnel clé de l’évaluation</w:t>
      </w:r>
      <w:bookmarkEnd w:id="0"/>
      <w:r w:rsidRPr="00925FBE">
        <w:rPr>
          <w:rFonts w:ascii="Open Sans" w:hAnsi="Open Sans"/>
        </w:rPr>
        <w:t xml:space="preserve"> </w:t>
      </w:r>
    </w:p>
    <w:p w14:paraId="3967F9BF" w14:textId="77777777" w:rsidR="005A40A1" w:rsidRPr="00925FBE" w:rsidRDefault="005A40A1" w:rsidP="00BE29A7">
      <w:pPr>
        <w:spacing w:after="0"/>
        <w:jc w:val="both"/>
        <w:rPr>
          <w:rFonts w:cs="Open Sans"/>
          <w:spacing w:val="-4"/>
        </w:rPr>
      </w:pPr>
    </w:p>
    <w:p w14:paraId="72DF88B0" w14:textId="77777777" w:rsidR="00D25B3A" w:rsidRPr="00925FBE" w:rsidRDefault="00D25B3A" w:rsidP="00BE29A7">
      <w:pPr>
        <w:jc w:val="both"/>
        <w:rPr>
          <w:b/>
        </w:rPr>
      </w:pPr>
      <w:bookmarkStart w:id="2" w:name="_Hlk22558012"/>
    </w:p>
    <w:p w14:paraId="048BBFAD" w14:textId="06921DEF" w:rsidR="00D25B3A" w:rsidRPr="00925FBE" w:rsidRDefault="008A04A9" w:rsidP="00BE29A7">
      <w:pPr>
        <w:pStyle w:val="Heading2"/>
        <w:jc w:val="both"/>
        <w:rPr>
          <w:rFonts w:ascii="Open Sans" w:hAnsi="Open Sans"/>
          <w:color w:val="000099"/>
        </w:rPr>
      </w:pPr>
      <w:bookmarkStart w:id="3" w:name="_Toc214390195"/>
      <w:bookmarkStart w:id="4" w:name="_Toc216948952"/>
      <w:bookmarkEnd w:id="1"/>
      <w:bookmarkEnd w:id="2"/>
      <w:r w:rsidRPr="00925FBE">
        <w:rPr>
          <w:rFonts w:ascii="Open Sans" w:hAnsi="Open Sans"/>
          <w:color w:val="000099"/>
        </w:rPr>
        <w:t>Equipe d’évaluation</w:t>
      </w:r>
      <w:bookmarkEnd w:id="3"/>
      <w:bookmarkEnd w:id="4"/>
      <w:r w:rsidRPr="00925FBE">
        <w:rPr>
          <w:rFonts w:ascii="Open Sans" w:hAnsi="Open Sans"/>
          <w:color w:val="000099"/>
        </w:rPr>
        <w:t xml:space="preserve"> </w:t>
      </w:r>
    </w:p>
    <w:p w14:paraId="00450D85" w14:textId="573EB49C" w:rsidR="005A40A1" w:rsidRPr="00925FBE" w:rsidRDefault="008A04A9" w:rsidP="00BE29A7">
      <w:pPr>
        <w:jc w:val="both"/>
      </w:pPr>
      <w:r w:rsidRPr="00925FBE">
        <w:t>M. Mohamed Ben Messaoud</w:t>
      </w:r>
      <w:r w:rsidR="005A40A1" w:rsidRPr="00925FBE">
        <w:t xml:space="preserve">, </w:t>
      </w:r>
      <w:r w:rsidRPr="00925FBE">
        <w:t>Chef d’équipe</w:t>
      </w:r>
    </w:p>
    <w:p w14:paraId="2143BADF" w14:textId="7C7F1110" w:rsidR="008A04A9" w:rsidRPr="00925FBE" w:rsidRDefault="008A04A9" w:rsidP="008A04A9">
      <w:pPr>
        <w:jc w:val="both"/>
      </w:pPr>
      <w:r w:rsidRPr="00925FBE">
        <w:t xml:space="preserve">M. Leonidas Ntirampeba, Expert National </w:t>
      </w:r>
    </w:p>
    <w:p w14:paraId="7424473C" w14:textId="7ECE7869" w:rsidR="005A40A1" w:rsidRPr="00925FBE" w:rsidRDefault="005A40A1" w:rsidP="00BE29A7">
      <w:pPr>
        <w:jc w:val="both"/>
      </w:pPr>
    </w:p>
    <w:p w14:paraId="5D5BC143" w14:textId="54D149C3" w:rsidR="008A04A9" w:rsidRPr="00925FBE" w:rsidRDefault="008A04A9" w:rsidP="008A04A9">
      <w:pPr>
        <w:pStyle w:val="Heading2"/>
        <w:jc w:val="both"/>
        <w:rPr>
          <w:rFonts w:ascii="Open Sans" w:hAnsi="Open Sans"/>
          <w:color w:val="000099"/>
        </w:rPr>
      </w:pPr>
      <w:bookmarkStart w:id="5" w:name="_Toc214390196"/>
      <w:bookmarkStart w:id="6" w:name="_Toc216948953"/>
      <w:r w:rsidRPr="00925FBE">
        <w:rPr>
          <w:rFonts w:ascii="Open Sans" w:hAnsi="Open Sans"/>
          <w:color w:val="000099"/>
        </w:rPr>
        <w:t>Unité d’évaluation de l’UNCDF</w:t>
      </w:r>
      <w:bookmarkEnd w:id="5"/>
      <w:bookmarkEnd w:id="6"/>
      <w:r w:rsidRPr="00925FBE">
        <w:rPr>
          <w:rFonts w:ascii="Open Sans" w:hAnsi="Open Sans"/>
          <w:color w:val="000099"/>
        </w:rPr>
        <w:t xml:space="preserve"> </w:t>
      </w:r>
    </w:p>
    <w:p w14:paraId="24120B72" w14:textId="2D9A8A1E" w:rsidR="008A04A9" w:rsidRPr="00925FBE" w:rsidRDefault="008A04A9" w:rsidP="008A04A9">
      <w:pPr>
        <w:jc w:val="both"/>
      </w:pPr>
      <w:r w:rsidRPr="00925FBE">
        <w:t>M. Nurettin Cemil Gokpinar</w:t>
      </w:r>
    </w:p>
    <w:p w14:paraId="634DE1AA" w14:textId="70134375" w:rsidR="008A04A9" w:rsidRPr="00925FBE" w:rsidRDefault="008A04A9" w:rsidP="008A04A9">
      <w:pPr>
        <w:jc w:val="both"/>
      </w:pPr>
      <w:r w:rsidRPr="00925FBE">
        <w:t xml:space="preserve">M. </w:t>
      </w:r>
      <w:r w:rsidR="005D67B6" w:rsidRPr="00925FBE">
        <w:t>Eduardo Gustale</w:t>
      </w:r>
    </w:p>
    <w:p w14:paraId="2F8AB128" w14:textId="106B8A1B" w:rsidR="005D67B6" w:rsidRPr="00925FBE" w:rsidRDefault="005D67B6" w:rsidP="008A04A9">
      <w:pPr>
        <w:jc w:val="both"/>
      </w:pPr>
      <w:r w:rsidRPr="00925FBE">
        <w:t xml:space="preserve">Mme Marianna Gindin </w:t>
      </w:r>
    </w:p>
    <w:p w14:paraId="6AFF939F" w14:textId="77777777" w:rsidR="008A04A9" w:rsidRPr="00925FBE" w:rsidRDefault="008A04A9" w:rsidP="00BE29A7">
      <w:pPr>
        <w:jc w:val="both"/>
      </w:pPr>
    </w:p>
    <w:p w14:paraId="2ECDB12D" w14:textId="75FE3EED" w:rsidR="005A40A1" w:rsidRPr="00925FBE" w:rsidRDefault="005A40A1" w:rsidP="00BE29A7">
      <w:pPr>
        <w:jc w:val="both"/>
      </w:pPr>
    </w:p>
    <w:p w14:paraId="007F9BB0" w14:textId="0E809562" w:rsidR="00F663EB" w:rsidRPr="00925FBE" w:rsidRDefault="00F663EB" w:rsidP="2F8012CE">
      <w:pPr>
        <w:jc w:val="both"/>
        <w:rPr>
          <w:rFonts w:eastAsia="Calibri"/>
          <w:szCs w:val="20"/>
        </w:rPr>
      </w:pPr>
    </w:p>
    <w:p w14:paraId="3A845D05" w14:textId="77777777" w:rsidR="00F663EB" w:rsidRPr="00925FBE" w:rsidRDefault="00F663EB" w:rsidP="00BE29A7">
      <w:pPr>
        <w:jc w:val="both"/>
        <w:sectPr w:rsidR="00F663EB" w:rsidRPr="00925FBE" w:rsidSect="00D347EC">
          <w:footerReference w:type="even" r:id="rId15"/>
          <w:footerReference w:type="default" r:id="rId16"/>
          <w:pgSz w:w="11906" w:h="16838" w:code="9"/>
          <w:pgMar w:top="1440" w:right="1440" w:bottom="1440" w:left="1440" w:header="720" w:footer="720" w:gutter="0"/>
          <w:cols w:space="720"/>
          <w:docGrid w:linePitch="360"/>
        </w:sectPr>
      </w:pPr>
    </w:p>
    <w:p w14:paraId="02F1577F" w14:textId="51287CAA" w:rsidR="00F663EB" w:rsidRPr="00925FBE" w:rsidRDefault="00656770" w:rsidP="00776702">
      <w:pPr>
        <w:pStyle w:val="Heading1"/>
        <w:numPr>
          <w:ilvl w:val="0"/>
          <w:numId w:val="0"/>
        </w:numPr>
        <w:ind w:left="720" w:hanging="720"/>
        <w:rPr>
          <w:rFonts w:ascii="Open Sans" w:hAnsi="Open Sans"/>
        </w:rPr>
      </w:pPr>
      <w:bookmarkStart w:id="7" w:name="_Toc216948954"/>
      <w:r w:rsidRPr="00925FBE">
        <w:rPr>
          <w:rFonts w:ascii="Open Sans" w:hAnsi="Open Sans"/>
        </w:rPr>
        <w:lastRenderedPageBreak/>
        <w:t>Remerciements</w:t>
      </w:r>
      <w:bookmarkEnd w:id="7"/>
      <w:r w:rsidRPr="00925FBE">
        <w:rPr>
          <w:rFonts w:ascii="Open Sans" w:hAnsi="Open Sans"/>
        </w:rPr>
        <w:t xml:space="preserve"> </w:t>
      </w:r>
    </w:p>
    <w:p w14:paraId="7FB6576F" w14:textId="3C04BF7B" w:rsidR="00F663EB" w:rsidRPr="00925FBE" w:rsidRDefault="00CF666D" w:rsidP="00BE29A7">
      <w:pPr>
        <w:jc w:val="both"/>
      </w:pPr>
      <w:r w:rsidRPr="00925FBE">
        <w:t xml:space="preserve">L'équipe d'évaluation souhaite exprimer sa profonde gratitude à l'ensemble des personnes et institutions qui ont contribué à la réalisation de cette évaluation finale du projet "Kibira Sanctuaire de Paix". Nos remerciements s'adressent tout particulièrement à l'Unité d'évaluation de l'UNCDF pour son accompagnement méthodologique et sa disponibilité tout au long de la mission. Nous tenons également à remercier l'équipe de gestion du projet UNCDF Burundi pour sa collaboration exemplaire, la qualité de la documentation mise à disposition, ainsi que pour l'excellente coordination de la mission de terrain et l'organisation des contacts et entretiens en ligne. Notre reconnaissance va également à l'ensemble des parties prenantes qui ont généreusement partagé leur temps et leurs perspectives, en particulier les institutions nationales et locales, les partenaires de mise en œuvre du projet, </w:t>
      </w:r>
      <w:r w:rsidR="00E83F09">
        <w:t xml:space="preserve">les personnes ressources </w:t>
      </w:r>
      <w:r w:rsidRPr="00925FBE">
        <w:t>et les communautés bénéficiaires dont les témoignages et expériences ont considérablement enrichi cette évaluation.</w:t>
      </w:r>
    </w:p>
    <w:p w14:paraId="7F50FFF4" w14:textId="77777777" w:rsidR="00F663EB" w:rsidRPr="00925FBE" w:rsidRDefault="00F663EB" w:rsidP="00BE29A7">
      <w:pPr>
        <w:jc w:val="both"/>
        <w:rPr>
          <w:rFonts w:cs="Open Sans"/>
        </w:rPr>
      </w:pPr>
    </w:p>
    <w:p w14:paraId="61783F3B" w14:textId="2E7EAE3C" w:rsidR="00F663EB" w:rsidRPr="00925FBE" w:rsidRDefault="009B3292" w:rsidP="00776702">
      <w:pPr>
        <w:pStyle w:val="Heading1"/>
        <w:numPr>
          <w:ilvl w:val="0"/>
          <w:numId w:val="0"/>
        </w:numPr>
        <w:ind w:left="720" w:hanging="720"/>
        <w:rPr>
          <w:rFonts w:ascii="Open Sans" w:hAnsi="Open Sans"/>
        </w:rPr>
      </w:pPr>
      <w:bookmarkStart w:id="8" w:name="_Toc216948955"/>
      <w:r w:rsidRPr="00925FBE">
        <w:rPr>
          <w:rFonts w:ascii="Open Sans" w:hAnsi="Open Sans"/>
        </w:rPr>
        <w:t>Clause de non-responsabilité</w:t>
      </w:r>
      <w:bookmarkEnd w:id="8"/>
    </w:p>
    <w:p w14:paraId="319633D3" w14:textId="77777777" w:rsidR="009B3292" w:rsidRPr="00925FBE" w:rsidRDefault="009B3292" w:rsidP="009B3292">
      <w:pPr>
        <w:jc w:val="both"/>
        <w:rPr>
          <w:rFonts w:cs="Open Sans"/>
          <w:sz w:val="18"/>
          <w:szCs w:val="18"/>
        </w:rPr>
      </w:pPr>
      <w:r w:rsidRPr="00925FBE">
        <w:rPr>
          <w:rFonts w:cs="Open Sans"/>
          <w:sz w:val="18"/>
          <w:szCs w:val="18"/>
        </w:rPr>
        <w:t>Les opinions exprimées dans cette publication sont celles du ou des auteur(s) et ne représentent pas nécessairement les vues de l'UNCDF, des Nations Unies ou de l'une de leurs organisations affiliées ou de leurs États membres.</w:t>
      </w:r>
    </w:p>
    <w:p w14:paraId="7B7578B7" w14:textId="0B7C1895" w:rsidR="00F663EB" w:rsidRPr="00925FBE" w:rsidRDefault="009B3292" w:rsidP="00BE29A7">
      <w:pPr>
        <w:jc w:val="both"/>
        <w:rPr>
          <w:rFonts w:cs="Open Sans"/>
          <w:sz w:val="18"/>
          <w:szCs w:val="18"/>
        </w:rPr>
      </w:pPr>
      <w:r w:rsidRPr="00925FBE">
        <w:rPr>
          <w:rFonts w:cs="Open Sans"/>
          <w:sz w:val="18"/>
          <w:szCs w:val="18"/>
        </w:rPr>
        <w:t>Les désignations employées et la présentation des données sur les cartes et graphiques contenu</w:t>
      </w:r>
      <w:r w:rsidR="00E83F09">
        <w:rPr>
          <w:rFonts w:cs="Open Sans"/>
          <w:sz w:val="18"/>
          <w:szCs w:val="18"/>
        </w:rPr>
        <w:t>e</w:t>
      </w:r>
      <w:r w:rsidRPr="00925FBE">
        <w:rPr>
          <w:rFonts w:cs="Open Sans"/>
          <w:sz w:val="18"/>
          <w:szCs w:val="18"/>
        </w:rPr>
        <w:t>s dans cette publication n'impliquent l'expression d'aucune opinion de la part de l'UNCDF ou du Secrétariat des Nations Unies ou de l'une de leurs organisations affiliées ou de leurs États membres concernant le statut juridique d'un pays, territoire, ville ou zone ou de ses autorités, ni concernant la délimitation de ses frontières ou limites.</w:t>
      </w:r>
    </w:p>
    <w:p w14:paraId="64A50787" w14:textId="77777777" w:rsidR="004562FC" w:rsidRPr="00925FBE" w:rsidRDefault="004562FC" w:rsidP="00BE29A7">
      <w:pPr>
        <w:jc w:val="both"/>
        <w:rPr>
          <w:rFonts w:cs="Open Sans"/>
          <w:b/>
          <w:bCs/>
          <w:color w:val="FF0000"/>
          <w:sz w:val="18"/>
          <w:szCs w:val="18"/>
        </w:rPr>
      </w:pPr>
    </w:p>
    <w:p w14:paraId="2A1EBA69" w14:textId="23B75720" w:rsidR="00F663EB" w:rsidRPr="00925FBE" w:rsidRDefault="00347CA9" w:rsidP="00BE29A7">
      <w:pPr>
        <w:jc w:val="both"/>
        <w:rPr>
          <w:rFonts w:eastAsia="Times New Roman" w:cs="Open Sans"/>
          <w:b/>
          <w:bCs/>
          <w:color w:val="000099"/>
          <w:kern w:val="28"/>
          <w:sz w:val="48"/>
          <w:szCs w:val="48"/>
          <w14:cntxtAlts/>
        </w:rPr>
      </w:pPr>
      <w:r w:rsidRPr="00925FBE">
        <w:rPr>
          <w:rFonts w:eastAsia="Times New Roman" w:cs="Open Sans"/>
          <w:b/>
          <w:bCs/>
          <w:color w:val="000099"/>
          <w:kern w:val="28"/>
          <w:sz w:val="48"/>
          <w:szCs w:val="48"/>
          <w14:cntxtAlts/>
        </w:rPr>
        <w:t xml:space="preserve">À propos </w:t>
      </w:r>
    </w:p>
    <w:p w14:paraId="4982CFA5" w14:textId="77777777" w:rsidR="00347CA9" w:rsidRPr="00925FBE" w:rsidRDefault="00347CA9" w:rsidP="00347CA9">
      <w:pPr>
        <w:spacing w:before="0" w:after="160"/>
        <w:rPr>
          <w:rFonts w:cs="Open Sans"/>
          <w:sz w:val="18"/>
          <w:szCs w:val="18"/>
        </w:rPr>
      </w:pPr>
      <w:r w:rsidRPr="00925FBE">
        <w:rPr>
          <w:rFonts w:cs="Open Sans"/>
          <w:sz w:val="18"/>
          <w:szCs w:val="18"/>
        </w:rPr>
        <w:t>Le Fonds d'équipement des Nations Unies (UNCDF) fait en sorte que les finances publiques et privées profitent aux populations pauvres des 46 pays les moins avancés (PMA) du monde.</w:t>
      </w:r>
    </w:p>
    <w:p w14:paraId="3A64C1C3" w14:textId="77777777" w:rsidR="00347CA9" w:rsidRPr="00925FBE" w:rsidRDefault="00347CA9" w:rsidP="00347CA9">
      <w:pPr>
        <w:spacing w:before="0" w:after="160"/>
        <w:rPr>
          <w:rFonts w:cs="Open Sans"/>
          <w:sz w:val="18"/>
          <w:szCs w:val="18"/>
        </w:rPr>
      </w:pPr>
      <w:r w:rsidRPr="00925FBE">
        <w:rPr>
          <w:rFonts w:cs="Open Sans"/>
          <w:sz w:val="18"/>
          <w:szCs w:val="18"/>
        </w:rPr>
        <w:t>L'UNCDF propose des modèles de financement du "dernier kilomètre" qui mobilisent les ressources publiques et privées, notamment au niveau national, pour réduire la pauvreté et soutenir le développement économique local.</w:t>
      </w:r>
    </w:p>
    <w:p w14:paraId="45783D77" w14:textId="7DA0A260" w:rsidR="00B20C66" w:rsidRPr="00925FBE" w:rsidRDefault="00347CA9">
      <w:pPr>
        <w:spacing w:before="0" w:after="160"/>
        <w:rPr>
          <w:rFonts w:cs="Open Sans"/>
          <w:sz w:val="18"/>
          <w:szCs w:val="18"/>
        </w:rPr>
      </w:pPr>
      <w:r w:rsidRPr="00925FBE">
        <w:rPr>
          <w:rFonts w:cs="Open Sans"/>
          <w:sz w:val="18"/>
          <w:szCs w:val="18"/>
        </w:rPr>
        <w:t>Les modèles de financement de l'UNCDF s'articulent autour de trois axes : (1) les économies numériques inclusives, qui connectent les individus, les ménages et les petites entreprises avec des écosystèmes financiers catalysant la participation à l'économie locale et fournissant des outils pour sortir de la pauvreté et gérer leur vie financière ; (2) le financement transformationnel local, qui renforce les capacités des collectivités locales par la décentralisation fiscale, le financement municipal innovant et le financement de projets structurés pour stimuler l'expansion économique locale et le développement durable ; et (3) le financement d'investissement, qui fournit une structuration financière catalytique, une réduction des risques et un déploiement de capitaux pour générer un impact sur les ODD et mobiliser les ressources nationales.</w:t>
      </w:r>
      <w:r w:rsidR="00B20C66" w:rsidRPr="00925FBE">
        <w:rPr>
          <w:rFonts w:cs="Open Sans"/>
          <w:sz w:val="18"/>
          <w:szCs w:val="18"/>
        </w:rPr>
        <w:br w:type="page"/>
      </w:r>
    </w:p>
    <w:p w14:paraId="7EBE292F" w14:textId="1EB998D3" w:rsidR="00B20C66" w:rsidRPr="00925FBE" w:rsidRDefault="00C871C1" w:rsidP="00B20C66">
      <w:pPr>
        <w:pStyle w:val="Heading1"/>
        <w:numPr>
          <w:ilvl w:val="0"/>
          <w:numId w:val="0"/>
        </w:numPr>
        <w:ind w:left="720" w:hanging="720"/>
        <w:rPr>
          <w:rFonts w:ascii="Open Sans" w:hAnsi="Open Sans"/>
        </w:rPr>
      </w:pPr>
      <w:bookmarkStart w:id="9" w:name="_Toc216948956"/>
      <w:r w:rsidRPr="00925FBE">
        <w:rPr>
          <w:rFonts w:ascii="Open Sans" w:hAnsi="Open Sans"/>
        </w:rPr>
        <w:lastRenderedPageBreak/>
        <w:t>Fiche des donnés du projet</w:t>
      </w:r>
      <w:bookmarkEnd w:id="9"/>
    </w:p>
    <w:p w14:paraId="603EE6AF" w14:textId="77777777" w:rsidR="00B20C66" w:rsidRPr="00925FBE" w:rsidRDefault="00B20C66" w:rsidP="00B20C66">
      <w:pPr>
        <w:tabs>
          <w:tab w:val="left" w:pos="9000"/>
        </w:tabs>
        <w:ind w:right="461"/>
        <w:rPr>
          <w:rFonts w:cstheme="minorHAnsi"/>
          <w:sz w:val="22"/>
          <w:szCs w:val="20"/>
        </w:rPr>
      </w:pPr>
    </w:p>
    <w:tbl>
      <w:tblPr>
        <w:tblStyle w:val="TableGrid"/>
        <w:tblW w:w="9139" w:type="dxa"/>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Look w:val="04A0" w:firstRow="1" w:lastRow="0" w:firstColumn="1" w:lastColumn="0" w:noHBand="0" w:noVBand="1"/>
      </w:tblPr>
      <w:tblGrid>
        <w:gridCol w:w="3963"/>
        <w:gridCol w:w="2491"/>
        <w:gridCol w:w="2685"/>
      </w:tblGrid>
      <w:tr w:rsidR="004E26E2" w:rsidRPr="00925FBE" w14:paraId="5698A054" w14:textId="77777777" w:rsidTr="00337C2B">
        <w:trPr>
          <w:trHeight w:val="397"/>
        </w:trPr>
        <w:tc>
          <w:tcPr>
            <w:tcW w:w="9139" w:type="dxa"/>
            <w:gridSpan w:val="3"/>
            <w:shd w:val="clear" w:color="auto" w:fill="000099"/>
            <w:vAlign w:val="center"/>
          </w:tcPr>
          <w:p w14:paraId="219E726E" w14:textId="1B88356D" w:rsidR="004E26E2" w:rsidRPr="00925FBE" w:rsidRDefault="004E26E2" w:rsidP="00337C2B">
            <w:pPr>
              <w:spacing w:before="0" w:after="0"/>
              <w:jc w:val="center"/>
              <w:rPr>
                <w:rFonts w:cs="Open Sans"/>
                <w:b/>
                <w:bCs/>
                <w:szCs w:val="20"/>
              </w:rPr>
            </w:pPr>
            <w:r w:rsidRPr="00925FBE">
              <w:rPr>
                <w:rStyle w:val="markedcontent"/>
                <w:rFonts w:cs="Open Sans"/>
                <w:b/>
                <w:bCs/>
                <w:szCs w:val="20"/>
              </w:rPr>
              <w:t>Information</w:t>
            </w:r>
            <w:r w:rsidR="00C871C1" w:rsidRPr="00925FBE">
              <w:rPr>
                <w:rStyle w:val="markedcontent"/>
                <w:rFonts w:cs="Open Sans"/>
                <w:b/>
                <w:bCs/>
                <w:szCs w:val="20"/>
              </w:rPr>
              <w:t xml:space="preserve"> </w:t>
            </w:r>
            <w:r w:rsidR="00C871C1" w:rsidRPr="00925FBE">
              <w:rPr>
                <w:rStyle w:val="markedcontent"/>
                <w:b/>
                <w:bCs/>
                <w:szCs w:val="20"/>
              </w:rPr>
              <w:t>sur le projet</w:t>
            </w:r>
          </w:p>
        </w:tc>
      </w:tr>
      <w:tr w:rsidR="00C871C1" w:rsidRPr="00925FBE" w14:paraId="00730916" w14:textId="77777777" w:rsidTr="00337C2B">
        <w:trPr>
          <w:trHeight w:val="397"/>
        </w:trPr>
        <w:tc>
          <w:tcPr>
            <w:tcW w:w="3963" w:type="dxa"/>
            <w:vAlign w:val="center"/>
          </w:tcPr>
          <w:p w14:paraId="384BA376" w14:textId="45B381C4" w:rsidR="00C871C1" w:rsidRPr="00925FBE" w:rsidRDefault="00C871C1" w:rsidP="00337C2B">
            <w:pPr>
              <w:spacing w:before="0" w:after="0"/>
              <w:rPr>
                <w:rFonts w:cs="Open Sans"/>
                <w:szCs w:val="20"/>
              </w:rPr>
            </w:pPr>
            <w:r w:rsidRPr="00925FBE">
              <w:rPr>
                <w:rStyle w:val="markedcontent"/>
              </w:rPr>
              <w:t>Titre du projet</w:t>
            </w:r>
          </w:p>
        </w:tc>
        <w:tc>
          <w:tcPr>
            <w:tcW w:w="5176" w:type="dxa"/>
            <w:gridSpan w:val="2"/>
            <w:vAlign w:val="center"/>
          </w:tcPr>
          <w:p w14:paraId="25C48D72" w14:textId="0AF70322" w:rsidR="00C871C1" w:rsidRPr="00925FBE" w:rsidRDefault="00C871C1" w:rsidP="00337C2B">
            <w:pPr>
              <w:spacing w:before="0" w:after="0"/>
              <w:rPr>
                <w:rFonts w:cs="Open Sans"/>
                <w:szCs w:val="20"/>
              </w:rPr>
            </w:pPr>
            <w:r w:rsidRPr="00925FBE">
              <w:rPr>
                <w:rFonts w:cs="Open Sans"/>
                <w:szCs w:val="20"/>
              </w:rPr>
              <w:t xml:space="preserve">Kibira Sanctuaire de Paix </w:t>
            </w:r>
          </w:p>
        </w:tc>
      </w:tr>
      <w:tr w:rsidR="00C871C1" w:rsidRPr="00925FBE" w14:paraId="50842579" w14:textId="77777777" w:rsidTr="00337C2B">
        <w:trPr>
          <w:trHeight w:val="397"/>
        </w:trPr>
        <w:tc>
          <w:tcPr>
            <w:tcW w:w="3963" w:type="dxa"/>
            <w:vAlign w:val="center"/>
          </w:tcPr>
          <w:p w14:paraId="58304D15" w14:textId="40A68B94" w:rsidR="00C871C1" w:rsidRPr="00925FBE" w:rsidRDefault="00C871C1" w:rsidP="00337C2B">
            <w:pPr>
              <w:spacing w:before="0" w:after="0"/>
              <w:rPr>
                <w:rFonts w:cs="Open Sans"/>
                <w:szCs w:val="20"/>
              </w:rPr>
            </w:pPr>
            <w:r w:rsidRPr="00925FBE">
              <w:rPr>
                <w:rStyle w:val="markedcontent"/>
                <w:rFonts w:cs="Open Sans"/>
                <w:szCs w:val="20"/>
              </w:rPr>
              <w:t>Atlas ID/Quantum ID</w:t>
            </w:r>
          </w:p>
        </w:tc>
        <w:tc>
          <w:tcPr>
            <w:tcW w:w="5176" w:type="dxa"/>
            <w:gridSpan w:val="2"/>
            <w:vAlign w:val="center"/>
          </w:tcPr>
          <w:p w14:paraId="2D7083FC" w14:textId="5CA59D7D" w:rsidR="00C871C1" w:rsidRPr="00925FBE" w:rsidRDefault="00C871C1" w:rsidP="00337C2B">
            <w:pPr>
              <w:spacing w:before="0" w:after="0"/>
              <w:rPr>
                <w:rFonts w:cs="Open Sans"/>
                <w:szCs w:val="20"/>
              </w:rPr>
            </w:pPr>
            <w:r w:rsidRPr="00925FBE">
              <w:rPr>
                <w:rFonts w:cs="Open Sans"/>
                <w:szCs w:val="20"/>
              </w:rPr>
              <w:t>00129741</w:t>
            </w:r>
          </w:p>
        </w:tc>
      </w:tr>
      <w:tr w:rsidR="001F4AD7" w:rsidRPr="00925FBE" w14:paraId="6997B431" w14:textId="77777777" w:rsidTr="00337C2B">
        <w:trPr>
          <w:trHeight w:val="397"/>
        </w:trPr>
        <w:tc>
          <w:tcPr>
            <w:tcW w:w="3963" w:type="dxa"/>
            <w:vAlign w:val="center"/>
          </w:tcPr>
          <w:p w14:paraId="5194DA00" w14:textId="213FF3F9" w:rsidR="001F4AD7" w:rsidRPr="00925FBE" w:rsidRDefault="001F4AD7" w:rsidP="00337C2B">
            <w:pPr>
              <w:spacing w:before="0" w:after="0"/>
              <w:rPr>
                <w:rFonts w:cs="Open Sans"/>
                <w:szCs w:val="20"/>
              </w:rPr>
            </w:pPr>
            <w:r w:rsidRPr="00925FBE">
              <w:rPr>
                <w:rStyle w:val="markedcontent"/>
              </w:rPr>
              <w:t>Pays</w:t>
            </w:r>
          </w:p>
        </w:tc>
        <w:tc>
          <w:tcPr>
            <w:tcW w:w="5176" w:type="dxa"/>
            <w:gridSpan w:val="2"/>
            <w:vAlign w:val="center"/>
          </w:tcPr>
          <w:p w14:paraId="731AE387" w14:textId="68AC7A51" w:rsidR="001F4AD7" w:rsidRPr="00925FBE" w:rsidRDefault="001F4AD7" w:rsidP="00337C2B">
            <w:pPr>
              <w:spacing w:before="0" w:after="0"/>
              <w:rPr>
                <w:rFonts w:cs="Open Sans"/>
                <w:szCs w:val="20"/>
              </w:rPr>
            </w:pPr>
            <w:r w:rsidRPr="00925FBE">
              <w:rPr>
                <w:rFonts w:cs="Open Sans"/>
                <w:szCs w:val="20"/>
              </w:rPr>
              <w:t xml:space="preserve">Burundi </w:t>
            </w:r>
          </w:p>
        </w:tc>
      </w:tr>
      <w:tr w:rsidR="001F4AD7" w:rsidRPr="00925FBE" w14:paraId="5CE65CED" w14:textId="77777777" w:rsidTr="00337C2B">
        <w:trPr>
          <w:trHeight w:val="397"/>
        </w:trPr>
        <w:tc>
          <w:tcPr>
            <w:tcW w:w="3963" w:type="dxa"/>
            <w:vAlign w:val="center"/>
          </w:tcPr>
          <w:p w14:paraId="7BE8A945" w14:textId="0C3E8CE4" w:rsidR="001F4AD7" w:rsidRPr="00925FBE" w:rsidRDefault="001F4AD7" w:rsidP="00337C2B">
            <w:pPr>
              <w:spacing w:before="0" w:after="0"/>
              <w:rPr>
                <w:rFonts w:cs="Open Sans"/>
                <w:szCs w:val="20"/>
              </w:rPr>
            </w:pPr>
            <w:r w:rsidRPr="00925FBE">
              <w:rPr>
                <w:rStyle w:val="markedcontent"/>
                <w:rFonts w:cs="Open Sans"/>
                <w:szCs w:val="20"/>
              </w:rPr>
              <w:t>Région</w:t>
            </w:r>
          </w:p>
        </w:tc>
        <w:tc>
          <w:tcPr>
            <w:tcW w:w="5176" w:type="dxa"/>
            <w:gridSpan w:val="2"/>
            <w:vAlign w:val="center"/>
          </w:tcPr>
          <w:p w14:paraId="0B587DFF" w14:textId="6C3C2F18" w:rsidR="001F4AD7" w:rsidRPr="00925FBE" w:rsidRDefault="001F4AD7" w:rsidP="00337C2B">
            <w:pPr>
              <w:spacing w:before="0" w:after="0"/>
              <w:rPr>
                <w:rFonts w:cs="Open Sans"/>
                <w:szCs w:val="20"/>
              </w:rPr>
            </w:pPr>
            <w:r w:rsidRPr="00925FBE">
              <w:rPr>
                <w:rFonts w:cs="Open Sans"/>
                <w:szCs w:val="20"/>
              </w:rPr>
              <w:t>B</w:t>
            </w:r>
            <w:r w:rsidRPr="00925FBE">
              <w:t xml:space="preserve">ujumbura, Parc National de la Kibira et ses environs </w:t>
            </w:r>
          </w:p>
        </w:tc>
      </w:tr>
      <w:tr w:rsidR="008E07BA" w:rsidRPr="00925FBE" w14:paraId="323D09B7" w14:textId="77777777" w:rsidTr="00337C2B">
        <w:trPr>
          <w:trHeight w:val="397"/>
        </w:trPr>
        <w:tc>
          <w:tcPr>
            <w:tcW w:w="3963" w:type="dxa"/>
            <w:vAlign w:val="center"/>
          </w:tcPr>
          <w:p w14:paraId="0C87E045" w14:textId="13C2614F" w:rsidR="008E07BA" w:rsidRPr="00925FBE" w:rsidRDefault="008E07BA" w:rsidP="00337C2B">
            <w:pPr>
              <w:spacing w:before="0" w:after="0"/>
              <w:rPr>
                <w:rFonts w:cs="Open Sans"/>
                <w:szCs w:val="20"/>
              </w:rPr>
            </w:pPr>
            <w:r w:rsidRPr="00925FBE">
              <w:rPr>
                <w:rStyle w:val="markedcontent"/>
                <w:rFonts w:cs="Open Sans"/>
                <w:szCs w:val="20"/>
              </w:rPr>
              <w:t>Date de signature du document du projet</w:t>
            </w:r>
          </w:p>
        </w:tc>
        <w:tc>
          <w:tcPr>
            <w:tcW w:w="5176" w:type="dxa"/>
            <w:gridSpan w:val="2"/>
            <w:vAlign w:val="center"/>
          </w:tcPr>
          <w:p w14:paraId="248F8DBB" w14:textId="7A5C5669" w:rsidR="008E07BA" w:rsidRPr="00925FBE" w:rsidRDefault="008E07BA" w:rsidP="00337C2B">
            <w:pPr>
              <w:spacing w:before="0" w:after="0"/>
              <w:rPr>
                <w:rFonts w:cs="Open Sans"/>
                <w:szCs w:val="20"/>
              </w:rPr>
            </w:pPr>
            <w:r w:rsidRPr="00925FBE">
              <w:rPr>
                <w:rFonts w:cs="Open Sans"/>
                <w:szCs w:val="20"/>
              </w:rPr>
              <w:t>D</w:t>
            </w:r>
            <w:r w:rsidRPr="00925FBE">
              <w:t>écembre 2021</w:t>
            </w:r>
          </w:p>
        </w:tc>
      </w:tr>
      <w:tr w:rsidR="001F4AD7" w:rsidRPr="00925FBE" w14:paraId="10A4192E" w14:textId="77777777" w:rsidTr="00337C2B">
        <w:trPr>
          <w:trHeight w:val="397"/>
        </w:trPr>
        <w:tc>
          <w:tcPr>
            <w:tcW w:w="3963" w:type="dxa"/>
            <w:vAlign w:val="center"/>
          </w:tcPr>
          <w:p w14:paraId="6AAA6F98" w14:textId="6007D8B8" w:rsidR="001F4AD7" w:rsidRPr="00925FBE" w:rsidRDefault="001F4AD7" w:rsidP="00337C2B">
            <w:pPr>
              <w:spacing w:before="0" w:after="0"/>
              <w:rPr>
                <w:rFonts w:cs="Open Sans"/>
                <w:szCs w:val="20"/>
              </w:rPr>
            </w:pPr>
            <w:r w:rsidRPr="00925FBE">
              <w:rPr>
                <w:rStyle w:val="markedcontent"/>
              </w:rPr>
              <w:t>Dates du projet</w:t>
            </w:r>
          </w:p>
        </w:tc>
        <w:tc>
          <w:tcPr>
            <w:tcW w:w="2491" w:type="dxa"/>
            <w:vAlign w:val="center"/>
          </w:tcPr>
          <w:p w14:paraId="27880A50" w14:textId="2DA51B2E" w:rsidR="001F4AD7" w:rsidRPr="00925FBE" w:rsidRDefault="001F4AD7" w:rsidP="00337C2B">
            <w:pPr>
              <w:spacing w:before="0" w:after="0"/>
              <w:rPr>
                <w:rFonts w:cs="Open Sans"/>
                <w:szCs w:val="20"/>
              </w:rPr>
            </w:pPr>
            <w:r w:rsidRPr="00925FBE">
              <w:rPr>
                <w:rStyle w:val="markedcontent"/>
              </w:rPr>
              <w:t>Début : Décembre 2021</w:t>
            </w:r>
          </w:p>
        </w:tc>
        <w:tc>
          <w:tcPr>
            <w:tcW w:w="2685" w:type="dxa"/>
            <w:vAlign w:val="center"/>
          </w:tcPr>
          <w:p w14:paraId="29006EB7" w14:textId="67E42E99" w:rsidR="001F4AD7" w:rsidRPr="00925FBE" w:rsidRDefault="001F4AD7" w:rsidP="00337C2B">
            <w:pPr>
              <w:spacing w:before="0" w:after="0"/>
              <w:rPr>
                <w:rFonts w:cs="Open Sans"/>
                <w:szCs w:val="20"/>
              </w:rPr>
            </w:pPr>
            <w:r w:rsidRPr="00925FBE">
              <w:rPr>
                <w:rStyle w:val="markedcontent"/>
              </w:rPr>
              <w:t>Fin : Décembre 2025</w:t>
            </w:r>
          </w:p>
        </w:tc>
      </w:tr>
      <w:tr w:rsidR="001F4AD7" w:rsidRPr="00925FBE" w14:paraId="32B97B4C" w14:textId="77777777" w:rsidTr="00337C2B">
        <w:trPr>
          <w:trHeight w:val="397"/>
        </w:trPr>
        <w:tc>
          <w:tcPr>
            <w:tcW w:w="3963" w:type="dxa"/>
            <w:vAlign w:val="center"/>
          </w:tcPr>
          <w:p w14:paraId="1389EA2C" w14:textId="68445A9C" w:rsidR="001F4AD7" w:rsidRPr="00925FBE" w:rsidRDefault="001F4AD7" w:rsidP="00337C2B">
            <w:pPr>
              <w:spacing w:before="0" w:after="0"/>
              <w:rPr>
                <w:rFonts w:cs="Open Sans"/>
                <w:szCs w:val="20"/>
              </w:rPr>
            </w:pPr>
            <w:r w:rsidRPr="00925FBE">
              <w:rPr>
                <w:rStyle w:val="markedcontent"/>
              </w:rPr>
              <w:t xml:space="preserve">Budget total engagé </w:t>
            </w:r>
          </w:p>
        </w:tc>
        <w:tc>
          <w:tcPr>
            <w:tcW w:w="5176" w:type="dxa"/>
            <w:gridSpan w:val="2"/>
            <w:vAlign w:val="center"/>
          </w:tcPr>
          <w:p w14:paraId="10193957" w14:textId="3E2609AC" w:rsidR="001F4AD7" w:rsidRPr="00925FBE" w:rsidRDefault="001F4AD7" w:rsidP="00337C2B">
            <w:pPr>
              <w:spacing w:before="0" w:after="0"/>
              <w:rPr>
                <w:rFonts w:cs="Open Sans"/>
                <w:szCs w:val="20"/>
              </w:rPr>
            </w:pPr>
            <w:r w:rsidRPr="00925FBE">
              <w:rPr>
                <w:rFonts w:cs="Open Sans"/>
                <w:szCs w:val="20"/>
              </w:rPr>
              <w:t>3 millions USD</w:t>
            </w:r>
          </w:p>
        </w:tc>
      </w:tr>
      <w:tr w:rsidR="00FA31A7" w:rsidRPr="00925FBE" w14:paraId="1B085F3B" w14:textId="77777777" w:rsidTr="00337C2B">
        <w:trPr>
          <w:trHeight w:val="397"/>
        </w:trPr>
        <w:tc>
          <w:tcPr>
            <w:tcW w:w="3963" w:type="dxa"/>
            <w:vAlign w:val="center"/>
          </w:tcPr>
          <w:p w14:paraId="10BBF166" w14:textId="1B1CCD92" w:rsidR="00FA31A7" w:rsidRPr="00925FBE" w:rsidRDefault="00FA31A7" w:rsidP="00337C2B">
            <w:pPr>
              <w:spacing w:before="0" w:after="0"/>
              <w:rPr>
                <w:rFonts w:cs="Open Sans"/>
                <w:szCs w:val="20"/>
              </w:rPr>
            </w:pPr>
            <w:r w:rsidRPr="00925FBE">
              <w:rPr>
                <w:rStyle w:val="markedcontent"/>
              </w:rPr>
              <w:t xml:space="preserve">Dépenses du projet lors de l’évaluation </w:t>
            </w:r>
          </w:p>
        </w:tc>
        <w:tc>
          <w:tcPr>
            <w:tcW w:w="5176" w:type="dxa"/>
            <w:gridSpan w:val="2"/>
            <w:vAlign w:val="center"/>
          </w:tcPr>
          <w:p w14:paraId="4DE666F3" w14:textId="1FCDC246" w:rsidR="00FA31A7" w:rsidRPr="00925FBE" w:rsidRDefault="00FA31A7" w:rsidP="00337C2B">
            <w:pPr>
              <w:spacing w:before="0" w:after="0"/>
              <w:rPr>
                <w:rFonts w:cs="Open Sans"/>
                <w:szCs w:val="20"/>
              </w:rPr>
            </w:pPr>
          </w:p>
        </w:tc>
      </w:tr>
      <w:tr w:rsidR="008E07BA" w:rsidRPr="00925FBE" w14:paraId="35DCA4D7" w14:textId="77777777" w:rsidTr="00337C2B">
        <w:trPr>
          <w:trHeight w:val="397"/>
        </w:trPr>
        <w:tc>
          <w:tcPr>
            <w:tcW w:w="3963" w:type="dxa"/>
            <w:vAlign w:val="center"/>
          </w:tcPr>
          <w:p w14:paraId="2B3A23F1" w14:textId="200DDA6F" w:rsidR="008E07BA" w:rsidRPr="00925FBE" w:rsidRDefault="008E07BA" w:rsidP="00337C2B">
            <w:pPr>
              <w:spacing w:before="0" w:after="0"/>
              <w:rPr>
                <w:rFonts w:cs="Open Sans"/>
                <w:szCs w:val="20"/>
              </w:rPr>
            </w:pPr>
            <w:r w:rsidRPr="00925FBE">
              <w:rPr>
                <w:rStyle w:val="markedcontent"/>
              </w:rPr>
              <w:t>Source de financement</w:t>
            </w:r>
          </w:p>
        </w:tc>
        <w:tc>
          <w:tcPr>
            <w:tcW w:w="5176" w:type="dxa"/>
            <w:gridSpan w:val="2"/>
            <w:vAlign w:val="center"/>
          </w:tcPr>
          <w:p w14:paraId="356319AC" w14:textId="2371CC82" w:rsidR="008E07BA" w:rsidRPr="00925FBE" w:rsidRDefault="008E07BA" w:rsidP="00337C2B">
            <w:pPr>
              <w:spacing w:before="0" w:after="0"/>
              <w:rPr>
                <w:rFonts w:cs="Open Sans"/>
                <w:szCs w:val="20"/>
              </w:rPr>
            </w:pPr>
            <w:r w:rsidRPr="00925FBE">
              <w:rPr>
                <w:rFonts w:cs="Open Sans"/>
                <w:szCs w:val="20"/>
              </w:rPr>
              <w:t>Fonds pour la Consolidation de la Paix (PBF)</w:t>
            </w:r>
          </w:p>
        </w:tc>
      </w:tr>
      <w:tr w:rsidR="008E07BA" w:rsidRPr="00925FBE" w14:paraId="50228727" w14:textId="77777777" w:rsidTr="00337C2B">
        <w:trPr>
          <w:trHeight w:val="397"/>
        </w:trPr>
        <w:tc>
          <w:tcPr>
            <w:tcW w:w="3963" w:type="dxa"/>
            <w:vAlign w:val="center"/>
          </w:tcPr>
          <w:p w14:paraId="6CAC9F46" w14:textId="6799C2C7" w:rsidR="008E07BA" w:rsidRPr="00925FBE" w:rsidRDefault="008E07BA" w:rsidP="00337C2B">
            <w:pPr>
              <w:spacing w:before="0" w:after="0"/>
              <w:rPr>
                <w:rFonts w:cs="Open Sans"/>
                <w:szCs w:val="20"/>
              </w:rPr>
            </w:pPr>
            <w:r w:rsidRPr="00925FBE">
              <w:rPr>
                <w:rFonts w:cs="Open Sans"/>
                <w:szCs w:val="20"/>
              </w:rPr>
              <w:t>Partie responsable de la mise en œuvre</w:t>
            </w:r>
            <w:r w:rsidRPr="00925FBE">
              <w:rPr>
                <w:rStyle w:val="FootnoteReference"/>
                <w:rFonts w:cs="Open Sans"/>
                <w:szCs w:val="20"/>
              </w:rPr>
              <w:footnoteReference w:id="2"/>
            </w:r>
          </w:p>
        </w:tc>
        <w:tc>
          <w:tcPr>
            <w:tcW w:w="5176" w:type="dxa"/>
            <w:gridSpan w:val="2"/>
            <w:vAlign w:val="center"/>
          </w:tcPr>
          <w:p w14:paraId="52F9B1B0" w14:textId="1D4A17E5" w:rsidR="008E07BA" w:rsidRPr="00925FBE" w:rsidRDefault="008E07BA" w:rsidP="00337C2B">
            <w:pPr>
              <w:spacing w:before="0" w:after="0"/>
              <w:rPr>
                <w:rFonts w:cs="Open Sans"/>
                <w:szCs w:val="20"/>
              </w:rPr>
            </w:pPr>
            <w:r w:rsidRPr="00925FBE">
              <w:rPr>
                <w:rFonts w:cs="Open Sans"/>
                <w:szCs w:val="20"/>
              </w:rPr>
              <w:t>Fonds d’Equipement des Nations Unies (FENU / UNCDF)</w:t>
            </w:r>
          </w:p>
        </w:tc>
      </w:tr>
      <w:tr w:rsidR="004E26E2" w:rsidRPr="00925FBE" w14:paraId="574A5B92" w14:textId="77777777" w:rsidTr="00337C2B">
        <w:trPr>
          <w:trHeight w:val="397"/>
        </w:trPr>
        <w:tc>
          <w:tcPr>
            <w:tcW w:w="9139" w:type="dxa"/>
            <w:gridSpan w:val="3"/>
            <w:shd w:val="clear" w:color="auto" w:fill="000099"/>
            <w:vAlign w:val="center"/>
          </w:tcPr>
          <w:p w14:paraId="57A7B151" w14:textId="19708851" w:rsidR="004E26E2" w:rsidRPr="00925FBE" w:rsidRDefault="008E07BA" w:rsidP="00337C2B">
            <w:pPr>
              <w:spacing w:before="0" w:after="0"/>
              <w:jc w:val="center"/>
              <w:rPr>
                <w:rFonts w:cs="Open Sans"/>
                <w:b/>
                <w:bCs/>
                <w:szCs w:val="20"/>
              </w:rPr>
            </w:pPr>
            <w:r w:rsidRPr="00925FBE">
              <w:rPr>
                <w:rStyle w:val="markedcontent"/>
                <w:rFonts w:cs="Open Sans"/>
                <w:b/>
                <w:bCs/>
                <w:szCs w:val="20"/>
              </w:rPr>
              <w:t>Information sur l’é</w:t>
            </w:r>
            <w:r w:rsidR="004E26E2" w:rsidRPr="00925FBE">
              <w:rPr>
                <w:rStyle w:val="markedcontent"/>
                <w:rFonts w:cs="Open Sans"/>
                <w:b/>
                <w:bCs/>
                <w:szCs w:val="20"/>
              </w:rPr>
              <w:t>valuation</w:t>
            </w:r>
          </w:p>
        </w:tc>
      </w:tr>
      <w:tr w:rsidR="008614D7" w:rsidRPr="00925FBE" w14:paraId="0D7EA288" w14:textId="77777777" w:rsidTr="00337C2B">
        <w:trPr>
          <w:trHeight w:val="397"/>
        </w:trPr>
        <w:tc>
          <w:tcPr>
            <w:tcW w:w="3963" w:type="dxa"/>
            <w:vAlign w:val="center"/>
          </w:tcPr>
          <w:p w14:paraId="5AA7E680" w14:textId="4D88076A" w:rsidR="008614D7" w:rsidRPr="00925FBE" w:rsidRDefault="008614D7" w:rsidP="00337C2B">
            <w:pPr>
              <w:spacing w:before="0" w:after="0"/>
              <w:rPr>
                <w:rFonts w:cs="Open Sans"/>
                <w:szCs w:val="20"/>
              </w:rPr>
            </w:pPr>
            <w:r w:rsidRPr="00925FBE">
              <w:rPr>
                <w:rStyle w:val="markedcontent"/>
              </w:rPr>
              <w:t xml:space="preserve">Type d’évaluation </w:t>
            </w:r>
          </w:p>
        </w:tc>
        <w:tc>
          <w:tcPr>
            <w:tcW w:w="5176" w:type="dxa"/>
            <w:gridSpan w:val="2"/>
            <w:vAlign w:val="center"/>
          </w:tcPr>
          <w:p w14:paraId="748E2DC4" w14:textId="14509E90" w:rsidR="008614D7" w:rsidRPr="00925FBE" w:rsidRDefault="008614D7" w:rsidP="00337C2B">
            <w:pPr>
              <w:spacing w:before="0" w:after="0"/>
              <w:rPr>
                <w:rFonts w:cs="Open Sans"/>
                <w:szCs w:val="20"/>
              </w:rPr>
            </w:pPr>
            <w:r w:rsidRPr="00925FBE">
              <w:rPr>
                <w:rFonts w:cs="Open Sans"/>
                <w:szCs w:val="20"/>
              </w:rPr>
              <w:t>E</w:t>
            </w:r>
            <w:r w:rsidRPr="00925FBE">
              <w:t xml:space="preserve">valuation </w:t>
            </w:r>
            <w:r w:rsidR="005D4885">
              <w:t xml:space="preserve">finale </w:t>
            </w:r>
            <w:r w:rsidRPr="00925FBE">
              <w:t xml:space="preserve">de projet </w:t>
            </w:r>
          </w:p>
        </w:tc>
      </w:tr>
      <w:tr w:rsidR="008614D7" w:rsidRPr="00925FBE" w14:paraId="15D15C10" w14:textId="77777777" w:rsidTr="00337C2B">
        <w:trPr>
          <w:trHeight w:val="397"/>
        </w:trPr>
        <w:tc>
          <w:tcPr>
            <w:tcW w:w="3963" w:type="dxa"/>
            <w:vAlign w:val="center"/>
          </w:tcPr>
          <w:p w14:paraId="4E2DE54A" w14:textId="15961AD3" w:rsidR="008614D7" w:rsidRPr="00925FBE" w:rsidRDefault="008614D7" w:rsidP="00337C2B">
            <w:pPr>
              <w:spacing w:before="0" w:after="0"/>
              <w:rPr>
                <w:rFonts w:cs="Open Sans"/>
                <w:szCs w:val="20"/>
              </w:rPr>
            </w:pPr>
            <w:r w:rsidRPr="00925FBE">
              <w:rPr>
                <w:rFonts w:cs="Open Sans"/>
                <w:szCs w:val="20"/>
              </w:rPr>
              <w:t>Évaluation finale/à mi-parcours/autre</w:t>
            </w:r>
          </w:p>
        </w:tc>
        <w:tc>
          <w:tcPr>
            <w:tcW w:w="5176" w:type="dxa"/>
            <w:gridSpan w:val="2"/>
            <w:vAlign w:val="center"/>
          </w:tcPr>
          <w:p w14:paraId="22AB0451" w14:textId="7F3D31B3" w:rsidR="008614D7" w:rsidRPr="00925FBE" w:rsidRDefault="008614D7" w:rsidP="00337C2B">
            <w:pPr>
              <w:spacing w:before="0" w:after="0"/>
              <w:rPr>
                <w:rFonts w:cs="Open Sans"/>
                <w:szCs w:val="20"/>
              </w:rPr>
            </w:pPr>
            <w:r w:rsidRPr="00925FBE">
              <w:rPr>
                <w:rFonts w:cs="Open Sans"/>
                <w:szCs w:val="20"/>
              </w:rPr>
              <w:t xml:space="preserve">Evaluation finale </w:t>
            </w:r>
          </w:p>
        </w:tc>
      </w:tr>
      <w:tr w:rsidR="00753498" w:rsidRPr="00925FBE" w14:paraId="0B960DCB" w14:textId="77777777" w:rsidTr="00337C2B">
        <w:trPr>
          <w:trHeight w:val="397"/>
        </w:trPr>
        <w:tc>
          <w:tcPr>
            <w:tcW w:w="3963" w:type="dxa"/>
            <w:vAlign w:val="center"/>
          </w:tcPr>
          <w:p w14:paraId="1BC593FA" w14:textId="23ACDB9A" w:rsidR="00753498" w:rsidRPr="00925FBE" w:rsidRDefault="00753498" w:rsidP="00337C2B">
            <w:pPr>
              <w:spacing w:before="0" w:after="0"/>
              <w:rPr>
                <w:rFonts w:cs="Open Sans"/>
                <w:szCs w:val="20"/>
              </w:rPr>
            </w:pPr>
            <w:r w:rsidRPr="00925FBE">
              <w:rPr>
                <w:rStyle w:val="markedcontent"/>
              </w:rPr>
              <w:t>Période couverte par l’évaluation</w:t>
            </w:r>
          </w:p>
        </w:tc>
        <w:tc>
          <w:tcPr>
            <w:tcW w:w="2491" w:type="dxa"/>
            <w:vAlign w:val="center"/>
          </w:tcPr>
          <w:p w14:paraId="05CAA036" w14:textId="5D849CF5" w:rsidR="00753498" w:rsidRPr="00925FBE" w:rsidRDefault="00753498" w:rsidP="00337C2B">
            <w:pPr>
              <w:spacing w:before="0" w:after="0"/>
              <w:rPr>
                <w:rFonts w:cs="Open Sans"/>
                <w:szCs w:val="20"/>
              </w:rPr>
            </w:pPr>
            <w:r w:rsidRPr="00925FBE">
              <w:rPr>
                <w:rStyle w:val="markedcontent"/>
              </w:rPr>
              <w:t>Début ; Décembre 2021</w:t>
            </w:r>
          </w:p>
        </w:tc>
        <w:tc>
          <w:tcPr>
            <w:tcW w:w="2685" w:type="dxa"/>
            <w:vAlign w:val="center"/>
          </w:tcPr>
          <w:p w14:paraId="4970E88C" w14:textId="4442785F" w:rsidR="00753498" w:rsidRPr="00925FBE" w:rsidRDefault="00753498" w:rsidP="00337C2B">
            <w:pPr>
              <w:spacing w:before="0" w:after="0"/>
              <w:rPr>
                <w:rFonts w:cs="Open Sans"/>
                <w:szCs w:val="20"/>
              </w:rPr>
            </w:pPr>
            <w:r w:rsidRPr="00925FBE">
              <w:rPr>
                <w:rStyle w:val="markedcontent"/>
                <w:rFonts w:cs="Open Sans"/>
                <w:szCs w:val="20"/>
              </w:rPr>
              <w:t>Fin : Octobre 2025</w:t>
            </w:r>
          </w:p>
        </w:tc>
      </w:tr>
      <w:tr w:rsidR="004E26E2" w:rsidRPr="0062653C" w14:paraId="4EB8A998" w14:textId="77777777" w:rsidTr="00337C2B">
        <w:trPr>
          <w:trHeight w:val="397"/>
        </w:trPr>
        <w:tc>
          <w:tcPr>
            <w:tcW w:w="3963" w:type="dxa"/>
            <w:vAlign w:val="center"/>
          </w:tcPr>
          <w:p w14:paraId="0196D836" w14:textId="1A9507FA" w:rsidR="004E26E2" w:rsidRPr="00925FBE" w:rsidRDefault="004E26E2" w:rsidP="00337C2B">
            <w:pPr>
              <w:spacing w:before="0" w:after="0"/>
              <w:rPr>
                <w:rFonts w:cs="Open Sans"/>
                <w:szCs w:val="20"/>
              </w:rPr>
            </w:pPr>
            <w:r w:rsidRPr="00925FBE">
              <w:rPr>
                <w:rStyle w:val="markedcontent"/>
                <w:rFonts w:cs="Open Sans"/>
                <w:szCs w:val="20"/>
              </w:rPr>
              <w:t>Evaluat</w:t>
            </w:r>
            <w:r w:rsidR="00753498" w:rsidRPr="00925FBE">
              <w:rPr>
                <w:rStyle w:val="markedcontent"/>
                <w:rFonts w:cs="Open Sans"/>
                <w:szCs w:val="20"/>
              </w:rPr>
              <w:t>eurs</w:t>
            </w:r>
          </w:p>
        </w:tc>
        <w:tc>
          <w:tcPr>
            <w:tcW w:w="5176" w:type="dxa"/>
            <w:gridSpan w:val="2"/>
            <w:vAlign w:val="center"/>
          </w:tcPr>
          <w:p w14:paraId="4652C0E8" w14:textId="77777777" w:rsidR="00753498" w:rsidRPr="00925FBE" w:rsidRDefault="00753498" w:rsidP="00337C2B">
            <w:pPr>
              <w:spacing w:before="0" w:after="0"/>
              <w:rPr>
                <w:rFonts w:cs="Open Sans"/>
                <w:szCs w:val="20"/>
              </w:rPr>
            </w:pPr>
            <w:r w:rsidRPr="00925FBE">
              <w:rPr>
                <w:rFonts w:cs="Open Sans"/>
                <w:szCs w:val="20"/>
              </w:rPr>
              <w:t>M. Mohamed Ben Messaoud, Chef d’équipe</w:t>
            </w:r>
          </w:p>
          <w:p w14:paraId="12F150E2" w14:textId="6FBF54FA" w:rsidR="004E26E2" w:rsidRPr="000F11CE" w:rsidRDefault="00753498" w:rsidP="00337C2B">
            <w:pPr>
              <w:spacing w:before="0" w:after="0"/>
              <w:rPr>
                <w:rFonts w:cs="Open Sans"/>
                <w:szCs w:val="20"/>
                <w:lang w:val="es-ES"/>
              </w:rPr>
            </w:pPr>
            <w:r w:rsidRPr="000F11CE">
              <w:rPr>
                <w:rFonts w:cs="Open Sans"/>
                <w:szCs w:val="20"/>
                <w:lang w:val="es-ES"/>
              </w:rPr>
              <w:t xml:space="preserve">M. Leonidas Ntirampeba, Expert </w:t>
            </w:r>
            <w:proofErr w:type="spellStart"/>
            <w:r w:rsidRPr="000F11CE">
              <w:rPr>
                <w:rFonts w:cs="Open Sans"/>
                <w:szCs w:val="20"/>
                <w:lang w:val="es-ES"/>
              </w:rPr>
              <w:t>National</w:t>
            </w:r>
            <w:proofErr w:type="spellEnd"/>
          </w:p>
        </w:tc>
      </w:tr>
      <w:tr w:rsidR="00753498" w:rsidRPr="00925FBE" w14:paraId="41321527" w14:textId="77777777" w:rsidTr="00337C2B">
        <w:trPr>
          <w:trHeight w:val="397"/>
        </w:trPr>
        <w:tc>
          <w:tcPr>
            <w:tcW w:w="3963" w:type="dxa"/>
            <w:vAlign w:val="center"/>
          </w:tcPr>
          <w:p w14:paraId="1D4F1A1B" w14:textId="77777777" w:rsidR="00753498" w:rsidRPr="00925FBE" w:rsidRDefault="00753498" w:rsidP="00337C2B">
            <w:pPr>
              <w:spacing w:before="0" w:after="0"/>
              <w:rPr>
                <w:rFonts w:cs="Open Sans"/>
                <w:szCs w:val="20"/>
              </w:rPr>
            </w:pPr>
            <w:proofErr w:type="spellStart"/>
            <w:r w:rsidRPr="00925FBE">
              <w:rPr>
                <w:rStyle w:val="markedcontent"/>
                <w:rFonts w:cs="Open Sans"/>
                <w:szCs w:val="20"/>
              </w:rPr>
              <w:t>Evaluator</w:t>
            </w:r>
            <w:proofErr w:type="spellEnd"/>
            <w:r w:rsidRPr="00925FBE">
              <w:rPr>
                <w:rStyle w:val="markedcontent"/>
                <w:rFonts w:cs="Open Sans"/>
                <w:szCs w:val="20"/>
              </w:rPr>
              <w:t xml:space="preserve"> email </w:t>
            </w:r>
            <w:proofErr w:type="spellStart"/>
            <w:r w:rsidRPr="00925FBE">
              <w:rPr>
                <w:rStyle w:val="markedcontent"/>
                <w:rFonts w:cs="Open Sans"/>
                <w:szCs w:val="20"/>
              </w:rPr>
              <w:t>address</w:t>
            </w:r>
            <w:proofErr w:type="spellEnd"/>
          </w:p>
        </w:tc>
        <w:tc>
          <w:tcPr>
            <w:tcW w:w="5176" w:type="dxa"/>
            <w:gridSpan w:val="2"/>
            <w:vAlign w:val="center"/>
          </w:tcPr>
          <w:p w14:paraId="3B1F7757" w14:textId="53E6FCEB" w:rsidR="00753498" w:rsidRPr="00925FBE" w:rsidRDefault="00753498" w:rsidP="00337C2B">
            <w:pPr>
              <w:spacing w:before="0" w:after="0"/>
              <w:rPr>
                <w:rFonts w:cs="Open Sans"/>
                <w:szCs w:val="20"/>
              </w:rPr>
            </w:pPr>
            <w:hyperlink r:id="rId17" w:history="1">
              <w:r w:rsidRPr="00925FBE">
                <w:rPr>
                  <w:rStyle w:val="Hyperlink"/>
                  <w:rFonts w:cs="Open Sans"/>
                  <w:szCs w:val="20"/>
                </w:rPr>
                <w:t>mbm@mbmconsulting.tn</w:t>
              </w:r>
            </w:hyperlink>
            <w:r w:rsidRPr="00925FBE">
              <w:rPr>
                <w:rFonts w:cs="Open Sans"/>
                <w:szCs w:val="20"/>
              </w:rPr>
              <w:t xml:space="preserve"> </w:t>
            </w:r>
          </w:p>
        </w:tc>
      </w:tr>
      <w:tr w:rsidR="00753498" w:rsidRPr="00925FBE" w14:paraId="05D6B604" w14:textId="77777777" w:rsidTr="00337C2B">
        <w:trPr>
          <w:trHeight w:val="397"/>
        </w:trPr>
        <w:tc>
          <w:tcPr>
            <w:tcW w:w="3963" w:type="dxa"/>
            <w:vAlign w:val="center"/>
          </w:tcPr>
          <w:p w14:paraId="39625D1F" w14:textId="30685C20" w:rsidR="00753498" w:rsidRPr="00925FBE" w:rsidRDefault="00753498" w:rsidP="00337C2B">
            <w:pPr>
              <w:spacing w:before="0" w:after="0"/>
              <w:rPr>
                <w:rFonts w:cs="Open Sans"/>
                <w:szCs w:val="20"/>
              </w:rPr>
            </w:pPr>
            <w:r w:rsidRPr="00925FBE">
              <w:rPr>
                <w:rStyle w:val="markedcontent"/>
              </w:rPr>
              <w:t>Dates de l’évaluation</w:t>
            </w:r>
          </w:p>
        </w:tc>
        <w:tc>
          <w:tcPr>
            <w:tcW w:w="2491" w:type="dxa"/>
            <w:vAlign w:val="center"/>
          </w:tcPr>
          <w:p w14:paraId="0D9B53F1" w14:textId="32CED809" w:rsidR="00753498" w:rsidRPr="00925FBE" w:rsidRDefault="00753498" w:rsidP="00337C2B">
            <w:pPr>
              <w:spacing w:before="0" w:after="0"/>
              <w:rPr>
                <w:rFonts w:cs="Open Sans"/>
                <w:szCs w:val="20"/>
              </w:rPr>
            </w:pPr>
            <w:r w:rsidRPr="00925FBE">
              <w:rPr>
                <w:rStyle w:val="markedcontent"/>
              </w:rPr>
              <w:t xml:space="preserve">Début : </w:t>
            </w:r>
            <w:r w:rsidR="00D06FD5" w:rsidRPr="00925FBE">
              <w:rPr>
                <w:rStyle w:val="markedcontent"/>
              </w:rPr>
              <w:t>Août 2025</w:t>
            </w:r>
          </w:p>
        </w:tc>
        <w:tc>
          <w:tcPr>
            <w:tcW w:w="2685" w:type="dxa"/>
            <w:vAlign w:val="center"/>
          </w:tcPr>
          <w:p w14:paraId="1AF00AB0" w14:textId="2A017643" w:rsidR="00753498" w:rsidRPr="00925FBE" w:rsidRDefault="00753498" w:rsidP="00337C2B">
            <w:pPr>
              <w:spacing w:before="0" w:after="0"/>
              <w:rPr>
                <w:rFonts w:cs="Open Sans"/>
                <w:szCs w:val="20"/>
              </w:rPr>
            </w:pPr>
            <w:r w:rsidRPr="00925FBE">
              <w:rPr>
                <w:rStyle w:val="markedcontent"/>
                <w:rFonts w:cs="Open Sans"/>
                <w:szCs w:val="20"/>
              </w:rPr>
              <w:t xml:space="preserve">Fin : </w:t>
            </w:r>
            <w:r w:rsidR="00D06FD5" w:rsidRPr="00925FBE">
              <w:rPr>
                <w:rStyle w:val="markedcontent"/>
                <w:rFonts w:cs="Open Sans"/>
                <w:szCs w:val="20"/>
              </w:rPr>
              <w:t>Décembre 2025</w:t>
            </w:r>
          </w:p>
        </w:tc>
      </w:tr>
    </w:tbl>
    <w:p w14:paraId="6E048727" w14:textId="77777777" w:rsidR="004E26E2" w:rsidRPr="00925FBE" w:rsidRDefault="004E26E2" w:rsidP="00B20C66">
      <w:pPr>
        <w:tabs>
          <w:tab w:val="left" w:pos="9000"/>
        </w:tabs>
        <w:ind w:right="461"/>
        <w:rPr>
          <w:rFonts w:cstheme="minorHAnsi"/>
          <w:sz w:val="22"/>
          <w:szCs w:val="20"/>
        </w:rPr>
      </w:pPr>
    </w:p>
    <w:p w14:paraId="09DE88A7" w14:textId="77777777" w:rsidR="00B20C66" w:rsidRPr="00925FBE" w:rsidRDefault="00B20C66" w:rsidP="005D0703">
      <w:pPr>
        <w:pStyle w:val="FootnoteText"/>
      </w:pPr>
    </w:p>
    <w:p w14:paraId="596F8FE7" w14:textId="77777777" w:rsidR="00A45BEE" w:rsidRDefault="00A45BEE" w:rsidP="005D0703">
      <w:pPr>
        <w:pStyle w:val="FootnoteText"/>
      </w:pPr>
    </w:p>
    <w:p w14:paraId="002EFC99" w14:textId="77777777" w:rsidR="00337C2B" w:rsidRDefault="00337C2B" w:rsidP="005D0703">
      <w:pPr>
        <w:pStyle w:val="FootnoteText"/>
      </w:pPr>
    </w:p>
    <w:p w14:paraId="1A9CC134" w14:textId="77777777" w:rsidR="00337C2B" w:rsidRDefault="00337C2B" w:rsidP="005D0703">
      <w:pPr>
        <w:pStyle w:val="FootnoteText"/>
      </w:pPr>
    </w:p>
    <w:p w14:paraId="1A895A0E" w14:textId="77777777" w:rsidR="00337C2B" w:rsidRDefault="00337C2B" w:rsidP="005D0703">
      <w:pPr>
        <w:pStyle w:val="FootnoteText"/>
      </w:pPr>
    </w:p>
    <w:p w14:paraId="08F3DF5F" w14:textId="77777777" w:rsidR="00337C2B" w:rsidRDefault="00337C2B" w:rsidP="005D0703">
      <w:pPr>
        <w:pStyle w:val="FootnoteText"/>
      </w:pPr>
    </w:p>
    <w:p w14:paraId="67284A5D" w14:textId="77777777" w:rsidR="00337C2B" w:rsidRDefault="00337C2B" w:rsidP="005D0703">
      <w:pPr>
        <w:pStyle w:val="FootnoteText"/>
      </w:pPr>
    </w:p>
    <w:p w14:paraId="66830B0A" w14:textId="77777777" w:rsidR="00337C2B" w:rsidRDefault="00337C2B" w:rsidP="005D0703">
      <w:pPr>
        <w:pStyle w:val="FootnoteText"/>
      </w:pPr>
    </w:p>
    <w:p w14:paraId="01B909B1" w14:textId="77777777" w:rsidR="00337C2B" w:rsidRDefault="00337C2B" w:rsidP="005D0703">
      <w:pPr>
        <w:pStyle w:val="FootnoteText"/>
      </w:pPr>
    </w:p>
    <w:p w14:paraId="79F83101" w14:textId="77777777" w:rsidR="00337C2B" w:rsidRDefault="00337C2B" w:rsidP="005D0703">
      <w:pPr>
        <w:pStyle w:val="FootnoteText"/>
      </w:pPr>
    </w:p>
    <w:p w14:paraId="70C41CFD" w14:textId="77777777" w:rsidR="00337C2B" w:rsidRDefault="00337C2B" w:rsidP="005D0703">
      <w:pPr>
        <w:pStyle w:val="FootnoteText"/>
      </w:pPr>
    </w:p>
    <w:p w14:paraId="42A18051" w14:textId="77777777" w:rsidR="00337C2B" w:rsidRPr="00925FBE" w:rsidRDefault="00337C2B" w:rsidP="005D0703">
      <w:pPr>
        <w:pStyle w:val="FootnoteText"/>
      </w:pPr>
    </w:p>
    <w:p w14:paraId="392D1302" w14:textId="4F5B902B" w:rsidR="00B20C66" w:rsidRPr="00337C2B" w:rsidRDefault="002E7A4D" w:rsidP="005D0703">
      <w:pPr>
        <w:pStyle w:val="FootnoteText"/>
        <w:rPr>
          <w:b/>
          <w:bCs w:val="0"/>
          <w:color w:val="000099"/>
        </w:rPr>
      </w:pPr>
      <w:r w:rsidRPr="00337C2B">
        <w:rPr>
          <w:b/>
          <w:bCs w:val="0"/>
          <w:color w:val="000099"/>
        </w:rPr>
        <w:t xml:space="preserve">Répartition financière </w:t>
      </w:r>
    </w:p>
    <w:p w14:paraId="113F113E" w14:textId="77777777" w:rsidR="00B20C66" w:rsidRPr="00925FBE" w:rsidRDefault="00B20C66" w:rsidP="005D0703">
      <w:pPr>
        <w:pStyle w:val="FootnoteTex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8"/>
        <w:gridCol w:w="3056"/>
        <w:gridCol w:w="3314"/>
      </w:tblGrid>
      <w:tr w:rsidR="00B20C66" w:rsidRPr="00925FBE" w14:paraId="6AACF23B" w14:textId="77777777" w:rsidTr="007662DD">
        <w:tc>
          <w:tcPr>
            <w:tcW w:w="2468" w:type="dxa"/>
            <w:tcBorders>
              <w:right w:val="single" w:sz="4" w:space="0" w:color="FFFFFF" w:themeColor="background1"/>
            </w:tcBorders>
            <w:shd w:val="clear" w:color="auto" w:fill="000099"/>
            <w:vAlign w:val="center"/>
          </w:tcPr>
          <w:p w14:paraId="3B851F03" w14:textId="773FDA2B" w:rsidR="00B20C66" w:rsidRPr="00925FBE" w:rsidRDefault="002E7A4D" w:rsidP="00BB02A5">
            <w:pPr>
              <w:pStyle w:val="FootnoteText"/>
              <w:jc w:val="center"/>
              <w:rPr>
                <w:b/>
                <w:bCs w:val="0"/>
              </w:rPr>
            </w:pPr>
            <w:r w:rsidRPr="00925FBE">
              <w:rPr>
                <w:b/>
                <w:bCs w:val="0"/>
              </w:rPr>
              <w:t>Engagements</w:t>
            </w:r>
          </w:p>
        </w:tc>
        <w:tc>
          <w:tcPr>
            <w:tcW w:w="3056" w:type="dxa"/>
            <w:tcBorders>
              <w:left w:val="single" w:sz="4" w:space="0" w:color="FFFFFF" w:themeColor="background1"/>
              <w:right w:val="single" w:sz="4" w:space="0" w:color="FFFFFF" w:themeColor="background1"/>
            </w:tcBorders>
            <w:shd w:val="clear" w:color="auto" w:fill="000099"/>
            <w:vAlign w:val="center"/>
          </w:tcPr>
          <w:p w14:paraId="7D03855C" w14:textId="1735ED8D" w:rsidR="00B20C66" w:rsidRPr="00925FBE" w:rsidRDefault="002E7A4D" w:rsidP="00BB02A5">
            <w:pPr>
              <w:pStyle w:val="FootnoteText"/>
              <w:jc w:val="center"/>
              <w:rPr>
                <w:b/>
                <w:bCs w:val="0"/>
              </w:rPr>
            </w:pPr>
            <w:r w:rsidRPr="00925FBE">
              <w:rPr>
                <w:b/>
                <w:bCs w:val="0"/>
              </w:rPr>
              <w:t xml:space="preserve">Selon le </w:t>
            </w:r>
            <w:r w:rsidR="007662DD">
              <w:rPr>
                <w:b/>
                <w:bCs w:val="0"/>
              </w:rPr>
              <w:t>document du projet</w:t>
            </w:r>
            <w:r w:rsidR="00B20C66" w:rsidRPr="00925FBE">
              <w:rPr>
                <w:b/>
                <w:bCs w:val="0"/>
              </w:rPr>
              <w:t xml:space="preserve"> (</w:t>
            </w:r>
            <w:r w:rsidRPr="00925FBE">
              <w:rPr>
                <w:b/>
                <w:bCs w:val="0"/>
              </w:rPr>
              <w:t xml:space="preserve">montant en </w:t>
            </w:r>
            <w:r w:rsidR="00B20C66" w:rsidRPr="00925FBE">
              <w:rPr>
                <w:b/>
                <w:bCs w:val="0"/>
              </w:rPr>
              <w:t>USD)</w:t>
            </w:r>
          </w:p>
        </w:tc>
        <w:tc>
          <w:tcPr>
            <w:tcW w:w="3314" w:type="dxa"/>
            <w:tcBorders>
              <w:left w:val="single" w:sz="4" w:space="0" w:color="FFFFFF" w:themeColor="background1"/>
            </w:tcBorders>
            <w:shd w:val="clear" w:color="auto" w:fill="000099"/>
            <w:vAlign w:val="center"/>
          </w:tcPr>
          <w:p w14:paraId="59E32A8F" w14:textId="77777777" w:rsidR="007662DD" w:rsidRDefault="002E7A4D" w:rsidP="00BB02A5">
            <w:pPr>
              <w:pStyle w:val="FootnoteText"/>
              <w:jc w:val="center"/>
              <w:rPr>
                <w:b/>
                <w:bCs w:val="0"/>
              </w:rPr>
            </w:pPr>
            <w:r w:rsidRPr="00925FBE">
              <w:rPr>
                <w:b/>
                <w:bCs w:val="0"/>
              </w:rPr>
              <w:t>B</w:t>
            </w:r>
            <w:r w:rsidR="00B20C66" w:rsidRPr="00925FBE">
              <w:rPr>
                <w:b/>
                <w:bCs w:val="0"/>
              </w:rPr>
              <w:t xml:space="preserve">udget </w:t>
            </w:r>
            <w:r w:rsidRPr="00925FBE">
              <w:rPr>
                <w:b/>
                <w:bCs w:val="0"/>
              </w:rPr>
              <w:t>du projet</w:t>
            </w:r>
          </w:p>
          <w:p w14:paraId="0B20215F" w14:textId="0AE6F8CB" w:rsidR="00B20C66" w:rsidRPr="00925FBE" w:rsidRDefault="002E7A4D" w:rsidP="00BB02A5">
            <w:pPr>
              <w:pStyle w:val="FootnoteText"/>
              <w:jc w:val="center"/>
              <w:rPr>
                <w:b/>
                <w:bCs w:val="0"/>
              </w:rPr>
            </w:pPr>
            <w:r w:rsidRPr="00925FBE">
              <w:rPr>
                <w:b/>
                <w:bCs w:val="0"/>
              </w:rPr>
              <w:t xml:space="preserve"> </w:t>
            </w:r>
            <w:r w:rsidR="00B20C66" w:rsidRPr="00925FBE">
              <w:rPr>
                <w:b/>
                <w:bCs w:val="0"/>
              </w:rPr>
              <w:t>(</w:t>
            </w:r>
            <w:proofErr w:type="gramStart"/>
            <w:r w:rsidRPr="00925FBE">
              <w:rPr>
                <w:b/>
                <w:bCs w:val="0"/>
              </w:rPr>
              <w:t>montant</w:t>
            </w:r>
            <w:proofErr w:type="gramEnd"/>
            <w:r w:rsidR="00B20C66" w:rsidRPr="00925FBE">
              <w:rPr>
                <w:b/>
                <w:bCs w:val="0"/>
              </w:rPr>
              <w:t xml:space="preserve"> USD)</w:t>
            </w:r>
          </w:p>
        </w:tc>
      </w:tr>
      <w:tr w:rsidR="00B20C66" w:rsidRPr="00925FBE" w14:paraId="70F67813" w14:textId="77777777" w:rsidTr="007662DD">
        <w:tc>
          <w:tcPr>
            <w:tcW w:w="2468" w:type="dxa"/>
            <w:vAlign w:val="center"/>
          </w:tcPr>
          <w:p w14:paraId="07D5AE88" w14:textId="3DE8B8FC" w:rsidR="00B20C66" w:rsidRPr="00925FBE" w:rsidRDefault="00B341DE" w:rsidP="005D0703">
            <w:pPr>
              <w:pStyle w:val="FootnoteText"/>
            </w:pPr>
            <w:r w:rsidRPr="00925FBE">
              <w:t>Fonds de consolidation de la Paix (PBF)</w:t>
            </w:r>
          </w:p>
        </w:tc>
        <w:tc>
          <w:tcPr>
            <w:tcW w:w="3056" w:type="dxa"/>
            <w:vAlign w:val="center"/>
          </w:tcPr>
          <w:p w14:paraId="2B955CDE" w14:textId="4F9A84D7" w:rsidR="00B20C66" w:rsidRPr="00925FBE" w:rsidRDefault="00B341DE" w:rsidP="00573898">
            <w:pPr>
              <w:pStyle w:val="FootnoteText"/>
              <w:jc w:val="center"/>
            </w:pPr>
            <w:r w:rsidRPr="00925FBE">
              <w:t>3 millions</w:t>
            </w:r>
          </w:p>
        </w:tc>
        <w:tc>
          <w:tcPr>
            <w:tcW w:w="3314" w:type="dxa"/>
            <w:vAlign w:val="center"/>
          </w:tcPr>
          <w:p w14:paraId="1C1872BD" w14:textId="61F2ADAE" w:rsidR="00B20C66" w:rsidRPr="00925FBE" w:rsidRDefault="00B341DE" w:rsidP="00573898">
            <w:pPr>
              <w:pStyle w:val="FootnoteText"/>
              <w:jc w:val="center"/>
            </w:pPr>
            <w:r w:rsidRPr="00925FBE">
              <w:t>3 millions</w:t>
            </w:r>
          </w:p>
        </w:tc>
      </w:tr>
    </w:tbl>
    <w:p w14:paraId="083C6F0A" w14:textId="77777777" w:rsidR="00B20C66" w:rsidRPr="00925FBE" w:rsidRDefault="00B20C66" w:rsidP="005D0703">
      <w:pPr>
        <w:pStyle w:val="FootnoteText"/>
      </w:pPr>
    </w:p>
    <w:p w14:paraId="10DE0A85" w14:textId="77777777" w:rsidR="00337C2B" w:rsidRDefault="00337C2B" w:rsidP="005D0703">
      <w:pPr>
        <w:pStyle w:val="FootnoteText"/>
        <w:rPr>
          <w:b/>
          <w:bCs w:val="0"/>
        </w:rPr>
      </w:pPr>
    </w:p>
    <w:p w14:paraId="117C7747" w14:textId="06B6A0C9" w:rsidR="00B20C66" w:rsidRPr="00337C2B" w:rsidRDefault="001076A8" w:rsidP="005D0703">
      <w:pPr>
        <w:pStyle w:val="FootnoteText"/>
        <w:rPr>
          <w:b/>
          <w:bCs w:val="0"/>
          <w:color w:val="000099"/>
        </w:rPr>
      </w:pPr>
      <w:r w:rsidRPr="00337C2B">
        <w:rPr>
          <w:b/>
          <w:bCs w:val="0"/>
          <w:color w:val="000099"/>
        </w:rPr>
        <w:t>Décaissements à ce jour</w:t>
      </w:r>
      <w:r w:rsidR="00B20C66" w:rsidRPr="00337C2B">
        <w:rPr>
          <w:b/>
          <w:bCs w:val="0"/>
          <w:color w:val="000099"/>
        </w:rPr>
        <w:t xml:space="preserve"> </w:t>
      </w:r>
    </w:p>
    <w:p w14:paraId="6EF88B73" w14:textId="77777777" w:rsidR="00B20C66" w:rsidRPr="00925FBE" w:rsidRDefault="00B20C66" w:rsidP="005D0703">
      <w:pPr>
        <w:pStyle w:val="FootnoteText"/>
      </w:pPr>
    </w:p>
    <w:tbl>
      <w:tblPr>
        <w:tblW w:w="8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57"/>
        <w:gridCol w:w="1417"/>
        <w:gridCol w:w="1417"/>
        <w:gridCol w:w="1417"/>
        <w:gridCol w:w="1417"/>
        <w:gridCol w:w="1417"/>
      </w:tblGrid>
      <w:tr w:rsidR="00337C2B" w:rsidRPr="00925FBE" w14:paraId="72CB42F8" w14:textId="77777777" w:rsidTr="003E5769">
        <w:trPr>
          <w:trHeight w:val="454"/>
        </w:trPr>
        <w:tc>
          <w:tcPr>
            <w:tcW w:w="1757" w:type="dxa"/>
            <w:tcBorders>
              <w:right w:val="single" w:sz="4" w:space="0" w:color="FFFFFF" w:themeColor="background1"/>
            </w:tcBorders>
            <w:shd w:val="clear" w:color="auto" w:fill="000099"/>
            <w:vAlign w:val="center"/>
          </w:tcPr>
          <w:p w14:paraId="500A9E82" w14:textId="6D27C269" w:rsidR="00337C2B" w:rsidRPr="00925FBE" w:rsidRDefault="00337C2B" w:rsidP="00373815">
            <w:pPr>
              <w:pStyle w:val="FootnoteText"/>
              <w:jc w:val="center"/>
              <w:rPr>
                <w:b/>
                <w:bCs w:val="0"/>
              </w:rPr>
            </w:pPr>
            <w:r w:rsidRPr="00925FBE">
              <w:rPr>
                <w:b/>
                <w:bCs w:val="0"/>
              </w:rPr>
              <w:t>Bailleur</w:t>
            </w:r>
          </w:p>
        </w:tc>
        <w:tc>
          <w:tcPr>
            <w:tcW w:w="1417" w:type="dxa"/>
            <w:tcBorders>
              <w:left w:val="single" w:sz="4" w:space="0" w:color="FFFFFF" w:themeColor="background1"/>
              <w:right w:val="single" w:sz="4" w:space="0" w:color="FFFFFF" w:themeColor="background1"/>
            </w:tcBorders>
            <w:shd w:val="clear" w:color="auto" w:fill="000099"/>
            <w:vAlign w:val="center"/>
          </w:tcPr>
          <w:p w14:paraId="520F5C5E" w14:textId="108171BB" w:rsidR="00337C2B" w:rsidRPr="00925FBE" w:rsidRDefault="00337C2B" w:rsidP="00373815">
            <w:pPr>
              <w:pStyle w:val="FootnoteText"/>
              <w:jc w:val="center"/>
              <w:rPr>
                <w:b/>
                <w:bCs w:val="0"/>
              </w:rPr>
            </w:pPr>
            <w:r w:rsidRPr="00925FBE">
              <w:rPr>
                <w:b/>
                <w:bCs w:val="0"/>
              </w:rPr>
              <w:t>2022</w:t>
            </w:r>
          </w:p>
        </w:tc>
        <w:tc>
          <w:tcPr>
            <w:tcW w:w="1417" w:type="dxa"/>
            <w:tcBorders>
              <w:left w:val="single" w:sz="4" w:space="0" w:color="FFFFFF" w:themeColor="background1"/>
              <w:right w:val="single" w:sz="4" w:space="0" w:color="FFFFFF" w:themeColor="background1"/>
            </w:tcBorders>
            <w:shd w:val="clear" w:color="auto" w:fill="000099"/>
            <w:vAlign w:val="center"/>
          </w:tcPr>
          <w:p w14:paraId="32575758" w14:textId="316D1C68" w:rsidR="00337C2B" w:rsidRPr="00925FBE" w:rsidRDefault="00337C2B" w:rsidP="00373815">
            <w:pPr>
              <w:pStyle w:val="FootnoteText"/>
              <w:jc w:val="center"/>
              <w:rPr>
                <w:b/>
                <w:bCs w:val="0"/>
              </w:rPr>
            </w:pPr>
            <w:r w:rsidRPr="00925FBE">
              <w:rPr>
                <w:b/>
                <w:bCs w:val="0"/>
              </w:rPr>
              <w:t>2023</w:t>
            </w:r>
          </w:p>
        </w:tc>
        <w:tc>
          <w:tcPr>
            <w:tcW w:w="1417" w:type="dxa"/>
            <w:tcBorders>
              <w:left w:val="single" w:sz="4" w:space="0" w:color="FFFFFF" w:themeColor="background1"/>
              <w:right w:val="single" w:sz="4" w:space="0" w:color="FFFFFF" w:themeColor="background1"/>
            </w:tcBorders>
            <w:shd w:val="clear" w:color="auto" w:fill="000099"/>
            <w:vAlign w:val="center"/>
          </w:tcPr>
          <w:p w14:paraId="5BBE9299" w14:textId="7C0DA0B6" w:rsidR="00337C2B" w:rsidRPr="00925FBE" w:rsidRDefault="00337C2B" w:rsidP="00373815">
            <w:pPr>
              <w:pStyle w:val="FootnoteText"/>
              <w:jc w:val="center"/>
              <w:rPr>
                <w:b/>
                <w:bCs w:val="0"/>
              </w:rPr>
            </w:pPr>
            <w:r w:rsidRPr="00925FBE">
              <w:rPr>
                <w:b/>
                <w:bCs w:val="0"/>
              </w:rPr>
              <w:t>2024</w:t>
            </w:r>
          </w:p>
        </w:tc>
        <w:tc>
          <w:tcPr>
            <w:tcW w:w="1417" w:type="dxa"/>
            <w:tcBorders>
              <w:left w:val="single" w:sz="4" w:space="0" w:color="FFFFFF" w:themeColor="background1"/>
              <w:right w:val="single" w:sz="4" w:space="0" w:color="FFFFFF" w:themeColor="background1"/>
            </w:tcBorders>
            <w:shd w:val="clear" w:color="auto" w:fill="000099"/>
            <w:vAlign w:val="center"/>
          </w:tcPr>
          <w:p w14:paraId="13EB86A0" w14:textId="603C092B" w:rsidR="00337C2B" w:rsidRPr="00925FBE" w:rsidRDefault="00337C2B" w:rsidP="00373815">
            <w:pPr>
              <w:pStyle w:val="FootnoteText"/>
              <w:jc w:val="center"/>
              <w:rPr>
                <w:b/>
                <w:bCs w:val="0"/>
              </w:rPr>
            </w:pPr>
            <w:r w:rsidRPr="00925FBE">
              <w:rPr>
                <w:b/>
                <w:bCs w:val="0"/>
              </w:rPr>
              <w:t>Nov. 2025</w:t>
            </w:r>
          </w:p>
        </w:tc>
        <w:tc>
          <w:tcPr>
            <w:tcW w:w="1417" w:type="dxa"/>
            <w:tcBorders>
              <w:left w:val="single" w:sz="4" w:space="0" w:color="FFFFFF" w:themeColor="background1"/>
            </w:tcBorders>
            <w:shd w:val="clear" w:color="auto" w:fill="000099"/>
            <w:vAlign w:val="center"/>
          </w:tcPr>
          <w:p w14:paraId="390AEA4C" w14:textId="217801D8" w:rsidR="00337C2B" w:rsidRPr="00925FBE" w:rsidRDefault="00337C2B" w:rsidP="00373815">
            <w:pPr>
              <w:pStyle w:val="FootnoteText"/>
              <w:jc w:val="center"/>
              <w:rPr>
                <w:b/>
                <w:bCs w:val="0"/>
              </w:rPr>
            </w:pPr>
            <w:r w:rsidRPr="00925FBE">
              <w:rPr>
                <w:b/>
                <w:bCs w:val="0"/>
              </w:rPr>
              <w:t>Total</w:t>
            </w:r>
          </w:p>
        </w:tc>
      </w:tr>
      <w:tr w:rsidR="00337C2B" w:rsidRPr="00925FBE" w14:paraId="3898B8A7" w14:textId="77777777" w:rsidTr="003E5769">
        <w:trPr>
          <w:trHeight w:val="397"/>
        </w:trPr>
        <w:tc>
          <w:tcPr>
            <w:tcW w:w="1757" w:type="dxa"/>
            <w:vAlign w:val="center"/>
          </w:tcPr>
          <w:p w14:paraId="7AD50A5E" w14:textId="380C6A6C" w:rsidR="00337C2B" w:rsidRPr="00925FBE" w:rsidRDefault="00337C2B" w:rsidP="00F07182">
            <w:pPr>
              <w:pStyle w:val="FootnoteText"/>
            </w:pPr>
            <w:r w:rsidRPr="00925FBE">
              <w:t>PBF</w:t>
            </w:r>
            <w:r w:rsidR="00373815">
              <w:t xml:space="preserve"> </w:t>
            </w:r>
          </w:p>
        </w:tc>
        <w:tc>
          <w:tcPr>
            <w:tcW w:w="1417" w:type="dxa"/>
            <w:vAlign w:val="center"/>
          </w:tcPr>
          <w:p w14:paraId="2885EA53" w14:textId="3DE798AA" w:rsidR="00337C2B" w:rsidRPr="00925FBE" w:rsidRDefault="00952B53" w:rsidP="006E7B2C">
            <w:pPr>
              <w:pStyle w:val="FootnoteText"/>
              <w:jc w:val="center"/>
            </w:pPr>
            <w:r>
              <w:t>1,0</w:t>
            </w:r>
          </w:p>
        </w:tc>
        <w:tc>
          <w:tcPr>
            <w:tcW w:w="1417" w:type="dxa"/>
            <w:vAlign w:val="center"/>
          </w:tcPr>
          <w:p w14:paraId="347B34B1" w14:textId="77777777" w:rsidR="00337C2B" w:rsidRPr="00925FBE" w:rsidRDefault="00337C2B" w:rsidP="006E7B2C">
            <w:pPr>
              <w:pStyle w:val="FootnoteText"/>
              <w:jc w:val="center"/>
            </w:pPr>
          </w:p>
        </w:tc>
        <w:tc>
          <w:tcPr>
            <w:tcW w:w="1417" w:type="dxa"/>
            <w:vAlign w:val="center"/>
          </w:tcPr>
          <w:p w14:paraId="75A1292A" w14:textId="7B781BB8" w:rsidR="00337C2B" w:rsidRPr="00925FBE" w:rsidRDefault="005B7E69" w:rsidP="006E7B2C">
            <w:pPr>
              <w:pStyle w:val="FootnoteText"/>
              <w:jc w:val="center"/>
            </w:pPr>
            <w:r>
              <w:t>2,</w:t>
            </w:r>
            <w:r w:rsidR="002A6C5D">
              <w:t>0</w:t>
            </w:r>
          </w:p>
        </w:tc>
        <w:tc>
          <w:tcPr>
            <w:tcW w:w="1417" w:type="dxa"/>
            <w:vAlign w:val="center"/>
          </w:tcPr>
          <w:p w14:paraId="6A100854" w14:textId="77777777" w:rsidR="00337C2B" w:rsidRPr="00925FBE" w:rsidRDefault="00337C2B" w:rsidP="006E7B2C">
            <w:pPr>
              <w:pStyle w:val="FootnoteText"/>
              <w:jc w:val="center"/>
            </w:pPr>
          </w:p>
        </w:tc>
        <w:tc>
          <w:tcPr>
            <w:tcW w:w="1417" w:type="dxa"/>
            <w:vAlign w:val="center"/>
          </w:tcPr>
          <w:p w14:paraId="42B5194F" w14:textId="41B1C816" w:rsidR="00337C2B" w:rsidRPr="00925FBE" w:rsidRDefault="002A6C5D" w:rsidP="006E7B2C">
            <w:pPr>
              <w:pStyle w:val="FootnoteText"/>
              <w:jc w:val="center"/>
            </w:pPr>
            <w:r>
              <w:t>3,0</w:t>
            </w:r>
          </w:p>
        </w:tc>
      </w:tr>
    </w:tbl>
    <w:p w14:paraId="143E8724" w14:textId="77777777" w:rsidR="00B20C66" w:rsidRPr="00925FBE" w:rsidRDefault="00B20C66" w:rsidP="005D0703">
      <w:pPr>
        <w:pStyle w:val="FootnoteText"/>
      </w:pPr>
    </w:p>
    <w:p w14:paraId="4B789B39" w14:textId="77777777" w:rsidR="00B20C66" w:rsidRPr="00925FBE" w:rsidRDefault="00B20C66" w:rsidP="005D0703">
      <w:pPr>
        <w:pStyle w:val="FootnoteText"/>
      </w:pPr>
    </w:p>
    <w:p w14:paraId="6CE7C527" w14:textId="6EB2DB8A" w:rsidR="00B20C66" w:rsidRPr="00373815" w:rsidRDefault="00F07182" w:rsidP="005D0703">
      <w:pPr>
        <w:pStyle w:val="FootnoteText"/>
        <w:rPr>
          <w:b/>
          <w:bCs w:val="0"/>
          <w:color w:val="000099"/>
        </w:rPr>
      </w:pPr>
      <w:r w:rsidRPr="00373815">
        <w:rPr>
          <w:b/>
          <w:bCs w:val="0"/>
          <w:color w:val="000099"/>
        </w:rPr>
        <w:t>Contexte du projet</w:t>
      </w:r>
    </w:p>
    <w:p w14:paraId="12835525" w14:textId="77777777" w:rsidR="00B20C66" w:rsidRPr="00925FBE" w:rsidRDefault="00B20C66" w:rsidP="005D0703">
      <w:pPr>
        <w:pStyle w:val="FootnoteTex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5299"/>
      </w:tblGrid>
      <w:tr w:rsidR="00B20C66" w:rsidRPr="00925FBE" w14:paraId="1E27559A" w14:textId="77777777" w:rsidTr="006B10E2">
        <w:trPr>
          <w:trHeight w:val="397"/>
        </w:trPr>
        <w:tc>
          <w:tcPr>
            <w:tcW w:w="3539" w:type="dxa"/>
            <w:vAlign w:val="center"/>
          </w:tcPr>
          <w:p w14:paraId="5366162D" w14:textId="6629BA02" w:rsidR="00B20C66" w:rsidRPr="00925FBE" w:rsidRDefault="001258B6" w:rsidP="006B10E2">
            <w:pPr>
              <w:pStyle w:val="FootnoteText"/>
            </w:pPr>
            <w:r w:rsidRPr="00925FBE">
              <w:t>Autres projets de l’U</w:t>
            </w:r>
            <w:r w:rsidR="006B10E2" w:rsidRPr="00925FBE">
              <w:t>N</w:t>
            </w:r>
            <w:r w:rsidRPr="00925FBE">
              <w:t>CDF au pays</w:t>
            </w:r>
          </w:p>
        </w:tc>
        <w:tc>
          <w:tcPr>
            <w:tcW w:w="5299" w:type="dxa"/>
            <w:vAlign w:val="center"/>
          </w:tcPr>
          <w:p w14:paraId="0E6D9CDC" w14:textId="46FBE015" w:rsidR="00B20C66" w:rsidRPr="00925FBE" w:rsidRDefault="00F4223E" w:rsidP="006B10E2">
            <w:pPr>
              <w:pStyle w:val="FootnoteText"/>
            </w:pPr>
            <w:r w:rsidRPr="00925FBE">
              <w:t>Aucun</w:t>
            </w:r>
          </w:p>
        </w:tc>
      </w:tr>
      <w:tr w:rsidR="00B20C66" w:rsidRPr="00925FBE" w14:paraId="2B241BBA" w14:textId="77777777" w:rsidTr="006B10E2">
        <w:trPr>
          <w:trHeight w:val="397"/>
        </w:trPr>
        <w:tc>
          <w:tcPr>
            <w:tcW w:w="3539" w:type="dxa"/>
            <w:vAlign w:val="center"/>
          </w:tcPr>
          <w:p w14:paraId="660BB8D4" w14:textId="233B789B" w:rsidR="00B20C66" w:rsidRPr="00925FBE" w:rsidRDefault="001258B6" w:rsidP="006B10E2">
            <w:pPr>
              <w:pStyle w:val="FootnoteText"/>
            </w:pPr>
            <w:r w:rsidRPr="00925FBE">
              <w:t xml:space="preserve">Projets UNCDF antérieurs </w:t>
            </w:r>
          </w:p>
        </w:tc>
        <w:tc>
          <w:tcPr>
            <w:tcW w:w="5299" w:type="dxa"/>
            <w:vAlign w:val="center"/>
          </w:tcPr>
          <w:p w14:paraId="6ABE8C95" w14:textId="129E05CC" w:rsidR="00B20C66" w:rsidRPr="00925FBE" w:rsidRDefault="00F4223E" w:rsidP="006B10E2">
            <w:pPr>
              <w:pStyle w:val="FootnoteText"/>
            </w:pPr>
            <w:r w:rsidRPr="00925FBE">
              <w:t>Aucun</w:t>
            </w:r>
          </w:p>
        </w:tc>
      </w:tr>
      <w:tr w:rsidR="00B20C66" w:rsidRPr="00925FBE" w14:paraId="3AB96D80" w14:textId="77777777" w:rsidTr="006B10E2">
        <w:trPr>
          <w:trHeight w:val="397"/>
        </w:trPr>
        <w:tc>
          <w:tcPr>
            <w:tcW w:w="3539" w:type="dxa"/>
            <w:vAlign w:val="center"/>
          </w:tcPr>
          <w:p w14:paraId="2348821E" w14:textId="3FAEA614" w:rsidR="00B20C66" w:rsidRPr="00925FBE" w:rsidRDefault="001258B6" w:rsidP="006B10E2">
            <w:pPr>
              <w:pStyle w:val="FootnoteText"/>
            </w:pPr>
            <w:r w:rsidRPr="00925FBE">
              <w:t xml:space="preserve">Évaluations antérieures </w:t>
            </w:r>
          </w:p>
        </w:tc>
        <w:tc>
          <w:tcPr>
            <w:tcW w:w="5299" w:type="dxa"/>
            <w:vAlign w:val="center"/>
          </w:tcPr>
          <w:p w14:paraId="2FB480AE" w14:textId="65EF9DE7" w:rsidR="00B20C66" w:rsidRPr="00925FBE" w:rsidRDefault="00F4223E" w:rsidP="006B10E2">
            <w:pPr>
              <w:pStyle w:val="FootnoteText"/>
            </w:pPr>
            <w:r w:rsidRPr="00925FBE">
              <w:t xml:space="preserve">Aucune </w:t>
            </w:r>
          </w:p>
        </w:tc>
      </w:tr>
      <w:tr w:rsidR="00B20C66" w:rsidRPr="00925FBE" w14:paraId="6A7F6625" w14:textId="77777777" w:rsidTr="006B10E2">
        <w:trPr>
          <w:trHeight w:val="397"/>
        </w:trPr>
        <w:tc>
          <w:tcPr>
            <w:tcW w:w="3539" w:type="dxa"/>
            <w:vAlign w:val="center"/>
          </w:tcPr>
          <w:p w14:paraId="76AA9C9E" w14:textId="3F4CC620" w:rsidR="00B20C66" w:rsidRPr="00925FBE" w:rsidRDefault="00B20C66" w:rsidP="006B10E2">
            <w:pPr>
              <w:pStyle w:val="FootnoteText"/>
            </w:pPr>
            <w:r w:rsidRPr="00925FBE">
              <w:t>Dates</w:t>
            </w:r>
            <w:r w:rsidR="001258B6" w:rsidRPr="00925FBE">
              <w:t xml:space="preserve"> des audits</w:t>
            </w:r>
          </w:p>
        </w:tc>
        <w:tc>
          <w:tcPr>
            <w:tcW w:w="5299" w:type="dxa"/>
            <w:vAlign w:val="center"/>
          </w:tcPr>
          <w:p w14:paraId="0A47406E" w14:textId="77777777" w:rsidR="00B20C66" w:rsidRPr="00925FBE" w:rsidRDefault="00B20C66" w:rsidP="006B10E2">
            <w:pPr>
              <w:pStyle w:val="FootnoteText"/>
            </w:pPr>
          </w:p>
        </w:tc>
      </w:tr>
    </w:tbl>
    <w:p w14:paraId="764CE370" w14:textId="77777777" w:rsidR="004562FC" w:rsidRPr="00925FBE" w:rsidRDefault="004562FC" w:rsidP="00BE29A7">
      <w:pPr>
        <w:jc w:val="both"/>
        <w:rPr>
          <w:rFonts w:cs="Open Sans"/>
          <w:sz w:val="15"/>
          <w:szCs w:val="18"/>
        </w:rPr>
        <w:sectPr w:rsidR="004562FC" w:rsidRPr="00925FBE" w:rsidSect="00D347EC">
          <w:pgSz w:w="11906" w:h="16838" w:code="9"/>
          <w:pgMar w:top="1440" w:right="1440" w:bottom="1440" w:left="1440" w:header="720" w:footer="720" w:gutter="0"/>
          <w:cols w:space="720"/>
          <w:docGrid w:linePitch="360"/>
        </w:sectPr>
      </w:pPr>
    </w:p>
    <w:sdt>
      <w:sdtPr>
        <w:rPr>
          <w:rFonts w:ascii="Open Sans" w:eastAsiaTheme="minorHAnsi" w:hAnsi="Open Sans" w:cstheme="minorBidi"/>
          <w:b w:val="0"/>
          <w:bCs w:val="0"/>
          <w:color w:val="auto"/>
          <w:kern w:val="0"/>
          <w:sz w:val="22"/>
          <w:szCs w:val="22"/>
          <w14:cntxtAlts w14:val="0"/>
        </w:rPr>
        <w:id w:val="-1736465022"/>
        <w:docPartObj>
          <w:docPartGallery w:val="Table of Contents"/>
          <w:docPartUnique/>
        </w:docPartObj>
      </w:sdtPr>
      <w:sdtEndPr>
        <w:rPr>
          <w:sz w:val="20"/>
        </w:rPr>
      </w:sdtEndPr>
      <w:sdtContent>
        <w:p w14:paraId="651EDD65" w14:textId="77777777" w:rsidR="0062653C" w:rsidRDefault="00F4223E" w:rsidP="0062653C">
          <w:pPr>
            <w:pStyle w:val="TOCHeading"/>
            <w:spacing w:before="0" w:after="0"/>
            <w:ind w:left="720"/>
            <w:jc w:val="center"/>
            <w:rPr>
              <w:noProof/>
            </w:rPr>
          </w:pPr>
          <w:r w:rsidRPr="00925FBE">
            <w:rPr>
              <w:rStyle w:val="Heading1Char"/>
              <w:rFonts w:ascii="Open Sans" w:hAnsi="Open Sans"/>
              <w:b/>
            </w:rPr>
            <w:t xml:space="preserve">Sommaire </w:t>
          </w:r>
          <w:r w:rsidR="00224046" w:rsidRPr="00925FBE">
            <w:rPr>
              <w:rFonts w:ascii="Open Sans" w:hAnsi="Open Sans"/>
              <w:color w:val="0074AC"/>
            </w:rPr>
            <w:fldChar w:fldCharType="begin"/>
          </w:r>
          <w:r w:rsidR="00224046" w:rsidRPr="00925FBE">
            <w:rPr>
              <w:rFonts w:ascii="Open Sans" w:hAnsi="Open Sans"/>
            </w:rPr>
            <w:instrText xml:space="preserve"> TOC \o "1-3" \h \z \u </w:instrText>
          </w:r>
          <w:r w:rsidR="00224046" w:rsidRPr="00925FBE">
            <w:rPr>
              <w:rFonts w:ascii="Open Sans" w:hAnsi="Open Sans"/>
              <w:color w:val="0074AC"/>
            </w:rPr>
            <w:fldChar w:fldCharType="separate"/>
          </w:r>
        </w:p>
        <w:p w14:paraId="6C204C0C" w14:textId="00F107FC" w:rsidR="0062653C" w:rsidRDefault="0062653C" w:rsidP="0062653C">
          <w:pPr>
            <w:pStyle w:val="TOC1"/>
            <w:rPr>
              <w:rFonts w:cstheme="minorBidi"/>
              <w:color w:val="auto"/>
              <w:kern w:val="2"/>
              <w:sz w:val="24"/>
              <w:szCs w:val="24"/>
              <w:lang w:eastAsia="fr-FR"/>
              <w14:ligatures w14:val="standardContextual"/>
            </w:rPr>
          </w:pPr>
          <w:hyperlink w:anchor="_Toc216948951" w:history="1">
            <w:r w:rsidRPr="00A020E8">
              <w:rPr>
                <w:rStyle w:val="Hyperlink"/>
                <w:rFonts w:ascii="Open Sans" w:hAnsi="Open Sans"/>
              </w:rPr>
              <w:t>Personnel clé de l’évaluation</w:t>
            </w:r>
            <w:r>
              <w:rPr>
                <w:webHidden/>
              </w:rPr>
              <w:tab/>
            </w:r>
            <w:r>
              <w:rPr>
                <w:webHidden/>
              </w:rPr>
              <w:fldChar w:fldCharType="begin"/>
            </w:r>
            <w:r>
              <w:rPr>
                <w:webHidden/>
              </w:rPr>
              <w:instrText xml:space="preserve"> PAGEREF _Toc216948951 \h </w:instrText>
            </w:r>
            <w:r>
              <w:rPr>
                <w:webHidden/>
              </w:rPr>
            </w:r>
            <w:r>
              <w:rPr>
                <w:webHidden/>
              </w:rPr>
              <w:fldChar w:fldCharType="separate"/>
            </w:r>
            <w:r w:rsidR="00803130">
              <w:rPr>
                <w:webHidden/>
              </w:rPr>
              <w:t>2</w:t>
            </w:r>
            <w:r>
              <w:rPr>
                <w:webHidden/>
              </w:rPr>
              <w:fldChar w:fldCharType="end"/>
            </w:r>
          </w:hyperlink>
        </w:p>
        <w:p w14:paraId="2E1258D4" w14:textId="50DC9C1D" w:rsidR="0062653C" w:rsidRDefault="0062653C" w:rsidP="0062653C">
          <w:pPr>
            <w:pStyle w:val="TOC2"/>
            <w:spacing w:before="0" w:after="0"/>
            <w:rPr>
              <w:rFonts w:asciiTheme="minorHAnsi" w:hAnsiTheme="minorHAnsi" w:cstheme="minorBidi"/>
              <w:noProof/>
              <w:kern w:val="2"/>
              <w:sz w:val="24"/>
              <w:szCs w:val="24"/>
              <w:lang w:eastAsia="fr-FR"/>
              <w14:ligatures w14:val="standardContextual"/>
            </w:rPr>
          </w:pPr>
          <w:hyperlink w:anchor="_Toc216948952" w:history="1">
            <w:r w:rsidRPr="00A020E8">
              <w:rPr>
                <w:rStyle w:val="Hyperlink"/>
                <w:noProof/>
              </w:rPr>
              <w:t>Equipe d’évaluation</w:t>
            </w:r>
            <w:r>
              <w:rPr>
                <w:noProof/>
                <w:webHidden/>
              </w:rPr>
              <w:tab/>
            </w:r>
            <w:r>
              <w:rPr>
                <w:noProof/>
                <w:webHidden/>
              </w:rPr>
              <w:fldChar w:fldCharType="begin"/>
            </w:r>
            <w:r>
              <w:rPr>
                <w:noProof/>
                <w:webHidden/>
              </w:rPr>
              <w:instrText xml:space="preserve"> PAGEREF _Toc216948952 \h </w:instrText>
            </w:r>
            <w:r>
              <w:rPr>
                <w:noProof/>
                <w:webHidden/>
              </w:rPr>
            </w:r>
            <w:r>
              <w:rPr>
                <w:noProof/>
                <w:webHidden/>
              </w:rPr>
              <w:fldChar w:fldCharType="separate"/>
            </w:r>
            <w:r w:rsidR="00803130">
              <w:rPr>
                <w:noProof/>
                <w:webHidden/>
              </w:rPr>
              <w:t>2</w:t>
            </w:r>
            <w:r>
              <w:rPr>
                <w:noProof/>
                <w:webHidden/>
              </w:rPr>
              <w:fldChar w:fldCharType="end"/>
            </w:r>
          </w:hyperlink>
        </w:p>
        <w:p w14:paraId="10E68939" w14:textId="40FA5A16" w:rsidR="0062653C" w:rsidRDefault="0062653C" w:rsidP="0062653C">
          <w:pPr>
            <w:pStyle w:val="TOC2"/>
            <w:spacing w:before="0" w:after="0"/>
            <w:rPr>
              <w:rFonts w:asciiTheme="minorHAnsi" w:hAnsiTheme="minorHAnsi" w:cstheme="minorBidi"/>
              <w:noProof/>
              <w:kern w:val="2"/>
              <w:sz w:val="24"/>
              <w:szCs w:val="24"/>
              <w:lang w:eastAsia="fr-FR"/>
              <w14:ligatures w14:val="standardContextual"/>
            </w:rPr>
          </w:pPr>
          <w:hyperlink w:anchor="_Toc216948953" w:history="1">
            <w:r w:rsidRPr="00A020E8">
              <w:rPr>
                <w:rStyle w:val="Hyperlink"/>
                <w:noProof/>
              </w:rPr>
              <w:t>Unité d’évaluation de l’UNCDF</w:t>
            </w:r>
            <w:r>
              <w:rPr>
                <w:noProof/>
                <w:webHidden/>
              </w:rPr>
              <w:tab/>
            </w:r>
            <w:r>
              <w:rPr>
                <w:noProof/>
                <w:webHidden/>
              </w:rPr>
              <w:fldChar w:fldCharType="begin"/>
            </w:r>
            <w:r>
              <w:rPr>
                <w:noProof/>
                <w:webHidden/>
              </w:rPr>
              <w:instrText xml:space="preserve"> PAGEREF _Toc216948953 \h </w:instrText>
            </w:r>
            <w:r>
              <w:rPr>
                <w:noProof/>
                <w:webHidden/>
              </w:rPr>
            </w:r>
            <w:r>
              <w:rPr>
                <w:noProof/>
                <w:webHidden/>
              </w:rPr>
              <w:fldChar w:fldCharType="separate"/>
            </w:r>
            <w:r w:rsidR="00803130">
              <w:rPr>
                <w:noProof/>
                <w:webHidden/>
              </w:rPr>
              <w:t>2</w:t>
            </w:r>
            <w:r>
              <w:rPr>
                <w:noProof/>
                <w:webHidden/>
              </w:rPr>
              <w:fldChar w:fldCharType="end"/>
            </w:r>
          </w:hyperlink>
        </w:p>
        <w:p w14:paraId="772AF8C4" w14:textId="54B0365E" w:rsidR="0062653C" w:rsidRDefault="0062653C" w:rsidP="00D34CEC">
          <w:pPr>
            <w:pStyle w:val="TOC1"/>
            <w:spacing w:before="0"/>
            <w:rPr>
              <w:rFonts w:cstheme="minorBidi"/>
              <w:color w:val="auto"/>
              <w:kern w:val="2"/>
              <w:sz w:val="24"/>
              <w:szCs w:val="24"/>
              <w:lang w:eastAsia="fr-FR"/>
              <w14:ligatures w14:val="standardContextual"/>
            </w:rPr>
          </w:pPr>
          <w:hyperlink w:anchor="_Toc216948954" w:history="1">
            <w:r w:rsidRPr="00A020E8">
              <w:rPr>
                <w:rStyle w:val="Hyperlink"/>
                <w:rFonts w:ascii="Open Sans" w:hAnsi="Open Sans"/>
              </w:rPr>
              <w:t>Remerciements</w:t>
            </w:r>
            <w:r>
              <w:rPr>
                <w:webHidden/>
              </w:rPr>
              <w:tab/>
            </w:r>
            <w:r>
              <w:rPr>
                <w:webHidden/>
              </w:rPr>
              <w:fldChar w:fldCharType="begin"/>
            </w:r>
            <w:r>
              <w:rPr>
                <w:webHidden/>
              </w:rPr>
              <w:instrText xml:space="preserve"> PAGEREF _Toc216948954 \h </w:instrText>
            </w:r>
            <w:r>
              <w:rPr>
                <w:webHidden/>
              </w:rPr>
            </w:r>
            <w:r>
              <w:rPr>
                <w:webHidden/>
              </w:rPr>
              <w:fldChar w:fldCharType="separate"/>
            </w:r>
            <w:r w:rsidR="00803130">
              <w:rPr>
                <w:webHidden/>
              </w:rPr>
              <w:t>3</w:t>
            </w:r>
            <w:r>
              <w:rPr>
                <w:webHidden/>
              </w:rPr>
              <w:fldChar w:fldCharType="end"/>
            </w:r>
          </w:hyperlink>
        </w:p>
        <w:p w14:paraId="469665B9" w14:textId="5714ED65" w:rsidR="0062653C" w:rsidRDefault="0062653C" w:rsidP="00D34CEC">
          <w:pPr>
            <w:pStyle w:val="TOC1"/>
            <w:spacing w:before="0"/>
            <w:rPr>
              <w:rFonts w:cstheme="minorBidi"/>
              <w:color w:val="auto"/>
              <w:kern w:val="2"/>
              <w:sz w:val="24"/>
              <w:szCs w:val="24"/>
              <w:lang w:eastAsia="fr-FR"/>
              <w14:ligatures w14:val="standardContextual"/>
            </w:rPr>
          </w:pPr>
          <w:hyperlink w:anchor="_Toc216948955" w:history="1">
            <w:r w:rsidRPr="00A020E8">
              <w:rPr>
                <w:rStyle w:val="Hyperlink"/>
                <w:rFonts w:ascii="Open Sans" w:hAnsi="Open Sans"/>
              </w:rPr>
              <w:t>Clause de non-responsabilité</w:t>
            </w:r>
            <w:r>
              <w:rPr>
                <w:webHidden/>
              </w:rPr>
              <w:tab/>
            </w:r>
            <w:r>
              <w:rPr>
                <w:webHidden/>
              </w:rPr>
              <w:fldChar w:fldCharType="begin"/>
            </w:r>
            <w:r>
              <w:rPr>
                <w:webHidden/>
              </w:rPr>
              <w:instrText xml:space="preserve"> PAGEREF _Toc216948955 \h </w:instrText>
            </w:r>
            <w:r>
              <w:rPr>
                <w:webHidden/>
              </w:rPr>
            </w:r>
            <w:r>
              <w:rPr>
                <w:webHidden/>
              </w:rPr>
              <w:fldChar w:fldCharType="separate"/>
            </w:r>
            <w:r w:rsidR="00803130">
              <w:rPr>
                <w:webHidden/>
              </w:rPr>
              <w:t>3</w:t>
            </w:r>
            <w:r>
              <w:rPr>
                <w:webHidden/>
              </w:rPr>
              <w:fldChar w:fldCharType="end"/>
            </w:r>
          </w:hyperlink>
        </w:p>
        <w:p w14:paraId="12C9410D" w14:textId="43A196FB" w:rsidR="0062653C" w:rsidRDefault="0062653C" w:rsidP="00D34CEC">
          <w:pPr>
            <w:pStyle w:val="TOC1"/>
            <w:spacing w:before="0"/>
            <w:rPr>
              <w:rFonts w:cstheme="minorBidi"/>
              <w:color w:val="auto"/>
              <w:kern w:val="2"/>
              <w:sz w:val="24"/>
              <w:szCs w:val="24"/>
              <w:lang w:eastAsia="fr-FR"/>
              <w14:ligatures w14:val="standardContextual"/>
            </w:rPr>
          </w:pPr>
          <w:hyperlink w:anchor="_Toc216948956" w:history="1">
            <w:r w:rsidRPr="00A020E8">
              <w:rPr>
                <w:rStyle w:val="Hyperlink"/>
                <w:rFonts w:ascii="Open Sans" w:hAnsi="Open Sans"/>
              </w:rPr>
              <w:t>Fiche des donnés du projet</w:t>
            </w:r>
            <w:r>
              <w:rPr>
                <w:webHidden/>
              </w:rPr>
              <w:tab/>
            </w:r>
            <w:r>
              <w:rPr>
                <w:webHidden/>
              </w:rPr>
              <w:fldChar w:fldCharType="begin"/>
            </w:r>
            <w:r>
              <w:rPr>
                <w:webHidden/>
              </w:rPr>
              <w:instrText xml:space="preserve"> PAGEREF _Toc216948956 \h </w:instrText>
            </w:r>
            <w:r>
              <w:rPr>
                <w:webHidden/>
              </w:rPr>
            </w:r>
            <w:r>
              <w:rPr>
                <w:webHidden/>
              </w:rPr>
              <w:fldChar w:fldCharType="separate"/>
            </w:r>
            <w:r w:rsidR="00803130">
              <w:rPr>
                <w:webHidden/>
              </w:rPr>
              <w:t>4</w:t>
            </w:r>
            <w:r>
              <w:rPr>
                <w:webHidden/>
              </w:rPr>
              <w:fldChar w:fldCharType="end"/>
            </w:r>
          </w:hyperlink>
        </w:p>
        <w:p w14:paraId="4DD15734" w14:textId="489E64E1" w:rsidR="0062653C" w:rsidRDefault="0062653C" w:rsidP="00D34CEC">
          <w:pPr>
            <w:pStyle w:val="TOC1"/>
            <w:spacing w:before="0"/>
            <w:rPr>
              <w:rFonts w:cstheme="minorBidi"/>
              <w:color w:val="auto"/>
              <w:kern w:val="2"/>
              <w:sz w:val="24"/>
              <w:szCs w:val="24"/>
              <w:lang w:eastAsia="fr-FR"/>
              <w14:ligatures w14:val="standardContextual"/>
            </w:rPr>
          </w:pPr>
          <w:hyperlink w:anchor="_Toc216948957" w:history="1">
            <w:r w:rsidRPr="00A020E8">
              <w:rPr>
                <w:rStyle w:val="Hyperlink"/>
                <w:rFonts w:ascii="Open Sans" w:hAnsi="Open Sans"/>
              </w:rPr>
              <w:t>Liste des tableaux</w:t>
            </w:r>
            <w:r>
              <w:rPr>
                <w:webHidden/>
              </w:rPr>
              <w:tab/>
            </w:r>
            <w:r>
              <w:rPr>
                <w:webHidden/>
              </w:rPr>
              <w:fldChar w:fldCharType="begin"/>
            </w:r>
            <w:r>
              <w:rPr>
                <w:webHidden/>
              </w:rPr>
              <w:instrText xml:space="preserve"> PAGEREF _Toc216948957 \h </w:instrText>
            </w:r>
            <w:r>
              <w:rPr>
                <w:webHidden/>
              </w:rPr>
            </w:r>
            <w:r>
              <w:rPr>
                <w:webHidden/>
              </w:rPr>
              <w:fldChar w:fldCharType="separate"/>
            </w:r>
            <w:r w:rsidR="00803130">
              <w:rPr>
                <w:webHidden/>
              </w:rPr>
              <w:t>ii</w:t>
            </w:r>
            <w:r>
              <w:rPr>
                <w:webHidden/>
              </w:rPr>
              <w:fldChar w:fldCharType="end"/>
            </w:r>
          </w:hyperlink>
        </w:p>
        <w:p w14:paraId="730B4AAB" w14:textId="74A491DB" w:rsidR="0062653C" w:rsidRDefault="0062653C" w:rsidP="00D34CEC">
          <w:pPr>
            <w:pStyle w:val="TOC1"/>
            <w:spacing w:before="0"/>
            <w:rPr>
              <w:rFonts w:cstheme="minorBidi"/>
              <w:color w:val="auto"/>
              <w:kern w:val="2"/>
              <w:sz w:val="24"/>
              <w:szCs w:val="24"/>
              <w:lang w:eastAsia="fr-FR"/>
              <w14:ligatures w14:val="standardContextual"/>
            </w:rPr>
          </w:pPr>
          <w:hyperlink w:anchor="_Toc216948958" w:history="1">
            <w:r w:rsidRPr="00A020E8">
              <w:rPr>
                <w:rStyle w:val="Hyperlink"/>
                <w:rFonts w:ascii="Open Sans" w:hAnsi="Open Sans"/>
              </w:rPr>
              <w:t>Acronymes</w:t>
            </w:r>
            <w:r>
              <w:rPr>
                <w:webHidden/>
              </w:rPr>
              <w:tab/>
            </w:r>
            <w:r>
              <w:rPr>
                <w:webHidden/>
              </w:rPr>
              <w:fldChar w:fldCharType="begin"/>
            </w:r>
            <w:r>
              <w:rPr>
                <w:webHidden/>
              </w:rPr>
              <w:instrText xml:space="preserve"> PAGEREF _Toc216948958 \h </w:instrText>
            </w:r>
            <w:r>
              <w:rPr>
                <w:webHidden/>
              </w:rPr>
            </w:r>
            <w:r>
              <w:rPr>
                <w:webHidden/>
              </w:rPr>
              <w:fldChar w:fldCharType="separate"/>
            </w:r>
            <w:r w:rsidR="00803130">
              <w:rPr>
                <w:webHidden/>
              </w:rPr>
              <w:t>i</w:t>
            </w:r>
            <w:r>
              <w:rPr>
                <w:webHidden/>
              </w:rPr>
              <w:fldChar w:fldCharType="end"/>
            </w:r>
          </w:hyperlink>
        </w:p>
        <w:p w14:paraId="133C67BA" w14:textId="0C14C536" w:rsidR="0062653C" w:rsidRDefault="0062653C" w:rsidP="00D34CEC">
          <w:pPr>
            <w:pStyle w:val="TOC1"/>
            <w:spacing w:before="0"/>
            <w:rPr>
              <w:rFonts w:cstheme="minorBidi"/>
              <w:color w:val="auto"/>
              <w:kern w:val="2"/>
              <w:sz w:val="24"/>
              <w:szCs w:val="24"/>
              <w:lang w:eastAsia="fr-FR"/>
              <w14:ligatures w14:val="standardContextual"/>
            </w:rPr>
          </w:pPr>
          <w:hyperlink w:anchor="_Toc216948959" w:history="1">
            <w:r w:rsidRPr="00A020E8">
              <w:rPr>
                <w:rStyle w:val="Hyperlink"/>
                <w:rFonts w:ascii="Open Sans" w:hAnsi="Open Sans"/>
              </w:rPr>
              <w:t>Résumé exécutif</w:t>
            </w:r>
            <w:r>
              <w:rPr>
                <w:webHidden/>
              </w:rPr>
              <w:tab/>
            </w:r>
            <w:r>
              <w:rPr>
                <w:webHidden/>
              </w:rPr>
              <w:fldChar w:fldCharType="begin"/>
            </w:r>
            <w:r>
              <w:rPr>
                <w:webHidden/>
              </w:rPr>
              <w:instrText xml:space="preserve"> PAGEREF _Toc216948959 \h </w:instrText>
            </w:r>
            <w:r>
              <w:rPr>
                <w:webHidden/>
              </w:rPr>
            </w:r>
            <w:r>
              <w:rPr>
                <w:webHidden/>
              </w:rPr>
              <w:fldChar w:fldCharType="separate"/>
            </w:r>
            <w:r w:rsidR="00803130">
              <w:rPr>
                <w:webHidden/>
              </w:rPr>
              <w:t>iii</w:t>
            </w:r>
            <w:r>
              <w:rPr>
                <w:webHidden/>
              </w:rPr>
              <w:fldChar w:fldCharType="end"/>
            </w:r>
          </w:hyperlink>
        </w:p>
        <w:p w14:paraId="0F6409BD" w14:textId="52DF0924" w:rsidR="0062653C" w:rsidRDefault="0062653C" w:rsidP="0062653C">
          <w:pPr>
            <w:pStyle w:val="TOC1"/>
            <w:rPr>
              <w:rFonts w:cstheme="minorBidi"/>
              <w:color w:val="auto"/>
              <w:kern w:val="2"/>
              <w:sz w:val="24"/>
              <w:szCs w:val="24"/>
              <w:lang w:eastAsia="fr-FR"/>
              <w14:ligatures w14:val="standardContextual"/>
            </w:rPr>
          </w:pPr>
          <w:hyperlink w:anchor="_Toc216948960" w:history="1">
            <w:r w:rsidRPr="00A020E8">
              <w:rPr>
                <w:rStyle w:val="Hyperlink"/>
                <w:rFonts w:ascii="Open Sans" w:hAnsi="Open Sans"/>
              </w:rPr>
              <w:t>1.</w:t>
            </w:r>
            <w:r>
              <w:rPr>
                <w:rFonts w:cstheme="minorBidi"/>
                <w:color w:val="auto"/>
                <w:kern w:val="2"/>
                <w:sz w:val="24"/>
                <w:szCs w:val="24"/>
                <w:lang w:eastAsia="fr-FR"/>
                <w14:ligatures w14:val="standardContextual"/>
              </w:rPr>
              <w:tab/>
            </w:r>
            <w:r w:rsidRPr="00A020E8">
              <w:rPr>
                <w:rStyle w:val="Hyperlink"/>
                <w:rFonts w:ascii="Open Sans" w:hAnsi="Open Sans"/>
              </w:rPr>
              <w:t>Portée et objectifs de l’évaluation</w:t>
            </w:r>
            <w:r>
              <w:rPr>
                <w:webHidden/>
              </w:rPr>
              <w:tab/>
            </w:r>
            <w:r>
              <w:rPr>
                <w:webHidden/>
              </w:rPr>
              <w:fldChar w:fldCharType="begin"/>
            </w:r>
            <w:r>
              <w:rPr>
                <w:webHidden/>
              </w:rPr>
              <w:instrText xml:space="preserve"> PAGEREF _Toc216948960 \h </w:instrText>
            </w:r>
            <w:r>
              <w:rPr>
                <w:webHidden/>
              </w:rPr>
            </w:r>
            <w:r>
              <w:rPr>
                <w:webHidden/>
              </w:rPr>
              <w:fldChar w:fldCharType="separate"/>
            </w:r>
            <w:r w:rsidR="00803130">
              <w:rPr>
                <w:webHidden/>
              </w:rPr>
              <w:t>1</w:t>
            </w:r>
            <w:r>
              <w:rPr>
                <w:webHidden/>
              </w:rPr>
              <w:fldChar w:fldCharType="end"/>
            </w:r>
          </w:hyperlink>
        </w:p>
        <w:p w14:paraId="0BD64FDC" w14:textId="1B065AAC" w:rsidR="0062653C" w:rsidRDefault="0062653C" w:rsidP="0062653C">
          <w:pPr>
            <w:pStyle w:val="TOC2"/>
            <w:spacing w:before="0" w:after="0"/>
            <w:rPr>
              <w:rFonts w:asciiTheme="minorHAnsi" w:hAnsiTheme="minorHAnsi" w:cstheme="minorBidi"/>
              <w:noProof/>
              <w:kern w:val="2"/>
              <w:sz w:val="24"/>
              <w:szCs w:val="24"/>
              <w:lang w:eastAsia="fr-FR"/>
              <w14:ligatures w14:val="standardContextual"/>
            </w:rPr>
          </w:pPr>
          <w:hyperlink w:anchor="_Toc216948961" w:history="1">
            <w:r w:rsidRPr="00A020E8">
              <w:rPr>
                <w:rStyle w:val="Hyperlink"/>
                <w:noProof/>
              </w:rPr>
              <w:t>1.1 Introduction</w:t>
            </w:r>
            <w:r>
              <w:rPr>
                <w:noProof/>
                <w:webHidden/>
              </w:rPr>
              <w:tab/>
            </w:r>
            <w:r>
              <w:rPr>
                <w:noProof/>
                <w:webHidden/>
              </w:rPr>
              <w:fldChar w:fldCharType="begin"/>
            </w:r>
            <w:r>
              <w:rPr>
                <w:noProof/>
                <w:webHidden/>
              </w:rPr>
              <w:instrText xml:space="preserve"> PAGEREF _Toc216948961 \h </w:instrText>
            </w:r>
            <w:r>
              <w:rPr>
                <w:noProof/>
                <w:webHidden/>
              </w:rPr>
            </w:r>
            <w:r>
              <w:rPr>
                <w:noProof/>
                <w:webHidden/>
              </w:rPr>
              <w:fldChar w:fldCharType="separate"/>
            </w:r>
            <w:r w:rsidR="00803130">
              <w:rPr>
                <w:noProof/>
                <w:webHidden/>
              </w:rPr>
              <w:t>1</w:t>
            </w:r>
            <w:r>
              <w:rPr>
                <w:noProof/>
                <w:webHidden/>
              </w:rPr>
              <w:fldChar w:fldCharType="end"/>
            </w:r>
          </w:hyperlink>
        </w:p>
        <w:p w14:paraId="37C2673D" w14:textId="3C3CF1CA" w:rsidR="0062653C" w:rsidRDefault="0062653C" w:rsidP="0062653C">
          <w:pPr>
            <w:pStyle w:val="TOC2"/>
            <w:spacing w:before="0" w:after="0"/>
            <w:rPr>
              <w:rFonts w:asciiTheme="minorHAnsi" w:hAnsiTheme="minorHAnsi" w:cstheme="minorBidi"/>
              <w:noProof/>
              <w:kern w:val="2"/>
              <w:sz w:val="24"/>
              <w:szCs w:val="24"/>
              <w:lang w:eastAsia="fr-FR"/>
              <w14:ligatures w14:val="standardContextual"/>
            </w:rPr>
          </w:pPr>
          <w:hyperlink w:anchor="_Toc216948962" w:history="1">
            <w:r w:rsidRPr="00A020E8">
              <w:rPr>
                <w:rStyle w:val="Hyperlink"/>
                <w:noProof/>
              </w:rPr>
              <w:t>1.2 Objectifs et portée de l’évaluation</w:t>
            </w:r>
            <w:r>
              <w:rPr>
                <w:noProof/>
                <w:webHidden/>
              </w:rPr>
              <w:tab/>
            </w:r>
            <w:r>
              <w:rPr>
                <w:noProof/>
                <w:webHidden/>
              </w:rPr>
              <w:fldChar w:fldCharType="begin"/>
            </w:r>
            <w:r>
              <w:rPr>
                <w:noProof/>
                <w:webHidden/>
              </w:rPr>
              <w:instrText xml:space="preserve"> PAGEREF _Toc216948962 \h </w:instrText>
            </w:r>
            <w:r>
              <w:rPr>
                <w:noProof/>
                <w:webHidden/>
              </w:rPr>
            </w:r>
            <w:r>
              <w:rPr>
                <w:noProof/>
                <w:webHidden/>
              </w:rPr>
              <w:fldChar w:fldCharType="separate"/>
            </w:r>
            <w:r w:rsidR="00803130">
              <w:rPr>
                <w:noProof/>
                <w:webHidden/>
              </w:rPr>
              <w:t>1</w:t>
            </w:r>
            <w:r>
              <w:rPr>
                <w:noProof/>
                <w:webHidden/>
              </w:rPr>
              <w:fldChar w:fldCharType="end"/>
            </w:r>
          </w:hyperlink>
        </w:p>
        <w:p w14:paraId="37FF7178" w14:textId="79B83185" w:rsidR="0062653C" w:rsidRDefault="0062653C" w:rsidP="0062653C">
          <w:pPr>
            <w:pStyle w:val="TOC1"/>
            <w:rPr>
              <w:rFonts w:cstheme="minorBidi"/>
              <w:color w:val="auto"/>
              <w:kern w:val="2"/>
              <w:sz w:val="24"/>
              <w:szCs w:val="24"/>
              <w:lang w:eastAsia="fr-FR"/>
              <w14:ligatures w14:val="standardContextual"/>
            </w:rPr>
          </w:pPr>
          <w:hyperlink w:anchor="_Toc216948963" w:history="1">
            <w:r w:rsidRPr="00A020E8">
              <w:rPr>
                <w:rStyle w:val="Hyperlink"/>
                <w:rFonts w:ascii="Open Sans" w:hAnsi="Open Sans"/>
              </w:rPr>
              <w:t>2.</w:t>
            </w:r>
            <w:r>
              <w:rPr>
                <w:rFonts w:cstheme="minorBidi"/>
                <w:color w:val="auto"/>
                <w:kern w:val="2"/>
                <w:sz w:val="24"/>
                <w:szCs w:val="24"/>
                <w:lang w:eastAsia="fr-FR"/>
                <w14:ligatures w14:val="standardContextual"/>
              </w:rPr>
              <w:tab/>
            </w:r>
            <w:r w:rsidRPr="00A020E8">
              <w:rPr>
                <w:rStyle w:val="Hyperlink"/>
                <w:rFonts w:ascii="Open Sans" w:hAnsi="Open Sans"/>
              </w:rPr>
              <w:t>Profil du projet</w:t>
            </w:r>
            <w:r>
              <w:rPr>
                <w:webHidden/>
              </w:rPr>
              <w:tab/>
            </w:r>
            <w:r>
              <w:rPr>
                <w:webHidden/>
              </w:rPr>
              <w:fldChar w:fldCharType="begin"/>
            </w:r>
            <w:r>
              <w:rPr>
                <w:webHidden/>
              </w:rPr>
              <w:instrText xml:space="preserve"> PAGEREF _Toc216948963 \h </w:instrText>
            </w:r>
            <w:r>
              <w:rPr>
                <w:webHidden/>
              </w:rPr>
            </w:r>
            <w:r>
              <w:rPr>
                <w:webHidden/>
              </w:rPr>
              <w:fldChar w:fldCharType="separate"/>
            </w:r>
            <w:r w:rsidR="00803130">
              <w:rPr>
                <w:webHidden/>
              </w:rPr>
              <w:t>3</w:t>
            </w:r>
            <w:r>
              <w:rPr>
                <w:webHidden/>
              </w:rPr>
              <w:fldChar w:fldCharType="end"/>
            </w:r>
          </w:hyperlink>
        </w:p>
        <w:p w14:paraId="5DB0C80E" w14:textId="77E8BB9B" w:rsidR="0062653C" w:rsidRDefault="0062653C" w:rsidP="0062653C">
          <w:pPr>
            <w:pStyle w:val="TOC2"/>
            <w:spacing w:before="0" w:after="0"/>
            <w:rPr>
              <w:rFonts w:asciiTheme="minorHAnsi" w:hAnsiTheme="minorHAnsi" w:cstheme="minorBidi"/>
              <w:noProof/>
              <w:kern w:val="2"/>
              <w:sz w:val="24"/>
              <w:szCs w:val="24"/>
              <w:lang w:eastAsia="fr-FR"/>
              <w14:ligatures w14:val="standardContextual"/>
            </w:rPr>
          </w:pPr>
          <w:hyperlink w:anchor="_Toc216948964" w:history="1">
            <w:r w:rsidRPr="00A020E8">
              <w:rPr>
                <w:rStyle w:val="Hyperlink"/>
                <w:noProof/>
              </w:rPr>
              <w:t>2.2 Environnement politique, institutionnel et de financement</w:t>
            </w:r>
            <w:r>
              <w:rPr>
                <w:noProof/>
                <w:webHidden/>
              </w:rPr>
              <w:tab/>
            </w:r>
            <w:r>
              <w:rPr>
                <w:noProof/>
                <w:webHidden/>
              </w:rPr>
              <w:fldChar w:fldCharType="begin"/>
            </w:r>
            <w:r>
              <w:rPr>
                <w:noProof/>
                <w:webHidden/>
              </w:rPr>
              <w:instrText xml:space="preserve"> PAGEREF _Toc216948964 \h </w:instrText>
            </w:r>
            <w:r>
              <w:rPr>
                <w:noProof/>
                <w:webHidden/>
              </w:rPr>
            </w:r>
            <w:r>
              <w:rPr>
                <w:noProof/>
                <w:webHidden/>
              </w:rPr>
              <w:fldChar w:fldCharType="separate"/>
            </w:r>
            <w:r w:rsidR="00803130">
              <w:rPr>
                <w:noProof/>
                <w:webHidden/>
              </w:rPr>
              <w:t>6</w:t>
            </w:r>
            <w:r>
              <w:rPr>
                <w:noProof/>
                <w:webHidden/>
              </w:rPr>
              <w:fldChar w:fldCharType="end"/>
            </w:r>
          </w:hyperlink>
        </w:p>
        <w:p w14:paraId="61F7BB84" w14:textId="556FEFBF" w:rsidR="0062653C" w:rsidRDefault="0062653C" w:rsidP="0062653C">
          <w:pPr>
            <w:pStyle w:val="TOC2"/>
            <w:spacing w:before="0" w:after="0"/>
            <w:rPr>
              <w:rFonts w:asciiTheme="minorHAnsi" w:hAnsiTheme="minorHAnsi" w:cstheme="minorBidi"/>
              <w:noProof/>
              <w:kern w:val="2"/>
              <w:sz w:val="24"/>
              <w:szCs w:val="24"/>
              <w:lang w:eastAsia="fr-FR"/>
              <w14:ligatures w14:val="standardContextual"/>
            </w:rPr>
          </w:pPr>
          <w:hyperlink w:anchor="_Toc216948965" w:history="1">
            <w:r w:rsidRPr="00A020E8">
              <w:rPr>
                <w:rStyle w:val="Hyperlink"/>
                <w:noProof/>
              </w:rPr>
              <w:t>2.3. Bilan final des réalisations</w:t>
            </w:r>
            <w:r>
              <w:rPr>
                <w:noProof/>
                <w:webHidden/>
              </w:rPr>
              <w:tab/>
            </w:r>
            <w:r>
              <w:rPr>
                <w:noProof/>
                <w:webHidden/>
              </w:rPr>
              <w:fldChar w:fldCharType="begin"/>
            </w:r>
            <w:r>
              <w:rPr>
                <w:noProof/>
                <w:webHidden/>
              </w:rPr>
              <w:instrText xml:space="preserve"> PAGEREF _Toc216948965 \h </w:instrText>
            </w:r>
            <w:r>
              <w:rPr>
                <w:noProof/>
                <w:webHidden/>
              </w:rPr>
            </w:r>
            <w:r>
              <w:rPr>
                <w:noProof/>
                <w:webHidden/>
              </w:rPr>
              <w:fldChar w:fldCharType="separate"/>
            </w:r>
            <w:r w:rsidR="00803130">
              <w:rPr>
                <w:noProof/>
                <w:webHidden/>
              </w:rPr>
              <w:t>7</w:t>
            </w:r>
            <w:r>
              <w:rPr>
                <w:noProof/>
                <w:webHidden/>
              </w:rPr>
              <w:fldChar w:fldCharType="end"/>
            </w:r>
          </w:hyperlink>
        </w:p>
        <w:p w14:paraId="77E1AF82" w14:textId="2B553487" w:rsidR="0062653C" w:rsidRDefault="0062653C" w:rsidP="0062653C">
          <w:pPr>
            <w:pStyle w:val="TOC2"/>
            <w:spacing w:before="0" w:after="0"/>
            <w:rPr>
              <w:rFonts w:asciiTheme="minorHAnsi" w:hAnsiTheme="minorHAnsi" w:cstheme="minorBidi"/>
              <w:noProof/>
              <w:kern w:val="2"/>
              <w:sz w:val="24"/>
              <w:szCs w:val="24"/>
              <w:lang w:eastAsia="fr-FR"/>
              <w14:ligatures w14:val="standardContextual"/>
            </w:rPr>
          </w:pPr>
          <w:hyperlink w:anchor="_Toc216948966" w:history="1">
            <w:r w:rsidRPr="00A020E8">
              <w:rPr>
                <w:rStyle w:val="Hyperlink"/>
                <w:noProof/>
              </w:rPr>
              <w:t>2.4. Situation financière</w:t>
            </w:r>
            <w:r>
              <w:rPr>
                <w:noProof/>
                <w:webHidden/>
              </w:rPr>
              <w:tab/>
            </w:r>
            <w:r>
              <w:rPr>
                <w:noProof/>
                <w:webHidden/>
              </w:rPr>
              <w:fldChar w:fldCharType="begin"/>
            </w:r>
            <w:r>
              <w:rPr>
                <w:noProof/>
                <w:webHidden/>
              </w:rPr>
              <w:instrText xml:space="preserve"> PAGEREF _Toc216948966 \h </w:instrText>
            </w:r>
            <w:r>
              <w:rPr>
                <w:noProof/>
                <w:webHidden/>
              </w:rPr>
            </w:r>
            <w:r>
              <w:rPr>
                <w:noProof/>
                <w:webHidden/>
              </w:rPr>
              <w:fldChar w:fldCharType="separate"/>
            </w:r>
            <w:r w:rsidR="00803130">
              <w:rPr>
                <w:noProof/>
                <w:webHidden/>
              </w:rPr>
              <w:t>9</w:t>
            </w:r>
            <w:r>
              <w:rPr>
                <w:noProof/>
                <w:webHidden/>
              </w:rPr>
              <w:fldChar w:fldCharType="end"/>
            </w:r>
          </w:hyperlink>
        </w:p>
        <w:p w14:paraId="28171865" w14:textId="1597C8C1" w:rsidR="0062653C" w:rsidRDefault="0062653C" w:rsidP="0062653C">
          <w:pPr>
            <w:pStyle w:val="TOC1"/>
            <w:rPr>
              <w:rFonts w:cstheme="minorBidi"/>
              <w:color w:val="auto"/>
              <w:kern w:val="2"/>
              <w:sz w:val="24"/>
              <w:szCs w:val="24"/>
              <w:lang w:eastAsia="fr-FR"/>
              <w14:ligatures w14:val="standardContextual"/>
            </w:rPr>
          </w:pPr>
          <w:hyperlink w:anchor="_Toc216948967" w:history="1">
            <w:r w:rsidRPr="00A020E8">
              <w:rPr>
                <w:rStyle w:val="Hyperlink"/>
                <w:rFonts w:ascii="Open Sans" w:hAnsi="Open Sans"/>
                <w:lang w:val="en-US"/>
              </w:rPr>
              <w:t>3.</w:t>
            </w:r>
            <w:r>
              <w:rPr>
                <w:rFonts w:cstheme="minorBidi"/>
                <w:color w:val="auto"/>
                <w:kern w:val="2"/>
                <w:sz w:val="24"/>
                <w:szCs w:val="24"/>
                <w:lang w:eastAsia="fr-FR"/>
                <w14:ligatures w14:val="standardContextual"/>
              </w:rPr>
              <w:tab/>
            </w:r>
            <w:r w:rsidRPr="00A020E8">
              <w:rPr>
                <w:rStyle w:val="Hyperlink"/>
                <w:rFonts w:ascii="Open Sans" w:hAnsi="Open Sans"/>
                <w:lang w:val="en-US"/>
              </w:rPr>
              <w:t>Approche et méthodologie d’évaluation</w:t>
            </w:r>
            <w:r>
              <w:rPr>
                <w:webHidden/>
              </w:rPr>
              <w:tab/>
            </w:r>
            <w:r>
              <w:rPr>
                <w:webHidden/>
              </w:rPr>
              <w:fldChar w:fldCharType="begin"/>
            </w:r>
            <w:r>
              <w:rPr>
                <w:webHidden/>
              </w:rPr>
              <w:instrText xml:space="preserve"> PAGEREF _Toc216948967 \h </w:instrText>
            </w:r>
            <w:r>
              <w:rPr>
                <w:webHidden/>
              </w:rPr>
            </w:r>
            <w:r>
              <w:rPr>
                <w:webHidden/>
              </w:rPr>
              <w:fldChar w:fldCharType="separate"/>
            </w:r>
            <w:r w:rsidR="00803130">
              <w:rPr>
                <w:webHidden/>
              </w:rPr>
              <w:t>10</w:t>
            </w:r>
            <w:r>
              <w:rPr>
                <w:webHidden/>
              </w:rPr>
              <w:fldChar w:fldCharType="end"/>
            </w:r>
          </w:hyperlink>
        </w:p>
        <w:p w14:paraId="190FB26F" w14:textId="63E3A42D" w:rsidR="0062653C" w:rsidRDefault="0062653C" w:rsidP="0062653C">
          <w:pPr>
            <w:pStyle w:val="TOC2"/>
            <w:spacing w:before="0" w:after="0"/>
            <w:rPr>
              <w:rFonts w:asciiTheme="minorHAnsi" w:hAnsiTheme="minorHAnsi" w:cstheme="minorBidi"/>
              <w:noProof/>
              <w:kern w:val="2"/>
              <w:sz w:val="24"/>
              <w:szCs w:val="24"/>
              <w:lang w:eastAsia="fr-FR"/>
              <w14:ligatures w14:val="standardContextual"/>
            </w:rPr>
          </w:pPr>
          <w:hyperlink w:anchor="_Toc216948968" w:history="1">
            <w:r w:rsidRPr="00A020E8">
              <w:rPr>
                <w:rStyle w:val="Hyperlink"/>
                <w:noProof/>
              </w:rPr>
              <w:t>3.1 Cadre méthodologique et approche évaluative</w:t>
            </w:r>
            <w:r>
              <w:rPr>
                <w:noProof/>
                <w:webHidden/>
              </w:rPr>
              <w:tab/>
            </w:r>
            <w:r>
              <w:rPr>
                <w:noProof/>
                <w:webHidden/>
              </w:rPr>
              <w:fldChar w:fldCharType="begin"/>
            </w:r>
            <w:r>
              <w:rPr>
                <w:noProof/>
                <w:webHidden/>
              </w:rPr>
              <w:instrText xml:space="preserve"> PAGEREF _Toc216948968 \h </w:instrText>
            </w:r>
            <w:r>
              <w:rPr>
                <w:noProof/>
                <w:webHidden/>
              </w:rPr>
            </w:r>
            <w:r>
              <w:rPr>
                <w:noProof/>
                <w:webHidden/>
              </w:rPr>
              <w:fldChar w:fldCharType="separate"/>
            </w:r>
            <w:r w:rsidR="00803130">
              <w:rPr>
                <w:noProof/>
                <w:webHidden/>
              </w:rPr>
              <w:t>10</w:t>
            </w:r>
            <w:r>
              <w:rPr>
                <w:noProof/>
                <w:webHidden/>
              </w:rPr>
              <w:fldChar w:fldCharType="end"/>
            </w:r>
          </w:hyperlink>
        </w:p>
        <w:p w14:paraId="0A3D1AB4" w14:textId="38F5C109" w:rsidR="0062653C" w:rsidRDefault="0062653C" w:rsidP="0062653C">
          <w:pPr>
            <w:pStyle w:val="TOC2"/>
            <w:spacing w:before="0" w:after="0"/>
            <w:rPr>
              <w:rFonts w:asciiTheme="minorHAnsi" w:hAnsiTheme="minorHAnsi" w:cstheme="minorBidi"/>
              <w:noProof/>
              <w:kern w:val="2"/>
              <w:sz w:val="24"/>
              <w:szCs w:val="24"/>
              <w:lang w:eastAsia="fr-FR"/>
              <w14:ligatures w14:val="standardContextual"/>
            </w:rPr>
          </w:pPr>
          <w:hyperlink w:anchor="_Toc216948969" w:history="1">
            <w:r w:rsidRPr="00A020E8">
              <w:rPr>
                <w:rStyle w:val="Hyperlink"/>
                <w:noProof/>
              </w:rPr>
              <w:t>3.2 Méthodes et sources de collecte de données</w:t>
            </w:r>
            <w:r>
              <w:rPr>
                <w:noProof/>
                <w:webHidden/>
              </w:rPr>
              <w:tab/>
            </w:r>
            <w:r>
              <w:rPr>
                <w:noProof/>
                <w:webHidden/>
              </w:rPr>
              <w:fldChar w:fldCharType="begin"/>
            </w:r>
            <w:r>
              <w:rPr>
                <w:noProof/>
                <w:webHidden/>
              </w:rPr>
              <w:instrText xml:space="preserve"> PAGEREF _Toc216948969 \h </w:instrText>
            </w:r>
            <w:r>
              <w:rPr>
                <w:noProof/>
                <w:webHidden/>
              </w:rPr>
            </w:r>
            <w:r>
              <w:rPr>
                <w:noProof/>
                <w:webHidden/>
              </w:rPr>
              <w:fldChar w:fldCharType="separate"/>
            </w:r>
            <w:r w:rsidR="00803130">
              <w:rPr>
                <w:noProof/>
                <w:webHidden/>
              </w:rPr>
              <w:t>10</w:t>
            </w:r>
            <w:r>
              <w:rPr>
                <w:noProof/>
                <w:webHidden/>
              </w:rPr>
              <w:fldChar w:fldCharType="end"/>
            </w:r>
          </w:hyperlink>
        </w:p>
        <w:p w14:paraId="65361EB7" w14:textId="2EEFF9DE" w:rsidR="0062653C" w:rsidRDefault="0062653C" w:rsidP="0062653C">
          <w:pPr>
            <w:pStyle w:val="TOC2"/>
            <w:spacing w:before="0" w:after="0"/>
            <w:rPr>
              <w:rFonts w:asciiTheme="minorHAnsi" w:hAnsiTheme="minorHAnsi" w:cstheme="minorBidi"/>
              <w:noProof/>
              <w:kern w:val="2"/>
              <w:sz w:val="24"/>
              <w:szCs w:val="24"/>
              <w:lang w:eastAsia="fr-FR"/>
              <w14:ligatures w14:val="standardContextual"/>
            </w:rPr>
          </w:pPr>
          <w:hyperlink w:anchor="_Toc216948970" w:history="1">
            <w:r w:rsidRPr="00A020E8">
              <w:rPr>
                <w:rStyle w:val="Hyperlink"/>
                <w:noProof/>
              </w:rPr>
              <w:t>3.3 Échantillonnage et stratégie de sélection</w:t>
            </w:r>
            <w:r>
              <w:rPr>
                <w:noProof/>
                <w:webHidden/>
              </w:rPr>
              <w:tab/>
            </w:r>
            <w:r>
              <w:rPr>
                <w:noProof/>
                <w:webHidden/>
              </w:rPr>
              <w:fldChar w:fldCharType="begin"/>
            </w:r>
            <w:r>
              <w:rPr>
                <w:noProof/>
                <w:webHidden/>
              </w:rPr>
              <w:instrText xml:space="preserve"> PAGEREF _Toc216948970 \h </w:instrText>
            </w:r>
            <w:r>
              <w:rPr>
                <w:noProof/>
                <w:webHidden/>
              </w:rPr>
            </w:r>
            <w:r>
              <w:rPr>
                <w:noProof/>
                <w:webHidden/>
              </w:rPr>
              <w:fldChar w:fldCharType="separate"/>
            </w:r>
            <w:r w:rsidR="00803130">
              <w:rPr>
                <w:noProof/>
                <w:webHidden/>
              </w:rPr>
              <w:t>11</w:t>
            </w:r>
            <w:r>
              <w:rPr>
                <w:noProof/>
                <w:webHidden/>
              </w:rPr>
              <w:fldChar w:fldCharType="end"/>
            </w:r>
          </w:hyperlink>
        </w:p>
        <w:p w14:paraId="68453C94" w14:textId="1D1B9089" w:rsidR="0062653C" w:rsidRDefault="0062653C" w:rsidP="0062653C">
          <w:pPr>
            <w:pStyle w:val="TOC2"/>
            <w:spacing w:before="0" w:after="0"/>
            <w:rPr>
              <w:rFonts w:asciiTheme="minorHAnsi" w:hAnsiTheme="minorHAnsi" w:cstheme="minorBidi"/>
              <w:noProof/>
              <w:kern w:val="2"/>
              <w:sz w:val="24"/>
              <w:szCs w:val="24"/>
              <w:lang w:eastAsia="fr-FR"/>
              <w14:ligatures w14:val="standardContextual"/>
            </w:rPr>
          </w:pPr>
          <w:hyperlink w:anchor="_Toc216948971" w:history="1">
            <w:r w:rsidRPr="00A020E8">
              <w:rPr>
                <w:rStyle w:val="Hyperlink"/>
                <w:noProof/>
              </w:rPr>
              <w:t>3.4 Triangulation et analyse des données</w:t>
            </w:r>
            <w:r>
              <w:rPr>
                <w:noProof/>
                <w:webHidden/>
              </w:rPr>
              <w:tab/>
            </w:r>
            <w:r>
              <w:rPr>
                <w:noProof/>
                <w:webHidden/>
              </w:rPr>
              <w:fldChar w:fldCharType="begin"/>
            </w:r>
            <w:r>
              <w:rPr>
                <w:noProof/>
                <w:webHidden/>
              </w:rPr>
              <w:instrText xml:space="preserve"> PAGEREF _Toc216948971 \h </w:instrText>
            </w:r>
            <w:r>
              <w:rPr>
                <w:noProof/>
                <w:webHidden/>
              </w:rPr>
            </w:r>
            <w:r>
              <w:rPr>
                <w:noProof/>
                <w:webHidden/>
              </w:rPr>
              <w:fldChar w:fldCharType="separate"/>
            </w:r>
            <w:r w:rsidR="00803130">
              <w:rPr>
                <w:noProof/>
                <w:webHidden/>
              </w:rPr>
              <w:t>12</w:t>
            </w:r>
            <w:r>
              <w:rPr>
                <w:noProof/>
                <w:webHidden/>
              </w:rPr>
              <w:fldChar w:fldCharType="end"/>
            </w:r>
          </w:hyperlink>
        </w:p>
        <w:p w14:paraId="4331DB66" w14:textId="0C70D870" w:rsidR="0062653C" w:rsidRDefault="0062653C" w:rsidP="0062653C">
          <w:pPr>
            <w:pStyle w:val="TOC2"/>
            <w:spacing w:before="0" w:after="0"/>
            <w:rPr>
              <w:rFonts w:asciiTheme="minorHAnsi" w:hAnsiTheme="minorHAnsi" w:cstheme="minorBidi"/>
              <w:noProof/>
              <w:kern w:val="2"/>
              <w:sz w:val="24"/>
              <w:szCs w:val="24"/>
              <w:lang w:eastAsia="fr-FR"/>
              <w14:ligatures w14:val="standardContextual"/>
            </w:rPr>
          </w:pPr>
          <w:hyperlink w:anchor="_Toc216948972" w:history="1">
            <w:r w:rsidRPr="00A020E8">
              <w:rPr>
                <w:rStyle w:val="Hyperlink"/>
                <w:noProof/>
              </w:rPr>
              <w:t>3.5 Considérations éthiques</w:t>
            </w:r>
            <w:r>
              <w:rPr>
                <w:noProof/>
                <w:webHidden/>
              </w:rPr>
              <w:tab/>
            </w:r>
            <w:r>
              <w:rPr>
                <w:noProof/>
                <w:webHidden/>
              </w:rPr>
              <w:fldChar w:fldCharType="begin"/>
            </w:r>
            <w:r>
              <w:rPr>
                <w:noProof/>
                <w:webHidden/>
              </w:rPr>
              <w:instrText xml:space="preserve"> PAGEREF _Toc216948972 \h </w:instrText>
            </w:r>
            <w:r>
              <w:rPr>
                <w:noProof/>
                <w:webHidden/>
              </w:rPr>
            </w:r>
            <w:r>
              <w:rPr>
                <w:noProof/>
                <w:webHidden/>
              </w:rPr>
              <w:fldChar w:fldCharType="separate"/>
            </w:r>
            <w:r w:rsidR="00803130">
              <w:rPr>
                <w:noProof/>
                <w:webHidden/>
              </w:rPr>
              <w:t>12</w:t>
            </w:r>
            <w:r>
              <w:rPr>
                <w:noProof/>
                <w:webHidden/>
              </w:rPr>
              <w:fldChar w:fldCharType="end"/>
            </w:r>
          </w:hyperlink>
        </w:p>
        <w:p w14:paraId="6ABAA587" w14:textId="1045CC50" w:rsidR="0062653C" w:rsidRDefault="0062653C" w:rsidP="0062653C">
          <w:pPr>
            <w:pStyle w:val="TOC2"/>
            <w:spacing w:before="0" w:after="0"/>
            <w:rPr>
              <w:rFonts w:asciiTheme="minorHAnsi" w:hAnsiTheme="minorHAnsi" w:cstheme="minorBidi"/>
              <w:noProof/>
              <w:kern w:val="2"/>
              <w:sz w:val="24"/>
              <w:szCs w:val="24"/>
              <w:lang w:eastAsia="fr-FR"/>
              <w14:ligatures w14:val="standardContextual"/>
            </w:rPr>
          </w:pPr>
          <w:hyperlink w:anchor="_Toc216948973" w:history="1">
            <w:r w:rsidRPr="00A020E8">
              <w:rPr>
                <w:rStyle w:val="Hyperlink"/>
                <w:noProof/>
              </w:rPr>
              <w:t>3.6 Limites méthodologiques et stratégies d'atténuation</w:t>
            </w:r>
            <w:r>
              <w:rPr>
                <w:noProof/>
                <w:webHidden/>
              </w:rPr>
              <w:tab/>
            </w:r>
            <w:r>
              <w:rPr>
                <w:noProof/>
                <w:webHidden/>
              </w:rPr>
              <w:fldChar w:fldCharType="begin"/>
            </w:r>
            <w:r>
              <w:rPr>
                <w:noProof/>
                <w:webHidden/>
              </w:rPr>
              <w:instrText xml:space="preserve"> PAGEREF _Toc216948973 \h </w:instrText>
            </w:r>
            <w:r>
              <w:rPr>
                <w:noProof/>
                <w:webHidden/>
              </w:rPr>
            </w:r>
            <w:r>
              <w:rPr>
                <w:noProof/>
                <w:webHidden/>
              </w:rPr>
              <w:fldChar w:fldCharType="separate"/>
            </w:r>
            <w:r w:rsidR="00803130">
              <w:rPr>
                <w:noProof/>
                <w:webHidden/>
              </w:rPr>
              <w:t>13</w:t>
            </w:r>
            <w:r>
              <w:rPr>
                <w:noProof/>
                <w:webHidden/>
              </w:rPr>
              <w:fldChar w:fldCharType="end"/>
            </w:r>
          </w:hyperlink>
        </w:p>
        <w:p w14:paraId="156D2534" w14:textId="222C3E94" w:rsidR="0062653C" w:rsidRDefault="0062653C" w:rsidP="0062653C">
          <w:pPr>
            <w:pStyle w:val="TOC1"/>
            <w:rPr>
              <w:rFonts w:cstheme="minorBidi"/>
              <w:color w:val="auto"/>
              <w:kern w:val="2"/>
              <w:sz w:val="24"/>
              <w:szCs w:val="24"/>
              <w:lang w:eastAsia="fr-FR"/>
              <w14:ligatures w14:val="standardContextual"/>
            </w:rPr>
          </w:pPr>
          <w:hyperlink w:anchor="_Toc216948974" w:history="1">
            <w:r w:rsidRPr="00A020E8">
              <w:rPr>
                <w:rStyle w:val="Hyperlink"/>
                <w:rFonts w:ascii="Open Sans" w:hAnsi="Open Sans"/>
              </w:rPr>
              <w:t>4.</w:t>
            </w:r>
            <w:r>
              <w:rPr>
                <w:rFonts w:cstheme="minorBidi"/>
                <w:color w:val="auto"/>
                <w:kern w:val="2"/>
                <w:sz w:val="24"/>
                <w:szCs w:val="24"/>
                <w:lang w:eastAsia="fr-FR"/>
                <w14:ligatures w14:val="standardContextual"/>
              </w:rPr>
              <w:tab/>
            </w:r>
            <w:r w:rsidRPr="00A020E8">
              <w:rPr>
                <w:rStyle w:val="Hyperlink"/>
                <w:rFonts w:ascii="Open Sans" w:hAnsi="Open Sans"/>
              </w:rPr>
              <w:t>Résultats de l’évaluation</w:t>
            </w:r>
            <w:r>
              <w:rPr>
                <w:webHidden/>
              </w:rPr>
              <w:tab/>
            </w:r>
            <w:r>
              <w:rPr>
                <w:webHidden/>
              </w:rPr>
              <w:fldChar w:fldCharType="begin"/>
            </w:r>
            <w:r>
              <w:rPr>
                <w:webHidden/>
              </w:rPr>
              <w:instrText xml:space="preserve"> PAGEREF _Toc216948974 \h </w:instrText>
            </w:r>
            <w:r>
              <w:rPr>
                <w:webHidden/>
              </w:rPr>
            </w:r>
            <w:r>
              <w:rPr>
                <w:webHidden/>
              </w:rPr>
              <w:fldChar w:fldCharType="separate"/>
            </w:r>
            <w:r w:rsidR="00803130">
              <w:rPr>
                <w:webHidden/>
              </w:rPr>
              <w:t>14</w:t>
            </w:r>
            <w:r>
              <w:rPr>
                <w:webHidden/>
              </w:rPr>
              <w:fldChar w:fldCharType="end"/>
            </w:r>
          </w:hyperlink>
        </w:p>
        <w:p w14:paraId="17390AB8" w14:textId="68C0D81E" w:rsidR="0062653C" w:rsidRDefault="0062653C" w:rsidP="0062653C">
          <w:pPr>
            <w:pStyle w:val="TOC2"/>
            <w:spacing w:before="0" w:after="0"/>
            <w:rPr>
              <w:rFonts w:asciiTheme="minorHAnsi" w:hAnsiTheme="minorHAnsi" w:cstheme="minorBidi"/>
              <w:noProof/>
              <w:kern w:val="2"/>
              <w:sz w:val="24"/>
              <w:szCs w:val="24"/>
              <w:lang w:eastAsia="fr-FR"/>
              <w14:ligatures w14:val="standardContextual"/>
            </w:rPr>
          </w:pPr>
          <w:hyperlink w:anchor="_Toc216948975" w:history="1">
            <w:r w:rsidRPr="00A020E8">
              <w:rPr>
                <w:rStyle w:val="Hyperlink"/>
                <w:noProof/>
                <w:lang w:val="en-US"/>
              </w:rPr>
              <w:t>4.1 Pertinence</w:t>
            </w:r>
            <w:r>
              <w:rPr>
                <w:noProof/>
                <w:webHidden/>
              </w:rPr>
              <w:tab/>
            </w:r>
            <w:r>
              <w:rPr>
                <w:noProof/>
                <w:webHidden/>
              </w:rPr>
              <w:fldChar w:fldCharType="begin"/>
            </w:r>
            <w:r>
              <w:rPr>
                <w:noProof/>
                <w:webHidden/>
              </w:rPr>
              <w:instrText xml:space="preserve"> PAGEREF _Toc216948975 \h </w:instrText>
            </w:r>
            <w:r>
              <w:rPr>
                <w:noProof/>
                <w:webHidden/>
              </w:rPr>
            </w:r>
            <w:r>
              <w:rPr>
                <w:noProof/>
                <w:webHidden/>
              </w:rPr>
              <w:fldChar w:fldCharType="separate"/>
            </w:r>
            <w:r w:rsidR="00803130">
              <w:rPr>
                <w:noProof/>
                <w:webHidden/>
              </w:rPr>
              <w:t>14</w:t>
            </w:r>
            <w:r>
              <w:rPr>
                <w:noProof/>
                <w:webHidden/>
              </w:rPr>
              <w:fldChar w:fldCharType="end"/>
            </w:r>
          </w:hyperlink>
        </w:p>
        <w:p w14:paraId="025CEB9F" w14:textId="4F80B99E" w:rsidR="0062653C" w:rsidRDefault="0062653C" w:rsidP="0062653C">
          <w:pPr>
            <w:pStyle w:val="TOC2"/>
            <w:spacing w:before="0" w:after="0"/>
            <w:rPr>
              <w:rFonts w:asciiTheme="minorHAnsi" w:hAnsiTheme="minorHAnsi" w:cstheme="minorBidi"/>
              <w:noProof/>
              <w:kern w:val="2"/>
              <w:sz w:val="24"/>
              <w:szCs w:val="24"/>
              <w:lang w:eastAsia="fr-FR"/>
              <w14:ligatures w14:val="standardContextual"/>
            </w:rPr>
          </w:pPr>
          <w:hyperlink w:anchor="_Toc216948976" w:history="1">
            <w:r w:rsidRPr="00A020E8">
              <w:rPr>
                <w:rStyle w:val="Hyperlink"/>
                <w:noProof/>
              </w:rPr>
              <w:t>4.2 Coherence</w:t>
            </w:r>
            <w:r>
              <w:rPr>
                <w:noProof/>
                <w:webHidden/>
              </w:rPr>
              <w:tab/>
            </w:r>
            <w:r>
              <w:rPr>
                <w:noProof/>
                <w:webHidden/>
              </w:rPr>
              <w:fldChar w:fldCharType="begin"/>
            </w:r>
            <w:r>
              <w:rPr>
                <w:noProof/>
                <w:webHidden/>
              </w:rPr>
              <w:instrText xml:space="preserve"> PAGEREF _Toc216948976 \h </w:instrText>
            </w:r>
            <w:r>
              <w:rPr>
                <w:noProof/>
                <w:webHidden/>
              </w:rPr>
            </w:r>
            <w:r>
              <w:rPr>
                <w:noProof/>
                <w:webHidden/>
              </w:rPr>
              <w:fldChar w:fldCharType="separate"/>
            </w:r>
            <w:r w:rsidR="00803130">
              <w:rPr>
                <w:noProof/>
                <w:webHidden/>
              </w:rPr>
              <w:t>18</w:t>
            </w:r>
            <w:r>
              <w:rPr>
                <w:noProof/>
                <w:webHidden/>
              </w:rPr>
              <w:fldChar w:fldCharType="end"/>
            </w:r>
          </w:hyperlink>
        </w:p>
        <w:p w14:paraId="41C7DDC5" w14:textId="604D3359" w:rsidR="0062653C" w:rsidRDefault="0062653C" w:rsidP="0062653C">
          <w:pPr>
            <w:pStyle w:val="TOC2"/>
            <w:spacing w:before="0" w:after="0"/>
            <w:rPr>
              <w:rFonts w:asciiTheme="minorHAnsi" w:hAnsiTheme="minorHAnsi" w:cstheme="minorBidi"/>
              <w:noProof/>
              <w:kern w:val="2"/>
              <w:sz w:val="24"/>
              <w:szCs w:val="24"/>
              <w:lang w:eastAsia="fr-FR"/>
              <w14:ligatures w14:val="standardContextual"/>
            </w:rPr>
          </w:pPr>
          <w:hyperlink w:anchor="_Toc216948977" w:history="1">
            <w:r w:rsidRPr="00A020E8">
              <w:rPr>
                <w:rStyle w:val="Hyperlink"/>
                <w:noProof/>
              </w:rPr>
              <w:t>4.3 Efficience</w:t>
            </w:r>
            <w:r>
              <w:rPr>
                <w:noProof/>
                <w:webHidden/>
              </w:rPr>
              <w:tab/>
            </w:r>
            <w:r>
              <w:rPr>
                <w:noProof/>
                <w:webHidden/>
              </w:rPr>
              <w:fldChar w:fldCharType="begin"/>
            </w:r>
            <w:r>
              <w:rPr>
                <w:noProof/>
                <w:webHidden/>
              </w:rPr>
              <w:instrText xml:space="preserve"> PAGEREF _Toc216948977 \h </w:instrText>
            </w:r>
            <w:r>
              <w:rPr>
                <w:noProof/>
                <w:webHidden/>
              </w:rPr>
            </w:r>
            <w:r>
              <w:rPr>
                <w:noProof/>
                <w:webHidden/>
              </w:rPr>
              <w:fldChar w:fldCharType="separate"/>
            </w:r>
            <w:r w:rsidR="00803130">
              <w:rPr>
                <w:noProof/>
                <w:webHidden/>
              </w:rPr>
              <w:t>21</w:t>
            </w:r>
            <w:r>
              <w:rPr>
                <w:noProof/>
                <w:webHidden/>
              </w:rPr>
              <w:fldChar w:fldCharType="end"/>
            </w:r>
          </w:hyperlink>
        </w:p>
        <w:p w14:paraId="2B93B273" w14:textId="7EBBA77F" w:rsidR="0062653C" w:rsidRDefault="0062653C" w:rsidP="0062653C">
          <w:pPr>
            <w:pStyle w:val="TOC2"/>
            <w:spacing w:before="0" w:after="0"/>
            <w:rPr>
              <w:rFonts w:asciiTheme="minorHAnsi" w:hAnsiTheme="minorHAnsi" w:cstheme="minorBidi"/>
              <w:noProof/>
              <w:kern w:val="2"/>
              <w:sz w:val="24"/>
              <w:szCs w:val="24"/>
              <w:lang w:eastAsia="fr-FR"/>
              <w14:ligatures w14:val="standardContextual"/>
            </w:rPr>
          </w:pPr>
          <w:hyperlink w:anchor="_Toc216948978" w:history="1">
            <w:r w:rsidRPr="00A020E8">
              <w:rPr>
                <w:rStyle w:val="Hyperlink"/>
                <w:noProof/>
              </w:rPr>
              <w:t>4.4 Efficacité</w:t>
            </w:r>
            <w:r>
              <w:rPr>
                <w:noProof/>
                <w:webHidden/>
              </w:rPr>
              <w:tab/>
            </w:r>
            <w:r>
              <w:rPr>
                <w:noProof/>
                <w:webHidden/>
              </w:rPr>
              <w:fldChar w:fldCharType="begin"/>
            </w:r>
            <w:r>
              <w:rPr>
                <w:noProof/>
                <w:webHidden/>
              </w:rPr>
              <w:instrText xml:space="preserve"> PAGEREF _Toc216948978 \h </w:instrText>
            </w:r>
            <w:r>
              <w:rPr>
                <w:noProof/>
                <w:webHidden/>
              </w:rPr>
            </w:r>
            <w:r>
              <w:rPr>
                <w:noProof/>
                <w:webHidden/>
              </w:rPr>
              <w:fldChar w:fldCharType="separate"/>
            </w:r>
            <w:r w:rsidR="00803130">
              <w:rPr>
                <w:noProof/>
                <w:webHidden/>
              </w:rPr>
              <w:t>25</w:t>
            </w:r>
            <w:r>
              <w:rPr>
                <w:noProof/>
                <w:webHidden/>
              </w:rPr>
              <w:fldChar w:fldCharType="end"/>
            </w:r>
          </w:hyperlink>
        </w:p>
        <w:p w14:paraId="5C31B520" w14:textId="5D934B12" w:rsidR="0062653C" w:rsidRDefault="0062653C" w:rsidP="0062653C">
          <w:pPr>
            <w:pStyle w:val="TOC2"/>
            <w:spacing w:before="0" w:after="0"/>
            <w:rPr>
              <w:rFonts w:asciiTheme="minorHAnsi" w:hAnsiTheme="minorHAnsi" w:cstheme="minorBidi"/>
              <w:noProof/>
              <w:kern w:val="2"/>
              <w:sz w:val="24"/>
              <w:szCs w:val="24"/>
              <w:lang w:eastAsia="fr-FR"/>
              <w14:ligatures w14:val="standardContextual"/>
            </w:rPr>
          </w:pPr>
          <w:hyperlink w:anchor="_Toc216948979" w:history="1">
            <w:r w:rsidRPr="00A020E8">
              <w:rPr>
                <w:rStyle w:val="Hyperlink"/>
                <w:noProof/>
              </w:rPr>
              <w:t>4.5 Impact probable</w:t>
            </w:r>
            <w:r>
              <w:rPr>
                <w:noProof/>
                <w:webHidden/>
              </w:rPr>
              <w:tab/>
            </w:r>
            <w:r>
              <w:rPr>
                <w:noProof/>
                <w:webHidden/>
              </w:rPr>
              <w:fldChar w:fldCharType="begin"/>
            </w:r>
            <w:r>
              <w:rPr>
                <w:noProof/>
                <w:webHidden/>
              </w:rPr>
              <w:instrText xml:space="preserve"> PAGEREF _Toc216948979 \h </w:instrText>
            </w:r>
            <w:r>
              <w:rPr>
                <w:noProof/>
                <w:webHidden/>
              </w:rPr>
            </w:r>
            <w:r>
              <w:rPr>
                <w:noProof/>
                <w:webHidden/>
              </w:rPr>
              <w:fldChar w:fldCharType="separate"/>
            </w:r>
            <w:r w:rsidR="00803130">
              <w:rPr>
                <w:noProof/>
                <w:webHidden/>
              </w:rPr>
              <w:t>29</w:t>
            </w:r>
            <w:r>
              <w:rPr>
                <w:noProof/>
                <w:webHidden/>
              </w:rPr>
              <w:fldChar w:fldCharType="end"/>
            </w:r>
          </w:hyperlink>
        </w:p>
        <w:p w14:paraId="79FE742C" w14:textId="6F599053" w:rsidR="0062653C" w:rsidRDefault="0062653C" w:rsidP="0062653C">
          <w:pPr>
            <w:pStyle w:val="TOC2"/>
            <w:spacing w:before="0" w:after="0"/>
            <w:rPr>
              <w:rFonts w:asciiTheme="minorHAnsi" w:hAnsiTheme="minorHAnsi" w:cstheme="minorBidi"/>
              <w:noProof/>
              <w:kern w:val="2"/>
              <w:sz w:val="24"/>
              <w:szCs w:val="24"/>
              <w:lang w:eastAsia="fr-FR"/>
              <w14:ligatures w14:val="standardContextual"/>
            </w:rPr>
          </w:pPr>
          <w:hyperlink w:anchor="_Toc216948980" w:history="1">
            <w:r w:rsidRPr="00A020E8">
              <w:rPr>
                <w:rStyle w:val="Hyperlink"/>
                <w:noProof/>
              </w:rPr>
              <w:t>4.6 Durabilité</w:t>
            </w:r>
            <w:r>
              <w:rPr>
                <w:noProof/>
                <w:webHidden/>
              </w:rPr>
              <w:tab/>
            </w:r>
            <w:r>
              <w:rPr>
                <w:noProof/>
                <w:webHidden/>
              </w:rPr>
              <w:fldChar w:fldCharType="begin"/>
            </w:r>
            <w:r>
              <w:rPr>
                <w:noProof/>
                <w:webHidden/>
              </w:rPr>
              <w:instrText xml:space="preserve"> PAGEREF _Toc216948980 \h </w:instrText>
            </w:r>
            <w:r>
              <w:rPr>
                <w:noProof/>
                <w:webHidden/>
              </w:rPr>
            </w:r>
            <w:r>
              <w:rPr>
                <w:noProof/>
                <w:webHidden/>
              </w:rPr>
              <w:fldChar w:fldCharType="separate"/>
            </w:r>
            <w:r w:rsidR="00803130">
              <w:rPr>
                <w:noProof/>
                <w:webHidden/>
              </w:rPr>
              <w:t>34</w:t>
            </w:r>
            <w:r>
              <w:rPr>
                <w:noProof/>
                <w:webHidden/>
              </w:rPr>
              <w:fldChar w:fldCharType="end"/>
            </w:r>
          </w:hyperlink>
        </w:p>
        <w:p w14:paraId="31BBBD3D" w14:textId="31E2EB20" w:rsidR="0062653C" w:rsidRDefault="0062653C" w:rsidP="0062653C">
          <w:pPr>
            <w:pStyle w:val="TOC1"/>
            <w:rPr>
              <w:rFonts w:cstheme="minorBidi"/>
              <w:color w:val="auto"/>
              <w:kern w:val="2"/>
              <w:sz w:val="24"/>
              <w:szCs w:val="24"/>
              <w:lang w:eastAsia="fr-FR"/>
              <w14:ligatures w14:val="standardContextual"/>
            </w:rPr>
          </w:pPr>
          <w:hyperlink w:anchor="_Toc216948981" w:history="1">
            <w:r w:rsidRPr="00A020E8">
              <w:rPr>
                <w:rStyle w:val="Hyperlink"/>
                <w:rFonts w:ascii="Open Sans" w:hAnsi="Open Sans"/>
              </w:rPr>
              <w:t>5.</w:t>
            </w:r>
            <w:r>
              <w:rPr>
                <w:rFonts w:cstheme="minorBidi"/>
                <w:color w:val="auto"/>
                <w:kern w:val="2"/>
                <w:sz w:val="24"/>
                <w:szCs w:val="24"/>
                <w:lang w:eastAsia="fr-FR"/>
                <w14:ligatures w14:val="standardContextual"/>
              </w:rPr>
              <w:tab/>
            </w:r>
            <w:r w:rsidRPr="00A020E8">
              <w:rPr>
                <w:rStyle w:val="Hyperlink"/>
                <w:rFonts w:ascii="Open Sans" w:hAnsi="Open Sans"/>
              </w:rPr>
              <w:t>Conclusions, leçons apprises et recommandations</w:t>
            </w:r>
            <w:r>
              <w:rPr>
                <w:webHidden/>
              </w:rPr>
              <w:tab/>
            </w:r>
            <w:r>
              <w:rPr>
                <w:webHidden/>
              </w:rPr>
              <w:fldChar w:fldCharType="begin"/>
            </w:r>
            <w:r>
              <w:rPr>
                <w:webHidden/>
              </w:rPr>
              <w:instrText xml:space="preserve"> PAGEREF _Toc216948981 \h </w:instrText>
            </w:r>
            <w:r>
              <w:rPr>
                <w:webHidden/>
              </w:rPr>
            </w:r>
            <w:r>
              <w:rPr>
                <w:webHidden/>
              </w:rPr>
              <w:fldChar w:fldCharType="separate"/>
            </w:r>
            <w:r w:rsidR="00803130">
              <w:rPr>
                <w:webHidden/>
              </w:rPr>
              <w:t>37</w:t>
            </w:r>
            <w:r>
              <w:rPr>
                <w:webHidden/>
              </w:rPr>
              <w:fldChar w:fldCharType="end"/>
            </w:r>
          </w:hyperlink>
        </w:p>
        <w:p w14:paraId="0A578D61" w14:textId="1295EA1C" w:rsidR="0062653C" w:rsidRDefault="0062653C" w:rsidP="0062653C">
          <w:pPr>
            <w:pStyle w:val="TOC2"/>
            <w:spacing w:before="0" w:after="0"/>
            <w:rPr>
              <w:rFonts w:asciiTheme="minorHAnsi" w:hAnsiTheme="minorHAnsi" w:cstheme="minorBidi"/>
              <w:noProof/>
              <w:kern w:val="2"/>
              <w:sz w:val="24"/>
              <w:szCs w:val="24"/>
              <w:lang w:eastAsia="fr-FR"/>
              <w14:ligatures w14:val="standardContextual"/>
            </w:rPr>
          </w:pPr>
          <w:hyperlink w:anchor="_Toc216948982" w:history="1">
            <w:r w:rsidRPr="00A020E8">
              <w:rPr>
                <w:rStyle w:val="Hyperlink"/>
                <w:noProof/>
              </w:rPr>
              <w:t>5.1 Evaluation globale</w:t>
            </w:r>
            <w:r>
              <w:rPr>
                <w:noProof/>
                <w:webHidden/>
              </w:rPr>
              <w:tab/>
            </w:r>
            <w:r>
              <w:rPr>
                <w:noProof/>
                <w:webHidden/>
              </w:rPr>
              <w:fldChar w:fldCharType="begin"/>
            </w:r>
            <w:r>
              <w:rPr>
                <w:noProof/>
                <w:webHidden/>
              </w:rPr>
              <w:instrText xml:space="preserve"> PAGEREF _Toc216948982 \h </w:instrText>
            </w:r>
            <w:r>
              <w:rPr>
                <w:noProof/>
                <w:webHidden/>
              </w:rPr>
            </w:r>
            <w:r>
              <w:rPr>
                <w:noProof/>
                <w:webHidden/>
              </w:rPr>
              <w:fldChar w:fldCharType="separate"/>
            </w:r>
            <w:r w:rsidR="00803130">
              <w:rPr>
                <w:noProof/>
                <w:webHidden/>
              </w:rPr>
              <w:t>37</w:t>
            </w:r>
            <w:r>
              <w:rPr>
                <w:noProof/>
                <w:webHidden/>
              </w:rPr>
              <w:fldChar w:fldCharType="end"/>
            </w:r>
          </w:hyperlink>
        </w:p>
        <w:p w14:paraId="5BD768E6" w14:textId="4EDFEFEA" w:rsidR="0062653C" w:rsidRDefault="0062653C" w:rsidP="0062653C">
          <w:pPr>
            <w:pStyle w:val="TOC2"/>
            <w:spacing w:before="0" w:after="0"/>
            <w:rPr>
              <w:rFonts w:asciiTheme="minorHAnsi" w:hAnsiTheme="minorHAnsi" w:cstheme="minorBidi"/>
              <w:noProof/>
              <w:kern w:val="2"/>
              <w:sz w:val="24"/>
              <w:szCs w:val="24"/>
              <w:lang w:eastAsia="fr-FR"/>
              <w14:ligatures w14:val="standardContextual"/>
            </w:rPr>
          </w:pPr>
          <w:hyperlink w:anchor="_Toc216948983" w:history="1">
            <w:r w:rsidRPr="00A020E8">
              <w:rPr>
                <w:rStyle w:val="Hyperlink"/>
                <w:noProof/>
              </w:rPr>
              <w:t>5.2 Recommendations</w:t>
            </w:r>
            <w:r>
              <w:rPr>
                <w:noProof/>
                <w:webHidden/>
              </w:rPr>
              <w:tab/>
            </w:r>
            <w:r>
              <w:rPr>
                <w:noProof/>
                <w:webHidden/>
              </w:rPr>
              <w:fldChar w:fldCharType="begin"/>
            </w:r>
            <w:r>
              <w:rPr>
                <w:noProof/>
                <w:webHidden/>
              </w:rPr>
              <w:instrText xml:space="preserve"> PAGEREF _Toc216948983 \h </w:instrText>
            </w:r>
            <w:r>
              <w:rPr>
                <w:noProof/>
                <w:webHidden/>
              </w:rPr>
            </w:r>
            <w:r>
              <w:rPr>
                <w:noProof/>
                <w:webHidden/>
              </w:rPr>
              <w:fldChar w:fldCharType="separate"/>
            </w:r>
            <w:r w:rsidR="00803130">
              <w:rPr>
                <w:noProof/>
                <w:webHidden/>
              </w:rPr>
              <w:t>39</w:t>
            </w:r>
            <w:r>
              <w:rPr>
                <w:noProof/>
                <w:webHidden/>
              </w:rPr>
              <w:fldChar w:fldCharType="end"/>
            </w:r>
          </w:hyperlink>
        </w:p>
        <w:p w14:paraId="71E03544" w14:textId="2B631653" w:rsidR="0062653C" w:rsidRDefault="0062653C" w:rsidP="0062653C">
          <w:pPr>
            <w:pStyle w:val="TOC2"/>
            <w:spacing w:before="0" w:after="0"/>
            <w:rPr>
              <w:rFonts w:asciiTheme="minorHAnsi" w:hAnsiTheme="minorHAnsi" w:cstheme="minorBidi"/>
              <w:noProof/>
              <w:kern w:val="2"/>
              <w:sz w:val="24"/>
              <w:szCs w:val="24"/>
              <w:lang w:eastAsia="fr-FR"/>
              <w14:ligatures w14:val="standardContextual"/>
            </w:rPr>
          </w:pPr>
          <w:hyperlink w:anchor="_Toc216948984" w:history="1">
            <w:r w:rsidRPr="00A020E8">
              <w:rPr>
                <w:rStyle w:val="Hyperlink"/>
                <w:noProof/>
              </w:rPr>
              <w:t>5.3 Leçons apprises</w:t>
            </w:r>
            <w:r>
              <w:rPr>
                <w:noProof/>
                <w:webHidden/>
              </w:rPr>
              <w:tab/>
            </w:r>
            <w:r>
              <w:rPr>
                <w:noProof/>
                <w:webHidden/>
              </w:rPr>
              <w:fldChar w:fldCharType="begin"/>
            </w:r>
            <w:r>
              <w:rPr>
                <w:noProof/>
                <w:webHidden/>
              </w:rPr>
              <w:instrText xml:space="preserve"> PAGEREF _Toc216948984 \h </w:instrText>
            </w:r>
            <w:r>
              <w:rPr>
                <w:noProof/>
                <w:webHidden/>
              </w:rPr>
            </w:r>
            <w:r>
              <w:rPr>
                <w:noProof/>
                <w:webHidden/>
              </w:rPr>
              <w:fldChar w:fldCharType="separate"/>
            </w:r>
            <w:r w:rsidR="00803130">
              <w:rPr>
                <w:noProof/>
                <w:webHidden/>
              </w:rPr>
              <w:t>44</w:t>
            </w:r>
            <w:r>
              <w:rPr>
                <w:noProof/>
                <w:webHidden/>
              </w:rPr>
              <w:fldChar w:fldCharType="end"/>
            </w:r>
          </w:hyperlink>
        </w:p>
        <w:p w14:paraId="41685941" w14:textId="5296C50F" w:rsidR="0062653C" w:rsidRDefault="0062653C" w:rsidP="0062653C">
          <w:pPr>
            <w:pStyle w:val="TOC1"/>
            <w:rPr>
              <w:rFonts w:cstheme="minorBidi"/>
              <w:color w:val="auto"/>
              <w:kern w:val="2"/>
              <w:sz w:val="24"/>
              <w:szCs w:val="24"/>
              <w:lang w:eastAsia="fr-FR"/>
              <w14:ligatures w14:val="standardContextual"/>
            </w:rPr>
          </w:pPr>
          <w:hyperlink w:anchor="_Toc216948985" w:history="1">
            <w:r w:rsidRPr="00A020E8">
              <w:rPr>
                <w:rStyle w:val="Hyperlink"/>
                <w:rFonts w:ascii="Open Sans" w:hAnsi="Open Sans"/>
                <w:lang w:val="en-US"/>
              </w:rPr>
              <w:t>6.</w:t>
            </w:r>
            <w:r>
              <w:rPr>
                <w:rFonts w:cstheme="minorBidi"/>
                <w:color w:val="auto"/>
                <w:kern w:val="2"/>
                <w:sz w:val="24"/>
                <w:szCs w:val="24"/>
                <w:lang w:eastAsia="fr-FR"/>
                <w14:ligatures w14:val="standardContextual"/>
              </w:rPr>
              <w:tab/>
            </w:r>
            <w:r w:rsidRPr="00A020E8">
              <w:rPr>
                <w:rStyle w:val="Hyperlink"/>
                <w:rFonts w:ascii="Open Sans" w:hAnsi="Open Sans"/>
                <w:lang w:val="en-US"/>
              </w:rPr>
              <w:t>Genre et Droits Humains</w:t>
            </w:r>
            <w:r>
              <w:rPr>
                <w:webHidden/>
              </w:rPr>
              <w:tab/>
            </w:r>
            <w:r>
              <w:rPr>
                <w:webHidden/>
              </w:rPr>
              <w:fldChar w:fldCharType="begin"/>
            </w:r>
            <w:r>
              <w:rPr>
                <w:webHidden/>
              </w:rPr>
              <w:instrText xml:space="preserve"> PAGEREF _Toc216948985 \h </w:instrText>
            </w:r>
            <w:r>
              <w:rPr>
                <w:webHidden/>
              </w:rPr>
            </w:r>
            <w:r>
              <w:rPr>
                <w:webHidden/>
              </w:rPr>
              <w:fldChar w:fldCharType="separate"/>
            </w:r>
            <w:r w:rsidR="00803130">
              <w:rPr>
                <w:webHidden/>
              </w:rPr>
              <w:t>46</w:t>
            </w:r>
            <w:r>
              <w:rPr>
                <w:webHidden/>
              </w:rPr>
              <w:fldChar w:fldCharType="end"/>
            </w:r>
          </w:hyperlink>
        </w:p>
        <w:p w14:paraId="5B34EDA6" w14:textId="50D7F21F" w:rsidR="0062653C" w:rsidRDefault="0062653C" w:rsidP="0062653C">
          <w:pPr>
            <w:pStyle w:val="TOC1"/>
            <w:rPr>
              <w:rFonts w:cstheme="minorBidi"/>
              <w:color w:val="auto"/>
              <w:kern w:val="2"/>
              <w:sz w:val="24"/>
              <w:szCs w:val="24"/>
              <w:lang w:eastAsia="fr-FR"/>
              <w14:ligatures w14:val="standardContextual"/>
            </w:rPr>
          </w:pPr>
          <w:hyperlink w:anchor="_Toc216948986" w:history="1">
            <w:r w:rsidRPr="00A020E8">
              <w:rPr>
                <w:rStyle w:val="Hyperlink"/>
                <w:rFonts w:ascii="Open Sans" w:hAnsi="Open Sans"/>
              </w:rPr>
              <w:t>7.</w:t>
            </w:r>
            <w:r>
              <w:rPr>
                <w:rFonts w:cstheme="minorBidi"/>
                <w:color w:val="auto"/>
                <w:kern w:val="2"/>
                <w:sz w:val="24"/>
                <w:szCs w:val="24"/>
                <w:lang w:eastAsia="fr-FR"/>
                <w14:ligatures w14:val="standardContextual"/>
              </w:rPr>
              <w:tab/>
            </w:r>
            <w:r w:rsidRPr="00A020E8">
              <w:rPr>
                <w:rStyle w:val="Hyperlink"/>
                <w:rFonts w:ascii="Open Sans" w:hAnsi="Open Sans"/>
              </w:rPr>
              <w:t>Annexes :</w:t>
            </w:r>
            <w:r>
              <w:rPr>
                <w:webHidden/>
              </w:rPr>
              <w:tab/>
            </w:r>
            <w:r>
              <w:rPr>
                <w:webHidden/>
              </w:rPr>
              <w:fldChar w:fldCharType="begin"/>
            </w:r>
            <w:r>
              <w:rPr>
                <w:webHidden/>
              </w:rPr>
              <w:instrText xml:space="preserve"> PAGEREF _Toc216948986 \h </w:instrText>
            </w:r>
            <w:r>
              <w:rPr>
                <w:webHidden/>
              </w:rPr>
            </w:r>
            <w:r>
              <w:rPr>
                <w:webHidden/>
              </w:rPr>
              <w:fldChar w:fldCharType="separate"/>
            </w:r>
            <w:r w:rsidR="00803130">
              <w:rPr>
                <w:webHidden/>
              </w:rPr>
              <w:t>47</w:t>
            </w:r>
            <w:r>
              <w:rPr>
                <w:webHidden/>
              </w:rPr>
              <w:fldChar w:fldCharType="end"/>
            </w:r>
          </w:hyperlink>
        </w:p>
        <w:p w14:paraId="188DEDBF" w14:textId="7EC1D903" w:rsidR="0062653C" w:rsidRDefault="0062653C" w:rsidP="0062653C">
          <w:pPr>
            <w:pStyle w:val="TOC2"/>
            <w:spacing w:before="0" w:after="0"/>
            <w:rPr>
              <w:rFonts w:asciiTheme="minorHAnsi" w:hAnsiTheme="minorHAnsi" w:cstheme="minorBidi"/>
              <w:noProof/>
              <w:kern w:val="2"/>
              <w:sz w:val="24"/>
              <w:szCs w:val="24"/>
              <w:lang w:eastAsia="fr-FR"/>
              <w14:ligatures w14:val="standardContextual"/>
            </w:rPr>
          </w:pPr>
          <w:hyperlink w:anchor="_Toc216948987" w:history="1">
            <w:r w:rsidRPr="00A020E8">
              <w:rPr>
                <w:rStyle w:val="Hyperlink"/>
                <w:noProof/>
              </w:rPr>
              <w:t>Annexe 1 : Théorie de changement du projet</w:t>
            </w:r>
            <w:r>
              <w:rPr>
                <w:noProof/>
                <w:webHidden/>
              </w:rPr>
              <w:tab/>
            </w:r>
            <w:r>
              <w:rPr>
                <w:noProof/>
                <w:webHidden/>
              </w:rPr>
              <w:fldChar w:fldCharType="begin"/>
            </w:r>
            <w:r>
              <w:rPr>
                <w:noProof/>
                <w:webHidden/>
              </w:rPr>
              <w:instrText xml:space="preserve"> PAGEREF _Toc216948987 \h </w:instrText>
            </w:r>
            <w:r>
              <w:rPr>
                <w:noProof/>
                <w:webHidden/>
              </w:rPr>
            </w:r>
            <w:r>
              <w:rPr>
                <w:noProof/>
                <w:webHidden/>
              </w:rPr>
              <w:fldChar w:fldCharType="separate"/>
            </w:r>
            <w:r w:rsidR="00803130">
              <w:rPr>
                <w:noProof/>
                <w:webHidden/>
              </w:rPr>
              <w:t>47</w:t>
            </w:r>
            <w:r>
              <w:rPr>
                <w:noProof/>
                <w:webHidden/>
              </w:rPr>
              <w:fldChar w:fldCharType="end"/>
            </w:r>
          </w:hyperlink>
        </w:p>
        <w:p w14:paraId="17E67635" w14:textId="75111E0C" w:rsidR="0062653C" w:rsidRDefault="0062653C" w:rsidP="0062653C">
          <w:pPr>
            <w:pStyle w:val="TOC2"/>
            <w:spacing w:before="0" w:after="0"/>
            <w:rPr>
              <w:rFonts w:asciiTheme="minorHAnsi" w:hAnsiTheme="minorHAnsi" w:cstheme="minorBidi"/>
              <w:noProof/>
              <w:kern w:val="2"/>
              <w:sz w:val="24"/>
              <w:szCs w:val="24"/>
              <w:lang w:eastAsia="fr-FR"/>
              <w14:ligatures w14:val="standardContextual"/>
            </w:rPr>
          </w:pPr>
          <w:hyperlink w:anchor="_Toc216948988" w:history="1">
            <w:r w:rsidRPr="00A020E8">
              <w:rPr>
                <w:rStyle w:val="Hyperlink"/>
                <w:noProof/>
              </w:rPr>
              <w:t>Annexe 2 : Carte du Parc National de la Kibira</w:t>
            </w:r>
            <w:r>
              <w:rPr>
                <w:noProof/>
                <w:webHidden/>
              </w:rPr>
              <w:tab/>
            </w:r>
            <w:r>
              <w:rPr>
                <w:noProof/>
                <w:webHidden/>
              </w:rPr>
              <w:fldChar w:fldCharType="begin"/>
            </w:r>
            <w:r>
              <w:rPr>
                <w:noProof/>
                <w:webHidden/>
              </w:rPr>
              <w:instrText xml:space="preserve"> PAGEREF _Toc216948988 \h </w:instrText>
            </w:r>
            <w:r>
              <w:rPr>
                <w:noProof/>
                <w:webHidden/>
              </w:rPr>
            </w:r>
            <w:r>
              <w:rPr>
                <w:noProof/>
                <w:webHidden/>
              </w:rPr>
              <w:fldChar w:fldCharType="separate"/>
            </w:r>
            <w:r w:rsidR="00803130">
              <w:rPr>
                <w:noProof/>
                <w:webHidden/>
              </w:rPr>
              <w:t>48</w:t>
            </w:r>
            <w:r>
              <w:rPr>
                <w:noProof/>
                <w:webHidden/>
              </w:rPr>
              <w:fldChar w:fldCharType="end"/>
            </w:r>
          </w:hyperlink>
        </w:p>
        <w:p w14:paraId="7F517D1B" w14:textId="0F27E9AB" w:rsidR="0062653C" w:rsidRDefault="0062653C" w:rsidP="0062653C">
          <w:pPr>
            <w:pStyle w:val="TOC2"/>
            <w:spacing w:before="0" w:after="0"/>
            <w:rPr>
              <w:rFonts w:asciiTheme="minorHAnsi" w:hAnsiTheme="minorHAnsi" w:cstheme="minorBidi"/>
              <w:noProof/>
              <w:kern w:val="2"/>
              <w:sz w:val="24"/>
              <w:szCs w:val="24"/>
              <w:lang w:eastAsia="fr-FR"/>
              <w14:ligatures w14:val="standardContextual"/>
            </w:rPr>
          </w:pPr>
          <w:hyperlink w:anchor="_Toc216948989" w:history="1">
            <w:r w:rsidRPr="00A020E8">
              <w:rPr>
                <w:rStyle w:val="Hyperlink"/>
                <w:noProof/>
              </w:rPr>
              <w:t>Annexe 3 : Répartition des bénéficiaires par région et par type d’appui</w:t>
            </w:r>
            <w:r>
              <w:rPr>
                <w:noProof/>
                <w:webHidden/>
              </w:rPr>
              <w:tab/>
            </w:r>
            <w:r>
              <w:rPr>
                <w:noProof/>
                <w:webHidden/>
              </w:rPr>
              <w:fldChar w:fldCharType="begin"/>
            </w:r>
            <w:r>
              <w:rPr>
                <w:noProof/>
                <w:webHidden/>
              </w:rPr>
              <w:instrText xml:space="preserve"> PAGEREF _Toc216948989 \h </w:instrText>
            </w:r>
            <w:r>
              <w:rPr>
                <w:noProof/>
                <w:webHidden/>
              </w:rPr>
            </w:r>
            <w:r>
              <w:rPr>
                <w:noProof/>
                <w:webHidden/>
              </w:rPr>
              <w:fldChar w:fldCharType="separate"/>
            </w:r>
            <w:r w:rsidR="00803130">
              <w:rPr>
                <w:noProof/>
                <w:webHidden/>
              </w:rPr>
              <w:t>49</w:t>
            </w:r>
            <w:r>
              <w:rPr>
                <w:noProof/>
                <w:webHidden/>
              </w:rPr>
              <w:fldChar w:fldCharType="end"/>
            </w:r>
          </w:hyperlink>
        </w:p>
        <w:p w14:paraId="74397B4D" w14:textId="5F439A27" w:rsidR="0062653C" w:rsidRDefault="0062653C" w:rsidP="0062653C">
          <w:pPr>
            <w:pStyle w:val="TOC2"/>
            <w:spacing w:before="0" w:after="0"/>
            <w:rPr>
              <w:rFonts w:asciiTheme="minorHAnsi" w:hAnsiTheme="minorHAnsi" w:cstheme="minorBidi"/>
              <w:noProof/>
              <w:kern w:val="2"/>
              <w:sz w:val="24"/>
              <w:szCs w:val="24"/>
              <w:lang w:eastAsia="fr-FR"/>
              <w14:ligatures w14:val="standardContextual"/>
            </w:rPr>
          </w:pPr>
          <w:hyperlink w:anchor="_Toc216948990" w:history="1">
            <w:r w:rsidRPr="00A020E8">
              <w:rPr>
                <w:rStyle w:val="Hyperlink"/>
                <w:noProof/>
              </w:rPr>
              <w:t>Annexe 4 : Matrice d’évaluation</w:t>
            </w:r>
            <w:r>
              <w:rPr>
                <w:noProof/>
                <w:webHidden/>
              </w:rPr>
              <w:tab/>
            </w:r>
            <w:r>
              <w:rPr>
                <w:noProof/>
                <w:webHidden/>
              </w:rPr>
              <w:fldChar w:fldCharType="begin"/>
            </w:r>
            <w:r>
              <w:rPr>
                <w:noProof/>
                <w:webHidden/>
              </w:rPr>
              <w:instrText xml:space="preserve"> PAGEREF _Toc216948990 \h </w:instrText>
            </w:r>
            <w:r>
              <w:rPr>
                <w:noProof/>
                <w:webHidden/>
              </w:rPr>
            </w:r>
            <w:r>
              <w:rPr>
                <w:noProof/>
                <w:webHidden/>
              </w:rPr>
              <w:fldChar w:fldCharType="separate"/>
            </w:r>
            <w:r w:rsidR="00803130">
              <w:rPr>
                <w:noProof/>
                <w:webHidden/>
              </w:rPr>
              <w:t>51</w:t>
            </w:r>
            <w:r>
              <w:rPr>
                <w:noProof/>
                <w:webHidden/>
              </w:rPr>
              <w:fldChar w:fldCharType="end"/>
            </w:r>
          </w:hyperlink>
        </w:p>
        <w:p w14:paraId="5C3C3AF9" w14:textId="56BE1C36" w:rsidR="0062653C" w:rsidRDefault="0062653C" w:rsidP="0062653C">
          <w:pPr>
            <w:pStyle w:val="TOC2"/>
            <w:spacing w:before="0" w:after="0"/>
            <w:rPr>
              <w:rFonts w:asciiTheme="minorHAnsi" w:hAnsiTheme="minorHAnsi" w:cstheme="minorBidi"/>
              <w:noProof/>
              <w:kern w:val="2"/>
              <w:sz w:val="24"/>
              <w:szCs w:val="24"/>
              <w:lang w:eastAsia="fr-FR"/>
              <w14:ligatures w14:val="standardContextual"/>
            </w:rPr>
          </w:pPr>
          <w:hyperlink w:anchor="_Toc216948991" w:history="1">
            <w:r w:rsidRPr="00A020E8">
              <w:rPr>
                <w:rStyle w:val="Hyperlink"/>
                <w:noProof/>
              </w:rPr>
              <w:t>Annexe 5 : Liste des personnes rencontrées</w:t>
            </w:r>
            <w:r>
              <w:rPr>
                <w:noProof/>
                <w:webHidden/>
              </w:rPr>
              <w:tab/>
            </w:r>
            <w:r>
              <w:rPr>
                <w:noProof/>
                <w:webHidden/>
              </w:rPr>
              <w:fldChar w:fldCharType="begin"/>
            </w:r>
            <w:r>
              <w:rPr>
                <w:noProof/>
                <w:webHidden/>
              </w:rPr>
              <w:instrText xml:space="preserve"> PAGEREF _Toc216948991 \h </w:instrText>
            </w:r>
            <w:r>
              <w:rPr>
                <w:noProof/>
                <w:webHidden/>
              </w:rPr>
            </w:r>
            <w:r>
              <w:rPr>
                <w:noProof/>
                <w:webHidden/>
              </w:rPr>
              <w:fldChar w:fldCharType="separate"/>
            </w:r>
            <w:r w:rsidR="00803130">
              <w:rPr>
                <w:noProof/>
                <w:webHidden/>
              </w:rPr>
              <w:t>71</w:t>
            </w:r>
            <w:r>
              <w:rPr>
                <w:noProof/>
                <w:webHidden/>
              </w:rPr>
              <w:fldChar w:fldCharType="end"/>
            </w:r>
          </w:hyperlink>
        </w:p>
        <w:p w14:paraId="0DAF41FE" w14:textId="67504499" w:rsidR="0062653C" w:rsidRDefault="0062653C" w:rsidP="0062653C">
          <w:pPr>
            <w:pStyle w:val="TOC2"/>
            <w:spacing w:before="0" w:after="0"/>
            <w:rPr>
              <w:rFonts w:asciiTheme="minorHAnsi" w:hAnsiTheme="minorHAnsi" w:cstheme="minorBidi"/>
              <w:noProof/>
              <w:kern w:val="2"/>
              <w:sz w:val="24"/>
              <w:szCs w:val="24"/>
              <w:lang w:eastAsia="fr-FR"/>
              <w14:ligatures w14:val="standardContextual"/>
            </w:rPr>
          </w:pPr>
          <w:hyperlink w:anchor="_Toc216948992" w:history="1">
            <w:r w:rsidRPr="00A020E8">
              <w:rPr>
                <w:rStyle w:val="Hyperlink"/>
                <w:noProof/>
              </w:rPr>
              <w:t>Annexe 6 : principaux documents consultés</w:t>
            </w:r>
            <w:r>
              <w:rPr>
                <w:noProof/>
                <w:webHidden/>
              </w:rPr>
              <w:tab/>
            </w:r>
            <w:r>
              <w:rPr>
                <w:noProof/>
                <w:webHidden/>
              </w:rPr>
              <w:fldChar w:fldCharType="begin"/>
            </w:r>
            <w:r>
              <w:rPr>
                <w:noProof/>
                <w:webHidden/>
              </w:rPr>
              <w:instrText xml:space="preserve"> PAGEREF _Toc216948992 \h </w:instrText>
            </w:r>
            <w:r>
              <w:rPr>
                <w:noProof/>
                <w:webHidden/>
              </w:rPr>
            </w:r>
            <w:r>
              <w:rPr>
                <w:noProof/>
                <w:webHidden/>
              </w:rPr>
              <w:fldChar w:fldCharType="separate"/>
            </w:r>
            <w:r w:rsidR="00803130">
              <w:rPr>
                <w:noProof/>
                <w:webHidden/>
              </w:rPr>
              <w:t>72</w:t>
            </w:r>
            <w:r>
              <w:rPr>
                <w:noProof/>
                <w:webHidden/>
              </w:rPr>
              <w:fldChar w:fldCharType="end"/>
            </w:r>
          </w:hyperlink>
        </w:p>
        <w:p w14:paraId="17837775" w14:textId="63D9C4A7" w:rsidR="0062653C" w:rsidRDefault="0062653C" w:rsidP="0062653C">
          <w:pPr>
            <w:pStyle w:val="TOC2"/>
            <w:spacing w:before="0" w:after="0"/>
            <w:rPr>
              <w:rFonts w:asciiTheme="minorHAnsi" w:hAnsiTheme="minorHAnsi" w:cstheme="minorBidi"/>
              <w:noProof/>
              <w:kern w:val="2"/>
              <w:sz w:val="24"/>
              <w:szCs w:val="24"/>
              <w:lang w:eastAsia="fr-FR"/>
              <w14:ligatures w14:val="standardContextual"/>
            </w:rPr>
          </w:pPr>
          <w:hyperlink w:anchor="_Toc216948993" w:history="1">
            <w:r w:rsidRPr="00A020E8">
              <w:rPr>
                <w:rStyle w:val="Hyperlink"/>
                <w:noProof/>
              </w:rPr>
              <w:t>Annexe 7 : Etudes de cas</w:t>
            </w:r>
            <w:r>
              <w:rPr>
                <w:noProof/>
                <w:webHidden/>
              </w:rPr>
              <w:tab/>
            </w:r>
            <w:r>
              <w:rPr>
                <w:noProof/>
                <w:webHidden/>
              </w:rPr>
              <w:fldChar w:fldCharType="begin"/>
            </w:r>
            <w:r>
              <w:rPr>
                <w:noProof/>
                <w:webHidden/>
              </w:rPr>
              <w:instrText xml:space="preserve"> PAGEREF _Toc216948993 \h </w:instrText>
            </w:r>
            <w:r>
              <w:rPr>
                <w:noProof/>
                <w:webHidden/>
              </w:rPr>
            </w:r>
            <w:r>
              <w:rPr>
                <w:noProof/>
                <w:webHidden/>
              </w:rPr>
              <w:fldChar w:fldCharType="separate"/>
            </w:r>
            <w:r w:rsidR="00803130">
              <w:rPr>
                <w:noProof/>
                <w:webHidden/>
              </w:rPr>
              <w:t>73</w:t>
            </w:r>
            <w:r>
              <w:rPr>
                <w:noProof/>
                <w:webHidden/>
              </w:rPr>
              <w:fldChar w:fldCharType="end"/>
            </w:r>
          </w:hyperlink>
        </w:p>
        <w:p w14:paraId="28829B5C" w14:textId="77777777" w:rsidR="00224046" w:rsidRPr="00925FBE" w:rsidRDefault="00224046" w:rsidP="0062653C">
          <w:pPr>
            <w:spacing w:before="0" w:after="0" w:line="240" w:lineRule="auto"/>
            <w:jc w:val="both"/>
          </w:pPr>
          <w:r w:rsidRPr="00925FBE">
            <w:rPr>
              <w:b/>
              <w:bCs/>
            </w:rPr>
            <w:fldChar w:fldCharType="end"/>
          </w:r>
        </w:p>
      </w:sdtContent>
    </w:sdt>
    <w:p w14:paraId="2E7DCB78" w14:textId="45A97893" w:rsidR="00D25B3A" w:rsidRDefault="00D25B3A" w:rsidP="00776702">
      <w:pPr>
        <w:pStyle w:val="Heading1"/>
        <w:numPr>
          <w:ilvl w:val="0"/>
          <w:numId w:val="0"/>
        </w:numPr>
        <w:ind w:left="720" w:hanging="720"/>
        <w:rPr>
          <w:rFonts w:ascii="Open Sans" w:hAnsi="Open Sans"/>
        </w:rPr>
      </w:pPr>
      <w:bookmarkStart w:id="10" w:name="_Toc22551539"/>
      <w:bookmarkStart w:id="11" w:name="_Toc22551700"/>
      <w:bookmarkStart w:id="12" w:name="_Toc22551982"/>
      <w:bookmarkStart w:id="13" w:name="_Toc26267388"/>
      <w:bookmarkStart w:id="14" w:name="_Toc42157285"/>
      <w:bookmarkStart w:id="15" w:name="_Toc42157346"/>
      <w:bookmarkStart w:id="16" w:name="_Toc55478811"/>
      <w:bookmarkStart w:id="17" w:name="_Toc473323198"/>
      <w:bookmarkStart w:id="18" w:name="_Toc216948957"/>
      <w:bookmarkStart w:id="19" w:name="_Hlk22558063"/>
      <w:bookmarkStart w:id="20" w:name="_Toc523150113"/>
      <w:r w:rsidRPr="00925FBE">
        <w:rPr>
          <w:rFonts w:ascii="Open Sans" w:hAnsi="Open Sans"/>
        </w:rPr>
        <w:lastRenderedPageBreak/>
        <w:t>List</w:t>
      </w:r>
      <w:r w:rsidR="002B0FC4" w:rsidRPr="00925FBE">
        <w:rPr>
          <w:rFonts w:ascii="Open Sans" w:hAnsi="Open Sans"/>
        </w:rPr>
        <w:t>e</w:t>
      </w:r>
      <w:r w:rsidRPr="00925FBE">
        <w:rPr>
          <w:rFonts w:ascii="Open Sans" w:hAnsi="Open Sans"/>
        </w:rPr>
        <w:t xml:space="preserve"> </w:t>
      </w:r>
      <w:bookmarkEnd w:id="10"/>
      <w:bookmarkEnd w:id="11"/>
      <w:bookmarkEnd w:id="12"/>
      <w:bookmarkEnd w:id="13"/>
      <w:bookmarkEnd w:id="14"/>
      <w:bookmarkEnd w:id="15"/>
      <w:bookmarkEnd w:id="16"/>
      <w:bookmarkEnd w:id="17"/>
      <w:r w:rsidR="002B0FC4" w:rsidRPr="00925FBE">
        <w:rPr>
          <w:rFonts w:ascii="Open Sans" w:hAnsi="Open Sans"/>
        </w:rPr>
        <w:t>des tableaux</w:t>
      </w:r>
      <w:bookmarkEnd w:id="18"/>
      <w:r w:rsidR="002B0FC4" w:rsidRPr="00925FBE">
        <w:rPr>
          <w:rFonts w:ascii="Open Sans" w:hAnsi="Open Sans"/>
        </w:rPr>
        <w:t xml:space="preserve"> </w:t>
      </w:r>
    </w:p>
    <w:p w14:paraId="304FD75C" w14:textId="77777777" w:rsidR="00C57531" w:rsidRPr="00C57531" w:rsidRDefault="00C57531" w:rsidP="00C57531"/>
    <w:p w14:paraId="70B972D7" w14:textId="58211C9A" w:rsidR="004C4A24" w:rsidRDefault="005E798B">
      <w:pPr>
        <w:pStyle w:val="TableofFigures"/>
        <w:tabs>
          <w:tab w:val="right" w:leader="dot" w:pos="9016"/>
        </w:tabs>
        <w:rPr>
          <w:rFonts w:asciiTheme="minorHAnsi" w:eastAsiaTheme="minorEastAsia" w:hAnsiTheme="minorHAnsi"/>
          <w:noProof/>
          <w:kern w:val="2"/>
          <w:sz w:val="24"/>
          <w:szCs w:val="24"/>
          <w:lang w:eastAsia="fr-FR"/>
          <w14:ligatures w14:val="standardContextual"/>
        </w:rPr>
      </w:pPr>
      <w:r>
        <w:fldChar w:fldCharType="begin"/>
      </w:r>
      <w:r>
        <w:instrText xml:space="preserve"> TOC \h \z \c "Tableau" </w:instrText>
      </w:r>
      <w:r>
        <w:fldChar w:fldCharType="separate"/>
      </w:r>
      <w:hyperlink w:anchor="_Toc214381575" w:history="1">
        <w:r w:rsidR="004C4A24" w:rsidRPr="0052626E">
          <w:rPr>
            <w:rStyle w:val="Hyperlink"/>
            <w:noProof/>
          </w:rPr>
          <w:t>Tableau 1– Kibira Sanctuaire de Paix – Objectif, effets et produits</w:t>
        </w:r>
        <w:r w:rsidR="004C4A24">
          <w:rPr>
            <w:noProof/>
            <w:webHidden/>
          </w:rPr>
          <w:tab/>
        </w:r>
        <w:r w:rsidR="004C4A24">
          <w:rPr>
            <w:noProof/>
            <w:webHidden/>
          </w:rPr>
          <w:fldChar w:fldCharType="begin"/>
        </w:r>
        <w:r w:rsidR="004C4A24">
          <w:rPr>
            <w:noProof/>
            <w:webHidden/>
          </w:rPr>
          <w:instrText xml:space="preserve"> PAGEREF _Toc214381575 \h </w:instrText>
        </w:r>
        <w:r w:rsidR="004C4A24">
          <w:rPr>
            <w:noProof/>
            <w:webHidden/>
          </w:rPr>
        </w:r>
        <w:r w:rsidR="004C4A24">
          <w:rPr>
            <w:noProof/>
            <w:webHidden/>
          </w:rPr>
          <w:fldChar w:fldCharType="separate"/>
        </w:r>
        <w:r w:rsidR="00803130">
          <w:rPr>
            <w:noProof/>
            <w:webHidden/>
          </w:rPr>
          <w:t>6</w:t>
        </w:r>
        <w:r w:rsidR="004C4A24">
          <w:rPr>
            <w:noProof/>
            <w:webHidden/>
          </w:rPr>
          <w:fldChar w:fldCharType="end"/>
        </w:r>
      </w:hyperlink>
    </w:p>
    <w:p w14:paraId="157788D6" w14:textId="53C3692F" w:rsidR="004C4A24" w:rsidRDefault="004C4A24">
      <w:pPr>
        <w:pStyle w:val="TableofFigures"/>
        <w:tabs>
          <w:tab w:val="right" w:leader="dot" w:pos="9016"/>
        </w:tabs>
        <w:rPr>
          <w:rFonts w:asciiTheme="minorHAnsi" w:eastAsiaTheme="minorEastAsia" w:hAnsiTheme="minorHAnsi"/>
          <w:noProof/>
          <w:kern w:val="2"/>
          <w:sz w:val="24"/>
          <w:szCs w:val="24"/>
          <w:lang w:eastAsia="fr-FR"/>
          <w14:ligatures w14:val="standardContextual"/>
        </w:rPr>
      </w:pPr>
      <w:hyperlink w:anchor="_Toc214381576" w:history="1">
        <w:r w:rsidRPr="0052626E">
          <w:rPr>
            <w:rStyle w:val="Hyperlink"/>
            <w:noProof/>
          </w:rPr>
          <w:t>Tableau 2 - Synthèse des indicateurs d'effets et de produits : cibles et réalisations</w:t>
        </w:r>
        <w:r>
          <w:rPr>
            <w:noProof/>
            <w:webHidden/>
          </w:rPr>
          <w:tab/>
        </w:r>
        <w:r>
          <w:rPr>
            <w:noProof/>
            <w:webHidden/>
          </w:rPr>
          <w:fldChar w:fldCharType="begin"/>
        </w:r>
        <w:r>
          <w:rPr>
            <w:noProof/>
            <w:webHidden/>
          </w:rPr>
          <w:instrText xml:space="preserve"> PAGEREF _Toc214381576 \h </w:instrText>
        </w:r>
        <w:r>
          <w:rPr>
            <w:noProof/>
            <w:webHidden/>
          </w:rPr>
        </w:r>
        <w:r>
          <w:rPr>
            <w:noProof/>
            <w:webHidden/>
          </w:rPr>
          <w:fldChar w:fldCharType="separate"/>
        </w:r>
        <w:r w:rsidR="00803130">
          <w:rPr>
            <w:noProof/>
            <w:webHidden/>
          </w:rPr>
          <w:t>7</w:t>
        </w:r>
        <w:r>
          <w:rPr>
            <w:noProof/>
            <w:webHidden/>
          </w:rPr>
          <w:fldChar w:fldCharType="end"/>
        </w:r>
      </w:hyperlink>
    </w:p>
    <w:p w14:paraId="25C92E6B" w14:textId="44904F0D" w:rsidR="004C4A24" w:rsidRDefault="004C4A24">
      <w:pPr>
        <w:pStyle w:val="TableofFigures"/>
        <w:tabs>
          <w:tab w:val="right" w:leader="dot" w:pos="9016"/>
        </w:tabs>
        <w:rPr>
          <w:rFonts w:asciiTheme="minorHAnsi" w:eastAsiaTheme="minorEastAsia" w:hAnsiTheme="minorHAnsi"/>
          <w:noProof/>
          <w:kern w:val="2"/>
          <w:sz w:val="24"/>
          <w:szCs w:val="24"/>
          <w:lang w:eastAsia="fr-FR"/>
          <w14:ligatures w14:val="standardContextual"/>
        </w:rPr>
      </w:pPr>
      <w:hyperlink w:anchor="_Toc214381577" w:history="1">
        <w:r w:rsidRPr="0052626E">
          <w:rPr>
            <w:rStyle w:val="Hyperlink"/>
            <w:noProof/>
          </w:rPr>
          <w:t>Tableau 3 : Situation financière : Engagements et dépenses</w:t>
        </w:r>
        <w:r>
          <w:rPr>
            <w:noProof/>
            <w:webHidden/>
          </w:rPr>
          <w:tab/>
        </w:r>
        <w:r>
          <w:rPr>
            <w:noProof/>
            <w:webHidden/>
          </w:rPr>
          <w:fldChar w:fldCharType="begin"/>
        </w:r>
        <w:r>
          <w:rPr>
            <w:noProof/>
            <w:webHidden/>
          </w:rPr>
          <w:instrText xml:space="preserve"> PAGEREF _Toc214381577 \h </w:instrText>
        </w:r>
        <w:r>
          <w:rPr>
            <w:noProof/>
            <w:webHidden/>
          </w:rPr>
        </w:r>
        <w:r>
          <w:rPr>
            <w:noProof/>
            <w:webHidden/>
          </w:rPr>
          <w:fldChar w:fldCharType="separate"/>
        </w:r>
        <w:r w:rsidR="00803130">
          <w:rPr>
            <w:noProof/>
            <w:webHidden/>
          </w:rPr>
          <w:t>9</w:t>
        </w:r>
        <w:r>
          <w:rPr>
            <w:noProof/>
            <w:webHidden/>
          </w:rPr>
          <w:fldChar w:fldCharType="end"/>
        </w:r>
      </w:hyperlink>
    </w:p>
    <w:p w14:paraId="5B9E0E7F" w14:textId="32068CF3" w:rsidR="00D25B3A" w:rsidRPr="00925FBE" w:rsidRDefault="005E798B" w:rsidP="00BE29A7">
      <w:pPr>
        <w:jc w:val="both"/>
      </w:pPr>
      <w:r>
        <w:fldChar w:fldCharType="end"/>
      </w:r>
    </w:p>
    <w:p w14:paraId="599F120D" w14:textId="77777777" w:rsidR="00D25B3A" w:rsidRPr="00925FBE" w:rsidRDefault="00D25B3A" w:rsidP="00BE29A7">
      <w:pPr>
        <w:spacing w:before="0" w:after="160"/>
        <w:jc w:val="both"/>
      </w:pPr>
    </w:p>
    <w:p w14:paraId="4684567D" w14:textId="77777777" w:rsidR="00D25B3A" w:rsidRPr="00925FBE" w:rsidRDefault="00D25B3A" w:rsidP="00BE29A7">
      <w:pPr>
        <w:spacing w:before="0" w:after="160"/>
        <w:jc w:val="both"/>
      </w:pPr>
    </w:p>
    <w:p w14:paraId="5DF6C41D" w14:textId="77777777" w:rsidR="00D25B3A" w:rsidRPr="00925FBE" w:rsidRDefault="00D25B3A" w:rsidP="00BE29A7">
      <w:pPr>
        <w:spacing w:before="0" w:after="160"/>
        <w:jc w:val="both"/>
      </w:pPr>
    </w:p>
    <w:bookmarkEnd w:id="19"/>
    <w:p w14:paraId="5ECE6A0B" w14:textId="77777777" w:rsidR="00D25B3A" w:rsidRPr="00925FBE" w:rsidRDefault="00D25B3A" w:rsidP="00BE29A7">
      <w:pPr>
        <w:spacing w:before="0" w:after="160"/>
        <w:jc w:val="both"/>
      </w:pPr>
    </w:p>
    <w:p w14:paraId="2FC71C36" w14:textId="77777777" w:rsidR="00D25B3A" w:rsidRPr="00925FBE" w:rsidRDefault="00D25B3A" w:rsidP="00BE29A7">
      <w:pPr>
        <w:spacing w:before="0" w:after="160"/>
        <w:jc w:val="both"/>
      </w:pPr>
    </w:p>
    <w:p w14:paraId="049212E5" w14:textId="77777777" w:rsidR="00D25B3A" w:rsidRPr="00925FBE" w:rsidRDefault="00D25B3A" w:rsidP="00BE29A7">
      <w:pPr>
        <w:spacing w:before="0" w:after="160"/>
        <w:jc w:val="both"/>
      </w:pPr>
    </w:p>
    <w:p w14:paraId="72EB9568" w14:textId="77777777" w:rsidR="00D25B3A" w:rsidRPr="00925FBE" w:rsidRDefault="00D25B3A" w:rsidP="00BE29A7">
      <w:pPr>
        <w:spacing w:before="0" w:after="160"/>
        <w:jc w:val="both"/>
      </w:pPr>
    </w:p>
    <w:p w14:paraId="52CFBC27" w14:textId="77777777" w:rsidR="00D25B3A" w:rsidRPr="00925FBE" w:rsidRDefault="00D25B3A" w:rsidP="00BE29A7">
      <w:pPr>
        <w:spacing w:before="0" w:after="160"/>
        <w:jc w:val="both"/>
      </w:pPr>
    </w:p>
    <w:p w14:paraId="06720A4D" w14:textId="77777777" w:rsidR="00D25B3A" w:rsidRPr="00925FBE" w:rsidRDefault="00D25B3A" w:rsidP="00BE29A7">
      <w:pPr>
        <w:spacing w:before="0" w:after="160"/>
        <w:jc w:val="both"/>
        <w:sectPr w:rsidR="00D25B3A" w:rsidRPr="00925FBE" w:rsidSect="00744F3B">
          <w:pgSz w:w="11906" w:h="16838" w:code="9"/>
          <w:pgMar w:top="1440" w:right="1440" w:bottom="1440" w:left="1440" w:header="720" w:footer="720" w:gutter="0"/>
          <w:pgNumType w:fmt="lowerRoman" w:start="1"/>
          <w:cols w:space="720"/>
          <w:docGrid w:linePitch="360"/>
        </w:sectPr>
      </w:pPr>
    </w:p>
    <w:p w14:paraId="7CCE4FA2" w14:textId="77777777" w:rsidR="003269A4" w:rsidRDefault="002F4936" w:rsidP="00776702">
      <w:pPr>
        <w:pStyle w:val="Heading1"/>
        <w:numPr>
          <w:ilvl w:val="0"/>
          <w:numId w:val="0"/>
        </w:numPr>
        <w:ind w:left="720" w:hanging="720"/>
        <w:rPr>
          <w:rFonts w:ascii="Open Sans" w:hAnsi="Open Sans"/>
        </w:rPr>
      </w:pPr>
      <w:bookmarkStart w:id="21" w:name="_Toc216948958"/>
      <w:bookmarkStart w:id="22" w:name="_Toc26267389"/>
      <w:bookmarkStart w:id="23" w:name="_Toc55478812"/>
      <w:bookmarkStart w:id="24" w:name="_Toc473323199"/>
      <w:r w:rsidRPr="00925FBE">
        <w:rPr>
          <w:rFonts w:ascii="Open Sans" w:hAnsi="Open Sans"/>
        </w:rPr>
        <w:lastRenderedPageBreak/>
        <w:t>Acronym</w:t>
      </w:r>
      <w:r w:rsidR="002B0FC4" w:rsidRPr="00925FBE">
        <w:rPr>
          <w:rFonts w:ascii="Open Sans" w:hAnsi="Open Sans"/>
        </w:rPr>
        <w:t>es</w:t>
      </w:r>
      <w:bookmarkEnd w:id="21"/>
    </w:p>
    <w:p w14:paraId="6001CF30" w14:textId="6E959DA9" w:rsidR="00776702" w:rsidRDefault="002B0FC4" w:rsidP="0006635C">
      <w:pPr>
        <w:pStyle w:val="NoSpacing"/>
      </w:pPr>
      <w:r w:rsidRPr="00925FBE">
        <w:t xml:space="preserve"> </w:t>
      </w:r>
    </w:p>
    <w:tbl>
      <w:tblPr>
        <w:tblStyle w:val="Grilledutableau1"/>
        <w:tblW w:w="0" w:type="auto"/>
        <w:tblInd w:w="0" w:type="dxa"/>
        <w:tblLook w:val="04A0" w:firstRow="1" w:lastRow="0" w:firstColumn="1" w:lastColumn="0" w:noHBand="0" w:noVBand="1"/>
      </w:tblPr>
      <w:tblGrid>
        <w:gridCol w:w="1838"/>
        <w:gridCol w:w="6802"/>
      </w:tblGrid>
      <w:tr w:rsidR="003269A4" w:rsidRPr="004F5DAE" w14:paraId="757152D9"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1B9BCBC8" w14:textId="77777777" w:rsidR="003269A4" w:rsidRPr="003269A4" w:rsidRDefault="003269A4" w:rsidP="003269A4">
            <w:pPr>
              <w:spacing w:before="0" w:after="0" w:line="259" w:lineRule="auto"/>
              <w:rPr>
                <w:rFonts w:cs="Open Sans"/>
                <w:sz w:val="18"/>
                <w:szCs w:val="18"/>
              </w:rPr>
            </w:pPr>
            <w:r w:rsidRPr="003269A4">
              <w:rPr>
                <w:rFonts w:cs="Open Sans"/>
                <w:sz w:val="18"/>
                <w:szCs w:val="18"/>
              </w:rPr>
              <w:t>ABN</w:t>
            </w:r>
          </w:p>
        </w:tc>
        <w:tc>
          <w:tcPr>
            <w:tcW w:w="6802" w:type="dxa"/>
            <w:tcBorders>
              <w:top w:val="single" w:sz="4" w:space="0" w:color="auto"/>
              <w:left w:val="single" w:sz="4" w:space="0" w:color="auto"/>
              <w:bottom w:val="single" w:sz="4" w:space="0" w:color="auto"/>
              <w:right w:val="single" w:sz="4" w:space="0" w:color="auto"/>
            </w:tcBorders>
            <w:hideMark/>
          </w:tcPr>
          <w:p w14:paraId="42E56570" w14:textId="77777777" w:rsidR="003269A4" w:rsidRPr="003269A4" w:rsidRDefault="003269A4" w:rsidP="003269A4">
            <w:pPr>
              <w:spacing w:before="0" w:after="0" w:line="259" w:lineRule="auto"/>
              <w:rPr>
                <w:rFonts w:cs="Open Sans"/>
                <w:sz w:val="18"/>
                <w:szCs w:val="18"/>
              </w:rPr>
            </w:pPr>
            <w:r w:rsidRPr="003269A4">
              <w:rPr>
                <w:rFonts w:cs="Open Sans"/>
                <w:sz w:val="18"/>
                <w:szCs w:val="18"/>
              </w:rPr>
              <w:t xml:space="preserve">Association Burundaise des Naturalistes </w:t>
            </w:r>
          </w:p>
        </w:tc>
      </w:tr>
      <w:tr w:rsidR="003269A4" w:rsidRPr="004F5DAE" w14:paraId="393E6349"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178454E2" w14:textId="77777777" w:rsidR="003269A4" w:rsidRPr="003269A4" w:rsidRDefault="003269A4" w:rsidP="003269A4">
            <w:pPr>
              <w:spacing w:before="0" w:after="0" w:line="259" w:lineRule="auto"/>
              <w:rPr>
                <w:rFonts w:cs="Open Sans"/>
                <w:sz w:val="18"/>
                <w:szCs w:val="18"/>
              </w:rPr>
            </w:pPr>
            <w:r w:rsidRPr="003269A4">
              <w:rPr>
                <w:rFonts w:cs="Open Sans"/>
                <w:sz w:val="18"/>
                <w:szCs w:val="18"/>
              </w:rPr>
              <w:t>AfDB / BAD</w:t>
            </w:r>
          </w:p>
        </w:tc>
        <w:tc>
          <w:tcPr>
            <w:tcW w:w="6802" w:type="dxa"/>
            <w:tcBorders>
              <w:top w:val="single" w:sz="4" w:space="0" w:color="auto"/>
              <w:left w:val="single" w:sz="4" w:space="0" w:color="auto"/>
              <w:bottom w:val="single" w:sz="4" w:space="0" w:color="auto"/>
              <w:right w:val="single" w:sz="4" w:space="0" w:color="auto"/>
            </w:tcBorders>
            <w:hideMark/>
          </w:tcPr>
          <w:p w14:paraId="4AB913EE" w14:textId="77777777" w:rsidR="003269A4" w:rsidRPr="003269A4" w:rsidRDefault="003269A4" w:rsidP="003269A4">
            <w:pPr>
              <w:spacing w:before="0" w:after="0" w:line="259" w:lineRule="auto"/>
              <w:rPr>
                <w:rFonts w:cs="Open Sans"/>
                <w:sz w:val="18"/>
                <w:szCs w:val="18"/>
              </w:rPr>
            </w:pPr>
            <w:r w:rsidRPr="003269A4">
              <w:rPr>
                <w:rFonts w:cs="Open Sans"/>
                <w:sz w:val="18"/>
                <w:szCs w:val="18"/>
              </w:rPr>
              <w:t xml:space="preserve">Banque africaine de développement </w:t>
            </w:r>
          </w:p>
        </w:tc>
      </w:tr>
      <w:tr w:rsidR="003269A4" w:rsidRPr="004F5DAE" w14:paraId="63CAF668"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2973A87C" w14:textId="77777777" w:rsidR="003269A4" w:rsidRPr="003269A4" w:rsidRDefault="003269A4" w:rsidP="003269A4">
            <w:pPr>
              <w:spacing w:before="0" w:after="0" w:line="259" w:lineRule="auto"/>
              <w:rPr>
                <w:rFonts w:cs="Open Sans"/>
                <w:sz w:val="18"/>
                <w:szCs w:val="18"/>
              </w:rPr>
            </w:pPr>
            <w:r w:rsidRPr="003269A4">
              <w:rPr>
                <w:rFonts w:cs="Open Sans"/>
                <w:sz w:val="18"/>
                <w:szCs w:val="18"/>
              </w:rPr>
              <w:t>AFEB</w:t>
            </w:r>
          </w:p>
        </w:tc>
        <w:tc>
          <w:tcPr>
            <w:tcW w:w="6802" w:type="dxa"/>
            <w:tcBorders>
              <w:top w:val="single" w:sz="4" w:space="0" w:color="auto"/>
              <w:left w:val="single" w:sz="4" w:space="0" w:color="auto"/>
              <w:bottom w:val="single" w:sz="4" w:space="0" w:color="auto"/>
              <w:right w:val="single" w:sz="4" w:space="0" w:color="auto"/>
            </w:tcBorders>
            <w:hideMark/>
          </w:tcPr>
          <w:p w14:paraId="55136307" w14:textId="77777777" w:rsidR="003269A4" w:rsidRPr="003269A4" w:rsidRDefault="003269A4" w:rsidP="003269A4">
            <w:pPr>
              <w:spacing w:before="0" w:after="0" w:line="259" w:lineRule="auto"/>
              <w:rPr>
                <w:rFonts w:cs="Open Sans"/>
                <w:sz w:val="18"/>
                <w:szCs w:val="18"/>
              </w:rPr>
            </w:pPr>
            <w:r w:rsidRPr="003269A4">
              <w:rPr>
                <w:rFonts w:cs="Open Sans"/>
                <w:sz w:val="18"/>
                <w:szCs w:val="18"/>
              </w:rPr>
              <w:t>Association Femme et Environnement au Burundi</w:t>
            </w:r>
          </w:p>
        </w:tc>
      </w:tr>
      <w:tr w:rsidR="003269A4" w:rsidRPr="004F5DAE" w14:paraId="236EC251"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7C5BDF13" w14:textId="77777777" w:rsidR="003269A4" w:rsidRPr="003269A4" w:rsidRDefault="003269A4" w:rsidP="003269A4">
            <w:pPr>
              <w:spacing w:before="0" w:after="0" w:line="259" w:lineRule="auto"/>
              <w:rPr>
                <w:rFonts w:cs="Open Sans"/>
                <w:sz w:val="18"/>
                <w:szCs w:val="18"/>
              </w:rPr>
            </w:pPr>
            <w:r w:rsidRPr="003269A4">
              <w:rPr>
                <w:rFonts w:cs="Open Sans"/>
                <w:sz w:val="18"/>
                <w:szCs w:val="18"/>
              </w:rPr>
              <w:t>AGR</w:t>
            </w:r>
          </w:p>
        </w:tc>
        <w:tc>
          <w:tcPr>
            <w:tcW w:w="6802" w:type="dxa"/>
            <w:tcBorders>
              <w:top w:val="single" w:sz="4" w:space="0" w:color="auto"/>
              <w:left w:val="single" w:sz="4" w:space="0" w:color="auto"/>
              <w:bottom w:val="single" w:sz="4" w:space="0" w:color="auto"/>
              <w:right w:val="single" w:sz="4" w:space="0" w:color="auto"/>
            </w:tcBorders>
            <w:hideMark/>
          </w:tcPr>
          <w:p w14:paraId="6B89E04C" w14:textId="77777777" w:rsidR="003269A4" w:rsidRPr="003269A4" w:rsidRDefault="003269A4" w:rsidP="003269A4">
            <w:pPr>
              <w:spacing w:before="0" w:after="0" w:line="259" w:lineRule="auto"/>
              <w:rPr>
                <w:rFonts w:cs="Open Sans"/>
                <w:sz w:val="18"/>
                <w:szCs w:val="18"/>
              </w:rPr>
            </w:pPr>
            <w:r w:rsidRPr="003269A4">
              <w:rPr>
                <w:rFonts w:cs="Open Sans"/>
                <w:sz w:val="18"/>
                <w:szCs w:val="18"/>
              </w:rPr>
              <w:t>Activités génératrices de revenus</w:t>
            </w:r>
          </w:p>
        </w:tc>
      </w:tr>
      <w:tr w:rsidR="00B746AB" w:rsidRPr="004F5DAE" w14:paraId="3E58A57B" w14:textId="77777777" w:rsidTr="00077F88">
        <w:tc>
          <w:tcPr>
            <w:tcW w:w="1838" w:type="dxa"/>
            <w:tcBorders>
              <w:top w:val="single" w:sz="4" w:space="0" w:color="auto"/>
              <w:left w:val="single" w:sz="4" w:space="0" w:color="auto"/>
              <w:bottom w:val="single" w:sz="4" w:space="0" w:color="auto"/>
              <w:right w:val="single" w:sz="4" w:space="0" w:color="auto"/>
            </w:tcBorders>
          </w:tcPr>
          <w:p w14:paraId="4A22F51A" w14:textId="6F5A6D36" w:rsidR="00B746AB" w:rsidRPr="003269A4" w:rsidRDefault="00B746AB" w:rsidP="003269A4">
            <w:pPr>
              <w:spacing w:before="0" w:after="0"/>
              <w:rPr>
                <w:rFonts w:cs="Open Sans"/>
                <w:sz w:val="18"/>
                <w:szCs w:val="18"/>
              </w:rPr>
            </w:pPr>
            <w:r>
              <w:rPr>
                <w:rFonts w:cs="Open Sans"/>
                <w:sz w:val="18"/>
                <w:szCs w:val="18"/>
              </w:rPr>
              <w:t>BIF</w:t>
            </w:r>
          </w:p>
        </w:tc>
        <w:tc>
          <w:tcPr>
            <w:tcW w:w="6802" w:type="dxa"/>
            <w:tcBorders>
              <w:top w:val="single" w:sz="4" w:space="0" w:color="auto"/>
              <w:left w:val="single" w:sz="4" w:space="0" w:color="auto"/>
              <w:bottom w:val="single" w:sz="4" w:space="0" w:color="auto"/>
              <w:right w:val="single" w:sz="4" w:space="0" w:color="auto"/>
            </w:tcBorders>
          </w:tcPr>
          <w:p w14:paraId="3A21D0EB" w14:textId="28A5CFE7" w:rsidR="00B746AB" w:rsidRPr="003269A4" w:rsidRDefault="00B746AB" w:rsidP="003269A4">
            <w:pPr>
              <w:spacing w:before="0" w:after="0"/>
              <w:rPr>
                <w:rFonts w:cs="Open Sans"/>
                <w:sz w:val="18"/>
                <w:szCs w:val="18"/>
              </w:rPr>
            </w:pPr>
            <w:r>
              <w:rPr>
                <w:rFonts w:cs="Open Sans"/>
                <w:sz w:val="18"/>
                <w:szCs w:val="18"/>
              </w:rPr>
              <w:t xml:space="preserve">Franc Burundais </w:t>
            </w:r>
          </w:p>
        </w:tc>
      </w:tr>
      <w:tr w:rsidR="003269A4" w:rsidRPr="004F5DAE" w14:paraId="6111B4A5" w14:textId="77777777" w:rsidTr="00077F88">
        <w:tc>
          <w:tcPr>
            <w:tcW w:w="1838" w:type="dxa"/>
            <w:tcBorders>
              <w:top w:val="single" w:sz="4" w:space="0" w:color="auto"/>
              <w:left w:val="single" w:sz="4" w:space="0" w:color="auto"/>
              <w:bottom w:val="single" w:sz="4" w:space="0" w:color="auto"/>
              <w:right w:val="single" w:sz="4" w:space="0" w:color="auto"/>
            </w:tcBorders>
          </w:tcPr>
          <w:p w14:paraId="6B2156E5" w14:textId="77777777" w:rsidR="003269A4" w:rsidRPr="003269A4" w:rsidRDefault="003269A4" w:rsidP="003269A4">
            <w:pPr>
              <w:spacing w:before="0" w:after="0" w:line="259" w:lineRule="auto"/>
              <w:rPr>
                <w:rFonts w:cs="Open Sans"/>
                <w:sz w:val="18"/>
                <w:szCs w:val="18"/>
              </w:rPr>
            </w:pPr>
            <w:r w:rsidRPr="003269A4">
              <w:rPr>
                <w:rFonts w:cs="Open Sans"/>
                <w:sz w:val="18"/>
                <w:szCs w:val="18"/>
              </w:rPr>
              <w:t>3C</w:t>
            </w:r>
          </w:p>
        </w:tc>
        <w:tc>
          <w:tcPr>
            <w:tcW w:w="6802" w:type="dxa"/>
            <w:tcBorders>
              <w:top w:val="single" w:sz="4" w:space="0" w:color="auto"/>
              <w:left w:val="single" w:sz="4" w:space="0" w:color="auto"/>
              <w:bottom w:val="single" w:sz="4" w:space="0" w:color="auto"/>
              <w:right w:val="single" w:sz="4" w:space="0" w:color="auto"/>
            </w:tcBorders>
          </w:tcPr>
          <w:p w14:paraId="790F753E" w14:textId="77777777" w:rsidR="003269A4" w:rsidRPr="003269A4" w:rsidRDefault="003269A4" w:rsidP="003269A4">
            <w:pPr>
              <w:spacing w:before="0" w:after="0" w:line="259" w:lineRule="auto"/>
              <w:rPr>
                <w:rFonts w:cs="Open Sans"/>
                <w:sz w:val="18"/>
                <w:szCs w:val="18"/>
              </w:rPr>
            </w:pPr>
            <w:r w:rsidRPr="003269A4">
              <w:rPr>
                <w:rFonts w:cs="Open Sans"/>
                <w:sz w:val="18"/>
                <w:szCs w:val="18"/>
              </w:rPr>
              <w:t>Conservation et communauté de changement</w:t>
            </w:r>
          </w:p>
        </w:tc>
      </w:tr>
      <w:tr w:rsidR="00C502DD" w:rsidRPr="004F5DAE" w14:paraId="5BED81E8" w14:textId="77777777" w:rsidTr="00077F88">
        <w:tc>
          <w:tcPr>
            <w:tcW w:w="1838" w:type="dxa"/>
            <w:tcBorders>
              <w:top w:val="single" w:sz="4" w:space="0" w:color="auto"/>
              <w:left w:val="single" w:sz="4" w:space="0" w:color="auto"/>
              <w:bottom w:val="single" w:sz="4" w:space="0" w:color="auto"/>
              <w:right w:val="single" w:sz="4" w:space="0" w:color="auto"/>
            </w:tcBorders>
          </w:tcPr>
          <w:p w14:paraId="321A9197" w14:textId="35CDC492" w:rsidR="00C502DD" w:rsidRPr="003269A4" w:rsidRDefault="00C502DD" w:rsidP="003269A4">
            <w:pPr>
              <w:spacing w:before="0" w:after="0"/>
              <w:rPr>
                <w:rFonts w:cs="Open Sans"/>
                <w:sz w:val="18"/>
                <w:szCs w:val="18"/>
              </w:rPr>
            </w:pPr>
            <w:r>
              <w:rPr>
                <w:rFonts w:cs="Open Sans"/>
                <w:sz w:val="18"/>
                <w:szCs w:val="18"/>
              </w:rPr>
              <w:t>CAFI</w:t>
            </w:r>
          </w:p>
        </w:tc>
        <w:tc>
          <w:tcPr>
            <w:tcW w:w="6802" w:type="dxa"/>
            <w:tcBorders>
              <w:top w:val="single" w:sz="4" w:space="0" w:color="auto"/>
              <w:left w:val="single" w:sz="4" w:space="0" w:color="auto"/>
              <w:bottom w:val="single" w:sz="4" w:space="0" w:color="auto"/>
              <w:right w:val="single" w:sz="4" w:space="0" w:color="auto"/>
            </w:tcBorders>
          </w:tcPr>
          <w:p w14:paraId="40501975" w14:textId="2FBDE5B9" w:rsidR="00C502DD" w:rsidRPr="003269A4" w:rsidRDefault="00C502DD" w:rsidP="003269A4">
            <w:pPr>
              <w:spacing w:before="0" w:after="0"/>
              <w:rPr>
                <w:rFonts w:cs="Open Sans"/>
                <w:sz w:val="18"/>
                <w:szCs w:val="18"/>
              </w:rPr>
            </w:pPr>
            <w:r>
              <w:rPr>
                <w:rFonts w:cs="Open Sans"/>
                <w:sz w:val="18"/>
                <w:szCs w:val="18"/>
              </w:rPr>
              <w:t xml:space="preserve">Central </w:t>
            </w:r>
            <w:proofErr w:type="spellStart"/>
            <w:r>
              <w:rPr>
                <w:rFonts w:cs="Open Sans"/>
                <w:sz w:val="18"/>
                <w:szCs w:val="18"/>
              </w:rPr>
              <w:t>African</w:t>
            </w:r>
            <w:proofErr w:type="spellEnd"/>
            <w:r>
              <w:rPr>
                <w:rFonts w:cs="Open Sans"/>
                <w:sz w:val="18"/>
                <w:szCs w:val="18"/>
              </w:rPr>
              <w:t xml:space="preserve"> Forest Initiative / </w:t>
            </w:r>
            <w:r w:rsidRPr="00C502DD">
              <w:rPr>
                <w:rFonts w:cs="Open Sans"/>
                <w:sz w:val="18"/>
                <w:szCs w:val="18"/>
              </w:rPr>
              <w:t>Initiative pour la Forêt d'Afrique Centrale</w:t>
            </w:r>
          </w:p>
        </w:tc>
      </w:tr>
      <w:tr w:rsidR="003269A4" w:rsidRPr="004F5DAE" w14:paraId="3B7371D2"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7F4C1825" w14:textId="77777777" w:rsidR="003269A4" w:rsidRPr="003269A4" w:rsidRDefault="003269A4" w:rsidP="003269A4">
            <w:pPr>
              <w:spacing w:before="0" w:after="0" w:line="259" w:lineRule="auto"/>
              <w:rPr>
                <w:rFonts w:cs="Open Sans"/>
                <w:sz w:val="18"/>
                <w:szCs w:val="18"/>
              </w:rPr>
            </w:pPr>
            <w:r w:rsidRPr="003269A4">
              <w:rPr>
                <w:rFonts w:cs="Open Sans"/>
                <w:sz w:val="18"/>
                <w:szCs w:val="18"/>
              </w:rPr>
              <w:t>CAD / CAD-OCDE</w:t>
            </w:r>
          </w:p>
        </w:tc>
        <w:tc>
          <w:tcPr>
            <w:tcW w:w="6802" w:type="dxa"/>
            <w:tcBorders>
              <w:top w:val="single" w:sz="4" w:space="0" w:color="auto"/>
              <w:left w:val="single" w:sz="4" w:space="0" w:color="auto"/>
              <w:bottom w:val="single" w:sz="4" w:space="0" w:color="auto"/>
              <w:right w:val="single" w:sz="4" w:space="0" w:color="auto"/>
            </w:tcBorders>
            <w:hideMark/>
          </w:tcPr>
          <w:p w14:paraId="25474D76" w14:textId="77777777" w:rsidR="003269A4" w:rsidRPr="003269A4" w:rsidRDefault="003269A4" w:rsidP="003269A4">
            <w:pPr>
              <w:spacing w:before="0" w:after="0" w:line="259" w:lineRule="auto"/>
              <w:rPr>
                <w:rFonts w:cs="Open Sans"/>
                <w:sz w:val="18"/>
                <w:szCs w:val="18"/>
              </w:rPr>
            </w:pPr>
            <w:r w:rsidRPr="003269A4">
              <w:rPr>
                <w:rFonts w:cs="Open Sans"/>
                <w:sz w:val="18"/>
                <w:szCs w:val="18"/>
              </w:rPr>
              <w:t>Comité d’aide au développement (de l’OCDE)</w:t>
            </w:r>
          </w:p>
        </w:tc>
      </w:tr>
      <w:tr w:rsidR="00310888" w:rsidRPr="004F5DAE" w14:paraId="4BE7700C" w14:textId="77777777" w:rsidTr="00077F88">
        <w:tc>
          <w:tcPr>
            <w:tcW w:w="1838" w:type="dxa"/>
            <w:tcBorders>
              <w:top w:val="single" w:sz="4" w:space="0" w:color="auto"/>
              <w:left w:val="single" w:sz="4" w:space="0" w:color="auto"/>
              <w:bottom w:val="single" w:sz="4" w:space="0" w:color="auto"/>
              <w:right w:val="single" w:sz="4" w:space="0" w:color="auto"/>
            </w:tcBorders>
          </w:tcPr>
          <w:p w14:paraId="17B54D5C" w14:textId="45434601" w:rsidR="00310888" w:rsidRPr="003269A4" w:rsidRDefault="00310888" w:rsidP="003269A4">
            <w:pPr>
              <w:spacing w:before="0" w:after="0"/>
              <w:rPr>
                <w:rFonts w:cs="Open Sans"/>
                <w:sz w:val="18"/>
                <w:szCs w:val="18"/>
              </w:rPr>
            </w:pPr>
            <w:r>
              <w:rPr>
                <w:rFonts w:cs="Open Sans"/>
                <w:sz w:val="18"/>
                <w:szCs w:val="18"/>
              </w:rPr>
              <w:t>CDN</w:t>
            </w:r>
          </w:p>
        </w:tc>
        <w:tc>
          <w:tcPr>
            <w:tcW w:w="6802" w:type="dxa"/>
            <w:tcBorders>
              <w:top w:val="single" w:sz="4" w:space="0" w:color="auto"/>
              <w:left w:val="single" w:sz="4" w:space="0" w:color="auto"/>
              <w:bottom w:val="single" w:sz="4" w:space="0" w:color="auto"/>
              <w:right w:val="single" w:sz="4" w:space="0" w:color="auto"/>
            </w:tcBorders>
          </w:tcPr>
          <w:p w14:paraId="21657287" w14:textId="3457C3C3" w:rsidR="00310888" w:rsidRPr="003269A4" w:rsidRDefault="00310888" w:rsidP="003269A4">
            <w:pPr>
              <w:spacing w:before="0" w:after="0"/>
              <w:rPr>
                <w:rFonts w:cs="Open Sans"/>
                <w:sz w:val="18"/>
                <w:szCs w:val="18"/>
              </w:rPr>
            </w:pPr>
            <w:r>
              <w:rPr>
                <w:rFonts w:cs="Open Sans"/>
                <w:sz w:val="18"/>
                <w:szCs w:val="18"/>
              </w:rPr>
              <w:t>C</w:t>
            </w:r>
            <w:r w:rsidR="00BC4309">
              <w:rPr>
                <w:rFonts w:cs="Open Sans"/>
                <w:sz w:val="18"/>
                <w:szCs w:val="18"/>
              </w:rPr>
              <w:t>o</w:t>
            </w:r>
            <w:r>
              <w:rPr>
                <w:rFonts w:cs="Open Sans"/>
                <w:sz w:val="18"/>
                <w:szCs w:val="18"/>
              </w:rPr>
              <w:t>ntribution D</w:t>
            </w:r>
            <w:r w:rsidR="00BC4309">
              <w:rPr>
                <w:rFonts w:cs="Open Sans"/>
                <w:sz w:val="18"/>
                <w:szCs w:val="18"/>
              </w:rPr>
              <w:t>é</w:t>
            </w:r>
            <w:r>
              <w:rPr>
                <w:rFonts w:cs="Open Sans"/>
                <w:sz w:val="18"/>
                <w:szCs w:val="18"/>
              </w:rPr>
              <w:t>terminée au niveau Natio</w:t>
            </w:r>
            <w:r w:rsidR="00BC4309">
              <w:rPr>
                <w:rFonts w:cs="Open Sans"/>
                <w:sz w:val="18"/>
                <w:szCs w:val="18"/>
              </w:rPr>
              <w:t>nal</w:t>
            </w:r>
          </w:p>
        </w:tc>
      </w:tr>
      <w:tr w:rsidR="003269A4" w:rsidRPr="004F5DAE" w14:paraId="65C0C126"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56E269D7" w14:textId="77777777" w:rsidR="003269A4" w:rsidRPr="003269A4" w:rsidRDefault="003269A4" w:rsidP="003269A4">
            <w:pPr>
              <w:spacing w:before="0" w:after="0" w:line="259" w:lineRule="auto"/>
              <w:rPr>
                <w:rFonts w:cs="Open Sans"/>
                <w:sz w:val="18"/>
                <w:szCs w:val="18"/>
              </w:rPr>
            </w:pPr>
            <w:r w:rsidRPr="003269A4">
              <w:rPr>
                <w:rFonts w:cs="Open Sans"/>
                <w:sz w:val="18"/>
                <w:szCs w:val="18"/>
              </w:rPr>
              <w:t>COH</w:t>
            </w:r>
          </w:p>
        </w:tc>
        <w:tc>
          <w:tcPr>
            <w:tcW w:w="6802" w:type="dxa"/>
            <w:tcBorders>
              <w:top w:val="single" w:sz="4" w:space="0" w:color="auto"/>
              <w:left w:val="single" w:sz="4" w:space="0" w:color="auto"/>
              <w:bottom w:val="single" w:sz="4" w:space="0" w:color="auto"/>
              <w:right w:val="single" w:sz="4" w:space="0" w:color="auto"/>
            </w:tcBorders>
            <w:hideMark/>
          </w:tcPr>
          <w:p w14:paraId="4703542B" w14:textId="77777777" w:rsidR="003269A4" w:rsidRPr="003269A4" w:rsidRDefault="003269A4" w:rsidP="003269A4">
            <w:pPr>
              <w:spacing w:before="0" w:after="0" w:line="259" w:lineRule="auto"/>
              <w:rPr>
                <w:rFonts w:cs="Open Sans"/>
                <w:sz w:val="18"/>
                <w:szCs w:val="18"/>
              </w:rPr>
            </w:pPr>
            <w:proofErr w:type="spellStart"/>
            <w:r w:rsidRPr="003269A4">
              <w:rPr>
                <w:rFonts w:cs="Open Sans"/>
                <w:sz w:val="18"/>
                <w:szCs w:val="18"/>
              </w:rPr>
              <w:t>Communities</w:t>
            </w:r>
            <w:proofErr w:type="spellEnd"/>
            <w:r w:rsidRPr="003269A4">
              <w:rPr>
                <w:rFonts w:cs="Open Sans"/>
                <w:sz w:val="18"/>
                <w:szCs w:val="18"/>
              </w:rPr>
              <w:t xml:space="preserve"> of Hope</w:t>
            </w:r>
          </w:p>
        </w:tc>
      </w:tr>
      <w:tr w:rsidR="0026408F" w:rsidRPr="004F5DAE" w14:paraId="656CAE88" w14:textId="77777777" w:rsidTr="00077F88">
        <w:tc>
          <w:tcPr>
            <w:tcW w:w="1838" w:type="dxa"/>
            <w:tcBorders>
              <w:top w:val="single" w:sz="4" w:space="0" w:color="auto"/>
              <w:left w:val="single" w:sz="4" w:space="0" w:color="auto"/>
              <w:bottom w:val="single" w:sz="4" w:space="0" w:color="auto"/>
              <w:right w:val="single" w:sz="4" w:space="0" w:color="auto"/>
            </w:tcBorders>
          </w:tcPr>
          <w:p w14:paraId="48287A6F" w14:textId="4DFEBE06" w:rsidR="0026408F" w:rsidRDefault="0026408F" w:rsidP="003269A4">
            <w:pPr>
              <w:spacing w:before="0" w:after="0"/>
              <w:rPr>
                <w:rFonts w:cs="Open Sans"/>
                <w:sz w:val="18"/>
                <w:szCs w:val="18"/>
              </w:rPr>
            </w:pPr>
            <w:r>
              <w:rPr>
                <w:rFonts w:cs="Open Sans"/>
                <w:sz w:val="18"/>
                <w:szCs w:val="18"/>
              </w:rPr>
              <w:t>COMIFAC</w:t>
            </w:r>
          </w:p>
        </w:tc>
        <w:tc>
          <w:tcPr>
            <w:tcW w:w="6802" w:type="dxa"/>
            <w:tcBorders>
              <w:top w:val="single" w:sz="4" w:space="0" w:color="auto"/>
              <w:left w:val="single" w:sz="4" w:space="0" w:color="auto"/>
              <w:bottom w:val="single" w:sz="4" w:space="0" w:color="auto"/>
              <w:right w:val="single" w:sz="4" w:space="0" w:color="auto"/>
            </w:tcBorders>
          </w:tcPr>
          <w:p w14:paraId="53EDD0B6" w14:textId="273D29A4" w:rsidR="0026408F" w:rsidRDefault="0026408F" w:rsidP="003269A4">
            <w:pPr>
              <w:spacing w:before="0" w:after="0"/>
              <w:rPr>
                <w:rFonts w:cs="Open Sans"/>
                <w:sz w:val="18"/>
                <w:szCs w:val="18"/>
              </w:rPr>
            </w:pPr>
            <w:r>
              <w:rPr>
                <w:rFonts w:cs="Open Sans"/>
                <w:sz w:val="18"/>
                <w:szCs w:val="18"/>
              </w:rPr>
              <w:t>Co</w:t>
            </w:r>
            <w:r w:rsidR="007768C4">
              <w:rPr>
                <w:rFonts w:cs="Open Sans"/>
                <w:sz w:val="18"/>
                <w:szCs w:val="18"/>
              </w:rPr>
              <w:t xml:space="preserve">mmission </w:t>
            </w:r>
            <w:r>
              <w:rPr>
                <w:rFonts w:cs="Open Sans"/>
                <w:sz w:val="18"/>
                <w:szCs w:val="18"/>
              </w:rPr>
              <w:t xml:space="preserve">des forêts d’Afrique </w:t>
            </w:r>
            <w:r w:rsidR="007768C4">
              <w:rPr>
                <w:rFonts w:cs="Open Sans"/>
                <w:sz w:val="18"/>
                <w:szCs w:val="18"/>
              </w:rPr>
              <w:t>Centrale</w:t>
            </w:r>
            <w:r>
              <w:rPr>
                <w:rFonts w:cs="Open Sans"/>
                <w:sz w:val="18"/>
                <w:szCs w:val="18"/>
              </w:rPr>
              <w:t xml:space="preserve"> </w:t>
            </w:r>
          </w:p>
        </w:tc>
      </w:tr>
      <w:tr w:rsidR="00202863" w:rsidRPr="004F5DAE" w14:paraId="1A5A67C8" w14:textId="77777777" w:rsidTr="00077F88">
        <w:tc>
          <w:tcPr>
            <w:tcW w:w="1838" w:type="dxa"/>
            <w:tcBorders>
              <w:top w:val="single" w:sz="4" w:space="0" w:color="auto"/>
              <w:left w:val="single" w:sz="4" w:space="0" w:color="auto"/>
              <w:bottom w:val="single" w:sz="4" w:space="0" w:color="auto"/>
              <w:right w:val="single" w:sz="4" w:space="0" w:color="auto"/>
            </w:tcBorders>
          </w:tcPr>
          <w:p w14:paraId="18DB812B" w14:textId="6680D050" w:rsidR="00202863" w:rsidRPr="003269A4" w:rsidRDefault="00202863" w:rsidP="003269A4">
            <w:pPr>
              <w:spacing w:before="0" w:after="0"/>
              <w:rPr>
                <w:rFonts w:cs="Open Sans"/>
                <w:sz w:val="18"/>
                <w:szCs w:val="18"/>
              </w:rPr>
            </w:pPr>
            <w:r>
              <w:rPr>
                <w:rFonts w:cs="Open Sans"/>
                <w:sz w:val="18"/>
                <w:szCs w:val="18"/>
              </w:rPr>
              <w:t>COPIL</w:t>
            </w:r>
          </w:p>
        </w:tc>
        <w:tc>
          <w:tcPr>
            <w:tcW w:w="6802" w:type="dxa"/>
            <w:tcBorders>
              <w:top w:val="single" w:sz="4" w:space="0" w:color="auto"/>
              <w:left w:val="single" w:sz="4" w:space="0" w:color="auto"/>
              <w:bottom w:val="single" w:sz="4" w:space="0" w:color="auto"/>
              <w:right w:val="single" w:sz="4" w:space="0" w:color="auto"/>
            </w:tcBorders>
          </w:tcPr>
          <w:p w14:paraId="37F703D2" w14:textId="463E5AD6" w:rsidR="00202863" w:rsidRPr="003269A4" w:rsidRDefault="00202863" w:rsidP="003269A4">
            <w:pPr>
              <w:spacing w:before="0" w:after="0"/>
              <w:rPr>
                <w:rFonts w:cs="Open Sans"/>
                <w:sz w:val="18"/>
                <w:szCs w:val="18"/>
              </w:rPr>
            </w:pPr>
            <w:r>
              <w:rPr>
                <w:rFonts w:cs="Open Sans"/>
                <w:sz w:val="18"/>
                <w:szCs w:val="18"/>
              </w:rPr>
              <w:t xml:space="preserve">Comité de Pilotage </w:t>
            </w:r>
          </w:p>
        </w:tc>
      </w:tr>
      <w:tr w:rsidR="003269A4" w:rsidRPr="004F5DAE" w14:paraId="0557A22E"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2EBEAC3E" w14:textId="77777777" w:rsidR="003269A4" w:rsidRPr="003269A4" w:rsidRDefault="003269A4" w:rsidP="003269A4">
            <w:pPr>
              <w:spacing w:before="0" w:after="0" w:line="259" w:lineRule="auto"/>
              <w:rPr>
                <w:rFonts w:cs="Open Sans"/>
                <w:sz w:val="18"/>
                <w:szCs w:val="18"/>
              </w:rPr>
            </w:pPr>
            <w:r w:rsidRPr="003269A4">
              <w:rPr>
                <w:rFonts w:cs="Open Sans"/>
                <w:sz w:val="18"/>
                <w:szCs w:val="18"/>
              </w:rPr>
              <w:t>CPK</w:t>
            </w:r>
          </w:p>
        </w:tc>
        <w:tc>
          <w:tcPr>
            <w:tcW w:w="6802" w:type="dxa"/>
            <w:tcBorders>
              <w:top w:val="single" w:sz="4" w:space="0" w:color="auto"/>
              <w:left w:val="single" w:sz="4" w:space="0" w:color="auto"/>
              <w:bottom w:val="single" w:sz="4" w:space="0" w:color="auto"/>
              <w:right w:val="single" w:sz="4" w:space="0" w:color="auto"/>
            </w:tcBorders>
            <w:hideMark/>
          </w:tcPr>
          <w:p w14:paraId="63E28D67" w14:textId="77777777" w:rsidR="003269A4" w:rsidRPr="003269A4" w:rsidRDefault="003269A4" w:rsidP="003269A4">
            <w:pPr>
              <w:spacing w:before="0" w:after="0" w:line="259" w:lineRule="auto"/>
              <w:rPr>
                <w:rFonts w:cs="Open Sans"/>
                <w:sz w:val="18"/>
                <w:szCs w:val="18"/>
              </w:rPr>
            </w:pPr>
            <w:r w:rsidRPr="003269A4">
              <w:rPr>
                <w:rFonts w:cs="Open Sans"/>
                <w:sz w:val="18"/>
                <w:szCs w:val="18"/>
              </w:rPr>
              <w:t xml:space="preserve">Comités de Protection de la Kibira </w:t>
            </w:r>
          </w:p>
        </w:tc>
      </w:tr>
      <w:tr w:rsidR="003269A4" w:rsidRPr="004F5DAE" w14:paraId="4009CD45"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0DF5788F" w14:textId="77777777" w:rsidR="003269A4" w:rsidRPr="003269A4" w:rsidRDefault="003269A4" w:rsidP="003269A4">
            <w:pPr>
              <w:spacing w:before="0" w:after="0" w:line="259" w:lineRule="auto"/>
              <w:rPr>
                <w:rFonts w:cs="Open Sans"/>
                <w:sz w:val="18"/>
                <w:szCs w:val="18"/>
              </w:rPr>
            </w:pPr>
            <w:r w:rsidRPr="003269A4">
              <w:rPr>
                <w:rFonts w:cs="Open Sans"/>
                <w:sz w:val="18"/>
                <w:szCs w:val="18"/>
              </w:rPr>
              <w:t>ENABEL</w:t>
            </w:r>
          </w:p>
        </w:tc>
        <w:tc>
          <w:tcPr>
            <w:tcW w:w="6802" w:type="dxa"/>
            <w:tcBorders>
              <w:top w:val="single" w:sz="4" w:space="0" w:color="auto"/>
              <w:left w:val="single" w:sz="4" w:space="0" w:color="auto"/>
              <w:bottom w:val="single" w:sz="4" w:space="0" w:color="auto"/>
              <w:right w:val="single" w:sz="4" w:space="0" w:color="auto"/>
            </w:tcBorders>
            <w:hideMark/>
          </w:tcPr>
          <w:p w14:paraId="1D1EC21E" w14:textId="702EBDD1" w:rsidR="003269A4" w:rsidRPr="003269A4" w:rsidRDefault="003269A4" w:rsidP="003269A4">
            <w:pPr>
              <w:spacing w:before="0" w:after="0" w:line="259" w:lineRule="auto"/>
              <w:rPr>
                <w:rFonts w:cs="Open Sans"/>
                <w:sz w:val="18"/>
                <w:szCs w:val="18"/>
              </w:rPr>
            </w:pPr>
            <w:r w:rsidRPr="003269A4">
              <w:rPr>
                <w:rFonts w:cs="Open Sans"/>
                <w:sz w:val="18"/>
                <w:szCs w:val="18"/>
              </w:rPr>
              <w:t xml:space="preserve">Agence belge de développement </w:t>
            </w:r>
          </w:p>
        </w:tc>
      </w:tr>
      <w:tr w:rsidR="003269A4" w:rsidRPr="004F5DAE" w14:paraId="6006227D"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531497C6" w14:textId="77777777" w:rsidR="003269A4" w:rsidRPr="003269A4" w:rsidRDefault="003269A4" w:rsidP="003269A4">
            <w:pPr>
              <w:spacing w:before="0" w:after="0" w:line="259" w:lineRule="auto"/>
              <w:rPr>
                <w:rFonts w:cs="Open Sans"/>
                <w:sz w:val="18"/>
                <w:szCs w:val="18"/>
              </w:rPr>
            </w:pPr>
            <w:r w:rsidRPr="003269A4">
              <w:rPr>
                <w:rFonts w:cs="Open Sans"/>
                <w:sz w:val="18"/>
                <w:szCs w:val="18"/>
              </w:rPr>
              <w:t>FG</w:t>
            </w:r>
          </w:p>
        </w:tc>
        <w:tc>
          <w:tcPr>
            <w:tcW w:w="6802" w:type="dxa"/>
            <w:tcBorders>
              <w:top w:val="single" w:sz="4" w:space="0" w:color="auto"/>
              <w:left w:val="single" w:sz="4" w:space="0" w:color="auto"/>
              <w:bottom w:val="single" w:sz="4" w:space="0" w:color="auto"/>
              <w:right w:val="single" w:sz="4" w:space="0" w:color="auto"/>
            </w:tcBorders>
            <w:hideMark/>
          </w:tcPr>
          <w:p w14:paraId="580F5A40" w14:textId="77777777" w:rsidR="003269A4" w:rsidRPr="003269A4" w:rsidRDefault="003269A4" w:rsidP="003269A4">
            <w:pPr>
              <w:spacing w:before="0" w:after="0" w:line="259" w:lineRule="auto"/>
              <w:rPr>
                <w:rFonts w:cs="Open Sans"/>
                <w:sz w:val="18"/>
                <w:szCs w:val="18"/>
              </w:rPr>
            </w:pPr>
            <w:r w:rsidRPr="003269A4">
              <w:rPr>
                <w:rFonts w:cs="Open Sans"/>
                <w:sz w:val="18"/>
                <w:szCs w:val="18"/>
              </w:rPr>
              <w:t>Focus groups (outil de collecte de données)</w:t>
            </w:r>
          </w:p>
        </w:tc>
      </w:tr>
      <w:tr w:rsidR="00C502DD" w:rsidRPr="00C502DD" w14:paraId="469039CC" w14:textId="77777777" w:rsidTr="00077F88">
        <w:tc>
          <w:tcPr>
            <w:tcW w:w="1838" w:type="dxa"/>
            <w:tcBorders>
              <w:top w:val="single" w:sz="4" w:space="0" w:color="auto"/>
              <w:left w:val="single" w:sz="4" w:space="0" w:color="auto"/>
              <w:bottom w:val="single" w:sz="4" w:space="0" w:color="auto"/>
              <w:right w:val="single" w:sz="4" w:space="0" w:color="auto"/>
            </w:tcBorders>
          </w:tcPr>
          <w:p w14:paraId="47234D72" w14:textId="7521E2E4" w:rsidR="00C502DD" w:rsidRPr="003269A4" w:rsidRDefault="00C502DD" w:rsidP="003269A4">
            <w:pPr>
              <w:spacing w:before="0" w:after="0"/>
              <w:rPr>
                <w:rFonts w:cs="Open Sans"/>
                <w:sz w:val="18"/>
                <w:szCs w:val="18"/>
              </w:rPr>
            </w:pPr>
            <w:r>
              <w:rPr>
                <w:rFonts w:cs="Open Sans"/>
                <w:sz w:val="18"/>
                <w:szCs w:val="18"/>
              </w:rPr>
              <w:t>GCF</w:t>
            </w:r>
          </w:p>
        </w:tc>
        <w:tc>
          <w:tcPr>
            <w:tcW w:w="6802" w:type="dxa"/>
            <w:tcBorders>
              <w:top w:val="single" w:sz="4" w:space="0" w:color="auto"/>
              <w:left w:val="single" w:sz="4" w:space="0" w:color="auto"/>
              <w:bottom w:val="single" w:sz="4" w:space="0" w:color="auto"/>
              <w:right w:val="single" w:sz="4" w:space="0" w:color="auto"/>
            </w:tcBorders>
          </w:tcPr>
          <w:p w14:paraId="305EF957" w14:textId="751A5CE4" w:rsidR="00C502DD" w:rsidRPr="00C502DD" w:rsidRDefault="00C502DD" w:rsidP="003269A4">
            <w:pPr>
              <w:spacing w:before="0" w:after="0"/>
              <w:rPr>
                <w:rFonts w:cs="Open Sans"/>
                <w:sz w:val="18"/>
                <w:szCs w:val="18"/>
              </w:rPr>
            </w:pPr>
            <w:r w:rsidRPr="00C502DD">
              <w:rPr>
                <w:rFonts w:cs="Open Sans"/>
                <w:sz w:val="18"/>
                <w:szCs w:val="18"/>
              </w:rPr>
              <w:t>Green Climat Fund / Fonds Vert pour le</w:t>
            </w:r>
            <w:r>
              <w:rPr>
                <w:rFonts w:cs="Open Sans"/>
                <w:sz w:val="18"/>
                <w:szCs w:val="18"/>
              </w:rPr>
              <w:t xml:space="preserve"> Climat </w:t>
            </w:r>
          </w:p>
        </w:tc>
      </w:tr>
      <w:tr w:rsidR="00DD7392" w:rsidRPr="004F5DAE" w14:paraId="57605FF1" w14:textId="77777777" w:rsidTr="00077F88">
        <w:tc>
          <w:tcPr>
            <w:tcW w:w="1838" w:type="dxa"/>
            <w:tcBorders>
              <w:top w:val="single" w:sz="4" w:space="0" w:color="auto"/>
              <w:left w:val="single" w:sz="4" w:space="0" w:color="auto"/>
              <w:bottom w:val="single" w:sz="4" w:space="0" w:color="auto"/>
              <w:right w:val="single" w:sz="4" w:space="0" w:color="auto"/>
            </w:tcBorders>
          </w:tcPr>
          <w:p w14:paraId="20AA7163" w14:textId="350AD1C6" w:rsidR="00DD7392" w:rsidRPr="003269A4" w:rsidRDefault="00DD7392" w:rsidP="003269A4">
            <w:pPr>
              <w:spacing w:before="0" w:after="0"/>
              <w:rPr>
                <w:rFonts w:cs="Open Sans"/>
                <w:sz w:val="18"/>
                <w:szCs w:val="18"/>
              </w:rPr>
            </w:pPr>
            <w:r>
              <w:rPr>
                <w:rFonts w:cs="Open Sans"/>
                <w:sz w:val="18"/>
                <w:szCs w:val="18"/>
              </w:rPr>
              <w:t>GEF</w:t>
            </w:r>
          </w:p>
        </w:tc>
        <w:tc>
          <w:tcPr>
            <w:tcW w:w="6802" w:type="dxa"/>
            <w:tcBorders>
              <w:top w:val="single" w:sz="4" w:space="0" w:color="auto"/>
              <w:left w:val="single" w:sz="4" w:space="0" w:color="auto"/>
              <w:bottom w:val="single" w:sz="4" w:space="0" w:color="auto"/>
              <w:right w:val="single" w:sz="4" w:space="0" w:color="auto"/>
            </w:tcBorders>
          </w:tcPr>
          <w:p w14:paraId="45CCA846" w14:textId="258319DF" w:rsidR="00DD7392" w:rsidRPr="003269A4" w:rsidRDefault="00C502DD" w:rsidP="003269A4">
            <w:pPr>
              <w:spacing w:before="0" w:after="0"/>
              <w:rPr>
                <w:rFonts w:cs="Open Sans"/>
                <w:sz w:val="18"/>
                <w:szCs w:val="18"/>
              </w:rPr>
            </w:pPr>
            <w:r>
              <w:rPr>
                <w:rFonts w:cs="Open Sans"/>
                <w:sz w:val="18"/>
                <w:szCs w:val="18"/>
              </w:rPr>
              <w:t xml:space="preserve">Global </w:t>
            </w:r>
            <w:proofErr w:type="spellStart"/>
            <w:r>
              <w:rPr>
                <w:rFonts w:cs="Open Sans"/>
                <w:sz w:val="18"/>
                <w:szCs w:val="18"/>
              </w:rPr>
              <w:t>Environment</w:t>
            </w:r>
            <w:proofErr w:type="spellEnd"/>
            <w:r>
              <w:rPr>
                <w:rFonts w:cs="Open Sans"/>
                <w:sz w:val="18"/>
                <w:szCs w:val="18"/>
              </w:rPr>
              <w:t xml:space="preserve"> Facility / </w:t>
            </w:r>
            <w:r w:rsidR="00DD7392">
              <w:rPr>
                <w:rFonts w:cs="Open Sans"/>
                <w:sz w:val="18"/>
                <w:szCs w:val="18"/>
              </w:rPr>
              <w:t>Fonds pour l’Environnement Mondial</w:t>
            </w:r>
          </w:p>
        </w:tc>
      </w:tr>
      <w:tr w:rsidR="003269A4" w:rsidRPr="004F5DAE" w14:paraId="6748616D"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6665FC0F" w14:textId="77777777" w:rsidR="003269A4" w:rsidRPr="003269A4" w:rsidRDefault="003269A4" w:rsidP="003269A4">
            <w:pPr>
              <w:spacing w:before="0" w:after="0" w:line="259" w:lineRule="auto"/>
              <w:rPr>
                <w:rFonts w:cs="Open Sans"/>
                <w:sz w:val="18"/>
                <w:szCs w:val="18"/>
              </w:rPr>
            </w:pPr>
            <w:r w:rsidRPr="003269A4">
              <w:rPr>
                <w:rFonts w:cs="Open Sans"/>
                <w:sz w:val="18"/>
                <w:szCs w:val="18"/>
              </w:rPr>
              <w:t>KIOKA</w:t>
            </w:r>
          </w:p>
        </w:tc>
        <w:tc>
          <w:tcPr>
            <w:tcW w:w="6802" w:type="dxa"/>
            <w:tcBorders>
              <w:top w:val="single" w:sz="4" w:space="0" w:color="auto"/>
              <w:left w:val="single" w:sz="4" w:space="0" w:color="auto"/>
              <w:bottom w:val="single" w:sz="4" w:space="0" w:color="auto"/>
              <w:right w:val="single" w:sz="4" w:space="0" w:color="auto"/>
            </w:tcBorders>
            <w:hideMark/>
          </w:tcPr>
          <w:p w14:paraId="7183C5CE" w14:textId="77777777" w:rsidR="003269A4" w:rsidRPr="003269A4" w:rsidRDefault="003269A4" w:rsidP="003269A4">
            <w:pPr>
              <w:spacing w:before="0" w:after="0" w:line="259" w:lineRule="auto"/>
              <w:rPr>
                <w:rFonts w:cs="Open Sans"/>
                <w:sz w:val="18"/>
                <w:szCs w:val="18"/>
              </w:rPr>
            </w:pPr>
            <w:r w:rsidRPr="003269A4">
              <w:rPr>
                <w:rFonts w:cs="Open Sans"/>
                <w:sz w:val="18"/>
                <w:szCs w:val="18"/>
              </w:rPr>
              <w:t>Organisation locale – à confirmer (partenaire de mise en œuvre)</w:t>
            </w:r>
          </w:p>
        </w:tc>
      </w:tr>
      <w:tr w:rsidR="0094432B" w:rsidRPr="004F5DAE" w14:paraId="1812236D" w14:textId="77777777" w:rsidTr="00077F88">
        <w:tc>
          <w:tcPr>
            <w:tcW w:w="1838" w:type="dxa"/>
            <w:tcBorders>
              <w:top w:val="single" w:sz="4" w:space="0" w:color="auto"/>
              <w:left w:val="single" w:sz="4" w:space="0" w:color="auto"/>
              <w:bottom w:val="single" w:sz="4" w:space="0" w:color="auto"/>
              <w:right w:val="single" w:sz="4" w:space="0" w:color="auto"/>
            </w:tcBorders>
          </w:tcPr>
          <w:p w14:paraId="4FAA40EA" w14:textId="2DC6AAE4" w:rsidR="0094432B" w:rsidRPr="003269A4" w:rsidRDefault="0094432B" w:rsidP="003269A4">
            <w:pPr>
              <w:spacing w:before="0" w:after="0"/>
              <w:rPr>
                <w:rFonts w:cs="Open Sans"/>
                <w:sz w:val="18"/>
                <w:szCs w:val="18"/>
              </w:rPr>
            </w:pPr>
            <w:r>
              <w:rPr>
                <w:rFonts w:cs="Open Sans"/>
                <w:sz w:val="18"/>
                <w:szCs w:val="18"/>
              </w:rPr>
              <w:t>K$</w:t>
            </w:r>
          </w:p>
        </w:tc>
        <w:tc>
          <w:tcPr>
            <w:tcW w:w="6802" w:type="dxa"/>
            <w:tcBorders>
              <w:top w:val="single" w:sz="4" w:space="0" w:color="auto"/>
              <w:left w:val="single" w:sz="4" w:space="0" w:color="auto"/>
              <w:bottom w:val="single" w:sz="4" w:space="0" w:color="auto"/>
              <w:right w:val="single" w:sz="4" w:space="0" w:color="auto"/>
            </w:tcBorders>
          </w:tcPr>
          <w:p w14:paraId="5189370F" w14:textId="0071F51F" w:rsidR="0094432B" w:rsidRPr="003269A4" w:rsidRDefault="0094432B" w:rsidP="003269A4">
            <w:pPr>
              <w:spacing w:before="0" w:after="0"/>
              <w:rPr>
                <w:rFonts w:cs="Open Sans"/>
                <w:sz w:val="18"/>
                <w:szCs w:val="18"/>
              </w:rPr>
            </w:pPr>
            <w:r>
              <w:rPr>
                <w:rFonts w:cs="Open Sans"/>
                <w:sz w:val="18"/>
                <w:szCs w:val="18"/>
              </w:rPr>
              <w:t xml:space="preserve">Mille dollars américains </w:t>
            </w:r>
          </w:p>
        </w:tc>
      </w:tr>
      <w:tr w:rsidR="003269A4" w:rsidRPr="004F5DAE" w14:paraId="3F3C2442"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5ECE7A86" w14:textId="77777777" w:rsidR="003269A4" w:rsidRPr="003269A4" w:rsidRDefault="003269A4" w:rsidP="003269A4">
            <w:pPr>
              <w:spacing w:before="0" w:after="0" w:line="259" w:lineRule="auto"/>
              <w:rPr>
                <w:rFonts w:cs="Open Sans"/>
                <w:sz w:val="18"/>
                <w:szCs w:val="18"/>
              </w:rPr>
            </w:pPr>
            <w:r w:rsidRPr="003269A4">
              <w:rPr>
                <w:rFonts w:cs="Open Sans"/>
                <w:sz w:val="18"/>
                <w:szCs w:val="18"/>
              </w:rPr>
              <w:t>LNOB</w:t>
            </w:r>
          </w:p>
        </w:tc>
        <w:tc>
          <w:tcPr>
            <w:tcW w:w="6802" w:type="dxa"/>
            <w:tcBorders>
              <w:top w:val="single" w:sz="4" w:space="0" w:color="auto"/>
              <w:left w:val="single" w:sz="4" w:space="0" w:color="auto"/>
              <w:bottom w:val="single" w:sz="4" w:space="0" w:color="auto"/>
              <w:right w:val="single" w:sz="4" w:space="0" w:color="auto"/>
            </w:tcBorders>
            <w:hideMark/>
          </w:tcPr>
          <w:p w14:paraId="323F3E0C" w14:textId="77777777" w:rsidR="003269A4" w:rsidRPr="003269A4" w:rsidRDefault="003269A4" w:rsidP="003269A4">
            <w:pPr>
              <w:spacing w:before="0" w:after="0" w:line="259" w:lineRule="auto"/>
              <w:rPr>
                <w:rFonts w:cs="Open Sans"/>
                <w:sz w:val="18"/>
                <w:szCs w:val="18"/>
              </w:rPr>
            </w:pPr>
            <w:r w:rsidRPr="003269A4">
              <w:rPr>
                <w:rFonts w:cs="Open Sans"/>
                <w:sz w:val="18"/>
                <w:szCs w:val="18"/>
              </w:rPr>
              <w:t>“</w:t>
            </w:r>
            <w:proofErr w:type="spellStart"/>
            <w:r w:rsidRPr="003269A4">
              <w:rPr>
                <w:rFonts w:cs="Open Sans"/>
                <w:sz w:val="18"/>
                <w:szCs w:val="18"/>
              </w:rPr>
              <w:t>Leave</w:t>
            </w:r>
            <w:proofErr w:type="spellEnd"/>
            <w:r w:rsidRPr="003269A4">
              <w:rPr>
                <w:rFonts w:cs="Open Sans"/>
                <w:sz w:val="18"/>
                <w:szCs w:val="18"/>
              </w:rPr>
              <w:t xml:space="preserve"> No One </w:t>
            </w:r>
            <w:proofErr w:type="spellStart"/>
            <w:r w:rsidRPr="003269A4">
              <w:rPr>
                <w:rFonts w:cs="Open Sans"/>
                <w:sz w:val="18"/>
                <w:szCs w:val="18"/>
              </w:rPr>
              <w:t>Behind</w:t>
            </w:r>
            <w:proofErr w:type="spellEnd"/>
            <w:r w:rsidRPr="003269A4">
              <w:rPr>
                <w:rFonts w:cs="Open Sans"/>
                <w:sz w:val="18"/>
                <w:szCs w:val="18"/>
              </w:rPr>
              <w:t>” / « Ne laisser personne de côté » (principe transversal)</w:t>
            </w:r>
          </w:p>
        </w:tc>
      </w:tr>
      <w:tr w:rsidR="003269A4" w:rsidRPr="004F5DAE" w14:paraId="0951BB1C"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0147BFE9" w14:textId="77777777" w:rsidR="003269A4" w:rsidRPr="003269A4" w:rsidRDefault="003269A4" w:rsidP="003269A4">
            <w:pPr>
              <w:spacing w:before="0" w:after="0" w:line="259" w:lineRule="auto"/>
              <w:rPr>
                <w:rFonts w:cs="Open Sans"/>
                <w:sz w:val="18"/>
                <w:szCs w:val="18"/>
              </w:rPr>
            </w:pPr>
            <w:r w:rsidRPr="003269A4">
              <w:rPr>
                <w:rFonts w:cs="Open Sans"/>
                <w:sz w:val="18"/>
                <w:szCs w:val="18"/>
              </w:rPr>
              <w:t>M&amp;E</w:t>
            </w:r>
          </w:p>
        </w:tc>
        <w:tc>
          <w:tcPr>
            <w:tcW w:w="6802" w:type="dxa"/>
            <w:tcBorders>
              <w:top w:val="single" w:sz="4" w:space="0" w:color="auto"/>
              <w:left w:val="single" w:sz="4" w:space="0" w:color="auto"/>
              <w:bottom w:val="single" w:sz="4" w:space="0" w:color="auto"/>
              <w:right w:val="single" w:sz="4" w:space="0" w:color="auto"/>
            </w:tcBorders>
            <w:hideMark/>
          </w:tcPr>
          <w:p w14:paraId="389A0F82" w14:textId="77777777" w:rsidR="003269A4" w:rsidRPr="003269A4" w:rsidRDefault="003269A4" w:rsidP="003269A4">
            <w:pPr>
              <w:spacing w:before="0" w:after="0" w:line="259" w:lineRule="auto"/>
              <w:rPr>
                <w:rFonts w:cs="Open Sans"/>
                <w:sz w:val="18"/>
                <w:szCs w:val="18"/>
              </w:rPr>
            </w:pPr>
            <w:r w:rsidRPr="003269A4">
              <w:rPr>
                <w:rFonts w:cs="Open Sans"/>
                <w:sz w:val="18"/>
                <w:szCs w:val="18"/>
              </w:rPr>
              <w:t>Monitoring &amp; Evaluation / Suivi-Évaluation</w:t>
            </w:r>
          </w:p>
        </w:tc>
      </w:tr>
      <w:tr w:rsidR="003269A4" w:rsidRPr="004F5DAE" w14:paraId="48998220"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1F83C7B0" w14:textId="77777777" w:rsidR="003269A4" w:rsidRPr="003269A4" w:rsidRDefault="003269A4" w:rsidP="003269A4">
            <w:pPr>
              <w:spacing w:before="0" w:after="0" w:line="259" w:lineRule="auto"/>
              <w:rPr>
                <w:rFonts w:cs="Open Sans"/>
                <w:sz w:val="18"/>
                <w:szCs w:val="18"/>
              </w:rPr>
            </w:pPr>
            <w:r w:rsidRPr="003269A4">
              <w:rPr>
                <w:rFonts w:cs="Open Sans"/>
                <w:sz w:val="18"/>
                <w:szCs w:val="18"/>
              </w:rPr>
              <w:t>MSC</w:t>
            </w:r>
          </w:p>
        </w:tc>
        <w:tc>
          <w:tcPr>
            <w:tcW w:w="6802" w:type="dxa"/>
            <w:tcBorders>
              <w:top w:val="single" w:sz="4" w:space="0" w:color="auto"/>
              <w:left w:val="single" w:sz="4" w:space="0" w:color="auto"/>
              <w:bottom w:val="single" w:sz="4" w:space="0" w:color="auto"/>
              <w:right w:val="single" w:sz="4" w:space="0" w:color="auto"/>
            </w:tcBorders>
            <w:hideMark/>
          </w:tcPr>
          <w:p w14:paraId="1D906C5A" w14:textId="77777777" w:rsidR="003269A4" w:rsidRPr="003269A4" w:rsidRDefault="003269A4" w:rsidP="003269A4">
            <w:pPr>
              <w:spacing w:before="0" w:after="0" w:line="259" w:lineRule="auto"/>
              <w:rPr>
                <w:rFonts w:cs="Open Sans"/>
                <w:sz w:val="18"/>
                <w:szCs w:val="18"/>
              </w:rPr>
            </w:pPr>
            <w:r w:rsidRPr="003269A4">
              <w:rPr>
                <w:rFonts w:cs="Open Sans"/>
                <w:sz w:val="18"/>
                <w:szCs w:val="18"/>
              </w:rPr>
              <w:t xml:space="preserve">Most </w:t>
            </w:r>
            <w:proofErr w:type="spellStart"/>
            <w:r w:rsidRPr="003269A4">
              <w:rPr>
                <w:rFonts w:cs="Open Sans"/>
                <w:sz w:val="18"/>
                <w:szCs w:val="18"/>
              </w:rPr>
              <w:t>Significant</w:t>
            </w:r>
            <w:proofErr w:type="spellEnd"/>
            <w:r w:rsidRPr="003269A4">
              <w:rPr>
                <w:rFonts w:cs="Open Sans"/>
                <w:sz w:val="18"/>
                <w:szCs w:val="18"/>
              </w:rPr>
              <w:t xml:space="preserve"> Change (méthode participative d’analyse du changement)</w:t>
            </w:r>
          </w:p>
        </w:tc>
      </w:tr>
      <w:tr w:rsidR="0094432B" w:rsidRPr="004F5DAE" w14:paraId="057041BF" w14:textId="77777777" w:rsidTr="00077F88">
        <w:tc>
          <w:tcPr>
            <w:tcW w:w="1838" w:type="dxa"/>
            <w:tcBorders>
              <w:top w:val="single" w:sz="4" w:space="0" w:color="auto"/>
              <w:left w:val="single" w:sz="4" w:space="0" w:color="auto"/>
              <w:bottom w:val="single" w:sz="4" w:space="0" w:color="auto"/>
              <w:right w:val="single" w:sz="4" w:space="0" w:color="auto"/>
            </w:tcBorders>
          </w:tcPr>
          <w:p w14:paraId="647D37A9" w14:textId="3F2686D6" w:rsidR="0094432B" w:rsidRPr="003269A4" w:rsidRDefault="0094432B" w:rsidP="003269A4">
            <w:pPr>
              <w:spacing w:before="0" w:after="0"/>
              <w:rPr>
                <w:rFonts w:cs="Open Sans"/>
                <w:sz w:val="18"/>
                <w:szCs w:val="18"/>
              </w:rPr>
            </w:pPr>
            <w:r>
              <w:rPr>
                <w:rFonts w:cs="Open Sans"/>
                <w:sz w:val="18"/>
                <w:szCs w:val="18"/>
              </w:rPr>
              <w:t>MW</w:t>
            </w:r>
          </w:p>
        </w:tc>
        <w:tc>
          <w:tcPr>
            <w:tcW w:w="6802" w:type="dxa"/>
            <w:tcBorders>
              <w:top w:val="single" w:sz="4" w:space="0" w:color="auto"/>
              <w:left w:val="single" w:sz="4" w:space="0" w:color="auto"/>
              <w:bottom w:val="single" w:sz="4" w:space="0" w:color="auto"/>
              <w:right w:val="single" w:sz="4" w:space="0" w:color="auto"/>
            </w:tcBorders>
          </w:tcPr>
          <w:p w14:paraId="32CD34D3" w14:textId="1C6E054D" w:rsidR="0094432B" w:rsidRPr="003269A4" w:rsidRDefault="0094432B" w:rsidP="003269A4">
            <w:pPr>
              <w:spacing w:before="0" w:after="0"/>
              <w:rPr>
                <w:rFonts w:cs="Open Sans"/>
                <w:sz w:val="18"/>
                <w:szCs w:val="18"/>
              </w:rPr>
            </w:pPr>
            <w:r>
              <w:rPr>
                <w:rFonts w:cs="Open Sans"/>
                <w:sz w:val="18"/>
                <w:szCs w:val="18"/>
              </w:rPr>
              <w:t>Méga Watt</w:t>
            </w:r>
          </w:p>
        </w:tc>
      </w:tr>
      <w:tr w:rsidR="0094432B" w:rsidRPr="004F5DAE" w14:paraId="7796CD43" w14:textId="77777777" w:rsidTr="00077F88">
        <w:tc>
          <w:tcPr>
            <w:tcW w:w="1838" w:type="dxa"/>
            <w:tcBorders>
              <w:top w:val="single" w:sz="4" w:space="0" w:color="auto"/>
              <w:left w:val="single" w:sz="4" w:space="0" w:color="auto"/>
              <w:bottom w:val="single" w:sz="4" w:space="0" w:color="auto"/>
              <w:right w:val="single" w:sz="4" w:space="0" w:color="auto"/>
            </w:tcBorders>
          </w:tcPr>
          <w:p w14:paraId="599C1326" w14:textId="08B4202A" w:rsidR="0094432B" w:rsidRDefault="0094432B" w:rsidP="003269A4">
            <w:pPr>
              <w:spacing w:before="0" w:after="0"/>
              <w:rPr>
                <w:rFonts w:cs="Open Sans"/>
                <w:sz w:val="18"/>
                <w:szCs w:val="18"/>
              </w:rPr>
            </w:pPr>
            <w:r>
              <w:rPr>
                <w:rFonts w:cs="Open Sans"/>
                <w:sz w:val="18"/>
                <w:szCs w:val="18"/>
              </w:rPr>
              <w:t>M$</w:t>
            </w:r>
          </w:p>
        </w:tc>
        <w:tc>
          <w:tcPr>
            <w:tcW w:w="6802" w:type="dxa"/>
            <w:tcBorders>
              <w:top w:val="single" w:sz="4" w:space="0" w:color="auto"/>
              <w:left w:val="single" w:sz="4" w:space="0" w:color="auto"/>
              <w:bottom w:val="single" w:sz="4" w:space="0" w:color="auto"/>
              <w:right w:val="single" w:sz="4" w:space="0" w:color="auto"/>
            </w:tcBorders>
          </w:tcPr>
          <w:p w14:paraId="53978A05" w14:textId="43FD977A" w:rsidR="0094432B" w:rsidRDefault="0094432B" w:rsidP="003269A4">
            <w:pPr>
              <w:spacing w:before="0" w:after="0"/>
              <w:rPr>
                <w:rFonts w:cs="Open Sans"/>
                <w:sz w:val="18"/>
                <w:szCs w:val="18"/>
              </w:rPr>
            </w:pPr>
            <w:r>
              <w:rPr>
                <w:rFonts w:cs="Open Sans"/>
                <w:sz w:val="18"/>
                <w:szCs w:val="18"/>
              </w:rPr>
              <w:t xml:space="preserve">Millions Dollars américains </w:t>
            </w:r>
          </w:p>
        </w:tc>
      </w:tr>
      <w:tr w:rsidR="003269A4" w:rsidRPr="004F5DAE" w14:paraId="1C4A83DF"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4421DFC4" w14:textId="77777777" w:rsidR="003269A4" w:rsidRPr="003269A4" w:rsidRDefault="003269A4" w:rsidP="003269A4">
            <w:pPr>
              <w:spacing w:before="0" w:after="0" w:line="259" w:lineRule="auto"/>
              <w:rPr>
                <w:rFonts w:cs="Open Sans"/>
                <w:sz w:val="18"/>
                <w:szCs w:val="18"/>
              </w:rPr>
            </w:pPr>
            <w:r w:rsidRPr="003269A4">
              <w:rPr>
                <w:rFonts w:cs="Open Sans"/>
                <w:sz w:val="18"/>
                <w:szCs w:val="18"/>
              </w:rPr>
              <w:t>NCE</w:t>
            </w:r>
          </w:p>
        </w:tc>
        <w:tc>
          <w:tcPr>
            <w:tcW w:w="6802" w:type="dxa"/>
            <w:tcBorders>
              <w:top w:val="single" w:sz="4" w:space="0" w:color="auto"/>
              <w:left w:val="single" w:sz="4" w:space="0" w:color="auto"/>
              <w:bottom w:val="single" w:sz="4" w:space="0" w:color="auto"/>
              <w:right w:val="single" w:sz="4" w:space="0" w:color="auto"/>
            </w:tcBorders>
            <w:hideMark/>
          </w:tcPr>
          <w:p w14:paraId="62922962" w14:textId="77777777" w:rsidR="003269A4" w:rsidRPr="003269A4" w:rsidRDefault="003269A4" w:rsidP="003269A4">
            <w:pPr>
              <w:spacing w:before="0" w:after="0" w:line="259" w:lineRule="auto"/>
              <w:rPr>
                <w:rFonts w:cs="Open Sans"/>
                <w:sz w:val="18"/>
                <w:szCs w:val="18"/>
              </w:rPr>
            </w:pPr>
            <w:r w:rsidRPr="003269A4">
              <w:rPr>
                <w:rFonts w:cs="Open Sans"/>
                <w:sz w:val="18"/>
                <w:szCs w:val="18"/>
              </w:rPr>
              <w:t>No-Cost Extension (extension de projet sans coût – août 2024)</w:t>
            </w:r>
          </w:p>
        </w:tc>
      </w:tr>
      <w:tr w:rsidR="00FE66C2" w:rsidRPr="004F5DAE" w14:paraId="3239257C" w14:textId="77777777" w:rsidTr="00077F88">
        <w:tc>
          <w:tcPr>
            <w:tcW w:w="1838" w:type="dxa"/>
            <w:tcBorders>
              <w:top w:val="single" w:sz="4" w:space="0" w:color="auto"/>
              <w:left w:val="single" w:sz="4" w:space="0" w:color="auto"/>
              <w:bottom w:val="single" w:sz="4" w:space="0" w:color="auto"/>
              <w:right w:val="single" w:sz="4" w:space="0" w:color="auto"/>
            </w:tcBorders>
          </w:tcPr>
          <w:p w14:paraId="1230F3FC" w14:textId="564005A0" w:rsidR="00FE66C2" w:rsidRPr="003269A4" w:rsidRDefault="00FE66C2" w:rsidP="003269A4">
            <w:pPr>
              <w:spacing w:before="0" w:after="0"/>
              <w:rPr>
                <w:rFonts w:cs="Open Sans"/>
                <w:sz w:val="18"/>
                <w:szCs w:val="18"/>
              </w:rPr>
            </w:pPr>
            <w:r>
              <w:rPr>
                <w:rFonts w:cs="Open Sans"/>
                <w:sz w:val="18"/>
                <w:szCs w:val="18"/>
              </w:rPr>
              <w:t>ND</w:t>
            </w:r>
          </w:p>
        </w:tc>
        <w:tc>
          <w:tcPr>
            <w:tcW w:w="6802" w:type="dxa"/>
            <w:tcBorders>
              <w:top w:val="single" w:sz="4" w:space="0" w:color="auto"/>
              <w:left w:val="single" w:sz="4" w:space="0" w:color="auto"/>
              <w:bottom w:val="single" w:sz="4" w:space="0" w:color="auto"/>
              <w:right w:val="single" w:sz="4" w:space="0" w:color="auto"/>
            </w:tcBorders>
          </w:tcPr>
          <w:p w14:paraId="7B0CB999" w14:textId="045A5398" w:rsidR="00FE66C2" w:rsidRPr="003269A4" w:rsidRDefault="00FE66C2" w:rsidP="003269A4">
            <w:pPr>
              <w:spacing w:before="0" w:after="0"/>
              <w:rPr>
                <w:rFonts w:cs="Open Sans"/>
                <w:sz w:val="18"/>
                <w:szCs w:val="18"/>
              </w:rPr>
            </w:pPr>
            <w:r>
              <w:rPr>
                <w:rFonts w:cs="Open Sans"/>
                <w:sz w:val="18"/>
                <w:szCs w:val="18"/>
              </w:rPr>
              <w:t xml:space="preserve">Non Disponible </w:t>
            </w:r>
          </w:p>
        </w:tc>
      </w:tr>
      <w:tr w:rsidR="003269A4" w:rsidRPr="004F5DAE" w14:paraId="0C4E45E0"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71B1D1BC" w14:textId="77777777" w:rsidR="003269A4" w:rsidRPr="003269A4" w:rsidRDefault="003269A4" w:rsidP="003269A4">
            <w:pPr>
              <w:spacing w:before="0" w:after="0" w:line="259" w:lineRule="auto"/>
              <w:rPr>
                <w:rFonts w:cs="Open Sans"/>
                <w:sz w:val="18"/>
                <w:szCs w:val="18"/>
              </w:rPr>
            </w:pPr>
            <w:r w:rsidRPr="003269A4">
              <w:rPr>
                <w:rFonts w:cs="Open Sans"/>
                <w:sz w:val="18"/>
                <w:szCs w:val="18"/>
              </w:rPr>
              <w:t>NIF</w:t>
            </w:r>
          </w:p>
        </w:tc>
        <w:tc>
          <w:tcPr>
            <w:tcW w:w="6802" w:type="dxa"/>
            <w:tcBorders>
              <w:top w:val="single" w:sz="4" w:space="0" w:color="auto"/>
              <w:left w:val="single" w:sz="4" w:space="0" w:color="auto"/>
              <w:bottom w:val="single" w:sz="4" w:space="0" w:color="auto"/>
              <w:right w:val="single" w:sz="4" w:space="0" w:color="auto"/>
            </w:tcBorders>
            <w:hideMark/>
          </w:tcPr>
          <w:p w14:paraId="4DC7FD53" w14:textId="77777777" w:rsidR="003269A4" w:rsidRPr="003269A4" w:rsidRDefault="003269A4" w:rsidP="003269A4">
            <w:pPr>
              <w:spacing w:before="0" w:after="0" w:line="259" w:lineRule="auto"/>
              <w:rPr>
                <w:rFonts w:cs="Open Sans"/>
                <w:sz w:val="18"/>
                <w:szCs w:val="18"/>
              </w:rPr>
            </w:pPr>
            <w:r w:rsidRPr="003269A4">
              <w:rPr>
                <w:rFonts w:cs="Open Sans"/>
                <w:sz w:val="18"/>
                <w:szCs w:val="18"/>
              </w:rPr>
              <w:t>Nature Investment Facility (programme/partenaire financier cité)</w:t>
            </w:r>
          </w:p>
        </w:tc>
      </w:tr>
      <w:tr w:rsidR="003269A4" w:rsidRPr="004F5DAE" w14:paraId="5A039DA8"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31DB6B5B" w14:textId="77777777" w:rsidR="003269A4" w:rsidRPr="003269A4" w:rsidRDefault="003269A4" w:rsidP="003269A4">
            <w:pPr>
              <w:spacing w:before="0" w:after="0" w:line="259" w:lineRule="auto"/>
              <w:rPr>
                <w:rFonts w:cs="Open Sans"/>
                <w:sz w:val="18"/>
                <w:szCs w:val="18"/>
              </w:rPr>
            </w:pPr>
            <w:r w:rsidRPr="003269A4">
              <w:rPr>
                <w:rFonts w:cs="Open Sans"/>
                <w:sz w:val="18"/>
                <w:szCs w:val="18"/>
              </w:rPr>
              <w:t>OBM</w:t>
            </w:r>
          </w:p>
        </w:tc>
        <w:tc>
          <w:tcPr>
            <w:tcW w:w="6802" w:type="dxa"/>
            <w:tcBorders>
              <w:top w:val="single" w:sz="4" w:space="0" w:color="auto"/>
              <w:left w:val="single" w:sz="4" w:space="0" w:color="auto"/>
              <w:bottom w:val="single" w:sz="4" w:space="0" w:color="auto"/>
              <w:right w:val="single" w:sz="4" w:space="0" w:color="auto"/>
            </w:tcBorders>
            <w:hideMark/>
          </w:tcPr>
          <w:p w14:paraId="49B258C0" w14:textId="77777777" w:rsidR="003269A4" w:rsidRPr="003269A4" w:rsidRDefault="003269A4" w:rsidP="003269A4">
            <w:pPr>
              <w:spacing w:before="0" w:after="0" w:line="259" w:lineRule="auto"/>
              <w:rPr>
                <w:rFonts w:cs="Open Sans"/>
                <w:sz w:val="18"/>
                <w:szCs w:val="18"/>
              </w:rPr>
            </w:pPr>
            <w:r w:rsidRPr="003269A4">
              <w:rPr>
                <w:rFonts w:cs="Open Sans"/>
                <w:sz w:val="18"/>
                <w:szCs w:val="18"/>
              </w:rPr>
              <w:t>Office Burundais des Mines (autorité sectorielle)</w:t>
            </w:r>
          </w:p>
        </w:tc>
      </w:tr>
      <w:tr w:rsidR="003269A4" w:rsidRPr="004F5DAE" w14:paraId="774789F8"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57C4230D" w14:textId="77777777" w:rsidR="003269A4" w:rsidRPr="003269A4" w:rsidRDefault="003269A4" w:rsidP="003269A4">
            <w:pPr>
              <w:spacing w:before="0" w:after="0" w:line="259" w:lineRule="auto"/>
              <w:rPr>
                <w:rFonts w:cs="Open Sans"/>
                <w:sz w:val="18"/>
                <w:szCs w:val="18"/>
              </w:rPr>
            </w:pPr>
            <w:r w:rsidRPr="003269A4">
              <w:rPr>
                <w:rFonts w:cs="Open Sans"/>
                <w:sz w:val="18"/>
                <w:szCs w:val="18"/>
              </w:rPr>
              <w:t>OBPE</w:t>
            </w:r>
          </w:p>
        </w:tc>
        <w:tc>
          <w:tcPr>
            <w:tcW w:w="6802" w:type="dxa"/>
            <w:tcBorders>
              <w:top w:val="single" w:sz="4" w:space="0" w:color="auto"/>
              <w:left w:val="single" w:sz="4" w:space="0" w:color="auto"/>
              <w:bottom w:val="single" w:sz="4" w:space="0" w:color="auto"/>
              <w:right w:val="single" w:sz="4" w:space="0" w:color="auto"/>
            </w:tcBorders>
            <w:hideMark/>
          </w:tcPr>
          <w:p w14:paraId="1A818E94" w14:textId="4C34DDC1" w:rsidR="003269A4" w:rsidRPr="003269A4" w:rsidRDefault="003269A4" w:rsidP="003269A4">
            <w:pPr>
              <w:spacing w:before="0" w:after="0" w:line="259" w:lineRule="auto"/>
              <w:rPr>
                <w:rFonts w:cs="Open Sans"/>
                <w:sz w:val="18"/>
                <w:szCs w:val="18"/>
              </w:rPr>
            </w:pPr>
            <w:r w:rsidRPr="003269A4">
              <w:rPr>
                <w:rFonts w:cs="Open Sans"/>
                <w:sz w:val="18"/>
                <w:szCs w:val="18"/>
              </w:rPr>
              <w:t xml:space="preserve">Office Burundais pour la Protection de l’Environnement </w:t>
            </w:r>
          </w:p>
        </w:tc>
      </w:tr>
      <w:tr w:rsidR="002550C8" w:rsidRPr="004F5DAE" w14:paraId="25645A5F" w14:textId="77777777" w:rsidTr="00B84EF2">
        <w:tc>
          <w:tcPr>
            <w:tcW w:w="1838" w:type="dxa"/>
            <w:tcBorders>
              <w:top w:val="single" w:sz="4" w:space="0" w:color="auto"/>
              <w:left w:val="single" w:sz="4" w:space="0" w:color="auto"/>
              <w:bottom w:val="single" w:sz="4" w:space="0" w:color="auto"/>
              <w:right w:val="single" w:sz="4" w:space="0" w:color="auto"/>
            </w:tcBorders>
          </w:tcPr>
          <w:p w14:paraId="29EC672D" w14:textId="3EA9810B" w:rsidR="002550C8" w:rsidRPr="003269A4" w:rsidRDefault="002550C8" w:rsidP="00B84EF2">
            <w:pPr>
              <w:spacing w:before="0" w:after="0"/>
              <w:rPr>
                <w:rFonts w:cs="Open Sans"/>
                <w:sz w:val="18"/>
                <w:szCs w:val="18"/>
              </w:rPr>
            </w:pPr>
            <w:r>
              <w:rPr>
                <w:rFonts w:cs="Open Sans"/>
                <w:sz w:val="18"/>
                <w:szCs w:val="18"/>
              </w:rPr>
              <w:t>OCDE</w:t>
            </w:r>
          </w:p>
        </w:tc>
        <w:tc>
          <w:tcPr>
            <w:tcW w:w="6802" w:type="dxa"/>
            <w:tcBorders>
              <w:top w:val="single" w:sz="4" w:space="0" w:color="auto"/>
              <w:left w:val="single" w:sz="4" w:space="0" w:color="auto"/>
              <w:bottom w:val="single" w:sz="4" w:space="0" w:color="auto"/>
              <w:right w:val="single" w:sz="4" w:space="0" w:color="auto"/>
            </w:tcBorders>
          </w:tcPr>
          <w:p w14:paraId="6D3F0309" w14:textId="4FA426AF" w:rsidR="002550C8" w:rsidRPr="003269A4" w:rsidRDefault="0050706D" w:rsidP="00B84EF2">
            <w:pPr>
              <w:spacing w:before="0" w:after="0"/>
              <w:rPr>
                <w:rFonts w:cs="Open Sans"/>
                <w:sz w:val="18"/>
                <w:szCs w:val="18"/>
              </w:rPr>
            </w:pPr>
            <w:r>
              <w:rPr>
                <w:rFonts w:cs="Open Sans"/>
                <w:sz w:val="18"/>
                <w:szCs w:val="18"/>
              </w:rPr>
              <w:t xml:space="preserve">Organisation de </w:t>
            </w:r>
            <w:r w:rsidR="002206F4">
              <w:rPr>
                <w:rFonts w:cs="Open Sans"/>
                <w:sz w:val="18"/>
                <w:szCs w:val="18"/>
              </w:rPr>
              <w:t>C</w:t>
            </w:r>
            <w:r w:rsidR="003803E0">
              <w:rPr>
                <w:rFonts w:cs="Open Sans"/>
                <w:sz w:val="18"/>
                <w:szCs w:val="18"/>
              </w:rPr>
              <w:t xml:space="preserve">oopération </w:t>
            </w:r>
            <w:proofErr w:type="gramStart"/>
            <w:r w:rsidR="003803E0">
              <w:rPr>
                <w:rFonts w:cs="Open Sans"/>
                <w:sz w:val="18"/>
                <w:szCs w:val="18"/>
              </w:rPr>
              <w:t>et  de</w:t>
            </w:r>
            <w:proofErr w:type="gramEnd"/>
            <w:r w:rsidR="003803E0">
              <w:rPr>
                <w:rFonts w:cs="Open Sans"/>
                <w:sz w:val="18"/>
                <w:szCs w:val="18"/>
              </w:rPr>
              <w:t xml:space="preserve"> </w:t>
            </w:r>
            <w:r w:rsidR="002206F4">
              <w:rPr>
                <w:rFonts w:cs="Open Sans"/>
                <w:sz w:val="18"/>
                <w:szCs w:val="18"/>
              </w:rPr>
              <w:t>D</w:t>
            </w:r>
            <w:r w:rsidR="003803E0">
              <w:rPr>
                <w:rFonts w:cs="Open Sans"/>
                <w:sz w:val="18"/>
                <w:szCs w:val="18"/>
              </w:rPr>
              <w:t xml:space="preserve">éveloppement Economique </w:t>
            </w:r>
          </w:p>
        </w:tc>
      </w:tr>
      <w:tr w:rsidR="00DD7392" w:rsidRPr="004F5DAE" w14:paraId="52456F10" w14:textId="77777777" w:rsidTr="00B84EF2">
        <w:tc>
          <w:tcPr>
            <w:tcW w:w="1838" w:type="dxa"/>
            <w:tcBorders>
              <w:top w:val="single" w:sz="4" w:space="0" w:color="auto"/>
              <w:left w:val="single" w:sz="4" w:space="0" w:color="auto"/>
              <w:bottom w:val="single" w:sz="4" w:space="0" w:color="auto"/>
              <w:right w:val="single" w:sz="4" w:space="0" w:color="auto"/>
            </w:tcBorders>
            <w:hideMark/>
          </w:tcPr>
          <w:p w14:paraId="0C77F93D" w14:textId="77777777" w:rsidR="00DD7392" w:rsidRPr="003269A4" w:rsidRDefault="00DD7392" w:rsidP="00B84EF2">
            <w:pPr>
              <w:spacing w:before="0" w:after="0" w:line="259" w:lineRule="auto"/>
              <w:rPr>
                <w:rFonts w:cs="Open Sans"/>
                <w:sz w:val="18"/>
                <w:szCs w:val="18"/>
              </w:rPr>
            </w:pPr>
            <w:r w:rsidRPr="003269A4">
              <w:rPr>
                <w:rFonts w:cs="Open Sans"/>
                <w:sz w:val="18"/>
                <w:szCs w:val="18"/>
              </w:rPr>
              <w:t>ODD</w:t>
            </w:r>
          </w:p>
        </w:tc>
        <w:tc>
          <w:tcPr>
            <w:tcW w:w="6802" w:type="dxa"/>
            <w:tcBorders>
              <w:top w:val="single" w:sz="4" w:space="0" w:color="auto"/>
              <w:left w:val="single" w:sz="4" w:space="0" w:color="auto"/>
              <w:bottom w:val="single" w:sz="4" w:space="0" w:color="auto"/>
              <w:right w:val="single" w:sz="4" w:space="0" w:color="auto"/>
            </w:tcBorders>
            <w:hideMark/>
          </w:tcPr>
          <w:p w14:paraId="71A140F2" w14:textId="77777777" w:rsidR="00DD7392" w:rsidRPr="003269A4" w:rsidRDefault="00DD7392" w:rsidP="00B84EF2">
            <w:pPr>
              <w:spacing w:before="0" w:after="0" w:line="259" w:lineRule="auto"/>
              <w:rPr>
                <w:rFonts w:cs="Open Sans"/>
                <w:sz w:val="18"/>
                <w:szCs w:val="18"/>
              </w:rPr>
            </w:pPr>
            <w:r w:rsidRPr="003269A4">
              <w:rPr>
                <w:rFonts w:cs="Open Sans"/>
                <w:sz w:val="18"/>
                <w:szCs w:val="18"/>
              </w:rPr>
              <w:t>Objectifs de développement durable (ODD 7, 13, 15, 16, 17 et 5 mentionnés)</w:t>
            </w:r>
          </w:p>
        </w:tc>
      </w:tr>
      <w:tr w:rsidR="00DD7392" w:rsidRPr="004F5DAE" w14:paraId="14238ACF" w14:textId="77777777" w:rsidTr="00B84EF2">
        <w:tc>
          <w:tcPr>
            <w:tcW w:w="1838" w:type="dxa"/>
            <w:tcBorders>
              <w:top w:val="single" w:sz="4" w:space="0" w:color="auto"/>
              <w:left w:val="single" w:sz="4" w:space="0" w:color="auto"/>
              <w:bottom w:val="single" w:sz="4" w:space="0" w:color="auto"/>
              <w:right w:val="single" w:sz="4" w:space="0" w:color="auto"/>
            </w:tcBorders>
          </w:tcPr>
          <w:p w14:paraId="4B430AFD" w14:textId="3BD147F3" w:rsidR="00DD7392" w:rsidRPr="003269A4" w:rsidRDefault="00DD7392" w:rsidP="00B84EF2">
            <w:pPr>
              <w:spacing w:before="0" w:after="0"/>
              <w:rPr>
                <w:rFonts w:cs="Open Sans"/>
                <w:sz w:val="18"/>
                <w:szCs w:val="18"/>
              </w:rPr>
            </w:pPr>
            <w:r>
              <w:rPr>
                <w:rFonts w:cs="Open Sans"/>
                <w:sz w:val="18"/>
                <w:szCs w:val="18"/>
              </w:rPr>
              <w:t>ONU</w:t>
            </w:r>
          </w:p>
        </w:tc>
        <w:tc>
          <w:tcPr>
            <w:tcW w:w="6802" w:type="dxa"/>
            <w:tcBorders>
              <w:top w:val="single" w:sz="4" w:space="0" w:color="auto"/>
              <w:left w:val="single" w:sz="4" w:space="0" w:color="auto"/>
              <w:bottom w:val="single" w:sz="4" w:space="0" w:color="auto"/>
              <w:right w:val="single" w:sz="4" w:space="0" w:color="auto"/>
            </w:tcBorders>
          </w:tcPr>
          <w:p w14:paraId="660976E8" w14:textId="7651F8F7" w:rsidR="00DD7392" w:rsidRPr="003269A4" w:rsidRDefault="00DD7392" w:rsidP="00B84EF2">
            <w:pPr>
              <w:spacing w:before="0" w:after="0"/>
              <w:rPr>
                <w:rFonts w:cs="Open Sans"/>
                <w:sz w:val="18"/>
                <w:szCs w:val="18"/>
              </w:rPr>
            </w:pPr>
            <w:r>
              <w:rPr>
                <w:rFonts w:cs="Open Sans"/>
                <w:sz w:val="18"/>
                <w:szCs w:val="18"/>
              </w:rPr>
              <w:t xml:space="preserve">Organisation des Nations Unies </w:t>
            </w:r>
          </w:p>
        </w:tc>
      </w:tr>
      <w:tr w:rsidR="003269A4" w:rsidRPr="0062653C" w14:paraId="7029B3E9"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1278EC91" w14:textId="77777777" w:rsidR="003269A4" w:rsidRPr="003269A4" w:rsidRDefault="003269A4" w:rsidP="003269A4">
            <w:pPr>
              <w:spacing w:before="0" w:after="0" w:line="259" w:lineRule="auto"/>
              <w:rPr>
                <w:rFonts w:cs="Open Sans"/>
                <w:sz w:val="18"/>
                <w:szCs w:val="18"/>
              </w:rPr>
            </w:pPr>
            <w:r w:rsidRPr="003269A4">
              <w:rPr>
                <w:rFonts w:cs="Open Sans"/>
                <w:sz w:val="18"/>
                <w:szCs w:val="18"/>
              </w:rPr>
              <w:t>PACECOR</w:t>
            </w:r>
          </w:p>
        </w:tc>
        <w:tc>
          <w:tcPr>
            <w:tcW w:w="6802" w:type="dxa"/>
            <w:tcBorders>
              <w:top w:val="single" w:sz="4" w:space="0" w:color="auto"/>
              <w:left w:val="single" w:sz="4" w:space="0" w:color="auto"/>
              <w:bottom w:val="single" w:sz="4" w:space="0" w:color="auto"/>
              <w:right w:val="single" w:sz="4" w:space="0" w:color="auto"/>
            </w:tcBorders>
            <w:hideMark/>
          </w:tcPr>
          <w:p w14:paraId="44183803" w14:textId="77777777" w:rsidR="003269A4" w:rsidRPr="003269A4" w:rsidRDefault="003269A4" w:rsidP="003269A4">
            <w:pPr>
              <w:spacing w:before="0" w:after="0" w:line="259" w:lineRule="auto"/>
              <w:rPr>
                <w:rFonts w:cs="Open Sans"/>
                <w:sz w:val="18"/>
                <w:szCs w:val="18"/>
                <w:lang w:val="en-US"/>
              </w:rPr>
            </w:pPr>
            <w:proofErr w:type="spellStart"/>
            <w:r w:rsidRPr="003269A4">
              <w:rPr>
                <w:rFonts w:cs="Open Sans"/>
                <w:sz w:val="18"/>
                <w:szCs w:val="18"/>
                <w:lang w:val="en-US"/>
              </w:rPr>
              <w:t>Programme</w:t>
            </w:r>
            <w:proofErr w:type="spellEnd"/>
            <w:r w:rsidRPr="003269A4">
              <w:rPr>
                <w:rFonts w:cs="Open Sans"/>
                <w:sz w:val="18"/>
                <w:szCs w:val="18"/>
                <w:lang w:val="en-US"/>
              </w:rPr>
              <w:t xml:space="preserve"> ENABEL: support project aiming at preserving the RUSIZI watershed ecosystem</w:t>
            </w:r>
          </w:p>
        </w:tc>
      </w:tr>
      <w:tr w:rsidR="003269A4" w:rsidRPr="004F5DAE" w14:paraId="3BA5CC8B"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0AE7F645" w14:textId="77777777" w:rsidR="003269A4" w:rsidRPr="003269A4" w:rsidRDefault="003269A4" w:rsidP="003269A4">
            <w:pPr>
              <w:spacing w:before="0" w:after="0" w:line="259" w:lineRule="auto"/>
              <w:rPr>
                <w:rFonts w:cs="Open Sans"/>
                <w:sz w:val="18"/>
                <w:szCs w:val="18"/>
              </w:rPr>
            </w:pPr>
            <w:r w:rsidRPr="003269A4">
              <w:rPr>
                <w:rFonts w:cs="Open Sans"/>
                <w:sz w:val="18"/>
                <w:szCs w:val="18"/>
              </w:rPr>
              <w:t>PBF</w:t>
            </w:r>
          </w:p>
        </w:tc>
        <w:tc>
          <w:tcPr>
            <w:tcW w:w="6802" w:type="dxa"/>
            <w:tcBorders>
              <w:top w:val="single" w:sz="4" w:space="0" w:color="auto"/>
              <w:left w:val="single" w:sz="4" w:space="0" w:color="auto"/>
              <w:bottom w:val="single" w:sz="4" w:space="0" w:color="auto"/>
              <w:right w:val="single" w:sz="4" w:space="0" w:color="auto"/>
            </w:tcBorders>
            <w:hideMark/>
          </w:tcPr>
          <w:p w14:paraId="7FDF7C05" w14:textId="2BFFEFE6" w:rsidR="003269A4" w:rsidRPr="003269A4" w:rsidRDefault="003269A4" w:rsidP="003269A4">
            <w:pPr>
              <w:spacing w:before="0" w:after="0" w:line="259" w:lineRule="auto"/>
              <w:rPr>
                <w:rFonts w:cs="Open Sans"/>
                <w:sz w:val="18"/>
                <w:szCs w:val="18"/>
              </w:rPr>
            </w:pPr>
            <w:r w:rsidRPr="003269A4">
              <w:rPr>
                <w:rFonts w:cs="Open Sans"/>
                <w:sz w:val="18"/>
                <w:szCs w:val="18"/>
              </w:rPr>
              <w:t>Fonds pour la consolidation de la paix (Peace</w:t>
            </w:r>
            <w:r w:rsidR="005327B2">
              <w:rPr>
                <w:rFonts w:cs="Open Sans"/>
                <w:sz w:val="18"/>
                <w:szCs w:val="18"/>
              </w:rPr>
              <w:t xml:space="preserve"> B</w:t>
            </w:r>
            <w:r w:rsidRPr="003269A4">
              <w:rPr>
                <w:rFonts w:cs="Open Sans"/>
                <w:sz w:val="18"/>
                <w:szCs w:val="18"/>
              </w:rPr>
              <w:t>uilding Fund)</w:t>
            </w:r>
          </w:p>
        </w:tc>
      </w:tr>
      <w:tr w:rsidR="003269A4" w:rsidRPr="004F5DAE" w14:paraId="5F9024E6"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62A4CCBB" w14:textId="77777777" w:rsidR="003269A4" w:rsidRPr="003269A4" w:rsidRDefault="003269A4" w:rsidP="003269A4">
            <w:pPr>
              <w:spacing w:before="0" w:after="0" w:line="259" w:lineRule="auto"/>
              <w:rPr>
                <w:rFonts w:cs="Open Sans"/>
                <w:sz w:val="18"/>
                <w:szCs w:val="18"/>
              </w:rPr>
            </w:pPr>
            <w:r w:rsidRPr="003269A4">
              <w:rPr>
                <w:rFonts w:cs="Open Sans"/>
                <w:sz w:val="18"/>
                <w:szCs w:val="18"/>
              </w:rPr>
              <w:t>PBSO</w:t>
            </w:r>
          </w:p>
        </w:tc>
        <w:tc>
          <w:tcPr>
            <w:tcW w:w="6802" w:type="dxa"/>
            <w:tcBorders>
              <w:top w:val="single" w:sz="4" w:space="0" w:color="auto"/>
              <w:left w:val="single" w:sz="4" w:space="0" w:color="auto"/>
              <w:bottom w:val="single" w:sz="4" w:space="0" w:color="auto"/>
              <w:right w:val="single" w:sz="4" w:space="0" w:color="auto"/>
            </w:tcBorders>
            <w:hideMark/>
          </w:tcPr>
          <w:p w14:paraId="674F12C6" w14:textId="58D17F5C" w:rsidR="003269A4" w:rsidRPr="003269A4" w:rsidRDefault="003269A4" w:rsidP="003269A4">
            <w:pPr>
              <w:spacing w:before="0" w:after="0" w:line="259" w:lineRule="auto"/>
              <w:rPr>
                <w:rFonts w:cs="Open Sans"/>
                <w:sz w:val="18"/>
                <w:szCs w:val="18"/>
              </w:rPr>
            </w:pPr>
            <w:r w:rsidRPr="003269A4">
              <w:rPr>
                <w:rFonts w:cs="Open Sans"/>
                <w:sz w:val="18"/>
                <w:szCs w:val="18"/>
              </w:rPr>
              <w:t>Bureau d’appui à la consolidation de la paix (Peace</w:t>
            </w:r>
            <w:r w:rsidR="005327B2">
              <w:rPr>
                <w:rFonts w:cs="Open Sans"/>
                <w:sz w:val="18"/>
                <w:szCs w:val="18"/>
              </w:rPr>
              <w:t xml:space="preserve"> B</w:t>
            </w:r>
            <w:r w:rsidRPr="003269A4">
              <w:rPr>
                <w:rFonts w:cs="Open Sans"/>
                <w:sz w:val="18"/>
                <w:szCs w:val="18"/>
              </w:rPr>
              <w:t>uilding Support Office)</w:t>
            </w:r>
          </w:p>
        </w:tc>
      </w:tr>
      <w:tr w:rsidR="003269A4" w:rsidRPr="004F5DAE" w14:paraId="1DBECBA1"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37E465C5" w14:textId="77777777" w:rsidR="003269A4" w:rsidRPr="003269A4" w:rsidRDefault="003269A4" w:rsidP="003269A4">
            <w:pPr>
              <w:spacing w:before="0" w:after="0" w:line="259" w:lineRule="auto"/>
              <w:rPr>
                <w:rFonts w:cs="Open Sans"/>
                <w:sz w:val="18"/>
                <w:szCs w:val="18"/>
              </w:rPr>
            </w:pPr>
            <w:r w:rsidRPr="003269A4">
              <w:rPr>
                <w:rFonts w:cs="Open Sans"/>
                <w:sz w:val="18"/>
                <w:szCs w:val="18"/>
              </w:rPr>
              <w:t>PND</w:t>
            </w:r>
          </w:p>
        </w:tc>
        <w:tc>
          <w:tcPr>
            <w:tcW w:w="6802" w:type="dxa"/>
            <w:tcBorders>
              <w:top w:val="single" w:sz="4" w:space="0" w:color="auto"/>
              <w:left w:val="single" w:sz="4" w:space="0" w:color="auto"/>
              <w:bottom w:val="single" w:sz="4" w:space="0" w:color="auto"/>
              <w:right w:val="single" w:sz="4" w:space="0" w:color="auto"/>
            </w:tcBorders>
            <w:hideMark/>
          </w:tcPr>
          <w:p w14:paraId="502104B7" w14:textId="77777777" w:rsidR="003269A4" w:rsidRPr="003269A4" w:rsidRDefault="003269A4" w:rsidP="003269A4">
            <w:pPr>
              <w:spacing w:before="0" w:after="0" w:line="259" w:lineRule="auto"/>
              <w:rPr>
                <w:rFonts w:cs="Open Sans"/>
                <w:sz w:val="18"/>
                <w:szCs w:val="18"/>
              </w:rPr>
            </w:pPr>
            <w:r w:rsidRPr="003269A4">
              <w:rPr>
                <w:rFonts w:cs="Open Sans"/>
                <w:sz w:val="18"/>
                <w:szCs w:val="18"/>
              </w:rPr>
              <w:t>Plan national de développement</w:t>
            </w:r>
          </w:p>
        </w:tc>
      </w:tr>
      <w:tr w:rsidR="0094432B" w:rsidRPr="004F5DAE" w14:paraId="195FC972" w14:textId="77777777" w:rsidTr="00077F88">
        <w:tc>
          <w:tcPr>
            <w:tcW w:w="1838" w:type="dxa"/>
            <w:tcBorders>
              <w:top w:val="single" w:sz="4" w:space="0" w:color="auto"/>
              <w:left w:val="single" w:sz="4" w:space="0" w:color="auto"/>
              <w:bottom w:val="single" w:sz="4" w:space="0" w:color="auto"/>
              <w:right w:val="single" w:sz="4" w:space="0" w:color="auto"/>
            </w:tcBorders>
          </w:tcPr>
          <w:p w14:paraId="1E968955" w14:textId="03393C8D" w:rsidR="0094432B" w:rsidRPr="003269A4" w:rsidRDefault="0094432B" w:rsidP="003269A4">
            <w:pPr>
              <w:spacing w:before="0" w:after="0"/>
              <w:rPr>
                <w:rFonts w:cs="Open Sans"/>
                <w:sz w:val="18"/>
                <w:szCs w:val="18"/>
              </w:rPr>
            </w:pPr>
            <w:r>
              <w:rPr>
                <w:rFonts w:cs="Open Sans"/>
                <w:sz w:val="18"/>
                <w:szCs w:val="18"/>
              </w:rPr>
              <w:t>PNK</w:t>
            </w:r>
          </w:p>
        </w:tc>
        <w:tc>
          <w:tcPr>
            <w:tcW w:w="6802" w:type="dxa"/>
            <w:tcBorders>
              <w:top w:val="single" w:sz="4" w:space="0" w:color="auto"/>
              <w:left w:val="single" w:sz="4" w:space="0" w:color="auto"/>
              <w:bottom w:val="single" w:sz="4" w:space="0" w:color="auto"/>
              <w:right w:val="single" w:sz="4" w:space="0" w:color="auto"/>
            </w:tcBorders>
          </w:tcPr>
          <w:p w14:paraId="101F3C7A" w14:textId="03287895" w:rsidR="0094432B" w:rsidRPr="003269A4" w:rsidRDefault="0094432B" w:rsidP="003269A4">
            <w:pPr>
              <w:spacing w:before="0" w:after="0"/>
              <w:rPr>
                <w:rFonts w:cs="Open Sans"/>
                <w:sz w:val="18"/>
                <w:szCs w:val="18"/>
              </w:rPr>
            </w:pPr>
            <w:r>
              <w:rPr>
                <w:rFonts w:cs="Open Sans"/>
                <w:sz w:val="18"/>
                <w:szCs w:val="18"/>
              </w:rPr>
              <w:t xml:space="preserve">Parc National de la Kibira </w:t>
            </w:r>
          </w:p>
        </w:tc>
      </w:tr>
      <w:tr w:rsidR="003269A4" w:rsidRPr="004F5DAE" w14:paraId="4FE94E0A"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3B96AF96" w14:textId="77777777" w:rsidR="003269A4" w:rsidRPr="003269A4" w:rsidRDefault="003269A4" w:rsidP="003269A4">
            <w:pPr>
              <w:spacing w:before="0" w:after="0" w:line="259" w:lineRule="auto"/>
              <w:rPr>
                <w:rFonts w:cs="Open Sans"/>
                <w:sz w:val="18"/>
                <w:szCs w:val="18"/>
              </w:rPr>
            </w:pPr>
            <w:r w:rsidRPr="003269A4">
              <w:rPr>
                <w:rFonts w:cs="Open Sans"/>
                <w:sz w:val="18"/>
                <w:szCs w:val="18"/>
              </w:rPr>
              <w:t>PNUD</w:t>
            </w:r>
          </w:p>
        </w:tc>
        <w:tc>
          <w:tcPr>
            <w:tcW w:w="6802" w:type="dxa"/>
            <w:tcBorders>
              <w:top w:val="single" w:sz="4" w:space="0" w:color="auto"/>
              <w:left w:val="single" w:sz="4" w:space="0" w:color="auto"/>
              <w:bottom w:val="single" w:sz="4" w:space="0" w:color="auto"/>
              <w:right w:val="single" w:sz="4" w:space="0" w:color="auto"/>
            </w:tcBorders>
            <w:hideMark/>
          </w:tcPr>
          <w:p w14:paraId="1EDAEE01" w14:textId="77777777" w:rsidR="003269A4" w:rsidRPr="003269A4" w:rsidRDefault="003269A4" w:rsidP="003269A4">
            <w:pPr>
              <w:spacing w:before="0" w:after="0" w:line="259" w:lineRule="auto"/>
              <w:rPr>
                <w:rFonts w:cs="Open Sans"/>
                <w:sz w:val="18"/>
                <w:szCs w:val="18"/>
              </w:rPr>
            </w:pPr>
            <w:r w:rsidRPr="003269A4">
              <w:rPr>
                <w:rFonts w:cs="Open Sans"/>
                <w:sz w:val="18"/>
                <w:szCs w:val="18"/>
              </w:rPr>
              <w:t>Programme des Nations Unies pour le développement (partenaire technique)</w:t>
            </w:r>
          </w:p>
        </w:tc>
      </w:tr>
      <w:tr w:rsidR="003269A4" w:rsidRPr="004F5DAE" w14:paraId="3F293DEF"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4463BFE2" w14:textId="77777777" w:rsidR="003269A4" w:rsidRPr="003269A4" w:rsidRDefault="003269A4" w:rsidP="003269A4">
            <w:pPr>
              <w:spacing w:before="0" w:after="0" w:line="259" w:lineRule="auto"/>
              <w:rPr>
                <w:rFonts w:cs="Open Sans"/>
                <w:sz w:val="18"/>
                <w:szCs w:val="18"/>
              </w:rPr>
            </w:pPr>
            <w:r w:rsidRPr="003269A4">
              <w:rPr>
                <w:rFonts w:cs="Open Sans"/>
                <w:sz w:val="18"/>
                <w:szCs w:val="18"/>
              </w:rPr>
              <w:t>PPP</w:t>
            </w:r>
          </w:p>
        </w:tc>
        <w:tc>
          <w:tcPr>
            <w:tcW w:w="6802" w:type="dxa"/>
            <w:tcBorders>
              <w:top w:val="single" w:sz="4" w:space="0" w:color="auto"/>
              <w:left w:val="single" w:sz="4" w:space="0" w:color="auto"/>
              <w:bottom w:val="single" w:sz="4" w:space="0" w:color="auto"/>
              <w:right w:val="single" w:sz="4" w:space="0" w:color="auto"/>
            </w:tcBorders>
            <w:hideMark/>
          </w:tcPr>
          <w:p w14:paraId="41C50A4F" w14:textId="77777777" w:rsidR="003269A4" w:rsidRPr="003269A4" w:rsidRDefault="003269A4" w:rsidP="003269A4">
            <w:pPr>
              <w:spacing w:before="0" w:after="0" w:line="259" w:lineRule="auto"/>
              <w:rPr>
                <w:rFonts w:cs="Open Sans"/>
                <w:sz w:val="18"/>
                <w:szCs w:val="18"/>
              </w:rPr>
            </w:pPr>
            <w:r w:rsidRPr="003269A4">
              <w:rPr>
                <w:rFonts w:cs="Open Sans"/>
                <w:sz w:val="18"/>
                <w:szCs w:val="18"/>
              </w:rPr>
              <w:t xml:space="preserve">Partenariat public-privé </w:t>
            </w:r>
          </w:p>
        </w:tc>
      </w:tr>
      <w:tr w:rsidR="003269A4" w:rsidRPr="004F5DAE" w14:paraId="4F3B8089"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2C39CD5F" w14:textId="77777777" w:rsidR="003269A4" w:rsidRPr="003269A4" w:rsidRDefault="003269A4" w:rsidP="003269A4">
            <w:pPr>
              <w:spacing w:before="0" w:after="0" w:line="259" w:lineRule="auto"/>
              <w:rPr>
                <w:rFonts w:cs="Open Sans"/>
                <w:sz w:val="18"/>
                <w:szCs w:val="18"/>
              </w:rPr>
            </w:pPr>
            <w:r w:rsidRPr="003269A4">
              <w:rPr>
                <w:rFonts w:cs="Open Sans"/>
                <w:sz w:val="18"/>
                <w:szCs w:val="18"/>
              </w:rPr>
              <w:t>PSE</w:t>
            </w:r>
          </w:p>
        </w:tc>
        <w:tc>
          <w:tcPr>
            <w:tcW w:w="6802" w:type="dxa"/>
            <w:tcBorders>
              <w:top w:val="single" w:sz="4" w:space="0" w:color="auto"/>
              <w:left w:val="single" w:sz="4" w:space="0" w:color="auto"/>
              <w:bottom w:val="single" w:sz="4" w:space="0" w:color="auto"/>
              <w:right w:val="single" w:sz="4" w:space="0" w:color="auto"/>
            </w:tcBorders>
            <w:hideMark/>
          </w:tcPr>
          <w:p w14:paraId="40887D4B" w14:textId="77777777" w:rsidR="003269A4" w:rsidRPr="003269A4" w:rsidRDefault="003269A4" w:rsidP="003269A4">
            <w:pPr>
              <w:spacing w:before="0" w:after="0" w:line="259" w:lineRule="auto"/>
              <w:rPr>
                <w:rFonts w:cs="Open Sans"/>
                <w:sz w:val="18"/>
                <w:szCs w:val="18"/>
              </w:rPr>
            </w:pPr>
            <w:r w:rsidRPr="003269A4">
              <w:rPr>
                <w:rFonts w:cs="Open Sans"/>
                <w:sz w:val="18"/>
                <w:szCs w:val="18"/>
              </w:rPr>
              <w:t>Paiements pour Services Écosystémiques (mécanisme financier)</w:t>
            </w:r>
          </w:p>
        </w:tc>
      </w:tr>
      <w:tr w:rsidR="003269A4" w:rsidRPr="004F5DAE" w14:paraId="0C53CD40"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38BEDCE4" w14:textId="77777777" w:rsidR="003269A4" w:rsidRPr="003269A4" w:rsidRDefault="003269A4" w:rsidP="003269A4">
            <w:pPr>
              <w:spacing w:before="0" w:after="0" w:line="259" w:lineRule="auto"/>
              <w:rPr>
                <w:rFonts w:cs="Open Sans"/>
                <w:sz w:val="18"/>
                <w:szCs w:val="18"/>
              </w:rPr>
            </w:pPr>
            <w:r w:rsidRPr="003269A4">
              <w:rPr>
                <w:rFonts w:cs="Open Sans"/>
                <w:sz w:val="18"/>
                <w:szCs w:val="18"/>
              </w:rPr>
              <w:t>PV</w:t>
            </w:r>
          </w:p>
        </w:tc>
        <w:tc>
          <w:tcPr>
            <w:tcW w:w="6802" w:type="dxa"/>
            <w:tcBorders>
              <w:top w:val="single" w:sz="4" w:space="0" w:color="auto"/>
              <w:left w:val="single" w:sz="4" w:space="0" w:color="auto"/>
              <w:bottom w:val="single" w:sz="4" w:space="0" w:color="auto"/>
              <w:right w:val="single" w:sz="4" w:space="0" w:color="auto"/>
            </w:tcBorders>
            <w:hideMark/>
          </w:tcPr>
          <w:p w14:paraId="0D2CD77F" w14:textId="77777777" w:rsidR="003269A4" w:rsidRPr="003269A4" w:rsidRDefault="003269A4" w:rsidP="003269A4">
            <w:pPr>
              <w:spacing w:before="0" w:after="0" w:line="259" w:lineRule="auto"/>
              <w:rPr>
                <w:rFonts w:cs="Open Sans"/>
                <w:sz w:val="18"/>
                <w:szCs w:val="18"/>
              </w:rPr>
            </w:pPr>
            <w:r w:rsidRPr="003269A4">
              <w:rPr>
                <w:rFonts w:cs="Open Sans"/>
                <w:sz w:val="18"/>
                <w:szCs w:val="18"/>
              </w:rPr>
              <w:t>Procès-verbaux</w:t>
            </w:r>
          </w:p>
        </w:tc>
      </w:tr>
      <w:tr w:rsidR="003269A4" w:rsidRPr="004F5DAE" w14:paraId="369EEB52"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05F5C6E0" w14:textId="77777777" w:rsidR="003269A4" w:rsidRPr="003269A4" w:rsidRDefault="003269A4" w:rsidP="003269A4">
            <w:pPr>
              <w:spacing w:before="0" w:after="0" w:line="259" w:lineRule="auto"/>
              <w:rPr>
                <w:rFonts w:cs="Open Sans"/>
                <w:sz w:val="18"/>
                <w:szCs w:val="18"/>
              </w:rPr>
            </w:pPr>
            <w:r w:rsidRPr="003269A4">
              <w:rPr>
                <w:rFonts w:cs="Open Sans"/>
                <w:sz w:val="18"/>
                <w:szCs w:val="18"/>
              </w:rPr>
              <w:t>REDD+</w:t>
            </w:r>
          </w:p>
        </w:tc>
        <w:tc>
          <w:tcPr>
            <w:tcW w:w="6802" w:type="dxa"/>
            <w:tcBorders>
              <w:top w:val="single" w:sz="4" w:space="0" w:color="auto"/>
              <w:left w:val="single" w:sz="4" w:space="0" w:color="auto"/>
              <w:bottom w:val="single" w:sz="4" w:space="0" w:color="auto"/>
              <w:right w:val="single" w:sz="4" w:space="0" w:color="auto"/>
            </w:tcBorders>
            <w:hideMark/>
          </w:tcPr>
          <w:p w14:paraId="40DB42D0" w14:textId="77777777" w:rsidR="003269A4" w:rsidRPr="003269A4" w:rsidRDefault="003269A4" w:rsidP="003269A4">
            <w:pPr>
              <w:spacing w:before="0" w:after="0" w:line="259" w:lineRule="auto"/>
              <w:rPr>
                <w:rFonts w:cs="Open Sans"/>
                <w:sz w:val="18"/>
                <w:szCs w:val="18"/>
              </w:rPr>
            </w:pPr>
            <w:r w:rsidRPr="003269A4">
              <w:rPr>
                <w:rFonts w:cs="Open Sans"/>
                <w:sz w:val="18"/>
                <w:szCs w:val="18"/>
              </w:rPr>
              <w:t>Réduction des émissions dues à la déforestation et à la dégradation des forêts + conservation, gestion durable et accroissement des stocks de carbone</w:t>
            </w:r>
          </w:p>
        </w:tc>
      </w:tr>
      <w:tr w:rsidR="003269A4" w:rsidRPr="004F5DAE" w14:paraId="00D1BA46"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09B686C1" w14:textId="77777777" w:rsidR="003269A4" w:rsidRPr="003269A4" w:rsidRDefault="003269A4" w:rsidP="003269A4">
            <w:pPr>
              <w:spacing w:before="0" w:after="0" w:line="259" w:lineRule="auto"/>
              <w:rPr>
                <w:rFonts w:cs="Open Sans"/>
                <w:sz w:val="18"/>
                <w:szCs w:val="18"/>
              </w:rPr>
            </w:pPr>
            <w:r w:rsidRPr="003269A4">
              <w:rPr>
                <w:rFonts w:cs="Open Sans"/>
                <w:sz w:val="18"/>
                <w:szCs w:val="18"/>
              </w:rPr>
              <w:t>RH</w:t>
            </w:r>
          </w:p>
        </w:tc>
        <w:tc>
          <w:tcPr>
            <w:tcW w:w="6802" w:type="dxa"/>
            <w:tcBorders>
              <w:top w:val="single" w:sz="4" w:space="0" w:color="auto"/>
              <w:left w:val="single" w:sz="4" w:space="0" w:color="auto"/>
              <w:bottom w:val="single" w:sz="4" w:space="0" w:color="auto"/>
              <w:right w:val="single" w:sz="4" w:space="0" w:color="auto"/>
            </w:tcBorders>
            <w:hideMark/>
          </w:tcPr>
          <w:p w14:paraId="3A5C450C" w14:textId="77777777" w:rsidR="003269A4" w:rsidRPr="003269A4" w:rsidRDefault="003269A4" w:rsidP="003269A4">
            <w:pPr>
              <w:spacing w:before="0" w:after="0" w:line="259" w:lineRule="auto"/>
              <w:rPr>
                <w:rFonts w:cs="Open Sans"/>
                <w:sz w:val="18"/>
                <w:szCs w:val="18"/>
              </w:rPr>
            </w:pPr>
            <w:r w:rsidRPr="003269A4">
              <w:rPr>
                <w:rFonts w:cs="Open Sans"/>
                <w:sz w:val="18"/>
                <w:szCs w:val="18"/>
              </w:rPr>
              <w:t>Ressources humaines (plan RH du projet)</w:t>
            </w:r>
          </w:p>
        </w:tc>
      </w:tr>
      <w:tr w:rsidR="00643ACE" w:rsidRPr="00F81463" w14:paraId="209BB698" w14:textId="77777777" w:rsidTr="00077F88">
        <w:tc>
          <w:tcPr>
            <w:tcW w:w="1838" w:type="dxa"/>
            <w:tcBorders>
              <w:top w:val="single" w:sz="4" w:space="0" w:color="auto"/>
              <w:left w:val="single" w:sz="4" w:space="0" w:color="auto"/>
              <w:bottom w:val="single" w:sz="4" w:space="0" w:color="auto"/>
              <w:right w:val="single" w:sz="4" w:space="0" w:color="auto"/>
            </w:tcBorders>
          </w:tcPr>
          <w:p w14:paraId="1701E821" w14:textId="7C2B0989" w:rsidR="00643ACE" w:rsidRPr="003269A4" w:rsidRDefault="00643ACE" w:rsidP="003269A4">
            <w:pPr>
              <w:spacing w:before="0" w:after="0"/>
              <w:rPr>
                <w:rFonts w:cs="Open Sans"/>
                <w:sz w:val="18"/>
                <w:szCs w:val="18"/>
              </w:rPr>
            </w:pPr>
            <w:r>
              <w:rPr>
                <w:rFonts w:cs="Open Sans"/>
                <w:sz w:val="18"/>
                <w:szCs w:val="18"/>
              </w:rPr>
              <w:t>S</w:t>
            </w:r>
            <w:r w:rsidR="00045EBC" w:rsidRPr="003269A4">
              <w:rPr>
                <w:rFonts w:cs="Open Sans"/>
                <w:sz w:val="18"/>
                <w:szCs w:val="18"/>
              </w:rPr>
              <w:t>&amp;</w:t>
            </w:r>
            <w:r w:rsidR="00506BF6">
              <w:rPr>
                <w:rFonts w:cs="Open Sans"/>
                <w:sz w:val="18"/>
                <w:szCs w:val="18"/>
              </w:rPr>
              <w:t>E</w:t>
            </w:r>
          </w:p>
        </w:tc>
        <w:tc>
          <w:tcPr>
            <w:tcW w:w="6802" w:type="dxa"/>
            <w:tcBorders>
              <w:top w:val="single" w:sz="4" w:space="0" w:color="auto"/>
              <w:left w:val="single" w:sz="4" w:space="0" w:color="auto"/>
              <w:bottom w:val="single" w:sz="4" w:space="0" w:color="auto"/>
              <w:right w:val="single" w:sz="4" w:space="0" w:color="auto"/>
            </w:tcBorders>
          </w:tcPr>
          <w:p w14:paraId="3F32F2DC" w14:textId="70734527" w:rsidR="00643ACE" w:rsidRPr="003269A4" w:rsidRDefault="00506BF6" w:rsidP="003269A4">
            <w:pPr>
              <w:spacing w:before="0" w:after="0"/>
              <w:rPr>
                <w:rFonts w:cs="Open Sans"/>
                <w:sz w:val="18"/>
                <w:szCs w:val="18"/>
                <w:lang w:val="en-US"/>
              </w:rPr>
            </w:pPr>
            <w:proofErr w:type="spellStart"/>
            <w:r>
              <w:rPr>
                <w:rFonts w:cs="Open Sans"/>
                <w:sz w:val="18"/>
                <w:szCs w:val="18"/>
                <w:lang w:val="en-US"/>
              </w:rPr>
              <w:t>Suivi</w:t>
            </w:r>
            <w:proofErr w:type="spellEnd"/>
            <w:r>
              <w:rPr>
                <w:rFonts w:cs="Open Sans"/>
                <w:sz w:val="18"/>
                <w:szCs w:val="18"/>
                <w:lang w:val="en-US"/>
              </w:rPr>
              <w:t xml:space="preserve"> -</w:t>
            </w:r>
            <w:r w:rsidR="005D4885">
              <w:rPr>
                <w:rFonts w:cs="Open Sans"/>
                <w:sz w:val="18"/>
                <w:szCs w:val="18"/>
                <w:lang w:val="en-US"/>
              </w:rPr>
              <w:t>E</w:t>
            </w:r>
            <w:r>
              <w:rPr>
                <w:rFonts w:cs="Open Sans"/>
                <w:sz w:val="18"/>
                <w:szCs w:val="18"/>
                <w:lang w:val="en-US"/>
              </w:rPr>
              <w:t xml:space="preserve">valuation </w:t>
            </w:r>
          </w:p>
        </w:tc>
      </w:tr>
      <w:tr w:rsidR="003269A4" w:rsidRPr="0062653C" w14:paraId="1BA78B6A"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08E3CBE7" w14:textId="77777777" w:rsidR="003269A4" w:rsidRPr="003269A4" w:rsidRDefault="003269A4" w:rsidP="003269A4">
            <w:pPr>
              <w:spacing w:before="0" w:after="0" w:line="259" w:lineRule="auto"/>
              <w:rPr>
                <w:rFonts w:cs="Open Sans"/>
                <w:sz w:val="18"/>
                <w:szCs w:val="18"/>
              </w:rPr>
            </w:pPr>
            <w:r w:rsidRPr="003269A4">
              <w:rPr>
                <w:rFonts w:cs="Open Sans"/>
                <w:sz w:val="18"/>
                <w:szCs w:val="18"/>
              </w:rPr>
              <w:t>SOP</w:t>
            </w:r>
          </w:p>
        </w:tc>
        <w:tc>
          <w:tcPr>
            <w:tcW w:w="6802" w:type="dxa"/>
            <w:tcBorders>
              <w:top w:val="single" w:sz="4" w:space="0" w:color="auto"/>
              <w:left w:val="single" w:sz="4" w:space="0" w:color="auto"/>
              <w:bottom w:val="single" w:sz="4" w:space="0" w:color="auto"/>
              <w:right w:val="single" w:sz="4" w:space="0" w:color="auto"/>
            </w:tcBorders>
            <w:hideMark/>
          </w:tcPr>
          <w:p w14:paraId="26120070" w14:textId="77777777" w:rsidR="003269A4" w:rsidRPr="003269A4" w:rsidRDefault="003269A4" w:rsidP="003269A4">
            <w:pPr>
              <w:spacing w:before="0" w:after="0" w:line="259" w:lineRule="auto"/>
              <w:rPr>
                <w:rFonts w:cs="Open Sans"/>
                <w:sz w:val="18"/>
                <w:szCs w:val="18"/>
                <w:lang w:val="en-US"/>
              </w:rPr>
            </w:pPr>
            <w:r w:rsidRPr="003269A4">
              <w:rPr>
                <w:rFonts w:cs="Open Sans"/>
                <w:sz w:val="18"/>
                <w:szCs w:val="18"/>
                <w:lang w:val="en-US"/>
              </w:rPr>
              <w:t>Standard Operating Procedures (</w:t>
            </w:r>
            <w:proofErr w:type="spellStart"/>
            <w:r w:rsidRPr="003269A4">
              <w:rPr>
                <w:rFonts w:cs="Open Sans"/>
                <w:sz w:val="18"/>
                <w:szCs w:val="18"/>
                <w:lang w:val="en-US"/>
              </w:rPr>
              <w:t>procédures</w:t>
            </w:r>
            <w:proofErr w:type="spellEnd"/>
            <w:r w:rsidRPr="003269A4">
              <w:rPr>
                <w:rFonts w:cs="Open Sans"/>
                <w:sz w:val="18"/>
                <w:szCs w:val="18"/>
                <w:lang w:val="en-US"/>
              </w:rPr>
              <w:t xml:space="preserve"> </w:t>
            </w:r>
            <w:proofErr w:type="spellStart"/>
            <w:r w:rsidRPr="003269A4">
              <w:rPr>
                <w:rFonts w:cs="Open Sans"/>
                <w:sz w:val="18"/>
                <w:szCs w:val="18"/>
                <w:lang w:val="en-US"/>
              </w:rPr>
              <w:t>d’évaluation</w:t>
            </w:r>
            <w:proofErr w:type="spellEnd"/>
            <w:r w:rsidRPr="003269A4">
              <w:rPr>
                <w:rFonts w:cs="Open Sans"/>
                <w:sz w:val="18"/>
                <w:szCs w:val="18"/>
                <w:lang w:val="en-US"/>
              </w:rPr>
              <w:t>)</w:t>
            </w:r>
          </w:p>
        </w:tc>
      </w:tr>
      <w:tr w:rsidR="003269A4" w:rsidRPr="004F5DAE" w14:paraId="673B39AE"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059C1E9E" w14:textId="77777777" w:rsidR="003269A4" w:rsidRPr="003269A4" w:rsidRDefault="003269A4" w:rsidP="003269A4">
            <w:pPr>
              <w:spacing w:before="0" w:after="0" w:line="259" w:lineRule="auto"/>
              <w:rPr>
                <w:rFonts w:cs="Open Sans"/>
                <w:sz w:val="18"/>
                <w:szCs w:val="18"/>
              </w:rPr>
            </w:pPr>
            <w:r w:rsidRPr="003269A4">
              <w:rPr>
                <w:rFonts w:cs="Open Sans"/>
                <w:sz w:val="18"/>
                <w:szCs w:val="18"/>
              </w:rPr>
              <w:lastRenderedPageBreak/>
              <w:t>SPE</w:t>
            </w:r>
          </w:p>
        </w:tc>
        <w:tc>
          <w:tcPr>
            <w:tcW w:w="6802" w:type="dxa"/>
            <w:tcBorders>
              <w:top w:val="single" w:sz="4" w:space="0" w:color="auto"/>
              <w:left w:val="single" w:sz="4" w:space="0" w:color="auto"/>
              <w:bottom w:val="single" w:sz="4" w:space="0" w:color="auto"/>
              <w:right w:val="single" w:sz="4" w:space="0" w:color="auto"/>
            </w:tcBorders>
            <w:hideMark/>
          </w:tcPr>
          <w:p w14:paraId="514F389A" w14:textId="77777777" w:rsidR="003269A4" w:rsidRPr="003269A4" w:rsidRDefault="003269A4" w:rsidP="003269A4">
            <w:pPr>
              <w:spacing w:before="0" w:after="0" w:line="259" w:lineRule="auto"/>
              <w:rPr>
                <w:rFonts w:cs="Open Sans"/>
                <w:sz w:val="18"/>
                <w:szCs w:val="18"/>
              </w:rPr>
            </w:pPr>
            <w:r w:rsidRPr="003269A4">
              <w:rPr>
                <w:rFonts w:cs="Open Sans"/>
                <w:sz w:val="18"/>
                <w:szCs w:val="18"/>
              </w:rPr>
              <w:t xml:space="preserve">Société/Entité à but spécifique (Special Purpose </w:t>
            </w:r>
            <w:proofErr w:type="spellStart"/>
            <w:r w:rsidRPr="003269A4">
              <w:rPr>
                <w:rFonts w:cs="Open Sans"/>
                <w:sz w:val="18"/>
                <w:szCs w:val="18"/>
              </w:rPr>
              <w:t>Entity</w:t>
            </w:r>
            <w:proofErr w:type="spellEnd"/>
            <w:r w:rsidRPr="003269A4">
              <w:rPr>
                <w:rFonts w:cs="Open Sans"/>
                <w:sz w:val="18"/>
                <w:szCs w:val="18"/>
              </w:rPr>
              <w:t>)</w:t>
            </w:r>
          </w:p>
        </w:tc>
      </w:tr>
      <w:tr w:rsidR="003269A4" w:rsidRPr="004F5DAE" w14:paraId="0DBDD2D6"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6620C68A" w14:textId="77777777" w:rsidR="003269A4" w:rsidRPr="003269A4" w:rsidRDefault="003269A4" w:rsidP="003269A4">
            <w:pPr>
              <w:spacing w:before="0" w:after="0" w:line="259" w:lineRule="auto"/>
              <w:rPr>
                <w:rFonts w:cs="Open Sans"/>
                <w:sz w:val="18"/>
                <w:szCs w:val="18"/>
              </w:rPr>
            </w:pPr>
            <w:proofErr w:type="spellStart"/>
            <w:r w:rsidRPr="003269A4">
              <w:rPr>
                <w:rFonts w:cs="Open Sans"/>
                <w:sz w:val="18"/>
                <w:szCs w:val="18"/>
              </w:rPr>
              <w:t>TdC</w:t>
            </w:r>
            <w:proofErr w:type="spellEnd"/>
          </w:p>
        </w:tc>
        <w:tc>
          <w:tcPr>
            <w:tcW w:w="6802" w:type="dxa"/>
            <w:tcBorders>
              <w:top w:val="single" w:sz="4" w:space="0" w:color="auto"/>
              <w:left w:val="single" w:sz="4" w:space="0" w:color="auto"/>
              <w:bottom w:val="single" w:sz="4" w:space="0" w:color="auto"/>
              <w:right w:val="single" w:sz="4" w:space="0" w:color="auto"/>
            </w:tcBorders>
            <w:hideMark/>
          </w:tcPr>
          <w:p w14:paraId="126D7F6A" w14:textId="77777777" w:rsidR="003269A4" w:rsidRPr="003269A4" w:rsidRDefault="003269A4" w:rsidP="003269A4">
            <w:pPr>
              <w:spacing w:before="0" w:after="0" w:line="259" w:lineRule="auto"/>
              <w:rPr>
                <w:rFonts w:cs="Open Sans"/>
                <w:sz w:val="18"/>
                <w:szCs w:val="18"/>
              </w:rPr>
            </w:pPr>
            <w:r w:rsidRPr="003269A4">
              <w:rPr>
                <w:rFonts w:cs="Open Sans"/>
                <w:sz w:val="18"/>
                <w:szCs w:val="18"/>
              </w:rPr>
              <w:t>Théorie du changement</w:t>
            </w:r>
          </w:p>
        </w:tc>
      </w:tr>
      <w:tr w:rsidR="003269A4" w:rsidRPr="004F5DAE" w14:paraId="0CF2CE7B"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464E209A" w14:textId="77777777" w:rsidR="003269A4" w:rsidRPr="003269A4" w:rsidRDefault="003269A4" w:rsidP="003269A4">
            <w:pPr>
              <w:spacing w:before="0" w:after="0" w:line="259" w:lineRule="auto"/>
              <w:rPr>
                <w:rFonts w:cs="Open Sans"/>
                <w:sz w:val="18"/>
                <w:szCs w:val="18"/>
              </w:rPr>
            </w:pPr>
            <w:proofErr w:type="spellStart"/>
            <w:r w:rsidRPr="003269A4">
              <w:rPr>
                <w:rFonts w:cs="Open Sans"/>
                <w:sz w:val="18"/>
                <w:szCs w:val="18"/>
              </w:rPr>
              <w:t>TdR</w:t>
            </w:r>
            <w:proofErr w:type="spellEnd"/>
          </w:p>
        </w:tc>
        <w:tc>
          <w:tcPr>
            <w:tcW w:w="6802" w:type="dxa"/>
            <w:tcBorders>
              <w:top w:val="single" w:sz="4" w:space="0" w:color="auto"/>
              <w:left w:val="single" w:sz="4" w:space="0" w:color="auto"/>
              <w:bottom w:val="single" w:sz="4" w:space="0" w:color="auto"/>
              <w:right w:val="single" w:sz="4" w:space="0" w:color="auto"/>
            </w:tcBorders>
            <w:hideMark/>
          </w:tcPr>
          <w:p w14:paraId="3E458B03" w14:textId="77777777" w:rsidR="003269A4" w:rsidRPr="003269A4" w:rsidRDefault="003269A4" w:rsidP="003269A4">
            <w:pPr>
              <w:spacing w:before="0" w:after="0" w:line="259" w:lineRule="auto"/>
              <w:rPr>
                <w:rFonts w:cs="Open Sans"/>
                <w:sz w:val="18"/>
                <w:szCs w:val="18"/>
              </w:rPr>
            </w:pPr>
            <w:r w:rsidRPr="003269A4">
              <w:rPr>
                <w:rFonts w:cs="Open Sans"/>
                <w:sz w:val="18"/>
                <w:szCs w:val="18"/>
              </w:rPr>
              <w:t>Termes de référence (documents de gouvernance du projet)</w:t>
            </w:r>
          </w:p>
        </w:tc>
      </w:tr>
      <w:tr w:rsidR="009C7AAD" w:rsidRPr="004F5DAE" w14:paraId="77F222E7" w14:textId="77777777" w:rsidTr="00077F88">
        <w:tc>
          <w:tcPr>
            <w:tcW w:w="1838" w:type="dxa"/>
            <w:tcBorders>
              <w:top w:val="single" w:sz="4" w:space="0" w:color="auto"/>
              <w:left w:val="single" w:sz="4" w:space="0" w:color="auto"/>
              <w:bottom w:val="single" w:sz="4" w:space="0" w:color="auto"/>
              <w:right w:val="single" w:sz="4" w:space="0" w:color="auto"/>
            </w:tcBorders>
          </w:tcPr>
          <w:p w14:paraId="3745ADBC" w14:textId="1E514F41" w:rsidR="009C7AAD" w:rsidRDefault="009C7AAD" w:rsidP="003269A4">
            <w:pPr>
              <w:spacing w:before="0" w:after="0"/>
              <w:rPr>
                <w:rFonts w:cs="Open Sans"/>
                <w:sz w:val="18"/>
                <w:szCs w:val="18"/>
              </w:rPr>
            </w:pPr>
            <w:r>
              <w:rPr>
                <w:rFonts w:cs="Open Sans"/>
                <w:sz w:val="18"/>
                <w:szCs w:val="18"/>
              </w:rPr>
              <w:t>UE</w:t>
            </w:r>
          </w:p>
        </w:tc>
        <w:tc>
          <w:tcPr>
            <w:tcW w:w="6802" w:type="dxa"/>
            <w:tcBorders>
              <w:top w:val="single" w:sz="4" w:space="0" w:color="auto"/>
              <w:left w:val="single" w:sz="4" w:space="0" w:color="auto"/>
              <w:bottom w:val="single" w:sz="4" w:space="0" w:color="auto"/>
              <w:right w:val="single" w:sz="4" w:space="0" w:color="auto"/>
            </w:tcBorders>
          </w:tcPr>
          <w:p w14:paraId="0726D626" w14:textId="6C515230" w:rsidR="009C7AAD" w:rsidRDefault="009C7AAD" w:rsidP="003269A4">
            <w:pPr>
              <w:spacing w:before="0" w:after="0"/>
              <w:rPr>
                <w:rFonts w:cs="Open Sans"/>
                <w:sz w:val="18"/>
                <w:szCs w:val="18"/>
              </w:rPr>
            </w:pPr>
            <w:r>
              <w:rPr>
                <w:rFonts w:cs="Open Sans"/>
                <w:sz w:val="18"/>
                <w:szCs w:val="18"/>
              </w:rPr>
              <w:t xml:space="preserve">Union Européenne </w:t>
            </w:r>
          </w:p>
        </w:tc>
      </w:tr>
      <w:tr w:rsidR="00310888" w:rsidRPr="004F5DAE" w14:paraId="309D47CC" w14:textId="77777777" w:rsidTr="00077F88">
        <w:tc>
          <w:tcPr>
            <w:tcW w:w="1838" w:type="dxa"/>
            <w:tcBorders>
              <w:top w:val="single" w:sz="4" w:space="0" w:color="auto"/>
              <w:left w:val="single" w:sz="4" w:space="0" w:color="auto"/>
              <w:bottom w:val="single" w:sz="4" w:space="0" w:color="auto"/>
              <w:right w:val="single" w:sz="4" w:space="0" w:color="auto"/>
            </w:tcBorders>
          </w:tcPr>
          <w:p w14:paraId="64AA1972" w14:textId="6842BB80" w:rsidR="00310888" w:rsidRPr="003269A4" w:rsidRDefault="00310888" w:rsidP="003269A4">
            <w:pPr>
              <w:spacing w:before="0" w:after="0"/>
              <w:rPr>
                <w:rFonts w:cs="Open Sans"/>
                <w:sz w:val="18"/>
                <w:szCs w:val="18"/>
              </w:rPr>
            </w:pPr>
            <w:r>
              <w:rPr>
                <w:rFonts w:cs="Open Sans"/>
                <w:sz w:val="18"/>
                <w:szCs w:val="18"/>
              </w:rPr>
              <w:t>UICN</w:t>
            </w:r>
          </w:p>
        </w:tc>
        <w:tc>
          <w:tcPr>
            <w:tcW w:w="6802" w:type="dxa"/>
            <w:tcBorders>
              <w:top w:val="single" w:sz="4" w:space="0" w:color="auto"/>
              <w:left w:val="single" w:sz="4" w:space="0" w:color="auto"/>
              <w:bottom w:val="single" w:sz="4" w:space="0" w:color="auto"/>
              <w:right w:val="single" w:sz="4" w:space="0" w:color="auto"/>
            </w:tcBorders>
          </w:tcPr>
          <w:p w14:paraId="6C9F26B8" w14:textId="44969C78" w:rsidR="00310888" w:rsidRPr="003269A4" w:rsidRDefault="00310888" w:rsidP="003269A4">
            <w:pPr>
              <w:spacing w:before="0" w:after="0"/>
              <w:rPr>
                <w:rFonts w:cs="Open Sans"/>
                <w:sz w:val="18"/>
                <w:szCs w:val="18"/>
              </w:rPr>
            </w:pPr>
            <w:r>
              <w:rPr>
                <w:rFonts w:cs="Open Sans"/>
                <w:sz w:val="18"/>
                <w:szCs w:val="18"/>
              </w:rPr>
              <w:t xml:space="preserve">Union internationale pour la Conservation de la Nature </w:t>
            </w:r>
          </w:p>
        </w:tc>
      </w:tr>
      <w:tr w:rsidR="003269A4" w:rsidRPr="004F5DAE" w14:paraId="7389CE24"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59E7F6BC" w14:textId="77777777" w:rsidR="003269A4" w:rsidRPr="003269A4" w:rsidRDefault="003269A4" w:rsidP="003269A4">
            <w:pPr>
              <w:spacing w:before="0" w:after="0" w:line="259" w:lineRule="auto"/>
              <w:rPr>
                <w:rFonts w:cs="Open Sans"/>
                <w:sz w:val="18"/>
                <w:szCs w:val="18"/>
              </w:rPr>
            </w:pPr>
            <w:r w:rsidRPr="003269A4">
              <w:rPr>
                <w:rFonts w:cs="Open Sans"/>
                <w:sz w:val="18"/>
                <w:szCs w:val="18"/>
              </w:rPr>
              <w:t>UNCDF</w:t>
            </w:r>
          </w:p>
        </w:tc>
        <w:tc>
          <w:tcPr>
            <w:tcW w:w="6802" w:type="dxa"/>
            <w:tcBorders>
              <w:top w:val="single" w:sz="4" w:space="0" w:color="auto"/>
              <w:left w:val="single" w:sz="4" w:space="0" w:color="auto"/>
              <w:bottom w:val="single" w:sz="4" w:space="0" w:color="auto"/>
              <w:right w:val="single" w:sz="4" w:space="0" w:color="auto"/>
            </w:tcBorders>
            <w:hideMark/>
          </w:tcPr>
          <w:p w14:paraId="32F17106" w14:textId="77777777" w:rsidR="003269A4" w:rsidRPr="003269A4" w:rsidRDefault="003269A4" w:rsidP="003269A4">
            <w:pPr>
              <w:spacing w:before="0" w:after="0" w:line="259" w:lineRule="auto"/>
              <w:rPr>
                <w:rFonts w:cs="Open Sans"/>
                <w:sz w:val="18"/>
                <w:szCs w:val="18"/>
              </w:rPr>
            </w:pPr>
            <w:r w:rsidRPr="003269A4">
              <w:rPr>
                <w:rFonts w:cs="Open Sans"/>
                <w:sz w:val="18"/>
                <w:szCs w:val="18"/>
              </w:rPr>
              <w:t>Fonds d’équipement des Nations Unies (United Nations Capital Development Fund) – agence onusienne pilote du projet</w:t>
            </w:r>
          </w:p>
        </w:tc>
      </w:tr>
      <w:tr w:rsidR="003269A4" w:rsidRPr="004F5DAE" w14:paraId="28A4B79D"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08B6288D" w14:textId="77777777" w:rsidR="003269A4" w:rsidRPr="003269A4" w:rsidRDefault="003269A4" w:rsidP="003269A4">
            <w:pPr>
              <w:spacing w:before="0" w:after="0" w:line="259" w:lineRule="auto"/>
              <w:rPr>
                <w:rFonts w:cs="Open Sans"/>
                <w:sz w:val="18"/>
                <w:szCs w:val="18"/>
              </w:rPr>
            </w:pPr>
            <w:r w:rsidRPr="003269A4">
              <w:rPr>
                <w:rFonts w:cs="Open Sans"/>
                <w:sz w:val="18"/>
                <w:szCs w:val="18"/>
              </w:rPr>
              <w:t>UNDAF</w:t>
            </w:r>
          </w:p>
        </w:tc>
        <w:tc>
          <w:tcPr>
            <w:tcW w:w="6802" w:type="dxa"/>
            <w:tcBorders>
              <w:top w:val="single" w:sz="4" w:space="0" w:color="auto"/>
              <w:left w:val="single" w:sz="4" w:space="0" w:color="auto"/>
              <w:bottom w:val="single" w:sz="4" w:space="0" w:color="auto"/>
              <w:right w:val="single" w:sz="4" w:space="0" w:color="auto"/>
            </w:tcBorders>
            <w:hideMark/>
          </w:tcPr>
          <w:p w14:paraId="4F3E6B3C" w14:textId="77777777" w:rsidR="003269A4" w:rsidRPr="003269A4" w:rsidRDefault="003269A4" w:rsidP="003269A4">
            <w:pPr>
              <w:spacing w:before="0" w:after="0" w:line="259" w:lineRule="auto"/>
              <w:rPr>
                <w:rFonts w:cs="Open Sans"/>
                <w:sz w:val="18"/>
                <w:szCs w:val="18"/>
              </w:rPr>
            </w:pPr>
            <w:r w:rsidRPr="003269A4">
              <w:rPr>
                <w:rFonts w:cs="Open Sans"/>
                <w:sz w:val="18"/>
                <w:szCs w:val="18"/>
              </w:rPr>
              <w:t>Cadre des Nations Unies pour l’aide au développement (United Nations Development Assistance Framework, ancien cadre)</w:t>
            </w:r>
          </w:p>
        </w:tc>
      </w:tr>
      <w:tr w:rsidR="003269A4" w:rsidRPr="004F5DAE" w14:paraId="274D376C"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5224BB34" w14:textId="77777777" w:rsidR="003269A4" w:rsidRPr="003269A4" w:rsidRDefault="003269A4" w:rsidP="003269A4">
            <w:pPr>
              <w:spacing w:before="0" w:after="0" w:line="259" w:lineRule="auto"/>
              <w:rPr>
                <w:rFonts w:cs="Open Sans"/>
                <w:sz w:val="18"/>
                <w:szCs w:val="18"/>
              </w:rPr>
            </w:pPr>
            <w:r w:rsidRPr="003269A4">
              <w:rPr>
                <w:rFonts w:cs="Open Sans"/>
                <w:sz w:val="18"/>
                <w:szCs w:val="18"/>
              </w:rPr>
              <w:t>UNEG</w:t>
            </w:r>
          </w:p>
        </w:tc>
        <w:tc>
          <w:tcPr>
            <w:tcW w:w="6802" w:type="dxa"/>
            <w:tcBorders>
              <w:top w:val="single" w:sz="4" w:space="0" w:color="auto"/>
              <w:left w:val="single" w:sz="4" w:space="0" w:color="auto"/>
              <w:bottom w:val="single" w:sz="4" w:space="0" w:color="auto"/>
              <w:right w:val="single" w:sz="4" w:space="0" w:color="auto"/>
            </w:tcBorders>
            <w:hideMark/>
          </w:tcPr>
          <w:p w14:paraId="662EAA6E" w14:textId="77777777" w:rsidR="003269A4" w:rsidRPr="003269A4" w:rsidRDefault="003269A4" w:rsidP="003269A4">
            <w:pPr>
              <w:spacing w:before="0" w:after="0" w:line="259" w:lineRule="auto"/>
              <w:rPr>
                <w:rFonts w:cs="Open Sans"/>
                <w:sz w:val="18"/>
                <w:szCs w:val="18"/>
              </w:rPr>
            </w:pPr>
            <w:r w:rsidRPr="003269A4">
              <w:rPr>
                <w:rFonts w:cs="Open Sans"/>
                <w:sz w:val="18"/>
                <w:szCs w:val="18"/>
              </w:rPr>
              <w:t>United Nations Evaluation Group / Groupe d’évaluation des Nations Unies (normes/éthique)</w:t>
            </w:r>
          </w:p>
        </w:tc>
      </w:tr>
      <w:tr w:rsidR="003269A4" w:rsidRPr="004F5DAE" w14:paraId="7F0A102B"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5853EE91" w14:textId="77777777" w:rsidR="003269A4" w:rsidRPr="003269A4" w:rsidRDefault="003269A4" w:rsidP="003269A4">
            <w:pPr>
              <w:spacing w:before="0" w:after="0" w:line="259" w:lineRule="auto"/>
              <w:rPr>
                <w:rFonts w:cs="Open Sans"/>
                <w:sz w:val="18"/>
                <w:szCs w:val="18"/>
              </w:rPr>
            </w:pPr>
            <w:r w:rsidRPr="003269A4">
              <w:rPr>
                <w:rFonts w:cs="Open Sans"/>
                <w:sz w:val="18"/>
                <w:szCs w:val="18"/>
              </w:rPr>
              <w:t>UNIPROBA</w:t>
            </w:r>
          </w:p>
        </w:tc>
        <w:tc>
          <w:tcPr>
            <w:tcW w:w="6802" w:type="dxa"/>
            <w:tcBorders>
              <w:top w:val="single" w:sz="4" w:space="0" w:color="auto"/>
              <w:left w:val="single" w:sz="4" w:space="0" w:color="auto"/>
              <w:bottom w:val="single" w:sz="4" w:space="0" w:color="auto"/>
              <w:right w:val="single" w:sz="4" w:space="0" w:color="auto"/>
            </w:tcBorders>
            <w:hideMark/>
          </w:tcPr>
          <w:p w14:paraId="26F423B1" w14:textId="77777777" w:rsidR="003269A4" w:rsidRPr="003269A4" w:rsidRDefault="003269A4" w:rsidP="003269A4">
            <w:pPr>
              <w:spacing w:before="0" w:after="0" w:line="259" w:lineRule="auto"/>
              <w:rPr>
                <w:rFonts w:cs="Open Sans"/>
                <w:sz w:val="18"/>
                <w:szCs w:val="18"/>
              </w:rPr>
            </w:pPr>
            <w:r w:rsidRPr="003269A4">
              <w:rPr>
                <w:rFonts w:cs="Open Sans"/>
                <w:sz w:val="18"/>
                <w:szCs w:val="18"/>
              </w:rPr>
              <w:t xml:space="preserve">Union pour la Promotion des </w:t>
            </w:r>
            <w:proofErr w:type="spellStart"/>
            <w:r w:rsidRPr="003269A4">
              <w:rPr>
                <w:rFonts w:cs="Open Sans"/>
                <w:sz w:val="18"/>
                <w:szCs w:val="18"/>
              </w:rPr>
              <w:t>Batwa</w:t>
            </w:r>
            <w:proofErr w:type="spellEnd"/>
            <w:r w:rsidRPr="003269A4">
              <w:rPr>
                <w:rFonts w:cs="Open Sans"/>
                <w:sz w:val="18"/>
                <w:szCs w:val="18"/>
              </w:rPr>
              <w:t xml:space="preserve"> (partenaire clé pour l’inclusion </w:t>
            </w:r>
            <w:proofErr w:type="spellStart"/>
            <w:r w:rsidRPr="003269A4">
              <w:rPr>
                <w:rFonts w:cs="Open Sans"/>
                <w:sz w:val="18"/>
                <w:szCs w:val="18"/>
              </w:rPr>
              <w:t>Batwa</w:t>
            </w:r>
            <w:proofErr w:type="spellEnd"/>
            <w:r w:rsidRPr="003269A4">
              <w:rPr>
                <w:rFonts w:cs="Open Sans"/>
                <w:sz w:val="18"/>
                <w:szCs w:val="18"/>
              </w:rPr>
              <w:t>)</w:t>
            </w:r>
          </w:p>
        </w:tc>
      </w:tr>
      <w:tr w:rsidR="003269A4" w:rsidRPr="004F5DAE" w14:paraId="43698C51" w14:textId="77777777" w:rsidTr="00077F88">
        <w:tc>
          <w:tcPr>
            <w:tcW w:w="1838" w:type="dxa"/>
            <w:tcBorders>
              <w:top w:val="single" w:sz="4" w:space="0" w:color="auto"/>
              <w:left w:val="single" w:sz="4" w:space="0" w:color="auto"/>
              <w:bottom w:val="single" w:sz="4" w:space="0" w:color="auto"/>
              <w:right w:val="single" w:sz="4" w:space="0" w:color="auto"/>
            </w:tcBorders>
            <w:hideMark/>
          </w:tcPr>
          <w:p w14:paraId="401B3DC7" w14:textId="77777777" w:rsidR="003269A4" w:rsidRPr="003269A4" w:rsidRDefault="003269A4" w:rsidP="003269A4">
            <w:pPr>
              <w:spacing w:before="0" w:after="0" w:line="259" w:lineRule="auto"/>
              <w:rPr>
                <w:rFonts w:cs="Open Sans"/>
                <w:sz w:val="18"/>
                <w:szCs w:val="18"/>
              </w:rPr>
            </w:pPr>
            <w:r w:rsidRPr="003269A4">
              <w:rPr>
                <w:rFonts w:cs="Open Sans"/>
                <w:sz w:val="18"/>
                <w:szCs w:val="18"/>
              </w:rPr>
              <w:t>UNSDCF</w:t>
            </w:r>
          </w:p>
        </w:tc>
        <w:tc>
          <w:tcPr>
            <w:tcW w:w="6802" w:type="dxa"/>
            <w:tcBorders>
              <w:top w:val="single" w:sz="4" w:space="0" w:color="auto"/>
              <w:left w:val="single" w:sz="4" w:space="0" w:color="auto"/>
              <w:bottom w:val="single" w:sz="4" w:space="0" w:color="auto"/>
              <w:right w:val="single" w:sz="4" w:space="0" w:color="auto"/>
            </w:tcBorders>
            <w:hideMark/>
          </w:tcPr>
          <w:p w14:paraId="701DD461" w14:textId="77777777" w:rsidR="003269A4" w:rsidRPr="003269A4" w:rsidRDefault="003269A4" w:rsidP="003269A4">
            <w:pPr>
              <w:spacing w:before="0" w:after="0" w:line="259" w:lineRule="auto"/>
              <w:rPr>
                <w:rFonts w:cs="Open Sans"/>
                <w:sz w:val="18"/>
                <w:szCs w:val="18"/>
              </w:rPr>
            </w:pPr>
            <w:r w:rsidRPr="003269A4">
              <w:rPr>
                <w:rFonts w:cs="Open Sans"/>
                <w:sz w:val="18"/>
                <w:szCs w:val="18"/>
              </w:rPr>
              <w:t xml:space="preserve">Cadre de coopération des Nations Unies pour le développement durable (United Nations </w:t>
            </w:r>
            <w:proofErr w:type="spellStart"/>
            <w:r w:rsidRPr="003269A4">
              <w:rPr>
                <w:rFonts w:cs="Open Sans"/>
                <w:sz w:val="18"/>
                <w:szCs w:val="18"/>
              </w:rPr>
              <w:t>Sustainable</w:t>
            </w:r>
            <w:proofErr w:type="spellEnd"/>
            <w:r w:rsidRPr="003269A4">
              <w:rPr>
                <w:rFonts w:cs="Open Sans"/>
                <w:sz w:val="18"/>
                <w:szCs w:val="18"/>
              </w:rPr>
              <w:t xml:space="preserve"> </w:t>
            </w:r>
            <w:proofErr w:type="spellStart"/>
            <w:r w:rsidRPr="003269A4">
              <w:rPr>
                <w:rFonts w:cs="Open Sans"/>
                <w:sz w:val="18"/>
                <w:szCs w:val="18"/>
              </w:rPr>
              <w:t>Development</w:t>
            </w:r>
            <w:proofErr w:type="spellEnd"/>
            <w:r w:rsidRPr="003269A4">
              <w:rPr>
                <w:rFonts w:cs="Open Sans"/>
                <w:sz w:val="18"/>
                <w:szCs w:val="18"/>
              </w:rPr>
              <w:t xml:space="preserve"> </w:t>
            </w:r>
            <w:proofErr w:type="spellStart"/>
            <w:r w:rsidRPr="003269A4">
              <w:rPr>
                <w:rFonts w:cs="Open Sans"/>
                <w:sz w:val="18"/>
                <w:szCs w:val="18"/>
              </w:rPr>
              <w:t>Cooperation</w:t>
            </w:r>
            <w:proofErr w:type="spellEnd"/>
            <w:r w:rsidRPr="003269A4">
              <w:rPr>
                <w:rFonts w:cs="Open Sans"/>
                <w:sz w:val="18"/>
                <w:szCs w:val="18"/>
              </w:rPr>
              <w:t xml:space="preserve"> Framework, cadre actuel)</w:t>
            </w:r>
          </w:p>
        </w:tc>
      </w:tr>
      <w:tr w:rsidR="003269A4" w:rsidRPr="001D3339" w14:paraId="4C6793C4" w14:textId="77777777" w:rsidTr="00077F88">
        <w:trPr>
          <w:trHeight w:val="41"/>
        </w:trPr>
        <w:tc>
          <w:tcPr>
            <w:tcW w:w="1838" w:type="dxa"/>
            <w:tcBorders>
              <w:top w:val="single" w:sz="4" w:space="0" w:color="auto"/>
              <w:left w:val="single" w:sz="4" w:space="0" w:color="auto"/>
              <w:bottom w:val="single" w:sz="4" w:space="0" w:color="auto"/>
              <w:right w:val="single" w:sz="4" w:space="0" w:color="auto"/>
            </w:tcBorders>
            <w:hideMark/>
          </w:tcPr>
          <w:p w14:paraId="4338DBAA" w14:textId="77777777" w:rsidR="003269A4" w:rsidRPr="003269A4" w:rsidRDefault="003269A4" w:rsidP="003269A4">
            <w:pPr>
              <w:spacing w:before="0" w:after="0" w:line="259" w:lineRule="auto"/>
              <w:rPr>
                <w:rFonts w:cs="Open Sans"/>
                <w:sz w:val="18"/>
                <w:szCs w:val="18"/>
              </w:rPr>
            </w:pPr>
            <w:r w:rsidRPr="003269A4">
              <w:rPr>
                <w:rFonts w:cs="Open Sans"/>
                <w:sz w:val="18"/>
                <w:szCs w:val="18"/>
              </w:rPr>
              <w:t>USD</w:t>
            </w:r>
          </w:p>
        </w:tc>
        <w:tc>
          <w:tcPr>
            <w:tcW w:w="6802" w:type="dxa"/>
            <w:tcBorders>
              <w:top w:val="single" w:sz="4" w:space="0" w:color="auto"/>
              <w:left w:val="single" w:sz="4" w:space="0" w:color="auto"/>
              <w:bottom w:val="single" w:sz="4" w:space="0" w:color="auto"/>
              <w:right w:val="single" w:sz="4" w:space="0" w:color="auto"/>
            </w:tcBorders>
            <w:hideMark/>
          </w:tcPr>
          <w:p w14:paraId="774FD33C" w14:textId="77777777" w:rsidR="003269A4" w:rsidRPr="003269A4" w:rsidRDefault="003269A4" w:rsidP="003269A4">
            <w:pPr>
              <w:spacing w:before="0" w:after="0" w:line="259" w:lineRule="auto"/>
              <w:rPr>
                <w:rFonts w:cs="Open Sans"/>
                <w:sz w:val="18"/>
                <w:szCs w:val="18"/>
              </w:rPr>
            </w:pPr>
            <w:r w:rsidRPr="003269A4">
              <w:rPr>
                <w:rFonts w:cs="Open Sans"/>
                <w:sz w:val="18"/>
                <w:szCs w:val="18"/>
              </w:rPr>
              <w:t>United States Dollar / des États-Unis</w:t>
            </w:r>
          </w:p>
        </w:tc>
      </w:tr>
    </w:tbl>
    <w:p w14:paraId="2B221C2D" w14:textId="77777777" w:rsidR="00BE29A7" w:rsidRPr="00925FBE" w:rsidRDefault="00BE29A7" w:rsidP="00BE29A7">
      <w:pPr>
        <w:spacing w:before="0" w:after="160"/>
        <w:jc w:val="both"/>
      </w:pPr>
    </w:p>
    <w:p w14:paraId="569FC576" w14:textId="77777777" w:rsidR="002F4936" w:rsidRPr="00925FBE" w:rsidRDefault="00BE29A7" w:rsidP="00BE29A7">
      <w:pPr>
        <w:spacing w:before="0" w:after="160"/>
        <w:jc w:val="both"/>
      </w:pPr>
      <w:r w:rsidRPr="00925FBE">
        <w:br w:type="page"/>
      </w:r>
    </w:p>
    <w:p w14:paraId="4A6714E9" w14:textId="53D598CE" w:rsidR="00D25B3A" w:rsidRPr="000040A4" w:rsidRDefault="00A10071" w:rsidP="00EB7D20">
      <w:pPr>
        <w:pStyle w:val="Heading1"/>
        <w:numPr>
          <w:ilvl w:val="0"/>
          <w:numId w:val="0"/>
        </w:numPr>
        <w:ind w:left="720" w:hanging="720"/>
        <w:rPr>
          <w:rFonts w:ascii="Open Sans" w:hAnsi="Open Sans"/>
        </w:rPr>
      </w:pPr>
      <w:bookmarkStart w:id="25" w:name="_Toc216948959"/>
      <w:bookmarkEnd w:id="20"/>
      <w:bookmarkEnd w:id="22"/>
      <w:bookmarkEnd w:id="23"/>
      <w:bookmarkEnd w:id="24"/>
      <w:r w:rsidRPr="000040A4">
        <w:rPr>
          <w:rFonts w:ascii="Open Sans" w:hAnsi="Open Sans"/>
        </w:rPr>
        <w:lastRenderedPageBreak/>
        <w:t>Résumé exécutif</w:t>
      </w:r>
      <w:bookmarkEnd w:id="25"/>
      <w:r w:rsidRPr="000040A4">
        <w:rPr>
          <w:rFonts w:ascii="Open Sans" w:hAnsi="Open Sans"/>
        </w:rPr>
        <w:t xml:space="preserve"> </w:t>
      </w:r>
    </w:p>
    <w:p w14:paraId="6F9A0EB3" w14:textId="77777777" w:rsidR="00B56096" w:rsidRPr="000040A4" w:rsidRDefault="00B56096" w:rsidP="00EB7D20">
      <w:pPr>
        <w:spacing w:line="240" w:lineRule="auto"/>
        <w:jc w:val="both"/>
        <w:rPr>
          <w:rFonts w:cs="Open Sans"/>
          <w:b/>
          <w:color w:val="FF0000"/>
          <w:sz w:val="18"/>
        </w:rPr>
      </w:pPr>
    </w:p>
    <w:p w14:paraId="72CAE655" w14:textId="781F837B" w:rsidR="00211D86" w:rsidRPr="00211D86" w:rsidRDefault="00211D86" w:rsidP="00EB7D20">
      <w:pPr>
        <w:spacing w:line="240" w:lineRule="auto"/>
        <w:jc w:val="both"/>
        <w:rPr>
          <w:b/>
          <w:bCs/>
          <w:color w:val="000099"/>
        </w:rPr>
      </w:pPr>
      <w:r w:rsidRPr="00211D86">
        <w:rPr>
          <w:b/>
          <w:bCs/>
          <w:color w:val="000099"/>
        </w:rPr>
        <w:t>CONTEXTE ET DESCRIPTION DU PROJET</w:t>
      </w:r>
    </w:p>
    <w:p w14:paraId="6CF35100" w14:textId="05641F69" w:rsidR="00211D86" w:rsidRPr="00211D86" w:rsidRDefault="00211D86" w:rsidP="00EB7D20">
      <w:pPr>
        <w:spacing w:line="240" w:lineRule="auto"/>
        <w:jc w:val="both"/>
      </w:pPr>
      <w:r w:rsidRPr="00211D86">
        <w:t>Le projet "Kibira Sanctuaire de Paix" (</w:t>
      </w:r>
      <w:r w:rsidR="004B3812">
        <w:t xml:space="preserve">Décembre </w:t>
      </w:r>
      <w:r w:rsidRPr="00211D86">
        <w:t>2021-</w:t>
      </w:r>
      <w:r w:rsidR="004B3812">
        <w:t xml:space="preserve"> Décembre </w:t>
      </w:r>
      <w:r w:rsidRPr="00211D86">
        <w:t>2025), financé par le Peace</w:t>
      </w:r>
      <w:r w:rsidR="004B3812">
        <w:t xml:space="preserve"> </w:t>
      </w:r>
      <w:r w:rsidRPr="00211D86">
        <w:t xml:space="preserve">building Fund (PBF) à hauteur de 3 millions USD et mis en œuvre par l'UNCDF, constitue une intervention innovante combinant consolidation de la paix, </w:t>
      </w:r>
      <w:r w:rsidR="007375FE">
        <w:t xml:space="preserve">investissement privé, </w:t>
      </w:r>
      <w:r w:rsidRPr="00211D86">
        <w:t xml:space="preserve">conservation environnementale et développement communautaire autour du Parc National de la Kibira au Burundi. Le projet visait deux </w:t>
      </w:r>
      <w:r w:rsidR="00E83F09">
        <w:t xml:space="preserve">résultats </w:t>
      </w:r>
      <w:r w:rsidRPr="00211D86">
        <w:t>principaux : (1) restaurer et conserver la forêt tropicale de Kibira par une gouvernance inclusive impliquant les communautés dans la cogestion, et (2) générer des dividendes de paix et sociales durables via des investissements dans l'énergie propre et le développement d'opportunités économiques (mécanisme REDD+). L'approche nexus climat-paix-sécurité</w:t>
      </w:r>
      <w:r w:rsidR="007375FE">
        <w:t xml:space="preserve"> </w:t>
      </w:r>
      <w:r w:rsidRPr="00211D86">
        <w:t>repose sur la reconnaissance que la dégradation environnementale, les conflits liés aux ressources, et la pauvreté constituent des facteurs interdépendants qu'il faut traiter simultanément.</w:t>
      </w:r>
    </w:p>
    <w:p w14:paraId="4D774C3C" w14:textId="664E0039" w:rsidR="00211D86" w:rsidRPr="00211D86" w:rsidRDefault="00211D86" w:rsidP="00EB7D20">
      <w:pPr>
        <w:spacing w:line="240" w:lineRule="auto"/>
        <w:jc w:val="both"/>
      </w:pPr>
      <w:r w:rsidRPr="00211D86">
        <w:t xml:space="preserve">Les principales innovations du projet incluent : création de la Fondation Kibira comme premier mécanisme de cogestion participative d'une aire protégée au Burundi, développement d'un partenariat public-privé (PPP) pour un projet hydroélectrique de 10,2 MW, mise en place d'un mécanisme de Paiement pour Services Écosystémiques (PSE) générant 150 000 USD/an sur 10 ans pour financer durablement la conservation, et approche intégrée combinant renforcement institutionnel, AGR pour les communautés vulnérables, et promotion de la cohésion sociale. Le projet a directement bénéficié à </w:t>
      </w:r>
      <w:r w:rsidR="0094432B">
        <w:t>plus de 10 mille</w:t>
      </w:r>
      <w:r w:rsidRPr="00211D86">
        <w:t xml:space="preserve"> personnes dont 500 </w:t>
      </w:r>
      <w:proofErr w:type="spellStart"/>
      <w:r w:rsidRPr="00211D86">
        <w:t>Batwa</w:t>
      </w:r>
      <w:proofErr w:type="spellEnd"/>
      <w:r w:rsidRPr="00211D86">
        <w:t xml:space="preserve">, avec une attention particulière à l'inclusion des femmes. </w:t>
      </w:r>
    </w:p>
    <w:p w14:paraId="74B46E8A" w14:textId="02002ECB" w:rsidR="00211D86" w:rsidRPr="00211D86" w:rsidRDefault="00211D86" w:rsidP="00EB7D20">
      <w:pPr>
        <w:spacing w:before="240" w:line="240" w:lineRule="auto"/>
        <w:jc w:val="both"/>
        <w:rPr>
          <w:b/>
          <w:bCs/>
          <w:color w:val="000099"/>
        </w:rPr>
      </w:pPr>
      <w:r w:rsidRPr="00211D86">
        <w:rPr>
          <w:b/>
          <w:bCs/>
          <w:color w:val="000099"/>
        </w:rPr>
        <w:t>OBJECTIFS</w:t>
      </w:r>
      <w:r w:rsidR="002930EF">
        <w:rPr>
          <w:b/>
          <w:bCs/>
          <w:color w:val="000099"/>
        </w:rPr>
        <w:t xml:space="preserve"> </w:t>
      </w:r>
      <w:r w:rsidRPr="00211D86">
        <w:rPr>
          <w:b/>
          <w:bCs/>
          <w:color w:val="000099"/>
        </w:rPr>
        <w:t>ET MÉTHODOLOGIE DE L'ÉVALUATION</w:t>
      </w:r>
    </w:p>
    <w:p w14:paraId="49018EAE" w14:textId="53BA52C5" w:rsidR="00211D86" w:rsidRPr="00211D86" w:rsidRDefault="00211D86" w:rsidP="00EB7D20">
      <w:pPr>
        <w:spacing w:line="240" w:lineRule="auto"/>
        <w:jc w:val="both"/>
      </w:pPr>
      <w:r w:rsidRPr="00211D86">
        <w:t xml:space="preserve">L'évaluation finale vise à apprécier de manière indépendante la pertinence, la cohérence, l'efficience, l'efficacité, l'impact et la durabilité du projet selon les critères OCDE-CAD, à identifier les leçons apprises transférables, et à formuler des recommandations pour améliorer la durabilité des acquis et éclairer la conception de projets similaires. </w:t>
      </w:r>
    </w:p>
    <w:p w14:paraId="5BCB8E70" w14:textId="4B8F0E47" w:rsidR="00211D86" w:rsidRPr="00211D86" w:rsidRDefault="00211D86" w:rsidP="00EB7D20">
      <w:pPr>
        <w:spacing w:line="240" w:lineRule="auto"/>
        <w:jc w:val="both"/>
      </w:pPr>
      <w:r w:rsidRPr="00211D86">
        <w:t xml:space="preserve">La méthodologie a combiné une revue documentaire approfondie, une mission de terrain de 7 jours au Burundi (octobre 2025) avec </w:t>
      </w:r>
      <w:r w:rsidR="00753017">
        <w:t xml:space="preserve">des </w:t>
      </w:r>
      <w:r w:rsidRPr="00211D86">
        <w:t xml:space="preserve">visites dans </w:t>
      </w:r>
      <w:r w:rsidR="00753017">
        <w:t>les principales</w:t>
      </w:r>
      <w:r w:rsidRPr="00211D86">
        <w:t xml:space="preserve"> zones d'intervention (</w:t>
      </w:r>
      <w:r w:rsidR="00753017">
        <w:t xml:space="preserve">Bujumbura, </w:t>
      </w:r>
      <w:proofErr w:type="spellStart"/>
      <w:r w:rsidRPr="00211D86">
        <w:t>Muciro</w:t>
      </w:r>
      <w:proofErr w:type="spellEnd"/>
      <w:r w:rsidRPr="00211D86">
        <w:t xml:space="preserve">, </w:t>
      </w:r>
      <w:proofErr w:type="spellStart"/>
      <w:r w:rsidRPr="00211D86">
        <w:t>Caguka</w:t>
      </w:r>
      <w:proofErr w:type="spellEnd"/>
      <w:r w:rsidRPr="00211D86">
        <w:t>,</w:t>
      </w:r>
      <w:r w:rsidR="00753017">
        <w:t xml:space="preserve"> </w:t>
      </w:r>
      <w:proofErr w:type="spellStart"/>
      <w:r w:rsidR="00753017">
        <w:t>Mpfunda</w:t>
      </w:r>
      <w:proofErr w:type="spellEnd"/>
      <w:r w:rsidR="00753017">
        <w:t xml:space="preserve">, </w:t>
      </w:r>
      <w:proofErr w:type="spellStart"/>
      <w:r w:rsidR="00753017">
        <w:t>Mpanda</w:t>
      </w:r>
      <w:proofErr w:type="spellEnd"/>
      <w:r w:rsidR="00753017">
        <w:t xml:space="preserve">, </w:t>
      </w:r>
      <w:proofErr w:type="spellStart"/>
      <w:r w:rsidR="00753017">
        <w:t>Muyebe</w:t>
      </w:r>
      <w:proofErr w:type="spellEnd"/>
      <w:r w:rsidR="00753017">
        <w:t xml:space="preserve"> et </w:t>
      </w:r>
      <w:proofErr w:type="spellStart"/>
      <w:r w:rsidRPr="00211D86">
        <w:t>Mwokora</w:t>
      </w:r>
      <w:proofErr w:type="spellEnd"/>
      <w:r w:rsidRPr="00211D86">
        <w:t xml:space="preserve">), </w:t>
      </w:r>
      <w:r w:rsidR="00753017">
        <w:t>des</w:t>
      </w:r>
      <w:r w:rsidRPr="00211D86">
        <w:t xml:space="preserve"> entretiens individuels</w:t>
      </w:r>
      <w:r w:rsidR="002930EF">
        <w:t>, des focus groups, une a</w:t>
      </w:r>
      <w:r w:rsidR="002930EF" w:rsidRPr="003137D3">
        <w:rPr>
          <w:rFonts w:cstheme="minorHAnsi"/>
        </w:rPr>
        <w:t xml:space="preserve">nalyse quantitative des données de </w:t>
      </w:r>
      <w:proofErr w:type="gramStart"/>
      <w:r w:rsidR="002930EF" w:rsidRPr="003137D3">
        <w:rPr>
          <w:rFonts w:cstheme="minorHAnsi"/>
        </w:rPr>
        <w:t>performance</w:t>
      </w:r>
      <w:r w:rsidR="002930EF">
        <w:rPr>
          <w:rFonts w:cstheme="minorHAnsi"/>
        </w:rPr>
        <w:t> </w:t>
      </w:r>
      <w:r w:rsidR="002930EF" w:rsidRPr="00211D86">
        <w:t xml:space="preserve"> </w:t>
      </w:r>
      <w:r w:rsidRPr="00211D86">
        <w:t>et</w:t>
      </w:r>
      <w:proofErr w:type="gramEnd"/>
      <w:r w:rsidRPr="00211D86">
        <w:t xml:space="preserve"> une triangulation systématique des données. </w:t>
      </w:r>
    </w:p>
    <w:p w14:paraId="2B2447BD" w14:textId="5FB2704C" w:rsidR="00211D86" w:rsidRPr="00211D86" w:rsidRDefault="00211D86" w:rsidP="00EB7D20">
      <w:pPr>
        <w:spacing w:before="240" w:after="240" w:line="240" w:lineRule="auto"/>
        <w:jc w:val="both"/>
        <w:rPr>
          <w:b/>
          <w:bCs/>
          <w:color w:val="000099"/>
        </w:rPr>
      </w:pPr>
      <w:r w:rsidRPr="00211D86">
        <w:rPr>
          <w:b/>
          <w:bCs/>
          <w:color w:val="000099"/>
        </w:rPr>
        <w:t>PRINCIPALES CONCLUSIONS PAR CRITÈRE D'ÉVALUATION</w:t>
      </w:r>
    </w:p>
    <w:p w14:paraId="29E0EA77" w14:textId="0B8C0860" w:rsidR="00211D86" w:rsidRPr="00211D86" w:rsidRDefault="00211D86" w:rsidP="00EB7D20">
      <w:pPr>
        <w:spacing w:line="240" w:lineRule="auto"/>
        <w:jc w:val="both"/>
      </w:pPr>
      <w:r w:rsidRPr="00211D86">
        <w:rPr>
          <w:b/>
          <w:bCs/>
          <w:color w:val="000099"/>
        </w:rPr>
        <w:t xml:space="preserve">Pertinence : </w:t>
      </w:r>
      <w:r w:rsidRPr="00211D86">
        <w:t xml:space="preserve">Le projet démontre un alignement stratégique exceptionnel avec les priorités nationales et les besoins des populations riveraines. L'approche nexus climat-paix-sécurité répond de manière intégrée aux facteurs interdépendants des conflits et de la dégradation environnementale. Les innovations institutionnelles (cogestion, PSE, PPP) représentent des avancées substantielles. Les limites concernent </w:t>
      </w:r>
      <w:r w:rsidR="00594A7C" w:rsidRPr="00594A7C">
        <w:t>un dimensionnement budgétaire limitant la profondeur des tests sur plusieurs zones,</w:t>
      </w:r>
      <w:r w:rsidR="00594A7C" w:rsidRPr="00594A7C" w:rsidDel="00594A7C">
        <w:t xml:space="preserve"> </w:t>
      </w:r>
      <w:r w:rsidRPr="00211D86">
        <w:t>et la sous-estimation de la complexité du REDD+ conduisant à son abandon.</w:t>
      </w:r>
    </w:p>
    <w:p w14:paraId="348F91AD" w14:textId="3C20E909" w:rsidR="00211D86" w:rsidRPr="00211D86" w:rsidRDefault="00211D86" w:rsidP="00EB7D20">
      <w:pPr>
        <w:spacing w:line="240" w:lineRule="auto"/>
        <w:jc w:val="both"/>
      </w:pPr>
      <w:r w:rsidRPr="00211D86">
        <w:rPr>
          <w:b/>
          <w:bCs/>
          <w:color w:val="000099"/>
        </w:rPr>
        <w:t xml:space="preserve">Cohérence : </w:t>
      </w:r>
      <w:r w:rsidR="0012297D" w:rsidRPr="00A045A5">
        <w:t xml:space="preserve">La théorie du changement et la stratégie de mise en œuvre présentent une cohérence conceptuelle forte, avec une interdépendance stratégique intéressante entre les composantes Fondation-PPP-Conservation. </w:t>
      </w:r>
      <w:r w:rsidRPr="00211D86">
        <w:t>L</w:t>
      </w:r>
      <w:r w:rsidR="007577B2">
        <w:t>es</w:t>
      </w:r>
      <w:r w:rsidRPr="00211D86">
        <w:t xml:space="preserve"> principale</w:t>
      </w:r>
      <w:r w:rsidR="007577B2">
        <w:t>s</w:t>
      </w:r>
      <w:r w:rsidRPr="00211D86">
        <w:t xml:space="preserve"> faiblesse</w:t>
      </w:r>
      <w:r w:rsidR="007577B2">
        <w:t>s</w:t>
      </w:r>
      <w:r w:rsidRPr="00211D86">
        <w:t xml:space="preserve"> </w:t>
      </w:r>
      <w:r w:rsidR="007577B2">
        <w:t>concernent</w:t>
      </w:r>
      <w:r w:rsidR="007577B2" w:rsidRPr="00211D86">
        <w:t xml:space="preserve"> </w:t>
      </w:r>
      <w:r w:rsidRPr="00211D86">
        <w:t xml:space="preserve">l'absence de </w:t>
      </w:r>
      <w:r w:rsidRPr="00211D86">
        <w:lastRenderedPageBreak/>
        <w:t xml:space="preserve">révision du cadre de résultats </w:t>
      </w:r>
      <w:r w:rsidR="007577B2">
        <w:t>face à des</w:t>
      </w:r>
      <w:r w:rsidRPr="00211D86">
        <w:t xml:space="preserve"> ajustements stratégiques majeurs</w:t>
      </w:r>
      <w:r w:rsidR="00B97EFD">
        <w:t xml:space="preserve"> (</w:t>
      </w:r>
      <w:r w:rsidR="00B97EFD" w:rsidRPr="00B97EFD">
        <w:t>abandon REDD+, retards PPP</w:t>
      </w:r>
      <w:r w:rsidR="00B97EFD">
        <w:t>)</w:t>
      </w:r>
      <w:r w:rsidRPr="00211D86">
        <w:t xml:space="preserve"> et </w:t>
      </w:r>
      <w:r w:rsidR="007577B2">
        <w:t>des synergies partielles avec les autres interventions</w:t>
      </w:r>
      <w:r w:rsidRPr="00211D86">
        <w:t>.</w:t>
      </w:r>
    </w:p>
    <w:p w14:paraId="02D46767" w14:textId="6701FC1A" w:rsidR="00211D86" w:rsidRDefault="00211D86" w:rsidP="00EB7D20">
      <w:pPr>
        <w:spacing w:line="240" w:lineRule="auto"/>
        <w:jc w:val="both"/>
      </w:pPr>
      <w:r w:rsidRPr="00211D86">
        <w:rPr>
          <w:b/>
          <w:bCs/>
          <w:color w:val="000099"/>
        </w:rPr>
        <w:t xml:space="preserve">Efficience : </w:t>
      </w:r>
      <w:r w:rsidRPr="00211D86">
        <w:t>L'exécution budgétaire est satisfaisante (</w:t>
      </w:r>
      <w:r w:rsidR="001F41F4">
        <w:t>83</w:t>
      </w:r>
      <w:r w:rsidR="002F3355" w:rsidRPr="00F44DF0">
        <w:t xml:space="preserve">% avec le reliquat de </w:t>
      </w:r>
      <w:r w:rsidR="001F41F4">
        <w:t>17</w:t>
      </w:r>
      <w:r w:rsidR="002F3355" w:rsidRPr="00F44DF0">
        <w:t>% prévu d'être décaissé d'ici fin 2025</w:t>
      </w:r>
      <w:r w:rsidRPr="00211D86">
        <w:t>) avec des investissements structurants durables (</w:t>
      </w:r>
      <w:r w:rsidR="003B312E">
        <w:t xml:space="preserve">réhabilitation du </w:t>
      </w:r>
      <w:r w:rsidRPr="00211D86">
        <w:t xml:space="preserve">QG </w:t>
      </w:r>
      <w:r w:rsidR="003B312E">
        <w:t xml:space="preserve">de la Direction du parc à </w:t>
      </w:r>
      <w:proofErr w:type="spellStart"/>
      <w:r w:rsidRPr="00211D86">
        <w:t>Mwokora</w:t>
      </w:r>
      <w:proofErr w:type="spellEnd"/>
      <w:r w:rsidRPr="00211D86">
        <w:t xml:space="preserve">, </w:t>
      </w:r>
      <w:r w:rsidR="003B312E">
        <w:t xml:space="preserve">création de la </w:t>
      </w:r>
      <w:r w:rsidRPr="00211D86">
        <w:t>Fondation</w:t>
      </w:r>
      <w:r w:rsidR="003B312E">
        <w:t xml:space="preserve"> Kibira</w:t>
      </w:r>
      <w:r w:rsidRPr="00211D86">
        <w:t xml:space="preserve">, </w:t>
      </w:r>
      <w:r w:rsidR="003B312E">
        <w:t>lancement du</w:t>
      </w:r>
      <w:r w:rsidR="003B312E" w:rsidRPr="00211D86">
        <w:t xml:space="preserve"> </w:t>
      </w:r>
      <w:r w:rsidRPr="00211D86">
        <w:t xml:space="preserve">projet hydroélectrique). L'effet de levier financier est remarquable (ratio </w:t>
      </w:r>
      <w:proofErr w:type="gramStart"/>
      <w:r w:rsidRPr="00211D86">
        <w:t>1:</w:t>
      </w:r>
      <w:proofErr w:type="gramEnd"/>
      <w:r w:rsidR="002F3355">
        <w:t>14</w:t>
      </w:r>
      <w:r w:rsidRPr="00211D86">
        <w:t xml:space="preserve">, soit </w:t>
      </w:r>
      <w:r w:rsidR="002F3355">
        <w:t>3</w:t>
      </w:r>
      <w:r w:rsidRPr="00211D86">
        <w:t xml:space="preserve"> M$ mobilisant </w:t>
      </w:r>
      <w:r w:rsidR="002F3355">
        <w:t xml:space="preserve">plus </w:t>
      </w:r>
      <w:r w:rsidRPr="00211D86">
        <w:t>4</w:t>
      </w:r>
      <w:r w:rsidR="002F3355">
        <w:t>3</w:t>
      </w:r>
      <w:r w:rsidRPr="00211D86">
        <w:t xml:space="preserve"> M$). </w:t>
      </w:r>
      <w:r w:rsidR="003B312E" w:rsidRPr="0062653C">
        <w:t>Les activités communautaires ont été conçues comme interventions pilotes dans trois zones ciblées (</w:t>
      </w:r>
      <w:proofErr w:type="spellStart"/>
      <w:r w:rsidR="003B312E" w:rsidRPr="0062653C">
        <w:t>Muciro</w:t>
      </w:r>
      <w:proofErr w:type="spellEnd"/>
      <w:r w:rsidR="003B312E" w:rsidRPr="0062653C">
        <w:t xml:space="preserve">, </w:t>
      </w:r>
      <w:proofErr w:type="spellStart"/>
      <w:r w:rsidR="003B312E" w:rsidRPr="0062653C">
        <w:t>Mpfunda</w:t>
      </w:r>
      <w:proofErr w:type="spellEnd"/>
      <w:r w:rsidR="003B312E" w:rsidRPr="0062653C">
        <w:t xml:space="preserve">, </w:t>
      </w:r>
      <w:proofErr w:type="spellStart"/>
      <w:r w:rsidR="003B312E" w:rsidRPr="0062653C">
        <w:t>Cakuga</w:t>
      </w:r>
      <w:proofErr w:type="spellEnd"/>
      <w:r w:rsidR="003B312E">
        <w:t>) mais</w:t>
      </w:r>
      <w:r w:rsidR="003B312E" w:rsidRPr="0062653C">
        <w:t xml:space="preserve"> les interventions sont </w:t>
      </w:r>
      <w:r w:rsidR="003B312E">
        <w:t>restées</w:t>
      </w:r>
      <w:r w:rsidR="003B312E" w:rsidRPr="0062653C">
        <w:t xml:space="preserve"> fortement concentrées sur </w:t>
      </w:r>
      <w:proofErr w:type="spellStart"/>
      <w:r w:rsidR="003B312E" w:rsidRPr="0062653C">
        <w:t>Muciro</w:t>
      </w:r>
      <w:proofErr w:type="spellEnd"/>
      <w:r w:rsidR="003B312E" w:rsidRPr="0062653C">
        <w:t xml:space="preserve"> (55% des bénéficiaires) en raison de contraintes de mise en œuvre (problèmes d'accès à </w:t>
      </w:r>
      <w:proofErr w:type="spellStart"/>
      <w:r w:rsidR="003B312E" w:rsidRPr="0062653C">
        <w:t>Mpfunda</w:t>
      </w:r>
      <w:proofErr w:type="spellEnd"/>
      <w:r w:rsidR="003B312E" w:rsidRPr="0062653C">
        <w:t xml:space="preserve">, conflit intra-communautaire à </w:t>
      </w:r>
      <w:proofErr w:type="spellStart"/>
      <w:r w:rsidR="003B312E" w:rsidRPr="0062653C">
        <w:t>Cakuga</w:t>
      </w:r>
      <w:proofErr w:type="spellEnd"/>
      <w:r w:rsidR="003B312E" w:rsidRPr="0062653C">
        <w:t xml:space="preserve">). Cette concentration géographique a limité </w:t>
      </w:r>
      <w:r w:rsidR="008E3ACC" w:rsidRPr="008E3ACC">
        <w:t>le retour sur investissement en termes d'apprentissage et de validation du modèle pour la réplication</w:t>
      </w:r>
      <w:r w:rsidR="003B312E" w:rsidRPr="0062653C">
        <w:t>.</w:t>
      </w:r>
      <w:r w:rsidR="003B312E" w:rsidRPr="003B312E">
        <w:t xml:space="preserve"> Par ailleurs,</w:t>
      </w:r>
      <w:r w:rsidRPr="00211D86">
        <w:t xml:space="preserve"> certaines installations </w:t>
      </w:r>
      <w:r w:rsidR="003B312E">
        <w:t>demeurent</w:t>
      </w:r>
      <w:r w:rsidR="003B312E" w:rsidRPr="00211D86">
        <w:t xml:space="preserve"> </w:t>
      </w:r>
      <w:r w:rsidRPr="00211D86">
        <w:t>sous-utilisées (centre culturel, champignonnière</w:t>
      </w:r>
      <w:r w:rsidR="00D35351">
        <w:t xml:space="preserve"> de</w:t>
      </w:r>
      <w:r w:rsidRPr="00211D86">
        <w:t xml:space="preserve"> </w:t>
      </w:r>
      <w:proofErr w:type="spellStart"/>
      <w:r w:rsidRPr="00211D86">
        <w:t>Caguka</w:t>
      </w:r>
      <w:proofErr w:type="spellEnd"/>
      <w:r w:rsidRPr="00211D86">
        <w:t xml:space="preserve"> détruite </w:t>
      </w:r>
      <w:r w:rsidR="003B312E">
        <w:t>mais non</w:t>
      </w:r>
      <w:r w:rsidR="003B312E" w:rsidRPr="00211D86">
        <w:t xml:space="preserve"> </w:t>
      </w:r>
      <w:r w:rsidRPr="00211D86">
        <w:t xml:space="preserve">reconstruite), </w:t>
      </w:r>
      <w:r w:rsidR="003B312E">
        <w:t xml:space="preserve">et </w:t>
      </w:r>
      <w:r w:rsidRPr="00211D86">
        <w:t xml:space="preserve">la fonctionnalité des CPK </w:t>
      </w:r>
      <w:r w:rsidR="003B312E">
        <w:t>reste</w:t>
      </w:r>
      <w:r w:rsidR="003B312E" w:rsidRPr="00211D86">
        <w:t xml:space="preserve"> </w:t>
      </w:r>
      <w:r w:rsidRPr="00211D86">
        <w:t>limitée</w:t>
      </w:r>
      <w:r w:rsidR="003B312E">
        <w:t xml:space="preserve">. </w:t>
      </w:r>
    </w:p>
    <w:p w14:paraId="298F8DD2" w14:textId="6B25628C" w:rsidR="00211D86" w:rsidRPr="00211D86" w:rsidRDefault="00211D86" w:rsidP="00EB7D20">
      <w:pPr>
        <w:spacing w:line="240" w:lineRule="auto"/>
        <w:jc w:val="both"/>
      </w:pPr>
      <w:r w:rsidRPr="00211D86">
        <w:rPr>
          <w:b/>
          <w:bCs/>
          <w:color w:val="000099"/>
        </w:rPr>
        <w:t xml:space="preserve">Efficacité : </w:t>
      </w:r>
      <w:r w:rsidRPr="00211D86">
        <w:t>L'</w:t>
      </w:r>
      <w:proofErr w:type="spellStart"/>
      <w:r w:rsidRPr="00211D86">
        <w:t>Outcome</w:t>
      </w:r>
      <w:proofErr w:type="spellEnd"/>
      <w:r w:rsidRPr="00211D86">
        <w:t xml:space="preserve"> 1 a été globalement atteint : premier accord de cogestion au Burundi, cohésion sociale améliorée dans les zones d'intervention, inclusion remarquable des </w:t>
      </w:r>
      <w:proofErr w:type="spellStart"/>
      <w:r w:rsidRPr="00211D86">
        <w:t>Batwa</w:t>
      </w:r>
      <w:proofErr w:type="spellEnd"/>
      <w:r w:rsidRPr="00211D86">
        <w:t xml:space="preserve"> et des femmes. </w:t>
      </w:r>
      <w:r w:rsidR="00375B13">
        <w:t>En revanche, l</w:t>
      </w:r>
      <w:r w:rsidRPr="00211D86">
        <w:t>'</w:t>
      </w:r>
      <w:proofErr w:type="spellStart"/>
      <w:r w:rsidRPr="00211D86">
        <w:t>Outcome</w:t>
      </w:r>
      <w:proofErr w:type="spellEnd"/>
      <w:r w:rsidRPr="00211D86">
        <w:t xml:space="preserve"> 2 </w:t>
      </w:r>
      <w:proofErr w:type="gramStart"/>
      <w:r w:rsidRPr="00211D86">
        <w:t>demeure partiellement accompli</w:t>
      </w:r>
      <w:proofErr w:type="gramEnd"/>
      <w:r w:rsidRPr="00211D86">
        <w:t xml:space="preserve"> : REDD+ abandonné, </w:t>
      </w:r>
      <w:r w:rsidR="00FB1B4F" w:rsidRPr="00396D13">
        <w:t xml:space="preserve">retards PPP avec production et cofinancements </w:t>
      </w:r>
      <w:r w:rsidR="00FB1B4F">
        <w:t>prévus après la clôture du projet</w:t>
      </w:r>
      <w:r w:rsidRPr="00211D86">
        <w:t xml:space="preserve">. </w:t>
      </w:r>
      <w:r w:rsidR="00087B50" w:rsidRPr="00087B50">
        <w:t>Les interventions communautaires sont restées de profondeur limitée (distribution de plants pour 75% des bénéficiaires) avec une portée géographique restreinte, réduisant l'atteinte des objectifs de consolidation de la paix et de cohésion sociale à l'échelle de l'ensemble du parc.</w:t>
      </w:r>
    </w:p>
    <w:p w14:paraId="03407C00" w14:textId="6C300395" w:rsidR="00211D86" w:rsidRPr="00211D86" w:rsidRDefault="00211D86" w:rsidP="00EB7D20">
      <w:pPr>
        <w:spacing w:line="240" w:lineRule="auto"/>
        <w:jc w:val="both"/>
      </w:pPr>
      <w:r w:rsidRPr="00211D86">
        <w:rPr>
          <w:b/>
          <w:bCs/>
          <w:color w:val="000099"/>
        </w:rPr>
        <w:t xml:space="preserve">Impact : </w:t>
      </w:r>
      <w:r w:rsidRPr="00211D86">
        <w:t xml:space="preserve">Le projet a généré des impacts socio-économiques significatifs dans les zones ciblées : amélioration substantielle des revenus (augmentation 150% pour certains ménages </w:t>
      </w:r>
      <w:proofErr w:type="spellStart"/>
      <w:r w:rsidRPr="00211D86">
        <w:t>Batwa</w:t>
      </w:r>
      <w:proofErr w:type="spellEnd"/>
      <w:r w:rsidRPr="00211D86">
        <w:t xml:space="preserve">), création </w:t>
      </w:r>
      <w:r w:rsidR="00E309B9">
        <w:t>d’</w:t>
      </w:r>
      <w:r w:rsidRPr="00211D86">
        <w:t>emplois, inclusion financière effective, cohésion sociale renforcée, réduction qualitativement documentée de la pression sur le parc. L'effet catalytique du PPP constitue l'impact transformateur majeur (</w:t>
      </w:r>
      <w:r w:rsidR="00932EF4">
        <w:t>1,5 M$ pour le projet PPP mobilisant</w:t>
      </w:r>
      <w:r w:rsidR="00EB0748">
        <w:t xml:space="preserve"> potentiellement</w:t>
      </w:r>
      <w:r w:rsidR="00932EF4">
        <w:t xml:space="preserve"> plus de 40 M$, soit un </w:t>
      </w:r>
      <w:r w:rsidRPr="00211D86">
        <w:t>ratio</w:t>
      </w:r>
      <w:r w:rsidR="00932EF4">
        <w:t xml:space="preserve"> de</w:t>
      </w:r>
      <w:r w:rsidRPr="00211D86">
        <w:t xml:space="preserve"> </w:t>
      </w:r>
      <w:proofErr w:type="gramStart"/>
      <w:r w:rsidRPr="00211D86">
        <w:t>1:</w:t>
      </w:r>
      <w:proofErr w:type="gramEnd"/>
      <w:r w:rsidRPr="00211D86">
        <w:t xml:space="preserve">27) avec </w:t>
      </w:r>
      <w:r w:rsidR="00932EF4">
        <w:t xml:space="preserve">des </w:t>
      </w:r>
      <w:r w:rsidRPr="00211D86">
        <w:t xml:space="preserve">impacts futurs considérables : 10,2 MW </w:t>
      </w:r>
      <w:r w:rsidR="00932EF4">
        <w:t xml:space="preserve">d’énergie propre </w:t>
      </w:r>
      <w:r w:rsidRPr="00211D86">
        <w:t>(7% capacité nationale)</w:t>
      </w:r>
      <w:r w:rsidR="00932EF4">
        <w:t xml:space="preserve"> et mécanisme </w:t>
      </w:r>
      <w:r w:rsidRPr="00211D86">
        <w:t>PSE de 150 k$/an sur 10 ans.</w:t>
      </w:r>
      <w:r w:rsidR="00932EF4">
        <w:t xml:space="preserve"> </w:t>
      </w:r>
      <w:r w:rsidR="00C75276" w:rsidRPr="00C75276">
        <w:t>Les impacts significatifs demeurent géographiquement concentrés dans les zones pilotes ciblées. L'abandon du REDD+ suite à des contraintes structurelles hors du contrôle du projet a conduit à l'exploration d'alternatives telles que le développement touristique, dont les impacts socio-économiques potentiels restent à concrétiser.</w:t>
      </w:r>
    </w:p>
    <w:p w14:paraId="5BE1B3C9" w14:textId="5FD4C520" w:rsidR="00211D86" w:rsidRPr="00211D86" w:rsidRDefault="00211D86" w:rsidP="00EB7D20">
      <w:pPr>
        <w:spacing w:line="240" w:lineRule="auto"/>
        <w:jc w:val="both"/>
      </w:pPr>
      <w:r w:rsidRPr="00211D86">
        <w:rPr>
          <w:b/>
          <w:bCs/>
          <w:color w:val="000099"/>
        </w:rPr>
        <w:t xml:space="preserve">Durabilité : </w:t>
      </w:r>
      <w:r w:rsidRPr="00211D86">
        <w:t>La durabilité repose sur des bases solides</w:t>
      </w:r>
      <w:r w:rsidR="00B8534B">
        <w:t> :</w:t>
      </w:r>
      <w:r w:rsidR="00061228">
        <w:t xml:space="preserve"> </w:t>
      </w:r>
      <w:r w:rsidRPr="00211D86">
        <w:t xml:space="preserve">Fondation avec accord cogestion, </w:t>
      </w:r>
      <w:r w:rsidR="00B8534B">
        <w:t xml:space="preserve">mécanisme </w:t>
      </w:r>
      <w:r w:rsidRPr="00211D86">
        <w:t xml:space="preserve">PSE sur 10 ans, appui NIF 1,875 M$ jusqu'à </w:t>
      </w:r>
      <w:r w:rsidR="00255986">
        <w:t xml:space="preserve">mai </w:t>
      </w:r>
      <w:r w:rsidRPr="00211D86">
        <w:t>202</w:t>
      </w:r>
      <w:r w:rsidR="00255986">
        <w:t>8</w:t>
      </w:r>
      <w:r w:rsidR="00B8534B">
        <w:t xml:space="preserve"> </w:t>
      </w:r>
      <w:r w:rsidR="00B8534B" w:rsidRPr="00B8534B">
        <w:t>qui renforcera les capacités de la Fondation et consolidera les initiatives en cours</w:t>
      </w:r>
      <w:r w:rsidR="00B8534B">
        <w:t xml:space="preserve">. </w:t>
      </w:r>
      <w:r w:rsidRPr="00211D86">
        <w:t xml:space="preserve"> </w:t>
      </w:r>
      <w:r w:rsidR="00B8534B">
        <w:t>L</w:t>
      </w:r>
      <w:r w:rsidRPr="00211D86">
        <w:t xml:space="preserve">es changements comportementaux à </w:t>
      </w:r>
      <w:proofErr w:type="spellStart"/>
      <w:r w:rsidRPr="00211D86">
        <w:t>Muciro</w:t>
      </w:r>
      <w:proofErr w:type="spellEnd"/>
      <w:r w:rsidRPr="00211D86">
        <w:t xml:space="preserve"> sont profonds. Cependant, </w:t>
      </w:r>
      <w:r w:rsidR="004163C0">
        <w:t>quelques fragilités</w:t>
      </w:r>
      <w:r w:rsidR="00B8534B">
        <w:t xml:space="preserve"> demeurent</w:t>
      </w:r>
      <w:r w:rsidRPr="00211D86">
        <w:t xml:space="preserve"> : </w:t>
      </w:r>
      <w:r w:rsidR="004163C0">
        <w:t>B</w:t>
      </w:r>
      <w:r w:rsidRPr="00211D86">
        <w:t xml:space="preserve">esoins de renforcement </w:t>
      </w:r>
      <w:r w:rsidR="004163C0">
        <w:t xml:space="preserve">continu </w:t>
      </w:r>
      <w:r w:rsidRPr="00211D86">
        <w:t xml:space="preserve">de capacités </w:t>
      </w:r>
      <w:r w:rsidR="004163C0">
        <w:t>institutionnelles</w:t>
      </w:r>
      <w:r w:rsidRPr="00211D86">
        <w:t>, fonctionnalité</w:t>
      </w:r>
      <w:r w:rsidR="004163C0">
        <w:t xml:space="preserve"> encore</w:t>
      </w:r>
      <w:r w:rsidRPr="00211D86">
        <w:t xml:space="preserve"> limitée des CPK, viabilité incertaine de </w:t>
      </w:r>
      <w:r w:rsidR="00614A12">
        <w:t>quelques</w:t>
      </w:r>
      <w:r w:rsidR="00614A12" w:rsidRPr="00211D86">
        <w:t xml:space="preserve"> </w:t>
      </w:r>
      <w:r w:rsidRPr="00211D86">
        <w:t xml:space="preserve">AGR. La généralisation limitée des changements (persistance </w:t>
      </w:r>
      <w:r w:rsidR="003873BB">
        <w:t>de l’</w:t>
      </w:r>
      <w:r w:rsidRPr="00211D86">
        <w:t xml:space="preserve">exploitation illégale </w:t>
      </w:r>
      <w:r w:rsidR="003873BB">
        <w:t xml:space="preserve">dans </w:t>
      </w:r>
      <w:r w:rsidR="008B18E4">
        <w:t>certaines</w:t>
      </w:r>
      <w:r w:rsidR="003873BB">
        <w:t xml:space="preserve"> </w:t>
      </w:r>
      <w:r w:rsidRPr="00211D86">
        <w:t>zones, besoin en terres non résolu) constitue</w:t>
      </w:r>
      <w:r w:rsidR="0060195D">
        <w:t>, également,</w:t>
      </w:r>
      <w:r w:rsidRPr="00211D86">
        <w:t xml:space="preserve"> </w:t>
      </w:r>
      <w:r w:rsidR="004163C0">
        <w:t>un</w:t>
      </w:r>
      <w:r w:rsidR="00973289">
        <w:t xml:space="preserve"> défi pour </w:t>
      </w:r>
      <w:r w:rsidRPr="00211D86">
        <w:t>la durabilité à l'échelle du parc.</w:t>
      </w:r>
    </w:p>
    <w:p w14:paraId="7CBB112A" w14:textId="78356744" w:rsidR="00211D86" w:rsidRDefault="00211D86" w:rsidP="00EB7D20">
      <w:pPr>
        <w:spacing w:line="240" w:lineRule="auto"/>
        <w:jc w:val="both"/>
      </w:pPr>
      <w:r w:rsidRPr="00211D86">
        <w:rPr>
          <w:b/>
          <w:bCs/>
          <w:color w:val="000099"/>
        </w:rPr>
        <w:t>Impact au niveau des bénéficiaires</w:t>
      </w:r>
      <w:r w:rsidR="005F3E04">
        <w:rPr>
          <w:b/>
          <w:bCs/>
          <w:color w:val="000099"/>
        </w:rPr>
        <w:t> :</w:t>
      </w:r>
      <w:r w:rsidRPr="00211D86">
        <w:t xml:space="preserve"> La transformation de la communauté </w:t>
      </w:r>
      <w:proofErr w:type="spellStart"/>
      <w:r w:rsidRPr="00211D86">
        <w:t>Batwa</w:t>
      </w:r>
      <w:proofErr w:type="spellEnd"/>
      <w:r w:rsidRPr="00211D86">
        <w:t xml:space="preserve"> de </w:t>
      </w:r>
      <w:proofErr w:type="spellStart"/>
      <w:r w:rsidRPr="00211D86">
        <w:t>Muciro</w:t>
      </w:r>
      <w:proofErr w:type="spellEnd"/>
      <w:r w:rsidRPr="00211D86">
        <w:t xml:space="preserve"> illustre l'impact transformateur du projet : transition d'une économie de subsistance basée sur l'exploitation forestière vers une économie agricole diversifiée (agriculture, élevage, champignons, poterie), amélioration des revenus permettant </w:t>
      </w:r>
      <w:r w:rsidR="00B77834">
        <w:t xml:space="preserve">des </w:t>
      </w:r>
      <w:r w:rsidRPr="00211D86">
        <w:t xml:space="preserve">investissements autonomes (achat </w:t>
      </w:r>
      <w:r w:rsidR="00B77834">
        <w:t xml:space="preserve">d’un </w:t>
      </w:r>
      <w:r w:rsidRPr="00211D86">
        <w:t xml:space="preserve">terrain </w:t>
      </w:r>
      <w:r w:rsidR="00B77834">
        <w:t xml:space="preserve">de </w:t>
      </w:r>
      <w:r w:rsidRPr="00211D86">
        <w:t>1ha</w:t>
      </w:r>
      <w:r w:rsidR="00B77834">
        <w:t xml:space="preserve"> par leurs propres moyens</w:t>
      </w:r>
      <w:r w:rsidRPr="00211D86">
        <w:t xml:space="preserve">), inclusion financière via systèmes </w:t>
      </w:r>
      <w:r w:rsidR="00B77834">
        <w:t>d’</w:t>
      </w:r>
      <w:r w:rsidRPr="00211D86">
        <w:t xml:space="preserve">épargne-crédit, et reconnaissance sociale accrue avec </w:t>
      </w:r>
      <w:r w:rsidR="00B77834">
        <w:t xml:space="preserve">des </w:t>
      </w:r>
      <w:r w:rsidRPr="00211D86">
        <w:t>relations apaisées vis-à-vis des autres groupes ethniques. Les femmes ont acquis une autonomie économique substantielle et une voix dans les décisions communautaires. Cependant, ces transformations restent géographiquement concentrées, avec d'autres communautés n'ayant bénéficié que d'interventions superficielles.</w:t>
      </w:r>
    </w:p>
    <w:p w14:paraId="2F8E85B9" w14:textId="56CD40F9" w:rsidR="00211D86" w:rsidRPr="00211D86" w:rsidRDefault="00392FAE" w:rsidP="00EB7D20">
      <w:pPr>
        <w:spacing w:before="240" w:line="240" w:lineRule="auto"/>
        <w:jc w:val="both"/>
        <w:rPr>
          <w:b/>
          <w:bCs/>
          <w:color w:val="000099"/>
        </w:rPr>
      </w:pPr>
      <w:r w:rsidRPr="00211D86">
        <w:rPr>
          <w:b/>
          <w:bCs/>
          <w:color w:val="000099"/>
        </w:rPr>
        <w:lastRenderedPageBreak/>
        <w:t xml:space="preserve">PRINCIPALES </w:t>
      </w:r>
      <w:r w:rsidR="00211D86" w:rsidRPr="00211D86">
        <w:rPr>
          <w:b/>
          <w:bCs/>
          <w:color w:val="000099"/>
        </w:rPr>
        <w:t xml:space="preserve">CONCLUSIONS </w:t>
      </w:r>
    </w:p>
    <w:p w14:paraId="09ACE1A7" w14:textId="7A2F11BA" w:rsidR="00211D86" w:rsidRPr="00211D86" w:rsidRDefault="00211D86" w:rsidP="00EB7D20">
      <w:pPr>
        <w:spacing w:line="240" w:lineRule="auto"/>
        <w:jc w:val="both"/>
      </w:pPr>
      <w:r w:rsidRPr="00211D86">
        <w:t xml:space="preserve">Le projet "Kibira Sanctuaire de Paix" représente une intervention ambitieuse et innovante ayant jeté des bases solides pour une transformation durable de la gouvernance et de la conservation du Parc National de la Kibira. Ses réalisations majeures (premier mécanisme de cogestion au Burundi, </w:t>
      </w:r>
      <w:r w:rsidR="006A4F77" w:rsidRPr="0062653C">
        <w:t>mobilisation réussie du secteur privé à travers le PPP hydroélectrique</w:t>
      </w:r>
      <w:r w:rsidR="006A4F77" w:rsidRPr="006A4F77">
        <w:t xml:space="preserve">, </w:t>
      </w:r>
      <w:r w:rsidRPr="00211D86">
        <w:t xml:space="preserve">effet catalytique financier exceptionnel, transformation profonde de certaines communautés) démontrent la validité de l'approche nexus climat-paix-sécurité </w:t>
      </w:r>
      <w:r w:rsidR="006A4F77" w:rsidRPr="0062653C">
        <w:t>couplée au financement mixte</w:t>
      </w:r>
      <w:r w:rsidR="006A4F77" w:rsidRPr="006A4F77">
        <w:t xml:space="preserve"> </w:t>
      </w:r>
      <w:r w:rsidRPr="00211D86">
        <w:t>dans les contextes post-conflit. Le projet mérite une appréciation globale satisfaisante, reconnaissant ses innovations structurantes et ses limites opérationnelles.</w:t>
      </w:r>
    </w:p>
    <w:p w14:paraId="4859762B" w14:textId="65729905" w:rsidR="00211D86" w:rsidRDefault="00211D86" w:rsidP="00EB7D20">
      <w:pPr>
        <w:spacing w:line="240" w:lineRule="auto"/>
        <w:jc w:val="both"/>
      </w:pPr>
      <w:r w:rsidRPr="00211D86">
        <w:t xml:space="preserve">Les défis identifiés ne remettent pas en cause la pertinence du modèle mais soulignent la nécessité d'un accompagnement plus long et de ressources plus substantielles pour permettre aux innovations de produire leur plein potentiel. </w:t>
      </w:r>
    </w:p>
    <w:p w14:paraId="2B1739CC" w14:textId="3DA92C53" w:rsidR="00211D86" w:rsidRPr="00211D86" w:rsidRDefault="00392FAE" w:rsidP="00EB7D20">
      <w:pPr>
        <w:spacing w:before="240" w:line="240" w:lineRule="auto"/>
        <w:jc w:val="both"/>
        <w:rPr>
          <w:b/>
          <w:bCs/>
          <w:color w:val="000099"/>
        </w:rPr>
      </w:pPr>
      <w:r w:rsidRPr="00211D86">
        <w:rPr>
          <w:b/>
          <w:bCs/>
          <w:color w:val="000099"/>
        </w:rPr>
        <w:t xml:space="preserve">PRINCIPALES </w:t>
      </w:r>
      <w:r w:rsidR="00211D86" w:rsidRPr="00211D86">
        <w:rPr>
          <w:b/>
          <w:bCs/>
          <w:color w:val="000099"/>
        </w:rPr>
        <w:t xml:space="preserve">RECOMMANDATIONS </w:t>
      </w:r>
    </w:p>
    <w:p w14:paraId="3235A3E2" w14:textId="5C1B9BEF" w:rsidR="00996A57" w:rsidRPr="00996A57" w:rsidRDefault="00996A57" w:rsidP="00996A57">
      <w:pPr>
        <w:spacing w:before="240" w:line="240" w:lineRule="auto"/>
        <w:jc w:val="both"/>
      </w:pPr>
      <w:r w:rsidRPr="00996A57">
        <w:t>Les huit recommandations suivantes reflètent la nature d'une évaluation finale et poursuivent trois objectifs complémentaires : capitaliser et valoriser les innovations institutionnelles et les enseignements du projet ; consolider et pérenniser les acquis substantiels obtenus dont la durabilité nécessite des actions complémentaires au-delà de la clôture du projet ; et tirer des leçons apprises pour éclairer la conception de futures interventions complexes combinant approche nexus, innovations institutionnelles et mécanismes de financement mixte.</w:t>
      </w:r>
    </w:p>
    <w:p w14:paraId="35110959" w14:textId="2A1B8B4E" w:rsidR="00211D86" w:rsidRPr="00211D86" w:rsidRDefault="00996A57" w:rsidP="0062653C">
      <w:pPr>
        <w:spacing w:before="240" w:line="240" w:lineRule="auto"/>
        <w:jc w:val="both"/>
      </w:pPr>
      <w:r w:rsidRPr="00996A57">
        <w:t xml:space="preserve">Ces recommandations s'adressent à différents acteurs et peuvent être mises en œuvre dans plusieurs cadres complémentaires : </w:t>
      </w:r>
      <w:r>
        <w:t>L</w:t>
      </w:r>
      <w:r w:rsidRPr="00996A57">
        <w:t xml:space="preserve">e projet NIF (jusqu'en mai 2028) qui appuie déjà le renforcement de la Fondation Kibira et peut initier plusieurs actions de consolidation ; </w:t>
      </w:r>
      <w:r>
        <w:t>U</w:t>
      </w:r>
      <w:r w:rsidRPr="00996A57">
        <w:t xml:space="preserve">ne phase 2 potentielle du projet Kibira qui consoliderait et étendrait les résultats obtenus ; </w:t>
      </w:r>
      <w:r>
        <w:t>Les</w:t>
      </w:r>
      <w:r w:rsidRPr="00996A57">
        <w:t xml:space="preserve"> interventions d'autres partenaires au niveau du PNK (PNUD Biodiversité, ENABEL </w:t>
      </w:r>
      <w:proofErr w:type="spellStart"/>
      <w:r w:rsidRPr="00996A57">
        <w:t>NaturAfrica</w:t>
      </w:r>
      <w:proofErr w:type="spellEnd"/>
      <w:r w:rsidRPr="00996A57">
        <w:t xml:space="preserve">, autres bailleurs) ; </w:t>
      </w:r>
      <w:r>
        <w:t>L</w:t>
      </w:r>
      <w:r w:rsidRPr="00996A57">
        <w:t>es interventions du Gouvernement du Burundi et/ou de la Fondation Kibira en matière de conservation et de développement communautaire ; ainsi que la conception de nouveaux projets nexus par l'UNCDF, le PNUD et d'autres agences dans la région des Grands Lacs ou ailleurs.</w:t>
      </w:r>
      <w:r w:rsidR="00211D86" w:rsidRPr="00211D86">
        <w:t xml:space="preserve"> </w:t>
      </w:r>
    </w:p>
    <w:p w14:paraId="69A064AF" w14:textId="2756FCC5" w:rsidR="00211D86" w:rsidRPr="00211D86" w:rsidRDefault="00895FB8" w:rsidP="00EB7D20">
      <w:pPr>
        <w:spacing w:line="240" w:lineRule="auto"/>
        <w:jc w:val="both"/>
        <w:rPr>
          <w:color w:val="000099"/>
        </w:rPr>
      </w:pPr>
      <w:r w:rsidRPr="00895FB8">
        <w:rPr>
          <w:b/>
          <w:bCs/>
          <w:color w:val="000099"/>
        </w:rPr>
        <w:t>Au niveau s</w:t>
      </w:r>
      <w:r w:rsidR="00211D86" w:rsidRPr="00211D86">
        <w:rPr>
          <w:b/>
          <w:bCs/>
          <w:color w:val="000099"/>
        </w:rPr>
        <w:t>tratégique</w:t>
      </w:r>
      <w:r w:rsidRPr="00895FB8">
        <w:rPr>
          <w:b/>
          <w:bCs/>
          <w:color w:val="000099"/>
        </w:rPr>
        <w:t xml:space="preserve"> </w:t>
      </w:r>
      <w:r w:rsidR="00211D86" w:rsidRPr="00211D86">
        <w:rPr>
          <w:b/>
          <w:bCs/>
          <w:color w:val="000099"/>
        </w:rPr>
        <w:t>:</w:t>
      </w:r>
    </w:p>
    <w:p w14:paraId="4943871C" w14:textId="3E8D6888" w:rsidR="00211D86" w:rsidRPr="00211D86" w:rsidRDefault="00211D86" w:rsidP="00EB7D20">
      <w:pPr>
        <w:spacing w:line="240" w:lineRule="auto"/>
        <w:jc w:val="both"/>
      </w:pPr>
      <w:r w:rsidRPr="00211D86">
        <w:rPr>
          <w:b/>
          <w:bCs/>
          <w:color w:val="000099"/>
        </w:rPr>
        <w:t>RS1.</w:t>
      </w:r>
      <w:r w:rsidRPr="00211D86">
        <w:rPr>
          <w:color w:val="000099"/>
        </w:rPr>
        <w:t xml:space="preserve"> </w:t>
      </w:r>
      <w:r w:rsidRPr="00211D86">
        <w:t xml:space="preserve">Capitaliser et diffuser les innovations (cogestion, PSE, PPP, nexus) pour favoriser la mise à l'échelle : </w:t>
      </w:r>
      <w:r w:rsidR="00D165ED">
        <w:t>D</w:t>
      </w:r>
      <w:r w:rsidRPr="00211D86">
        <w:t>ocumenter de manière approfondie toutes les innovations avec facteurs de succès et conditions de réplicabilité</w:t>
      </w:r>
      <w:r w:rsidR="00D165ED">
        <w:t xml:space="preserve"> et </w:t>
      </w:r>
      <w:r w:rsidRPr="00211D86">
        <w:t>diffuser auprès de la communauté de pratique.</w:t>
      </w:r>
    </w:p>
    <w:p w14:paraId="3EA3087A" w14:textId="7DBBFF95" w:rsidR="00211D86" w:rsidRPr="00211D86" w:rsidRDefault="00211D86" w:rsidP="00EB7D20">
      <w:pPr>
        <w:spacing w:line="240" w:lineRule="auto"/>
        <w:jc w:val="both"/>
      </w:pPr>
      <w:r w:rsidRPr="00211D86">
        <w:rPr>
          <w:b/>
          <w:bCs/>
          <w:color w:val="000099"/>
        </w:rPr>
        <w:t>RS2.</w:t>
      </w:r>
      <w:r w:rsidRPr="00211D86">
        <w:rPr>
          <w:color w:val="000099"/>
        </w:rPr>
        <w:t xml:space="preserve"> </w:t>
      </w:r>
      <w:r w:rsidRPr="00211D86">
        <w:t xml:space="preserve">Renforcer les synergies et partenariats stratégiques : </w:t>
      </w:r>
      <w:r w:rsidR="009B00DA" w:rsidRPr="009B00DA">
        <w:t>Accompagner l'OBPE et la Fondation Kibira dans l'établissement d'une coordination opérationnelle renforcée pour assurer la complémentarité des interventions et leur cohérence avec les objectifs nationaux</w:t>
      </w:r>
      <w:r w:rsidR="009B00DA">
        <w:t xml:space="preserve"> ; </w:t>
      </w:r>
      <w:r w:rsidR="00D165ED">
        <w:t>E</w:t>
      </w:r>
      <w:r w:rsidRPr="00211D86">
        <w:t xml:space="preserve">tablir </w:t>
      </w:r>
      <w:r w:rsidR="00D165ED">
        <w:t xml:space="preserve">un </w:t>
      </w:r>
      <w:r w:rsidRPr="00211D86">
        <w:t xml:space="preserve">partenariat </w:t>
      </w:r>
      <w:r w:rsidR="00D165ED">
        <w:t xml:space="preserve">stratégique </w:t>
      </w:r>
      <w:r w:rsidRPr="00211D86">
        <w:t xml:space="preserve">UNCDF-PNUD pour </w:t>
      </w:r>
      <w:r w:rsidR="00D165ED">
        <w:t xml:space="preserve">la </w:t>
      </w:r>
      <w:r w:rsidRPr="00211D86">
        <w:t>gestion conjointe de projets nexus combinant expertises complémentaires</w:t>
      </w:r>
      <w:r w:rsidR="00CA359C">
        <w:t> ;</w:t>
      </w:r>
      <w:r w:rsidR="006310C3">
        <w:t xml:space="preserve"> S</w:t>
      </w:r>
      <w:r w:rsidR="006310C3" w:rsidRPr="006310C3">
        <w:t>ystématiser l'engagement du secteur privé comme générateur de dividendes de paix durables à travers des approches de financement mixte institutionnalisées, incluant des mécanismes de partage de bénéfices (type PSE).</w:t>
      </w:r>
    </w:p>
    <w:p w14:paraId="0F88F8DB" w14:textId="3048E593" w:rsidR="00211D86" w:rsidRPr="00211D86" w:rsidRDefault="00211D86" w:rsidP="00EB7D20">
      <w:pPr>
        <w:spacing w:line="240" w:lineRule="auto"/>
        <w:jc w:val="both"/>
      </w:pPr>
      <w:r w:rsidRPr="00211D86">
        <w:rPr>
          <w:b/>
          <w:bCs/>
          <w:color w:val="000099"/>
        </w:rPr>
        <w:t>RS3.</w:t>
      </w:r>
      <w:r w:rsidRPr="00211D86">
        <w:rPr>
          <w:color w:val="000099"/>
        </w:rPr>
        <w:t xml:space="preserve"> </w:t>
      </w:r>
      <w:r w:rsidRPr="00211D86">
        <w:t xml:space="preserve">Adopter </w:t>
      </w:r>
      <w:r w:rsidR="00171A18">
        <w:t xml:space="preserve">une </w:t>
      </w:r>
      <w:r w:rsidRPr="00211D86">
        <w:t xml:space="preserve">approche d'équilibrage budgétaire pour </w:t>
      </w:r>
      <w:r w:rsidR="00171A18">
        <w:t xml:space="preserve">les </w:t>
      </w:r>
      <w:r w:rsidRPr="00211D86">
        <w:t xml:space="preserve">projets complexes similaires : </w:t>
      </w:r>
      <w:r w:rsidR="00171A18">
        <w:t>A</w:t>
      </w:r>
      <w:r w:rsidRPr="00211D86">
        <w:t xml:space="preserve">llouer </w:t>
      </w:r>
      <w:r w:rsidR="00171A18">
        <w:t xml:space="preserve">un </w:t>
      </w:r>
      <w:r w:rsidR="00C002CC">
        <w:t xml:space="preserve">seuil </w:t>
      </w:r>
      <w:r w:rsidRPr="00211D86">
        <w:t xml:space="preserve">minimum </w:t>
      </w:r>
      <w:r w:rsidR="00C002CC">
        <w:t xml:space="preserve">(par exemple </w:t>
      </w:r>
      <w:r w:rsidRPr="00211D86">
        <w:t>20%</w:t>
      </w:r>
      <w:r w:rsidR="00C002CC">
        <w:t>)</w:t>
      </w:r>
      <w:r w:rsidRPr="00211D86">
        <w:t xml:space="preserve"> </w:t>
      </w:r>
      <w:r w:rsidR="00171A18">
        <w:t xml:space="preserve">du </w:t>
      </w:r>
      <w:r w:rsidRPr="00211D86">
        <w:t>budget</w:t>
      </w:r>
      <w:r w:rsidR="00171A18">
        <w:t xml:space="preserve"> global </w:t>
      </w:r>
      <w:r w:rsidR="00C002CC">
        <w:t xml:space="preserve">à </w:t>
      </w:r>
      <w:r w:rsidR="00171A18">
        <w:t xml:space="preserve">des </w:t>
      </w:r>
      <w:r w:rsidRPr="00211D86">
        <w:t xml:space="preserve">actions à retombées immédiates (AGR, cohésion sociale, travaux </w:t>
      </w:r>
      <w:r w:rsidR="00171A18">
        <w:t xml:space="preserve">de </w:t>
      </w:r>
      <w:r w:rsidRPr="00211D86">
        <w:t>conservation)</w:t>
      </w:r>
      <w:r w:rsidR="00171A18">
        <w:t xml:space="preserve"> </w:t>
      </w:r>
      <w:r w:rsidR="00C002CC">
        <w:t xml:space="preserve">dès la conception </w:t>
      </w:r>
      <w:r w:rsidR="00171A18">
        <w:t xml:space="preserve">et </w:t>
      </w:r>
      <w:r w:rsidRPr="00211D86">
        <w:t xml:space="preserve">équilibrer </w:t>
      </w:r>
      <w:r w:rsidR="00171A18">
        <w:t xml:space="preserve">les </w:t>
      </w:r>
      <w:r w:rsidRPr="00211D86">
        <w:t>investissements structurants long terme avec</w:t>
      </w:r>
      <w:r w:rsidR="00171A18">
        <w:t xml:space="preserve"> les</w:t>
      </w:r>
      <w:r w:rsidRPr="00211D86">
        <w:t xml:space="preserve"> bénéfices tangibles court terme </w:t>
      </w:r>
      <w:r w:rsidR="00171A18">
        <w:t>qui favorisent l’</w:t>
      </w:r>
      <w:r w:rsidRPr="00211D86">
        <w:t>adhésion</w:t>
      </w:r>
      <w:r w:rsidR="00171A18">
        <w:t xml:space="preserve"> des bénéficiaires</w:t>
      </w:r>
      <w:r w:rsidRPr="00211D86">
        <w:t>.</w:t>
      </w:r>
    </w:p>
    <w:p w14:paraId="14BF9672" w14:textId="64FF6E29" w:rsidR="00211D86" w:rsidRPr="00211D86" w:rsidRDefault="00211D86" w:rsidP="00EB7D20">
      <w:pPr>
        <w:spacing w:line="240" w:lineRule="auto"/>
        <w:jc w:val="both"/>
      </w:pPr>
      <w:r w:rsidRPr="00211D86">
        <w:rPr>
          <w:b/>
          <w:bCs/>
          <w:color w:val="000099"/>
        </w:rPr>
        <w:t>RS4.</w:t>
      </w:r>
      <w:r w:rsidRPr="00211D86">
        <w:rPr>
          <w:color w:val="000099"/>
        </w:rPr>
        <w:t xml:space="preserve"> </w:t>
      </w:r>
      <w:r w:rsidRPr="00211D86">
        <w:t xml:space="preserve">Étendre géographiquement l'approche intégrée et développer </w:t>
      </w:r>
      <w:r w:rsidR="008F5E81">
        <w:t xml:space="preserve">une </w:t>
      </w:r>
      <w:r w:rsidRPr="00211D86">
        <w:t xml:space="preserve">stratégie durable d'accès aux terres : </w:t>
      </w:r>
      <w:r w:rsidR="008F5E81">
        <w:t>E</w:t>
      </w:r>
      <w:r w:rsidRPr="00211D86">
        <w:t xml:space="preserve">tendre progressivement </w:t>
      </w:r>
      <w:r w:rsidR="008F5E81">
        <w:t xml:space="preserve">le </w:t>
      </w:r>
      <w:r w:rsidRPr="00211D86">
        <w:t xml:space="preserve">paquet complet d'interventions aux zones périphériques </w:t>
      </w:r>
      <w:r w:rsidR="00C002CC" w:rsidRPr="00C002CC">
        <w:lastRenderedPageBreak/>
        <w:t xml:space="preserve">non/faiblement couvertes </w:t>
      </w:r>
      <w:r w:rsidR="00BC028A">
        <w:t xml:space="preserve">en </w:t>
      </w:r>
      <w:r w:rsidRPr="00211D86">
        <w:t xml:space="preserve">priorisant </w:t>
      </w:r>
      <w:r w:rsidR="008F5E81">
        <w:t xml:space="preserve">celles à </w:t>
      </w:r>
      <w:r w:rsidRPr="00211D86">
        <w:t>forte pression</w:t>
      </w:r>
      <w:r w:rsidR="00BC028A">
        <w:t xml:space="preserve"> et </w:t>
      </w:r>
      <w:r w:rsidR="00BC028A">
        <w:rPr>
          <w:rFonts w:cstheme="minorHAnsi"/>
        </w:rPr>
        <w:t xml:space="preserve">les </w:t>
      </w:r>
      <w:r w:rsidR="00BC028A" w:rsidRPr="00207259">
        <w:rPr>
          <w:rFonts w:cstheme="minorHAnsi"/>
        </w:rPr>
        <w:t>communautés vulnérables</w:t>
      </w:r>
      <w:r w:rsidR="00C002CC">
        <w:t xml:space="preserve"> ; </w:t>
      </w:r>
      <w:r w:rsidR="00BC028A">
        <w:t xml:space="preserve">et </w:t>
      </w:r>
      <w:r w:rsidRPr="00211D86">
        <w:t xml:space="preserve">développer </w:t>
      </w:r>
      <w:r w:rsidR="00BC028A">
        <w:t xml:space="preserve">une </w:t>
      </w:r>
      <w:r w:rsidRPr="00211D86">
        <w:t xml:space="preserve">stratégie intégrée d'accès terres (acquisition, intensification agricole, </w:t>
      </w:r>
      <w:r w:rsidR="00C002CC">
        <w:t xml:space="preserve">AGR </w:t>
      </w:r>
      <w:r w:rsidRPr="00211D86">
        <w:t>alternatives moins intensives</w:t>
      </w:r>
      <w:r w:rsidR="00C002CC">
        <w:t xml:space="preserve"> en terres</w:t>
      </w:r>
      <w:r w:rsidRPr="00211D86">
        <w:t>).</w:t>
      </w:r>
    </w:p>
    <w:p w14:paraId="14FB3F53" w14:textId="009B3352" w:rsidR="00211D86" w:rsidRPr="00211D86" w:rsidRDefault="00211D86" w:rsidP="00EB7D20">
      <w:pPr>
        <w:spacing w:line="240" w:lineRule="auto"/>
        <w:jc w:val="both"/>
      </w:pPr>
      <w:r w:rsidRPr="00211D86">
        <w:rPr>
          <w:b/>
          <w:bCs/>
          <w:color w:val="000099"/>
        </w:rPr>
        <w:t>RS5.</w:t>
      </w:r>
      <w:r w:rsidRPr="00211D86">
        <w:rPr>
          <w:color w:val="000099"/>
        </w:rPr>
        <w:t xml:space="preserve"> </w:t>
      </w:r>
      <w:r w:rsidRPr="00211D86">
        <w:t xml:space="preserve">Garantir un système S&amp;E robuste et </w:t>
      </w:r>
      <w:r w:rsidR="005921C8">
        <w:t xml:space="preserve">une </w:t>
      </w:r>
      <w:r w:rsidRPr="00211D86">
        <w:t xml:space="preserve">prise en compte systématique </w:t>
      </w:r>
      <w:r w:rsidR="005921C8">
        <w:t xml:space="preserve">des </w:t>
      </w:r>
      <w:r w:rsidRPr="00211D86">
        <w:t xml:space="preserve">dimensions transversales pour </w:t>
      </w:r>
      <w:r w:rsidR="005921C8">
        <w:t>les</w:t>
      </w:r>
      <w:r w:rsidRPr="00211D86">
        <w:t xml:space="preserve"> projets</w:t>
      </w:r>
      <w:r w:rsidR="005921C8">
        <w:t xml:space="preserve"> futurs</w:t>
      </w:r>
      <w:r w:rsidRPr="00211D86">
        <w:t xml:space="preserve"> : </w:t>
      </w:r>
      <w:r w:rsidR="005921C8">
        <w:t>I</w:t>
      </w:r>
      <w:r w:rsidRPr="00211D86">
        <w:t xml:space="preserve">ntégrer </w:t>
      </w:r>
      <w:r w:rsidR="005921C8">
        <w:t xml:space="preserve">des </w:t>
      </w:r>
      <w:r w:rsidRPr="00211D86">
        <w:t xml:space="preserve">indicateurs mesurables avec </w:t>
      </w:r>
      <w:r w:rsidR="005921C8">
        <w:t xml:space="preserve">des </w:t>
      </w:r>
      <w:r w:rsidR="00C4123E">
        <w:t xml:space="preserve">données de </w:t>
      </w:r>
      <w:r w:rsidR="005D4885">
        <w:t>référence</w:t>
      </w:r>
      <w:r w:rsidRPr="00211D86">
        <w:t>,</w:t>
      </w:r>
      <w:r w:rsidR="005921C8">
        <w:t xml:space="preserve"> </w:t>
      </w:r>
      <w:r w:rsidR="00C002CC" w:rsidRPr="00C002CC">
        <w:t>prévoir des mécanismes de révision du cadre en cas d'ajustements stratégiques majeurs</w:t>
      </w:r>
      <w:r w:rsidR="00C002CC">
        <w:t xml:space="preserve"> et </w:t>
      </w:r>
      <w:r w:rsidRPr="00211D86">
        <w:t xml:space="preserve">élaborer </w:t>
      </w:r>
      <w:r w:rsidR="005921C8">
        <w:t xml:space="preserve">une </w:t>
      </w:r>
      <w:r w:rsidRPr="00211D86">
        <w:t xml:space="preserve">stratégie spécifique pour tous </w:t>
      </w:r>
      <w:r w:rsidR="005921C8">
        <w:t xml:space="preserve">les </w:t>
      </w:r>
      <w:r w:rsidRPr="00211D86">
        <w:t xml:space="preserve">groupes vulnérables </w:t>
      </w:r>
      <w:r w:rsidR="005921C8" w:rsidRPr="00C26516">
        <w:rPr>
          <w:rFonts w:cstheme="minorHAnsi"/>
        </w:rPr>
        <w:t>(femmes, jeunes, groupes ethniques marginalisés)</w:t>
      </w:r>
      <w:r w:rsidR="005921C8">
        <w:t xml:space="preserve"> </w:t>
      </w:r>
      <w:r w:rsidR="00C4123E">
        <w:t>et les personnes vivant avec handicap</w:t>
      </w:r>
      <w:r w:rsidRPr="00211D86">
        <w:t>.</w:t>
      </w:r>
    </w:p>
    <w:p w14:paraId="05B91791" w14:textId="109C6FF2" w:rsidR="00211D86" w:rsidRPr="00211D86" w:rsidRDefault="00895FB8" w:rsidP="00EB7D20">
      <w:pPr>
        <w:spacing w:before="240" w:line="240" w:lineRule="auto"/>
        <w:jc w:val="both"/>
        <w:rPr>
          <w:b/>
          <w:bCs/>
          <w:color w:val="000099"/>
        </w:rPr>
      </w:pPr>
      <w:r>
        <w:rPr>
          <w:b/>
          <w:bCs/>
          <w:color w:val="000099"/>
        </w:rPr>
        <w:t>Au niveau o</w:t>
      </w:r>
      <w:r w:rsidR="00211D86" w:rsidRPr="00211D86">
        <w:rPr>
          <w:b/>
          <w:bCs/>
          <w:color w:val="000099"/>
        </w:rPr>
        <w:t>pérationnel :</w:t>
      </w:r>
      <w:r w:rsidR="00CF4447">
        <w:rPr>
          <w:b/>
          <w:bCs/>
          <w:color w:val="000099"/>
        </w:rPr>
        <w:t xml:space="preserve"> </w:t>
      </w:r>
      <w:r w:rsidR="00CF4447" w:rsidRPr="0062653C">
        <w:rPr>
          <w:color w:val="000000" w:themeColor="text1"/>
        </w:rPr>
        <w:t xml:space="preserve">Les trois recommandations opérationnelles visent à consolider les acquis institutionnels et communautaires du projet dont la viabilité nécessite un renforcement urgent. Ces actions pourront être déployées principalement dans le cadre du projet NIF (jusqu'en mai 2028) en coordination avec la Fondation Kibira, l'OBPE et les </w:t>
      </w:r>
      <w:r w:rsidR="00C06279">
        <w:rPr>
          <w:color w:val="000000" w:themeColor="text1"/>
        </w:rPr>
        <w:t xml:space="preserve">ONG </w:t>
      </w:r>
      <w:r w:rsidR="00CF4447" w:rsidRPr="0062653C">
        <w:rPr>
          <w:color w:val="000000" w:themeColor="text1"/>
        </w:rPr>
        <w:t xml:space="preserve">partenaires, et pourront être renforcées ou étendues dans le cadre d'une phase 2 potentielle du projet Kibira ou par d'autres interventions en cours (PNUD Biodiversité, ENABEL </w:t>
      </w:r>
      <w:proofErr w:type="spellStart"/>
      <w:r w:rsidR="00CF4447" w:rsidRPr="0062653C">
        <w:rPr>
          <w:color w:val="000000" w:themeColor="text1"/>
        </w:rPr>
        <w:t>NaturAfrica</w:t>
      </w:r>
      <w:proofErr w:type="spellEnd"/>
      <w:r w:rsidR="00CF4447" w:rsidRPr="0062653C">
        <w:rPr>
          <w:color w:val="000000" w:themeColor="text1"/>
        </w:rPr>
        <w:t>).</w:t>
      </w:r>
    </w:p>
    <w:p w14:paraId="28C9C2EF" w14:textId="40CFDA87" w:rsidR="00211D86" w:rsidRPr="00211D86" w:rsidRDefault="00211D86" w:rsidP="00EB7D20">
      <w:pPr>
        <w:spacing w:line="240" w:lineRule="auto"/>
        <w:jc w:val="both"/>
      </w:pPr>
      <w:r w:rsidRPr="00211D86">
        <w:rPr>
          <w:b/>
          <w:bCs/>
          <w:color w:val="000099"/>
        </w:rPr>
        <w:t>RO1.</w:t>
      </w:r>
      <w:r w:rsidR="00634CA8">
        <w:rPr>
          <w:b/>
          <w:bCs/>
          <w:color w:val="000099"/>
        </w:rPr>
        <w:t xml:space="preserve"> </w:t>
      </w:r>
      <w:r w:rsidR="008347AC" w:rsidRPr="008347AC">
        <w:t xml:space="preserve">Consolider les capacités institutionnelles, la pérennisation </w:t>
      </w:r>
      <w:r w:rsidR="00C4123E">
        <w:t xml:space="preserve">légale et </w:t>
      </w:r>
      <w:r w:rsidR="008347AC" w:rsidRPr="008347AC">
        <w:t xml:space="preserve">réglementaire et la viabilité financière de la Fondation : </w:t>
      </w:r>
      <w:r w:rsidR="008347AC">
        <w:rPr>
          <w:rFonts w:cstheme="minorHAnsi"/>
        </w:rPr>
        <w:t>Renforcer l’effectif technique et de management</w:t>
      </w:r>
      <w:r w:rsidR="008347AC" w:rsidRPr="00207259">
        <w:rPr>
          <w:rFonts w:cstheme="minorHAnsi"/>
        </w:rPr>
        <w:t>,</w:t>
      </w:r>
      <w:r w:rsidR="008347AC">
        <w:rPr>
          <w:rFonts w:cstheme="minorHAnsi"/>
        </w:rPr>
        <w:t xml:space="preserve"> </w:t>
      </w:r>
      <w:r w:rsidR="008347AC" w:rsidRPr="00207259">
        <w:rPr>
          <w:rFonts w:cstheme="minorHAnsi"/>
        </w:rPr>
        <w:t xml:space="preserve">développer </w:t>
      </w:r>
      <w:r w:rsidR="008347AC">
        <w:rPr>
          <w:rFonts w:cstheme="minorHAnsi"/>
        </w:rPr>
        <w:t xml:space="preserve">les </w:t>
      </w:r>
      <w:r w:rsidR="008347AC" w:rsidRPr="00207259">
        <w:rPr>
          <w:rFonts w:cstheme="minorHAnsi"/>
        </w:rPr>
        <w:t>compétences techniques (conservation, monitoring, conflits</w:t>
      </w:r>
      <w:r w:rsidR="008347AC">
        <w:rPr>
          <w:rFonts w:cstheme="minorHAnsi"/>
        </w:rPr>
        <w:t>, développement communautaire</w:t>
      </w:r>
      <w:r w:rsidR="008347AC" w:rsidRPr="00207259">
        <w:rPr>
          <w:rFonts w:cstheme="minorHAnsi"/>
        </w:rPr>
        <w:t xml:space="preserve">), renforcer </w:t>
      </w:r>
      <w:r w:rsidR="008347AC">
        <w:rPr>
          <w:rFonts w:cstheme="minorHAnsi"/>
        </w:rPr>
        <w:t xml:space="preserve">la </w:t>
      </w:r>
      <w:r w:rsidR="008347AC" w:rsidRPr="00207259">
        <w:rPr>
          <w:rFonts w:cstheme="minorHAnsi"/>
        </w:rPr>
        <w:t xml:space="preserve">planification stratégique, </w:t>
      </w:r>
      <w:r w:rsidR="008347AC" w:rsidRPr="008347AC">
        <w:t>faire adopter un texte légal formel sécurisant le statut</w:t>
      </w:r>
      <w:r w:rsidR="008347AC">
        <w:t xml:space="preserve"> de la fondation</w:t>
      </w:r>
      <w:r w:rsidR="008347AC" w:rsidRPr="008347AC">
        <w:t xml:space="preserve">, </w:t>
      </w:r>
      <w:r w:rsidR="008347AC">
        <w:t xml:space="preserve">et </w:t>
      </w:r>
      <w:r w:rsidR="008347AC" w:rsidRPr="008347AC">
        <w:t>diversifier les sources de financement.</w:t>
      </w:r>
    </w:p>
    <w:p w14:paraId="5F481993" w14:textId="5D2D74D3" w:rsidR="00211D86" w:rsidRPr="00211D86" w:rsidRDefault="00211D86" w:rsidP="00EB7D20">
      <w:pPr>
        <w:spacing w:line="240" w:lineRule="auto"/>
        <w:jc w:val="both"/>
      </w:pPr>
      <w:r w:rsidRPr="00211D86">
        <w:rPr>
          <w:b/>
          <w:bCs/>
          <w:color w:val="000099"/>
        </w:rPr>
        <w:t>RO2.</w:t>
      </w:r>
      <w:r w:rsidRPr="00211D86">
        <w:t xml:space="preserve"> </w:t>
      </w:r>
      <w:r w:rsidR="009375E3" w:rsidRPr="009375E3">
        <w:t xml:space="preserve">Opérationnaliser et renforcer la fonctionnalité des CPK : </w:t>
      </w:r>
      <w:r w:rsidR="009375E3">
        <w:t>R</w:t>
      </w:r>
      <w:r w:rsidR="009375E3" w:rsidRPr="009375E3">
        <w:t>edéfinir le mandat au-delà de la "délation" pour inclure la médiation</w:t>
      </w:r>
      <w:r w:rsidR="009375E3">
        <w:t xml:space="preserve">, la </w:t>
      </w:r>
      <w:r w:rsidR="009375E3" w:rsidRPr="009375E3">
        <w:t>sensibilisation</w:t>
      </w:r>
      <w:r w:rsidR="009375E3">
        <w:t xml:space="preserve"> et le rôle de relais communautés - autorités</w:t>
      </w:r>
      <w:r w:rsidR="009375E3" w:rsidRPr="009375E3">
        <w:t xml:space="preserve">, établir des mécanismes de motivation (reconnaissance, accès aux bénéfices, per diem modestes), former aux compétences de dialogue/médiation, </w:t>
      </w:r>
      <w:r w:rsidR="00281301">
        <w:t xml:space="preserve">et </w:t>
      </w:r>
      <w:r w:rsidR="009375E3" w:rsidRPr="009375E3">
        <w:t>étendre à toutes les zones périphériques.</w:t>
      </w:r>
    </w:p>
    <w:p w14:paraId="0386AB8E" w14:textId="0EE590AB" w:rsidR="00392FAE" w:rsidRDefault="00211D86" w:rsidP="0062653C">
      <w:pPr>
        <w:spacing w:line="240" w:lineRule="auto"/>
        <w:jc w:val="both"/>
        <w:rPr>
          <w:b/>
          <w:bCs/>
          <w:color w:val="000099"/>
        </w:rPr>
      </w:pPr>
      <w:r w:rsidRPr="00211D86">
        <w:rPr>
          <w:b/>
          <w:bCs/>
          <w:color w:val="000099"/>
        </w:rPr>
        <w:t>RO3.</w:t>
      </w:r>
      <w:r w:rsidRPr="00211D86">
        <w:rPr>
          <w:color w:val="000099"/>
        </w:rPr>
        <w:t xml:space="preserve"> </w:t>
      </w:r>
      <w:r w:rsidR="00281301" w:rsidRPr="00281301">
        <w:t xml:space="preserve">Renforcer la viabilité économique et technique des interventions de développement communautaire : </w:t>
      </w:r>
      <w:r w:rsidR="00281301">
        <w:t>A</w:t>
      </w:r>
      <w:r w:rsidR="00281301" w:rsidRPr="00281301">
        <w:t>ssurer un accompagnement technique continu des AGR, sécuriser l'approvisionnement en intrants</w:t>
      </w:r>
      <w:r w:rsidR="005D4885">
        <w:t xml:space="preserve"> agricoles (semences, substrats pour la culture de champignons</w:t>
      </w:r>
      <w:r w:rsidR="005D4885" w:rsidRPr="00061228">
        <w:t>,</w:t>
      </w:r>
      <w:r w:rsidR="00061228">
        <w:t xml:space="preserve"> etc.</w:t>
      </w:r>
      <w:r w:rsidR="005D4885" w:rsidRPr="00061228">
        <w:t>)</w:t>
      </w:r>
      <w:r w:rsidR="00281301" w:rsidRPr="00061228">
        <w:t xml:space="preserve">, </w:t>
      </w:r>
      <w:r w:rsidR="00281301" w:rsidRPr="00061228">
        <w:rPr>
          <w:rFonts w:cstheme="minorHAnsi"/>
        </w:rPr>
        <w:t>faciliter l’accès au marché, appuyer l’accès au crédit</w:t>
      </w:r>
      <w:r w:rsidR="00281301" w:rsidRPr="00061228">
        <w:t xml:space="preserve"> et généraliser le suivi post-intervention</w:t>
      </w:r>
      <w:r w:rsidR="00281301" w:rsidRPr="00281301">
        <w:t xml:space="preserve"> systématique (plantations, toutes activités).</w:t>
      </w:r>
    </w:p>
    <w:p w14:paraId="54ABA088" w14:textId="54CACF7C" w:rsidR="00211D86" w:rsidRPr="00211D86" w:rsidRDefault="00211D86" w:rsidP="00EB7D20">
      <w:pPr>
        <w:spacing w:before="240" w:line="240" w:lineRule="auto"/>
        <w:jc w:val="both"/>
        <w:rPr>
          <w:b/>
          <w:bCs/>
          <w:color w:val="000099"/>
        </w:rPr>
      </w:pPr>
      <w:r w:rsidRPr="00211D86">
        <w:rPr>
          <w:b/>
          <w:bCs/>
          <w:color w:val="000099"/>
        </w:rPr>
        <w:t>LEÇONS APPRISES</w:t>
      </w:r>
    </w:p>
    <w:p w14:paraId="5A652F68" w14:textId="77777777" w:rsidR="009A3FAE" w:rsidRPr="009A3FAE" w:rsidRDefault="009A3FAE" w:rsidP="00EB7D20">
      <w:pPr>
        <w:spacing w:line="240" w:lineRule="auto"/>
        <w:jc w:val="both"/>
      </w:pPr>
      <w:r w:rsidRPr="009A3FAE">
        <w:t>L'évaluation permet de dégager cinq leçons principales transférables à d'autres interventions similaires :</w:t>
      </w:r>
    </w:p>
    <w:p w14:paraId="76D88803" w14:textId="0C4640E7" w:rsidR="009A3FAE" w:rsidRPr="009A3FAE" w:rsidRDefault="009A3FAE" w:rsidP="00357CD2">
      <w:pPr>
        <w:numPr>
          <w:ilvl w:val="0"/>
          <w:numId w:val="15"/>
        </w:numPr>
        <w:spacing w:line="240" w:lineRule="auto"/>
        <w:jc w:val="both"/>
      </w:pPr>
      <w:r w:rsidRPr="009A3FAE">
        <w:t>Cogestion des aires protégées : La légitimité juridique formelle, la construction progressive de la confiance, la gouvernance inclusive, et des capacités institutionnelles robustes sont les conditions sine qua non du succès.</w:t>
      </w:r>
    </w:p>
    <w:p w14:paraId="6BE6D61F" w14:textId="2EE87DDB" w:rsidR="009A3FAE" w:rsidRPr="009A3FAE" w:rsidRDefault="009A3FAE" w:rsidP="00357CD2">
      <w:pPr>
        <w:numPr>
          <w:ilvl w:val="0"/>
          <w:numId w:val="15"/>
        </w:numPr>
        <w:spacing w:line="240" w:lineRule="auto"/>
        <w:jc w:val="both"/>
      </w:pPr>
      <w:r w:rsidRPr="009A3FAE">
        <w:t xml:space="preserve">Financement mixte et effet catalytique : Les investissements concessionnels stratégiques peuvent mobiliser des financements substantiels. </w:t>
      </w:r>
      <w:r w:rsidR="002D7160">
        <w:t>L’atténuation des risques</w:t>
      </w:r>
      <w:r w:rsidR="00357CD2">
        <w:t> </w:t>
      </w:r>
      <w:r w:rsidRPr="009A3FAE">
        <w:t xml:space="preserve">transforme les projets risqués en opportunités bancables. </w:t>
      </w:r>
    </w:p>
    <w:p w14:paraId="11B146FF" w14:textId="19DFAF9B" w:rsidR="009A3FAE" w:rsidRPr="009A3FAE" w:rsidRDefault="009A3FAE" w:rsidP="00357CD2">
      <w:pPr>
        <w:numPr>
          <w:ilvl w:val="0"/>
          <w:numId w:val="15"/>
        </w:numPr>
        <w:spacing w:line="240" w:lineRule="auto"/>
        <w:jc w:val="both"/>
      </w:pPr>
      <w:r w:rsidRPr="009A3FAE">
        <w:t xml:space="preserve">Approche nexus climat-paix-sécurité : L'intégration est plus efficace que les interventions sectorielles isolées mais génère une complexité opérationnelle importante et nécessite des cycles </w:t>
      </w:r>
      <w:r w:rsidR="0056027A">
        <w:t xml:space="preserve">de projet </w:t>
      </w:r>
      <w:r w:rsidRPr="009A3FAE">
        <w:t xml:space="preserve">plus longs que </w:t>
      </w:r>
      <w:r w:rsidR="00F25DD6">
        <w:t xml:space="preserve">la durée </w:t>
      </w:r>
      <w:r w:rsidR="00F25DD6" w:rsidRPr="009A3FAE">
        <w:t>standard</w:t>
      </w:r>
      <w:r w:rsidR="00F25DD6">
        <w:t xml:space="preserve"> </w:t>
      </w:r>
      <w:r w:rsidR="0056027A">
        <w:t>de</w:t>
      </w:r>
      <w:r w:rsidR="00357CD2">
        <w:t xml:space="preserve"> </w:t>
      </w:r>
      <w:r w:rsidR="00F25DD6">
        <w:t>trois ans</w:t>
      </w:r>
      <w:r w:rsidR="0056027A">
        <w:t>,</w:t>
      </w:r>
      <w:r w:rsidR="00F25DD6">
        <w:t xml:space="preserve"> ou</w:t>
      </w:r>
      <w:r w:rsidR="0056027A">
        <w:t xml:space="preserve"> à défaut, </w:t>
      </w:r>
      <w:r w:rsidR="00F25DD6" w:rsidRPr="00253D95">
        <w:rPr>
          <w:rFonts w:cstheme="minorHAnsi"/>
          <w:szCs w:val="20"/>
        </w:rPr>
        <w:t>de</w:t>
      </w:r>
      <w:r w:rsidR="00F25DD6">
        <w:rPr>
          <w:rFonts w:cstheme="minorHAnsi"/>
          <w:szCs w:val="20"/>
        </w:rPr>
        <w:t>s</w:t>
      </w:r>
      <w:r w:rsidR="00F25DD6" w:rsidRPr="00253D95">
        <w:rPr>
          <w:rFonts w:cstheme="minorHAnsi"/>
          <w:szCs w:val="20"/>
        </w:rPr>
        <w:t xml:space="preserve"> mécanismes de transition assurant la continuité.</w:t>
      </w:r>
    </w:p>
    <w:p w14:paraId="27F11F63" w14:textId="1610160C" w:rsidR="00802051" w:rsidRPr="000007C5" w:rsidRDefault="000007C5" w:rsidP="00357CD2">
      <w:pPr>
        <w:numPr>
          <w:ilvl w:val="0"/>
          <w:numId w:val="15"/>
        </w:numPr>
        <w:spacing w:line="240" w:lineRule="auto"/>
        <w:jc w:val="both"/>
      </w:pPr>
      <w:r w:rsidRPr="0062653C">
        <w:t>Engagement du secteur privé et dividendes de paix :</w:t>
      </w:r>
      <w:r w:rsidRPr="000007C5">
        <w:t xml:space="preserve"> Les entreprises privées peuvent devenir des acteurs de consolidation de la paix en générant des dividendes tangibles (emplois, revenus communautaires via PSE, infrastructures partagées, stabilité sociale). Le succès nécessite : obligations contractuelles de retombées locales, mécanismes de partage de bénéfices </w:t>
      </w:r>
      <w:r w:rsidRPr="000007C5">
        <w:lastRenderedPageBreak/>
        <w:t>garantissant des flux prévisibles vers les communautés, et gouvernance participative de l'utilisation des fonds.</w:t>
      </w:r>
    </w:p>
    <w:p w14:paraId="58FD4F1F" w14:textId="77342EB7" w:rsidR="009A3FAE" w:rsidRPr="009A3FAE" w:rsidRDefault="009A3FAE" w:rsidP="00357CD2">
      <w:pPr>
        <w:numPr>
          <w:ilvl w:val="0"/>
          <w:numId w:val="15"/>
        </w:numPr>
        <w:spacing w:line="240" w:lineRule="auto"/>
        <w:jc w:val="both"/>
      </w:pPr>
      <w:r w:rsidRPr="009A3FAE">
        <w:t>Interventions de développement communautaire : Le dilemme profondeur versus étendue nécessite des arbitrages explicites. Des changements durables nécessitent un paquet complet intégré</w:t>
      </w:r>
      <w:r w:rsidR="004A3D73">
        <w:t xml:space="preserve"> et l</w:t>
      </w:r>
      <w:r w:rsidRPr="009A3FAE">
        <w:t>'amélioration isolée des moyens de subsistance s'avère insuffisante sans un travail parallèle sur les attitudes.</w:t>
      </w:r>
    </w:p>
    <w:p w14:paraId="08D131BB" w14:textId="77777777" w:rsidR="009A3FAE" w:rsidRPr="009A3FAE" w:rsidRDefault="009A3FAE" w:rsidP="00357CD2">
      <w:pPr>
        <w:numPr>
          <w:ilvl w:val="0"/>
          <w:numId w:val="15"/>
        </w:numPr>
        <w:spacing w:line="240" w:lineRule="auto"/>
        <w:jc w:val="both"/>
      </w:pPr>
      <w:r w:rsidRPr="009A3FAE">
        <w:t xml:space="preserve">Systèmes de suivi-évaluation : L'établissement de </w:t>
      </w:r>
      <w:proofErr w:type="spellStart"/>
      <w:r w:rsidRPr="009A3FAE">
        <w:t>baselines</w:t>
      </w:r>
      <w:proofErr w:type="spellEnd"/>
      <w:r w:rsidRPr="009A3FAE">
        <w:t xml:space="preserve"> robustes et de systèmes de suivi continu doit être une priorité dès le démarrage. Le cadre de résultats doit permettre une révision en cas d'ajustements stratégiques majeurs.</w:t>
      </w:r>
    </w:p>
    <w:p w14:paraId="1EBF63F9" w14:textId="5F782864" w:rsidR="00211D86" w:rsidRPr="00211D86" w:rsidRDefault="00211D86" w:rsidP="00211D86">
      <w:pPr>
        <w:jc w:val="both"/>
      </w:pPr>
    </w:p>
    <w:p w14:paraId="7FC2AA74" w14:textId="69EC0EC9" w:rsidR="002F4936" w:rsidRPr="00211D86" w:rsidRDefault="002F4936" w:rsidP="00BE29A7">
      <w:pPr>
        <w:jc w:val="both"/>
      </w:pPr>
      <w:r w:rsidRPr="00211D86">
        <w:t xml:space="preserve"> </w:t>
      </w:r>
    </w:p>
    <w:p w14:paraId="6A122132" w14:textId="77777777" w:rsidR="0060507C" w:rsidRPr="00211D86" w:rsidRDefault="0060507C" w:rsidP="00BE29A7">
      <w:pPr>
        <w:jc w:val="both"/>
      </w:pPr>
    </w:p>
    <w:p w14:paraId="54905B25" w14:textId="77777777" w:rsidR="0060507C" w:rsidRPr="00211D86" w:rsidRDefault="0060507C" w:rsidP="00BE29A7">
      <w:pPr>
        <w:jc w:val="both"/>
      </w:pPr>
    </w:p>
    <w:p w14:paraId="41058E6E" w14:textId="77777777" w:rsidR="0060507C" w:rsidRPr="00211D86" w:rsidRDefault="0060507C" w:rsidP="00BE29A7">
      <w:pPr>
        <w:pStyle w:val="Header"/>
        <w:jc w:val="both"/>
        <w:rPr>
          <w:sz w:val="18"/>
          <w:szCs w:val="18"/>
        </w:rPr>
        <w:sectPr w:rsidR="0060507C" w:rsidRPr="00211D86" w:rsidSect="00744F3B">
          <w:footerReference w:type="default" r:id="rId18"/>
          <w:pgSz w:w="11906" w:h="16838" w:code="9"/>
          <w:pgMar w:top="1440" w:right="1440" w:bottom="1440" w:left="1440" w:header="720" w:footer="720" w:gutter="0"/>
          <w:pgNumType w:fmt="lowerRoman" w:start="1"/>
          <w:cols w:space="720"/>
          <w:docGrid w:linePitch="360"/>
        </w:sectPr>
      </w:pPr>
    </w:p>
    <w:p w14:paraId="6CE6AF64" w14:textId="55B69629" w:rsidR="00284DBB" w:rsidRDefault="00E63127" w:rsidP="2F8012CE">
      <w:pPr>
        <w:pStyle w:val="Heading1"/>
        <w:rPr>
          <w:rFonts w:ascii="Open Sans" w:hAnsi="Open Sans"/>
        </w:rPr>
      </w:pPr>
      <w:bookmarkStart w:id="26" w:name="_Toc216948960"/>
      <w:r w:rsidRPr="00925FBE">
        <w:rPr>
          <w:rFonts w:ascii="Open Sans" w:hAnsi="Open Sans"/>
        </w:rPr>
        <w:lastRenderedPageBreak/>
        <w:t>Portée et objectifs de l’évaluation</w:t>
      </w:r>
      <w:bookmarkEnd w:id="26"/>
    </w:p>
    <w:p w14:paraId="331B2CCE" w14:textId="77777777" w:rsidR="00DD6371" w:rsidRPr="00DD6371" w:rsidRDefault="00DD6371" w:rsidP="0006635C">
      <w:pPr>
        <w:pStyle w:val="NoSpacing"/>
      </w:pPr>
    </w:p>
    <w:p w14:paraId="252A839C" w14:textId="23B9A813" w:rsidR="00D43BDD" w:rsidRPr="00925FBE" w:rsidRDefault="00D43BDD" w:rsidP="00047F49">
      <w:pPr>
        <w:pStyle w:val="Heading2"/>
        <w:jc w:val="both"/>
        <w:rPr>
          <w:rFonts w:ascii="Open Sans" w:hAnsi="Open Sans"/>
          <w:color w:val="000099"/>
        </w:rPr>
      </w:pPr>
      <w:bookmarkStart w:id="27" w:name="_Toc216948961"/>
      <w:r w:rsidRPr="00925FBE">
        <w:rPr>
          <w:rFonts w:ascii="Open Sans" w:hAnsi="Open Sans"/>
          <w:color w:val="000099"/>
        </w:rPr>
        <w:t>1.1 Introduction</w:t>
      </w:r>
      <w:bookmarkEnd w:id="27"/>
      <w:r w:rsidRPr="00925FBE">
        <w:rPr>
          <w:rFonts w:ascii="Open Sans" w:hAnsi="Open Sans"/>
          <w:color w:val="000099"/>
        </w:rPr>
        <w:t xml:space="preserve"> </w:t>
      </w:r>
    </w:p>
    <w:p w14:paraId="7C43F53D" w14:textId="562417CD" w:rsidR="00E63127" w:rsidRPr="00925FBE" w:rsidRDefault="00E63127" w:rsidP="00047F49">
      <w:pPr>
        <w:spacing w:before="240" w:line="240" w:lineRule="auto"/>
        <w:jc w:val="both"/>
        <w:rPr>
          <w:szCs w:val="20"/>
        </w:rPr>
      </w:pPr>
      <w:r w:rsidRPr="00925FBE">
        <w:rPr>
          <w:szCs w:val="20"/>
        </w:rPr>
        <w:t>La présente évaluation finale a pour objet d'examiner de manière approfondie et indépendante la performance du projet "Kibira Sanctuaire de Paix" mis en œuvre au Burundi par le Fonds d'équipement des Nations Unies (UNCDF) avec le financement du Fonds pour la consolidation de la paix (PBF). Cette évaluation est conduite conformément aux termes de référence établis par l'Unité d'évaluation de l'UNCDF et s'inscrit dans le cadre des standards internationaux d'évaluation du Groupe d'évaluation des Nations Unies (UNEG).</w:t>
      </w:r>
    </w:p>
    <w:p w14:paraId="26495621" w14:textId="1229E02F" w:rsidR="00B36C46" w:rsidRDefault="00B36C46" w:rsidP="00047F49">
      <w:pPr>
        <w:spacing w:line="240" w:lineRule="auto"/>
        <w:jc w:val="both"/>
      </w:pPr>
      <w:r w:rsidRPr="00B36C46">
        <w:t xml:space="preserve">Cette </w:t>
      </w:r>
      <w:r w:rsidRPr="00B36C46">
        <w:rPr>
          <w:szCs w:val="20"/>
        </w:rPr>
        <w:t>évaluation</w:t>
      </w:r>
      <w:r w:rsidRPr="00B36C46">
        <w:t xml:space="preserve"> est commanditée à la fin de la période de mise en œuvre de quatre ans du projet (</w:t>
      </w:r>
      <w:r w:rsidR="004D063A">
        <w:t xml:space="preserve">Décembre </w:t>
      </w:r>
      <w:r w:rsidRPr="00B36C46">
        <w:t>2021-</w:t>
      </w:r>
      <w:r w:rsidR="004D063A">
        <w:t xml:space="preserve"> Décembre </w:t>
      </w:r>
      <w:r w:rsidRPr="00B36C46">
        <w:t>2025) pour plusieurs raisons stratégiques. Elle permet de dresser un bilan exhaustif des résultats obtenus, d'orienter la prise de décision concernant une potentielle continuation, de contribuer au repositionnement stratégique de l'UNCDF</w:t>
      </w:r>
      <w:r w:rsidR="004D063A">
        <w:t xml:space="preserve"> et </w:t>
      </w:r>
      <w:r w:rsidRPr="00B36C46">
        <w:t>de capitaliser les enseignements d'une intervention innovante combinant consolidation de la paix, conservation et financement mixte.</w:t>
      </w:r>
    </w:p>
    <w:p w14:paraId="15460F2D" w14:textId="77777777" w:rsidR="00731FD6" w:rsidRDefault="00D23F04" w:rsidP="00047F49">
      <w:pPr>
        <w:spacing w:line="240" w:lineRule="auto"/>
        <w:jc w:val="both"/>
      </w:pPr>
      <w:r w:rsidRPr="00D23F04">
        <w:t xml:space="preserve">L'audience principale </w:t>
      </w:r>
      <w:r w:rsidR="0002761E">
        <w:t xml:space="preserve">de l’évaluation </w:t>
      </w:r>
      <w:r w:rsidRPr="00D23F04">
        <w:t>comprend</w:t>
      </w:r>
      <w:r w:rsidR="00731FD6">
        <w:t> :</w:t>
      </w:r>
    </w:p>
    <w:p w14:paraId="3BC0F54F" w14:textId="54CA5821" w:rsidR="00731FD6" w:rsidRPr="00834F89" w:rsidRDefault="00731FD6" w:rsidP="00357CD2">
      <w:pPr>
        <w:pStyle w:val="ListParagraph"/>
        <w:numPr>
          <w:ilvl w:val="0"/>
          <w:numId w:val="4"/>
        </w:numPr>
        <w:spacing w:before="60" w:after="0" w:line="240" w:lineRule="auto"/>
        <w:ind w:left="357" w:hanging="357"/>
        <w:contextualSpacing w:val="0"/>
        <w:jc w:val="both"/>
      </w:pPr>
      <w:r w:rsidRPr="00731FD6">
        <w:t>L'UNCDF</w:t>
      </w:r>
      <w:r w:rsidRPr="00834F89">
        <w:t xml:space="preserve"> : </w:t>
      </w:r>
      <w:r>
        <w:t>Elle</w:t>
      </w:r>
      <w:r w:rsidRPr="00834F89">
        <w:t xml:space="preserve"> utilisera les résultats pour améliorer ses stratégies d'intervention dans les domaines de la consolidation de la paix, de la conservation durable et du financement mixte. Les conclusions contribueront </w:t>
      </w:r>
      <w:r>
        <w:t xml:space="preserve">aussi </w:t>
      </w:r>
      <w:r w:rsidRPr="00834F89">
        <w:t>à l'actualisation du cadre stratégique et au repositionnement organisationnel de l'institution.</w:t>
      </w:r>
    </w:p>
    <w:p w14:paraId="748FA7DF" w14:textId="31679C82" w:rsidR="00731FD6" w:rsidRPr="00834F89" w:rsidRDefault="00731FD6" w:rsidP="00357CD2">
      <w:pPr>
        <w:pStyle w:val="ListParagraph"/>
        <w:numPr>
          <w:ilvl w:val="0"/>
          <w:numId w:val="4"/>
        </w:numPr>
        <w:spacing w:before="60" w:after="0" w:line="240" w:lineRule="auto"/>
        <w:ind w:left="357" w:hanging="357"/>
        <w:contextualSpacing w:val="0"/>
        <w:jc w:val="both"/>
      </w:pPr>
      <w:r>
        <w:t>Le</w:t>
      </w:r>
      <w:r w:rsidR="00BF32FC">
        <w:t xml:space="preserve">s bailleurs </w:t>
      </w:r>
      <w:r w:rsidR="004D1D4B">
        <w:t xml:space="preserve">: </w:t>
      </w:r>
      <w:r w:rsidR="00BF32FC">
        <w:t>L’évaluation permettra</w:t>
      </w:r>
      <w:r>
        <w:t xml:space="preserve"> </w:t>
      </w:r>
      <w:r w:rsidRPr="00326C69">
        <w:t>de tirer des enseignements sur le financement du secteur privé en appui à la consolidation de la paix</w:t>
      </w:r>
      <w:r>
        <w:t xml:space="preserve">. </w:t>
      </w:r>
    </w:p>
    <w:p w14:paraId="428098A6" w14:textId="10F7FF45" w:rsidR="00731FD6" w:rsidRPr="00834F89" w:rsidRDefault="00731FD6" w:rsidP="00357CD2">
      <w:pPr>
        <w:pStyle w:val="ListParagraph"/>
        <w:numPr>
          <w:ilvl w:val="0"/>
          <w:numId w:val="4"/>
        </w:numPr>
        <w:spacing w:before="60" w:after="0" w:line="240" w:lineRule="auto"/>
        <w:ind w:left="357" w:hanging="357"/>
        <w:contextualSpacing w:val="0"/>
        <w:jc w:val="both"/>
      </w:pPr>
      <w:r w:rsidRPr="00731FD6">
        <w:t>Le gouvernement du Burundi</w:t>
      </w:r>
      <w:r>
        <w:t xml:space="preserve"> : Les institutions nationales utiliseront les recommandations pour orienter leurs politiques de conservation, de gouvernance locale et de consolidation de la paix.</w:t>
      </w:r>
    </w:p>
    <w:p w14:paraId="39F2D731" w14:textId="43F5E9AC" w:rsidR="00836C1E" w:rsidRDefault="00731FD6" w:rsidP="00357CD2">
      <w:pPr>
        <w:pStyle w:val="ListParagraph"/>
        <w:numPr>
          <w:ilvl w:val="0"/>
          <w:numId w:val="4"/>
        </w:numPr>
        <w:spacing w:before="60" w:after="0" w:line="240" w:lineRule="auto"/>
        <w:ind w:left="357" w:hanging="357"/>
        <w:contextualSpacing w:val="0"/>
        <w:jc w:val="both"/>
      </w:pPr>
      <w:r w:rsidRPr="00731FD6">
        <w:t xml:space="preserve">Les </w:t>
      </w:r>
      <w:r w:rsidR="00836C1E">
        <w:t xml:space="preserve">partenaires de mise en œuvre (COH et ses partenaires, </w:t>
      </w:r>
      <w:proofErr w:type="spellStart"/>
      <w:r w:rsidR="00836C1E">
        <w:t>Hydroneo</w:t>
      </w:r>
      <w:proofErr w:type="spellEnd"/>
      <w:r w:rsidR="00836C1E">
        <w:t xml:space="preserve">, Fondation </w:t>
      </w:r>
      <w:proofErr w:type="spellStart"/>
      <w:r w:rsidR="00836C1E">
        <w:t>Kibira</w:t>
      </w:r>
      <w:proofErr w:type="spellEnd"/>
      <w:r w:rsidR="00836C1E">
        <w:t>)</w:t>
      </w:r>
      <w:r w:rsidR="00546BB9">
        <w:t> : L</w:t>
      </w:r>
      <w:r w:rsidR="00546BB9" w:rsidRPr="00546BB9">
        <w:t>'évaluation permettra d'analyser l'efficacité des modalités de collaboration et de coordination entre les différents acteurs</w:t>
      </w:r>
      <w:r w:rsidR="00546BB9">
        <w:t xml:space="preserve"> et </w:t>
      </w:r>
      <w:r w:rsidR="00546BB9" w:rsidRPr="00546BB9">
        <w:t>apportera des enseignements sur les approches participatives et sensibles aux conflits</w:t>
      </w:r>
      <w:r w:rsidR="00FA6686">
        <w:t xml:space="preserve"> permettant d’</w:t>
      </w:r>
      <w:r w:rsidR="00546BB9" w:rsidRPr="00546BB9">
        <w:t>améliorer les pratiques futures.</w:t>
      </w:r>
      <w:r>
        <w:t xml:space="preserve"> </w:t>
      </w:r>
    </w:p>
    <w:p w14:paraId="23E409D7" w14:textId="31C85BFC" w:rsidR="007A1471" w:rsidRDefault="007A1471" w:rsidP="00357CD2">
      <w:pPr>
        <w:pStyle w:val="ListParagraph"/>
        <w:numPr>
          <w:ilvl w:val="0"/>
          <w:numId w:val="4"/>
        </w:numPr>
        <w:spacing w:before="60" w:after="0" w:line="240" w:lineRule="auto"/>
        <w:ind w:left="357" w:hanging="357"/>
        <w:contextualSpacing w:val="0"/>
        <w:jc w:val="both"/>
      </w:pPr>
      <w:r>
        <w:t>Les communautés bénéficiaires : L</w:t>
      </w:r>
      <w:r w:rsidRPr="007A1471">
        <w:t xml:space="preserve">'évaluation </w:t>
      </w:r>
      <w:r w:rsidR="007C33B4">
        <w:t>permettra</w:t>
      </w:r>
      <w:r w:rsidRPr="007A1471">
        <w:t xml:space="preserve"> </w:t>
      </w:r>
      <w:r w:rsidR="007C33B4">
        <w:t>la</w:t>
      </w:r>
      <w:r w:rsidRPr="007A1471">
        <w:t xml:space="preserve"> validation des changements observés dans leurs conditions de vie et leur relation avec le </w:t>
      </w:r>
      <w:r>
        <w:t>parc</w:t>
      </w:r>
      <w:r w:rsidR="007C33B4">
        <w:t xml:space="preserve">, ainsi que </w:t>
      </w:r>
      <w:r w:rsidRPr="007A1471">
        <w:t xml:space="preserve">l'appropriation des recommandations pour </w:t>
      </w:r>
      <w:r w:rsidR="006F148B">
        <w:t>favoriser la</w:t>
      </w:r>
      <w:r w:rsidRPr="007A1471">
        <w:t xml:space="preserve"> durabilité des acquis.</w:t>
      </w:r>
    </w:p>
    <w:p w14:paraId="3ED93D3F" w14:textId="217DA901" w:rsidR="00FA1AD7" w:rsidRDefault="00FA1AD7" w:rsidP="00357CD2">
      <w:pPr>
        <w:pStyle w:val="ListParagraph"/>
        <w:numPr>
          <w:ilvl w:val="0"/>
          <w:numId w:val="4"/>
        </w:numPr>
        <w:spacing w:before="60" w:after="0" w:line="240" w:lineRule="auto"/>
        <w:ind w:left="357" w:hanging="357"/>
        <w:contextualSpacing w:val="0"/>
        <w:jc w:val="both"/>
      </w:pPr>
      <w:r>
        <w:t xml:space="preserve">Les autres </w:t>
      </w:r>
      <w:r w:rsidR="00794F43">
        <w:t xml:space="preserve">agences et partenaires </w:t>
      </w:r>
      <w:r w:rsidR="00A21978">
        <w:t xml:space="preserve">œuvrant </w:t>
      </w:r>
      <w:r w:rsidR="00794F43">
        <w:t xml:space="preserve">dans le Parc de la Kibira comme ENABEL, </w:t>
      </w:r>
      <w:r w:rsidR="00A21978">
        <w:t>PNUD ainsi que l’O</w:t>
      </w:r>
      <w:r w:rsidR="00706B42">
        <w:t>ffice burundais des Mines (OBM)</w:t>
      </w:r>
    </w:p>
    <w:p w14:paraId="12D02FE1" w14:textId="77777777" w:rsidR="00905BB8" w:rsidRPr="004C4E82" w:rsidRDefault="00905BB8" w:rsidP="0006635C">
      <w:pPr>
        <w:pStyle w:val="NoSpacing"/>
        <w:rPr>
          <w:sz w:val="10"/>
          <w:szCs w:val="10"/>
          <w:lang w:val="fr-FR"/>
        </w:rPr>
      </w:pPr>
    </w:p>
    <w:p w14:paraId="4380C006" w14:textId="41475A8E" w:rsidR="00D43BDD" w:rsidRPr="00DD6371" w:rsidRDefault="00D43BDD" w:rsidP="00047F49">
      <w:pPr>
        <w:pStyle w:val="Heading2"/>
        <w:jc w:val="both"/>
        <w:rPr>
          <w:rFonts w:ascii="Open Sans" w:hAnsi="Open Sans"/>
          <w:color w:val="000099"/>
        </w:rPr>
      </w:pPr>
      <w:bookmarkStart w:id="28" w:name="_Toc216948962"/>
      <w:r w:rsidRPr="00DD6371">
        <w:rPr>
          <w:rFonts w:ascii="Open Sans" w:hAnsi="Open Sans"/>
          <w:color w:val="000099"/>
        </w:rPr>
        <w:t xml:space="preserve">1.2 </w:t>
      </w:r>
      <w:r w:rsidR="00DD6371" w:rsidRPr="00DD6371">
        <w:rPr>
          <w:rFonts w:ascii="Open Sans" w:hAnsi="Open Sans"/>
          <w:color w:val="000099"/>
        </w:rPr>
        <w:t>Objectifs et portée de l</w:t>
      </w:r>
      <w:r w:rsidR="00DD6371">
        <w:rPr>
          <w:rFonts w:ascii="Open Sans" w:hAnsi="Open Sans"/>
          <w:color w:val="000099"/>
        </w:rPr>
        <w:t>’évaluation</w:t>
      </w:r>
      <w:bookmarkEnd w:id="28"/>
      <w:r w:rsidR="00DD6371">
        <w:rPr>
          <w:rFonts w:ascii="Open Sans" w:hAnsi="Open Sans"/>
          <w:color w:val="000099"/>
        </w:rPr>
        <w:t xml:space="preserve"> </w:t>
      </w:r>
    </w:p>
    <w:p w14:paraId="04BB7006" w14:textId="55347844" w:rsidR="00162C22" w:rsidRPr="00925FBE" w:rsidRDefault="00162C22" w:rsidP="00047F49">
      <w:pPr>
        <w:spacing w:before="240" w:line="240" w:lineRule="auto"/>
        <w:jc w:val="both"/>
        <w:rPr>
          <w:szCs w:val="20"/>
        </w:rPr>
      </w:pPr>
      <w:r w:rsidRPr="00925FBE">
        <w:rPr>
          <w:szCs w:val="20"/>
        </w:rPr>
        <w:t>L’évaluation a pour objectif de :</w:t>
      </w:r>
    </w:p>
    <w:p w14:paraId="25C55340" w14:textId="77777777" w:rsidR="00162C22" w:rsidRPr="00925FBE" w:rsidRDefault="00162C22" w:rsidP="00357CD2">
      <w:pPr>
        <w:pStyle w:val="ListParagraph"/>
        <w:numPr>
          <w:ilvl w:val="0"/>
          <w:numId w:val="4"/>
        </w:numPr>
        <w:spacing w:before="60" w:after="0" w:line="240" w:lineRule="auto"/>
        <w:ind w:left="357" w:hanging="357"/>
        <w:contextualSpacing w:val="0"/>
        <w:jc w:val="both"/>
      </w:pPr>
      <w:r w:rsidRPr="00925FBE">
        <w:t>Évaluer la performance selon les critères du CAD (pertinence, cohérence, efficience, efficacité, impact et durabilité) ;</w:t>
      </w:r>
    </w:p>
    <w:p w14:paraId="1E177327" w14:textId="77777777" w:rsidR="00162C22" w:rsidRPr="00925FBE" w:rsidRDefault="00162C22" w:rsidP="00357CD2">
      <w:pPr>
        <w:pStyle w:val="ListParagraph"/>
        <w:numPr>
          <w:ilvl w:val="0"/>
          <w:numId w:val="4"/>
        </w:numPr>
        <w:spacing w:before="60" w:after="0" w:line="240" w:lineRule="auto"/>
        <w:ind w:left="357" w:hanging="357"/>
        <w:contextualSpacing w:val="0"/>
        <w:jc w:val="both"/>
      </w:pPr>
      <w:r w:rsidRPr="00925FBE">
        <w:t>Analyser la contribution du projet à la cohésion sociale, à la gouvernance locale, à la conservation de la forêt, aux moyens de subsistance durables, à la paix et à la sécurité dans la région de la Kibira ;</w:t>
      </w:r>
    </w:p>
    <w:p w14:paraId="04A95BCA" w14:textId="35609B9C" w:rsidR="00162C22" w:rsidRPr="00925FBE" w:rsidRDefault="00162C22" w:rsidP="00357CD2">
      <w:pPr>
        <w:pStyle w:val="ListParagraph"/>
        <w:numPr>
          <w:ilvl w:val="0"/>
          <w:numId w:val="4"/>
        </w:numPr>
        <w:spacing w:before="60" w:after="0" w:line="240" w:lineRule="auto"/>
        <w:ind w:left="357" w:hanging="357"/>
        <w:contextualSpacing w:val="0"/>
        <w:jc w:val="both"/>
      </w:pPr>
      <w:r w:rsidRPr="00925FBE">
        <w:lastRenderedPageBreak/>
        <w:t>Evaluer la contribution concrète du projet à la réduction des facteurs de conflit</w:t>
      </w:r>
      <w:r w:rsidR="00657D13">
        <w:t> ;</w:t>
      </w:r>
    </w:p>
    <w:p w14:paraId="703305D5" w14:textId="740FF01D" w:rsidR="00162C22" w:rsidRPr="00925FBE" w:rsidRDefault="00162C22" w:rsidP="00357CD2">
      <w:pPr>
        <w:pStyle w:val="ListParagraph"/>
        <w:numPr>
          <w:ilvl w:val="0"/>
          <w:numId w:val="4"/>
        </w:numPr>
        <w:spacing w:before="60" w:after="0" w:line="240" w:lineRule="auto"/>
        <w:ind w:left="357" w:hanging="357"/>
        <w:contextualSpacing w:val="0"/>
        <w:jc w:val="both"/>
      </w:pPr>
      <w:r w:rsidRPr="00925FBE">
        <w:t>Évaluer l’approche du projet en matière d’inclusion et d</w:t>
      </w:r>
      <w:r w:rsidR="0003335F">
        <w:t xml:space="preserve">e </w:t>
      </w:r>
      <w:proofErr w:type="gramStart"/>
      <w:r w:rsidR="0003335F">
        <w:t>l</w:t>
      </w:r>
      <w:r w:rsidR="00DD55A1">
        <w:t>’</w:t>
      </w:r>
      <w:r w:rsidR="0003335F">
        <w:t>équi</w:t>
      </w:r>
      <w:r w:rsidR="00B144B4">
        <w:t>libre</w:t>
      </w:r>
      <w:r w:rsidR="0003335F">
        <w:t xml:space="preserve"> </w:t>
      </w:r>
      <w:r w:rsidRPr="00925FBE">
        <w:t xml:space="preserve"> </w:t>
      </w:r>
      <w:r w:rsidR="00657D13">
        <w:t>genre</w:t>
      </w:r>
      <w:proofErr w:type="gramEnd"/>
      <w:r w:rsidR="00657D13">
        <w:t>;</w:t>
      </w:r>
    </w:p>
    <w:p w14:paraId="7073B815" w14:textId="227B7FE6" w:rsidR="00162C22" w:rsidRPr="00925FBE" w:rsidRDefault="00162C22" w:rsidP="00357CD2">
      <w:pPr>
        <w:pStyle w:val="ListParagraph"/>
        <w:numPr>
          <w:ilvl w:val="0"/>
          <w:numId w:val="4"/>
        </w:numPr>
        <w:spacing w:before="60" w:after="0" w:line="240" w:lineRule="auto"/>
        <w:ind w:left="357" w:hanging="357"/>
        <w:contextualSpacing w:val="0"/>
        <w:jc w:val="both"/>
      </w:pPr>
      <w:r w:rsidRPr="00925FBE">
        <w:t>Valider la théorie du changement du projet et l'efficacité des instruments mis en œuvre (Fondation Kibira, investissements PPP en énergies propres, mécanisme REDD+)</w:t>
      </w:r>
      <w:r w:rsidR="00F908C5">
        <w:t> ;</w:t>
      </w:r>
    </w:p>
    <w:p w14:paraId="2269F9A3" w14:textId="76E65BAA" w:rsidR="00162C22" w:rsidRPr="00925FBE" w:rsidRDefault="00162C22" w:rsidP="00357CD2">
      <w:pPr>
        <w:pStyle w:val="ListParagraph"/>
        <w:numPr>
          <w:ilvl w:val="0"/>
          <w:numId w:val="4"/>
        </w:numPr>
        <w:spacing w:before="60" w:after="0" w:line="240" w:lineRule="auto"/>
        <w:ind w:left="357" w:hanging="357"/>
        <w:contextualSpacing w:val="0"/>
        <w:jc w:val="both"/>
      </w:pPr>
      <w:r w:rsidRPr="00925FBE">
        <w:t>Examiner et valider le cadre des résultats de l'intervention et la contribution au cadre stratégique du UNCDF et au cadre de mesure des résultats des rapports intégrés</w:t>
      </w:r>
      <w:r w:rsidR="00F908C5">
        <w:t> ;</w:t>
      </w:r>
    </w:p>
    <w:p w14:paraId="569AAD5E" w14:textId="7E4B0141" w:rsidR="00162C22" w:rsidRPr="00925FBE" w:rsidRDefault="00162C22" w:rsidP="00357CD2">
      <w:pPr>
        <w:pStyle w:val="ListParagraph"/>
        <w:numPr>
          <w:ilvl w:val="0"/>
          <w:numId w:val="4"/>
        </w:numPr>
        <w:spacing w:before="60" w:after="0" w:line="240" w:lineRule="auto"/>
        <w:ind w:left="357" w:hanging="357"/>
        <w:contextualSpacing w:val="0"/>
        <w:jc w:val="both"/>
      </w:pPr>
      <w:r w:rsidRPr="00925FBE">
        <w:t xml:space="preserve">Mieux comprendre l'engagement et la collaboration du projet avec d'autres parties prenantes </w:t>
      </w:r>
      <w:r w:rsidR="00815797">
        <w:t xml:space="preserve">du Parc </w:t>
      </w:r>
      <w:proofErr w:type="gramStart"/>
      <w:r w:rsidR="00815797">
        <w:t xml:space="preserve">National </w:t>
      </w:r>
      <w:r w:rsidRPr="00925FBE">
        <w:t xml:space="preserve"> de</w:t>
      </w:r>
      <w:proofErr w:type="gramEnd"/>
      <w:r w:rsidRPr="00925FBE">
        <w:t xml:space="preserve"> Kibira</w:t>
      </w:r>
      <w:r w:rsidR="00F908C5">
        <w:t> ;</w:t>
      </w:r>
    </w:p>
    <w:p w14:paraId="06F9D01C" w14:textId="77777777" w:rsidR="00162C22" w:rsidRDefault="00162C22" w:rsidP="00357CD2">
      <w:pPr>
        <w:pStyle w:val="ListParagraph"/>
        <w:numPr>
          <w:ilvl w:val="0"/>
          <w:numId w:val="4"/>
        </w:numPr>
        <w:spacing w:before="60" w:after="0" w:line="240" w:lineRule="auto"/>
        <w:ind w:left="357" w:hanging="357"/>
        <w:contextualSpacing w:val="0"/>
        <w:jc w:val="both"/>
      </w:pPr>
      <w:r w:rsidRPr="00925FBE">
        <w:t>Documenter les apprentissages stratégiques et opérationnels pour informer une potentielle deuxième phase du projet et orienter les futures interventions de consolidation de la paix et de conservation environnementale dans des contextes similaires.</w:t>
      </w:r>
    </w:p>
    <w:p w14:paraId="3C0C5CB0" w14:textId="46BCB5B8" w:rsidR="00162C22" w:rsidRPr="00162C22" w:rsidRDefault="00791ABF" w:rsidP="00047F49">
      <w:pPr>
        <w:spacing w:after="0" w:line="240" w:lineRule="auto"/>
        <w:jc w:val="both"/>
      </w:pPr>
      <w:r>
        <w:t>En alignement avec ces objectifs, l</w:t>
      </w:r>
      <w:r w:rsidR="00162C22" w:rsidRPr="00162C22">
        <w:t xml:space="preserve">'évaluation </w:t>
      </w:r>
      <w:r>
        <w:t xml:space="preserve">a </w:t>
      </w:r>
      <w:r w:rsidR="00162C22" w:rsidRPr="00162C22">
        <w:t>adopt</w:t>
      </w:r>
      <w:r>
        <w:t>é</w:t>
      </w:r>
      <w:r w:rsidR="00162C22" w:rsidRPr="00162C22">
        <w:t xml:space="preserve"> une approche de méthodes mixtes basée sur la théorie du changement du projet, combinant techniques qualitatives et quantitatives pour assurer la robustesse des constats évaluatifs. </w:t>
      </w:r>
    </w:p>
    <w:p w14:paraId="414CA746" w14:textId="145190F1" w:rsidR="00162C22" w:rsidRPr="00162C22" w:rsidRDefault="00162C22" w:rsidP="00047F49">
      <w:pPr>
        <w:spacing w:line="240" w:lineRule="auto"/>
        <w:jc w:val="both"/>
      </w:pPr>
      <w:r w:rsidRPr="00162C22">
        <w:t xml:space="preserve">La stratégie méthodologique mobilise cinq catégories d'outils de collecte de données : revue documentaire approfondie, entretiens semi-structurés avec les parties prenantes clés, discussions de groupes focalisés avec les communautés bénéficiaires, observations directes sur le terrain, et analyse quantitative </w:t>
      </w:r>
      <w:r w:rsidR="00B008BA">
        <w:t>et quali</w:t>
      </w:r>
      <w:r w:rsidR="0006380B">
        <w:t xml:space="preserve">tative </w:t>
      </w:r>
      <w:r w:rsidRPr="00162C22">
        <w:t xml:space="preserve">des données de performance et financières. La triangulation systématique de ces sources permet de renforcer la validité des conclusions. L'évaluation développe trois études de cas approfondies sur les instruments innovants : </w:t>
      </w:r>
      <w:r w:rsidR="00791ABF">
        <w:t>L</w:t>
      </w:r>
      <w:r w:rsidRPr="00162C22">
        <w:t>'investissement direct par financement mixte, le mécanisme de PSE, et la Fondation Kibira comme instrument de gouvernance locale.</w:t>
      </w:r>
    </w:p>
    <w:p w14:paraId="34BA1261" w14:textId="1585F3A6" w:rsidR="00162C22" w:rsidRPr="00162C22" w:rsidRDefault="00162C22" w:rsidP="00047F49">
      <w:pPr>
        <w:spacing w:line="240" w:lineRule="auto"/>
        <w:jc w:val="both"/>
      </w:pPr>
      <w:r w:rsidRPr="00162C22">
        <w:t xml:space="preserve">L'évaluation couvre l'ensemble de la période de mise en œuvre du projet, depuis son démarrage en décembre 2021 jusqu'à la clôture prévue en décembre 2025, soit une durée totale de 4 ans. La couverture géographique s'étend le parc national de la Kibira </w:t>
      </w:r>
      <w:r w:rsidR="00791ABF">
        <w:t>et ses environs</w:t>
      </w:r>
      <w:r w:rsidRPr="00162C22">
        <w:t>. L'évaluation examine l'engagement et la participation de multiples catégories de parties prenantes à différents niveaux : international (UNCDF, PBF, agences ONU</w:t>
      </w:r>
      <w:r w:rsidR="00791ABF">
        <w:t>, partenaires techniques et financiers internationaux</w:t>
      </w:r>
      <w:r w:rsidRPr="00162C22">
        <w:t xml:space="preserve">), national (ministères, OBPE), provincial et local (autorités administratives), société civile (COH et </w:t>
      </w:r>
      <w:r w:rsidR="00CC509D">
        <w:t>ses partenaires</w:t>
      </w:r>
      <w:r w:rsidRPr="00162C22">
        <w:t xml:space="preserve">), secteur privé (entreprise </w:t>
      </w:r>
      <w:proofErr w:type="spellStart"/>
      <w:r w:rsidRPr="00162C22">
        <w:t>Hydroneo</w:t>
      </w:r>
      <w:proofErr w:type="spellEnd"/>
      <w:r w:rsidRPr="00162C22">
        <w:t>), et communautés bénéficiaires.</w:t>
      </w:r>
    </w:p>
    <w:p w14:paraId="615FE6EE" w14:textId="171B3856" w:rsidR="00162C22" w:rsidRPr="00162C22" w:rsidRDefault="00162C22" w:rsidP="00047F49">
      <w:pPr>
        <w:spacing w:line="240" w:lineRule="auto"/>
        <w:jc w:val="both"/>
      </w:pPr>
      <w:r w:rsidRPr="00162C22">
        <w:t xml:space="preserve">Conformément aux principes des Nations Unies et à l'agenda des ODD, l'évaluation intègre systématiquement les dimensions transversales prioritaires. Elle examine le respect et la promotion des droits humains particulièrement pour les populations marginalisées, avec une attention spécifique à l'inclusion effective des communautés </w:t>
      </w:r>
      <w:proofErr w:type="spellStart"/>
      <w:r w:rsidRPr="00162C22">
        <w:t>Batwa</w:t>
      </w:r>
      <w:proofErr w:type="spellEnd"/>
      <w:r w:rsidRPr="00162C22">
        <w:t xml:space="preserve">. L'analyse de </w:t>
      </w:r>
      <w:r w:rsidR="00A97CA7">
        <w:t xml:space="preserve">l’équilibre genre </w:t>
      </w:r>
      <w:r w:rsidRPr="00162C22">
        <w:t xml:space="preserve">couvre la prise en compte du genre dans la théorie du changement, la participation effective des femmes, les impacts différenciés, la budgétisation sensible au genre, et le renforcement </w:t>
      </w:r>
      <w:r w:rsidR="00A97CA7">
        <w:t xml:space="preserve">et l’autonomisation </w:t>
      </w:r>
      <w:r w:rsidRPr="00162C22">
        <w:t xml:space="preserve">des organisations de femmes. L'évaluation examine également l'inclusion des personnes </w:t>
      </w:r>
      <w:r w:rsidR="00A97CA7">
        <w:t xml:space="preserve">vivant avec </w:t>
      </w:r>
      <w:r w:rsidRPr="00162C22">
        <w:t>handicap et des jeunes, la mise en œuvre des sauvegardes environnementales et sociales, ainsi que la sensibilité aux conflits des approches déployées dans le contexte post-conflit burundais.</w:t>
      </w:r>
    </w:p>
    <w:p w14:paraId="372B348B" w14:textId="2142E244" w:rsidR="00162C22" w:rsidRPr="00162C22" w:rsidRDefault="00162C22" w:rsidP="00047F49">
      <w:pPr>
        <w:spacing w:line="240" w:lineRule="auto"/>
        <w:jc w:val="both"/>
      </w:pPr>
      <w:r w:rsidRPr="00162C22">
        <w:t xml:space="preserve">Le présent rapport est structuré pour répondre de façon claire et exhaustive aux besoins informationnels des différents utilisateurs. Après ce premier chapitre présentant la portée et les objectifs, le chapitre 2 décrit le profil du projet et son contexte d'intervention. Le chapitre 3 détaille l'approche et la méthodologie d'évaluation. Le chapitre 4 présente les </w:t>
      </w:r>
      <w:r w:rsidR="00CC509D">
        <w:t>résultats</w:t>
      </w:r>
      <w:r w:rsidRPr="00162C22">
        <w:t xml:space="preserve"> selon les six critères du CAD de l'OCDE. Le chapitre 5 synthétise les principales conclusions</w:t>
      </w:r>
      <w:r w:rsidR="00CC509D">
        <w:t xml:space="preserve"> et présente les </w:t>
      </w:r>
      <w:r w:rsidRPr="00162C22">
        <w:t xml:space="preserve">recommandations </w:t>
      </w:r>
      <w:r w:rsidR="00CC509D">
        <w:t>et</w:t>
      </w:r>
      <w:r w:rsidRPr="00162C22">
        <w:t xml:space="preserve"> les leçons apprises. </w:t>
      </w:r>
      <w:r w:rsidR="00FE16B6">
        <w:t>Enfin, l</w:t>
      </w:r>
      <w:r w:rsidR="00CC509D">
        <w:t xml:space="preserve">e chapitre </w:t>
      </w:r>
      <w:r w:rsidR="00FE16B6">
        <w:t>6</w:t>
      </w:r>
      <w:r w:rsidR="00CC509D">
        <w:t xml:space="preserve"> </w:t>
      </w:r>
      <w:r w:rsidR="00AE1B33">
        <w:t xml:space="preserve">fait un focus sur les aspects Genre et respect des droits humains. </w:t>
      </w:r>
    </w:p>
    <w:p w14:paraId="1C7672B4" w14:textId="01193CE1" w:rsidR="2F8012CE" w:rsidRPr="00925FBE" w:rsidRDefault="2F8012CE" w:rsidP="00047F49">
      <w:pPr>
        <w:spacing w:line="240" w:lineRule="auto"/>
        <w:jc w:val="both"/>
      </w:pPr>
    </w:p>
    <w:p w14:paraId="19C0957C" w14:textId="77777777" w:rsidR="002F4936" w:rsidRPr="00925FBE" w:rsidRDefault="002F4936" w:rsidP="00047F49">
      <w:pPr>
        <w:spacing w:line="240" w:lineRule="auto"/>
        <w:jc w:val="both"/>
        <w:sectPr w:rsidR="002F4936" w:rsidRPr="00925FBE" w:rsidSect="00744F3B">
          <w:footerReference w:type="default" r:id="rId19"/>
          <w:pgSz w:w="11906" w:h="16838" w:code="9"/>
          <w:pgMar w:top="1440" w:right="1440" w:bottom="1440" w:left="1440" w:header="720" w:footer="720" w:gutter="0"/>
          <w:pgNumType w:start="1"/>
          <w:cols w:space="720"/>
          <w:docGrid w:linePitch="360"/>
        </w:sectPr>
      </w:pPr>
    </w:p>
    <w:p w14:paraId="0C33882C" w14:textId="0A06F830" w:rsidR="00E92FA2" w:rsidRDefault="00F04135" w:rsidP="00047F49">
      <w:pPr>
        <w:pStyle w:val="Heading1"/>
        <w:rPr>
          <w:rFonts w:ascii="Open Sans" w:hAnsi="Open Sans"/>
        </w:rPr>
      </w:pPr>
      <w:bookmarkStart w:id="29" w:name="_Toc216948963"/>
      <w:r>
        <w:rPr>
          <w:rFonts w:ascii="Open Sans" w:hAnsi="Open Sans"/>
        </w:rPr>
        <w:lastRenderedPageBreak/>
        <w:t>Profil du projet</w:t>
      </w:r>
      <w:bookmarkEnd w:id="29"/>
      <w:r>
        <w:rPr>
          <w:rFonts w:ascii="Open Sans" w:hAnsi="Open Sans"/>
        </w:rPr>
        <w:t xml:space="preserve"> </w:t>
      </w:r>
    </w:p>
    <w:p w14:paraId="750E496E" w14:textId="77777777" w:rsidR="00F04135" w:rsidRPr="00F04135" w:rsidRDefault="00F04135" w:rsidP="00047F49">
      <w:pPr>
        <w:spacing w:line="240" w:lineRule="auto"/>
      </w:pPr>
    </w:p>
    <w:p w14:paraId="2FFBB675" w14:textId="6EA4AD4A" w:rsidR="00BE29A7" w:rsidRPr="00F04135" w:rsidRDefault="00BE29A7" w:rsidP="00047F49">
      <w:pPr>
        <w:pStyle w:val="OEVtext"/>
        <w:numPr>
          <w:ilvl w:val="0"/>
          <w:numId w:val="0"/>
        </w:numPr>
        <w:jc w:val="both"/>
        <w:rPr>
          <w:rFonts w:eastAsiaTheme="majorEastAsia" w:cstheme="majorBidi"/>
          <w:b/>
          <w:bCs w:val="0"/>
          <w:caps/>
          <w:color w:val="000099"/>
          <w:kern w:val="0"/>
          <w:sz w:val="22"/>
          <w:szCs w:val="26"/>
          <w:lang w:val="fr-FR" w:eastAsia="en-US"/>
          <w14:cntxtAlts w14:val="0"/>
        </w:rPr>
      </w:pPr>
      <w:bookmarkStart w:id="30" w:name="_Hlk55983843"/>
      <w:r w:rsidRPr="00F04135">
        <w:rPr>
          <w:rFonts w:eastAsiaTheme="majorEastAsia" w:cstheme="majorBidi"/>
          <w:b/>
          <w:bCs w:val="0"/>
          <w:caps/>
          <w:color w:val="000099"/>
          <w:kern w:val="0"/>
          <w:sz w:val="22"/>
          <w:szCs w:val="26"/>
          <w:lang w:val="fr-FR" w:eastAsia="en-US"/>
          <w14:cntxtAlts w14:val="0"/>
        </w:rPr>
        <w:t xml:space="preserve">2.1 description, </w:t>
      </w:r>
      <w:r w:rsidRPr="005B7335">
        <w:rPr>
          <w:rFonts w:eastAsiaTheme="majorEastAsia" w:cstheme="majorBidi"/>
          <w:b/>
          <w:bCs w:val="0"/>
          <w:caps/>
          <w:color w:val="000099"/>
          <w:kern w:val="0"/>
          <w:sz w:val="22"/>
          <w:szCs w:val="26"/>
          <w:lang w:val="fr-FR" w:eastAsia="en-US"/>
          <w14:cntxtAlts w14:val="0"/>
        </w:rPr>
        <w:t>strat</w:t>
      </w:r>
      <w:r w:rsidR="00246A6C" w:rsidRPr="005B7335">
        <w:rPr>
          <w:rFonts w:eastAsiaTheme="majorEastAsia" w:cstheme="majorBidi"/>
          <w:b/>
          <w:bCs w:val="0"/>
          <w:caps/>
          <w:color w:val="000099"/>
          <w:kern w:val="0"/>
          <w:sz w:val="22"/>
          <w:szCs w:val="26"/>
          <w:lang w:val="fr-FR" w:eastAsia="en-US"/>
          <w14:cntxtAlts w14:val="0"/>
        </w:rPr>
        <w:t>é</w:t>
      </w:r>
      <w:r w:rsidRPr="005B7335">
        <w:rPr>
          <w:rFonts w:eastAsiaTheme="majorEastAsia" w:cstheme="majorBidi"/>
          <w:b/>
          <w:bCs w:val="0"/>
          <w:caps/>
          <w:color w:val="000099"/>
          <w:kern w:val="0"/>
          <w:sz w:val="22"/>
          <w:szCs w:val="26"/>
          <w:lang w:val="fr-FR" w:eastAsia="en-US"/>
          <w14:cntxtAlts w14:val="0"/>
        </w:rPr>
        <w:t>g</w:t>
      </w:r>
      <w:r w:rsidR="00F04135" w:rsidRPr="005B7335">
        <w:rPr>
          <w:rFonts w:eastAsiaTheme="majorEastAsia" w:cstheme="majorBidi"/>
          <w:b/>
          <w:bCs w:val="0"/>
          <w:caps/>
          <w:color w:val="000099"/>
          <w:kern w:val="0"/>
          <w:sz w:val="22"/>
          <w:szCs w:val="26"/>
          <w:lang w:val="fr-FR" w:eastAsia="en-US"/>
          <w14:cntxtAlts w14:val="0"/>
        </w:rPr>
        <w:t>ie</w:t>
      </w:r>
      <w:r w:rsidR="00F04135" w:rsidRPr="00F04135">
        <w:rPr>
          <w:rFonts w:eastAsiaTheme="majorEastAsia" w:cstheme="majorBidi"/>
          <w:b/>
          <w:bCs w:val="0"/>
          <w:caps/>
          <w:color w:val="000099"/>
          <w:kern w:val="0"/>
          <w:sz w:val="22"/>
          <w:szCs w:val="26"/>
          <w:lang w:val="fr-FR" w:eastAsia="en-US"/>
          <w14:cntxtAlts w14:val="0"/>
        </w:rPr>
        <w:t xml:space="preserve"> et contexte du projet </w:t>
      </w:r>
    </w:p>
    <w:p w14:paraId="0A650328" w14:textId="77777777" w:rsidR="00246A6C" w:rsidRDefault="00246A6C" w:rsidP="00047F49">
      <w:pPr>
        <w:pStyle w:val="CommentText"/>
        <w:jc w:val="both"/>
        <w:rPr>
          <w:rStyle w:val="markedcontent"/>
          <w:rFonts w:cs="Open Sans"/>
          <w:b/>
          <w:bCs/>
        </w:rPr>
      </w:pPr>
    </w:p>
    <w:p w14:paraId="79660A08" w14:textId="77777777" w:rsidR="00246A6C" w:rsidRPr="00246A6C" w:rsidRDefault="00246A6C" w:rsidP="00047F49">
      <w:pPr>
        <w:pStyle w:val="CommentText"/>
        <w:jc w:val="both"/>
        <w:rPr>
          <w:rFonts w:cs="Open Sans"/>
          <w:b/>
          <w:bCs/>
          <w:color w:val="000099"/>
        </w:rPr>
      </w:pPr>
      <w:r w:rsidRPr="00246A6C">
        <w:rPr>
          <w:rFonts w:cs="Open Sans"/>
          <w:b/>
          <w:bCs/>
          <w:color w:val="000099"/>
        </w:rPr>
        <w:t>Contexte d'intervention</w:t>
      </w:r>
    </w:p>
    <w:p w14:paraId="69FF5FB1" w14:textId="5543A821" w:rsidR="000D4CE0" w:rsidRPr="00EA640A" w:rsidRDefault="00246A6C" w:rsidP="00047F49">
      <w:pPr>
        <w:spacing w:line="240" w:lineRule="auto"/>
        <w:jc w:val="both"/>
      </w:pPr>
      <w:r w:rsidRPr="00EA640A">
        <w:t xml:space="preserve">Le projet "Kibira Sanctuaire de Paix" s'inscrit dans le contexte complexe de la région des Grands Lacs d'Afrique, où les forêts sont enchevêtrées dans des dynamiques de conflit, </w:t>
      </w:r>
      <w:r w:rsidR="000D4CE0" w:rsidRPr="00EA640A">
        <w:t>servant</w:t>
      </w:r>
      <w:r w:rsidRPr="00EA640A">
        <w:t xml:space="preserve"> </w:t>
      </w:r>
      <w:r w:rsidR="000D4CE0" w:rsidRPr="00EA640A">
        <w:t xml:space="preserve">pour les groupes armés </w:t>
      </w:r>
      <w:r w:rsidRPr="00EA640A">
        <w:t>à la fois comme ressources</w:t>
      </w:r>
      <w:r w:rsidR="000D4CE0" w:rsidRPr="00EA640A">
        <w:t xml:space="preserve">, mais également comme lieu de refuge. Ces forêts ont subi également une dégradation intense liée aux activités illégales de braconnage et de trafic de ressources. </w:t>
      </w:r>
      <w:r w:rsidRPr="00EA640A">
        <w:t xml:space="preserve"> </w:t>
      </w:r>
    </w:p>
    <w:p w14:paraId="5A9BCC57" w14:textId="0A4CED26" w:rsidR="00246A6C" w:rsidRPr="00EA640A" w:rsidRDefault="00246A6C" w:rsidP="00047F49">
      <w:pPr>
        <w:spacing w:line="240" w:lineRule="auto"/>
        <w:jc w:val="both"/>
      </w:pPr>
      <w:r w:rsidRPr="00EA640A">
        <w:t xml:space="preserve">Le parc national de la Kibira au Burundi, forêt tropicale biodiversifiée s'étendant sur 40 000 hectares, joue un rôle crucial dans l'hydrologie régionale et le contrôle de l'érosion. Cependant, il a été historiquement exploité par des groupes armés qui l'ont utilisé comme base, voie d'évasion et source de revenus. Bien que la situation sécuritaire se soit améliorée, la forêt fait face à une dégradation continue due à la déforestation, </w:t>
      </w:r>
      <w:r w:rsidR="003D78A7">
        <w:t>à l’agricu</w:t>
      </w:r>
      <w:r w:rsidR="00324A84">
        <w:t xml:space="preserve">lture à l’intérieur du parc, </w:t>
      </w:r>
      <w:r w:rsidRPr="00EA640A">
        <w:t>au braconnage et au changement climatique, impactant la sécurité alimentaire et les moyens de subsistance des populations locales.</w:t>
      </w:r>
      <w:r w:rsidR="00C80D5A">
        <w:t xml:space="preserve"> Depuis la crise de 1993, certain</w:t>
      </w:r>
      <w:r w:rsidR="00186659">
        <w:t>e</w:t>
      </w:r>
      <w:r w:rsidR="00C80D5A">
        <w:t xml:space="preserve">s populations </w:t>
      </w:r>
      <w:r w:rsidR="00186659">
        <w:t>et personnes se sont introduites à l’</w:t>
      </w:r>
      <w:r w:rsidR="002912E7">
        <w:t>intérieur</w:t>
      </w:r>
      <w:r w:rsidR="00186659">
        <w:t xml:space="preserve"> du pa</w:t>
      </w:r>
      <w:r w:rsidR="002912E7">
        <w:t xml:space="preserve">rc </w:t>
      </w:r>
      <w:r w:rsidR="00186659">
        <w:t xml:space="preserve">pour y exercer les </w:t>
      </w:r>
      <w:r w:rsidR="002912E7">
        <w:t>activités</w:t>
      </w:r>
      <w:r w:rsidR="00186659">
        <w:t xml:space="preserve"> agricoles </w:t>
      </w:r>
      <w:r w:rsidR="002912E7">
        <w:t>et même minières de manière illégale.</w:t>
      </w:r>
    </w:p>
    <w:p w14:paraId="25FB1420" w14:textId="74CCC410" w:rsidR="00246A6C" w:rsidRDefault="00246A6C" w:rsidP="00047F49">
      <w:pPr>
        <w:spacing w:line="240" w:lineRule="auto"/>
        <w:jc w:val="both"/>
      </w:pPr>
      <w:r w:rsidRPr="00EA640A">
        <w:t xml:space="preserve">Sur le plan politique et institutionnel, le Burundi dispose d'un cadre favorable avec le Plan National de Développement (PND) 2018-2027 révisé et la Stratégie Nationale de Consolidation de la Paix. </w:t>
      </w:r>
      <w:r w:rsidR="00A9720A">
        <w:t>Il disp</w:t>
      </w:r>
      <w:r w:rsidR="001A5E21">
        <w:t xml:space="preserve">ose </w:t>
      </w:r>
      <w:r w:rsidR="00A9720A">
        <w:t>éga</w:t>
      </w:r>
      <w:r w:rsidR="001A5E21">
        <w:t>le</w:t>
      </w:r>
      <w:r w:rsidR="00A9720A">
        <w:t xml:space="preserve">ment d’une vision « Burundi pays </w:t>
      </w:r>
      <w:r w:rsidR="001A5E21">
        <w:t>émergent</w:t>
      </w:r>
      <w:r w:rsidR="00A9720A">
        <w:t xml:space="preserve"> en 2040 et pays </w:t>
      </w:r>
      <w:r w:rsidR="001A5E21">
        <w:t>développé</w:t>
      </w:r>
      <w:r w:rsidR="00A9720A">
        <w:t xml:space="preserve"> en 2</w:t>
      </w:r>
      <w:r w:rsidR="001A5E21">
        <w:t xml:space="preserve">060 ». </w:t>
      </w:r>
      <w:r w:rsidRPr="00EA640A">
        <w:t xml:space="preserve">L'Office Burundais pour la Protection de l'Environnement (OBPE), autorité de gestion du parc, fait face à des défis de capacités techniques et financières pour assurer une conservation efficace. Le contexte social est marqué par la marginalisation historique des communautés </w:t>
      </w:r>
      <w:proofErr w:type="spellStart"/>
      <w:r w:rsidRPr="00EA640A">
        <w:t>Batwa</w:t>
      </w:r>
      <w:proofErr w:type="spellEnd"/>
      <w:r w:rsidRPr="00EA640A">
        <w:t xml:space="preserve"> (peuple autochtone) dont le mode de vie traditionnel est menacé, et par des tensions entre communautés locales et autorités du parc liées à l'accès aux ressources forestières.</w:t>
      </w:r>
    </w:p>
    <w:p w14:paraId="550ECBD9" w14:textId="364C5E89" w:rsidR="00430C50" w:rsidRDefault="00430C50" w:rsidP="00047F49">
      <w:pPr>
        <w:spacing w:line="240" w:lineRule="auto"/>
        <w:jc w:val="both"/>
      </w:pPr>
      <w:r>
        <w:t>Sur le plan sous-régi</w:t>
      </w:r>
      <w:r w:rsidR="002753CF">
        <w:t>o</w:t>
      </w:r>
      <w:r>
        <w:t>na</w:t>
      </w:r>
      <w:r w:rsidR="002753CF">
        <w:t>l</w:t>
      </w:r>
      <w:r w:rsidR="004E312D">
        <w:t xml:space="preserve"> et dans l</w:t>
      </w:r>
      <w:r w:rsidR="00116015">
        <w:t xml:space="preserve">e </w:t>
      </w:r>
      <w:r w:rsidR="004E312D">
        <w:t xml:space="preserve">cadre de la promotion de la </w:t>
      </w:r>
      <w:r w:rsidR="00116015">
        <w:t>paix</w:t>
      </w:r>
      <w:r w:rsidR="0014410D">
        <w:t>,</w:t>
      </w:r>
      <w:r w:rsidR="00116015">
        <w:t xml:space="preserve"> </w:t>
      </w:r>
      <w:r>
        <w:t>le Par</w:t>
      </w:r>
      <w:r w:rsidR="002753CF">
        <w:t>c</w:t>
      </w:r>
      <w:r>
        <w:t xml:space="preserve"> </w:t>
      </w:r>
      <w:r w:rsidR="002753CF">
        <w:t xml:space="preserve">National </w:t>
      </w:r>
      <w:r>
        <w:t>de la Kibira fa</w:t>
      </w:r>
      <w:r w:rsidR="002753CF">
        <w:t>is</w:t>
      </w:r>
      <w:r w:rsidR="00BC01DA">
        <w:t>a</w:t>
      </w:r>
      <w:r w:rsidR="002753CF">
        <w:t xml:space="preserve">it </w:t>
      </w:r>
      <w:r>
        <w:t>partie</w:t>
      </w:r>
      <w:r w:rsidR="0014410D">
        <w:t>,</w:t>
      </w:r>
      <w:r>
        <w:t xml:space="preserve"> </w:t>
      </w:r>
      <w:r w:rsidR="00116015">
        <w:t xml:space="preserve">depuis 2000, </w:t>
      </w:r>
      <w:r>
        <w:t>de l’initiat</w:t>
      </w:r>
      <w:r w:rsidR="002753CF">
        <w:t>i</w:t>
      </w:r>
      <w:r>
        <w:t>ve Parcs pour</w:t>
      </w:r>
      <w:r w:rsidR="002753CF">
        <w:t xml:space="preserve"> la Paix dans </w:t>
      </w:r>
      <w:r>
        <w:t>les pays de</w:t>
      </w:r>
      <w:r w:rsidR="00244DE4">
        <w:t xml:space="preserve">s Grands </w:t>
      </w:r>
      <w:r w:rsidR="0014410D">
        <w:t xml:space="preserve">Lacs, </w:t>
      </w:r>
      <w:r w:rsidR="00244DE4">
        <w:t xml:space="preserve">qui </w:t>
      </w:r>
      <w:r w:rsidR="00BC01DA">
        <w:t>fac</w:t>
      </w:r>
      <w:r w:rsidR="00040247">
        <w:t>i</w:t>
      </w:r>
      <w:r w:rsidR="00BC01DA">
        <w:t>lit</w:t>
      </w:r>
      <w:r w:rsidR="00040247">
        <w:t xml:space="preserve">ait l’interconnectivité entre trois </w:t>
      </w:r>
      <w:r w:rsidR="00244DE4">
        <w:t>parcs (</w:t>
      </w:r>
      <w:r w:rsidR="00292F6C">
        <w:t>Parc nationa</w:t>
      </w:r>
      <w:r w:rsidR="00040247">
        <w:t xml:space="preserve">l </w:t>
      </w:r>
      <w:r w:rsidR="00292F6C">
        <w:t>des Volca</w:t>
      </w:r>
      <w:r w:rsidR="00040247">
        <w:t xml:space="preserve">ns </w:t>
      </w:r>
      <w:r w:rsidR="00292F6C">
        <w:t>au Rwan</w:t>
      </w:r>
      <w:r w:rsidR="0018223A">
        <w:t>da</w:t>
      </w:r>
      <w:r w:rsidR="00292F6C">
        <w:t>, Parc National des Virunga en RDC et P</w:t>
      </w:r>
      <w:r w:rsidR="00BC01DA">
        <w:t>arc Nationa</w:t>
      </w:r>
      <w:r w:rsidR="0018223A">
        <w:t>l</w:t>
      </w:r>
      <w:r w:rsidR="00BC01DA">
        <w:t xml:space="preserve"> de la </w:t>
      </w:r>
      <w:proofErr w:type="spellStart"/>
      <w:r w:rsidR="00BC01DA">
        <w:t>Kibiria</w:t>
      </w:r>
      <w:proofErr w:type="spellEnd"/>
      <w:r w:rsidR="00BC01DA">
        <w:t>. L’</w:t>
      </w:r>
      <w:r w:rsidR="0018223A">
        <w:t>initia</w:t>
      </w:r>
      <w:r w:rsidR="0014410D">
        <w:t>tive</w:t>
      </w:r>
      <w:r w:rsidR="00BC01DA">
        <w:t xml:space="preserve"> était fac</w:t>
      </w:r>
      <w:r w:rsidR="0018223A">
        <w:t>ilité</w:t>
      </w:r>
      <w:r w:rsidR="0014410D">
        <w:t>e</w:t>
      </w:r>
      <w:r w:rsidR="00BC01DA">
        <w:t xml:space="preserve"> par le Bureau </w:t>
      </w:r>
      <w:r w:rsidR="0018223A">
        <w:t>régional</w:t>
      </w:r>
      <w:r w:rsidR="00BC01DA">
        <w:t xml:space="preserve"> de l’UICN pour l’Afrique </w:t>
      </w:r>
      <w:r w:rsidR="0018223A">
        <w:t>centrale</w:t>
      </w:r>
      <w:r w:rsidR="00BC01DA">
        <w:t xml:space="preserve"> et fi</w:t>
      </w:r>
      <w:r w:rsidR="0018223A">
        <w:t xml:space="preserve">nancée </w:t>
      </w:r>
      <w:r w:rsidR="00BC01DA">
        <w:t>par la Fondation Mac Arthur</w:t>
      </w:r>
      <w:r w:rsidR="00B53F2A">
        <w:t>.</w:t>
      </w:r>
      <w:r>
        <w:t xml:space="preserve"> </w:t>
      </w:r>
    </w:p>
    <w:p w14:paraId="47525F55" w14:textId="77777777" w:rsidR="007F4BCF" w:rsidRPr="004C4E82" w:rsidRDefault="007F4BCF" w:rsidP="00047F49">
      <w:pPr>
        <w:spacing w:line="240" w:lineRule="auto"/>
        <w:jc w:val="both"/>
        <w:rPr>
          <w:sz w:val="10"/>
          <w:szCs w:val="10"/>
        </w:rPr>
      </w:pPr>
    </w:p>
    <w:p w14:paraId="2C3FE665" w14:textId="0E006552" w:rsidR="00246A6C" w:rsidRPr="00246A6C" w:rsidRDefault="00246A6C" w:rsidP="00047F49">
      <w:pPr>
        <w:pStyle w:val="CommentText"/>
        <w:spacing w:before="240"/>
        <w:jc w:val="both"/>
        <w:rPr>
          <w:rFonts w:cs="Open Sans"/>
          <w:b/>
          <w:bCs/>
          <w:color w:val="000099"/>
        </w:rPr>
      </w:pPr>
      <w:r w:rsidRPr="00246A6C">
        <w:rPr>
          <w:rFonts w:cs="Open Sans"/>
          <w:b/>
          <w:bCs/>
          <w:color w:val="000099"/>
        </w:rPr>
        <w:t xml:space="preserve">Description du projet et problématique </w:t>
      </w:r>
      <w:r w:rsidR="004B6ED6">
        <w:rPr>
          <w:rFonts w:cs="Open Sans"/>
          <w:b/>
          <w:bCs/>
          <w:color w:val="000099"/>
        </w:rPr>
        <w:t>visée</w:t>
      </w:r>
    </w:p>
    <w:p w14:paraId="2A767135" w14:textId="77777777" w:rsidR="00246A6C" w:rsidRPr="00EA640A" w:rsidRDefault="00246A6C" w:rsidP="00047F49">
      <w:pPr>
        <w:spacing w:line="240" w:lineRule="auto"/>
        <w:jc w:val="both"/>
      </w:pPr>
      <w:r w:rsidRPr="00EA640A">
        <w:t>Le projet "Kibira Sanctuaire de Paix" est une intervention innovante mise en œuvre par l'UNCDF avec le financement du Fonds pour la consolidation de la paix (PBF), d'un budget de 3 millions USD sur une période de 4 ans (décembre 2021 - décembre 2025, incluant une extension d'un an sans coûts additionnels). Le projet s'attaque aux causes profondes de l'instabilité dans la région en soutenant des interventions conjointes de consolidation de la paix et de conservation dans et autour du parc national de la Kibira.</w:t>
      </w:r>
    </w:p>
    <w:p w14:paraId="1CE1C0CB" w14:textId="2AD38F2E" w:rsidR="00246A6C" w:rsidRDefault="00246A6C" w:rsidP="00047F49">
      <w:pPr>
        <w:spacing w:line="240" w:lineRule="auto"/>
        <w:jc w:val="both"/>
      </w:pPr>
      <w:r w:rsidRPr="00EA640A">
        <w:t xml:space="preserve">Le projet </w:t>
      </w:r>
      <w:r w:rsidR="002F0328" w:rsidRPr="00EA640A">
        <w:t>s’attaque à</w:t>
      </w:r>
      <w:r w:rsidRPr="00EA640A">
        <w:t xml:space="preserve"> un problème de développement complexe : le lien entre ressources naturelles et conflits qui a favorisé les injustices sociales et les inégalités économiques dues à la faiblesse de la gouvernance, au manque d'infrastructures et à la présence passée de groupes armés. Une gestion efficace du parc nécessite une </w:t>
      </w:r>
      <w:r w:rsidR="002912E7">
        <w:t>véritable cogestion</w:t>
      </w:r>
      <w:r w:rsidRPr="00EA640A">
        <w:t xml:space="preserve">, des sources de revenus </w:t>
      </w:r>
      <w:r w:rsidRPr="00EA640A">
        <w:lastRenderedPageBreak/>
        <w:t xml:space="preserve">durables et l'implication des communautés locales, y compris les </w:t>
      </w:r>
      <w:proofErr w:type="spellStart"/>
      <w:r w:rsidRPr="00EA640A">
        <w:t>Batwa</w:t>
      </w:r>
      <w:proofErr w:type="spellEnd"/>
      <w:r w:rsidR="00331D34" w:rsidRPr="00EA640A">
        <w:t xml:space="preserve"> (populations autochtones)</w:t>
      </w:r>
      <w:r w:rsidRPr="00EA640A">
        <w:t>, dans les stratégies de gestion et les programmes d'amélioration des moyens de subsistance.</w:t>
      </w:r>
    </w:p>
    <w:p w14:paraId="705F3B53" w14:textId="77777777" w:rsidR="007F4BCF" w:rsidRPr="004C4E82" w:rsidRDefault="007F4BCF" w:rsidP="00047F49">
      <w:pPr>
        <w:spacing w:line="240" w:lineRule="auto"/>
        <w:jc w:val="both"/>
        <w:rPr>
          <w:sz w:val="10"/>
          <w:szCs w:val="10"/>
        </w:rPr>
      </w:pPr>
    </w:p>
    <w:p w14:paraId="7A0E4BB8" w14:textId="1734599F" w:rsidR="00246A6C" w:rsidRPr="00246A6C" w:rsidRDefault="00246A6C" w:rsidP="00047F49">
      <w:pPr>
        <w:pStyle w:val="CommentText"/>
        <w:jc w:val="both"/>
        <w:rPr>
          <w:rFonts w:cs="Open Sans"/>
          <w:b/>
          <w:bCs/>
          <w:color w:val="000099"/>
        </w:rPr>
      </w:pPr>
      <w:r w:rsidRPr="00246A6C">
        <w:rPr>
          <w:rFonts w:cs="Open Sans"/>
          <w:b/>
          <w:bCs/>
          <w:color w:val="000099"/>
        </w:rPr>
        <w:t>Théorie du changement et cadre de résultats</w:t>
      </w:r>
    </w:p>
    <w:p w14:paraId="117BC503" w14:textId="2AFFA1A2" w:rsidR="00246A6C" w:rsidRPr="00246A6C" w:rsidRDefault="00246A6C" w:rsidP="00047F49">
      <w:pPr>
        <w:pStyle w:val="CommentText"/>
        <w:jc w:val="both"/>
        <w:rPr>
          <w:rFonts w:cs="Open Sans"/>
        </w:rPr>
      </w:pPr>
      <w:r w:rsidRPr="00246A6C">
        <w:rPr>
          <w:rFonts w:cs="Open Sans"/>
        </w:rPr>
        <w:t>La théorie du changement du projet repose sur l'hypothèse centrale que la conservation environnementale et la consolidation de la paix peuvent se renforcer mutuellement à travers un modèle de financement mixte durable. Le projet vise à assurer une paix et un impact de conservation durables au Burundi grâce à des interventions REDD+.</w:t>
      </w:r>
    </w:p>
    <w:p w14:paraId="5441BE9C" w14:textId="77777777" w:rsidR="00246A6C" w:rsidRPr="00246A6C" w:rsidRDefault="00246A6C" w:rsidP="00047F49">
      <w:pPr>
        <w:pStyle w:val="CommentText"/>
        <w:jc w:val="both"/>
        <w:rPr>
          <w:rFonts w:cs="Open Sans"/>
        </w:rPr>
      </w:pPr>
      <w:r w:rsidRPr="00246A6C">
        <w:rPr>
          <w:rFonts w:cs="Open Sans"/>
        </w:rPr>
        <w:t>La logique d'intervention s'articule autour de cinq actions stratégiques interdépendantes :</w:t>
      </w:r>
    </w:p>
    <w:p w14:paraId="793A3B30" w14:textId="11983349" w:rsidR="00246A6C" w:rsidRPr="00246A6C" w:rsidRDefault="00246A6C" w:rsidP="00357CD2">
      <w:pPr>
        <w:pStyle w:val="CommentText"/>
        <w:numPr>
          <w:ilvl w:val="0"/>
          <w:numId w:val="5"/>
        </w:numPr>
        <w:jc w:val="both"/>
        <w:rPr>
          <w:rFonts w:cs="Open Sans"/>
        </w:rPr>
      </w:pPr>
      <w:r w:rsidRPr="00246A6C">
        <w:rPr>
          <w:rFonts w:cs="Open Sans"/>
        </w:rPr>
        <w:t>Collaboration avec le gouvernement et les acteurs locaux pour créer la Fondation Kibira - entité de gouvernance participative du parc</w:t>
      </w:r>
      <w:r w:rsidR="00331D34">
        <w:rPr>
          <w:rFonts w:cs="Open Sans"/>
        </w:rPr>
        <w:t> ;</w:t>
      </w:r>
    </w:p>
    <w:p w14:paraId="49FD9C72" w14:textId="750BBFB8" w:rsidR="00246A6C" w:rsidRPr="00246A6C" w:rsidRDefault="00246A6C" w:rsidP="00357CD2">
      <w:pPr>
        <w:pStyle w:val="CommentText"/>
        <w:numPr>
          <w:ilvl w:val="0"/>
          <w:numId w:val="5"/>
        </w:numPr>
        <w:jc w:val="both"/>
        <w:rPr>
          <w:rFonts w:cs="Open Sans"/>
        </w:rPr>
      </w:pPr>
      <w:r w:rsidRPr="00246A6C">
        <w:rPr>
          <w:rFonts w:cs="Open Sans"/>
        </w:rPr>
        <w:t>Ancrage d'investissements PPP en énergies propres</w:t>
      </w:r>
      <w:r w:rsidR="00331D34">
        <w:rPr>
          <w:rFonts w:cs="Open Sans"/>
        </w:rPr>
        <w:t> : I</w:t>
      </w:r>
      <w:r w:rsidRPr="00246A6C">
        <w:rPr>
          <w:rFonts w:cs="Open Sans"/>
        </w:rPr>
        <w:t xml:space="preserve">nvestissement direct de 1,5 M USD dans le projet hydroélectrique de </w:t>
      </w:r>
      <w:proofErr w:type="spellStart"/>
      <w:r w:rsidRPr="00246A6C">
        <w:rPr>
          <w:rFonts w:cs="Open Sans"/>
        </w:rPr>
        <w:t>Mpanda</w:t>
      </w:r>
      <w:proofErr w:type="spellEnd"/>
      <w:r w:rsidRPr="00246A6C">
        <w:rPr>
          <w:rFonts w:cs="Open Sans"/>
        </w:rPr>
        <w:t xml:space="preserve"> pour assurer un financement durable</w:t>
      </w:r>
      <w:r w:rsidR="00331D34">
        <w:rPr>
          <w:rFonts w:cs="Open Sans"/>
        </w:rPr>
        <w:t> ;</w:t>
      </w:r>
    </w:p>
    <w:p w14:paraId="21678C92" w14:textId="23CE6C24" w:rsidR="00246A6C" w:rsidRPr="00246A6C" w:rsidRDefault="00DE2E0B" w:rsidP="00357CD2">
      <w:pPr>
        <w:pStyle w:val="CommentText"/>
        <w:numPr>
          <w:ilvl w:val="0"/>
          <w:numId w:val="5"/>
        </w:numPr>
        <w:jc w:val="both"/>
        <w:rPr>
          <w:rFonts w:cs="Open Sans"/>
        </w:rPr>
      </w:pPr>
      <w:r w:rsidRPr="007C14C6">
        <w:rPr>
          <w:rFonts w:cs="Open Sans"/>
        </w:rPr>
        <w:t>Création d'une Entité à But Spécifique REDD+</w:t>
      </w:r>
      <w:r w:rsidR="007C14C6">
        <w:rPr>
          <w:rFonts w:cs="Open Sans"/>
        </w:rPr>
        <w:t> : D</w:t>
      </w:r>
      <w:r w:rsidRPr="00DE2E0B">
        <w:rPr>
          <w:rFonts w:cs="Open Sans"/>
        </w:rPr>
        <w:t xml:space="preserve">éveloppement d'un pipeline de modèles économiques locaux durables qui s'attaquent aux facteurs de dégradation forestière tout en générant des opportunités de moyens de subsistance et des </w:t>
      </w:r>
      <w:proofErr w:type="spellStart"/>
      <w:r w:rsidRPr="00DE2E0B">
        <w:rPr>
          <w:rFonts w:cs="Open Sans"/>
        </w:rPr>
        <w:t>co</w:t>
      </w:r>
      <w:proofErr w:type="spellEnd"/>
      <w:r w:rsidRPr="00DE2E0B">
        <w:rPr>
          <w:rFonts w:cs="Open Sans"/>
        </w:rPr>
        <w:t>-bénéfices pour les communautés</w:t>
      </w:r>
      <w:r w:rsidR="007C14C6">
        <w:rPr>
          <w:rFonts w:cs="Open Sans"/>
        </w:rPr>
        <w:t> ;</w:t>
      </w:r>
    </w:p>
    <w:p w14:paraId="1C8877A3" w14:textId="273749F4" w:rsidR="00246A6C" w:rsidRPr="00246A6C" w:rsidRDefault="00246A6C" w:rsidP="00357CD2">
      <w:pPr>
        <w:pStyle w:val="CommentText"/>
        <w:numPr>
          <w:ilvl w:val="0"/>
          <w:numId w:val="5"/>
        </w:numPr>
        <w:jc w:val="both"/>
        <w:rPr>
          <w:rFonts w:cs="Open Sans"/>
        </w:rPr>
      </w:pPr>
      <w:r w:rsidRPr="00246A6C">
        <w:rPr>
          <w:rFonts w:cs="Open Sans"/>
        </w:rPr>
        <w:t xml:space="preserve">Déploiement de gardes forestiers basés </w:t>
      </w:r>
      <w:r w:rsidR="005C5565">
        <w:rPr>
          <w:rFonts w:cs="Open Sans"/>
        </w:rPr>
        <w:t>au sein du parc</w:t>
      </w:r>
      <w:r w:rsidRPr="00246A6C">
        <w:rPr>
          <w:rFonts w:cs="Open Sans"/>
        </w:rPr>
        <w:t xml:space="preserve"> et instauration de relations de confiance</w:t>
      </w:r>
      <w:r w:rsidR="005C5565">
        <w:rPr>
          <w:rFonts w:cs="Open Sans"/>
        </w:rPr>
        <w:t xml:space="preserve"> et de respect avec les communautés locales ;</w:t>
      </w:r>
    </w:p>
    <w:p w14:paraId="3A625D57" w14:textId="2C95DE6A" w:rsidR="00246A6C" w:rsidRDefault="00246A6C" w:rsidP="00357CD2">
      <w:pPr>
        <w:pStyle w:val="CommentText"/>
        <w:numPr>
          <w:ilvl w:val="0"/>
          <w:numId w:val="5"/>
        </w:numPr>
        <w:jc w:val="both"/>
        <w:rPr>
          <w:rFonts w:cs="Open Sans"/>
        </w:rPr>
      </w:pPr>
      <w:r w:rsidRPr="00246A6C">
        <w:rPr>
          <w:rFonts w:cs="Open Sans"/>
        </w:rPr>
        <w:t>Réinvestissement de la dette PPP dans des opportunités de croissance à long terme</w:t>
      </w:r>
      <w:r w:rsidR="005C5565">
        <w:rPr>
          <w:rFonts w:cs="Open Sans"/>
        </w:rPr>
        <w:t> :</w:t>
      </w:r>
      <w:r w:rsidRPr="00246A6C">
        <w:rPr>
          <w:rFonts w:cs="Open Sans"/>
        </w:rPr>
        <w:t xml:space="preserve"> création d'opportunités économiques pour les communautés locales</w:t>
      </w:r>
      <w:r w:rsidR="007B59EC">
        <w:rPr>
          <w:rFonts w:cs="Open Sans"/>
        </w:rPr>
        <w:t xml:space="preserve">. </w:t>
      </w:r>
    </w:p>
    <w:p w14:paraId="39017732" w14:textId="23FEF159" w:rsidR="000F11CE" w:rsidRPr="00246A6C" w:rsidRDefault="000F11CE" w:rsidP="00047F49">
      <w:pPr>
        <w:pStyle w:val="CommentText"/>
        <w:spacing w:before="240"/>
        <w:jc w:val="both"/>
        <w:rPr>
          <w:rFonts w:cs="Open Sans"/>
        </w:rPr>
      </w:pPr>
      <w:r w:rsidRPr="00246A6C">
        <w:rPr>
          <w:rFonts w:cs="Open Sans"/>
        </w:rPr>
        <w:t xml:space="preserve">La théorie du changement intègre cinq hypothèses fondamentales : (1) </w:t>
      </w:r>
      <w:r>
        <w:rPr>
          <w:rFonts w:cs="Open Sans"/>
        </w:rPr>
        <w:t>L</w:t>
      </w:r>
      <w:r w:rsidRPr="00246A6C">
        <w:rPr>
          <w:rFonts w:cs="Open Sans"/>
        </w:rPr>
        <w:t xml:space="preserve">a paix durable nécessite l'absence de mainmise des groupes armés sur les parcs nationaux ; (2) </w:t>
      </w:r>
      <w:r>
        <w:rPr>
          <w:rFonts w:cs="Open Sans"/>
        </w:rPr>
        <w:t>L</w:t>
      </w:r>
      <w:r w:rsidRPr="00246A6C">
        <w:rPr>
          <w:rFonts w:cs="Open Sans"/>
        </w:rPr>
        <w:t xml:space="preserve">'interconnectivité régionale doit être restaurée pour assurer la paix ; (3) </w:t>
      </w:r>
      <w:r>
        <w:rPr>
          <w:rFonts w:cs="Open Sans"/>
        </w:rPr>
        <w:t>L</w:t>
      </w:r>
      <w:r w:rsidRPr="00246A6C">
        <w:rPr>
          <w:rFonts w:cs="Open Sans"/>
        </w:rPr>
        <w:t xml:space="preserve">a redistribution des </w:t>
      </w:r>
      <w:proofErr w:type="spellStart"/>
      <w:r w:rsidRPr="00246A6C">
        <w:rPr>
          <w:rFonts w:cs="Open Sans"/>
        </w:rPr>
        <w:t>co</w:t>
      </w:r>
      <w:proofErr w:type="spellEnd"/>
      <w:r w:rsidRPr="00246A6C">
        <w:rPr>
          <w:rFonts w:cs="Open Sans"/>
        </w:rPr>
        <w:t xml:space="preserve">-bénéfices est essentielle pour éviter les conflits ; (4) </w:t>
      </w:r>
      <w:r w:rsidR="00EA640A" w:rsidRPr="0032770B">
        <w:t>Au rythme actuel de dégradation, le Burundi perdra sa forêt restante, y compris tous les bénéfices qu'elle procure</w:t>
      </w:r>
      <w:r w:rsidRPr="00246A6C">
        <w:rPr>
          <w:rFonts w:cs="Open Sans"/>
        </w:rPr>
        <w:t xml:space="preserve">; et (5) </w:t>
      </w:r>
      <w:r w:rsidR="00EA640A" w:rsidRPr="0032770B">
        <w:t>Une action de paix/climat/</w:t>
      </w:r>
      <w:r w:rsidR="00EA640A">
        <w:t xml:space="preserve"> </w:t>
      </w:r>
      <w:r w:rsidR="00EA640A" w:rsidRPr="0032770B">
        <w:t xml:space="preserve">conservation découplée ne peut </w:t>
      </w:r>
      <w:r w:rsidR="00EA640A">
        <w:t xml:space="preserve">pas </w:t>
      </w:r>
      <w:r w:rsidR="00EA640A" w:rsidRPr="0032770B">
        <w:t>générer un changement transformateur.</w:t>
      </w:r>
      <w:r w:rsidRPr="00246A6C">
        <w:rPr>
          <w:rFonts w:cs="Open Sans"/>
        </w:rPr>
        <w:t>.</w:t>
      </w:r>
    </w:p>
    <w:p w14:paraId="6AA3A420" w14:textId="0A4A9FB3" w:rsidR="00246A6C" w:rsidRPr="00246A6C" w:rsidRDefault="00246A6C" w:rsidP="00047F49">
      <w:pPr>
        <w:pStyle w:val="CommentText"/>
        <w:spacing w:before="240"/>
        <w:jc w:val="both"/>
        <w:rPr>
          <w:rFonts w:cs="Open Sans"/>
        </w:rPr>
      </w:pPr>
      <w:r w:rsidRPr="00246A6C">
        <w:rPr>
          <w:rFonts w:cs="Open Sans"/>
        </w:rPr>
        <w:t xml:space="preserve">Le cadre de résultats est structuré autour de deux </w:t>
      </w:r>
      <w:r w:rsidR="00DB4C46" w:rsidRPr="00246A6C">
        <w:rPr>
          <w:rFonts w:cs="Open Sans"/>
        </w:rPr>
        <w:t>principaux</w:t>
      </w:r>
      <w:r w:rsidR="00DB4C46">
        <w:rPr>
          <w:rFonts w:cs="Open Sans"/>
        </w:rPr>
        <w:t> </w:t>
      </w:r>
      <w:r w:rsidRPr="00246A6C">
        <w:rPr>
          <w:rFonts w:cs="Open Sans"/>
        </w:rPr>
        <w:t>résultats</w:t>
      </w:r>
      <w:r w:rsidR="00DB4C46">
        <w:rPr>
          <w:rFonts w:cs="Open Sans"/>
        </w:rPr>
        <w:t xml:space="preserve"> </w:t>
      </w:r>
      <w:r w:rsidR="0085327C">
        <w:rPr>
          <w:rFonts w:cs="Open Sans"/>
        </w:rPr>
        <w:t>:</w:t>
      </w:r>
    </w:p>
    <w:p w14:paraId="22DC5171" w14:textId="01A7E850" w:rsidR="00246A6C" w:rsidRPr="0085327C" w:rsidRDefault="00246A6C" w:rsidP="00357CD2">
      <w:pPr>
        <w:pStyle w:val="ListParagraph"/>
        <w:numPr>
          <w:ilvl w:val="0"/>
          <w:numId w:val="4"/>
        </w:numPr>
        <w:spacing w:before="60" w:after="0" w:line="240" w:lineRule="auto"/>
        <w:ind w:left="357" w:hanging="357"/>
        <w:contextualSpacing w:val="0"/>
        <w:jc w:val="both"/>
      </w:pPr>
      <w:r w:rsidRPr="0085327C">
        <w:t>Résultat 1 : Amélioration de la cohésion sociale, de la gouvernance locale et de la conservation de la forêt grâce à l'engagement des communautés, du gouvernement et du secteur privé</w:t>
      </w:r>
      <w:r w:rsidR="00F671DA">
        <w:t> ;</w:t>
      </w:r>
    </w:p>
    <w:p w14:paraId="792D3284" w14:textId="58A8E438" w:rsidR="00246A6C" w:rsidRPr="0085327C" w:rsidRDefault="00246A6C" w:rsidP="00357CD2">
      <w:pPr>
        <w:pStyle w:val="ListParagraph"/>
        <w:numPr>
          <w:ilvl w:val="0"/>
          <w:numId w:val="4"/>
        </w:numPr>
        <w:spacing w:before="60" w:after="0" w:line="240" w:lineRule="auto"/>
        <w:ind w:left="357" w:hanging="357"/>
        <w:contextualSpacing w:val="0"/>
        <w:jc w:val="both"/>
      </w:pPr>
      <w:r w:rsidRPr="0085327C">
        <w:t>Résultat 2 : Création de dividendes de paix et sociaux pour les communautés à travers le soutien financier concret</w:t>
      </w:r>
      <w:r w:rsidR="00F671DA">
        <w:t>.</w:t>
      </w:r>
    </w:p>
    <w:p w14:paraId="329A67EB" w14:textId="3D213FD4" w:rsidR="0085327C" w:rsidRPr="004049BE" w:rsidRDefault="004049BE" w:rsidP="00047F49">
      <w:pPr>
        <w:pStyle w:val="CommentText"/>
        <w:spacing w:before="240"/>
        <w:jc w:val="both"/>
        <w:rPr>
          <w:rFonts w:cs="Open Sans"/>
          <w:b/>
          <w:bCs/>
        </w:rPr>
      </w:pPr>
      <w:r>
        <w:t xml:space="preserve">La stratégie de mise en œuvre s'articule autour </w:t>
      </w:r>
      <w:r w:rsidRPr="004049BE">
        <w:t>de</w:t>
      </w:r>
      <w:r w:rsidRPr="004049BE">
        <w:rPr>
          <w:b/>
          <w:bCs/>
        </w:rPr>
        <w:t xml:space="preserve"> </w:t>
      </w:r>
      <w:r w:rsidRPr="004049BE">
        <w:rPr>
          <w:rStyle w:val="Strong"/>
          <w:b w:val="0"/>
          <w:bCs w:val="0"/>
          <w:color w:val="000000" w:themeColor="text1"/>
        </w:rPr>
        <w:t>trois composantes stratégiques</w:t>
      </w:r>
      <w:r w:rsidRPr="004049BE">
        <w:rPr>
          <w:b/>
          <w:bCs/>
          <w:color w:val="000000" w:themeColor="text1"/>
        </w:rPr>
        <w:t xml:space="preserve"> </w:t>
      </w:r>
      <w:r w:rsidRPr="004049BE">
        <w:t>complémentaires :</w:t>
      </w:r>
    </w:p>
    <w:p w14:paraId="55F7E352" w14:textId="4CD371E0" w:rsidR="00246A6C" w:rsidRPr="004049BE" w:rsidRDefault="00246A6C" w:rsidP="00357CD2">
      <w:pPr>
        <w:pStyle w:val="ListParagraph"/>
        <w:numPr>
          <w:ilvl w:val="0"/>
          <w:numId w:val="4"/>
        </w:numPr>
        <w:spacing w:before="60" w:after="0" w:line="240" w:lineRule="auto"/>
        <w:ind w:left="357" w:hanging="357"/>
        <w:contextualSpacing w:val="0"/>
        <w:jc w:val="both"/>
      </w:pPr>
      <w:r w:rsidRPr="004049BE">
        <w:t>Composante 1 - Création et opérationnalisation de la Fondation Kibira pour la cogestion du parc avec l'OBPE</w:t>
      </w:r>
      <w:r w:rsidR="00F671DA">
        <w:t> ;</w:t>
      </w:r>
    </w:p>
    <w:p w14:paraId="21D893E3" w14:textId="2BF6F6DF" w:rsidR="00246A6C" w:rsidRPr="004049BE" w:rsidRDefault="00246A6C" w:rsidP="00357CD2">
      <w:pPr>
        <w:pStyle w:val="ListParagraph"/>
        <w:numPr>
          <w:ilvl w:val="0"/>
          <w:numId w:val="4"/>
        </w:numPr>
        <w:spacing w:before="60" w:after="0" w:line="240" w:lineRule="auto"/>
        <w:ind w:left="357" w:hanging="357"/>
        <w:contextualSpacing w:val="0"/>
        <w:jc w:val="both"/>
      </w:pPr>
      <w:r w:rsidRPr="004049BE">
        <w:t xml:space="preserve">Composante 2 - Investissement PPP en énergie propre (projet hydroélectrique de </w:t>
      </w:r>
      <w:proofErr w:type="spellStart"/>
      <w:r w:rsidRPr="004049BE">
        <w:t>Mpanda</w:t>
      </w:r>
      <w:proofErr w:type="spellEnd"/>
      <w:r w:rsidRPr="004049BE">
        <w:t xml:space="preserve">) et </w:t>
      </w:r>
      <w:r w:rsidR="004B6ED6">
        <w:t xml:space="preserve">mise en place d’un fonds </w:t>
      </w:r>
      <w:r w:rsidRPr="004049BE">
        <w:t>REDD+ pour générer des financements durables</w:t>
      </w:r>
      <w:r w:rsidR="00A43052">
        <w:t> ;</w:t>
      </w:r>
    </w:p>
    <w:p w14:paraId="0CAE2FCE" w14:textId="0DE47413" w:rsidR="00246A6C" w:rsidRPr="004049BE" w:rsidRDefault="00246A6C" w:rsidP="00357CD2">
      <w:pPr>
        <w:pStyle w:val="ListParagraph"/>
        <w:numPr>
          <w:ilvl w:val="0"/>
          <w:numId w:val="4"/>
        </w:numPr>
        <w:spacing w:before="60" w:after="0" w:line="240" w:lineRule="auto"/>
        <w:ind w:left="357" w:hanging="357"/>
        <w:contextualSpacing w:val="0"/>
        <w:jc w:val="both"/>
      </w:pPr>
      <w:r w:rsidRPr="004049BE">
        <w:t>Composante 3 - Appui institutionnel à l'OBPE et mise en place de mécanismes d'atténuation des conflits, incluant le renforcement des capacités des écogardes et le développement d'activités génératrices de revenus pour les communautés</w:t>
      </w:r>
      <w:r w:rsidR="0054622B">
        <w:t>.</w:t>
      </w:r>
    </w:p>
    <w:p w14:paraId="5F6AB9D3" w14:textId="77777777" w:rsidR="00493DBC" w:rsidRPr="004C4E82" w:rsidRDefault="00493DBC" w:rsidP="00047F49">
      <w:pPr>
        <w:pStyle w:val="CommentText"/>
        <w:jc w:val="both"/>
        <w:rPr>
          <w:rFonts w:cs="Open Sans"/>
          <w:sz w:val="10"/>
          <w:szCs w:val="10"/>
        </w:rPr>
      </w:pPr>
    </w:p>
    <w:p w14:paraId="0E14D680" w14:textId="1C4D600E" w:rsidR="00246A6C" w:rsidRPr="00493DBC" w:rsidRDefault="00246A6C" w:rsidP="00047F49">
      <w:pPr>
        <w:pStyle w:val="CommentText"/>
        <w:jc w:val="both"/>
        <w:rPr>
          <w:rFonts w:cs="Open Sans"/>
          <w:b/>
          <w:bCs/>
          <w:color w:val="000099"/>
        </w:rPr>
      </w:pPr>
      <w:r w:rsidRPr="00493DBC">
        <w:rPr>
          <w:rFonts w:cs="Open Sans"/>
          <w:b/>
          <w:bCs/>
          <w:color w:val="000099"/>
        </w:rPr>
        <w:lastRenderedPageBreak/>
        <w:t>Gouvernance et structure de mise en œuvre</w:t>
      </w:r>
    </w:p>
    <w:p w14:paraId="50759BEE" w14:textId="5A643027" w:rsidR="00246A6C" w:rsidRPr="00246A6C" w:rsidRDefault="00246A6C" w:rsidP="00047F49">
      <w:pPr>
        <w:pStyle w:val="CommentText"/>
        <w:jc w:val="both"/>
        <w:rPr>
          <w:rFonts w:cs="Open Sans"/>
        </w:rPr>
      </w:pPr>
      <w:r w:rsidRPr="00246A6C">
        <w:rPr>
          <w:rFonts w:cs="Open Sans"/>
        </w:rPr>
        <w:t>Le projet est mis en œuvre par l'UNCDF (agence d'exécution) avec le financement du PBF (3 M</w:t>
      </w:r>
      <w:r w:rsidR="006A3DF6">
        <w:rPr>
          <w:rFonts w:cs="Open Sans"/>
        </w:rPr>
        <w:t>illions</w:t>
      </w:r>
      <w:r w:rsidRPr="00246A6C">
        <w:rPr>
          <w:rFonts w:cs="Open Sans"/>
        </w:rPr>
        <w:t xml:space="preserve"> USD). La structure de gouvernance comprend un comité de pilotage réunissant les principales parties prenantes.</w:t>
      </w:r>
    </w:p>
    <w:p w14:paraId="03ACED96" w14:textId="11289049" w:rsidR="005E4EAA" w:rsidRPr="005E4EAA" w:rsidRDefault="005E4EAA" w:rsidP="00047F49">
      <w:pPr>
        <w:pStyle w:val="CommentText"/>
        <w:jc w:val="both"/>
        <w:rPr>
          <w:rFonts w:cs="Open Sans"/>
        </w:rPr>
      </w:pPr>
      <w:r w:rsidRPr="005E4EAA">
        <w:rPr>
          <w:rFonts w:cs="Open Sans"/>
        </w:rPr>
        <w:t>Les partenaires nationaux incluent le Ministère de l'Environnement</w:t>
      </w:r>
      <w:r w:rsidR="00A43052">
        <w:rPr>
          <w:rFonts w:cs="Open Sans"/>
        </w:rPr>
        <w:t xml:space="preserve">, de l’Agriculture et de l’Elevage </w:t>
      </w:r>
      <w:r w:rsidRPr="005E4EAA">
        <w:rPr>
          <w:rFonts w:cs="Open Sans"/>
        </w:rPr>
        <w:t>à travers l'OBPE (Office Burundais pour la Protection de l'Environnement) en tant que partenaire institutionnel clé pour la cogestion du parc, le renforcement des capacités des écogardes et la supervision de la conservation, ainsi que le Ministère de l'Énergie pour la mise en œuvre de la composante financement mixte (investissement hydroélectrique).</w:t>
      </w:r>
    </w:p>
    <w:p w14:paraId="4AEBD27A" w14:textId="63E28248" w:rsidR="00246A6C" w:rsidRPr="00246A6C" w:rsidRDefault="00246A6C" w:rsidP="00047F49">
      <w:pPr>
        <w:pStyle w:val="CommentText"/>
        <w:jc w:val="both"/>
        <w:rPr>
          <w:rFonts w:cs="Open Sans"/>
        </w:rPr>
      </w:pPr>
      <w:r w:rsidRPr="00246A6C">
        <w:rPr>
          <w:rFonts w:cs="Open Sans"/>
        </w:rPr>
        <w:t xml:space="preserve">Le partenaire principal de mise en œuvre est </w:t>
      </w:r>
      <w:proofErr w:type="spellStart"/>
      <w:r w:rsidRPr="00246A6C">
        <w:rPr>
          <w:rFonts w:cs="Open Sans"/>
        </w:rPr>
        <w:t>Communities</w:t>
      </w:r>
      <w:proofErr w:type="spellEnd"/>
      <w:r w:rsidRPr="00246A6C">
        <w:rPr>
          <w:rFonts w:cs="Open Sans"/>
        </w:rPr>
        <w:t xml:space="preserve"> of Hope (COH), organisation chef de file d'un consortium comprenant quatre partenaires spécialisés : ABN (Association Burundaise pour la Nature - activités de restauration forestière), AFEB (Association des Femmes pour l'Environnement au Burundi - genre, cohésion sociale et AGR), UNIPROBA (Unissons-nous pour la Promotion des </w:t>
      </w:r>
      <w:proofErr w:type="spellStart"/>
      <w:r w:rsidRPr="00246A6C">
        <w:rPr>
          <w:rFonts w:cs="Open Sans"/>
        </w:rPr>
        <w:t>Batwa</w:t>
      </w:r>
      <w:proofErr w:type="spellEnd"/>
      <w:r w:rsidRPr="00246A6C">
        <w:rPr>
          <w:rFonts w:cs="Open Sans"/>
        </w:rPr>
        <w:t xml:space="preserve"> - inclusion des </w:t>
      </w:r>
      <w:proofErr w:type="spellStart"/>
      <w:r w:rsidRPr="00246A6C">
        <w:rPr>
          <w:rFonts w:cs="Open Sans"/>
        </w:rPr>
        <w:t>Batwa</w:t>
      </w:r>
      <w:proofErr w:type="spellEnd"/>
      <w:r w:rsidRPr="00246A6C">
        <w:rPr>
          <w:rFonts w:cs="Open Sans"/>
        </w:rPr>
        <w:t xml:space="preserve">), et KIOKA (Kids of </w:t>
      </w:r>
      <w:proofErr w:type="spellStart"/>
      <w:r w:rsidRPr="00246A6C">
        <w:rPr>
          <w:rFonts w:cs="Open Sans"/>
        </w:rPr>
        <w:t>Kapiota</w:t>
      </w:r>
      <w:proofErr w:type="spellEnd"/>
      <w:r w:rsidRPr="00246A6C">
        <w:rPr>
          <w:rFonts w:cs="Open Sans"/>
        </w:rPr>
        <w:t xml:space="preserve"> - patrimoine culturel et engagement des jeunes).</w:t>
      </w:r>
    </w:p>
    <w:p w14:paraId="53F66411" w14:textId="450F54FE" w:rsidR="00246A6C" w:rsidRPr="007F0C56" w:rsidRDefault="007F0C56" w:rsidP="00047F49">
      <w:pPr>
        <w:pStyle w:val="CommentText"/>
        <w:jc w:val="both"/>
        <w:rPr>
          <w:rFonts w:cs="Open Sans"/>
        </w:rPr>
      </w:pPr>
      <w:r w:rsidRPr="007F0C56">
        <w:rPr>
          <w:rFonts w:cs="Open Sans"/>
        </w:rPr>
        <w:t xml:space="preserve">L'entreprise privée </w:t>
      </w:r>
      <w:proofErr w:type="spellStart"/>
      <w:r w:rsidRPr="007F0C56">
        <w:rPr>
          <w:rFonts w:cs="Open Sans"/>
        </w:rPr>
        <w:t>Hydroneo</w:t>
      </w:r>
      <w:proofErr w:type="spellEnd"/>
      <w:r w:rsidRPr="007F0C56">
        <w:rPr>
          <w:rFonts w:cs="Open Sans"/>
        </w:rPr>
        <w:t xml:space="preserve"> développe le projet hydroélectrique de </w:t>
      </w:r>
      <w:proofErr w:type="spellStart"/>
      <w:r w:rsidRPr="007F0C56">
        <w:rPr>
          <w:rFonts w:cs="Open Sans"/>
        </w:rPr>
        <w:t>Mpanda</w:t>
      </w:r>
      <w:proofErr w:type="spellEnd"/>
      <w:r w:rsidR="00C33BCA">
        <w:rPr>
          <w:rFonts w:cs="Open Sans"/>
        </w:rPr>
        <w:t>, alors que l</w:t>
      </w:r>
      <w:r w:rsidRPr="007F0C56">
        <w:rPr>
          <w:rFonts w:cs="Open Sans"/>
        </w:rPr>
        <w:t>a Fondation Kibira, créée en 2023</w:t>
      </w:r>
      <w:r w:rsidR="00C33BCA">
        <w:rPr>
          <w:rFonts w:cs="Open Sans"/>
        </w:rPr>
        <w:t xml:space="preserve"> par le projet</w:t>
      </w:r>
      <w:r w:rsidRPr="007F0C56">
        <w:rPr>
          <w:rFonts w:cs="Open Sans"/>
        </w:rPr>
        <w:t>, assure la cogestion du parc avec l'OBPE dans le cadre du premier accord de cogestion d'aire protégée au Burundi.</w:t>
      </w:r>
    </w:p>
    <w:p w14:paraId="5276BC55" w14:textId="77777777" w:rsidR="00825411" w:rsidRPr="00036975" w:rsidRDefault="00825411" w:rsidP="00047F49">
      <w:pPr>
        <w:pStyle w:val="CommentText"/>
        <w:jc w:val="both"/>
        <w:rPr>
          <w:rFonts w:cs="Open Sans"/>
          <w:b/>
          <w:bCs/>
          <w:color w:val="000099"/>
          <w:sz w:val="10"/>
          <w:szCs w:val="10"/>
        </w:rPr>
      </w:pPr>
    </w:p>
    <w:p w14:paraId="2E69C089" w14:textId="33EAD193" w:rsidR="00246A6C" w:rsidRPr="00825411" w:rsidRDefault="00246A6C" w:rsidP="00047F49">
      <w:pPr>
        <w:pStyle w:val="CommentText"/>
        <w:jc w:val="both"/>
        <w:rPr>
          <w:rFonts w:cs="Open Sans"/>
          <w:b/>
          <w:bCs/>
          <w:color w:val="000099"/>
        </w:rPr>
      </w:pPr>
      <w:r w:rsidRPr="00825411">
        <w:rPr>
          <w:rFonts w:cs="Open Sans"/>
          <w:b/>
          <w:bCs/>
          <w:color w:val="000099"/>
        </w:rPr>
        <w:t>Lien avec les priorités nationales et onusiennes</w:t>
      </w:r>
    </w:p>
    <w:p w14:paraId="4814D11F" w14:textId="027DD250" w:rsidR="00A75588" w:rsidRPr="00A75588" w:rsidRDefault="00A75588" w:rsidP="00047F49">
      <w:pPr>
        <w:pStyle w:val="CommentText"/>
        <w:jc w:val="both"/>
        <w:rPr>
          <w:rFonts w:cs="Open Sans"/>
        </w:rPr>
      </w:pPr>
      <w:r w:rsidRPr="00A75588">
        <w:rPr>
          <w:rFonts w:cs="Open Sans"/>
        </w:rPr>
        <w:t xml:space="preserve">Le projet s'inscrit pleinement dans le mandat de l'UNCDF en ciblant un pays moins avancé (PMA) et en utilisant le financement catalytique mixte pour mobiliser des ressources additionnelles publiques et privées. L'approche s'aligne sur les quatre priorités thématiques du Cadre Stratégique UNCDF 2022-2025 : (i) </w:t>
      </w:r>
      <w:r w:rsidR="00254D5C">
        <w:rPr>
          <w:rFonts w:cs="Open Sans"/>
        </w:rPr>
        <w:t>F</w:t>
      </w:r>
      <w:r w:rsidRPr="00A75588">
        <w:rPr>
          <w:rFonts w:cs="Open Sans"/>
        </w:rPr>
        <w:t>inancement local transformationnel à travers la Fondation Kibira et le nouveau modèle financier impliquant PPP</w:t>
      </w:r>
      <w:r w:rsidR="00254D5C">
        <w:rPr>
          <w:rFonts w:cs="Open Sans"/>
        </w:rPr>
        <w:t xml:space="preserve"> </w:t>
      </w:r>
      <w:r w:rsidRPr="00A75588">
        <w:rPr>
          <w:rFonts w:cs="Open Sans"/>
        </w:rPr>
        <w:t xml:space="preserve">; (ii) </w:t>
      </w:r>
      <w:r w:rsidR="00254D5C">
        <w:rPr>
          <w:rFonts w:cs="Open Sans"/>
        </w:rPr>
        <w:t>E</w:t>
      </w:r>
      <w:r w:rsidRPr="00A75588">
        <w:rPr>
          <w:rFonts w:cs="Open Sans"/>
        </w:rPr>
        <w:t xml:space="preserve">conomie verte par l'accent sur la conservation et l'énergie propre ; (iii) </w:t>
      </w:r>
      <w:r w:rsidR="00254D5C">
        <w:rPr>
          <w:rFonts w:cs="Open Sans"/>
        </w:rPr>
        <w:t>E</w:t>
      </w:r>
      <w:r w:rsidRPr="00A75588">
        <w:rPr>
          <w:rFonts w:cs="Open Sans"/>
        </w:rPr>
        <w:t xml:space="preserve">conomies inclusives via les moyens de subsistance communautaires et le partage des bénéfices ; et (iv) </w:t>
      </w:r>
      <w:r w:rsidR="00254D5C">
        <w:rPr>
          <w:rFonts w:cs="Open Sans"/>
        </w:rPr>
        <w:t>E</w:t>
      </w:r>
      <w:r w:rsidRPr="00A75588">
        <w:rPr>
          <w:rFonts w:cs="Open Sans"/>
        </w:rPr>
        <w:t>galité des sexes et autonomisation économique des femmes, avec 43% du budget alloué à ces objectifs.</w:t>
      </w:r>
    </w:p>
    <w:p w14:paraId="61A77F21" w14:textId="279D340E" w:rsidR="00A75588" w:rsidRPr="00A75588" w:rsidRDefault="00A75588" w:rsidP="00047F49">
      <w:pPr>
        <w:pStyle w:val="CommentText"/>
        <w:jc w:val="both"/>
        <w:rPr>
          <w:rFonts w:cs="Open Sans"/>
        </w:rPr>
      </w:pPr>
      <w:r w:rsidRPr="00A75588">
        <w:rPr>
          <w:rFonts w:cs="Open Sans"/>
        </w:rPr>
        <w:t xml:space="preserve">Au niveau national, le projet soutient directement la Vision Burundi 2040/2060 et le Plan National de Développement (PND) 2018-2027 révisé en contribuant à la transformation économique juste et verte du pays. Il s'aligne avec les orientations gouvernementales en matière de consolidation de la paix, d'inclusion sociale, d'énergie propre et de conservation environnementale. </w:t>
      </w:r>
    </w:p>
    <w:p w14:paraId="71C51244" w14:textId="5440F215" w:rsidR="00A75588" w:rsidRPr="00A75588" w:rsidRDefault="00A75588" w:rsidP="00047F49">
      <w:pPr>
        <w:pStyle w:val="CommentText"/>
        <w:jc w:val="both"/>
        <w:rPr>
          <w:rFonts w:cs="Open Sans"/>
        </w:rPr>
      </w:pPr>
      <w:r w:rsidRPr="00A75588">
        <w:rPr>
          <w:rFonts w:cs="Open Sans"/>
        </w:rPr>
        <w:t>Le projet contribue</w:t>
      </w:r>
      <w:r w:rsidR="00254D5C">
        <w:rPr>
          <w:rFonts w:cs="Open Sans"/>
        </w:rPr>
        <w:t>, également,</w:t>
      </w:r>
      <w:r w:rsidRPr="00A75588">
        <w:rPr>
          <w:rFonts w:cs="Open Sans"/>
        </w:rPr>
        <w:t xml:space="preserve"> à la mise en œuvre de la Stratégie des Nations Unies pour la consolidation de la paix dans la région des Grands Lacs (2020), notamment : la Priorité 2 (coopération transfrontalière sur les questions de sécurité, incluant le soutien aux programmes de désarmement et démobilisation et l'engagement visant à contrer le recrutement des forces armées) ; la Priorité 6 (coopération économique régionale facilitant les partenariats avec la société civile et le secteur privé) ; et la Priorité 10 (renforcement des capacités d'anticipation et d'absorption des chocs, incluant les crises climatiques).</w:t>
      </w:r>
    </w:p>
    <w:p w14:paraId="47293020" w14:textId="54E2B368" w:rsidR="00950D70" w:rsidRPr="00EA640A" w:rsidRDefault="00950D70" w:rsidP="00047F49">
      <w:pPr>
        <w:spacing w:line="240" w:lineRule="auto"/>
        <w:jc w:val="both"/>
      </w:pPr>
      <w:r w:rsidRPr="00EA640A">
        <w:t>Le projet contribue directement à plusieurs Objectifs de Développement Durable (ODD) : ODD 7 (énergie propre), ODD 13 (action climatique), ODD 15 (vie terrestre), ODD 16 (paix, justice et institutions efficaces), ODD 17 (partenariats pour les objectifs), et ODD 5 (égalité des sexes).</w:t>
      </w:r>
    </w:p>
    <w:p w14:paraId="220C3BB0" w14:textId="651FEED1" w:rsidR="00A75588" w:rsidRDefault="0001251D" w:rsidP="00047F49">
      <w:pPr>
        <w:pStyle w:val="CommentText"/>
        <w:jc w:val="both"/>
        <w:rPr>
          <w:rFonts w:cs="Open Sans"/>
        </w:rPr>
      </w:pPr>
      <w:r>
        <w:rPr>
          <w:rFonts w:cs="Open Sans"/>
        </w:rPr>
        <w:t>Par ailleurs, c</w:t>
      </w:r>
      <w:r w:rsidR="00A75588" w:rsidRPr="00A75588">
        <w:rPr>
          <w:rFonts w:cs="Open Sans"/>
        </w:rPr>
        <w:t>onformément à la stratégie PBF 2020-</w:t>
      </w:r>
      <w:r w:rsidR="009C55C9">
        <w:rPr>
          <w:rFonts w:cs="Open Sans"/>
        </w:rPr>
        <w:t>20</w:t>
      </w:r>
      <w:r w:rsidR="00A75588" w:rsidRPr="00A75588">
        <w:rPr>
          <w:rFonts w:cs="Open Sans"/>
        </w:rPr>
        <w:t>24, le programme facilite l'investissement dans des projets transfrontaliers pour mieux aborder les causes profondes interconnectées de l'instabilité dans la région des Grands Lacs.</w:t>
      </w:r>
    </w:p>
    <w:p w14:paraId="50987621" w14:textId="77777777" w:rsidR="005A339A" w:rsidRPr="00036975" w:rsidRDefault="005A339A" w:rsidP="00047F49">
      <w:pPr>
        <w:pStyle w:val="CommentText"/>
        <w:jc w:val="both"/>
        <w:rPr>
          <w:rFonts w:cs="Open Sans"/>
          <w:sz w:val="10"/>
          <w:szCs w:val="10"/>
        </w:rPr>
      </w:pPr>
    </w:p>
    <w:p w14:paraId="77CC3F51" w14:textId="604BA226" w:rsidR="00246A6C" w:rsidRPr="005A339A" w:rsidRDefault="00246A6C" w:rsidP="00047F49">
      <w:pPr>
        <w:pStyle w:val="CommentText"/>
        <w:jc w:val="both"/>
        <w:rPr>
          <w:rFonts w:cs="Open Sans"/>
          <w:b/>
          <w:bCs/>
          <w:color w:val="000099"/>
        </w:rPr>
      </w:pPr>
      <w:r w:rsidRPr="005A339A">
        <w:rPr>
          <w:rFonts w:cs="Open Sans"/>
          <w:b/>
          <w:bCs/>
          <w:color w:val="000099"/>
        </w:rPr>
        <w:lastRenderedPageBreak/>
        <w:t>Bénéficiaires et groupes cibles</w:t>
      </w:r>
    </w:p>
    <w:p w14:paraId="71A5F910" w14:textId="7D61571C" w:rsidR="00246A6C" w:rsidRPr="00246A6C" w:rsidRDefault="00246A6C" w:rsidP="00047F49">
      <w:pPr>
        <w:pStyle w:val="CommentText"/>
        <w:jc w:val="both"/>
        <w:rPr>
          <w:rFonts w:cs="Open Sans"/>
        </w:rPr>
      </w:pPr>
      <w:r w:rsidRPr="00246A6C">
        <w:rPr>
          <w:rFonts w:cs="Open Sans"/>
        </w:rPr>
        <w:t xml:space="preserve">Le projet cible </w:t>
      </w:r>
      <w:r w:rsidR="0007773E">
        <w:rPr>
          <w:rFonts w:cs="Open Sans"/>
        </w:rPr>
        <w:t>les populations</w:t>
      </w:r>
      <w:r w:rsidRPr="00246A6C">
        <w:rPr>
          <w:rFonts w:cs="Open Sans"/>
        </w:rPr>
        <w:t xml:space="preserve"> dans les </w:t>
      </w:r>
      <w:r w:rsidR="009C55C9">
        <w:rPr>
          <w:rFonts w:cs="Open Sans"/>
        </w:rPr>
        <w:t xml:space="preserve">anciennes </w:t>
      </w:r>
      <w:r w:rsidRPr="00246A6C">
        <w:rPr>
          <w:rFonts w:cs="Open Sans"/>
        </w:rPr>
        <w:t xml:space="preserve">provinces de </w:t>
      </w:r>
      <w:proofErr w:type="spellStart"/>
      <w:r w:rsidRPr="00246A6C">
        <w:rPr>
          <w:rFonts w:cs="Open Sans"/>
        </w:rPr>
        <w:t>Kayanza</w:t>
      </w:r>
      <w:proofErr w:type="spellEnd"/>
      <w:r w:rsidRPr="00246A6C">
        <w:rPr>
          <w:rFonts w:cs="Open Sans"/>
        </w:rPr>
        <w:t xml:space="preserve">, Cibitoke et </w:t>
      </w:r>
      <w:proofErr w:type="spellStart"/>
      <w:r w:rsidRPr="00246A6C">
        <w:rPr>
          <w:rFonts w:cs="Open Sans"/>
        </w:rPr>
        <w:t>Bubanza</w:t>
      </w:r>
      <w:proofErr w:type="spellEnd"/>
      <w:r w:rsidRPr="00246A6C">
        <w:rPr>
          <w:rFonts w:cs="Open Sans"/>
        </w:rPr>
        <w:t xml:space="preserve"> entourant le parc. Une attention particulière est portée aux groupes vulnérables</w:t>
      </w:r>
      <w:r w:rsidR="00D00A52">
        <w:rPr>
          <w:rFonts w:cs="Open Sans"/>
        </w:rPr>
        <w:t xml:space="preserve"> (</w:t>
      </w:r>
      <w:r w:rsidR="00D00A52" w:rsidRPr="00246A6C">
        <w:rPr>
          <w:rFonts w:cs="Open Sans"/>
        </w:rPr>
        <w:t xml:space="preserve">Communautés </w:t>
      </w:r>
      <w:proofErr w:type="spellStart"/>
      <w:r w:rsidR="00D00A52" w:rsidRPr="00246A6C">
        <w:rPr>
          <w:rFonts w:cs="Open Sans"/>
        </w:rPr>
        <w:t>Batwa</w:t>
      </w:r>
      <w:proofErr w:type="spellEnd"/>
      <w:r w:rsidR="00D00A52">
        <w:rPr>
          <w:rFonts w:cs="Open Sans"/>
        </w:rPr>
        <w:t>, Femmes, jeunes) et aux personnes vivant avec handicap</w:t>
      </w:r>
      <w:r w:rsidR="0007773E">
        <w:rPr>
          <w:rFonts w:cs="Open Sans"/>
        </w:rPr>
        <w:t xml:space="preserve">, </w:t>
      </w:r>
      <w:r w:rsidRPr="00246A6C">
        <w:rPr>
          <w:rFonts w:cs="Open Sans"/>
        </w:rPr>
        <w:t>conformément au principe "Ne laisser personne de côté" (LNOB)</w:t>
      </w:r>
      <w:r w:rsidR="0054622B">
        <w:rPr>
          <w:rFonts w:cs="Open Sans"/>
        </w:rPr>
        <w:t>.</w:t>
      </w:r>
      <w:r w:rsidRPr="00246A6C">
        <w:rPr>
          <w:rFonts w:cs="Open Sans"/>
        </w:rPr>
        <w:t xml:space="preserve"> </w:t>
      </w:r>
      <w:r w:rsidR="006F2B16" w:rsidRPr="006F2B16">
        <w:rPr>
          <w:rFonts w:cs="Open Sans"/>
        </w:rPr>
        <w:t xml:space="preserve"> </w:t>
      </w:r>
    </w:p>
    <w:p w14:paraId="46EBBCED" w14:textId="77777777" w:rsidR="005302C7" w:rsidRPr="004C4E82" w:rsidRDefault="005302C7" w:rsidP="00047F49">
      <w:pPr>
        <w:pStyle w:val="CommentText"/>
        <w:jc w:val="both"/>
        <w:rPr>
          <w:rFonts w:cs="Open Sans"/>
          <w:sz w:val="10"/>
          <w:szCs w:val="10"/>
        </w:rPr>
      </w:pPr>
    </w:p>
    <w:p w14:paraId="09A47887" w14:textId="1202BCB5" w:rsidR="00037CA5" w:rsidRPr="005A339A" w:rsidRDefault="00037CA5" w:rsidP="00047F49">
      <w:pPr>
        <w:pStyle w:val="CommentText"/>
        <w:jc w:val="both"/>
        <w:rPr>
          <w:rFonts w:cs="Open Sans"/>
          <w:b/>
          <w:bCs/>
          <w:color w:val="000099"/>
        </w:rPr>
      </w:pPr>
      <w:r>
        <w:rPr>
          <w:rFonts w:cs="Open Sans"/>
          <w:b/>
          <w:bCs/>
          <w:color w:val="000099"/>
        </w:rPr>
        <w:t xml:space="preserve">Objectifs, effets et produits </w:t>
      </w:r>
    </w:p>
    <w:p w14:paraId="313A3E5B" w14:textId="29E08FCC" w:rsidR="00246A6C" w:rsidRPr="00197236" w:rsidRDefault="00197236" w:rsidP="00047F49">
      <w:pPr>
        <w:pStyle w:val="CommentText"/>
        <w:jc w:val="both"/>
        <w:rPr>
          <w:rStyle w:val="markedcontent"/>
          <w:rFonts w:cs="Open Sans"/>
          <w:b/>
          <w:bCs/>
        </w:rPr>
      </w:pPr>
      <w:r w:rsidRPr="00197236">
        <w:rPr>
          <w:rStyle w:val="markedcontent"/>
          <w:rFonts w:cs="Open Sans"/>
        </w:rPr>
        <w:t xml:space="preserve">Le tableau suivant présente les objectifs, les effets et les produits du projet </w:t>
      </w:r>
      <w:r w:rsidR="00D61233">
        <w:rPr>
          <w:rStyle w:val="markedcontent"/>
          <w:rFonts w:cs="Open Sans"/>
        </w:rPr>
        <w:t xml:space="preserve">tels qu’ils ont été conçus par le document du projet </w:t>
      </w:r>
    </w:p>
    <w:p w14:paraId="774C198C" w14:textId="05DE8F68" w:rsidR="00BE29A7" w:rsidRPr="00E90E6B" w:rsidRDefault="005E798B" w:rsidP="005E798B">
      <w:pPr>
        <w:pStyle w:val="Caption"/>
      </w:pPr>
      <w:bookmarkStart w:id="31" w:name="_Toc214381575"/>
      <w:bookmarkEnd w:id="30"/>
      <w:r>
        <w:t xml:space="preserve">Tableau </w:t>
      </w:r>
      <w:r>
        <w:fldChar w:fldCharType="begin"/>
      </w:r>
      <w:r>
        <w:instrText xml:space="preserve"> SEQ Tableau \* ARABIC </w:instrText>
      </w:r>
      <w:r>
        <w:fldChar w:fldCharType="separate"/>
      </w:r>
      <w:r w:rsidR="00803130">
        <w:rPr>
          <w:noProof/>
        </w:rPr>
        <w:t>1</w:t>
      </w:r>
      <w:r>
        <w:fldChar w:fldCharType="end"/>
      </w:r>
      <w:r w:rsidR="00BE29A7" w:rsidRPr="00E90E6B">
        <w:t xml:space="preserve">– </w:t>
      </w:r>
      <w:r w:rsidR="00197236" w:rsidRPr="00E90E6B">
        <w:t>Kibira Sanctuaire de Paix</w:t>
      </w:r>
      <w:r w:rsidR="00BE29A7" w:rsidRPr="00E90E6B">
        <w:t xml:space="preserve"> – </w:t>
      </w:r>
      <w:r w:rsidR="00197236" w:rsidRPr="00E90E6B">
        <w:t>Objectif, effets et produits</w:t>
      </w:r>
      <w:bookmarkEnd w:id="31"/>
      <w:r w:rsidR="00BE29A7" w:rsidRPr="00E90E6B">
        <w:t xml:space="preserve"> </w:t>
      </w:r>
    </w:p>
    <w:tbl>
      <w:tblPr>
        <w:tblW w:w="0" w:type="auto"/>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Look w:val="04A0" w:firstRow="1" w:lastRow="0" w:firstColumn="1" w:lastColumn="0" w:noHBand="0" w:noVBand="1"/>
      </w:tblPr>
      <w:tblGrid>
        <w:gridCol w:w="1010"/>
        <w:gridCol w:w="7927"/>
      </w:tblGrid>
      <w:tr w:rsidR="00BE29A7" w:rsidRPr="00925FBE" w14:paraId="02688F92" w14:textId="77777777" w:rsidTr="00E90E6B">
        <w:trPr>
          <w:trHeight w:val="397"/>
        </w:trPr>
        <w:tc>
          <w:tcPr>
            <w:tcW w:w="999" w:type="dxa"/>
            <w:tcBorders>
              <w:right w:val="single" w:sz="4" w:space="0" w:color="FFFFFF" w:themeColor="background1"/>
            </w:tcBorders>
            <w:shd w:val="clear" w:color="auto" w:fill="000099"/>
            <w:vAlign w:val="center"/>
          </w:tcPr>
          <w:p w14:paraId="7E4ED0A1" w14:textId="75A1E78C" w:rsidR="00BE29A7" w:rsidRPr="00197236" w:rsidRDefault="00197236" w:rsidP="00047F49">
            <w:pPr>
              <w:spacing w:before="0" w:after="0" w:line="240" w:lineRule="auto"/>
              <w:jc w:val="center"/>
              <w:rPr>
                <w:b/>
                <w:bCs/>
              </w:rPr>
            </w:pPr>
            <w:r>
              <w:rPr>
                <w:b/>
                <w:bCs/>
              </w:rPr>
              <w:t>Objectif</w:t>
            </w:r>
          </w:p>
        </w:tc>
        <w:tc>
          <w:tcPr>
            <w:tcW w:w="7927" w:type="dxa"/>
            <w:tcBorders>
              <w:left w:val="single" w:sz="4" w:space="0" w:color="FFFFFF" w:themeColor="background1"/>
            </w:tcBorders>
            <w:shd w:val="clear" w:color="auto" w:fill="000099"/>
            <w:vAlign w:val="center"/>
          </w:tcPr>
          <w:p w14:paraId="30A699D7" w14:textId="77777777" w:rsidR="00BE29A7" w:rsidRPr="00197236" w:rsidRDefault="00BE29A7" w:rsidP="00047F49">
            <w:pPr>
              <w:spacing w:before="0" w:after="0" w:line="240" w:lineRule="auto"/>
              <w:jc w:val="center"/>
              <w:rPr>
                <w:b/>
                <w:bCs/>
              </w:rPr>
            </w:pPr>
            <w:r w:rsidRPr="00197236">
              <w:rPr>
                <w:b/>
                <w:bCs/>
              </w:rPr>
              <w:t>Description</w:t>
            </w:r>
          </w:p>
        </w:tc>
      </w:tr>
      <w:tr w:rsidR="00BE29A7" w:rsidRPr="00925FBE" w14:paraId="1119E610" w14:textId="77777777" w:rsidTr="00E90E6B">
        <w:trPr>
          <w:trHeight w:val="397"/>
        </w:trPr>
        <w:tc>
          <w:tcPr>
            <w:tcW w:w="999" w:type="dxa"/>
            <w:vAlign w:val="center"/>
          </w:tcPr>
          <w:p w14:paraId="00588BF1" w14:textId="6F8EEDDB" w:rsidR="00BE29A7" w:rsidRPr="00925FBE" w:rsidRDefault="00197236" w:rsidP="00D61233">
            <w:pPr>
              <w:spacing w:before="0" w:after="0" w:line="240" w:lineRule="auto"/>
              <w:jc w:val="center"/>
            </w:pPr>
            <w:r>
              <w:t>Objectif global</w:t>
            </w:r>
          </w:p>
        </w:tc>
        <w:tc>
          <w:tcPr>
            <w:tcW w:w="7927" w:type="dxa"/>
          </w:tcPr>
          <w:p w14:paraId="5FFD3CFF" w14:textId="3AFC9532" w:rsidR="00BE29A7" w:rsidRPr="00A221CC" w:rsidRDefault="00197236" w:rsidP="00047F49">
            <w:pPr>
              <w:spacing w:before="0" w:after="0" w:line="240" w:lineRule="auto"/>
              <w:jc w:val="both"/>
              <w:rPr>
                <w:sz w:val="18"/>
                <w:szCs w:val="20"/>
              </w:rPr>
            </w:pPr>
            <w:r w:rsidRPr="00197236">
              <w:rPr>
                <w:sz w:val="18"/>
                <w:szCs w:val="20"/>
              </w:rPr>
              <w:t>Cr</w:t>
            </w:r>
            <w:r w:rsidRPr="00197236">
              <w:rPr>
                <w:rFonts w:hint="eastAsia"/>
                <w:sz w:val="18"/>
                <w:szCs w:val="20"/>
              </w:rPr>
              <w:t>é</w:t>
            </w:r>
            <w:r w:rsidRPr="00197236">
              <w:rPr>
                <w:sz w:val="18"/>
                <w:szCs w:val="20"/>
              </w:rPr>
              <w:t xml:space="preserve">er un environnement propice </w:t>
            </w:r>
            <w:r w:rsidRPr="00197236">
              <w:rPr>
                <w:rFonts w:hint="eastAsia"/>
                <w:sz w:val="18"/>
                <w:szCs w:val="20"/>
              </w:rPr>
              <w:t>à</w:t>
            </w:r>
            <w:r w:rsidRPr="00197236">
              <w:rPr>
                <w:sz w:val="18"/>
                <w:szCs w:val="20"/>
              </w:rPr>
              <w:t xml:space="preserve"> une paix durable dans le parc national de la Kibira</w:t>
            </w:r>
            <w:r w:rsidRPr="00A221CC">
              <w:rPr>
                <w:sz w:val="18"/>
                <w:szCs w:val="20"/>
              </w:rPr>
              <w:t xml:space="preserve"> </w:t>
            </w:r>
            <w:r w:rsidRPr="00197236">
              <w:rPr>
                <w:sz w:val="18"/>
                <w:szCs w:val="20"/>
              </w:rPr>
              <w:t>en d</w:t>
            </w:r>
            <w:r w:rsidRPr="00197236">
              <w:rPr>
                <w:rFonts w:hint="eastAsia"/>
                <w:sz w:val="18"/>
                <w:szCs w:val="20"/>
              </w:rPr>
              <w:t>é</w:t>
            </w:r>
            <w:r w:rsidRPr="00197236">
              <w:rPr>
                <w:sz w:val="18"/>
                <w:szCs w:val="20"/>
              </w:rPr>
              <w:t>ployant une strat</w:t>
            </w:r>
            <w:r w:rsidRPr="00197236">
              <w:rPr>
                <w:rFonts w:hint="eastAsia"/>
                <w:sz w:val="18"/>
                <w:szCs w:val="20"/>
              </w:rPr>
              <w:t>é</w:t>
            </w:r>
            <w:r w:rsidRPr="00197236">
              <w:rPr>
                <w:sz w:val="18"/>
                <w:szCs w:val="20"/>
              </w:rPr>
              <w:t>gie combin</w:t>
            </w:r>
            <w:r w:rsidRPr="00197236">
              <w:rPr>
                <w:rFonts w:hint="eastAsia"/>
                <w:sz w:val="18"/>
                <w:szCs w:val="20"/>
              </w:rPr>
              <w:t>é</w:t>
            </w:r>
            <w:r w:rsidRPr="00197236">
              <w:rPr>
                <w:sz w:val="18"/>
                <w:szCs w:val="20"/>
              </w:rPr>
              <w:t>e et s</w:t>
            </w:r>
            <w:r w:rsidRPr="00197236">
              <w:rPr>
                <w:rFonts w:hint="eastAsia"/>
                <w:sz w:val="18"/>
                <w:szCs w:val="20"/>
              </w:rPr>
              <w:t>é</w:t>
            </w:r>
            <w:r w:rsidRPr="00197236">
              <w:rPr>
                <w:sz w:val="18"/>
                <w:szCs w:val="20"/>
              </w:rPr>
              <w:t>quenc</w:t>
            </w:r>
            <w:r w:rsidRPr="00197236">
              <w:rPr>
                <w:rFonts w:hint="eastAsia"/>
                <w:sz w:val="18"/>
                <w:szCs w:val="20"/>
              </w:rPr>
              <w:t>é</w:t>
            </w:r>
            <w:r w:rsidRPr="00197236">
              <w:rPr>
                <w:sz w:val="18"/>
                <w:szCs w:val="20"/>
              </w:rPr>
              <w:t xml:space="preserve">e de protection, d'investissement et de REDD+ visant </w:t>
            </w:r>
            <w:r w:rsidRPr="00197236">
              <w:rPr>
                <w:rFonts w:hint="eastAsia"/>
                <w:sz w:val="18"/>
                <w:szCs w:val="20"/>
              </w:rPr>
              <w:t>à</w:t>
            </w:r>
            <w:r w:rsidRPr="00A221CC">
              <w:rPr>
                <w:sz w:val="18"/>
                <w:szCs w:val="20"/>
              </w:rPr>
              <w:t xml:space="preserve"> instaurer la confiance au sein des communaut</w:t>
            </w:r>
            <w:r w:rsidRPr="00A221CC">
              <w:rPr>
                <w:rFonts w:hint="eastAsia"/>
                <w:sz w:val="18"/>
                <w:szCs w:val="20"/>
              </w:rPr>
              <w:t>é</w:t>
            </w:r>
            <w:r w:rsidRPr="00A221CC">
              <w:rPr>
                <w:sz w:val="18"/>
                <w:szCs w:val="20"/>
              </w:rPr>
              <w:t>s locales et entre elles ainsi qu'avec les autorit</w:t>
            </w:r>
            <w:r w:rsidRPr="00A221CC">
              <w:rPr>
                <w:rFonts w:hint="eastAsia"/>
                <w:sz w:val="18"/>
                <w:szCs w:val="20"/>
              </w:rPr>
              <w:t>é</w:t>
            </w:r>
            <w:r w:rsidRPr="00A221CC">
              <w:rPr>
                <w:sz w:val="18"/>
                <w:szCs w:val="20"/>
              </w:rPr>
              <w:t xml:space="preserve">s nationales </w:t>
            </w:r>
            <w:r w:rsidRPr="00A221CC">
              <w:rPr>
                <w:rFonts w:hint="eastAsia"/>
                <w:sz w:val="18"/>
                <w:szCs w:val="20"/>
              </w:rPr>
              <w:t>à</w:t>
            </w:r>
            <w:r w:rsidRPr="00A221CC">
              <w:rPr>
                <w:sz w:val="18"/>
                <w:szCs w:val="20"/>
              </w:rPr>
              <w:t xml:space="preserve"> r</w:t>
            </w:r>
            <w:r w:rsidRPr="00A221CC">
              <w:rPr>
                <w:rFonts w:hint="eastAsia"/>
                <w:sz w:val="18"/>
                <w:szCs w:val="20"/>
              </w:rPr>
              <w:t>é</w:t>
            </w:r>
            <w:r w:rsidRPr="00A221CC">
              <w:rPr>
                <w:sz w:val="18"/>
                <w:szCs w:val="20"/>
              </w:rPr>
              <w:t>duire les facteurs de d</w:t>
            </w:r>
            <w:r w:rsidRPr="00A221CC">
              <w:rPr>
                <w:rFonts w:hint="eastAsia"/>
                <w:sz w:val="18"/>
                <w:szCs w:val="20"/>
              </w:rPr>
              <w:t>é</w:t>
            </w:r>
            <w:r w:rsidRPr="00A221CC">
              <w:rPr>
                <w:sz w:val="18"/>
                <w:szCs w:val="20"/>
              </w:rPr>
              <w:t>forestation</w:t>
            </w:r>
            <w:r w:rsidR="00746207">
              <w:rPr>
                <w:sz w:val="18"/>
                <w:szCs w:val="20"/>
              </w:rPr>
              <w:t xml:space="preserve"> et de dégradation forestière</w:t>
            </w:r>
            <w:r w:rsidRPr="00A221CC">
              <w:rPr>
                <w:sz w:val="18"/>
                <w:szCs w:val="20"/>
              </w:rPr>
              <w:t xml:space="preserve">, </w:t>
            </w:r>
            <w:r w:rsidRPr="00A221CC">
              <w:rPr>
                <w:rFonts w:hint="eastAsia"/>
                <w:sz w:val="18"/>
                <w:szCs w:val="20"/>
              </w:rPr>
              <w:t>à</w:t>
            </w:r>
            <w:r w:rsidRPr="00A221CC">
              <w:rPr>
                <w:sz w:val="18"/>
                <w:szCs w:val="20"/>
              </w:rPr>
              <w:t xml:space="preserve"> fournir des mod</w:t>
            </w:r>
            <w:r w:rsidRPr="00A221CC">
              <w:rPr>
                <w:rFonts w:hint="eastAsia"/>
                <w:sz w:val="18"/>
                <w:szCs w:val="20"/>
              </w:rPr>
              <w:t>è</w:t>
            </w:r>
            <w:r w:rsidRPr="00A221CC">
              <w:rPr>
                <w:sz w:val="18"/>
                <w:szCs w:val="20"/>
              </w:rPr>
              <w:t xml:space="preserve">les de subsistance alternatifs qui apportent des </w:t>
            </w:r>
            <w:proofErr w:type="spellStart"/>
            <w:r w:rsidRPr="00197236">
              <w:rPr>
                <w:sz w:val="18"/>
                <w:szCs w:val="20"/>
              </w:rPr>
              <w:t>co</w:t>
            </w:r>
            <w:proofErr w:type="spellEnd"/>
            <w:r w:rsidRPr="00197236">
              <w:rPr>
                <w:sz w:val="18"/>
                <w:szCs w:val="20"/>
              </w:rPr>
              <w:t>-b</w:t>
            </w:r>
            <w:r w:rsidRPr="00197236">
              <w:rPr>
                <w:rFonts w:hint="eastAsia"/>
                <w:sz w:val="18"/>
                <w:szCs w:val="20"/>
              </w:rPr>
              <w:t>é</w:t>
            </w:r>
            <w:r w:rsidRPr="00197236">
              <w:rPr>
                <w:sz w:val="18"/>
                <w:szCs w:val="20"/>
              </w:rPr>
              <w:t>n</w:t>
            </w:r>
            <w:r w:rsidRPr="00197236">
              <w:rPr>
                <w:rFonts w:hint="eastAsia"/>
                <w:sz w:val="18"/>
                <w:szCs w:val="20"/>
              </w:rPr>
              <w:t>é</w:t>
            </w:r>
            <w:r w:rsidRPr="00197236">
              <w:rPr>
                <w:sz w:val="18"/>
                <w:szCs w:val="20"/>
              </w:rPr>
              <w:t>fices aux communaut</w:t>
            </w:r>
            <w:r w:rsidRPr="00197236">
              <w:rPr>
                <w:rFonts w:hint="eastAsia"/>
                <w:sz w:val="18"/>
                <w:szCs w:val="20"/>
              </w:rPr>
              <w:t>é</w:t>
            </w:r>
            <w:r w:rsidRPr="00197236">
              <w:rPr>
                <w:sz w:val="18"/>
                <w:szCs w:val="20"/>
              </w:rPr>
              <w:t xml:space="preserve">s, </w:t>
            </w:r>
            <w:r w:rsidRPr="00197236">
              <w:rPr>
                <w:rFonts w:hint="eastAsia"/>
                <w:sz w:val="18"/>
                <w:szCs w:val="20"/>
              </w:rPr>
              <w:t>à</w:t>
            </w:r>
            <w:r w:rsidRPr="00197236">
              <w:rPr>
                <w:sz w:val="18"/>
                <w:szCs w:val="20"/>
              </w:rPr>
              <w:t xml:space="preserve"> favoriser la conservation et la paix </w:t>
            </w:r>
            <w:r w:rsidRPr="00197236">
              <w:rPr>
                <w:rFonts w:hint="eastAsia"/>
                <w:sz w:val="18"/>
                <w:szCs w:val="20"/>
              </w:rPr>
              <w:t>à</w:t>
            </w:r>
            <w:r w:rsidRPr="00197236">
              <w:rPr>
                <w:sz w:val="18"/>
                <w:szCs w:val="20"/>
              </w:rPr>
              <w:t xml:space="preserve"> plus long terme et, au minimum, </w:t>
            </w:r>
            <w:r w:rsidRPr="00197236">
              <w:rPr>
                <w:rFonts w:hint="eastAsia"/>
                <w:sz w:val="18"/>
                <w:szCs w:val="20"/>
              </w:rPr>
              <w:t>à</w:t>
            </w:r>
            <w:r w:rsidRPr="00A221CC">
              <w:rPr>
                <w:sz w:val="18"/>
                <w:szCs w:val="20"/>
              </w:rPr>
              <w:t xml:space="preserve"> financer et </w:t>
            </w:r>
            <w:r w:rsidRPr="00A221CC">
              <w:rPr>
                <w:rFonts w:hint="eastAsia"/>
                <w:sz w:val="18"/>
                <w:szCs w:val="20"/>
              </w:rPr>
              <w:t>à</w:t>
            </w:r>
            <w:r w:rsidRPr="00A221CC">
              <w:rPr>
                <w:sz w:val="18"/>
                <w:szCs w:val="20"/>
              </w:rPr>
              <w:t xml:space="preserve"> permettre aux autorit</w:t>
            </w:r>
            <w:r w:rsidRPr="00A221CC">
              <w:rPr>
                <w:rFonts w:hint="eastAsia"/>
                <w:sz w:val="18"/>
                <w:szCs w:val="20"/>
              </w:rPr>
              <w:t>é</w:t>
            </w:r>
            <w:r w:rsidRPr="00A221CC">
              <w:rPr>
                <w:sz w:val="18"/>
                <w:szCs w:val="20"/>
              </w:rPr>
              <w:t>s nationales d'am</w:t>
            </w:r>
            <w:r w:rsidRPr="00A221CC">
              <w:rPr>
                <w:rFonts w:hint="eastAsia"/>
                <w:sz w:val="18"/>
                <w:szCs w:val="20"/>
              </w:rPr>
              <w:t>é</w:t>
            </w:r>
            <w:r w:rsidRPr="00A221CC">
              <w:rPr>
                <w:sz w:val="18"/>
                <w:szCs w:val="20"/>
              </w:rPr>
              <w:t>liorer la s</w:t>
            </w:r>
            <w:r w:rsidRPr="00A221CC">
              <w:rPr>
                <w:rFonts w:hint="eastAsia"/>
                <w:sz w:val="18"/>
                <w:szCs w:val="20"/>
              </w:rPr>
              <w:t>é</w:t>
            </w:r>
            <w:r w:rsidRPr="00A221CC">
              <w:rPr>
                <w:sz w:val="18"/>
                <w:szCs w:val="20"/>
              </w:rPr>
              <w:t>curit</w:t>
            </w:r>
            <w:r w:rsidRPr="00A221CC">
              <w:rPr>
                <w:rFonts w:hint="eastAsia"/>
                <w:sz w:val="18"/>
                <w:szCs w:val="20"/>
              </w:rPr>
              <w:t>é</w:t>
            </w:r>
            <w:r w:rsidRPr="00A221CC">
              <w:rPr>
                <w:sz w:val="18"/>
                <w:szCs w:val="20"/>
              </w:rPr>
              <w:t xml:space="preserve"> des for</w:t>
            </w:r>
            <w:r w:rsidRPr="00A221CC">
              <w:rPr>
                <w:rFonts w:hint="eastAsia"/>
                <w:sz w:val="18"/>
                <w:szCs w:val="20"/>
              </w:rPr>
              <w:t>ê</w:t>
            </w:r>
            <w:r w:rsidRPr="00A221CC">
              <w:rPr>
                <w:sz w:val="18"/>
                <w:szCs w:val="20"/>
              </w:rPr>
              <w:t>ts et des communaut</w:t>
            </w:r>
            <w:r w:rsidRPr="00A221CC">
              <w:rPr>
                <w:rFonts w:hint="eastAsia"/>
                <w:sz w:val="18"/>
                <w:szCs w:val="20"/>
              </w:rPr>
              <w:t>é</w:t>
            </w:r>
            <w:r w:rsidRPr="00A221CC">
              <w:rPr>
                <w:sz w:val="18"/>
                <w:szCs w:val="20"/>
              </w:rPr>
              <w:t>s.</w:t>
            </w:r>
          </w:p>
        </w:tc>
      </w:tr>
      <w:tr w:rsidR="00BE29A7" w:rsidRPr="00925FBE" w14:paraId="702069A4" w14:textId="77777777" w:rsidTr="00E90E6B">
        <w:trPr>
          <w:trHeight w:val="397"/>
        </w:trPr>
        <w:tc>
          <w:tcPr>
            <w:tcW w:w="999" w:type="dxa"/>
            <w:vAlign w:val="center"/>
          </w:tcPr>
          <w:p w14:paraId="04DE16CD" w14:textId="500C9CAB" w:rsidR="00D61233" w:rsidRDefault="00197236" w:rsidP="00D61233">
            <w:pPr>
              <w:spacing w:before="0" w:after="0" w:line="240" w:lineRule="auto"/>
              <w:jc w:val="center"/>
            </w:pPr>
            <w:r>
              <w:t>Effet</w:t>
            </w:r>
          </w:p>
          <w:p w14:paraId="299BBED1" w14:textId="2C8BA8F9" w:rsidR="00BE29A7" w:rsidRPr="00925FBE" w:rsidRDefault="00197236" w:rsidP="00D61233">
            <w:pPr>
              <w:spacing w:before="0" w:after="0" w:line="240" w:lineRule="auto"/>
              <w:jc w:val="center"/>
            </w:pPr>
            <w:r>
              <w:t>1</w:t>
            </w:r>
          </w:p>
        </w:tc>
        <w:tc>
          <w:tcPr>
            <w:tcW w:w="7927" w:type="dxa"/>
          </w:tcPr>
          <w:p w14:paraId="56F42AF2" w14:textId="50B79D5D" w:rsidR="00BE29A7" w:rsidRPr="00A221CC" w:rsidRDefault="00197236" w:rsidP="00047F49">
            <w:pPr>
              <w:spacing w:before="0" w:after="0" w:line="240" w:lineRule="auto"/>
              <w:jc w:val="both"/>
              <w:rPr>
                <w:sz w:val="18"/>
                <w:szCs w:val="20"/>
              </w:rPr>
            </w:pPr>
            <w:r w:rsidRPr="00197236">
              <w:rPr>
                <w:sz w:val="18"/>
                <w:szCs w:val="20"/>
              </w:rPr>
              <w:t>La coh</w:t>
            </w:r>
            <w:r w:rsidRPr="00197236">
              <w:rPr>
                <w:rFonts w:hint="eastAsia"/>
                <w:sz w:val="18"/>
                <w:szCs w:val="20"/>
              </w:rPr>
              <w:t>é</w:t>
            </w:r>
            <w:r w:rsidRPr="00197236">
              <w:rPr>
                <w:sz w:val="18"/>
                <w:szCs w:val="20"/>
              </w:rPr>
              <w:t>sion sociale, la gouvernance locale et la conservation de la for</w:t>
            </w:r>
            <w:r w:rsidRPr="00197236">
              <w:rPr>
                <w:rFonts w:hint="eastAsia"/>
                <w:sz w:val="18"/>
                <w:szCs w:val="20"/>
              </w:rPr>
              <w:t>ê</w:t>
            </w:r>
            <w:r w:rsidRPr="00197236">
              <w:rPr>
                <w:sz w:val="18"/>
                <w:szCs w:val="20"/>
              </w:rPr>
              <w:t>t sont am</w:t>
            </w:r>
            <w:r w:rsidRPr="00197236">
              <w:rPr>
                <w:rFonts w:hint="eastAsia"/>
                <w:sz w:val="18"/>
                <w:szCs w:val="20"/>
              </w:rPr>
              <w:t>é</w:t>
            </w:r>
            <w:r w:rsidRPr="00197236">
              <w:rPr>
                <w:sz w:val="18"/>
                <w:szCs w:val="20"/>
              </w:rPr>
              <w:t>lior</w:t>
            </w:r>
            <w:r w:rsidRPr="00197236">
              <w:rPr>
                <w:rFonts w:hint="eastAsia"/>
                <w:sz w:val="18"/>
                <w:szCs w:val="20"/>
              </w:rPr>
              <w:t>é</w:t>
            </w:r>
            <w:r w:rsidRPr="00197236">
              <w:rPr>
                <w:sz w:val="18"/>
                <w:szCs w:val="20"/>
              </w:rPr>
              <w:t>es gr</w:t>
            </w:r>
            <w:r w:rsidRPr="00197236">
              <w:rPr>
                <w:rFonts w:hint="eastAsia"/>
                <w:sz w:val="18"/>
                <w:szCs w:val="20"/>
              </w:rPr>
              <w:t>â</w:t>
            </w:r>
            <w:r w:rsidRPr="00197236">
              <w:rPr>
                <w:sz w:val="18"/>
                <w:szCs w:val="20"/>
              </w:rPr>
              <w:t>ce</w:t>
            </w:r>
            <w:r w:rsidRPr="00A221CC">
              <w:rPr>
                <w:sz w:val="18"/>
                <w:szCs w:val="20"/>
              </w:rPr>
              <w:t xml:space="preserve"> </w:t>
            </w:r>
            <w:r w:rsidRPr="00197236">
              <w:rPr>
                <w:rFonts w:hint="eastAsia"/>
                <w:sz w:val="18"/>
                <w:szCs w:val="20"/>
              </w:rPr>
              <w:t>à</w:t>
            </w:r>
            <w:r w:rsidRPr="00197236">
              <w:rPr>
                <w:sz w:val="18"/>
                <w:szCs w:val="20"/>
              </w:rPr>
              <w:t xml:space="preserve"> l'engagement de la communaut</w:t>
            </w:r>
            <w:r w:rsidRPr="00197236">
              <w:rPr>
                <w:rFonts w:hint="eastAsia"/>
                <w:sz w:val="18"/>
                <w:szCs w:val="20"/>
              </w:rPr>
              <w:t>é</w:t>
            </w:r>
            <w:r w:rsidRPr="00197236">
              <w:rPr>
                <w:sz w:val="18"/>
                <w:szCs w:val="20"/>
              </w:rPr>
              <w:t>, du gouvernement et du secteur priv</w:t>
            </w:r>
            <w:r w:rsidRPr="00197236">
              <w:rPr>
                <w:rFonts w:hint="eastAsia"/>
                <w:sz w:val="18"/>
                <w:szCs w:val="20"/>
              </w:rPr>
              <w:t>é</w:t>
            </w:r>
            <w:r w:rsidRPr="00197236">
              <w:rPr>
                <w:sz w:val="18"/>
                <w:szCs w:val="20"/>
              </w:rPr>
              <w:t xml:space="preserve"> pour s'attaquer aux moteurs</w:t>
            </w:r>
            <w:r w:rsidRPr="00A221CC">
              <w:rPr>
                <w:sz w:val="18"/>
                <w:szCs w:val="20"/>
              </w:rPr>
              <w:t xml:space="preserve"> interd</w:t>
            </w:r>
            <w:r w:rsidRPr="00A221CC">
              <w:rPr>
                <w:rFonts w:hint="eastAsia"/>
                <w:sz w:val="18"/>
                <w:szCs w:val="20"/>
              </w:rPr>
              <w:t>é</w:t>
            </w:r>
            <w:r w:rsidRPr="00A221CC">
              <w:rPr>
                <w:sz w:val="18"/>
                <w:szCs w:val="20"/>
              </w:rPr>
              <w:t>pendants des conflits locaux et de la d</w:t>
            </w:r>
            <w:r w:rsidRPr="00A221CC">
              <w:rPr>
                <w:rFonts w:hint="eastAsia"/>
                <w:sz w:val="18"/>
                <w:szCs w:val="20"/>
              </w:rPr>
              <w:t>é</w:t>
            </w:r>
            <w:r w:rsidRPr="00A221CC">
              <w:rPr>
                <w:sz w:val="18"/>
                <w:szCs w:val="20"/>
              </w:rPr>
              <w:t xml:space="preserve">forestation </w:t>
            </w:r>
            <w:r w:rsidRPr="00A221CC">
              <w:rPr>
                <w:rFonts w:hint="eastAsia"/>
                <w:sz w:val="18"/>
                <w:szCs w:val="20"/>
              </w:rPr>
              <w:t>à</w:t>
            </w:r>
            <w:r w:rsidRPr="00A221CC">
              <w:rPr>
                <w:sz w:val="18"/>
                <w:szCs w:val="20"/>
              </w:rPr>
              <w:t xml:space="preserve"> Kibira et dans ses environs.</w:t>
            </w:r>
          </w:p>
        </w:tc>
      </w:tr>
      <w:tr w:rsidR="00BE29A7" w:rsidRPr="00925FBE" w14:paraId="7D0FFCDF" w14:textId="77777777" w:rsidTr="00E90E6B">
        <w:trPr>
          <w:trHeight w:val="397"/>
        </w:trPr>
        <w:tc>
          <w:tcPr>
            <w:tcW w:w="999" w:type="dxa"/>
            <w:vAlign w:val="center"/>
          </w:tcPr>
          <w:p w14:paraId="2681AFB7" w14:textId="26BD8A67" w:rsidR="00BE29A7" w:rsidRPr="00925FBE" w:rsidRDefault="00197236" w:rsidP="00D61233">
            <w:pPr>
              <w:spacing w:before="0" w:after="0" w:line="240" w:lineRule="auto"/>
              <w:jc w:val="center"/>
            </w:pPr>
            <w:r>
              <w:t>Produit 1.1</w:t>
            </w:r>
          </w:p>
        </w:tc>
        <w:tc>
          <w:tcPr>
            <w:tcW w:w="7927" w:type="dxa"/>
          </w:tcPr>
          <w:p w14:paraId="583ED220" w14:textId="63B412E0" w:rsidR="00BE29A7" w:rsidRPr="00A221CC" w:rsidRDefault="00197236" w:rsidP="00047F49">
            <w:pPr>
              <w:spacing w:before="0" w:after="0" w:line="240" w:lineRule="auto"/>
              <w:jc w:val="both"/>
              <w:rPr>
                <w:sz w:val="18"/>
                <w:szCs w:val="20"/>
              </w:rPr>
            </w:pPr>
            <w:r w:rsidRPr="00197236">
              <w:rPr>
                <w:sz w:val="18"/>
                <w:szCs w:val="20"/>
              </w:rPr>
              <w:t>Un cadre commun pour la conservation durable de la forêt de Kibira en tenant compte des</w:t>
            </w:r>
            <w:r w:rsidRPr="00A221CC">
              <w:rPr>
                <w:sz w:val="18"/>
                <w:szCs w:val="20"/>
              </w:rPr>
              <w:t xml:space="preserve"> </w:t>
            </w:r>
            <w:r w:rsidRPr="00197236">
              <w:rPr>
                <w:sz w:val="18"/>
                <w:szCs w:val="20"/>
              </w:rPr>
              <w:t xml:space="preserve">conflits est établi entre le gouvernement, les représentants des communautés locales, y compris les </w:t>
            </w:r>
            <w:proofErr w:type="spellStart"/>
            <w:r w:rsidRPr="00A221CC">
              <w:rPr>
                <w:sz w:val="18"/>
                <w:szCs w:val="20"/>
              </w:rPr>
              <w:t>Batwa</w:t>
            </w:r>
            <w:proofErr w:type="spellEnd"/>
            <w:r w:rsidRPr="00197236">
              <w:rPr>
                <w:sz w:val="18"/>
                <w:szCs w:val="20"/>
              </w:rPr>
              <w:t>, et</w:t>
            </w:r>
            <w:r w:rsidRPr="00A221CC">
              <w:rPr>
                <w:sz w:val="18"/>
                <w:szCs w:val="20"/>
              </w:rPr>
              <w:t xml:space="preserve"> les partenaires du secteur privé</w:t>
            </w:r>
          </w:p>
        </w:tc>
      </w:tr>
      <w:tr w:rsidR="00BE29A7" w:rsidRPr="00925FBE" w14:paraId="7C05D516" w14:textId="77777777" w:rsidTr="00E90E6B">
        <w:trPr>
          <w:trHeight w:val="397"/>
        </w:trPr>
        <w:tc>
          <w:tcPr>
            <w:tcW w:w="999" w:type="dxa"/>
            <w:vAlign w:val="center"/>
          </w:tcPr>
          <w:p w14:paraId="696502C0" w14:textId="2C868099" w:rsidR="00BE29A7" w:rsidRPr="00925FBE" w:rsidRDefault="00197236" w:rsidP="00D61233">
            <w:pPr>
              <w:spacing w:before="0" w:after="0" w:line="240" w:lineRule="auto"/>
              <w:jc w:val="center"/>
            </w:pPr>
            <w:r>
              <w:t>Produit 1.2</w:t>
            </w:r>
          </w:p>
        </w:tc>
        <w:tc>
          <w:tcPr>
            <w:tcW w:w="7927" w:type="dxa"/>
          </w:tcPr>
          <w:p w14:paraId="632776CF" w14:textId="6BE330CA" w:rsidR="00BE29A7" w:rsidRPr="00A221CC" w:rsidRDefault="00197236" w:rsidP="00047F49">
            <w:pPr>
              <w:spacing w:before="0" w:after="0" w:line="240" w:lineRule="auto"/>
              <w:jc w:val="both"/>
              <w:rPr>
                <w:sz w:val="18"/>
                <w:szCs w:val="20"/>
              </w:rPr>
            </w:pPr>
            <w:r w:rsidRPr="00197236">
              <w:rPr>
                <w:sz w:val="18"/>
                <w:szCs w:val="20"/>
              </w:rPr>
              <w:t>Le gouvernement du Burundi formera, équipera et déploiera les gardes forestiers et les</w:t>
            </w:r>
            <w:r w:rsidRPr="00A221CC">
              <w:rPr>
                <w:sz w:val="18"/>
                <w:szCs w:val="20"/>
              </w:rPr>
              <w:t xml:space="preserve"> </w:t>
            </w:r>
            <w:r w:rsidRPr="00197236">
              <w:rPr>
                <w:sz w:val="18"/>
                <w:szCs w:val="20"/>
              </w:rPr>
              <w:t>écogardes de l'OBPE sur la base d'une consultation et d'une participation de la</w:t>
            </w:r>
            <w:r w:rsidRPr="00A221CC">
              <w:rPr>
                <w:sz w:val="18"/>
                <w:szCs w:val="20"/>
              </w:rPr>
              <w:t xml:space="preserve"> communauté, et préparera le terrain en </w:t>
            </w:r>
            <w:r w:rsidR="00F819C4">
              <w:rPr>
                <w:sz w:val="18"/>
                <w:szCs w:val="20"/>
              </w:rPr>
              <w:t>mettant en place</w:t>
            </w:r>
            <w:r w:rsidR="00F819C4" w:rsidRPr="00A221CC">
              <w:rPr>
                <w:sz w:val="18"/>
                <w:szCs w:val="20"/>
              </w:rPr>
              <w:t xml:space="preserve"> </w:t>
            </w:r>
            <w:r w:rsidR="00F819C4">
              <w:rPr>
                <w:sz w:val="18"/>
                <w:szCs w:val="20"/>
              </w:rPr>
              <w:t>l</w:t>
            </w:r>
            <w:r w:rsidRPr="00A221CC">
              <w:rPr>
                <w:sz w:val="18"/>
                <w:szCs w:val="20"/>
              </w:rPr>
              <w:t xml:space="preserve">es procédures </w:t>
            </w:r>
            <w:r w:rsidRPr="00E11909">
              <w:rPr>
                <w:sz w:val="18"/>
                <w:szCs w:val="20"/>
              </w:rPr>
              <w:t xml:space="preserve">et </w:t>
            </w:r>
            <w:r w:rsidR="00E11909" w:rsidRPr="0062653C">
              <w:rPr>
                <w:sz w:val="18"/>
                <w:szCs w:val="20"/>
              </w:rPr>
              <w:t>l</w:t>
            </w:r>
            <w:r w:rsidRPr="00E11909">
              <w:rPr>
                <w:sz w:val="18"/>
                <w:szCs w:val="20"/>
              </w:rPr>
              <w:t>es cadres</w:t>
            </w:r>
            <w:r w:rsidR="00E11909">
              <w:rPr>
                <w:sz w:val="18"/>
                <w:szCs w:val="20"/>
              </w:rPr>
              <w:t xml:space="preserve"> institutionnels nécessaires</w:t>
            </w:r>
            <w:r w:rsidRPr="00A221CC">
              <w:rPr>
                <w:sz w:val="18"/>
                <w:szCs w:val="20"/>
              </w:rPr>
              <w:t>.</w:t>
            </w:r>
          </w:p>
        </w:tc>
      </w:tr>
      <w:tr w:rsidR="00BE29A7" w:rsidRPr="00925FBE" w14:paraId="27EB2DC2" w14:textId="77777777" w:rsidTr="00E90E6B">
        <w:trPr>
          <w:trHeight w:val="397"/>
        </w:trPr>
        <w:tc>
          <w:tcPr>
            <w:tcW w:w="999" w:type="dxa"/>
            <w:vAlign w:val="center"/>
          </w:tcPr>
          <w:p w14:paraId="06CCB0CB" w14:textId="66129A53" w:rsidR="00BE29A7" w:rsidRPr="00925FBE" w:rsidRDefault="00197236" w:rsidP="00D61233">
            <w:pPr>
              <w:spacing w:before="0" w:after="0" w:line="240" w:lineRule="auto"/>
              <w:jc w:val="center"/>
            </w:pPr>
            <w:r>
              <w:t>Produit 1.3</w:t>
            </w:r>
          </w:p>
        </w:tc>
        <w:tc>
          <w:tcPr>
            <w:tcW w:w="7927" w:type="dxa"/>
          </w:tcPr>
          <w:p w14:paraId="75A722B3" w14:textId="597C9315" w:rsidR="00BE29A7" w:rsidRPr="00A221CC" w:rsidRDefault="00197236" w:rsidP="00047F49">
            <w:pPr>
              <w:spacing w:before="0" w:after="0" w:line="240" w:lineRule="auto"/>
              <w:jc w:val="both"/>
              <w:rPr>
                <w:sz w:val="18"/>
                <w:szCs w:val="20"/>
              </w:rPr>
            </w:pPr>
            <w:r w:rsidRPr="00197236">
              <w:rPr>
                <w:sz w:val="18"/>
                <w:szCs w:val="20"/>
              </w:rPr>
              <w:t>La cohésion sociale à long terme, la résilience et le développement des communautés sont</w:t>
            </w:r>
            <w:r w:rsidRPr="00A221CC">
              <w:rPr>
                <w:sz w:val="18"/>
                <w:szCs w:val="20"/>
              </w:rPr>
              <w:t xml:space="preserve"> </w:t>
            </w:r>
            <w:r w:rsidRPr="00197236">
              <w:rPr>
                <w:sz w:val="18"/>
                <w:szCs w:val="20"/>
              </w:rPr>
              <w:t>assurés par la création de liens durables avec la forêt de Kibira et l'engagement des acteurs des</w:t>
            </w:r>
            <w:r w:rsidRPr="00A221CC">
              <w:rPr>
                <w:sz w:val="18"/>
                <w:szCs w:val="20"/>
              </w:rPr>
              <w:t xml:space="preserve"> </w:t>
            </w:r>
            <w:r w:rsidRPr="00197236">
              <w:rPr>
                <w:sz w:val="18"/>
                <w:szCs w:val="20"/>
              </w:rPr>
              <w:t xml:space="preserve">communautés locales, notamment les femmes, les jeunes et les </w:t>
            </w:r>
            <w:proofErr w:type="spellStart"/>
            <w:r w:rsidRPr="00A221CC">
              <w:rPr>
                <w:sz w:val="18"/>
                <w:szCs w:val="20"/>
              </w:rPr>
              <w:t>Batw</w:t>
            </w:r>
            <w:r w:rsidRPr="00197236">
              <w:rPr>
                <w:sz w:val="18"/>
                <w:szCs w:val="20"/>
              </w:rPr>
              <w:t>a</w:t>
            </w:r>
            <w:proofErr w:type="spellEnd"/>
            <w:r w:rsidRPr="00197236">
              <w:rPr>
                <w:sz w:val="18"/>
                <w:szCs w:val="20"/>
              </w:rPr>
              <w:t>, afin de prévenir et de désamorcer les</w:t>
            </w:r>
            <w:r w:rsidRPr="00A221CC">
              <w:rPr>
                <w:sz w:val="18"/>
                <w:szCs w:val="20"/>
              </w:rPr>
              <w:t xml:space="preserve"> conflits locaux et d'améliorer la sécurité des communautés.</w:t>
            </w:r>
          </w:p>
        </w:tc>
      </w:tr>
      <w:tr w:rsidR="00D138EE" w:rsidRPr="00925FBE" w14:paraId="51A9F5C3" w14:textId="77777777" w:rsidTr="00E90E6B">
        <w:trPr>
          <w:trHeight w:val="397"/>
        </w:trPr>
        <w:tc>
          <w:tcPr>
            <w:tcW w:w="999" w:type="dxa"/>
            <w:vAlign w:val="center"/>
          </w:tcPr>
          <w:p w14:paraId="1F2E58AD" w14:textId="0EE33254" w:rsidR="00D61233" w:rsidRDefault="00D138EE" w:rsidP="00D61233">
            <w:pPr>
              <w:spacing w:before="0" w:after="0" w:line="240" w:lineRule="auto"/>
              <w:jc w:val="center"/>
            </w:pPr>
            <w:r>
              <w:t>Effet</w:t>
            </w:r>
          </w:p>
          <w:p w14:paraId="68AB545F" w14:textId="571D6EBE" w:rsidR="00D138EE" w:rsidRDefault="00D138EE" w:rsidP="00D61233">
            <w:pPr>
              <w:spacing w:before="0" w:after="0" w:line="240" w:lineRule="auto"/>
              <w:jc w:val="center"/>
            </w:pPr>
            <w:r>
              <w:t>2</w:t>
            </w:r>
          </w:p>
        </w:tc>
        <w:tc>
          <w:tcPr>
            <w:tcW w:w="7927" w:type="dxa"/>
          </w:tcPr>
          <w:p w14:paraId="0FD0A080" w14:textId="77777777" w:rsidR="00D138EE" w:rsidRPr="00A221CC" w:rsidRDefault="00D138EE" w:rsidP="00047F49">
            <w:pPr>
              <w:spacing w:before="0" w:after="0" w:line="240" w:lineRule="auto"/>
              <w:jc w:val="both"/>
              <w:rPr>
                <w:sz w:val="18"/>
                <w:szCs w:val="20"/>
              </w:rPr>
            </w:pPr>
            <w:r w:rsidRPr="00745E55">
              <w:rPr>
                <w:sz w:val="18"/>
                <w:szCs w:val="20"/>
              </w:rPr>
              <w:t>L'acc</w:t>
            </w:r>
            <w:r w:rsidRPr="00745E55">
              <w:rPr>
                <w:rFonts w:hint="eastAsia"/>
                <w:sz w:val="18"/>
                <w:szCs w:val="20"/>
              </w:rPr>
              <w:t>è</w:t>
            </w:r>
            <w:r w:rsidRPr="00745E55">
              <w:rPr>
                <w:sz w:val="18"/>
                <w:szCs w:val="20"/>
              </w:rPr>
              <w:t xml:space="preserve">s </w:t>
            </w:r>
            <w:r w:rsidRPr="00745E55">
              <w:rPr>
                <w:rFonts w:hint="eastAsia"/>
                <w:sz w:val="18"/>
                <w:szCs w:val="20"/>
              </w:rPr>
              <w:t>à</w:t>
            </w:r>
            <w:r w:rsidRPr="00745E55">
              <w:rPr>
                <w:sz w:val="18"/>
                <w:szCs w:val="20"/>
              </w:rPr>
              <w:t xml:space="preserve"> des moyens de subsistance durables est am</w:t>
            </w:r>
            <w:r w:rsidRPr="00745E55">
              <w:rPr>
                <w:rFonts w:hint="eastAsia"/>
                <w:sz w:val="18"/>
                <w:szCs w:val="20"/>
              </w:rPr>
              <w:t>é</w:t>
            </w:r>
            <w:r w:rsidRPr="00745E55">
              <w:rPr>
                <w:sz w:val="18"/>
                <w:szCs w:val="20"/>
              </w:rPr>
              <w:t>lior</w:t>
            </w:r>
            <w:r w:rsidRPr="00745E55">
              <w:rPr>
                <w:rFonts w:hint="eastAsia"/>
                <w:sz w:val="18"/>
                <w:szCs w:val="20"/>
              </w:rPr>
              <w:t>é</w:t>
            </w:r>
            <w:r w:rsidRPr="00745E55">
              <w:rPr>
                <w:sz w:val="18"/>
                <w:szCs w:val="20"/>
              </w:rPr>
              <w:t xml:space="preserve"> pour les communaut</w:t>
            </w:r>
            <w:r w:rsidRPr="00745E55">
              <w:rPr>
                <w:rFonts w:hint="eastAsia"/>
                <w:sz w:val="18"/>
                <w:szCs w:val="20"/>
              </w:rPr>
              <w:t>é</w:t>
            </w:r>
            <w:r w:rsidRPr="00745E55">
              <w:rPr>
                <w:sz w:val="18"/>
                <w:szCs w:val="20"/>
              </w:rPr>
              <w:t>s dans et</w:t>
            </w:r>
            <w:r w:rsidRPr="00A221CC">
              <w:rPr>
                <w:sz w:val="18"/>
                <w:szCs w:val="20"/>
              </w:rPr>
              <w:t xml:space="preserve"> </w:t>
            </w:r>
            <w:r w:rsidRPr="00745E55">
              <w:rPr>
                <w:sz w:val="18"/>
                <w:szCs w:val="20"/>
              </w:rPr>
              <w:t>autour de la for</w:t>
            </w:r>
            <w:r w:rsidRPr="00745E55">
              <w:rPr>
                <w:rFonts w:hint="eastAsia"/>
                <w:sz w:val="18"/>
                <w:szCs w:val="20"/>
              </w:rPr>
              <w:t>ê</w:t>
            </w:r>
            <w:r w:rsidRPr="00745E55">
              <w:rPr>
                <w:sz w:val="18"/>
                <w:szCs w:val="20"/>
              </w:rPr>
              <w:t>t de Kibira afin de r</w:t>
            </w:r>
            <w:r w:rsidRPr="00745E55">
              <w:rPr>
                <w:rFonts w:hint="eastAsia"/>
                <w:sz w:val="18"/>
                <w:szCs w:val="20"/>
              </w:rPr>
              <w:t>é</w:t>
            </w:r>
            <w:r w:rsidRPr="00745E55">
              <w:rPr>
                <w:sz w:val="18"/>
                <w:szCs w:val="20"/>
              </w:rPr>
              <w:t>duire les facteurs structurels de conflit et le recrutement dans des</w:t>
            </w:r>
            <w:r w:rsidRPr="00A221CC">
              <w:rPr>
                <w:sz w:val="18"/>
                <w:szCs w:val="20"/>
              </w:rPr>
              <w:t xml:space="preserve"> activit</w:t>
            </w:r>
            <w:r w:rsidRPr="00A221CC">
              <w:rPr>
                <w:rFonts w:hint="eastAsia"/>
                <w:sz w:val="18"/>
                <w:szCs w:val="20"/>
              </w:rPr>
              <w:t>é</w:t>
            </w:r>
            <w:r w:rsidRPr="00A221CC">
              <w:rPr>
                <w:sz w:val="18"/>
                <w:szCs w:val="20"/>
              </w:rPr>
              <w:t>s ill</w:t>
            </w:r>
            <w:r w:rsidRPr="00A221CC">
              <w:rPr>
                <w:rFonts w:hint="eastAsia"/>
                <w:sz w:val="18"/>
                <w:szCs w:val="20"/>
              </w:rPr>
              <w:t>é</w:t>
            </w:r>
            <w:r w:rsidRPr="00A221CC">
              <w:rPr>
                <w:sz w:val="18"/>
                <w:szCs w:val="20"/>
              </w:rPr>
              <w:t>gales ou violentes gr</w:t>
            </w:r>
            <w:r w:rsidRPr="00A221CC">
              <w:rPr>
                <w:rFonts w:hint="eastAsia"/>
                <w:sz w:val="18"/>
                <w:szCs w:val="20"/>
              </w:rPr>
              <w:t>â</w:t>
            </w:r>
            <w:r w:rsidRPr="00A221CC">
              <w:rPr>
                <w:sz w:val="18"/>
                <w:szCs w:val="20"/>
              </w:rPr>
              <w:t xml:space="preserve">ce </w:t>
            </w:r>
            <w:r w:rsidRPr="00A221CC">
              <w:rPr>
                <w:rFonts w:hint="eastAsia"/>
                <w:sz w:val="18"/>
                <w:szCs w:val="20"/>
              </w:rPr>
              <w:t>à</w:t>
            </w:r>
            <w:r w:rsidRPr="00A221CC">
              <w:rPr>
                <w:sz w:val="18"/>
                <w:szCs w:val="20"/>
              </w:rPr>
              <w:t xml:space="preserve"> l'exploitation durable des ressources foresti</w:t>
            </w:r>
            <w:r w:rsidRPr="00A221CC">
              <w:rPr>
                <w:rFonts w:hint="eastAsia"/>
                <w:sz w:val="18"/>
                <w:szCs w:val="20"/>
              </w:rPr>
              <w:t>è</w:t>
            </w:r>
            <w:r w:rsidRPr="00A221CC">
              <w:rPr>
                <w:sz w:val="18"/>
                <w:szCs w:val="20"/>
              </w:rPr>
              <w:t>res.</w:t>
            </w:r>
          </w:p>
        </w:tc>
      </w:tr>
      <w:tr w:rsidR="00D138EE" w:rsidRPr="00925FBE" w14:paraId="7B1B7D85" w14:textId="77777777" w:rsidTr="00E90E6B">
        <w:trPr>
          <w:trHeight w:val="397"/>
        </w:trPr>
        <w:tc>
          <w:tcPr>
            <w:tcW w:w="999" w:type="dxa"/>
            <w:vAlign w:val="center"/>
          </w:tcPr>
          <w:p w14:paraId="432E37A7" w14:textId="71953500" w:rsidR="00D138EE" w:rsidRDefault="00D138EE" w:rsidP="00D61233">
            <w:pPr>
              <w:spacing w:before="0" w:after="0" w:line="240" w:lineRule="auto"/>
              <w:jc w:val="center"/>
            </w:pPr>
            <w:r>
              <w:t>Produit 2.1</w:t>
            </w:r>
          </w:p>
        </w:tc>
        <w:tc>
          <w:tcPr>
            <w:tcW w:w="7927" w:type="dxa"/>
          </w:tcPr>
          <w:p w14:paraId="5F19C806" w14:textId="06E6572F" w:rsidR="00D138EE" w:rsidRPr="00A221CC" w:rsidRDefault="00D138EE" w:rsidP="00047F49">
            <w:pPr>
              <w:spacing w:before="0" w:after="0" w:line="240" w:lineRule="auto"/>
              <w:jc w:val="both"/>
              <w:rPr>
                <w:sz w:val="18"/>
                <w:szCs w:val="20"/>
              </w:rPr>
            </w:pPr>
            <w:r w:rsidRPr="00D138EE">
              <w:rPr>
                <w:sz w:val="18"/>
                <w:szCs w:val="20"/>
              </w:rPr>
              <w:t>La durabilité du financement est atteinte grâce à un investissement d'ancrage dans l'énergie</w:t>
            </w:r>
            <w:r w:rsidRPr="00A221CC">
              <w:rPr>
                <w:sz w:val="18"/>
                <w:szCs w:val="20"/>
              </w:rPr>
              <w:t xml:space="preserve"> propre.</w:t>
            </w:r>
          </w:p>
        </w:tc>
      </w:tr>
      <w:tr w:rsidR="00197236" w:rsidRPr="00925FBE" w14:paraId="3E2778FB" w14:textId="77777777" w:rsidTr="00E90E6B">
        <w:trPr>
          <w:trHeight w:val="397"/>
        </w:trPr>
        <w:tc>
          <w:tcPr>
            <w:tcW w:w="999" w:type="dxa"/>
            <w:vAlign w:val="center"/>
          </w:tcPr>
          <w:p w14:paraId="5EED294B" w14:textId="39D1F6C3" w:rsidR="00197236" w:rsidRDefault="00D138EE" w:rsidP="00D61233">
            <w:pPr>
              <w:spacing w:before="0" w:after="0" w:line="240" w:lineRule="auto"/>
              <w:jc w:val="center"/>
            </w:pPr>
            <w:r>
              <w:t>Produit 2.2</w:t>
            </w:r>
          </w:p>
        </w:tc>
        <w:tc>
          <w:tcPr>
            <w:tcW w:w="7927" w:type="dxa"/>
          </w:tcPr>
          <w:p w14:paraId="4B5605C0" w14:textId="5AC8815F" w:rsidR="00197236" w:rsidRPr="00A221CC" w:rsidRDefault="00D138EE" w:rsidP="00047F49">
            <w:pPr>
              <w:spacing w:before="0" w:after="0" w:line="240" w:lineRule="auto"/>
              <w:jc w:val="both"/>
              <w:rPr>
                <w:sz w:val="18"/>
                <w:szCs w:val="20"/>
              </w:rPr>
            </w:pPr>
            <w:r w:rsidRPr="00D138EE">
              <w:rPr>
                <w:sz w:val="18"/>
                <w:szCs w:val="20"/>
              </w:rPr>
              <w:t>Les objectifs de développement communautaire et les dividendes de la paix sont multipliés par</w:t>
            </w:r>
            <w:r w:rsidRPr="00A221CC">
              <w:rPr>
                <w:sz w:val="18"/>
                <w:szCs w:val="20"/>
              </w:rPr>
              <w:t xml:space="preserve"> </w:t>
            </w:r>
            <w:r w:rsidRPr="00D138EE">
              <w:rPr>
                <w:sz w:val="18"/>
                <w:szCs w:val="20"/>
              </w:rPr>
              <w:t xml:space="preserve">le biais d'investissements en actions dans des entreprises locales offrant des </w:t>
            </w:r>
            <w:proofErr w:type="spellStart"/>
            <w:r w:rsidRPr="00D138EE">
              <w:rPr>
                <w:sz w:val="18"/>
                <w:szCs w:val="20"/>
              </w:rPr>
              <w:t>co</w:t>
            </w:r>
            <w:proofErr w:type="spellEnd"/>
            <w:r w:rsidRPr="00D138EE">
              <w:rPr>
                <w:sz w:val="18"/>
                <w:szCs w:val="20"/>
              </w:rPr>
              <w:t>-bénéfices aux communautés</w:t>
            </w:r>
            <w:r w:rsidRPr="00A221CC">
              <w:rPr>
                <w:sz w:val="18"/>
                <w:szCs w:val="20"/>
              </w:rPr>
              <w:t xml:space="preserve"> </w:t>
            </w:r>
            <w:r w:rsidRPr="00D138EE">
              <w:rPr>
                <w:sz w:val="18"/>
                <w:szCs w:val="20"/>
              </w:rPr>
              <w:t xml:space="preserve">et créant les bases d'un sanctuaire de paix, déployé par le biais d'une facilité d'investissement REDD+ </w:t>
            </w:r>
          </w:p>
        </w:tc>
      </w:tr>
    </w:tbl>
    <w:p w14:paraId="0447215B" w14:textId="59180D46" w:rsidR="00BE29A7" w:rsidRPr="00E90E6B" w:rsidRDefault="00BE29A7" w:rsidP="00047F49">
      <w:pPr>
        <w:spacing w:line="240" w:lineRule="auto"/>
        <w:jc w:val="both"/>
      </w:pPr>
    </w:p>
    <w:p w14:paraId="3E8661CE" w14:textId="77777777" w:rsidR="007E70BF" w:rsidRPr="007E70BF" w:rsidRDefault="007E70BF" w:rsidP="007E70BF">
      <w:pPr>
        <w:pStyle w:val="Heading2"/>
        <w:jc w:val="both"/>
        <w:rPr>
          <w:rFonts w:ascii="Open Sans" w:hAnsi="Open Sans"/>
          <w:color w:val="000099"/>
        </w:rPr>
      </w:pPr>
      <w:bookmarkStart w:id="32" w:name="_Toc216948964"/>
      <w:r w:rsidRPr="007E70BF">
        <w:rPr>
          <w:rFonts w:ascii="Open Sans" w:hAnsi="Open Sans"/>
          <w:color w:val="000099"/>
        </w:rPr>
        <w:t>2.2 Environnement politique, institutionnel et de financement</w:t>
      </w:r>
      <w:bookmarkEnd w:id="32"/>
    </w:p>
    <w:p w14:paraId="4462F659" w14:textId="7748A643" w:rsidR="007E70BF" w:rsidRPr="007E70BF" w:rsidRDefault="007E70BF" w:rsidP="007E70BF">
      <w:pPr>
        <w:spacing w:line="240" w:lineRule="auto"/>
        <w:jc w:val="both"/>
      </w:pPr>
      <w:r w:rsidRPr="007E70BF">
        <w:t xml:space="preserve">Le projet "Kibira Sanctuaire de Paix" s'inscrit dans un environnement institutionnel en mutation caractérisé par des capacités gouvernementales limitées mais un engagement politique croissant pour la conservation et la paix. L'Office Burundais pour la Protection de l'Environnement (OBPE), </w:t>
      </w:r>
      <w:r w:rsidRPr="007E70BF">
        <w:lastRenderedPageBreak/>
        <w:t>autorité nationale de gestion du parc, fait face à des défis structurels de ressources humaines, techniques et financières pour assurer une protection efficace du parc de 40 000 hectares.</w:t>
      </w:r>
    </w:p>
    <w:p w14:paraId="2474E3B9" w14:textId="0D6F70D0" w:rsidR="007E70BF" w:rsidRPr="007E70BF" w:rsidRDefault="007E70BF" w:rsidP="007E70BF">
      <w:pPr>
        <w:spacing w:line="240" w:lineRule="auto"/>
        <w:jc w:val="both"/>
      </w:pPr>
      <w:r w:rsidRPr="007E70BF">
        <w:t>Sur le plan du financement climat et conservation, plusieurs mécanismes internationaux constituent des moteurs alternatifs potentiels de résultats dans la région des Grands Lacs. L'Initiative pour la Forêt d'Afrique Centrale (CAFI) mobilise des financements substantiels pour la conservation forestière régionale.</w:t>
      </w:r>
      <w:r w:rsidR="00C46B1F">
        <w:t xml:space="preserve"> </w:t>
      </w:r>
      <w:r w:rsidR="00BF2DAA">
        <w:t xml:space="preserve">Toutefois, il </w:t>
      </w:r>
      <w:r w:rsidR="00C46B1F">
        <w:t>convient</w:t>
      </w:r>
      <w:r w:rsidR="00BF2DAA">
        <w:t xml:space="preserve"> de rappeler que</w:t>
      </w:r>
      <w:r w:rsidR="00B12F15">
        <w:t xml:space="preserve"> </w:t>
      </w:r>
      <w:r w:rsidR="00BF2DAA">
        <w:t xml:space="preserve">le Burundi </w:t>
      </w:r>
      <w:r w:rsidR="00B12F15">
        <w:t>ne fait pas</w:t>
      </w:r>
      <w:r w:rsidRPr="007E70BF">
        <w:t xml:space="preserve"> </w:t>
      </w:r>
      <w:r w:rsidR="00B12F15">
        <w:t>par</w:t>
      </w:r>
      <w:r w:rsidR="00B0710A">
        <w:t>tie des pays bénéficiaires de l’initiative CAFI</w:t>
      </w:r>
      <w:r w:rsidR="00C46B1F">
        <w:t xml:space="preserve">, bien qu’il soit </w:t>
      </w:r>
      <w:r w:rsidR="00B91B7F">
        <w:t xml:space="preserve">membre de la Commission des </w:t>
      </w:r>
      <w:r w:rsidR="006A172E">
        <w:t>forêts</w:t>
      </w:r>
      <w:r w:rsidR="00B91B7F">
        <w:t xml:space="preserve"> d’Afrique centrale (COMIFAC)</w:t>
      </w:r>
      <w:r w:rsidR="00C46B1F">
        <w:t>.</w:t>
      </w:r>
      <w:r w:rsidR="00B0710A">
        <w:t xml:space="preserve"> </w:t>
      </w:r>
      <w:r w:rsidRPr="007E70BF">
        <w:t xml:space="preserve">Le Fonds pour l'Environnement Mondial (GEF) et le Fonds Vert pour le Climat (GCF) représentent des sources de financement complémentaires pour les interventions REDD+ et les investissements en énergies propres. La Banque Africaine de Développement (BAD) a manifesté son intérêt pour le cofinancement du projet hydroélectrique de </w:t>
      </w:r>
      <w:proofErr w:type="spellStart"/>
      <w:r w:rsidRPr="007E70BF">
        <w:t>Mpanda</w:t>
      </w:r>
      <w:proofErr w:type="spellEnd"/>
      <w:r w:rsidRPr="007E70BF">
        <w:t xml:space="preserve"> avec un engagement potentiel pouvant atteindre 17 millions USD, aux côtés d'autres institutions de financement du développement comme BIO et BEII (dette de premier rang de 12 millions USD).</w:t>
      </w:r>
      <w:r w:rsidR="00C46B1F">
        <w:t xml:space="preserve"> </w:t>
      </w:r>
      <w:r w:rsidR="005B2886">
        <w:t xml:space="preserve">D’autres </w:t>
      </w:r>
      <w:r w:rsidR="005E3BEB">
        <w:t>partenaires</w:t>
      </w:r>
      <w:r w:rsidR="00C46B1F">
        <w:t xml:space="preserve"> </w:t>
      </w:r>
      <w:r w:rsidR="005B2886">
        <w:t xml:space="preserve">de </w:t>
      </w:r>
      <w:r w:rsidR="008121F6">
        <w:t>financement</w:t>
      </w:r>
      <w:r w:rsidR="005B2886">
        <w:t xml:space="preserve"> </w:t>
      </w:r>
      <w:r w:rsidR="005E3BEB">
        <w:t xml:space="preserve">potentiels comprennent </w:t>
      </w:r>
      <w:r w:rsidR="005B2886">
        <w:t xml:space="preserve">ENABEL </w:t>
      </w:r>
      <w:r w:rsidR="005E3BEB">
        <w:t xml:space="preserve">ainsi que </w:t>
      </w:r>
      <w:r w:rsidR="005B2886">
        <w:t>l’</w:t>
      </w:r>
      <w:r w:rsidR="008121F6">
        <w:t>initiative</w:t>
      </w:r>
      <w:r w:rsidR="005B2886">
        <w:t xml:space="preserve"> Natura</w:t>
      </w:r>
      <w:r w:rsidR="008121F6">
        <w:t xml:space="preserve"> A</w:t>
      </w:r>
      <w:r w:rsidR="005B2886">
        <w:t>frica de l’UE</w:t>
      </w:r>
      <w:r w:rsidR="008121F6">
        <w:t>.</w:t>
      </w:r>
      <w:r w:rsidR="005B2886">
        <w:t xml:space="preserve"> </w:t>
      </w:r>
    </w:p>
    <w:p w14:paraId="335101CE" w14:textId="5B787F3F" w:rsidR="007E70BF" w:rsidRPr="007E70BF" w:rsidRDefault="007E70BF" w:rsidP="007E70BF">
      <w:pPr>
        <w:spacing w:line="240" w:lineRule="auto"/>
        <w:jc w:val="both"/>
      </w:pPr>
      <w:r w:rsidRPr="007E70BF">
        <w:t xml:space="preserve">L'environnement du financement mixte et du secteur privé représente à la fois une opportunité et un défi dans le contexte burundais. Le projet innove en mobilisant l'entreprise privée </w:t>
      </w:r>
      <w:proofErr w:type="spellStart"/>
      <w:r w:rsidRPr="007E70BF">
        <w:t>Hydroneo</w:t>
      </w:r>
      <w:proofErr w:type="spellEnd"/>
      <w:r w:rsidRPr="007E70BF">
        <w:t xml:space="preserve"> pour le développement du projet hydroélectrique de </w:t>
      </w:r>
      <w:proofErr w:type="spellStart"/>
      <w:r w:rsidRPr="007E70BF">
        <w:t>Mpanda</w:t>
      </w:r>
      <w:proofErr w:type="spellEnd"/>
      <w:r w:rsidRPr="007E70BF">
        <w:t>, constituant l'une des premières expériences de partenariat public-privé (PPP) à grande échelle dans le secteur énergétique burundais. Cependant, le contexte de marché burundais reste caractérisé par une appétence limitée des investisseurs privés, des cadres réglementaires en développement, et une perception de risque élevée pour les investissements à impact dans les zones post-conflit.</w:t>
      </w:r>
    </w:p>
    <w:p w14:paraId="77DC7114" w14:textId="5379AE92" w:rsidR="5A22C2A8" w:rsidRPr="00077F88" w:rsidRDefault="5A22C2A8" w:rsidP="00E651B0">
      <w:pPr>
        <w:jc w:val="both"/>
        <w:rPr>
          <w:sz w:val="10"/>
          <w:szCs w:val="10"/>
        </w:rPr>
      </w:pPr>
    </w:p>
    <w:p w14:paraId="4873ABB5" w14:textId="6149CD27" w:rsidR="00003403" w:rsidRPr="00F06C3A" w:rsidRDefault="00003403" w:rsidP="00BE29A7">
      <w:pPr>
        <w:pStyle w:val="Heading2"/>
        <w:jc w:val="both"/>
        <w:rPr>
          <w:rFonts w:ascii="Open Sans" w:hAnsi="Open Sans"/>
          <w:color w:val="000099"/>
        </w:rPr>
      </w:pPr>
      <w:bookmarkStart w:id="33" w:name="_Toc216948965"/>
      <w:r w:rsidRPr="00F06C3A">
        <w:rPr>
          <w:rFonts w:ascii="Open Sans" w:hAnsi="Open Sans"/>
          <w:color w:val="000099"/>
        </w:rPr>
        <w:t xml:space="preserve">2.3. </w:t>
      </w:r>
      <w:r w:rsidR="0065102A">
        <w:rPr>
          <w:rFonts w:ascii="Open Sans" w:hAnsi="Open Sans"/>
          <w:color w:val="000099"/>
        </w:rPr>
        <w:t>Bilan final des réalisations</w:t>
      </w:r>
      <w:bookmarkEnd w:id="33"/>
      <w:r w:rsidR="00F06C3A">
        <w:rPr>
          <w:rFonts w:ascii="Open Sans" w:hAnsi="Open Sans"/>
          <w:color w:val="000099"/>
        </w:rPr>
        <w:t xml:space="preserve"> </w:t>
      </w:r>
    </w:p>
    <w:p w14:paraId="7B53D568" w14:textId="492BC6AC" w:rsidR="008368CA" w:rsidRDefault="001507DF" w:rsidP="0014761F">
      <w:pPr>
        <w:pStyle w:val="Header"/>
        <w:jc w:val="both"/>
        <w:rPr>
          <w:rFonts w:eastAsia="Times New Roman" w:cs="Open Sans"/>
          <w:bCs/>
          <w:color w:val="000000"/>
          <w:kern w:val="28"/>
          <w:szCs w:val="18"/>
          <w:lang w:eastAsia="en-GB"/>
          <w14:cntxtAlts/>
        </w:rPr>
      </w:pPr>
      <w:r w:rsidRPr="001507DF">
        <w:rPr>
          <w:rFonts w:eastAsia="Times New Roman" w:cs="Open Sans"/>
          <w:bCs/>
          <w:color w:val="000000"/>
          <w:kern w:val="28"/>
          <w:szCs w:val="18"/>
          <w:lang w:eastAsia="en-GB"/>
          <w14:cntxtAlts/>
        </w:rPr>
        <w:t>Le tableau ci-dessous présente l'état d'avancement détaillé du projet par effet et produit, en comparant les cibles fixées dans le document de projet aux réalisations effectives à la date de l'évaluation.</w:t>
      </w:r>
    </w:p>
    <w:p w14:paraId="19B15A5B" w14:textId="294A7137" w:rsidR="001507DF" w:rsidRPr="001507DF" w:rsidRDefault="005E798B" w:rsidP="005E798B">
      <w:pPr>
        <w:pStyle w:val="Caption"/>
        <w:rPr>
          <w:rFonts w:eastAsia="Times New Roman" w:cs="Open Sans"/>
          <w:bCs/>
          <w:color w:val="000000"/>
          <w:kern w:val="28"/>
          <w:lang w:eastAsia="en-GB"/>
          <w14:cntxtAlts/>
        </w:rPr>
      </w:pPr>
      <w:bookmarkStart w:id="34" w:name="_Toc214381576"/>
      <w:r>
        <w:t xml:space="preserve">Tableau </w:t>
      </w:r>
      <w:r>
        <w:fldChar w:fldCharType="begin"/>
      </w:r>
      <w:r>
        <w:instrText xml:space="preserve"> SEQ Tableau \* ARABIC </w:instrText>
      </w:r>
      <w:r>
        <w:fldChar w:fldCharType="separate"/>
      </w:r>
      <w:r w:rsidR="00803130">
        <w:rPr>
          <w:noProof/>
        </w:rPr>
        <w:t>2</w:t>
      </w:r>
      <w:r>
        <w:fldChar w:fldCharType="end"/>
      </w:r>
      <w:r w:rsidR="007F51EE">
        <w:t> </w:t>
      </w:r>
      <w:r>
        <w:t>-</w:t>
      </w:r>
      <w:r w:rsidR="007F51EE">
        <w:t xml:space="preserve"> </w:t>
      </w:r>
      <w:r w:rsidR="00BA1155" w:rsidRPr="00BA1155">
        <w:t>Synthèse des indicateurs d'effets et de produits : cibles et réalisations</w:t>
      </w:r>
      <w:bookmarkEnd w:id="34"/>
    </w:p>
    <w:tbl>
      <w:tblPr>
        <w:tblW w:w="9252" w:type="dxa"/>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Look w:val="04A0" w:firstRow="1" w:lastRow="0" w:firstColumn="1" w:lastColumn="0" w:noHBand="0" w:noVBand="1"/>
      </w:tblPr>
      <w:tblGrid>
        <w:gridCol w:w="1980"/>
        <w:gridCol w:w="3685"/>
        <w:gridCol w:w="1843"/>
        <w:gridCol w:w="1744"/>
      </w:tblGrid>
      <w:tr w:rsidR="0013250A" w:rsidRPr="00E90E6B" w14:paraId="4C7F1283" w14:textId="77777777" w:rsidTr="008836CB">
        <w:trPr>
          <w:trHeight w:val="454"/>
          <w:tblHeader/>
        </w:trPr>
        <w:tc>
          <w:tcPr>
            <w:tcW w:w="1980" w:type="dxa"/>
            <w:tcBorders>
              <w:right w:val="single" w:sz="4" w:space="0" w:color="FFFFFF" w:themeColor="background1"/>
            </w:tcBorders>
            <w:shd w:val="clear" w:color="auto" w:fill="000099"/>
            <w:vAlign w:val="center"/>
          </w:tcPr>
          <w:p w14:paraId="5A2EE107" w14:textId="273DCD61" w:rsidR="00E90E6B" w:rsidRPr="00E90E6B" w:rsidRDefault="00F06C3A" w:rsidP="00E90E6B">
            <w:pPr>
              <w:pStyle w:val="Header"/>
              <w:spacing w:before="0"/>
              <w:jc w:val="center"/>
              <w:rPr>
                <w:rFonts w:eastAsia="Times New Roman" w:cs="Open Sans"/>
                <w:b/>
                <w:color w:val="FFFFFF" w:themeColor="background1"/>
                <w:kern w:val="28"/>
                <w:szCs w:val="18"/>
                <w:lang w:val="en-US" w:eastAsia="en-GB"/>
                <w14:cntxtAlts/>
              </w:rPr>
            </w:pPr>
            <w:proofErr w:type="spellStart"/>
            <w:r>
              <w:rPr>
                <w:rFonts w:eastAsia="Times New Roman" w:cs="Open Sans"/>
                <w:b/>
                <w:color w:val="FFFFFF" w:themeColor="background1"/>
                <w:kern w:val="28"/>
                <w:szCs w:val="18"/>
                <w:lang w:val="en-US" w:eastAsia="en-GB"/>
                <w14:cntxtAlts/>
              </w:rPr>
              <w:t>Effet</w:t>
            </w:r>
            <w:proofErr w:type="spellEnd"/>
            <w:r>
              <w:rPr>
                <w:rFonts w:eastAsia="Times New Roman" w:cs="Open Sans"/>
                <w:b/>
                <w:color w:val="FFFFFF" w:themeColor="background1"/>
                <w:kern w:val="28"/>
                <w:szCs w:val="18"/>
                <w:lang w:val="en-US" w:eastAsia="en-GB"/>
                <w14:cntxtAlts/>
              </w:rPr>
              <w:t xml:space="preserve"> / </w:t>
            </w:r>
            <w:proofErr w:type="spellStart"/>
            <w:r w:rsidR="00E90E6B" w:rsidRPr="00E90E6B">
              <w:rPr>
                <w:rFonts w:eastAsia="Times New Roman" w:cs="Open Sans"/>
                <w:b/>
                <w:color w:val="FFFFFF" w:themeColor="background1"/>
                <w:kern w:val="28"/>
                <w:szCs w:val="18"/>
                <w:lang w:val="en-US" w:eastAsia="en-GB"/>
                <w14:cntxtAlts/>
              </w:rPr>
              <w:t>Produit</w:t>
            </w:r>
            <w:proofErr w:type="spellEnd"/>
          </w:p>
        </w:tc>
        <w:tc>
          <w:tcPr>
            <w:tcW w:w="3685" w:type="dxa"/>
            <w:tcBorders>
              <w:left w:val="single" w:sz="4" w:space="0" w:color="FFFFFF" w:themeColor="background1"/>
              <w:right w:val="single" w:sz="4" w:space="0" w:color="FFFFFF" w:themeColor="background1"/>
            </w:tcBorders>
            <w:shd w:val="clear" w:color="auto" w:fill="000099"/>
            <w:vAlign w:val="center"/>
          </w:tcPr>
          <w:p w14:paraId="791B5294" w14:textId="026252DA" w:rsidR="00E90E6B" w:rsidRPr="00E90E6B" w:rsidRDefault="00E90E6B" w:rsidP="00E90E6B">
            <w:pPr>
              <w:pStyle w:val="Header"/>
              <w:spacing w:before="0"/>
              <w:jc w:val="center"/>
              <w:rPr>
                <w:rFonts w:eastAsia="Times New Roman" w:cs="Open Sans"/>
                <w:b/>
                <w:color w:val="FFFFFF" w:themeColor="background1"/>
                <w:kern w:val="28"/>
                <w:szCs w:val="18"/>
                <w:lang w:val="en-US" w:eastAsia="en-GB"/>
                <w14:cntxtAlts/>
              </w:rPr>
            </w:pPr>
            <w:proofErr w:type="spellStart"/>
            <w:r w:rsidRPr="00E90E6B">
              <w:rPr>
                <w:rFonts w:eastAsia="Times New Roman" w:cs="Open Sans"/>
                <w:b/>
                <w:color w:val="FFFFFF" w:themeColor="background1"/>
                <w:kern w:val="28"/>
                <w:szCs w:val="18"/>
                <w:lang w:val="en-US" w:eastAsia="en-GB"/>
                <w14:cntxtAlts/>
              </w:rPr>
              <w:t>Indicateurs</w:t>
            </w:r>
            <w:proofErr w:type="spellEnd"/>
          </w:p>
        </w:tc>
        <w:tc>
          <w:tcPr>
            <w:tcW w:w="1843" w:type="dxa"/>
            <w:tcBorders>
              <w:left w:val="single" w:sz="4" w:space="0" w:color="FFFFFF" w:themeColor="background1"/>
              <w:right w:val="single" w:sz="4" w:space="0" w:color="FFFFFF" w:themeColor="background1"/>
            </w:tcBorders>
            <w:shd w:val="clear" w:color="auto" w:fill="000099"/>
            <w:vAlign w:val="center"/>
          </w:tcPr>
          <w:p w14:paraId="60807A7E" w14:textId="6C375BFE" w:rsidR="00E90E6B" w:rsidRPr="00E90E6B" w:rsidRDefault="00E90E6B" w:rsidP="00E90E6B">
            <w:pPr>
              <w:pStyle w:val="Header"/>
              <w:spacing w:before="0"/>
              <w:jc w:val="center"/>
              <w:rPr>
                <w:rFonts w:eastAsia="Times New Roman" w:cs="Open Sans"/>
                <w:b/>
                <w:color w:val="FFFFFF" w:themeColor="background1"/>
                <w:kern w:val="28"/>
                <w:szCs w:val="18"/>
                <w:lang w:val="en-US" w:eastAsia="en-GB"/>
                <w14:cntxtAlts/>
              </w:rPr>
            </w:pPr>
            <w:proofErr w:type="spellStart"/>
            <w:r w:rsidRPr="00E90E6B">
              <w:rPr>
                <w:rFonts w:eastAsia="Times New Roman" w:cs="Open Sans"/>
                <w:b/>
                <w:color w:val="FFFFFF" w:themeColor="background1"/>
                <w:kern w:val="28"/>
                <w:szCs w:val="18"/>
                <w:lang w:val="en-US" w:eastAsia="en-GB"/>
                <w14:cntxtAlts/>
              </w:rPr>
              <w:t>Cible</w:t>
            </w:r>
            <w:proofErr w:type="spellEnd"/>
          </w:p>
        </w:tc>
        <w:tc>
          <w:tcPr>
            <w:tcW w:w="1744" w:type="dxa"/>
            <w:tcBorders>
              <w:left w:val="single" w:sz="4" w:space="0" w:color="FFFFFF" w:themeColor="background1"/>
            </w:tcBorders>
            <w:shd w:val="clear" w:color="auto" w:fill="000099"/>
            <w:vAlign w:val="center"/>
          </w:tcPr>
          <w:p w14:paraId="537BB943" w14:textId="74050958" w:rsidR="00E90E6B" w:rsidRPr="00E90E6B" w:rsidRDefault="00E90E6B" w:rsidP="00E90E6B">
            <w:pPr>
              <w:pStyle w:val="Header"/>
              <w:spacing w:before="0"/>
              <w:jc w:val="center"/>
              <w:rPr>
                <w:rFonts w:eastAsia="Times New Roman" w:cs="Open Sans"/>
                <w:b/>
                <w:color w:val="FFFFFF" w:themeColor="background1"/>
                <w:kern w:val="28"/>
                <w:szCs w:val="18"/>
                <w:lang w:val="en-US" w:eastAsia="en-GB"/>
                <w14:cntxtAlts/>
              </w:rPr>
            </w:pPr>
            <w:proofErr w:type="spellStart"/>
            <w:r w:rsidRPr="00E90E6B">
              <w:rPr>
                <w:rFonts w:eastAsia="Times New Roman" w:cs="Open Sans"/>
                <w:b/>
                <w:color w:val="FFFFFF" w:themeColor="background1"/>
                <w:kern w:val="28"/>
                <w:szCs w:val="18"/>
                <w:lang w:val="en-US" w:eastAsia="en-GB"/>
                <w14:cntxtAlts/>
              </w:rPr>
              <w:t>Réalisation</w:t>
            </w:r>
            <w:proofErr w:type="spellEnd"/>
          </w:p>
        </w:tc>
      </w:tr>
      <w:tr w:rsidR="00F06C3A" w:rsidRPr="00925FBE" w14:paraId="63B6C773" w14:textId="77777777" w:rsidTr="008836CB">
        <w:trPr>
          <w:trHeight w:val="340"/>
        </w:trPr>
        <w:tc>
          <w:tcPr>
            <w:tcW w:w="1980" w:type="dxa"/>
            <w:vMerge w:val="restart"/>
            <w:shd w:val="clear" w:color="auto" w:fill="D9E2F3" w:themeFill="accent5" w:themeFillTint="33"/>
            <w:vAlign w:val="center"/>
          </w:tcPr>
          <w:p w14:paraId="41F5F6E5" w14:textId="57F977D6" w:rsidR="00F06C3A" w:rsidRPr="00DF4F4B" w:rsidRDefault="00F06C3A" w:rsidP="00AD4A74">
            <w:pPr>
              <w:pStyle w:val="Header"/>
              <w:spacing w:before="0"/>
              <w:rPr>
                <w:rFonts w:eastAsia="Times New Roman" w:cs="Open Sans"/>
                <w:bCs/>
                <w:color w:val="000000"/>
                <w:kern w:val="28"/>
                <w:sz w:val="18"/>
                <w:szCs w:val="16"/>
                <w:lang w:eastAsia="en-GB"/>
                <w14:cntxtAlts/>
              </w:rPr>
            </w:pPr>
            <w:r w:rsidRPr="00DF4F4B">
              <w:rPr>
                <w:rFonts w:eastAsia="Times New Roman" w:cs="Open Sans"/>
                <w:bCs/>
                <w:color w:val="000000"/>
                <w:kern w:val="28"/>
                <w:sz w:val="18"/>
                <w:szCs w:val="16"/>
                <w:lang w:eastAsia="en-GB"/>
                <w14:cntxtAlts/>
              </w:rPr>
              <w:t>Effet 1 : Cohésion sociale, gouvernance locale et conservation</w:t>
            </w:r>
          </w:p>
        </w:tc>
        <w:tc>
          <w:tcPr>
            <w:tcW w:w="3685" w:type="dxa"/>
            <w:shd w:val="clear" w:color="auto" w:fill="D9E2F3" w:themeFill="accent5" w:themeFillTint="33"/>
            <w:vAlign w:val="center"/>
          </w:tcPr>
          <w:p w14:paraId="1F349BD0" w14:textId="342CE83C" w:rsidR="00F06C3A" w:rsidRPr="00DF4F4B" w:rsidRDefault="00F06C3A" w:rsidP="00AD4A74">
            <w:pPr>
              <w:pStyle w:val="Header"/>
              <w:spacing w:before="0"/>
              <w:rPr>
                <w:rFonts w:eastAsia="Times New Roman" w:cs="Open Sans"/>
                <w:bCs/>
                <w:color w:val="000000"/>
                <w:kern w:val="28"/>
                <w:sz w:val="18"/>
                <w:szCs w:val="16"/>
                <w:lang w:eastAsia="en-GB"/>
                <w14:cntxtAlts/>
              </w:rPr>
            </w:pPr>
            <w:r w:rsidRPr="00DF4F4B">
              <w:rPr>
                <w:rFonts w:eastAsia="Times New Roman" w:cs="Open Sans"/>
                <w:bCs/>
                <w:color w:val="000000"/>
                <w:kern w:val="28"/>
                <w:sz w:val="18"/>
                <w:szCs w:val="16"/>
                <w:lang w:eastAsia="en-GB"/>
                <w14:cntxtAlts/>
              </w:rPr>
              <w:t xml:space="preserve">1.a. Superficie du parc sous gestion améliorée </w:t>
            </w:r>
            <w:r w:rsidR="00016779" w:rsidRPr="00DF4F4B">
              <w:rPr>
                <w:rFonts w:eastAsia="Times New Roman" w:cs="Open Sans"/>
                <w:bCs/>
                <w:color w:val="000000"/>
                <w:kern w:val="28"/>
                <w:sz w:val="18"/>
                <w:szCs w:val="16"/>
                <w:lang w:eastAsia="en-GB"/>
                <w14:cntxtAlts/>
              </w:rPr>
              <w:t>(en ha)</w:t>
            </w:r>
          </w:p>
        </w:tc>
        <w:tc>
          <w:tcPr>
            <w:tcW w:w="1843" w:type="dxa"/>
            <w:shd w:val="clear" w:color="auto" w:fill="D9E2F3" w:themeFill="accent5" w:themeFillTint="33"/>
            <w:vAlign w:val="center"/>
          </w:tcPr>
          <w:p w14:paraId="556C9782" w14:textId="6BB6A09E" w:rsidR="00F06C3A" w:rsidRPr="00DF4F4B" w:rsidRDefault="00F06C3A" w:rsidP="00AD4A74">
            <w:pPr>
              <w:pStyle w:val="Header"/>
              <w:spacing w:before="0"/>
              <w:jc w:val="center"/>
              <w:rPr>
                <w:rFonts w:eastAsia="Times New Roman" w:cs="Open Sans"/>
                <w:bCs/>
                <w:color w:val="000000"/>
                <w:kern w:val="28"/>
                <w:sz w:val="18"/>
                <w:szCs w:val="16"/>
                <w:lang w:eastAsia="en-GB"/>
                <w14:cntxtAlts/>
              </w:rPr>
            </w:pPr>
            <w:r w:rsidRPr="00DF4F4B">
              <w:rPr>
                <w:rFonts w:eastAsia="Times New Roman" w:cs="Open Sans"/>
                <w:bCs/>
                <w:color w:val="000000"/>
                <w:kern w:val="28"/>
                <w:sz w:val="18"/>
                <w:szCs w:val="16"/>
                <w:lang w:eastAsia="en-GB"/>
                <w14:cntxtAlts/>
              </w:rPr>
              <w:t>80 000</w:t>
            </w:r>
          </w:p>
        </w:tc>
        <w:tc>
          <w:tcPr>
            <w:tcW w:w="1744" w:type="dxa"/>
            <w:shd w:val="clear" w:color="auto" w:fill="D9E2F3" w:themeFill="accent5" w:themeFillTint="33"/>
            <w:vAlign w:val="center"/>
          </w:tcPr>
          <w:p w14:paraId="140D77BA" w14:textId="27148DDE" w:rsidR="00F06C3A" w:rsidRPr="00DF4F4B" w:rsidRDefault="00F06C3A" w:rsidP="00AD4A74">
            <w:pPr>
              <w:pStyle w:val="Header"/>
              <w:spacing w:before="0"/>
              <w:jc w:val="center"/>
              <w:rPr>
                <w:rFonts w:eastAsia="Times New Roman" w:cs="Open Sans"/>
                <w:bCs/>
                <w:color w:val="000000"/>
                <w:kern w:val="28"/>
                <w:sz w:val="18"/>
                <w:szCs w:val="16"/>
                <w:lang w:eastAsia="en-GB"/>
                <w14:cntxtAlts/>
              </w:rPr>
            </w:pPr>
            <w:r w:rsidRPr="00DF4F4B">
              <w:rPr>
                <w:rFonts w:eastAsia="Times New Roman" w:cs="Open Sans"/>
                <w:bCs/>
                <w:color w:val="000000"/>
                <w:kern w:val="28"/>
                <w:sz w:val="18"/>
                <w:szCs w:val="16"/>
                <w:lang w:eastAsia="en-GB"/>
                <w14:cntxtAlts/>
              </w:rPr>
              <w:t>40 000</w:t>
            </w:r>
          </w:p>
        </w:tc>
      </w:tr>
      <w:tr w:rsidR="00F06C3A" w:rsidRPr="00925FBE" w14:paraId="654C4820" w14:textId="77777777" w:rsidTr="008836CB">
        <w:trPr>
          <w:trHeight w:val="340"/>
        </w:trPr>
        <w:tc>
          <w:tcPr>
            <w:tcW w:w="1980" w:type="dxa"/>
            <w:vMerge/>
            <w:shd w:val="clear" w:color="auto" w:fill="D9E2F3" w:themeFill="accent5" w:themeFillTint="33"/>
            <w:vAlign w:val="center"/>
          </w:tcPr>
          <w:p w14:paraId="56842AFD" w14:textId="77777777" w:rsidR="00F06C3A" w:rsidRPr="00DF4F4B" w:rsidRDefault="00F06C3A" w:rsidP="00AD4A74">
            <w:pPr>
              <w:pStyle w:val="Header"/>
              <w:spacing w:before="0"/>
              <w:rPr>
                <w:rFonts w:eastAsia="Times New Roman" w:cs="Open Sans"/>
                <w:bCs/>
                <w:color w:val="000000"/>
                <w:kern w:val="28"/>
                <w:sz w:val="18"/>
                <w:szCs w:val="16"/>
                <w:lang w:eastAsia="en-GB"/>
                <w14:cntxtAlts/>
              </w:rPr>
            </w:pPr>
          </w:p>
        </w:tc>
        <w:tc>
          <w:tcPr>
            <w:tcW w:w="3685" w:type="dxa"/>
            <w:shd w:val="clear" w:color="auto" w:fill="D9E2F3" w:themeFill="accent5" w:themeFillTint="33"/>
            <w:vAlign w:val="center"/>
          </w:tcPr>
          <w:p w14:paraId="2771FFC2" w14:textId="27A31D6D" w:rsidR="00F06C3A" w:rsidRPr="00DF4F4B" w:rsidRDefault="00F06C3A" w:rsidP="00AD4A74">
            <w:pPr>
              <w:pStyle w:val="Header"/>
              <w:spacing w:before="0"/>
              <w:rPr>
                <w:rFonts w:eastAsia="Times New Roman" w:cs="Open Sans"/>
                <w:bCs/>
                <w:color w:val="000000"/>
                <w:kern w:val="28"/>
                <w:sz w:val="18"/>
                <w:szCs w:val="16"/>
                <w:lang w:eastAsia="en-GB"/>
                <w14:cntxtAlts/>
              </w:rPr>
            </w:pPr>
            <w:r w:rsidRPr="00DF4F4B">
              <w:rPr>
                <w:rFonts w:eastAsia="Times New Roman" w:cs="Open Sans"/>
                <w:bCs/>
                <w:color w:val="000000"/>
                <w:kern w:val="28"/>
                <w:sz w:val="18"/>
                <w:szCs w:val="16"/>
                <w:lang w:eastAsia="en-GB"/>
                <w14:cntxtAlts/>
              </w:rPr>
              <w:t>1.b. Revenus annuels générés à travers l’accord de cogestion</w:t>
            </w:r>
          </w:p>
        </w:tc>
        <w:tc>
          <w:tcPr>
            <w:tcW w:w="1843" w:type="dxa"/>
            <w:shd w:val="clear" w:color="auto" w:fill="D9E2F3" w:themeFill="accent5" w:themeFillTint="33"/>
            <w:vAlign w:val="center"/>
          </w:tcPr>
          <w:p w14:paraId="5B6D72C4" w14:textId="194D9071" w:rsidR="00F06C3A" w:rsidRPr="00DF4F4B" w:rsidRDefault="00016779" w:rsidP="00AD4A74">
            <w:pPr>
              <w:pStyle w:val="Header"/>
              <w:spacing w:before="0"/>
              <w:jc w:val="center"/>
              <w:rPr>
                <w:rFonts w:eastAsia="Times New Roman" w:cs="Open Sans"/>
                <w:bCs/>
                <w:color w:val="000000"/>
                <w:kern w:val="28"/>
                <w:sz w:val="18"/>
                <w:szCs w:val="16"/>
                <w:lang w:eastAsia="en-GB"/>
                <w14:cntxtAlts/>
              </w:rPr>
            </w:pPr>
            <w:r w:rsidRPr="00DF4F4B">
              <w:rPr>
                <w:rFonts w:eastAsia="Times New Roman" w:cs="Open Sans"/>
                <w:bCs/>
                <w:color w:val="000000"/>
                <w:kern w:val="28"/>
                <w:sz w:val="18"/>
                <w:szCs w:val="16"/>
                <w:lang w:eastAsia="en-GB"/>
                <w14:cntxtAlts/>
              </w:rPr>
              <w:t>140 000 USD</w:t>
            </w:r>
          </w:p>
        </w:tc>
        <w:tc>
          <w:tcPr>
            <w:tcW w:w="1744" w:type="dxa"/>
            <w:shd w:val="clear" w:color="auto" w:fill="D9E2F3" w:themeFill="accent5" w:themeFillTint="33"/>
            <w:vAlign w:val="center"/>
          </w:tcPr>
          <w:p w14:paraId="10D8B960" w14:textId="62D84749" w:rsidR="00F06C3A" w:rsidRPr="00DF4F4B" w:rsidRDefault="003B45A6" w:rsidP="00AD4A74">
            <w:pPr>
              <w:pStyle w:val="Header"/>
              <w:spacing w:before="0"/>
              <w:jc w:val="center"/>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150</w:t>
            </w:r>
            <w:r w:rsidRPr="00DF4F4B">
              <w:rPr>
                <w:rFonts w:eastAsia="Times New Roman" w:cs="Open Sans"/>
                <w:bCs/>
                <w:color w:val="000000"/>
                <w:kern w:val="28"/>
                <w:sz w:val="18"/>
                <w:szCs w:val="16"/>
                <w:lang w:eastAsia="en-GB"/>
                <w14:cntxtAlts/>
              </w:rPr>
              <w:t> </w:t>
            </w:r>
            <w:r w:rsidR="00385CFA" w:rsidRPr="00DF4F4B">
              <w:rPr>
                <w:rFonts w:eastAsia="Times New Roman" w:cs="Open Sans"/>
                <w:bCs/>
                <w:color w:val="000000"/>
                <w:kern w:val="28"/>
                <w:sz w:val="18"/>
                <w:szCs w:val="16"/>
                <w:lang w:eastAsia="en-GB"/>
                <w14:cntxtAlts/>
              </w:rPr>
              <w:t>000 USD</w:t>
            </w:r>
          </w:p>
        </w:tc>
      </w:tr>
      <w:tr w:rsidR="00F06C3A" w:rsidRPr="00925FBE" w14:paraId="10583E1C" w14:textId="77777777" w:rsidTr="008836CB">
        <w:trPr>
          <w:trHeight w:val="340"/>
        </w:trPr>
        <w:tc>
          <w:tcPr>
            <w:tcW w:w="1980" w:type="dxa"/>
            <w:vMerge/>
            <w:shd w:val="clear" w:color="auto" w:fill="D9E2F3" w:themeFill="accent5" w:themeFillTint="33"/>
            <w:vAlign w:val="center"/>
          </w:tcPr>
          <w:p w14:paraId="6B79CB8D" w14:textId="77777777" w:rsidR="00F06C3A" w:rsidRPr="00DF4F4B" w:rsidRDefault="00F06C3A" w:rsidP="00AD4A74">
            <w:pPr>
              <w:pStyle w:val="Header"/>
              <w:spacing w:before="0"/>
              <w:rPr>
                <w:rFonts w:eastAsia="Times New Roman" w:cs="Open Sans"/>
                <w:bCs/>
                <w:color w:val="000000"/>
                <w:kern w:val="28"/>
                <w:sz w:val="18"/>
                <w:szCs w:val="16"/>
                <w:lang w:eastAsia="en-GB"/>
                <w14:cntxtAlts/>
              </w:rPr>
            </w:pPr>
          </w:p>
        </w:tc>
        <w:tc>
          <w:tcPr>
            <w:tcW w:w="3685" w:type="dxa"/>
            <w:shd w:val="clear" w:color="auto" w:fill="D9E2F3" w:themeFill="accent5" w:themeFillTint="33"/>
            <w:vAlign w:val="center"/>
          </w:tcPr>
          <w:p w14:paraId="3A82C24E" w14:textId="37ACA8DA" w:rsidR="00F06C3A" w:rsidRPr="00DF4F4B" w:rsidRDefault="00F06C3A" w:rsidP="00AD4A74">
            <w:pPr>
              <w:pStyle w:val="Header"/>
              <w:spacing w:before="0"/>
              <w:rPr>
                <w:rFonts w:eastAsia="Times New Roman" w:cs="Open Sans"/>
                <w:bCs/>
                <w:color w:val="000000"/>
                <w:kern w:val="28"/>
                <w:sz w:val="18"/>
                <w:szCs w:val="16"/>
                <w:lang w:eastAsia="en-GB"/>
                <w14:cntxtAlts/>
              </w:rPr>
            </w:pPr>
            <w:r w:rsidRPr="00DF4F4B">
              <w:rPr>
                <w:rFonts w:eastAsia="Times New Roman" w:cs="Open Sans"/>
                <w:bCs/>
                <w:color w:val="000000"/>
                <w:kern w:val="28"/>
                <w:sz w:val="18"/>
                <w:szCs w:val="16"/>
                <w:lang w:eastAsia="en-GB"/>
                <w14:cntxtAlts/>
              </w:rPr>
              <w:t xml:space="preserve">1.c. Perception locale </w:t>
            </w:r>
            <w:r w:rsidR="00016779" w:rsidRPr="00DF4F4B">
              <w:rPr>
                <w:rFonts w:eastAsia="Times New Roman" w:cs="Open Sans"/>
                <w:bCs/>
                <w:color w:val="000000"/>
                <w:kern w:val="28"/>
                <w:sz w:val="18"/>
                <w:szCs w:val="16"/>
                <w:lang w:eastAsia="en-GB"/>
                <w14:cntxtAlts/>
              </w:rPr>
              <w:t xml:space="preserve">positive </w:t>
            </w:r>
            <w:r w:rsidRPr="00DF4F4B">
              <w:rPr>
                <w:rFonts w:eastAsia="Times New Roman" w:cs="Open Sans"/>
                <w:bCs/>
                <w:color w:val="000000"/>
                <w:kern w:val="28"/>
                <w:sz w:val="18"/>
                <w:szCs w:val="16"/>
                <w:lang w:eastAsia="en-GB"/>
                <w14:cntxtAlts/>
              </w:rPr>
              <w:t>des bénéficies du parc</w:t>
            </w:r>
          </w:p>
        </w:tc>
        <w:tc>
          <w:tcPr>
            <w:tcW w:w="1843" w:type="dxa"/>
            <w:shd w:val="clear" w:color="auto" w:fill="D9E2F3" w:themeFill="accent5" w:themeFillTint="33"/>
            <w:vAlign w:val="center"/>
          </w:tcPr>
          <w:p w14:paraId="4564FB55" w14:textId="7363E387" w:rsidR="00F06C3A" w:rsidRPr="00DF4F4B" w:rsidRDefault="00016779" w:rsidP="00AD4A74">
            <w:pPr>
              <w:pStyle w:val="Header"/>
              <w:spacing w:before="0"/>
              <w:jc w:val="center"/>
              <w:rPr>
                <w:rFonts w:eastAsia="Times New Roman" w:cs="Open Sans"/>
                <w:bCs/>
                <w:color w:val="000000"/>
                <w:kern w:val="28"/>
                <w:sz w:val="18"/>
                <w:szCs w:val="16"/>
                <w:lang w:eastAsia="en-GB"/>
                <w14:cntxtAlts/>
              </w:rPr>
            </w:pPr>
            <w:r w:rsidRPr="00DF4F4B">
              <w:rPr>
                <w:rFonts w:eastAsia="Times New Roman" w:cs="Open Sans"/>
                <w:bCs/>
                <w:color w:val="000000"/>
                <w:kern w:val="28"/>
                <w:sz w:val="18"/>
                <w:szCs w:val="16"/>
                <w:lang w:eastAsia="en-GB"/>
                <w14:cntxtAlts/>
              </w:rPr>
              <w:t>80% de la population</w:t>
            </w:r>
          </w:p>
        </w:tc>
        <w:tc>
          <w:tcPr>
            <w:tcW w:w="1744" w:type="dxa"/>
            <w:shd w:val="clear" w:color="auto" w:fill="D9E2F3" w:themeFill="accent5" w:themeFillTint="33"/>
            <w:vAlign w:val="center"/>
          </w:tcPr>
          <w:p w14:paraId="4E0AD348" w14:textId="1B227EE0" w:rsidR="00F06C3A" w:rsidRPr="00DF4F4B" w:rsidRDefault="00016779" w:rsidP="00AD4A74">
            <w:pPr>
              <w:pStyle w:val="Header"/>
              <w:spacing w:before="0"/>
              <w:jc w:val="center"/>
              <w:rPr>
                <w:rFonts w:eastAsia="Times New Roman" w:cs="Open Sans"/>
                <w:bCs/>
                <w:color w:val="000000"/>
                <w:kern w:val="28"/>
                <w:sz w:val="18"/>
                <w:szCs w:val="16"/>
                <w:lang w:eastAsia="en-GB"/>
                <w14:cntxtAlts/>
              </w:rPr>
            </w:pPr>
            <w:r w:rsidRPr="00DF4F4B">
              <w:rPr>
                <w:rFonts w:eastAsia="Times New Roman" w:cs="Open Sans"/>
                <w:bCs/>
                <w:color w:val="000000"/>
                <w:kern w:val="28"/>
                <w:sz w:val="18"/>
                <w:szCs w:val="16"/>
                <w:lang w:eastAsia="en-GB"/>
                <w14:cntxtAlts/>
              </w:rPr>
              <w:t>ND</w:t>
            </w:r>
          </w:p>
        </w:tc>
      </w:tr>
      <w:tr w:rsidR="00F06C3A" w:rsidRPr="00925FBE" w14:paraId="30FE013A" w14:textId="77777777" w:rsidTr="008836CB">
        <w:trPr>
          <w:trHeight w:val="340"/>
        </w:trPr>
        <w:tc>
          <w:tcPr>
            <w:tcW w:w="1980" w:type="dxa"/>
            <w:vMerge/>
            <w:shd w:val="clear" w:color="auto" w:fill="D9E2F3" w:themeFill="accent5" w:themeFillTint="33"/>
            <w:vAlign w:val="center"/>
          </w:tcPr>
          <w:p w14:paraId="71656178" w14:textId="77777777" w:rsidR="00F06C3A" w:rsidRPr="00DF4F4B" w:rsidRDefault="00F06C3A" w:rsidP="00AD4A74">
            <w:pPr>
              <w:pStyle w:val="Header"/>
              <w:spacing w:before="0"/>
              <w:rPr>
                <w:rFonts w:eastAsia="Times New Roman" w:cs="Open Sans"/>
                <w:bCs/>
                <w:color w:val="000000"/>
                <w:kern w:val="28"/>
                <w:sz w:val="18"/>
                <w:szCs w:val="16"/>
                <w:lang w:eastAsia="en-GB"/>
                <w14:cntxtAlts/>
              </w:rPr>
            </w:pPr>
          </w:p>
        </w:tc>
        <w:tc>
          <w:tcPr>
            <w:tcW w:w="3685" w:type="dxa"/>
            <w:shd w:val="clear" w:color="auto" w:fill="D9E2F3" w:themeFill="accent5" w:themeFillTint="33"/>
            <w:vAlign w:val="center"/>
          </w:tcPr>
          <w:p w14:paraId="59591ECB" w14:textId="75D68D42" w:rsidR="00F06C3A" w:rsidRPr="00DF4F4B" w:rsidRDefault="00F06C3A" w:rsidP="00AD4A74">
            <w:pPr>
              <w:pStyle w:val="Header"/>
              <w:spacing w:before="0"/>
              <w:rPr>
                <w:rFonts w:eastAsia="Times New Roman" w:cs="Open Sans"/>
                <w:bCs/>
                <w:color w:val="000000"/>
                <w:kern w:val="28"/>
                <w:sz w:val="18"/>
                <w:szCs w:val="16"/>
                <w:lang w:eastAsia="en-GB"/>
                <w14:cntxtAlts/>
              </w:rPr>
            </w:pPr>
            <w:r w:rsidRPr="00DF4F4B">
              <w:rPr>
                <w:rFonts w:eastAsia="Times New Roman" w:cs="Open Sans"/>
                <w:bCs/>
                <w:color w:val="000000"/>
                <w:kern w:val="28"/>
                <w:sz w:val="18"/>
                <w:szCs w:val="16"/>
                <w:lang w:eastAsia="en-GB"/>
                <w14:cntxtAlts/>
              </w:rPr>
              <w:t>1.d. Nombre de conflits observés dans le parc et nombre de personnes touchées</w:t>
            </w:r>
          </w:p>
        </w:tc>
        <w:tc>
          <w:tcPr>
            <w:tcW w:w="1843" w:type="dxa"/>
            <w:shd w:val="clear" w:color="auto" w:fill="D9E2F3" w:themeFill="accent5" w:themeFillTint="33"/>
            <w:vAlign w:val="center"/>
          </w:tcPr>
          <w:p w14:paraId="4AFF48A8" w14:textId="156A0562" w:rsidR="00F06C3A" w:rsidRPr="00DF4F4B" w:rsidRDefault="00016779" w:rsidP="00AD4A74">
            <w:pPr>
              <w:pStyle w:val="Header"/>
              <w:spacing w:before="0"/>
              <w:jc w:val="center"/>
              <w:rPr>
                <w:rFonts w:eastAsia="Times New Roman" w:cs="Open Sans"/>
                <w:bCs/>
                <w:color w:val="000000"/>
                <w:kern w:val="28"/>
                <w:sz w:val="18"/>
                <w:szCs w:val="16"/>
                <w:lang w:eastAsia="en-GB"/>
                <w14:cntxtAlts/>
              </w:rPr>
            </w:pPr>
            <w:r w:rsidRPr="00DF4F4B">
              <w:rPr>
                <w:rFonts w:eastAsia="Times New Roman" w:cs="Open Sans"/>
                <w:bCs/>
                <w:color w:val="000000"/>
                <w:kern w:val="28"/>
                <w:sz w:val="18"/>
                <w:szCs w:val="16"/>
                <w:lang w:eastAsia="en-GB"/>
                <w14:cntxtAlts/>
              </w:rPr>
              <w:t>0</w:t>
            </w:r>
          </w:p>
        </w:tc>
        <w:tc>
          <w:tcPr>
            <w:tcW w:w="1744" w:type="dxa"/>
            <w:shd w:val="clear" w:color="auto" w:fill="D9E2F3" w:themeFill="accent5" w:themeFillTint="33"/>
            <w:vAlign w:val="center"/>
          </w:tcPr>
          <w:p w14:paraId="3E9338FC" w14:textId="58ABD205" w:rsidR="00F06C3A" w:rsidRPr="00DF4F4B" w:rsidRDefault="00016779" w:rsidP="00AD4A74">
            <w:pPr>
              <w:pStyle w:val="Header"/>
              <w:spacing w:before="0"/>
              <w:jc w:val="center"/>
              <w:rPr>
                <w:rFonts w:eastAsia="Times New Roman" w:cs="Open Sans"/>
                <w:bCs/>
                <w:color w:val="000000"/>
                <w:kern w:val="28"/>
                <w:sz w:val="18"/>
                <w:szCs w:val="16"/>
                <w:lang w:eastAsia="en-GB"/>
                <w14:cntxtAlts/>
              </w:rPr>
            </w:pPr>
            <w:r w:rsidRPr="00DF4F4B">
              <w:rPr>
                <w:rFonts w:eastAsia="Times New Roman" w:cs="Open Sans"/>
                <w:bCs/>
                <w:color w:val="000000"/>
                <w:kern w:val="28"/>
                <w:sz w:val="18"/>
                <w:szCs w:val="16"/>
                <w:lang w:eastAsia="en-GB"/>
                <w14:cntxtAlts/>
              </w:rPr>
              <w:t>ND</w:t>
            </w:r>
          </w:p>
        </w:tc>
      </w:tr>
      <w:tr w:rsidR="00DF4F4B" w:rsidRPr="00925FBE" w14:paraId="5B611011" w14:textId="77777777" w:rsidTr="00B84D8D">
        <w:trPr>
          <w:trHeight w:val="340"/>
        </w:trPr>
        <w:tc>
          <w:tcPr>
            <w:tcW w:w="1980" w:type="dxa"/>
            <w:vMerge w:val="restart"/>
            <w:vAlign w:val="center"/>
          </w:tcPr>
          <w:p w14:paraId="760E7F69" w14:textId="0CCC4BFA" w:rsidR="00DF4F4B" w:rsidRPr="00DF4F4B" w:rsidRDefault="00DF4F4B" w:rsidP="00AD4A74">
            <w:pPr>
              <w:pStyle w:val="Header"/>
              <w:spacing w:before="0"/>
              <w:rPr>
                <w:rFonts w:eastAsia="Times New Roman" w:cs="Open Sans"/>
                <w:bCs/>
                <w:color w:val="000000"/>
                <w:kern w:val="28"/>
                <w:sz w:val="18"/>
                <w:szCs w:val="16"/>
                <w:lang w:eastAsia="en-GB"/>
                <w14:cntxtAlts/>
              </w:rPr>
            </w:pPr>
            <w:r w:rsidRPr="00DF4F4B">
              <w:rPr>
                <w:rFonts w:eastAsia="Times New Roman" w:cs="Open Sans"/>
                <w:bCs/>
                <w:color w:val="000000"/>
                <w:kern w:val="28"/>
                <w:sz w:val="18"/>
                <w:szCs w:val="16"/>
                <w:lang w:eastAsia="en-GB"/>
                <w14:cntxtAlts/>
              </w:rPr>
              <w:t>Produit 1.1 : Cadre de cogestion établi</w:t>
            </w:r>
          </w:p>
        </w:tc>
        <w:tc>
          <w:tcPr>
            <w:tcW w:w="3685" w:type="dxa"/>
            <w:vAlign w:val="center"/>
          </w:tcPr>
          <w:p w14:paraId="79DA9B88" w14:textId="5D11E990" w:rsidR="00DF4F4B" w:rsidRPr="00DF4F4B" w:rsidRDefault="00DF4F4B" w:rsidP="00AD4A74">
            <w:pPr>
              <w:pStyle w:val="Header"/>
              <w:spacing w:before="0"/>
              <w:rPr>
                <w:rFonts w:eastAsia="Times New Roman" w:cs="Open Sans"/>
                <w:bCs/>
                <w:color w:val="000000"/>
                <w:kern w:val="28"/>
                <w:sz w:val="18"/>
                <w:szCs w:val="16"/>
                <w:lang w:eastAsia="en-GB"/>
                <w14:cntxtAlts/>
              </w:rPr>
            </w:pPr>
            <w:r w:rsidRPr="00DF4F4B">
              <w:rPr>
                <w:rFonts w:eastAsia="Times New Roman" w:cs="Open Sans"/>
                <w:bCs/>
                <w:color w:val="000000"/>
                <w:kern w:val="28"/>
                <w:sz w:val="18"/>
                <w:szCs w:val="16"/>
                <w:lang w:eastAsia="en-GB"/>
                <w14:cntxtAlts/>
              </w:rPr>
              <w:t>1.1.1. Accord de cogestion signé</w:t>
            </w:r>
          </w:p>
        </w:tc>
        <w:tc>
          <w:tcPr>
            <w:tcW w:w="1843" w:type="dxa"/>
            <w:vAlign w:val="center"/>
          </w:tcPr>
          <w:p w14:paraId="2CE422EA" w14:textId="75DFD540" w:rsidR="00DF4F4B" w:rsidRPr="00DF4F4B" w:rsidRDefault="00DF4F4B" w:rsidP="00AD4A74">
            <w:pPr>
              <w:pStyle w:val="Header"/>
              <w:spacing w:before="0"/>
              <w:jc w:val="center"/>
              <w:rPr>
                <w:rFonts w:eastAsia="Times New Roman" w:cs="Open Sans"/>
                <w:bCs/>
                <w:color w:val="000000"/>
                <w:kern w:val="28"/>
                <w:sz w:val="18"/>
                <w:szCs w:val="16"/>
                <w:lang w:eastAsia="en-GB"/>
                <w14:cntxtAlts/>
              </w:rPr>
            </w:pPr>
            <w:r w:rsidRPr="00DF4F4B">
              <w:rPr>
                <w:rFonts w:eastAsia="Times New Roman" w:cs="Open Sans"/>
                <w:bCs/>
                <w:color w:val="000000"/>
                <w:kern w:val="28"/>
                <w:sz w:val="18"/>
                <w:szCs w:val="16"/>
                <w:lang w:eastAsia="en-GB"/>
                <w14:cntxtAlts/>
              </w:rPr>
              <w:t>1</w:t>
            </w:r>
          </w:p>
        </w:tc>
        <w:tc>
          <w:tcPr>
            <w:tcW w:w="1744" w:type="dxa"/>
            <w:vAlign w:val="center"/>
          </w:tcPr>
          <w:p w14:paraId="253AC9EB" w14:textId="2705020C" w:rsidR="00DF4F4B" w:rsidRPr="00DF4F4B" w:rsidRDefault="00DF4F4B" w:rsidP="00AD4A74">
            <w:pPr>
              <w:pStyle w:val="Header"/>
              <w:spacing w:before="0"/>
              <w:jc w:val="center"/>
              <w:rPr>
                <w:rFonts w:eastAsia="Times New Roman" w:cs="Open Sans"/>
                <w:bCs/>
                <w:color w:val="000000"/>
                <w:kern w:val="28"/>
                <w:sz w:val="18"/>
                <w:szCs w:val="16"/>
                <w:lang w:eastAsia="en-GB"/>
                <w14:cntxtAlts/>
              </w:rPr>
            </w:pPr>
            <w:r w:rsidRPr="00DF4F4B">
              <w:rPr>
                <w:rFonts w:eastAsia="Times New Roman" w:cs="Open Sans"/>
                <w:bCs/>
                <w:color w:val="000000"/>
                <w:kern w:val="28"/>
                <w:sz w:val="18"/>
                <w:szCs w:val="16"/>
                <w:lang w:eastAsia="en-GB"/>
                <w14:cntxtAlts/>
              </w:rPr>
              <w:t>1</w:t>
            </w:r>
          </w:p>
        </w:tc>
      </w:tr>
      <w:tr w:rsidR="00DF4F4B" w:rsidRPr="00925FBE" w14:paraId="45B31D2E" w14:textId="77777777" w:rsidTr="00B84D8D">
        <w:trPr>
          <w:trHeight w:val="340"/>
        </w:trPr>
        <w:tc>
          <w:tcPr>
            <w:tcW w:w="1980" w:type="dxa"/>
            <w:vMerge/>
            <w:vAlign w:val="center"/>
          </w:tcPr>
          <w:p w14:paraId="44E35601" w14:textId="77777777" w:rsidR="00DF4F4B" w:rsidRPr="00DF4F4B" w:rsidRDefault="00DF4F4B" w:rsidP="00AD4A74">
            <w:pPr>
              <w:pStyle w:val="Header"/>
              <w:spacing w:before="0"/>
              <w:rPr>
                <w:rFonts w:eastAsia="Times New Roman" w:cs="Open Sans"/>
                <w:bCs/>
                <w:color w:val="000000"/>
                <w:kern w:val="28"/>
                <w:sz w:val="18"/>
                <w:szCs w:val="16"/>
                <w:lang w:eastAsia="en-GB"/>
                <w14:cntxtAlts/>
              </w:rPr>
            </w:pPr>
          </w:p>
        </w:tc>
        <w:tc>
          <w:tcPr>
            <w:tcW w:w="3685" w:type="dxa"/>
            <w:vAlign w:val="center"/>
          </w:tcPr>
          <w:p w14:paraId="60674804" w14:textId="42F6038E" w:rsidR="00DF4F4B" w:rsidRPr="00DF4F4B" w:rsidRDefault="00DF4F4B" w:rsidP="00AD4A74">
            <w:pPr>
              <w:pStyle w:val="Header"/>
              <w:spacing w:before="0"/>
              <w:rPr>
                <w:rFonts w:eastAsia="Times New Roman" w:cs="Open Sans"/>
                <w:bCs/>
                <w:color w:val="000000"/>
                <w:kern w:val="28"/>
                <w:sz w:val="18"/>
                <w:szCs w:val="16"/>
                <w:lang w:eastAsia="en-GB"/>
                <w14:cntxtAlts/>
              </w:rPr>
            </w:pPr>
            <w:r w:rsidRPr="00DF4F4B">
              <w:rPr>
                <w:rFonts w:eastAsia="Times New Roman" w:cs="Open Sans"/>
                <w:bCs/>
                <w:color w:val="000000"/>
                <w:kern w:val="28"/>
                <w:sz w:val="18"/>
                <w:szCs w:val="16"/>
                <w:lang w:eastAsia="en-GB"/>
                <w14:cntxtAlts/>
              </w:rPr>
              <w:t>1.1.2. Nouveau plan d’aménagement</w:t>
            </w:r>
          </w:p>
        </w:tc>
        <w:tc>
          <w:tcPr>
            <w:tcW w:w="1843" w:type="dxa"/>
            <w:vAlign w:val="center"/>
          </w:tcPr>
          <w:p w14:paraId="7542B19E" w14:textId="67ED04C5" w:rsidR="00DF4F4B" w:rsidRPr="00DF4F4B" w:rsidRDefault="00DF4F4B" w:rsidP="00AD4A74">
            <w:pPr>
              <w:pStyle w:val="Header"/>
              <w:spacing w:before="0"/>
              <w:jc w:val="center"/>
              <w:rPr>
                <w:rFonts w:eastAsia="Times New Roman" w:cs="Open Sans"/>
                <w:bCs/>
                <w:color w:val="000000"/>
                <w:kern w:val="28"/>
                <w:sz w:val="18"/>
                <w:szCs w:val="16"/>
                <w:lang w:eastAsia="en-GB"/>
                <w14:cntxtAlts/>
              </w:rPr>
            </w:pPr>
            <w:r w:rsidRPr="00E4703E">
              <w:rPr>
                <w:rFonts w:eastAsia="Times New Roman" w:cs="Open Sans"/>
                <w:bCs/>
                <w:color w:val="000000"/>
                <w:kern w:val="28"/>
                <w:sz w:val="18"/>
                <w:szCs w:val="16"/>
                <w:lang w:eastAsia="en-GB"/>
                <w14:cntxtAlts/>
              </w:rPr>
              <w:t xml:space="preserve">1 plan </w:t>
            </w:r>
            <w:r w:rsidRPr="00DF4F4B">
              <w:rPr>
                <w:rFonts w:eastAsia="Times New Roman" w:cs="Open Sans"/>
                <w:bCs/>
                <w:color w:val="000000"/>
                <w:kern w:val="28"/>
                <w:sz w:val="18"/>
                <w:szCs w:val="16"/>
                <w:lang w:eastAsia="en-GB"/>
                <w14:cntxtAlts/>
              </w:rPr>
              <w:t>de</w:t>
            </w:r>
            <w:r w:rsidRPr="00E4703E">
              <w:rPr>
                <w:rFonts w:eastAsia="Times New Roman" w:cs="Open Sans"/>
                <w:bCs/>
                <w:color w:val="000000"/>
                <w:kern w:val="28"/>
                <w:sz w:val="18"/>
                <w:szCs w:val="16"/>
                <w:lang w:eastAsia="en-GB"/>
                <w14:cntxtAlts/>
              </w:rPr>
              <w:t xml:space="preserve"> zone tampon d'au moins 40 000 ha</w:t>
            </w:r>
          </w:p>
        </w:tc>
        <w:tc>
          <w:tcPr>
            <w:tcW w:w="1744" w:type="dxa"/>
            <w:vAlign w:val="center"/>
          </w:tcPr>
          <w:p w14:paraId="1AA4F762" w14:textId="72F32BAF" w:rsidR="00DF4F4B" w:rsidRPr="00DF4F4B" w:rsidRDefault="00DF4F4B" w:rsidP="00AD4A74">
            <w:pPr>
              <w:pStyle w:val="Header"/>
              <w:spacing w:before="0"/>
              <w:jc w:val="center"/>
              <w:rPr>
                <w:rFonts w:eastAsia="Times New Roman" w:cs="Open Sans"/>
                <w:bCs/>
                <w:color w:val="000000"/>
                <w:kern w:val="28"/>
                <w:sz w:val="18"/>
                <w:szCs w:val="16"/>
                <w:lang w:eastAsia="en-GB"/>
                <w14:cntxtAlts/>
              </w:rPr>
            </w:pPr>
            <w:r w:rsidRPr="00DF4F4B">
              <w:rPr>
                <w:rFonts w:eastAsia="Times New Roman" w:cs="Open Sans"/>
                <w:bCs/>
                <w:color w:val="000000"/>
                <w:kern w:val="28"/>
                <w:sz w:val="18"/>
                <w:szCs w:val="16"/>
                <w:lang w:eastAsia="en-GB"/>
                <w14:cntxtAlts/>
              </w:rPr>
              <w:t>0</w:t>
            </w:r>
          </w:p>
        </w:tc>
      </w:tr>
      <w:tr w:rsidR="00DF4F4B" w:rsidRPr="00925FBE" w14:paraId="7F1C9D8A" w14:textId="77777777" w:rsidTr="00B84D8D">
        <w:trPr>
          <w:trHeight w:val="340"/>
        </w:trPr>
        <w:tc>
          <w:tcPr>
            <w:tcW w:w="1980" w:type="dxa"/>
            <w:vMerge/>
            <w:vAlign w:val="center"/>
          </w:tcPr>
          <w:p w14:paraId="2FA6E406" w14:textId="77777777" w:rsidR="00DF4F4B" w:rsidRPr="00DF4F4B" w:rsidRDefault="00DF4F4B" w:rsidP="00AD4A74">
            <w:pPr>
              <w:pStyle w:val="Header"/>
              <w:spacing w:before="0"/>
              <w:rPr>
                <w:rFonts w:eastAsia="Times New Roman" w:cs="Open Sans"/>
                <w:bCs/>
                <w:color w:val="000000"/>
                <w:kern w:val="28"/>
                <w:sz w:val="18"/>
                <w:szCs w:val="16"/>
                <w:lang w:eastAsia="en-GB"/>
                <w14:cntxtAlts/>
              </w:rPr>
            </w:pPr>
          </w:p>
        </w:tc>
        <w:tc>
          <w:tcPr>
            <w:tcW w:w="3685" w:type="dxa"/>
            <w:vAlign w:val="center"/>
          </w:tcPr>
          <w:p w14:paraId="30868A5B" w14:textId="781BA65A" w:rsidR="00DF4F4B" w:rsidRPr="00DF4F4B" w:rsidRDefault="00DF4F4B" w:rsidP="00AD4A74">
            <w:pPr>
              <w:pStyle w:val="Header"/>
              <w:spacing w:before="0"/>
              <w:rPr>
                <w:rFonts w:eastAsia="Times New Roman" w:cs="Open Sans"/>
                <w:bCs/>
                <w:color w:val="000000"/>
                <w:kern w:val="28"/>
                <w:sz w:val="18"/>
                <w:szCs w:val="16"/>
                <w:lang w:eastAsia="en-GB"/>
                <w14:cntxtAlts/>
              </w:rPr>
            </w:pPr>
            <w:r w:rsidRPr="00DF4F4B">
              <w:rPr>
                <w:rFonts w:eastAsia="Times New Roman" w:cs="Open Sans"/>
                <w:bCs/>
                <w:color w:val="000000"/>
                <w:kern w:val="28"/>
                <w:sz w:val="18"/>
                <w:szCs w:val="16"/>
                <w:lang w:eastAsia="en-GB"/>
                <w14:cntxtAlts/>
              </w:rPr>
              <w:t>1.1.3. Cofinancement mobilisé pour un plan durable pour la paix et la conservation</w:t>
            </w:r>
          </w:p>
        </w:tc>
        <w:tc>
          <w:tcPr>
            <w:tcW w:w="1843" w:type="dxa"/>
            <w:vAlign w:val="center"/>
          </w:tcPr>
          <w:p w14:paraId="3476862C" w14:textId="098CCBFF" w:rsidR="00DF4F4B" w:rsidRPr="00DF4F4B" w:rsidRDefault="00DF4F4B" w:rsidP="00AD4A74">
            <w:pPr>
              <w:pStyle w:val="Header"/>
              <w:spacing w:before="0"/>
              <w:jc w:val="center"/>
              <w:rPr>
                <w:rFonts w:eastAsia="Times New Roman" w:cs="Open Sans"/>
                <w:bCs/>
                <w:color w:val="000000"/>
                <w:kern w:val="28"/>
                <w:sz w:val="18"/>
                <w:szCs w:val="16"/>
                <w:lang w:eastAsia="en-GB"/>
                <w14:cntxtAlts/>
              </w:rPr>
            </w:pPr>
            <w:r w:rsidRPr="00DF4F4B">
              <w:rPr>
                <w:rFonts w:eastAsia="Times New Roman" w:cs="Open Sans"/>
                <w:bCs/>
                <w:color w:val="000000"/>
                <w:kern w:val="28"/>
                <w:sz w:val="18"/>
                <w:szCs w:val="16"/>
                <w:lang w:eastAsia="en-GB"/>
                <w14:cntxtAlts/>
              </w:rPr>
              <w:t>30 millions USD</w:t>
            </w:r>
          </w:p>
        </w:tc>
        <w:tc>
          <w:tcPr>
            <w:tcW w:w="1744" w:type="dxa"/>
            <w:vAlign w:val="center"/>
          </w:tcPr>
          <w:p w14:paraId="420619E7" w14:textId="1093BCC4" w:rsidR="00DF4F4B" w:rsidRPr="00DF4F4B" w:rsidRDefault="00DF4F4B" w:rsidP="00AD4A74">
            <w:pPr>
              <w:pStyle w:val="Header"/>
              <w:spacing w:before="0"/>
              <w:jc w:val="center"/>
              <w:rPr>
                <w:rFonts w:eastAsia="Times New Roman" w:cs="Open Sans"/>
                <w:bCs/>
                <w:color w:val="000000"/>
                <w:kern w:val="28"/>
                <w:sz w:val="18"/>
                <w:szCs w:val="16"/>
                <w:lang w:eastAsia="en-GB"/>
                <w14:cntxtAlts/>
              </w:rPr>
            </w:pPr>
            <w:r w:rsidRPr="00DF4F4B">
              <w:rPr>
                <w:rFonts w:eastAsia="Times New Roman" w:cs="Open Sans"/>
                <w:bCs/>
                <w:color w:val="000000"/>
                <w:kern w:val="28"/>
                <w:sz w:val="18"/>
                <w:szCs w:val="16"/>
                <w:lang w:eastAsia="en-GB"/>
                <w14:cntxtAlts/>
              </w:rPr>
              <w:t>1,875 millions USD</w:t>
            </w:r>
          </w:p>
        </w:tc>
      </w:tr>
      <w:tr w:rsidR="002315B9" w:rsidRPr="00925FBE" w14:paraId="51D7FEA6" w14:textId="77777777" w:rsidTr="00B84D8D">
        <w:trPr>
          <w:trHeight w:val="340"/>
        </w:trPr>
        <w:tc>
          <w:tcPr>
            <w:tcW w:w="1980" w:type="dxa"/>
            <w:vAlign w:val="center"/>
          </w:tcPr>
          <w:p w14:paraId="0AAE56AC" w14:textId="47124688" w:rsidR="002315B9" w:rsidRPr="00DF4F4B" w:rsidRDefault="002315B9" w:rsidP="00AD4A74">
            <w:pPr>
              <w:pStyle w:val="Header"/>
              <w:spacing w:before="0"/>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Produit 1.2 : Ecogardes</w:t>
            </w:r>
            <w:r w:rsidR="00B84D8D">
              <w:rPr>
                <w:rFonts w:eastAsia="Times New Roman" w:cs="Open Sans"/>
                <w:bCs/>
                <w:color w:val="000000"/>
                <w:kern w:val="28"/>
                <w:sz w:val="18"/>
                <w:szCs w:val="16"/>
                <w:lang w:eastAsia="en-GB"/>
                <w14:cntxtAlts/>
              </w:rPr>
              <w:t xml:space="preserve"> </w:t>
            </w:r>
            <w:r>
              <w:rPr>
                <w:rFonts w:eastAsia="Times New Roman" w:cs="Open Sans"/>
                <w:bCs/>
                <w:color w:val="000000"/>
                <w:kern w:val="28"/>
                <w:sz w:val="18"/>
                <w:szCs w:val="16"/>
                <w:lang w:eastAsia="en-GB"/>
                <w14:cntxtAlts/>
              </w:rPr>
              <w:t>déployés</w:t>
            </w:r>
          </w:p>
        </w:tc>
        <w:tc>
          <w:tcPr>
            <w:tcW w:w="3685" w:type="dxa"/>
            <w:vAlign w:val="center"/>
          </w:tcPr>
          <w:p w14:paraId="5D3FC200" w14:textId="06BCE2AC" w:rsidR="002315B9" w:rsidRPr="00DF4F4B" w:rsidRDefault="006A2129" w:rsidP="00AD4A74">
            <w:pPr>
              <w:pStyle w:val="Header"/>
              <w:spacing w:before="0"/>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 xml:space="preserve">1.2.1. </w:t>
            </w:r>
            <w:r w:rsidR="00645664">
              <w:rPr>
                <w:rFonts w:eastAsia="Times New Roman" w:cs="Open Sans"/>
                <w:bCs/>
                <w:color w:val="000000"/>
                <w:kern w:val="28"/>
                <w:sz w:val="18"/>
                <w:szCs w:val="16"/>
                <w:lang w:eastAsia="en-GB"/>
                <w14:cntxtAlts/>
              </w:rPr>
              <w:t xml:space="preserve">Nombre d’écogardes recrutés et formés </w:t>
            </w:r>
          </w:p>
        </w:tc>
        <w:tc>
          <w:tcPr>
            <w:tcW w:w="1843" w:type="dxa"/>
            <w:vAlign w:val="center"/>
          </w:tcPr>
          <w:p w14:paraId="720258B5" w14:textId="53B8BA30" w:rsidR="002315B9" w:rsidRPr="00DF4F4B" w:rsidRDefault="009C56E8" w:rsidP="00AD4A74">
            <w:pPr>
              <w:pStyle w:val="Header"/>
              <w:spacing w:before="0"/>
              <w:jc w:val="center"/>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60 dont 30 femmes</w:t>
            </w:r>
          </w:p>
        </w:tc>
        <w:tc>
          <w:tcPr>
            <w:tcW w:w="1744" w:type="dxa"/>
            <w:vAlign w:val="center"/>
          </w:tcPr>
          <w:p w14:paraId="448715F9" w14:textId="77777777" w:rsidR="00DB4BE8" w:rsidRDefault="00DB4BE8" w:rsidP="00AD4A74">
            <w:pPr>
              <w:pStyle w:val="Header"/>
              <w:spacing w:before="0"/>
              <w:jc w:val="center"/>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 xml:space="preserve">68 dont </w:t>
            </w:r>
          </w:p>
          <w:p w14:paraId="5F12085F" w14:textId="2B35A852" w:rsidR="002315B9" w:rsidRPr="00DF4F4B" w:rsidRDefault="00DB4BE8" w:rsidP="00AD4A74">
            <w:pPr>
              <w:pStyle w:val="Header"/>
              <w:spacing w:before="0"/>
              <w:jc w:val="center"/>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3 femmes</w:t>
            </w:r>
          </w:p>
        </w:tc>
      </w:tr>
      <w:tr w:rsidR="00DA1EE9" w:rsidRPr="00925FBE" w14:paraId="407D2A07" w14:textId="77777777" w:rsidTr="00B84D8D">
        <w:trPr>
          <w:trHeight w:val="340"/>
        </w:trPr>
        <w:tc>
          <w:tcPr>
            <w:tcW w:w="1980" w:type="dxa"/>
            <w:vMerge w:val="restart"/>
            <w:vAlign w:val="center"/>
          </w:tcPr>
          <w:p w14:paraId="35B231E5" w14:textId="54292E07" w:rsidR="00DA1EE9" w:rsidRPr="00DF4F4B" w:rsidRDefault="00DA1EE9" w:rsidP="00AD4A74">
            <w:pPr>
              <w:pStyle w:val="Header"/>
              <w:spacing w:before="0"/>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 xml:space="preserve">Produit 1.3 : Cohésion sociale et liens culturels </w:t>
            </w:r>
          </w:p>
        </w:tc>
        <w:tc>
          <w:tcPr>
            <w:tcW w:w="3685" w:type="dxa"/>
            <w:vAlign w:val="center"/>
          </w:tcPr>
          <w:p w14:paraId="21F67440" w14:textId="290A3431" w:rsidR="00DA1EE9" w:rsidRPr="00DF4F4B" w:rsidRDefault="00DA1EE9" w:rsidP="00AD4A74">
            <w:pPr>
              <w:pStyle w:val="Header"/>
              <w:spacing w:before="0"/>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 xml:space="preserve">1.3.1. Nombre d’histoires culturelles collectées </w:t>
            </w:r>
          </w:p>
        </w:tc>
        <w:tc>
          <w:tcPr>
            <w:tcW w:w="1843" w:type="dxa"/>
            <w:vAlign w:val="center"/>
          </w:tcPr>
          <w:p w14:paraId="1EA77741" w14:textId="50B36390" w:rsidR="00DA1EE9" w:rsidRPr="00DF4F4B" w:rsidRDefault="00DA1EE9" w:rsidP="00AD4A74">
            <w:pPr>
              <w:pStyle w:val="Header"/>
              <w:spacing w:before="0"/>
              <w:jc w:val="center"/>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10</w:t>
            </w:r>
          </w:p>
        </w:tc>
        <w:tc>
          <w:tcPr>
            <w:tcW w:w="1744" w:type="dxa"/>
            <w:vAlign w:val="center"/>
          </w:tcPr>
          <w:p w14:paraId="1030F03E" w14:textId="144AB05F" w:rsidR="00DA1EE9" w:rsidRPr="00DF4F4B" w:rsidRDefault="00DB4BE8" w:rsidP="00AD4A74">
            <w:pPr>
              <w:pStyle w:val="Header"/>
              <w:spacing w:before="0"/>
              <w:jc w:val="center"/>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11</w:t>
            </w:r>
          </w:p>
        </w:tc>
      </w:tr>
      <w:tr w:rsidR="00DA1EE9" w:rsidRPr="00925FBE" w14:paraId="709830FF" w14:textId="77777777" w:rsidTr="00B84D8D">
        <w:trPr>
          <w:trHeight w:val="340"/>
        </w:trPr>
        <w:tc>
          <w:tcPr>
            <w:tcW w:w="1980" w:type="dxa"/>
            <w:vMerge/>
            <w:vAlign w:val="center"/>
          </w:tcPr>
          <w:p w14:paraId="777FE30B" w14:textId="77777777" w:rsidR="00DA1EE9" w:rsidRDefault="00DA1EE9" w:rsidP="00AD4A74">
            <w:pPr>
              <w:pStyle w:val="Header"/>
              <w:spacing w:before="0"/>
              <w:rPr>
                <w:rFonts w:eastAsia="Times New Roman" w:cs="Open Sans"/>
                <w:bCs/>
                <w:color w:val="000000"/>
                <w:kern w:val="28"/>
                <w:sz w:val="18"/>
                <w:szCs w:val="16"/>
                <w:lang w:eastAsia="en-GB"/>
                <w14:cntxtAlts/>
              </w:rPr>
            </w:pPr>
          </w:p>
        </w:tc>
        <w:tc>
          <w:tcPr>
            <w:tcW w:w="3685" w:type="dxa"/>
            <w:vAlign w:val="center"/>
          </w:tcPr>
          <w:p w14:paraId="0036030D" w14:textId="1E33B940" w:rsidR="00DA1EE9" w:rsidRDefault="00DA1EE9" w:rsidP="00AD4A74">
            <w:pPr>
              <w:pStyle w:val="Header"/>
              <w:spacing w:before="0"/>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 xml:space="preserve">1.3.2. </w:t>
            </w:r>
            <w:r w:rsidRPr="009C56E8">
              <w:rPr>
                <w:rFonts w:eastAsia="Times New Roman" w:cs="Open Sans"/>
                <w:bCs/>
                <w:color w:val="000000"/>
                <w:kern w:val="28"/>
                <w:sz w:val="18"/>
                <w:szCs w:val="16"/>
                <w:lang w:eastAsia="en-GB"/>
                <w14:cntxtAlts/>
              </w:rPr>
              <w:t>% de militantes pour la sensibilisation à</w:t>
            </w:r>
            <w:r w:rsidR="005144EC">
              <w:rPr>
                <w:rFonts w:eastAsia="Times New Roman" w:cs="Open Sans"/>
                <w:bCs/>
                <w:color w:val="000000"/>
                <w:kern w:val="28"/>
                <w:sz w:val="18"/>
                <w:szCs w:val="16"/>
                <w:lang w:eastAsia="en-GB"/>
                <w14:cntxtAlts/>
              </w:rPr>
              <w:t xml:space="preserve"> l’équilibre genre </w:t>
            </w:r>
            <w:r w:rsidRPr="009C56E8">
              <w:rPr>
                <w:rFonts w:eastAsia="Times New Roman" w:cs="Open Sans"/>
                <w:bCs/>
                <w:color w:val="000000"/>
                <w:kern w:val="28"/>
                <w:sz w:val="18"/>
                <w:szCs w:val="16"/>
                <w:lang w:eastAsia="en-GB"/>
                <w14:cntxtAlts/>
              </w:rPr>
              <w:t>parmi les membres de la communauté</w:t>
            </w:r>
          </w:p>
        </w:tc>
        <w:tc>
          <w:tcPr>
            <w:tcW w:w="1843" w:type="dxa"/>
            <w:vAlign w:val="center"/>
          </w:tcPr>
          <w:p w14:paraId="331FCC7C" w14:textId="3567735D" w:rsidR="00DA1EE9" w:rsidRDefault="00DA1EE9" w:rsidP="00AD4A74">
            <w:pPr>
              <w:pStyle w:val="Header"/>
              <w:spacing w:before="0"/>
              <w:jc w:val="center"/>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10%</w:t>
            </w:r>
          </w:p>
        </w:tc>
        <w:tc>
          <w:tcPr>
            <w:tcW w:w="1744" w:type="dxa"/>
            <w:vAlign w:val="center"/>
          </w:tcPr>
          <w:p w14:paraId="65F484D1" w14:textId="187188A1" w:rsidR="00DA1EE9" w:rsidRPr="00DF4F4B" w:rsidRDefault="00284355" w:rsidP="00AD4A74">
            <w:pPr>
              <w:pStyle w:val="Header"/>
              <w:spacing w:before="0"/>
              <w:jc w:val="center"/>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ND</w:t>
            </w:r>
          </w:p>
        </w:tc>
      </w:tr>
      <w:tr w:rsidR="00DA1EE9" w:rsidRPr="00925FBE" w14:paraId="25FCEFB6" w14:textId="77777777" w:rsidTr="00B84D8D">
        <w:trPr>
          <w:trHeight w:val="340"/>
        </w:trPr>
        <w:tc>
          <w:tcPr>
            <w:tcW w:w="1980" w:type="dxa"/>
            <w:vMerge/>
            <w:vAlign w:val="center"/>
          </w:tcPr>
          <w:p w14:paraId="1A65DF67" w14:textId="77777777" w:rsidR="00DA1EE9" w:rsidRDefault="00DA1EE9" w:rsidP="00AD4A74">
            <w:pPr>
              <w:pStyle w:val="Header"/>
              <w:spacing w:before="0"/>
              <w:rPr>
                <w:rFonts w:eastAsia="Times New Roman" w:cs="Open Sans"/>
                <w:bCs/>
                <w:color w:val="000000"/>
                <w:kern w:val="28"/>
                <w:sz w:val="18"/>
                <w:szCs w:val="16"/>
                <w:lang w:eastAsia="en-GB"/>
                <w14:cntxtAlts/>
              </w:rPr>
            </w:pPr>
          </w:p>
        </w:tc>
        <w:tc>
          <w:tcPr>
            <w:tcW w:w="3685" w:type="dxa"/>
            <w:vAlign w:val="center"/>
          </w:tcPr>
          <w:p w14:paraId="51381F73" w14:textId="420FA8D0" w:rsidR="00DA1EE9" w:rsidRDefault="00DA1EE9" w:rsidP="00AD4A74">
            <w:pPr>
              <w:pStyle w:val="Header"/>
              <w:spacing w:before="0"/>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 xml:space="preserve">1.3.3. % des activités de suivi évaluation apprentissage des interventions de la Fondation Kibira, conduites par les femmes et les </w:t>
            </w:r>
            <w:proofErr w:type="spellStart"/>
            <w:r>
              <w:rPr>
                <w:rFonts w:eastAsia="Times New Roman" w:cs="Open Sans"/>
                <w:bCs/>
                <w:color w:val="000000"/>
                <w:kern w:val="28"/>
                <w:sz w:val="18"/>
                <w:szCs w:val="16"/>
                <w:lang w:eastAsia="en-GB"/>
                <w14:cntxtAlts/>
              </w:rPr>
              <w:t>Batwa</w:t>
            </w:r>
            <w:proofErr w:type="spellEnd"/>
          </w:p>
        </w:tc>
        <w:tc>
          <w:tcPr>
            <w:tcW w:w="1843" w:type="dxa"/>
            <w:vAlign w:val="center"/>
          </w:tcPr>
          <w:p w14:paraId="711B5EFC" w14:textId="462AB488" w:rsidR="00DA1EE9" w:rsidRDefault="00DA1EE9" w:rsidP="00AD4A74">
            <w:pPr>
              <w:pStyle w:val="Header"/>
              <w:spacing w:before="0"/>
              <w:jc w:val="center"/>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 xml:space="preserve">100% </w:t>
            </w:r>
          </w:p>
        </w:tc>
        <w:tc>
          <w:tcPr>
            <w:tcW w:w="1744" w:type="dxa"/>
            <w:vAlign w:val="center"/>
          </w:tcPr>
          <w:p w14:paraId="4217CC14" w14:textId="688D2E9E" w:rsidR="00DA1EE9" w:rsidRPr="00DF4F4B" w:rsidRDefault="00284355" w:rsidP="00AD4A74">
            <w:pPr>
              <w:pStyle w:val="Header"/>
              <w:spacing w:before="0"/>
              <w:jc w:val="center"/>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ND</w:t>
            </w:r>
          </w:p>
        </w:tc>
      </w:tr>
      <w:tr w:rsidR="008836CB" w:rsidRPr="00925FBE" w14:paraId="2D60818F" w14:textId="77777777" w:rsidTr="008836CB">
        <w:trPr>
          <w:trHeight w:val="340"/>
        </w:trPr>
        <w:tc>
          <w:tcPr>
            <w:tcW w:w="1980" w:type="dxa"/>
            <w:vMerge w:val="restart"/>
            <w:shd w:val="clear" w:color="auto" w:fill="D9E2F3" w:themeFill="accent5" w:themeFillTint="33"/>
            <w:vAlign w:val="center"/>
          </w:tcPr>
          <w:p w14:paraId="1720BEF1" w14:textId="58E83311" w:rsidR="008836CB" w:rsidRDefault="008836CB" w:rsidP="00AD4A74">
            <w:pPr>
              <w:pStyle w:val="Header"/>
              <w:spacing w:before="0"/>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 xml:space="preserve">Effet 2 : Moyens de subsistance durables améliorés </w:t>
            </w:r>
          </w:p>
        </w:tc>
        <w:tc>
          <w:tcPr>
            <w:tcW w:w="3685" w:type="dxa"/>
            <w:shd w:val="clear" w:color="auto" w:fill="D9E2F3" w:themeFill="accent5" w:themeFillTint="33"/>
            <w:vAlign w:val="center"/>
          </w:tcPr>
          <w:p w14:paraId="5E49F2AC" w14:textId="0B445EF0" w:rsidR="008836CB" w:rsidRDefault="008836CB" w:rsidP="00AD4A74">
            <w:pPr>
              <w:pStyle w:val="Header"/>
              <w:spacing w:before="0"/>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2.a. Energie propre additionnelle générée</w:t>
            </w:r>
          </w:p>
        </w:tc>
        <w:tc>
          <w:tcPr>
            <w:tcW w:w="1843" w:type="dxa"/>
            <w:shd w:val="clear" w:color="auto" w:fill="D9E2F3" w:themeFill="accent5" w:themeFillTint="33"/>
            <w:vAlign w:val="center"/>
          </w:tcPr>
          <w:p w14:paraId="55EFA97E" w14:textId="30A1504D" w:rsidR="008836CB" w:rsidRDefault="008836CB" w:rsidP="00AD4A74">
            <w:pPr>
              <w:pStyle w:val="Header"/>
              <w:spacing w:before="0"/>
              <w:jc w:val="center"/>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15 MW</w:t>
            </w:r>
          </w:p>
        </w:tc>
        <w:tc>
          <w:tcPr>
            <w:tcW w:w="1744" w:type="dxa"/>
            <w:shd w:val="clear" w:color="auto" w:fill="D9E2F3" w:themeFill="accent5" w:themeFillTint="33"/>
            <w:vAlign w:val="center"/>
          </w:tcPr>
          <w:p w14:paraId="66462E06" w14:textId="77777777" w:rsidR="008836CB" w:rsidRDefault="008836CB" w:rsidP="00AD4A74">
            <w:pPr>
              <w:pStyle w:val="Header"/>
              <w:spacing w:before="0"/>
              <w:jc w:val="center"/>
              <w:rPr>
                <w:rFonts w:eastAsia="Times New Roman" w:cs="Open Sans"/>
                <w:bCs/>
                <w:color w:val="000000"/>
                <w:kern w:val="28"/>
                <w:sz w:val="18"/>
                <w:szCs w:val="16"/>
                <w:lang w:eastAsia="en-GB"/>
                <w14:cntxtAlts/>
              </w:rPr>
            </w:pPr>
          </w:p>
        </w:tc>
      </w:tr>
      <w:tr w:rsidR="008836CB" w:rsidRPr="00925FBE" w14:paraId="5DFAB8EA" w14:textId="77777777" w:rsidTr="008836CB">
        <w:trPr>
          <w:trHeight w:val="340"/>
        </w:trPr>
        <w:tc>
          <w:tcPr>
            <w:tcW w:w="1980" w:type="dxa"/>
            <w:vMerge/>
            <w:shd w:val="clear" w:color="auto" w:fill="D9E2F3" w:themeFill="accent5" w:themeFillTint="33"/>
            <w:vAlign w:val="center"/>
          </w:tcPr>
          <w:p w14:paraId="14A39EF7" w14:textId="77777777" w:rsidR="008836CB" w:rsidRDefault="008836CB" w:rsidP="00AD4A74">
            <w:pPr>
              <w:pStyle w:val="Header"/>
              <w:spacing w:before="0"/>
              <w:rPr>
                <w:rFonts w:eastAsia="Times New Roman" w:cs="Open Sans"/>
                <w:bCs/>
                <w:color w:val="000000"/>
                <w:kern w:val="28"/>
                <w:sz w:val="18"/>
                <w:szCs w:val="16"/>
                <w:lang w:eastAsia="en-GB"/>
                <w14:cntxtAlts/>
              </w:rPr>
            </w:pPr>
          </w:p>
        </w:tc>
        <w:tc>
          <w:tcPr>
            <w:tcW w:w="3685" w:type="dxa"/>
            <w:shd w:val="clear" w:color="auto" w:fill="D9E2F3" w:themeFill="accent5" w:themeFillTint="33"/>
            <w:vAlign w:val="center"/>
          </w:tcPr>
          <w:p w14:paraId="64162A3E" w14:textId="62AB8231" w:rsidR="008836CB" w:rsidRDefault="008836CB" w:rsidP="00AD4A74">
            <w:pPr>
              <w:pStyle w:val="Header"/>
              <w:spacing w:before="0"/>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 xml:space="preserve">2.b. Cofinancement privé mobilisé </w:t>
            </w:r>
          </w:p>
        </w:tc>
        <w:tc>
          <w:tcPr>
            <w:tcW w:w="1843" w:type="dxa"/>
            <w:shd w:val="clear" w:color="auto" w:fill="D9E2F3" w:themeFill="accent5" w:themeFillTint="33"/>
            <w:vAlign w:val="center"/>
          </w:tcPr>
          <w:p w14:paraId="415F756C" w14:textId="0B8A26F6" w:rsidR="008836CB" w:rsidRDefault="008836CB" w:rsidP="00AD4A74">
            <w:pPr>
              <w:pStyle w:val="Header"/>
              <w:spacing w:before="0"/>
              <w:jc w:val="center"/>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22 Millions USD</w:t>
            </w:r>
          </w:p>
        </w:tc>
        <w:tc>
          <w:tcPr>
            <w:tcW w:w="1744" w:type="dxa"/>
            <w:shd w:val="clear" w:color="auto" w:fill="D9E2F3" w:themeFill="accent5" w:themeFillTint="33"/>
            <w:vAlign w:val="center"/>
          </w:tcPr>
          <w:p w14:paraId="06289577" w14:textId="359C4A17" w:rsidR="008836CB" w:rsidRDefault="008836CB" w:rsidP="00AD4A74">
            <w:pPr>
              <w:pStyle w:val="Header"/>
              <w:spacing w:before="0"/>
              <w:jc w:val="center"/>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0</w:t>
            </w:r>
          </w:p>
        </w:tc>
      </w:tr>
      <w:tr w:rsidR="008836CB" w:rsidRPr="00925FBE" w14:paraId="1D20507B" w14:textId="77777777" w:rsidTr="008836CB">
        <w:trPr>
          <w:trHeight w:val="340"/>
        </w:trPr>
        <w:tc>
          <w:tcPr>
            <w:tcW w:w="1980" w:type="dxa"/>
            <w:vMerge/>
            <w:shd w:val="clear" w:color="auto" w:fill="D9E2F3" w:themeFill="accent5" w:themeFillTint="33"/>
            <w:vAlign w:val="center"/>
          </w:tcPr>
          <w:p w14:paraId="36B09D69" w14:textId="77777777" w:rsidR="008836CB" w:rsidRDefault="008836CB" w:rsidP="00AD4A74">
            <w:pPr>
              <w:pStyle w:val="Header"/>
              <w:spacing w:before="0"/>
              <w:rPr>
                <w:rFonts w:eastAsia="Times New Roman" w:cs="Open Sans"/>
                <w:bCs/>
                <w:color w:val="000000"/>
                <w:kern w:val="28"/>
                <w:sz w:val="18"/>
                <w:szCs w:val="16"/>
                <w:lang w:eastAsia="en-GB"/>
                <w14:cntxtAlts/>
              </w:rPr>
            </w:pPr>
          </w:p>
        </w:tc>
        <w:tc>
          <w:tcPr>
            <w:tcW w:w="3685" w:type="dxa"/>
            <w:shd w:val="clear" w:color="auto" w:fill="D9E2F3" w:themeFill="accent5" w:themeFillTint="33"/>
            <w:vAlign w:val="center"/>
          </w:tcPr>
          <w:p w14:paraId="3093A893" w14:textId="7CCC6ACC" w:rsidR="008836CB" w:rsidRDefault="008836CB" w:rsidP="00AD4A74">
            <w:pPr>
              <w:pStyle w:val="Header"/>
              <w:spacing w:before="0"/>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 xml:space="preserve">2.c. Séquestration Carbone </w:t>
            </w:r>
          </w:p>
        </w:tc>
        <w:tc>
          <w:tcPr>
            <w:tcW w:w="1843" w:type="dxa"/>
            <w:shd w:val="clear" w:color="auto" w:fill="D9E2F3" w:themeFill="accent5" w:themeFillTint="33"/>
            <w:vAlign w:val="center"/>
          </w:tcPr>
          <w:p w14:paraId="2BB6EAAB" w14:textId="70373D57" w:rsidR="008836CB" w:rsidRDefault="008836CB" w:rsidP="00AD4A74">
            <w:pPr>
              <w:pStyle w:val="Header"/>
              <w:spacing w:before="0"/>
              <w:jc w:val="center"/>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ND</w:t>
            </w:r>
          </w:p>
        </w:tc>
        <w:tc>
          <w:tcPr>
            <w:tcW w:w="1744" w:type="dxa"/>
            <w:shd w:val="clear" w:color="auto" w:fill="D9E2F3" w:themeFill="accent5" w:themeFillTint="33"/>
            <w:vAlign w:val="center"/>
          </w:tcPr>
          <w:p w14:paraId="23555EBD" w14:textId="33908CB7" w:rsidR="008836CB" w:rsidRDefault="008836CB" w:rsidP="00AD4A74">
            <w:pPr>
              <w:pStyle w:val="Header"/>
              <w:spacing w:before="0"/>
              <w:jc w:val="center"/>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ND</w:t>
            </w:r>
          </w:p>
        </w:tc>
      </w:tr>
      <w:tr w:rsidR="00823D0B" w:rsidRPr="00925FBE" w14:paraId="62D56210" w14:textId="77777777" w:rsidTr="00B84D8D">
        <w:trPr>
          <w:trHeight w:val="340"/>
        </w:trPr>
        <w:tc>
          <w:tcPr>
            <w:tcW w:w="1980" w:type="dxa"/>
            <w:vMerge w:val="restart"/>
            <w:vAlign w:val="center"/>
          </w:tcPr>
          <w:p w14:paraId="49C1BA19" w14:textId="09C88FAA" w:rsidR="00823D0B" w:rsidRDefault="00823D0B" w:rsidP="00AD4A74">
            <w:pPr>
              <w:pStyle w:val="Header"/>
              <w:spacing w:before="0"/>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Produit 2.1 : Investissement PPP</w:t>
            </w:r>
          </w:p>
        </w:tc>
        <w:tc>
          <w:tcPr>
            <w:tcW w:w="3685" w:type="dxa"/>
            <w:vAlign w:val="center"/>
          </w:tcPr>
          <w:p w14:paraId="280D3C9B" w14:textId="465C7488" w:rsidR="00823D0B" w:rsidRDefault="00823D0B" w:rsidP="00AD4A74">
            <w:pPr>
              <w:pStyle w:val="Header"/>
              <w:spacing w:before="0"/>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 xml:space="preserve">2.1.1. Nombre d’emplois créés </w:t>
            </w:r>
          </w:p>
        </w:tc>
        <w:tc>
          <w:tcPr>
            <w:tcW w:w="1843" w:type="dxa"/>
            <w:vAlign w:val="center"/>
          </w:tcPr>
          <w:p w14:paraId="46FCFF48" w14:textId="77777777" w:rsidR="00823D0B" w:rsidRDefault="00823D0B" w:rsidP="00AD4A74">
            <w:pPr>
              <w:pStyle w:val="Header"/>
              <w:spacing w:before="0"/>
              <w:jc w:val="center"/>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 xml:space="preserve">500 dont </w:t>
            </w:r>
          </w:p>
          <w:p w14:paraId="1EDAD2E3" w14:textId="18FFE91D" w:rsidR="00823D0B" w:rsidRDefault="00823D0B" w:rsidP="00AD4A74">
            <w:pPr>
              <w:pStyle w:val="Header"/>
              <w:spacing w:before="0"/>
              <w:jc w:val="center"/>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100 femmes</w:t>
            </w:r>
          </w:p>
        </w:tc>
        <w:tc>
          <w:tcPr>
            <w:tcW w:w="1744" w:type="dxa"/>
            <w:vAlign w:val="center"/>
          </w:tcPr>
          <w:p w14:paraId="4BD91A5E" w14:textId="42476DB8" w:rsidR="00823D0B" w:rsidRDefault="00823D0B" w:rsidP="00AD4A74">
            <w:pPr>
              <w:pStyle w:val="Header"/>
              <w:spacing w:before="0"/>
              <w:jc w:val="center"/>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150 dont 60 femmes</w:t>
            </w:r>
          </w:p>
        </w:tc>
      </w:tr>
      <w:tr w:rsidR="00823D0B" w:rsidRPr="00925FBE" w14:paraId="66DCA482" w14:textId="77777777" w:rsidTr="00B84D8D">
        <w:trPr>
          <w:trHeight w:val="340"/>
        </w:trPr>
        <w:tc>
          <w:tcPr>
            <w:tcW w:w="1980" w:type="dxa"/>
            <w:vMerge/>
            <w:vAlign w:val="center"/>
          </w:tcPr>
          <w:p w14:paraId="1A43DD32" w14:textId="77777777" w:rsidR="00823D0B" w:rsidRDefault="00823D0B" w:rsidP="00AD4A74">
            <w:pPr>
              <w:pStyle w:val="Header"/>
              <w:spacing w:before="0"/>
              <w:rPr>
                <w:rFonts w:eastAsia="Times New Roman" w:cs="Open Sans"/>
                <w:bCs/>
                <w:color w:val="000000"/>
                <w:kern w:val="28"/>
                <w:sz w:val="18"/>
                <w:szCs w:val="16"/>
                <w:lang w:eastAsia="en-GB"/>
                <w14:cntxtAlts/>
              </w:rPr>
            </w:pPr>
          </w:p>
        </w:tc>
        <w:tc>
          <w:tcPr>
            <w:tcW w:w="3685" w:type="dxa"/>
            <w:vAlign w:val="center"/>
          </w:tcPr>
          <w:p w14:paraId="38898DBF" w14:textId="200DB389" w:rsidR="00823D0B" w:rsidRDefault="00823D0B" w:rsidP="00AD4A74">
            <w:pPr>
              <w:pStyle w:val="Header"/>
              <w:spacing w:before="0"/>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2.1.2. % de communautés ayant un accès à l’énergie dans la zone du projet PPP</w:t>
            </w:r>
          </w:p>
        </w:tc>
        <w:tc>
          <w:tcPr>
            <w:tcW w:w="1843" w:type="dxa"/>
            <w:vAlign w:val="center"/>
          </w:tcPr>
          <w:p w14:paraId="100FB646" w14:textId="737F9B63" w:rsidR="00823D0B" w:rsidRDefault="00823D0B" w:rsidP="00AD4A74">
            <w:pPr>
              <w:pStyle w:val="Header"/>
              <w:spacing w:before="0"/>
              <w:jc w:val="center"/>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 xml:space="preserve">5% </w:t>
            </w:r>
          </w:p>
        </w:tc>
        <w:tc>
          <w:tcPr>
            <w:tcW w:w="1744" w:type="dxa"/>
            <w:vAlign w:val="center"/>
          </w:tcPr>
          <w:p w14:paraId="45D065C2" w14:textId="1BAB6160" w:rsidR="00823D0B" w:rsidRDefault="00823D0B" w:rsidP="00AD4A74">
            <w:pPr>
              <w:pStyle w:val="Header"/>
              <w:spacing w:before="0"/>
              <w:jc w:val="center"/>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0%</w:t>
            </w:r>
          </w:p>
        </w:tc>
      </w:tr>
      <w:tr w:rsidR="00823D0B" w:rsidRPr="00925FBE" w14:paraId="47F03918" w14:textId="77777777" w:rsidTr="00B84D8D">
        <w:trPr>
          <w:trHeight w:val="340"/>
        </w:trPr>
        <w:tc>
          <w:tcPr>
            <w:tcW w:w="1980" w:type="dxa"/>
            <w:vMerge/>
            <w:vAlign w:val="center"/>
          </w:tcPr>
          <w:p w14:paraId="6BEF951A" w14:textId="77777777" w:rsidR="00823D0B" w:rsidRDefault="00823D0B" w:rsidP="00AD4A74">
            <w:pPr>
              <w:pStyle w:val="Header"/>
              <w:spacing w:before="0"/>
              <w:rPr>
                <w:rFonts w:eastAsia="Times New Roman" w:cs="Open Sans"/>
                <w:bCs/>
                <w:color w:val="000000"/>
                <w:kern w:val="28"/>
                <w:sz w:val="18"/>
                <w:szCs w:val="16"/>
                <w:lang w:eastAsia="en-GB"/>
                <w14:cntxtAlts/>
              </w:rPr>
            </w:pPr>
          </w:p>
        </w:tc>
        <w:tc>
          <w:tcPr>
            <w:tcW w:w="3685" w:type="dxa"/>
            <w:vAlign w:val="center"/>
          </w:tcPr>
          <w:p w14:paraId="6137EFDE" w14:textId="65483565" w:rsidR="00823D0B" w:rsidRDefault="00823D0B" w:rsidP="00AD4A74">
            <w:pPr>
              <w:pStyle w:val="Header"/>
              <w:spacing w:before="0"/>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 xml:space="preserve">2.1.3. % d’emplois occupés par des femmes et des </w:t>
            </w:r>
            <w:proofErr w:type="spellStart"/>
            <w:r>
              <w:rPr>
                <w:rFonts w:eastAsia="Times New Roman" w:cs="Open Sans"/>
                <w:bCs/>
                <w:color w:val="000000"/>
                <w:kern w:val="28"/>
                <w:sz w:val="18"/>
                <w:szCs w:val="16"/>
                <w:lang w:eastAsia="en-GB"/>
                <w14:cntxtAlts/>
              </w:rPr>
              <w:t>Batwa</w:t>
            </w:r>
            <w:proofErr w:type="spellEnd"/>
            <w:r>
              <w:rPr>
                <w:rFonts w:eastAsia="Times New Roman" w:cs="Open Sans"/>
                <w:bCs/>
                <w:color w:val="000000"/>
                <w:kern w:val="28"/>
                <w:sz w:val="18"/>
                <w:szCs w:val="16"/>
                <w:lang w:eastAsia="en-GB"/>
                <w14:cntxtAlts/>
              </w:rPr>
              <w:t xml:space="preserve"> </w:t>
            </w:r>
          </w:p>
        </w:tc>
        <w:tc>
          <w:tcPr>
            <w:tcW w:w="1843" w:type="dxa"/>
            <w:vAlign w:val="center"/>
          </w:tcPr>
          <w:p w14:paraId="39FA075E" w14:textId="41C2CF42" w:rsidR="00823D0B" w:rsidRDefault="00823D0B" w:rsidP="00AD4A74">
            <w:pPr>
              <w:pStyle w:val="Header"/>
              <w:spacing w:before="0"/>
              <w:jc w:val="center"/>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50%</w:t>
            </w:r>
          </w:p>
        </w:tc>
        <w:tc>
          <w:tcPr>
            <w:tcW w:w="1744" w:type="dxa"/>
            <w:vAlign w:val="center"/>
          </w:tcPr>
          <w:p w14:paraId="47F97452" w14:textId="5770BBBE" w:rsidR="00823D0B" w:rsidRDefault="00823D0B" w:rsidP="00AD4A74">
            <w:pPr>
              <w:pStyle w:val="Header"/>
              <w:spacing w:before="0"/>
              <w:jc w:val="center"/>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40%</w:t>
            </w:r>
          </w:p>
        </w:tc>
      </w:tr>
      <w:tr w:rsidR="00583342" w:rsidRPr="00925FBE" w14:paraId="403E1630" w14:textId="77777777" w:rsidTr="00B84D8D">
        <w:trPr>
          <w:trHeight w:val="340"/>
        </w:trPr>
        <w:tc>
          <w:tcPr>
            <w:tcW w:w="1980" w:type="dxa"/>
            <w:vMerge w:val="restart"/>
            <w:vAlign w:val="center"/>
          </w:tcPr>
          <w:p w14:paraId="54BDF14A" w14:textId="6B006359" w:rsidR="00583342" w:rsidRDefault="00583342" w:rsidP="00AD4A74">
            <w:pPr>
              <w:pStyle w:val="Header"/>
              <w:spacing w:before="0"/>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Produit 2.2 : Mécanisme d’investissement REDD+</w:t>
            </w:r>
          </w:p>
        </w:tc>
        <w:tc>
          <w:tcPr>
            <w:tcW w:w="3685" w:type="dxa"/>
            <w:vAlign w:val="center"/>
          </w:tcPr>
          <w:p w14:paraId="15DE7CFA" w14:textId="00C5AA49" w:rsidR="00583342" w:rsidRDefault="00583342" w:rsidP="00AD4A74">
            <w:pPr>
              <w:pStyle w:val="Header"/>
              <w:spacing w:before="0"/>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 xml:space="preserve">2.2.1. Taux de déforestation annuel </w:t>
            </w:r>
          </w:p>
        </w:tc>
        <w:tc>
          <w:tcPr>
            <w:tcW w:w="1843" w:type="dxa"/>
            <w:vAlign w:val="center"/>
          </w:tcPr>
          <w:p w14:paraId="136D352D" w14:textId="3A225211" w:rsidR="00583342" w:rsidRDefault="00583342" w:rsidP="00AD4A74">
            <w:pPr>
              <w:pStyle w:val="Header"/>
              <w:spacing w:before="0"/>
              <w:jc w:val="center"/>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0</w:t>
            </w:r>
          </w:p>
        </w:tc>
        <w:tc>
          <w:tcPr>
            <w:tcW w:w="1744" w:type="dxa"/>
            <w:vAlign w:val="center"/>
          </w:tcPr>
          <w:p w14:paraId="5F9DB538" w14:textId="5F3AE9A2" w:rsidR="00583342" w:rsidRDefault="00583342" w:rsidP="00AD4A74">
            <w:pPr>
              <w:pStyle w:val="Header"/>
              <w:spacing w:before="0"/>
              <w:jc w:val="center"/>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ND</w:t>
            </w:r>
          </w:p>
        </w:tc>
      </w:tr>
      <w:tr w:rsidR="00583342" w:rsidRPr="00925FBE" w14:paraId="394144DC" w14:textId="77777777" w:rsidTr="00B84D8D">
        <w:trPr>
          <w:trHeight w:val="340"/>
        </w:trPr>
        <w:tc>
          <w:tcPr>
            <w:tcW w:w="1980" w:type="dxa"/>
            <w:vMerge/>
            <w:vAlign w:val="center"/>
          </w:tcPr>
          <w:p w14:paraId="361D5F3F" w14:textId="77777777" w:rsidR="00583342" w:rsidRDefault="00583342" w:rsidP="00AD4A74">
            <w:pPr>
              <w:pStyle w:val="Header"/>
              <w:spacing w:before="0"/>
              <w:rPr>
                <w:rFonts w:eastAsia="Times New Roman" w:cs="Open Sans"/>
                <w:bCs/>
                <w:color w:val="000000"/>
                <w:kern w:val="28"/>
                <w:sz w:val="18"/>
                <w:szCs w:val="16"/>
                <w:lang w:eastAsia="en-GB"/>
                <w14:cntxtAlts/>
              </w:rPr>
            </w:pPr>
          </w:p>
        </w:tc>
        <w:tc>
          <w:tcPr>
            <w:tcW w:w="3685" w:type="dxa"/>
            <w:vAlign w:val="center"/>
          </w:tcPr>
          <w:p w14:paraId="1FDBC39D" w14:textId="53AA8D07" w:rsidR="00583342" w:rsidRDefault="00583342" w:rsidP="00AD4A74">
            <w:pPr>
              <w:pStyle w:val="Header"/>
              <w:spacing w:before="0"/>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 xml:space="preserve">2.2.2. Nombre d’entreprises du portefeuille ayant un rendement annuel de plus de 10% </w:t>
            </w:r>
          </w:p>
        </w:tc>
        <w:tc>
          <w:tcPr>
            <w:tcW w:w="1843" w:type="dxa"/>
            <w:vAlign w:val="center"/>
          </w:tcPr>
          <w:p w14:paraId="4CEC1BB3" w14:textId="50F11C9C" w:rsidR="00583342" w:rsidRDefault="00583342" w:rsidP="00AD4A74">
            <w:pPr>
              <w:pStyle w:val="Header"/>
              <w:spacing w:before="0"/>
              <w:jc w:val="center"/>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4</w:t>
            </w:r>
          </w:p>
        </w:tc>
        <w:tc>
          <w:tcPr>
            <w:tcW w:w="1744" w:type="dxa"/>
            <w:vAlign w:val="center"/>
          </w:tcPr>
          <w:p w14:paraId="18EF8EAD" w14:textId="4CE3690F" w:rsidR="00583342" w:rsidRDefault="00583342" w:rsidP="00AD4A74">
            <w:pPr>
              <w:pStyle w:val="Header"/>
              <w:spacing w:before="0"/>
              <w:jc w:val="center"/>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0</w:t>
            </w:r>
          </w:p>
        </w:tc>
      </w:tr>
      <w:tr w:rsidR="00583342" w:rsidRPr="00925FBE" w14:paraId="761D128B" w14:textId="77777777" w:rsidTr="00B84D8D">
        <w:trPr>
          <w:trHeight w:val="340"/>
        </w:trPr>
        <w:tc>
          <w:tcPr>
            <w:tcW w:w="1980" w:type="dxa"/>
            <w:vMerge/>
            <w:vAlign w:val="center"/>
          </w:tcPr>
          <w:p w14:paraId="18C8F31B" w14:textId="77777777" w:rsidR="00583342" w:rsidRDefault="00583342" w:rsidP="00AD4A74">
            <w:pPr>
              <w:pStyle w:val="Header"/>
              <w:spacing w:before="0"/>
              <w:rPr>
                <w:rFonts w:eastAsia="Times New Roman" w:cs="Open Sans"/>
                <w:bCs/>
                <w:color w:val="000000"/>
                <w:kern w:val="28"/>
                <w:sz w:val="18"/>
                <w:szCs w:val="16"/>
                <w:lang w:eastAsia="en-GB"/>
                <w14:cntxtAlts/>
              </w:rPr>
            </w:pPr>
          </w:p>
        </w:tc>
        <w:tc>
          <w:tcPr>
            <w:tcW w:w="3685" w:type="dxa"/>
            <w:vAlign w:val="center"/>
          </w:tcPr>
          <w:p w14:paraId="7023004A" w14:textId="696520E0" w:rsidR="00583342" w:rsidRDefault="00583342" w:rsidP="00AD4A74">
            <w:pPr>
              <w:pStyle w:val="Header"/>
              <w:spacing w:before="0"/>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 xml:space="preserve">2.2.3. % de femmes au sein des entreprises du portefeuille </w:t>
            </w:r>
          </w:p>
        </w:tc>
        <w:tc>
          <w:tcPr>
            <w:tcW w:w="1843" w:type="dxa"/>
            <w:vAlign w:val="center"/>
          </w:tcPr>
          <w:p w14:paraId="09CEFA8B" w14:textId="2EEB1B77" w:rsidR="00583342" w:rsidRDefault="00583342" w:rsidP="001B5348">
            <w:pPr>
              <w:pStyle w:val="Header"/>
              <w:spacing w:before="0"/>
              <w:jc w:val="center"/>
              <w:rPr>
                <w:rFonts w:eastAsia="Times New Roman" w:cs="Open Sans"/>
                <w:bCs/>
                <w:color w:val="000000"/>
                <w:kern w:val="28"/>
                <w:sz w:val="18"/>
                <w:szCs w:val="16"/>
                <w:lang w:eastAsia="en-GB"/>
                <w14:cntxtAlts/>
              </w:rPr>
            </w:pPr>
            <w:r w:rsidRPr="001B5348">
              <w:rPr>
                <w:rFonts w:eastAsia="Times New Roman" w:cs="Open Sans"/>
                <w:bCs/>
                <w:color w:val="000000"/>
                <w:kern w:val="28"/>
                <w:sz w:val="18"/>
                <w:szCs w:val="16"/>
                <w:lang w:eastAsia="en-GB"/>
                <w14:cntxtAlts/>
              </w:rPr>
              <w:t>20 % d'employées</w:t>
            </w:r>
            <w:r>
              <w:rPr>
                <w:rFonts w:eastAsia="Times New Roman" w:cs="Open Sans"/>
                <w:bCs/>
                <w:color w:val="000000"/>
                <w:kern w:val="28"/>
                <w:sz w:val="18"/>
                <w:szCs w:val="16"/>
                <w:lang w:eastAsia="en-GB"/>
                <w14:cntxtAlts/>
              </w:rPr>
              <w:t xml:space="preserve"> femmes</w:t>
            </w:r>
            <w:r w:rsidRPr="001B5348">
              <w:rPr>
                <w:rFonts w:eastAsia="Times New Roman" w:cs="Open Sans"/>
                <w:bCs/>
                <w:color w:val="000000"/>
                <w:kern w:val="28"/>
                <w:sz w:val="18"/>
                <w:szCs w:val="16"/>
                <w:lang w:eastAsia="en-GB"/>
                <w14:cntxtAlts/>
              </w:rPr>
              <w:t xml:space="preserve"> dans chaque entreprise</w:t>
            </w:r>
            <w:r>
              <w:rPr>
                <w:rFonts w:eastAsia="Times New Roman" w:cs="Open Sans"/>
                <w:bCs/>
                <w:color w:val="000000"/>
                <w:kern w:val="28"/>
                <w:sz w:val="18"/>
                <w:szCs w:val="16"/>
                <w:lang w:eastAsia="en-GB"/>
                <w14:cntxtAlts/>
              </w:rPr>
              <w:t xml:space="preserve">/ </w:t>
            </w:r>
            <w:r w:rsidRPr="001B5348">
              <w:rPr>
                <w:rFonts w:eastAsia="Times New Roman" w:cs="Open Sans"/>
                <w:bCs/>
                <w:color w:val="000000"/>
                <w:kern w:val="28"/>
                <w:sz w:val="18"/>
                <w:szCs w:val="16"/>
                <w:lang w:eastAsia="en-GB"/>
                <w14:cntxtAlts/>
              </w:rPr>
              <w:t xml:space="preserve">25 % </w:t>
            </w:r>
            <w:r>
              <w:rPr>
                <w:rFonts w:eastAsia="Times New Roman" w:cs="Open Sans"/>
                <w:bCs/>
                <w:color w:val="000000"/>
                <w:kern w:val="28"/>
                <w:sz w:val="18"/>
                <w:szCs w:val="16"/>
                <w:lang w:eastAsia="en-GB"/>
                <w14:cntxtAlts/>
              </w:rPr>
              <w:t>d’entreprises</w:t>
            </w:r>
            <w:r w:rsidRPr="001B5348">
              <w:rPr>
                <w:rFonts w:eastAsia="Times New Roman" w:cs="Open Sans"/>
                <w:bCs/>
                <w:color w:val="000000"/>
                <w:kern w:val="28"/>
                <w:sz w:val="18"/>
                <w:szCs w:val="16"/>
                <w:lang w:eastAsia="en-GB"/>
                <w14:cntxtAlts/>
              </w:rPr>
              <w:t xml:space="preserve"> dirigées par des femmes</w:t>
            </w:r>
          </w:p>
        </w:tc>
        <w:tc>
          <w:tcPr>
            <w:tcW w:w="1744" w:type="dxa"/>
            <w:vAlign w:val="center"/>
          </w:tcPr>
          <w:p w14:paraId="646E4A16" w14:textId="2E62A1F1" w:rsidR="00583342" w:rsidRDefault="00583342" w:rsidP="00AD4A74">
            <w:pPr>
              <w:pStyle w:val="Header"/>
              <w:spacing w:before="0"/>
              <w:jc w:val="center"/>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0</w:t>
            </w:r>
          </w:p>
        </w:tc>
      </w:tr>
      <w:tr w:rsidR="00583342" w:rsidRPr="00925FBE" w14:paraId="5173355B" w14:textId="77777777" w:rsidTr="00B84D8D">
        <w:trPr>
          <w:trHeight w:val="340"/>
        </w:trPr>
        <w:tc>
          <w:tcPr>
            <w:tcW w:w="1980" w:type="dxa"/>
            <w:vMerge/>
            <w:vAlign w:val="center"/>
          </w:tcPr>
          <w:p w14:paraId="181C1BD2" w14:textId="77777777" w:rsidR="00583342" w:rsidRDefault="00583342" w:rsidP="00AD4A74">
            <w:pPr>
              <w:pStyle w:val="Header"/>
              <w:spacing w:before="0"/>
              <w:rPr>
                <w:rFonts w:eastAsia="Times New Roman" w:cs="Open Sans"/>
                <w:bCs/>
                <w:color w:val="000000"/>
                <w:kern w:val="28"/>
                <w:sz w:val="18"/>
                <w:szCs w:val="16"/>
                <w:lang w:eastAsia="en-GB"/>
                <w14:cntxtAlts/>
              </w:rPr>
            </w:pPr>
          </w:p>
        </w:tc>
        <w:tc>
          <w:tcPr>
            <w:tcW w:w="3685" w:type="dxa"/>
            <w:vAlign w:val="center"/>
          </w:tcPr>
          <w:p w14:paraId="096413DF" w14:textId="1A0E045F" w:rsidR="00583342" w:rsidRDefault="00583342" w:rsidP="00583342">
            <w:pPr>
              <w:pStyle w:val="Header"/>
              <w:spacing w:before="0"/>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 xml:space="preserve">2.2.4. </w:t>
            </w:r>
            <w:r w:rsidRPr="00A632A0">
              <w:rPr>
                <w:rFonts w:eastAsia="Times New Roman" w:cs="Open Sans"/>
                <w:bCs/>
                <w:color w:val="000000"/>
                <w:kern w:val="28"/>
                <w:sz w:val="18"/>
                <w:szCs w:val="16"/>
                <w:lang w:eastAsia="en-GB"/>
                <w14:cntxtAlts/>
              </w:rPr>
              <w:t xml:space="preserve">Nombre d'entreprises ciblant l'autonomisation et le bien-être des femmes, </w:t>
            </w:r>
            <w:r>
              <w:rPr>
                <w:rFonts w:eastAsia="Times New Roman" w:cs="Open Sans"/>
                <w:bCs/>
                <w:color w:val="000000"/>
                <w:kern w:val="28"/>
                <w:sz w:val="18"/>
                <w:szCs w:val="16"/>
                <w:lang w:eastAsia="en-GB"/>
                <w14:cntxtAlts/>
              </w:rPr>
              <w:t xml:space="preserve">et </w:t>
            </w:r>
            <w:r w:rsidRPr="00A632A0">
              <w:rPr>
                <w:rFonts w:eastAsia="Times New Roman" w:cs="Open Sans"/>
                <w:bCs/>
                <w:color w:val="000000"/>
                <w:kern w:val="28"/>
                <w:sz w:val="18"/>
                <w:szCs w:val="16"/>
                <w:lang w:eastAsia="en-GB"/>
                <w14:cntxtAlts/>
              </w:rPr>
              <w:t xml:space="preserve">la réduction des inégalités </w:t>
            </w:r>
          </w:p>
        </w:tc>
        <w:tc>
          <w:tcPr>
            <w:tcW w:w="1843" w:type="dxa"/>
            <w:vAlign w:val="center"/>
          </w:tcPr>
          <w:p w14:paraId="5F5AF78D" w14:textId="68F20756" w:rsidR="00583342" w:rsidRDefault="00583342" w:rsidP="001B5348">
            <w:pPr>
              <w:pStyle w:val="Header"/>
              <w:spacing w:before="0"/>
              <w:jc w:val="center"/>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50%</w:t>
            </w:r>
          </w:p>
        </w:tc>
        <w:tc>
          <w:tcPr>
            <w:tcW w:w="1744" w:type="dxa"/>
            <w:vAlign w:val="center"/>
          </w:tcPr>
          <w:p w14:paraId="3FD7B623" w14:textId="28104B3B" w:rsidR="00583342" w:rsidRDefault="00583342" w:rsidP="00AD4A74">
            <w:pPr>
              <w:pStyle w:val="Header"/>
              <w:spacing w:before="0"/>
              <w:jc w:val="center"/>
              <w:rPr>
                <w:rFonts w:eastAsia="Times New Roman" w:cs="Open Sans"/>
                <w:bCs/>
                <w:color w:val="000000"/>
                <w:kern w:val="28"/>
                <w:sz w:val="18"/>
                <w:szCs w:val="16"/>
                <w:lang w:eastAsia="en-GB"/>
                <w14:cntxtAlts/>
              </w:rPr>
            </w:pPr>
            <w:r>
              <w:rPr>
                <w:rFonts w:eastAsia="Times New Roman" w:cs="Open Sans"/>
                <w:bCs/>
                <w:color w:val="000000"/>
                <w:kern w:val="28"/>
                <w:sz w:val="18"/>
                <w:szCs w:val="16"/>
                <w:lang w:eastAsia="en-GB"/>
                <w14:cntxtAlts/>
              </w:rPr>
              <w:t>0</w:t>
            </w:r>
          </w:p>
        </w:tc>
      </w:tr>
    </w:tbl>
    <w:p w14:paraId="77D904AD" w14:textId="793BB3D7" w:rsidR="001507DF" w:rsidRPr="001507DF" w:rsidRDefault="001507DF" w:rsidP="001507DF">
      <w:pPr>
        <w:pStyle w:val="Header"/>
        <w:spacing w:before="240"/>
        <w:jc w:val="both"/>
        <w:rPr>
          <w:rFonts w:eastAsia="Times New Roman" w:cs="Open Sans"/>
          <w:bCs/>
          <w:color w:val="000000"/>
          <w:kern w:val="28"/>
          <w:szCs w:val="18"/>
          <w:lang w:eastAsia="en-GB"/>
          <w14:cntxtAlts/>
        </w:rPr>
      </w:pPr>
      <w:r w:rsidRPr="001507DF">
        <w:rPr>
          <w:rFonts w:eastAsia="Times New Roman" w:cs="Open Sans"/>
          <w:bCs/>
          <w:color w:val="000000"/>
          <w:kern w:val="28"/>
          <w:szCs w:val="18"/>
          <w:lang w:eastAsia="en-GB"/>
          <w14:cntxtAlts/>
        </w:rPr>
        <w:t xml:space="preserve">L'analyse du tableau révèle des performances contrastées selon les composantes du projet. Les réalisations notables incluent la création et l'opérationnalisation de la Fondation Kibira avec son accord de cogestion, la formation </w:t>
      </w:r>
      <w:r w:rsidR="00247953">
        <w:rPr>
          <w:rFonts w:eastAsia="Times New Roman" w:cs="Open Sans"/>
          <w:bCs/>
          <w:color w:val="000000"/>
          <w:kern w:val="28"/>
          <w:szCs w:val="18"/>
          <w:lang w:eastAsia="en-GB"/>
          <w14:cntxtAlts/>
        </w:rPr>
        <w:t xml:space="preserve">des </w:t>
      </w:r>
      <w:r w:rsidRPr="001507DF">
        <w:rPr>
          <w:rFonts w:eastAsia="Times New Roman" w:cs="Open Sans"/>
          <w:bCs/>
          <w:color w:val="000000"/>
          <w:kern w:val="28"/>
          <w:szCs w:val="18"/>
          <w:lang w:eastAsia="en-GB"/>
          <w14:cntxtAlts/>
        </w:rPr>
        <w:t xml:space="preserve">écogardes, et </w:t>
      </w:r>
      <w:r w:rsidR="00247953">
        <w:rPr>
          <w:rFonts w:eastAsia="Times New Roman" w:cs="Open Sans"/>
          <w:bCs/>
          <w:color w:val="000000"/>
          <w:kern w:val="28"/>
          <w:szCs w:val="18"/>
          <w:lang w:eastAsia="en-GB"/>
          <w14:cntxtAlts/>
        </w:rPr>
        <w:t>la</w:t>
      </w:r>
      <w:r w:rsidRPr="001507DF">
        <w:rPr>
          <w:rFonts w:eastAsia="Times New Roman" w:cs="Open Sans"/>
          <w:bCs/>
          <w:color w:val="000000"/>
          <w:kern w:val="28"/>
          <w:szCs w:val="18"/>
          <w:lang w:eastAsia="en-GB"/>
          <w14:cntxtAlts/>
        </w:rPr>
        <w:t xml:space="preserve"> collecte d'histoires culturelles</w:t>
      </w:r>
      <w:r w:rsidR="00247953">
        <w:rPr>
          <w:rFonts w:eastAsia="Times New Roman" w:cs="Open Sans"/>
          <w:bCs/>
          <w:color w:val="000000"/>
          <w:kern w:val="28"/>
          <w:szCs w:val="18"/>
          <w:lang w:eastAsia="en-GB"/>
          <w14:cntxtAlts/>
        </w:rPr>
        <w:t xml:space="preserve">. </w:t>
      </w:r>
    </w:p>
    <w:p w14:paraId="5B955270" w14:textId="0C7D18FF" w:rsidR="001507DF" w:rsidRPr="001507DF" w:rsidRDefault="001507DF" w:rsidP="001507DF">
      <w:pPr>
        <w:pStyle w:val="Header"/>
        <w:jc w:val="both"/>
        <w:rPr>
          <w:rFonts w:eastAsia="Times New Roman" w:cs="Open Sans"/>
          <w:bCs/>
          <w:color w:val="000000"/>
          <w:kern w:val="28"/>
          <w:szCs w:val="18"/>
          <w:lang w:eastAsia="en-GB"/>
          <w14:cntxtAlts/>
        </w:rPr>
      </w:pPr>
      <w:r w:rsidRPr="001507DF">
        <w:rPr>
          <w:rFonts w:eastAsia="Times New Roman" w:cs="Open Sans"/>
          <w:bCs/>
          <w:color w:val="000000"/>
          <w:kern w:val="28"/>
          <w:szCs w:val="18"/>
          <w:lang w:eastAsia="en-GB"/>
          <w14:cntxtAlts/>
        </w:rPr>
        <w:t>Cependant, des écarts sont observés sur plusieurs indicateurs clés. La superficie du parc sous gestion améliorée n'atteint que 50% de la cible</w:t>
      </w:r>
      <w:r w:rsidR="00782957">
        <w:rPr>
          <w:rFonts w:eastAsia="Times New Roman" w:cs="Open Sans"/>
          <w:bCs/>
          <w:color w:val="000000"/>
          <w:kern w:val="28"/>
          <w:szCs w:val="18"/>
          <w:lang w:eastAsia="en-GB"/>
          <w14:cntxtAlts/>
        </w:rPr>
        <w:t>.</w:t>
      </w:r>
      <w:r w:rsidRPr="001507DF">
        <w:rPr>
          <w:rFonts w:eastAsia="Times New Roman" w:cs="Open Sans"/>
          <w:bCs/>
          <w:color w:val="000000"/>
          <w:kern w:val="28"/>
          <w:szCs w:val="18"/>
          <w:lang w:eastAsia="en-GB"/>
          <w14:cntxtAlts/>
        </w:rPr>
        <w:t xml:space="preserve"> Les indicateurs liés à la composante </w:t>
      </w:r>
      <w:r w:rsidR="00C3746B">
        <w:rPr>
          <w:rFonts w:eastAsia="Times New Roman" w:cs="Open Sans"/>
          <w:bCs/>
          <w:color w:val="000000"/>
          <w:kern w:val="28"/>
          <w:szCs w:val="18"/>
          <w:lang w:eastAsia="en-GB"/>
          <w14:cntxtAlts/>
        </w:rPr>
        <w:t>PPP</w:t>
      </w:r>
      <w:r w:rsidRPr="001507DF">
        <w:rPr>
          <w:rFonts w:eastAsia="Times New Roman" w:cs="Open Sans"/>
          <w:bCs/>
          <w:color w:val="000000"/>
          <w:kern w:val="28"/>
          <w:szCs w:val="18"/>
          <w:lang w:eastAsia="en-GB"/>
          <w14:cntxtAlts/>
        </w:rPr>
        <w:t xml:space="preserve"> (Produit 2.1) </w:t>
      </w:r>
      <w:proofErr w:type="gramStart"/>
      <w:r w:rsidRPr="001507DF">
        <w:rPr>
          <w:rFonts w:eastAsia="Times New Roman" w:cs="Open Sans"/>
          <w:bCs/>
          <w:color w:val="000000"/>
          <w:kern w:val="28"/>
          <w:szCs w:val="18"/>
          <w:lang w:eastAsia="en-GB"/>
          <w14:cntxtAlts/>
        </w:rPr>
        <w:t>affichent</w:t>
      </w:r>
      <w:proofErr w:type="gramEnd"/>
      <w:r w:rsidRPr="001507DF">
        <w:rPr>
          <w:rFonts w:eastAsia="Times New Roman" w:cs="Open Sans"/>
          <w:bCs/>
          <w:color w:val="000000"/>
          <w:kern w:val="28"/>
          <w:szCs w:val="18"/>
          <w:lang w:eastAsia="en-GB"/>
          <w14:cntxtAlts/>
        </w:rPr>
        <w:t xml:space="preserve"> des réalisations limitées en raison du retard dans le démarrage de la phase de construction. Enfin, la composante REDD+ (Produit 2.2) n'a généré aucune réalisation concrète</w:t>
      </w:r>
      <w:r w:rsidR="00C3746B">
        <w:rPr>
          <w:rFonts w:eastAsia="Times New Roman" w:cs="Open Sans"/>
          <w:bCs/>
          <w:color w:val="000000"/>
          <w:kern w:val="28"/>
          <w:szCs w:val="18"/>
          <w:lang w:eastAsia="en-GB"/>
          <w14:cntxtAlts/>
        </w:rPr>
        <w:t xml:space="preserve"> en raison de l’abandon</w:t>
      </w:r>
      <w:r w:rsidRPr="001507DF">
        <w:rPr>
          <w:rFonts w:eastAsia="Times New Roman" w:cs="Open Sans"/>
          <w:bCs/>
          <w:color w:val="000000"/>
          <w:kern w:val="28"/>
          <w:szCs w:val="18"/>
          <w:lang w:eastAsia="en-GB"/>
          <w14:cntxtAlts/>
        </w:rPr>
        <w:t xml:space="preserve"> de cette composante.</w:t>
      </w:r>
    </w:p>
    <w:p w14:paraId="0A887A9E" w14:textId="7AD668E5" w:rsidR="001507DF" w:rsidRPr="001507DF" w:rsidRDefault="001507DF" w:rsidP="001507DF">
      <w:pPr>
        <w:pStyle w:val="Header"/>
        <w:jc w:val="both"/>
        <w:rPr>
          <w:rFonts w:eastAsia="Times New Roman" w:cs="Open Sans"/>
          <w:bCs/>
          <w:color w:val="000000"/>
          <w:kern w:val="28"/>
          <w:szCs w:val="18"/>
          <w:lang w:eastAsia="en-GB"/>
          <w14:cntxtAlts/>
        </w:rPr>
      </w:pPr>
      <w:r w:rsidRPr="001507DF">
        <w:rPr>
          <w:rFonts w:eastAsia="Times New Roman" w:cs="Open Sans"/>
          <w:bCs/>
          <w:color w:val="000000"/>
          <w:kern w:val="28"/>
          <w:szCs w:val="18"/>
          <w:lang w:eastAsia="en-GB"/>
          <w14:cntxtAlts/>
        </w:rPr>
        <w:t xml:space="preserve">Une analyse </w:t>
      </w:r>
      <w:r w:rsidR="00C3746B">
        <w:rPr>
          <w:rFonts w:eastAsia="Times New Roman" w:cs="Open Sans"/>
          <w:bCs/>
          <w:color w:val="000000"/>
          <w:kern w:val="28"/>
          <w:szCs w:val="18"/>
          <w:lang w:eastAsia="en-GB"/>
          <w14:cntxtAlts/>
        </w:rPr>
        <w:t xml:space="preserve">approfondie et </w:t>
      </w:r>
      <w:r w:rsidRPr="001507DF">
        <w:rPr>
          <w:rFonts w:eastAsia="Times New Roman" w:cs="Open Sans"/>
          <w:bCs/>
          <w:color w:val="000000"/>
          <w:kern w:val="28"/>
          <w:szCs w:val="18"/>
          <w:lang w:eastAsia="en-GB"/>
          <w14:cntxtAlts/>
        </w:rPr>
        <w:t>détaillée de l'atteinte des objectifs et des facteurs explicatifs de ces écarts sera présentée dans l</w:t>
      </w:r>
      <w:r w:rsidR="00C3746B">
        <w:rPr>
          <w:rFonts w:eastAsia="Times New Roman" w:cs="Open Sans"/>
          <w:bCs/>
          <w:color w:val="000000"/>
          <w:kern w:val="28"/>
          <w:szCs w:val="18"/>
          <w:lang w:eastAsia="en-GB"/>
          <w14:cntxtAlts/>
        </w:rPr>
        <w:t xml:space="preserve">e chapitre </w:t>
      </w:r>
      <w:r w:rsidRPr="001507DF">
        <w:rPr>
          <w:rFonts w:eastAsia="Times New Roman" w:cs="Open Sans"/>
          <w:bCs/>
          <w:color w:val="000000"/>
          <w:kern w:val="28"/>
          <w:szCs w:val="18"/>
          <w:lang w:eastAsia="en-GB"/>
          <w14:cntxtAlts/>
        </w:rPr>
        <w:t>"Résultats de l'évaluation" sous le critère Efficacité.</w:t>
      </w:r>
    </w:p>
    <w:p w14:paraId="36E7B166" w14:textId="77777777" w:rsidR="001F650C" w:rsidRDefault="001F650C" w:rsidP="00BE29A7">
      <w:pPr>
        <w:pStyle w:val="Header"/>
        <w:jc w:val="both"/>
        <w:rPr>
          <w:sz w:val="18"/>
          <w:szCs w:val="18"/>
        </w:rPr>
      </w:pPr>
    </w:p>
    <w:p w14:paraId="752D229A" w14:textId="77777777" w:rsidR="00330774" w:rsidRDefault="00330774" w:rsidP="00BE29A7">
      <w:pPr>
        <w:pStyle w:val="Header"/>
        <w:jc w:val="both"/>
        <w:rPr>
          <w:sz w:val="18"/>
          <w:szCs w:val="18"/>
        </w:rPr>
      </w:pPr>
    </w:p>
    <w:p w14:paraId="6621CA19" w14:textId="77777777" w:rsidR="00330774" w:rsidRDefault="00330774" w:rsidP="00BE29A7">
      <w:pPr>
        <w:pStyle w:val="Header"/>
        <w:jc w:val="both"/>
        <w:rPr>
          <w:sz w:val="18"/>
          <w:szCs w:val="18"/>
        </w:rPr>
      </w:pPr>
    </w:p>
    <w:p w14:paraId="07A1FAE5" w14:textId="77777777" w:rsidR="00330774" w:rsidRDefault="00330774" w:rsidP="00BE29A7">
      <w:pPr>
        <w:pStyle w:val="Header"/>
        <w:jc w:val="both"/>
        <w:rPr>
          <w:sz w:val="18"/>
          <w:szCs w:val="18"/>
        </w:rPr>
      </w:pPr>
    </w:p>
    <w:p w14:paraId="52C615A5" w14:textId="77777777" w:rsidR="001F650C" w:rsidRPr="001507DF" w:rsidRDefault="001F650C" w:rsidP="00BE29A7">
      <w:pPr>
        <w:pStyle w:val="Header"/>
        <w:jc w:val="both"/>
        <w:rPr>
          <w:sz w:val="18"/>
          <w:szCs w:val="18"/>
        </w:rPr>
      </w:pPr>
    </w:p>
    <w:p w14:paraId="45DBB0F7" w14:textId="5DD9B3BC" w:rsidR="008368CA" w:rsidRPr="00925FBE" w:rsidRDefault="008368CA" w:rsidP="008368CA">
      <w:pPr>
        <w:pStyle w:val="Heading2"/>
        <w:jc w:val="both"/>
        <w:rPr>
          <w:rFonts w:ascii="Open Sans" w:hAnsi="Open Sans"/>
          <w:color w:val="000099"/>
        </w:rPr>
      </w:pPr>
      <w:bookmarkStart w:id="35" w:name="_Toc216948966"/>
      <w:r w:rsidRPr="00925FBE">
        <w:rPr>
          <w:rFonts w:ascii="Open Sans" w:hAnsi="Open Sans"/>
          <w:color w:val="000099"/>
        </w:rPr>
        <w:lastRenderedPageBreak/>
        <w:t>2.</w:t>
      </w:r>
      <w:r w:rsidR="00776702" w:rsidRPr="00925FBE">
        <w:rPr>
          <w:rFonts w:ascii="Open Sans" w:hAnsi="Open Sans"/>
          <w:color w:val="000099"/>
        </w:rPr>
        <w:t>4</w:t>
      </w:r>
      <w:r w:rsidRPr="00925FBE">
        <w:rPr>
          <w:rFonts w:ascii="Open Sans" w:hAnsi="Open Sans"/>
          <w:color w:val="000099"/>
        </w:rPr>
        <w:t xml:space="preserve">. </w:t>
      </w:r>
      <w:r w:rsidR="007F6995">
        <w:rPr>
          <w:rFonts w:ascii="Open Sans" w:hAnsi="Open Sans"/>
          <w:color w:val="000099"/>
        </w:rPr>
        <w:t>Situation financière</w:t>
      </w:r>
      <w:bookmarkEnd w:id="35"/>
      <w:r w:rsidR="007F6995">
        <w:rPr>
          <w:rFonts w:ascii="Open Sans" w:hAnsi="Open Sans"/>
          <w:color w:val="000099"/>
        </w:rPr>
        <w:t xml:space="preserve"> </w:t>
      </w:r>
    </w:p>
    <w:p w14:paraId="387C7E50" w14:textId="77777777" w:rsidR="007F51EE" w:rsidRPr="007F51EE" w:rsidRDefault="007F51EE" w:rsidP="007F51EE">
      <w:pPr>
        <w:pStyle w:val="Caption"/>
        <w:spacing w:before="0" w:after="0"/>
        <w:rPr>
          <w:sz w:val="10"/>
          <w:szCs w:val="10"/>
        </w:rPr>
      </w:pPr>
    </w:p>
    <w:p w14:paraId="4EB914C1" w14:textId="25C2380F" w:rsidR="00FA6FC9" w:rsidRPr="00925FBE" w:rsidRDefault="007F51EE" w:rsidP="007F51EE">
      <w:pPr>
        <w:pStyle w:val="Caption"/>
      </w:pPr>
      <w:bookmarkStart w:id="36" w:name="_Toc214381577"/>
      <w:r>
        <w:t xml:space="preserve">Tableau </w:t>
      </w:r>
      <w:r>
        <w:fldChar w:fldCharType="begin"/>
      </w:r>
      <w:r>
        <w:instrText xml:space="preserve"> SEQ Tableau \* ARABIC </w:instrText>
      </w:r>
      <w:r>
        <w:fldChar w:fldCharType="separate"/>
      </w:r>
      <w:r w:rsidR="00803130">
        <w:rPr>
          <w:noProof/>
        </w:rPr>
        <w:t>3</w:t>
      </w:r>
      <w:r>
        <w:fldChar w:fldCharType="end"/>
      </w:r>
      <w:r>
        <w:t> : Situation financière : Engagements et dépenses</w:t>
      </w:r>
      <w:bookmarkEnd w:id="36"/>
      <w:r>
        <w:t xml:space="preserve"> </w:t>
      </w:r>
    </w:p>
    <w:tbl>
      <w:tblPr>
        <w:tblW w:w="9006" w:type="dxa"/>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Look w:val="04A0" w:firstRow="1" w:lastRow="0" w:firstColumn="1" w:lastColumn="0" w:noHBand="0" w:noVBand="1"/>
      </w:tblPr>
      <w:tblGrid>
        <w:gridCol w:w="918"/>
        <w:gridCol w:w="673"/>
        <w:gridCol w:w="673"/>
        <w:gridCol w:w="673"/>
        <w:gridCol w:w="673"/>
        <w:gridCol w:w="679"/>
        <w:gridCol w:w="673"/>
        <w:gridCol w:w="679"/>
        <w:gridCol w:w="673"/>
        <w:gridCol w:w="673"/>
        <w:gridCol w:w="673"/>
        <w:gridCol w:w="673"/>
        <w:gridCol w:w="673"/>
      </w:tblGrid>
      <w:tr w:rsidR="00FA6FC9" w:rsidRPr="00925FBE" w14:paraId="6EE14A7F" w14:textId="77777777" w:rsidTr="006A7D01">
        <w:trPr>
          <w:trHeight w:val="340"/>
        </w:trPr>
        <w:tc>
          <w:tcPr>
            <w:tcW w:w="918" w:type="dxa"/>
            <w:vMerge w:val="restart"/>
            <w:tcBorders>
              <w:bottom w:val="single" w:sz="4" w:space="0" w:color="FFFFFF" w:themeColor="background1"/>
              <w:right w:val="single" w:sz="4" w:space="0" w:color="FFFFFF" w:themeColor="background1"/>
            </w:tcBorders>
            <w:shd w:val="clear" w:color="auto" w:fill="000099"/>
            <w:vAlign w:val="center"/>
          </w:tcPr>
          <w:p w14:paraId="0D8FCB48" w14:textId="221FA92A" w:rsidR="00FA6FC9" w:rsidRPr="00FA6FC9" w:rsidRDefault="00FA6FC9" w:rsidP="00FA6FC9">
            <w:pPr>
              <w:spacing w:before="0" w:after="0" w:line="240" w:lineRule="auto"/>
              <w:jc w:val="center"/>
              <w:rPr>
                <w:b/>
                <w:bCs/>
                <w:sz w:val="18"/>
                <w:szCs w:val="20"/>
              </w:rPr>
            </w:pPr>
            <w:r w:rsidRPr="00FA6FC9">
              <w:rPr>
                <w:b/>
                <w:bCs/>
                <w:sz w:val="18"/>
                <w:szCs w:val="20"/>
              </w:rPr>
              <w:t>Bailleur</w:t>
            </w:r>
          </w:p>
        </w:tc>
        <w:tc>
          <w:tcPr>
            <w:tcW w:w="2692" w:type="dxa"/>
            <w:gridSpan w:val="4"/>
            <w:tcBorders>
              <w:left w:val="single" w:sz="4" w:space="0" w:color="FFFFFF" w:themeColor="background1"/>
              <w:bottom w:val="single" w:sz="4" w:space="0" w:color="FFFFFF" w:themeColor="background1"/>
              <w:right w:val="single" w:sz="4" w:space="0" w:color="FFFFFF" w:themeColor="background1"/>
            </w:tcBorders>
            <w:shd w:val="clear" w:color="auto" w:fill="000099"/>
            <w:vAlign w:val="center"/>
          </w:tcPr>
          <w:p w14:paraId="106025C0" w14:textId="198A16D6" w:rsidR="00FA6FC9" w:rsidRPr="00FA6FC9" w:rsidRDefault="00FA6FC9" w:rsidP="00FA6FC9">
            <w:pPr>
              <w:spacing w:before="0" w:after="0" w:line="240" w:lineRule="auto"/>
              <w:jc w:val="center"/>
              <w:rPr>
                <w:b/>
                <w:bCs/>
                <w:sz w:val="18"/>
                <w:szCs w:val="20"/>
              </w:rPr>
            </w:pPr>
            <w:r w:rsidRPr="00FA6FC9">
              <w:rPr>
                <w:b/>
                <w:bCs/>
                <w:sz w:val="18"/>
                <w:szCs w:val="20"/>
              </w:rPr>
              <w:t>Budget engagé</w:t>
            </w:r>
          </w:p>
          <w:p w14:paraId="676AB6B5" w14:textId="79BADA93" w:rsidR="00FA6FC9" w:rsidRPr="00FA6FC9" w:rsidRDefault="00FA6FC9" w:rsidP="00FA6FC9">
            <w:pPr>
              <w:spacing w:before="0" w:after="0" w:line="240" w:lineRule="auto"/>
              <w:jc w:val="center"/>
              <w:rPr>
                <w:b/>
                <w:bCs/>
                <w:sz w:val="18"/>
                <w:szCs w:val="20"/>
              </w:rPr>
            </w:pPr>
            <w:r w:rsidRPr="00FA6FC9">
              <w:rPr>
                <w:b/>
                <w:bCs/>
                <w:sz w:val="18"/>
                <w:szCs w:val="20"/>
              </w:rPr>
              <w:t>(Millions USD)</w:t>
            </w:r>
          </w:p>
        </w:tc>
        <w:tc>
          <w:tcPr>
            <w:tcW w:w="2704" w:type="dxa"/>
            <w:gridSpan w:val="4"/>
            <w:tcBorders>
              <w:left w:val="single" w:sz="4" w:space="0" w:color="FFFFFF" w:themeColor="background1"/>
              <w:bottom w:val="single" w:sz="4" w:space="0" w:color="FFFFFF" w:themeColor="background1"/>
              <w:right w:val="single" w:sz="4" w:space="0" w:color="FFFFFF" w:themeColor="background1"/>
            </w:tcBorders>
            <w:shd w:val="clear" w:color="auto" w:fill="000099"/>
            <w:vAlign w:val="center"/>
          </w:tcPr>
          <w:p w14:paraId="101A6121" w14:textId="77777777" w:rsidR="00FA6FC9" w:rsidRPr="00FA6FC9" w:rsidRDefault="00FA6FC9" w:rsidP="00FA6FC9">
            <w:pPr>
              <w:spacing w:before="0" w:after="0" w:line="240" w:lineRule="auto"/>
              <w:jc w:val="center"/>
              <w:rPr>
                <w:b/>
                <w:bCs/>
                <w:sz w:val="18"/>
                <w:szCs w:val="20"/>
              </w:rPr>
            </w:pPr>
            <w:r w:rsidRPr="00FA6FC9">
              <w:rPr>
                <w:b/>
                <w:bCs/>
                <w:sz w:val="18"/>
                <w:szCs w:val="20"/>
              </w:rPr>
              <w:t>Dépenses</w:t>
            </w:r>
          </w:p>
          <w:p w14:paraId="261FA23C" w14:textId="5F0CF8B7" w:rsidR="00FA6FC9" w:rsidRPr="00FA6FC9" w:rsidRDefault="00FA6FC9" w:rsidP="00FA6FC9">
            <w:pPr>
              <w:spacing w:before="0" w:after="0" w:line="240" w:lineRule="auto"/>
              <w:jc w:val="center"/>
              <w:rPr>
                <w:b/>
                <w:bCs/>
                <w:sz w:val="18"/>
                <w:szCs w:val="20"/>
              </w:rPr>
            </w:pPr>
            <w:r w:rsidRPr="00FA6FC9">
              <w:rPr>
                <w:b/>
                <w:bCs/>
                <w:sz w:val="18"/>
                <w:szCs w:val="20"/>
              </w:rPr>
              <w:t>(</w:t>
            </w:r>
            <w:proofErr w:type="gramStart"/>
            <w:r w:rsidRPr="00FA6FC9">
              <w:rPr>
                <w:b/>
                <w:bCs/>
                <w:sz w:val="18"/>
                <w:szCs w:val="20"/>
              </w:rPr>
              <w:t>en</w:t>
            </w:r>
            <w:proofErr w:type="gramEnd"/>
            <w:r w:rsidRPr="00FA6FC9">
              <w:rPr>
                <w:b/>
                <w:bCs/>
                <w:sz w:val="18"/>
                <w:szCs w:val="20"/>
              </w:rPr>
              <w:t xml:space="preserve"> millions USD)</w:t>
            </w:r>
          </w:p>
        </w:tc>
        <w:tc>
          <w:tcPr>
            <w:tcW w:w="2692" w:type="dxa"/>
            <w:gridSpan w:val="4"/>
            <w:tcBorders>
              <w:left w:val="single" w:sz="4" w:space="0" w:color="FFFFFF" w:themeColor="background1"/>
              <w:bottom w:val="single" w:sz="4" w:space="0" w:color="FFFFFF" w:themeColor="background1"/>
            </w:tcBorders>
            <w:shd w:val="clear" w:color="auto" w:fill="000099"/>
            <w:vAlign w:val="center"/>
          </w:tcPr>
          <w:p w14:paraId="469C226B" w14:textId="2175D3E9" w:rsidR="00FA6FC9" w:rsidRPr="00FA6FC9" w:rsidRDefault="00FA6FC9" w:rsidP="00FA6FC9">
            <w:pPr>
              <w:spacing w:before="0" w:after="0" w:line="240" w:lineRule="auto"/>
              <w:jc w:val="center"/>
              <w:rPr>
                <w:b/>
                <w:bCs/>
                <w:sz w:val="18"/>
                <w:szCs w:val="20"/>
              </w:rPr>
            </w:pPr>
            <w:r w:rsidRPr="00FA6FC9">
              <w:rPr>
                <w:b/>
                <w:bCs/>
                <w:sz w:val="18"/>
                <w:szCs w:val="20"/>
              </w:rPr>
              <w:t>% des dépenses</w:t>
            </w:r>
          </w:p>
        </w:tc>
      </w:tr>
      <w:tr w:rsidR="00FA6FC9" w:rsidRPr="00925FBE" w14:paraId="5D42CBDF" w14:textId="56B2EE98" w:rsidTr="006A7D01">
        <w:trPr>
          <w:trHeight w:val="340"/>
        </w:trPr>
        <w:tc>
          <w:tcPr>
            <w:tcW w:w="918" w:type="dxa"/>
            <w:vMerge/>
            <w:tcBorders>
              <w:top w:val="single" w:sz="4" w:space="0" w:color="FFFFFF" w:themeColor="background1"/>
              <w:right w:val="single" w:sz="4" w:space="0" w:color="FFFFFF" w:themeColor="background1"/>
            </w:tcBorders>
            <w:shd w:val="clear" w:color="auto" w:fill="000099"/>
            <w:vAlign w:val="center"/>
          </w:tcPr>
          <w:p w14:paraId="4D205B88" w14:textId="77777777" w:rsidR="00FA6FC9" w:rsidRPr="00FA6FC9" w:rsidRDefault="00FA6FC9" w:rsidP="00FA6FC9">
            <w:pPr>
              <w:spacing w:before="0" w:after="0" w:line="240" w:lineRule="auto"/>
              <w:jc w:val="center"/>
              <w:rPr>
                <w:b/>
                <w:bCs/>
                <w:sz w:val="18"/>
                <w:szCs w:val="20"/>
              </w:rPr>
            </w:pPr>
          </w:p>
        </w:tc>
        <w:tc>
          <w:tcPr>
            <w:tcW w:w="673" w:type="dxa"/>
            <w:tcBorders>
              <w:top w:val="single" w:sz="4" w:space="0" w:color="FFFFFF" w:themeColor="background1"/>
              <w:left w:val="single" w:sz="4" w:space="0" w:color="FFFFFF" w:themeColor="background1"/>
              <w:right w:val="single" w:sz="4" w:space="0" w:color="FFFFFF" w:themeColor="background1"/>
            </w:tcBorders>
            <w:shd w:val="clear" w:color="auto" w:fill="000099"/>
            <w:vAlign w:val="center"/>
          </w:tcPr>
          <w:p w14:paraId="6D64454C" w14:textId="72648790" w:rsidR="00FA6FC9" w:rsidRPr="00FA6FC9" w:rsidRDefault="00FA6FC9" w:rsidP="00FA6FC9">
            <w:pPr>
              <w:spacing w:before="0" w:after="0" w:line="240" w:lineRule="auto"/>
              <w:jc w:val="center"/>
              <w:rPr>
                <w:b/>
                <w:bCs/>
                <w:sz w:val="18"/>
                <w:szCs w:val="20"/>
              </w:rPr>
            </w:pPr>
            <w:r w:rsidRPr="00FA6FC9">
              <w:rPr>
                <w:b/>
                <w:bCs/>
                <w:sz w:val="18"/>
                <w:szCs w:val="20"/>
              </w:rPr>
              <w:t>2022</w:t>
            </w:r>
          </w:p>
        </w:tc>
        <w:tc>
          <w:tcPr>
            <w:tcW w:w="673" w:type="dxa"/>
            <w:tcBorders>
              <w:top w:val="single" w:sz="4" w:space="0" w:color="FFFFFF" w:themeColor="background1"/>
              <w:left w:val="single" w:sz="4" w:space="0" w:color="FFFFFF" w:themeColor="background1"/>
              <w:right w:val="single" w:sz="4" w:space="0" w:color="FFFFFF" w:themeColor="background1"/>
            </w:tcBorders>
            <w:shd w:val="clear" w:color="auto" w:fill="000099"/>
            <w:vAlign w:val="center"/>
          </w:tcPr>
          <w:p w14:paraId="3AC36D18" w14:textId="7C0A84CA" w:rsidR="00FA6FC9" w:rsidRPr="00FA6FC9" w:rsidRDefault="00FA6FC9" w:rsidP="00FA6FC9">
            <w:pPr>
              <w:spacing w:before="0" w:after="0" w:line="240" w:lineRule="auto"/>
              <w:jc w:val="center"/>
              <w:rPr>
                <w:b/>
                <w:bCs/>
                <w:sz w:val="18"/>
                <w:szCs w:val="20"/>
              </w:rPr>
            </w:pPr>
            <w:r w:rsidRPr="00FA6FC9">
              <w:rPr>
                <w:b/>
                <w:bCs/>
                <w:sz w:val="18"/>
                <w:szCs w:val="20"/>
              </w:rPr>
              <w:t>2023</w:t>
            </w:r>
          </w:p>
        </w:tc>
        <w:tc>
          <w:tcPr>
            <w:tcW w:w="673" w:type="dxa"/>
            <w:tcBorders>
              <w:top w:val="single" w:sz="4" w:space="0" w:color="FFFFFF" w:themeColor="background1"/>
              <w:left w:val="single" w:sz="4" w:space="0" w:color="FFFFFF" w:themeColor="background1"/>
              <w:right w:val="single" w:sz="4" w:space="0" w:color="FFFFFF" w:themeColor="background1"/>
            </w:tcBorders>
            <w:shd w:val="clear" w:color="auto" w:fill="000099"/>
            <w:vAlign w:val="center"/>
          </w:tcPr>
          <w:p w14:paraId="763D0E8D" w14:textId="0221240A" w:rsidR="00FA6FC9" w:rsidRPr="00FA6FC9" w:rsidRDefault="00FA6FC9" w:rsidP="00FA6FC9">
            <w:pPr>
              <w:spacing w:before="0" w:after="0" w:line="240" w:lineRule="auto"/>
              <w:jc w:val="center"/>
              <w:rPr>
                <w:b/>
                <w:bCs/>
                <w:sz w:val="18"/>
                <w:szCs w:val="20"/>
              </w:rPr>
            </w:pPr>
            <w:r w:rsidRPr="00FA6FC9">
              <w:rPr>
                <w:b/>
                <w:bCs/>
                <w:sz w:val="18"/>
                <w:szCs w:val="20"/>
              </w:rPr>
              <w:t>2024</w:t>
            </w:r>
          </w:p>
        </w:tc>
        <w:tc>
          <w:tcPr>
            <w:tcW w:w="673" w:type="dxa"/>
            <w:tcBorders>
              <w:top w:val="single" w:sz="4" w:space="0" w:color="FFFFFF" w:themeColor="background1"/>
              <w:left w:val="single" w:sz="4" w:space="0" w:color="FFFFFF" w:themeColor="background1"/>
              <w:right w:val="single" w:sz="4" w:space="0" w:color="FFFFFF" w:themeColor="background1"/>
            </w:tcBorders>
            <w:shd w:val="clear" w:color="auto" w:fill="000099"/>
            <w:vAlign w:val="center"/>
          </w:tcPr>
          <w:p w14:paraId="5B1ADB40" w14:textId="678BB8F5" w:rsidR="00FA6FC9" w:rsidRPr="00FA6FC9" w:rsidRDefault="00FA6FC9" w:rsidP="00FA6FC9">
            <w:pPr>
              <w:spacing w:before="0" w:after="0" w:line="240" w:lineRule="auto"/>
              <w:jc w:val="center"/>
              <w:rPr>
                <w:b/>
                <w:bCs/>
                <w:sz w:val="18"/>
                <w:szCs w:val="20"/>
              </w:rPr>
            </w:pPr>
            <w:r w:rsidRPr="00FA6FC9">
              <w:rPr>
                <w:b/>
                <w:bCs/>
                <w:sz w:val="18"/>
                <w:szCs w:val="20"/>
              </w:rPr>
              <w:t>2025</w:t>
            </w:r>
          </w:p>
        </w:tc>
        <w:tc>
          <w:tcPr>
            <w:tcW w:w="679" w:type="dxa"/>
            <w:tcBorders>
              <w:top w:val="single" w:sz="4" w:space="0" w:color="FFFFFF" w:themeColor="background1"/>
              <w:left w:val="single" w:sz="4" w:space="0" w:color="FFFFFF" w:themeColor="background1"/>
              <w:right w:val="single" w:sz="4" w:space="0" w:color="FFFFFF" w:themeColor="background1"/>
            </w:tcBorders>
            <w:shd w:val="clear" w:color="auto" w:fill="000099"/>
            <w:vAlign w:val="center"/>
          </w:tcPr>
          <w:p w14:paraId="1F643973" w14:textId="3FFC79FA" w:rsidR="00FA6FC9" w:rsidRPr="00FA6FC9" w:rsidRDefault="00FA6FC9" w:rsidP="00FA6FC9">
            <w:pPr>
              <w:spacing w:before="0" w:after="0" w:line="240" w:lineRule="auto"/>
              <w:jc w:val="center"/>
              <w:rPr>
                <w:b/>
                <w:bCs/>
                <w:sz w:val="18"/>
                <w:szCs w:val="20"/>
              </w:rPr>
            </w:pPr>
            <w:r w:rsidRPr="00FA6FC9">
              <w:rPr>
                <w:b/>
                <w:bCs/>
                <w:sz w:val="18"/>
                <w:szCs w:val="20"/>
              </w:rPr>
              <w:t>2022</w:t>
            </w:r>
          </w:p>
        </w:tc>
        <w:tc>
          <w:tcPr>
            <w:tcW w:w="673" w:type="dxa"/>
            <w:tcBorders>
              <w:top w:val="single" w:sz="4" w:space="0" w:color="FFFFFF" w:themeColor="background1"/>
              <w:left w:val="single" w:sz="4" w:space="0" w:color="FFFFFF" w:themeColor="background1"/>
              <w:right w:val="single" w:sz="4" w:space="0" w:color="FFFFFF" w:themeColor="background1"/>
            </w:tcBorders>
            <w:shd w:val="clear" w:color="auto" w:fill="000099"/>
            <w:vAlign w:val="center"/>
          </w:tcPr>
          <w:p w14:paraId="62FCBEED" w14:textId="53E03CAB" w:rsidR="00FA6FC9" w:rsidRPr="00FA6FC9" w:rsidRDefault="00FA6FC9" w:rsidP="00FA6FC9">
            <w:pPr>
              <w:spacing w:before="0" w:after="0" w:line="240" w:lineRule="auto"/>
              <w:jc w:val="center"/>
              <w:rPr>
                <w:b/>
                <w:bCs/>
                <w:sz w:val="18"/>
                <w:szCs w:val="20"/>
              </w:rPr>
            </w:pPr>
            <w:r w:rsidRPr="00FA6FC9">
              <w:rPr>
                <w:b/>
                <w:bCs/>
                <w:sz w:val="18"/>
                <w:szCs w:val="20"/>
              </w:rPr>
              <w:t>2023</w:t>
            </w:r>
          </w:p>
        </w:tc>
        <w:tc>
          <w:tcPr>
            <w:tcW w:w="679" w:type="dxa"/>
            <w:tcBorders>
              <w:top w:val="single" w:sz="4" w:space="0" w:color="FFFFFF" w:themeColor="background1"/>
              <w:left w:val="single" w:sz="4" w:space="0" w:color="FFFFFF" w:themeColor="background1"/>
              <w:right w:val="single" w:sz="4" w:space="0" w:color="FFFFFF" w:themeColor="background1"/>
            </w:tcBorders>
            <w:shd w:val="clear" w:color="auto" w:fill="000099"/>
            <w:vAlign w:val="center"/>
          </w:tcPr>
          <w:p w14:paraId="15357540" w14:textId="5C844596" w:rsidR="00FA6FC9" w:rsidRPr="00FA6FC9" w:rsidRDefault="00FA6FC9" w:rsidP="00FA6FC9">
            <w:pPr>
              <w:spacing w:before="0" w:after="0" w:line="240" w:lineRule="auto"/>
              <w:jc w:val="center"/>
              <w:rPr>
                <w:b/>
                <w:bCs/>
                <w:sz w:val="18"/>
                <w:szCs w:val="20"/>
              </w:rPr>
            </w:pPr>
            <w:r w:rsidRPr="00FA6FC9">
              <w:rPr>
                <w:b/>
                <w:bCs/>
                <w:sz w:val="18"/>
                <w:szCs w:val="20"/>
              </w:rPr>
              <w:t>2024</w:t>
            </w:r>
          </w:p>
        </w:tc>
        <w:tc>
          <w:tcPr>
            <w:tcW w:w="673" w:type="dxa"/>
            <w:tcBorders>
              <w:top w:val="single" w:sz="4" w:space="0" w:color="FFFFFF" w:themeColor="background1"/>
              <w:left w:val="single" w:sz="4" w:space="0" w:color="FFFFFF" w:themeColor="background1"/>
              <w:right w:val="single" w:sz="4" w:space="0" w:color="FFFFFF" w:themeColor="background1"/>
            </w:tcBorders>
            <w:shd w:val="clear" w:color="auto" w:fill="000099"/>
            <w:vAlign w:val="center"/>
          </w:tcPr>
          <w:p w14:paraId="041CF8AF" w14:textId="596E60AF" w:rsidR="00FA6FC9" w:rsidRPr="00FA6FC9" w:rsidRDefault="00FA6FC9" w:rsidP="00FA6FC9">
            <w:pPr>
              <w:spacing w:before="0" w:after="0" w:line="240" w:lineRule="auto"/>
              <w:jc w:val="center"/>
              <w:rPr>
                <w:b/>
                <w:bCs/>
                <w:sz w:val="18"/>
                <w:szCs w:val="20"/>
              </w:rPr>
            </w:pPr>
            <w:r w:rsidRPr="00FA6FC9">
              <w:rPr>
                <w:b/>
                <w:bCs/>
                <w:sz w:val="18"/>
                <w:szCs w:val="20"/>
              </w:rPr>
              <w:t>2025</w:t>
            </w:r>
          </w:p>
        </w:tc>
        <w:tc>
          <w:tcPr>
            <w:tcW w:w="673" w:type="dxa"/>
            <w:tcBorders>
              <w:top w:val="single" w:sz="4" w:space="0" w:color="FFFFFF" w:themeColor="background1"/>
              <w:left w:val="single" w:sz="4" w:space="0" w:color="FFFFFF" w:themeColor="background1"/>
              <w:right w:val="single" w:sz="4" w:space="0" w:color="FFFFFF" w:themeColor="background1"/>
            </w:tcBorders>
            <w:shd w:val="clear" w:color="auto" w:fill="000099"/>
            <w:vAlign w:val="center"/>
          </w:tcPr>
          <w:p w14:paraId="3EDFC1FC" w14:textId="787081DB" w:rsidR="00FA6FC9" w:rsidRPr="00FA6FC9" w:rsidRDefault="00FA6FC9" w:rsidP="00FA6FC9">
            <w:pPr>
              <w:spacing w:before="0" w:after="0" w:line="240" w:lineRule="auto"/>
              <w:jc w:val="center"/>
              <w:rPr>
                <w:b/>
                <w:bCs/>
                <w:sz w:val="18"/>
                <w:szCs w:val="20"/>
              </w:rPr>
            </w:pPr>
            <w:r w:rsidRPr="00FA6FC9">
              <w:rPr>
                <w:b/>
                <w:bCs/>
                <w:sz w:val="18"/>
                <w:szCs w:val="20"/>
              </w:rPr>
              <w:t>2022</w:t>
            </w:r>
          </w:p>
        </w:tc>
        <w:tc>
          <w:tcPr>
            <w:tcW w:w="673" w:type="dxa"/>
            <w:tcBorders>
              <w:top w:val="single" w:sz="4" w:space="0" w:color="FFFFFF" w:themeColor="background1"/>
              <w:left w:val="single" w:sz="4" w:space="0" w:color="FFFFFF" w:themeColor="background1"/>
              <w:right w:val="single" w:sz="4" w:space="0" w:color="FFFFFF" w:themeColor="background1"/>
            </w:tcBorders>
            <w:shd w:val="clear" w:color="auto" w:fill="000099"/>
            <w:vAlign w:val="center"/>
          </w:tcPr>
          <w:p w14:paraId="2921C10E" w14:textId="0F32A83F" w:rsidR="00FA6FC9" w:rsidRPr="00FA6FC9" w:rsidRDefault="00FA6FC9" w:rsidP="00FA6FC9">
            <w:pPr>
              <w:spacing w:before="0" w:after="0" w:line="240" w:lineRule="auto"/>
              <w:jc w:val="center"/>
              <w:rPr>
                <w:b/>
                <w:bCs/>
                <w:sz w:val="18"/>
                <w:szCs w:val="20"/>
              </w:rPr>
            </w:pPr>
            <w:r w:rsidRPr="00FA6FC9">
              <w:rPr>
                <w:b/>
                <w:bCs/>
                <w:sz w:val="18"/>
                <w:szCs w:val="20"/>
              </w:rPr>
              <w:t>2023</w:t>
            </w:r>
          </w:p>
        </w:tc>
        <w:tc>
          <w:tcPr>
            <w:tcW w:w="673" w:type="dxa"/>
            <w:tcBorders>
              <w:top w:val="single" w:sz="4" w:space="0" w:color="FFFFFF" w:themeColor="background1"/>
              <w:left w:val="single" w:sz="4" w:space="0" w:color="FFFFFF" w:themeColor="background1"/>
              <w:right w:val="single" w:sz="4" w:space="0" w:color="FFFFFF" w:themeColor="background1"/>
            </w:tcBorders>
            <w:shd w:val="clear" w:color="auto" w:fill="000099"/>
            <w:vAlign w:val="center"/>
          </w:tcPr>
          <w:p w14:paraId="0EF80E21" w14:textId="256D2BC4" w:rsidR="00FA6FC9" w:rsidRPr="00FA6FC9" w:rsidRDefault="00FA6FC9" w:rsidP="00FA6FC9">
            <w:pPr>
              <w:spacing w:before="0" w:after="0" w:line="240" w:lineRule="auto"/>
              <w:jc w:val="center"/>
              <w:rPr>
                <w:b/>
                <w:bCs/>
                <w:sz w:val="18"/>
                <w:szCs w:val="20"/>
              </w:rPr>
            </w:pPr>
            <w:r w:rsidRPr="00FA6FC9">
              <w:rPr>
                <w:b/>
                <w:bCs/>
                <w:sz w:val="18"/>
                <w:szCs w:val="20"/>
              </w:rPr>
              <w:t>2024</w:t>
            </w:r>
          </w:p>
        </w:tc>
        <w:tc>
          <w:tcPr>
            <w:tcW w:w="673" w:type="dxa"/>
            <w:tcBorders>
              <w:top w:val="single" w:sz="4" w:space="0" w:color="FFFFFF" w:themeColor="background1"/>
              <w:left w:val="single" w:sz="4" w:space="0" w:color="FFFFFF" w:themeColor="background1"/>
            </w:tcBorders>
            <w:shd w:val="clear" w:color="auto" w:fill="000099"/>
            <w:vAlign w:val="center"/>
          </w:tcPr>
          <w:p w14:paraId="29781EED" w14:textId="6834BE7D" w:rsidR="00FA6FC9" w:rsidRPr="00FA6FC9" w:rsidRDefault="00FA6FC9" w:rsidP="00FA6FC9">
            <w:pPr>
              <w:spacing w:before="0" w:after="0" w:line="240" w:lineRule="auto"/>
              <w:jc w:val="center"/>
              <w:rPr>
                <w:b/>
                <w:bCs/>
                <w:sz w:val="18"/>
                <w:szCs w:val="20"/>
              </w:rPr>
            </w:pPr>
            <w:r w:rsidRPr="00FA6FC9">
              <w:rPr>
                <w:b/>
                <w:bCs/>
                <w:sz w:val="18"/>
                <w:szCs w:val="20"/>
              </w:rPr>
              <w:t>2025</w:t>
            </w:r>
          </w:p>
        </w:tc>
      </w:tr>
      <w:tr w:rsidR="00FA6FC9" w:rsidRPr="00925FBE" w14:paraId="350C9D77" w14:textId="00473E8C" w:rsidTr="006A7D01">
        <w:trPr>
          <w:trHeight w:val="340"/>
        </w:trPr>
        <w:tc>
          <w:tcPr>
            <w:tcW w:w="918" w:type="dxa"/>
            <w:vAlign w:val="center"/>
          </w:tcPr>
          <w:p w14:paraId="66941994" w14:textId="4252B193" w:rsidR="00FA6FC9" w:rsidRPr="00FA6FC9" w:rsidRDefault="00FA6FC9" w:rsidP="00FA6FC9">
            <w:pPr>
              <w:spacing w:before="0" w:after="0" w:line="240" w:lineRule="auto"/>
              <w:jc w:val="center"/>
              <w:rPr>
                <w:b/>
                <w:bCs/>
                <w:sz w:val="18"/>
                <w:szCs w:val="20"/>
              </w:rPr>
            </w:pPr>
            <w:r w:rsidRPr="00FA6FC9">
              <w:rPr>
                <w:b/>
                <w:bCs/>
                <w:sz w:val="18"/>
                <w:szCs w:val="20"/>
              </w:rPr>
              <w:t>PBF</w:t>
            </w:r>
          </w:p>
        </w:tc>
        <w:tc>
          <w:tcPr>
            <w:tcW w:w="673" w:type="dxa"/>
            <w:vAlign w:val="center"/>
          </w:tcPr>
          <w:p w14:paraId="5AA62E5D" w14:textId="076DD020" w:rsidR="00FA6FC9" w:rsidRPr="00FA6FC9" w:rsidRDefault="004D7DCE" w:rsidP="00FA6FC9">
            <w:pPr>
              <w:spacing w:before="0" w:after="0" w:line="240" w:lineRule="auto"/>
              <w:jc w:val="center"/>
              <w:rPr>
                <w:sz w:val="18"/>
                <w:szCs w:val="20"/>
              </w:rPr>
            </w:pPr>
            <w:r>
              <w:rPr>
                <w:sz w:val="18"/>
                <w:szCs w:val="20"/>
              </w:rPr>
              <w:t>1,0</w:t>
            </w:r>
          </w:p>
        </w:tc>
        <w:tc>
          <w:tcPr>
            <w:tcW w:w="673" w:type="dxa"/>
            <w:vAlign w:val="center"/>
          </w:tcPr>
          <w:p w14:paraId="344D7955" w14:textId="77777777" w:rsidR="00FA6FC9" w:rsidRPr="00FA6FC9" w:rsidRDefault="00FA6FC9" w:rsidP="00FA6FC9">
            <w:pPr>
              <w:spacing w:before="0" w:after="0" w:line="240" w:lineRule="auto"/>
              <w:jc w:val="center"/>
              <w:rPr>
                <w:sz w:val="18"/>
                <w:szCs w:val="20"/>
              </w:rPr>
            </w:pPr>
          </w:p>
        </w:tc>
        <w:tc>
          <w:tcPr>
            <w:tcW w:w="673" w:type="dxa"/>
            <w:vAlign w:val="center"/>
          </w:tcPr>
          <w:p w14:paraId="1B3479AA" w14:textId="5731ECBC" w:rsidR="00FA6FC9" w:rsidRPr="00FA6FC9" w:rsidRDefault="00660C9A" w:rsidP="00FA6FC9">
            <w:pPr>
              <w:spacing w:before="0" w:after="0" w:line="240" w:lineRule="auto"/>
              <w:jc w:val="center"/>
              <w:rPr>
                <w:sz w:val="18"/>
                <w:szCs w:val="20"/>
              </w:rPr>
            </w:pPr>
            <w:r>
              <w:rPr>
                <w:sz w:val="18"/>
                <w:szCs w:val="20"/>
              </w:rPr>
              <w:t>3,0</w:t>
            </w:r>
          </w:p>
        </w:tc>
        <w:tc>
          <w:tcPr>
            <w:tcW w:w="673" w:type="dxa"/>
            <w:vAlign w:val="center"/>
          </w:tcPr>
          <w:p w14:paraId="0857BD4E" w14:textId="26064AF4" w:rsidR="00FA6FC9" w:rsidRPr="00FA6FC9" w:rsidRDefault="006D6029" w:rsidP="00FA6FC9">
            <w:pPr>
              <w:spacing w:before="0" w:after="0" w:line="240" w:lineRule="auto"/>
              <w:jc w:val="center"/>
              <w:rPr>
                <w:sz w:val="18"/>
                <w:szCs w:val="20"/>
              </w:rPr>
            </w:pPr>
            <w:r>
              <w:rPr>
                <w:sz w:val="18"/>
                <w:szCs w:val="20"/>
              </w:rPr>
              <w:t>3,0</w:t>
            </w:r>
          </w:p>
        </w:tc>
        <w:tc>
          <w:tcPr>
            <w:tcW w:w="679" w:type="dxa"/>
            <w:vAlign w:val="center"/>
          </w:tcPr>
          <w:p w14:paraId="472C22AF" w14:textId="33F0266B" w:rsidR="00FA6FC9" w:rsidRPr="00FA6FC9" w:rsidRDefault="004D7DCE" w:rsidP="00FA6FC9">
            <w:pPr>
              <w:spacing w:before="0" w:after="0" w:line="240" w:lineRule="auto"/>
              <w:jc w:val="center"/>
              <w:rPr>
                <w:sz w:val="18"/>
                <w:szCs w:val="20"/>
              </w:rPr>
            </w:pPr>
            <w:r>
              <w:rPr>
                <w:sz w:val="18"/>
                <w:szCs w:val="20"/>
              </w:rPr>
              <w:t>0,461</w:t>
            </w:r>
          </w:p>
        </w:tc>
        <w:tc>
          <w:tcPr>
            <w:tcW w:w="673" w:type="dxa"/>
            <w:vAlign w:val="center"/>
          </w:tcPr>
          <w:p w14:paraId="033B68B2" w14:textId="77777777" w:rsidR="00FA6FC9" w:rsidRPr="00FA6FC9" w:rsidRDefault="00FA6FC9" w:rsidP="00FA6FC9">
            <w:pPr>
              <w:spacing w:before="0" w:after="0" w:line="240" w:lineRule="auto"/>
              <w:jc w:val="center"/>
              <w:rPr>
                <w:sz w:val="18"/>
                <w:szCs w:val="20"/>
              </w:rPr>
            </w:pPr>
          </w:p>
        </w:tc>
        <w:tc>
          <w:tcPr>
            <w:tcW w:w="679" w:type="dxa"/>
            <w:vAlign w:val="center"/>
          </w:tcPr>
          <w:p w14:paraId="192C3554" w14:textId="4020AB45" w:rsidR="00FA6FC9" w:rsidRPr="00FA6FC9" w:rsidRDefault="00C35D7C" w:rsidP="00FA6FC9">
            <w:pPr>
              <w:spacing w:before="0" w:after="0" w:line="240" w:lineRule="auto"/>
              <w:jc w:val="center"/>
              <w:rPr>
                <w:sz w:val="18"/>
                <w:szCs w:val="20"/>
              </w:rPr>
            </w:pPr>
            <w:r>
              <w:rPr>
                <w:sz w:val="18"/>
                <w:szCs w:val="20"/>
              </w:rPr>
              <w:t>1,657</w:t>
            </w:r>
          </w:p>
        </w:tc>
        <w:tc>
          <w:tcPr>
            <w:tcW w:w="673" w:type="dxa"/>
            <w:vAlign w:val="center"/>
          </w:tcPr>
          <w:p w14:paraId="62E4902A" w14:textId="507D1785" w:rsidR="00FA6FC9" w:rsidRPr="00FA6FC9" w:rsidRDefault="00863317" w:rsidP="00FA6FC9">
            <w:pPr>
              <w:spacing w:before="0" w:after="0" w:line="240" w:lineRule="auto"/>
              <w:jc w:val="center"/>
              <w:rPr>
                <w:sz w:val="18"/>
                <w:szCs w:val="20"/>
              </w:rPr>
            </w:pPr>
            <w:r>
              <w:rPr>
                <w:sz w:val="18"/>
                <w:szCs w:val="20"/>
              </w:rPr>
              <w:t>2,</w:t>
            </w:r>
            <w:r w:rsidR="001F41F4">
              <w:rPr>
                <w:sz w:val="18"/>
                <w:szCs w:val="20"/>
              </w:rPr>
              <w:t>5</w:t>
            </w:r>
          </w:p>
        </w:tc>
        <w:tc>
          <w:tcPr>
            <w:tcW w:w="673" w:type="dxa"/>
            <w:vAlign w:val="center"/>
          </w:tcPr>
          <w:p w14:paraId="5006A7FE" w14:textId="58FB1AA2" w:rsidR="00FA6FC9" w:rsidRPr="00FA6FC9" w:rsidRDefault="004D7DCE" w:rsidP="00FA6FC9">
            <w:pPr>
              <w:spacing w:before="0" w:after="0" w:line="240" w:lineRule="auto"/>
              <w:jc w:val="center"/>
              <w:rPr>
                <w:sz w:val="18"/>
                <w:szCs w:val="20"/>
              </w:rPr>
            </w:pPr>
            <w:r>
              <w:rPr>
                <w:sz w:val="18"/>
                <w:szCs w:val="20"/>
              </w:rPr>
              <w:t>46%</w:t>
            </w:r>
          </w:p>
        </w:tc>
        <w:tc>
          <w:tcPr>
            <w:tcW w:w="673" w:type="dxa"/>
            <w:vAlign w:val="center"/>
          </w:tcPr>
          <w:p w14:paraId="2A6788E7" w14:textId="77777777" w:rsidR="00FA6FC9" w:rsidRPr="00FA6FC9" w:rsidRDefault="00FA6FC9" w:rsidP="00FA6FC9">
            <w:pPr>
              <w:spacing w:before="0" w:after="0" w:line="240" w:lineRule="auto"/>
              <w:jc w:val="center"/>
              <w:rPr>
                <w:sz w:val="18"/>
                <w:szCs w:val="20"/>
              </w:rPr>
            </w:pPr>
          </w:p>
        </w:tc>
        <w:tc>
          <w:tcPr>
            <w:tcW w:w="673" w:type="dxa"/>
            <w:vAlign w:val="center"/>
          </w:tcPr>
          <w:p w14:paraId="60FBC049" w14:textId="60F133CB" w:rsidR="00FA6FC9" w:rsidRPr="00FA6FC9" w:rsidRDefault="00C35D7C" w:rsidP="00FA6FC9">
            <w:pPr>
              <w:spacing w:before="0" w:after="0" w:line="240" w:lineRule="auto"/>
              <w:jc w:val="center"/>
              <w:rPr>
                <w:sz w:val="18"/>
                <w:szCs w:val="20"/>
              </w:rPr>
            </w:pPr>
            <w:r>
              <w:rPr>
                <w:sz w:val="18"/>
                <w:szCs w:val="20"/>
              </w:rPr>
              <w:t>55%</w:t>
            </w:r>
          </w:p>
        </w:tc>
        <w:tc>
          <w:tcPr>
            <w:tcW w:w="673" w:type="dxa"/>
            <w:vAlign w:val="center"/>
          </w:tcPr>
          <w:p w14:paraId="4837292C" w14:textId="69FC3C8E" w:rsidR="00FA6FC9" w:rsidRPr="00FA6FC9" w:rsidRDefault="001F41F4" w:rsidP="00FA6FC9">
            <w:pPr>
              <w:spacing w:before="0" w:after="0" w:line="240" w:lineRule="auto"/>
              <w:jc w:val="center"/>
              <w:rPr>
                <w:sz w:val="18"/>
                <w:szCs w:val="20"/>
              </w:rPr>
            </w:pPr>
            <w:r>
              <w:rPr>
                <w:sz w:val="18"/>
                <w:szCs w:val="20"/>
              </w:rPr>
              <w:t>83</w:t>
            </w:r>
            <w:r w:rsidR="00863317">
              <w:rPr>
                <w:sz w:val="18"/>
                <w:szCs w:val="20"/>
              </w:rPr>
              <w:t>%</w:t>
            </w:r>
          </w:p>
        </w:tc>
      </w:tr>
    </w:tbl>
    <w:p w14:paraId="7CB132C1" w14:textId="194F4C72" w:rsidR="0078585A" w:rsidRPr="00810653" w:rsidRDefault="006A7D01" w:rsidP="007F51EE">
      <w:pPr>
        <w:spacing w:before="240"/>
        <w:jc w:val="both"/>
      </w:pPr>
      <w:r w:rsidRPr="006A7D01">
        <w:t xml:space="preserve">L'exécution budgétaire présente une progression graduelle avec un taux de décaissement de 46% en 2022, 55% en 2024 et </w:t>
      </w:r>
      <w:r w:rsidR="001F41F4">
        <w:t>83</w:t>
      </w:r>
      <w:r w:rsidRPr="006A7D01">
        <w:t>% en 2025 (2,</w:t>
      </w:r>
      <w:r w:rsidR="001F41F4">
        <w:t>5</w:t>
      </w:r>
      <w:r w:rsidRPr="006A7D01">
        <w:t xml:space="preserve"> millions USD cumulés à la date de l'évaluation). Cette progression reflète le rythme de mise en œuvre du projet</w:t>
      </w:r>
      <w:r w:rsidR="009E659A">
        <w:t xml:space="preserve">. En effet, </w:t>
      </w:r>
      <w:r w:rsidRPr="006A7D01">
        <w:t xml:space="preserve">l'investissement dans le projet </w:t>
      </w:r>
      <w:r w:rsidR="00BF1757">
        <w:t>PPP</w:t>
      </w:r>
      <w:r w:rsidRPr="006A7D01">
        <w:t xml:space="preserve"> de </w:t>
      </w:r>
      <w:proofErr w:type="spellStart"/>
      <w:r w:rsidRPr="006A7D01">
        <w:t>Mpanda</w:t>
      </w:r>
      <w:proofErr w:type="spellEnd"/>
      <w:r w:rsidR="001C1AF4">
        <w:t xml:space="preserve"> </w:t>
      </w:r>
      <w:r w:rsidR="00BF1757">
        <w:t>(</w:t>
      </w:r>
      <w:r w:rsidR="001C1AF4">
        <w:t>dont le montant total est de 1,5 millions USD</w:t>
      </w:r>
      <w:r w:rsidR="00BF1757">
        <w:t>)</w:t>
      </w:r>
      <w:r w:rsidR="009E659A">
        <w:t xml:space="preserve"> n’a été</w:t>
      </w:r>
      <w:r w:rsidRPr="006A7D01">
        <w:t xml:space="preserve"> </w:t>
      </w:r>
      <w:r w:rsidR="001C1AF4">
        <w:t xml:space="preserve">engagé </w:t>
      </w:r>
      <w:r w:rsidR="009E659A">
        <w:t>qu’</w:t>
      </w:r>
      <w:r w:rsidR="00810653">
        <w:t>à partir de</w:t>
      </w:r>
      <w:r w:rsidRPr="006A7D01">
        <w:t xml:space="preserve"> 2024. Le solde restant de 0,</w:t>
      </w:r>
      <w:r w:rsidR="001F41F4">
        <w:t>5</w:t>
      </w:r>
      <w:r w:rsidR="001F41F4" w:rsidRPr="006A7D01">
        <w:t xml:space="preserve"> </w:t>
      </w:r>
      <w:r w:rsidRPr="006A7D01">
        <w:t>million</w:t>
      </w:r>
      <w:r w:rsidR="001F650C">
        <w:t>s</w:t>
      </w:r>
      <w:r w:rsidRPr="006A7D01">
        <w:t xml:space="preserve"> USD (</w:t>
      </w:r>
      <w:r w:rsidR="001F41F4">
        <w:t>17</w:t>
      </w:r>
      <w:r w:rsidRPr="006A7D01">
        <w:t>%)</w:t>
      </w:r>
      <w:r w:rsidR="00C126AC">
        <w:t xml:space="preserve"> concerne principalement la composante PPP et</w:t>
      </w:r>
      <w:r w:rsidRPr="006A7D01">
        <w:t xml:space="preserve"> devrait être décaissé d'ici la clôture du projet en décembre 2025</w:t>
      </w:r>
      <w:r w:rsidR="00810653">
        <w:t xml:space="preserve">. </w:t>
      </w:r>
      <w:bookmarkStart w:id="37" w:name="_Toc283723867"/>
      <w:bookmarkStart w:id="38" w:name="_Toc15484327"/>
      <w:r w:rsidR="0078585A" w:rsidRPr="00810653">
        <w:br w:type="page"/>
      </w:r>
    </w:p>
    <w:p w14:paraId="2F16066B" w14:textId="09F4E207" w:rsidR="00776702" w:rsidRPr="000F11CE" w:rsidRDefault="00B42C3E" w:rsidP="00776702">
      <w:pPr>
        <w:pStyle w:val="Heading1"/>
        <w:rPr>
          <w:rFonts w:ascii="Open Sans" w:hAnsi="Open Sans"/>
          <w:lang w:val="en-US"/>
        </w:rPr>
      </w:pPr>
      <w:bookmarkStart w:id="39" w:name="_Toc216948967"/>
      <w:bookmarkEnd w:id="37"/>
      <w:proofErr w:type="spellStart"/>
      <w:r>
        <w:rPr>
          <w:rFonts w:ascii="Open Sans" w:hAnsi="Open Sans"/>
          <w:lang w:val="en-US"/>
        </w:rPr>
        <w:lastRenderedPageBreak/>
        <w:t>Approche</w:t>
      </w:r>
      <w:proofErr w:type="spellEnd"/>
      <w:r>
        <w:rPr>
          <w:rFonts w:ascii="Open Sans" w:hAnsi="Open Sans"/>
          <w:lang w:val="en-US"/>
        </w:rPr>
        <w:t xml:space="preserve"> et </w:t>
      </w:r>
      <w:proofErr w:type="spellStart"/>
      <w:r>
        <w:rPr>
          <w:rFonts w:ascii="Open Sans" w:hAnsi="Open Sans"/>
          <w:lang w:val="en-US"/>
        </w:rPr>
        <w:t>méthodologie</w:t>
      </w:r>
      <w:proofErr w:type="spellEnd"/>
      <w:r>
        <w:rPr>
          <w:rFonts w:ascii="Open Sans" w:hAnsi="Open Sans"/>
          <w:lang w:val="en-US"/>
        </w:rPr>
        <w:t xml:space="preserve"> </w:t>
      </w:r>
      <w:proofErr w:type="spellStart"/>
      <w:r>
        <w:rPr>
          <w:rFonts w:ascii="Open Sans" w:hAnsi="Open Sans"/>
          <w:lang w:val="en-US"/>
        </w:rPr>
        <w:t>d’évaluation</w:t>
      </w:r>
      <w:bookmarkEnd w:id="39"/>
      <w:proofErr w:type="spellEnd"/>
    </w:p>
    <w:p w14:paraId="6473B514" w14:textId="77777777" w:rsidR="008F6075" w:rsidRDefault="008F6075" w:rsidP="008F6075">
      <w:pPr>
        <w:rPr>
          <w:rFonts w:cstheme="minorHAnsi"/>
          <w:lang w:val="en-US"/>
        </w:rPr>
      </w:pPr>
    </w:p>
    <w:p w14:paraId="622E5945" w14:textId="77777777" w:rsidR="00E14BEF" w:rsidRPr="00E14BEF" w:rsidRDefault="00E14BEF" w:rsidP="00E14BEF">
      <w:pPr>
        <w:pStyle w:val="Heading2"/>
        <w:jc w:val="both"/>
        <w:rPr>
          <w:rFonts w:ascii="Open Sans" w:hAnsi="Open Sans"/>
          <w:color w:val="000099"/>
        </w:rPr>
      </w:pPr>
      <w:bookmarkStart w:id="40" w:name="_Toc216948968"/>
      <w:r w:rsidRPr="00E14BEF">
        <w:rPr>
          <w:rFonts w:ascii="Open Sans" w:hAnsi="Open Sans"/>
          <w:color w:val="000099"/>
        </w:rPr>
        <w:t>3.1 Cadre méthodologique et approche évaluative</w:t>
      </w:r>
      <w:bookmarkEnd w:id="40"/>
    </w:p>
    <w:p w14:paraId="2723951F" w14:textId="77777777" w:rsidR="00E14BEF" w:rsidRPr="00E14BEF" w:rsidRDefault="00E14BEF" w:rsidP="00344BE7">
      <w:pPr>
        <w:spacing w:before="240" w:line="240" w:lineRule="auto"/>
        <w:jc w:val="both"/>
        <w:rPr>
          <w:rFonts w:cstheme="minorHAnsi"/>
        </w:rPr>
      </w:pPr>
      <w:r w:rsidRPr="00E14BEF">
        <w:rPr>
          <w:rFonts w:cstheme="minorHAnsi"/>
        </w:rPr>
        <w:t>Conformément aux Termes de Référence et aux standards du Groupe d'évaluation des Nations Unies (UNEG), l'évaluation finale du projet « Kibira sanctuaire de paix » s'est structurée autour de trois piliers fondamentaux :</w:t>
      </w:r>
    </w:p>
    <w:p w14:paraId="1B1C83B5" w14:textId="42F837E6" w:rsidR="00E14BEF" w:rsidRPr="00E14BEF" w:rsidRDefault="00E14BEF" w:rsidP="00357CD2">
      <w:pPr>
        <w:pStyle w:val="ListParagraph"/>
        <w:numPr>
          <w:ilvl w:val="0"/>
          <w:numId w:val="6"/>
        </w:numPr>
        <w:spacing w:line="240" w:lineRule="auto"/>
        <w:contextualSpacing w:val="0"/>
        <w:jc w:val="both"/>
        <w:rPr>
          <w:rFonts w:cstheme="minorHAnsi"/>
        </w:rPr>
      </w:pPr>
      <w:r w:rsidRPr="00E14BEF">
        <w:rPr>
          <w:rFonts w:cstheme="minorHAnsi"/>
        </w:rPr>
        <w:t xml:space="preserve">La théorie du changement du projet comme cadre analytique principal, permettant d'examiner les liens de causalité entre les activités menées, les résultats obtenus et les impacts visés. L'évaluation a reconstitué cette théorie basée sur l'hypothèse centrale que la conservation environnementale et la consolidation de la paix peuvent se renforcer mutuellement à travers un modèle de financement mixte durable articulant cinq actions interdépendantes : (i) </w:t>
      </w:r>
      <w:r w:rsidR="00BD5BB3">
        <w:rPr>
          <w:rFonts w:cstheme="minorHAnsi"/>
        </w:rPr>
        <w:t xml:space="preserve">Création de </w:t>
      </w:r>
      <w:r w:rsidR="00BD5BB3" w:rsidRPr="00BD5BB3">
        <w:rPr>
          <w:rFonts w:cstheme="minorHAnsi"/>
        </w:rPr>
        <w:t>la Fondation Kibira</w:t>
      </w:r>
      <w:r w:rsidR="00BD5BB3">
        <w:rPr>
          <w:rFonts w:cstheme="minorHAnsi"/>
        </w:rPr>
        <w:t xml:space="preserve"> pour la cogestion du parc</w:t>
      </w:r>
      <w:r w:rsidRPr="00E14BEF">
        <w:rPr>
          <w:rFonts w:cstheme="minorHAnsi"/>
        </w:rPr>
        <w:t xml:space="preserve"> (ii) </w:t>
      </w:r>
      <w:r w:rsidR="00BD5BB3" w:rsidRPr="00BD5BB3">
        <w:rPr>
          <w:rFonts w:cstheme="minorHAnsi"/>
        </w:rPr>
        <w:t>Ancrage d'investissements PPP en énergies propres</w:t>
      </w:r>
      <w:r w:rsidRPr="00E14BEF">
        <w:rPr>
          <w:rFonts w:cstheme="minorHAnsi"/>
        </w:rPr>
        <w:t xml:space="preserve"> (iii) </w:t>
      </w:r>
      <w:r w:rsidR="00BD5BB3" w:rsidRPr="00BD5BB3">
        <w:rPr>
          <w:rFonts w:cstheme="minorHAnsi"/>
        </w:rPr>
        <w:t xml:space="preserve">Création d'une </w:t>
      </w:r>
      <w:r w:rsidR="00BD5BB3">
        <w:rPr>
          <w:rFonts w:cstheme="minorHAnsi"/>
        </w:rPr>
        <w:t>e</w:t>
      </w:r>
      <w:r w:rsidR="00BD5BB3" w:rsidRPr="00BD5BB3">
        <w:rPr>
          <w:rFonts w:cstheme="minorHAnsi"/>
        </w:rPr>
        <w:t xml:space="preserve">ntité à </w:t>
      </w:r>
      <w:r w:rsidR="00BD5BB3">
        <w:rPr>
          <w:rFonts w:cstheme="minorHAnsi"/>
        </w:rPr>
        <w:t>b</w:t>
      </w:r>
      <w:r w:rsidR="00BD5BB3" w:rsidRPr="00BD5BB3">
        <w:rPr>
          <w:rFonts w:cstheme="minorHAnsi"/>
        </w:rPr>
        <w:t xml:space="preserve">ut </w:t>
      </w:r>
      <w:r w:rsidR="00BD5BB3">
        <w:rPr>
          <w:rFonts w:cstheme="minorHAnsi"/>
        </w:rPr>
        <w:t>s</w:t>
      </w:r>
      <w:r w:rsidR="00BD5BB3" w:rsidRPr="00BD5BB3">
        <w:rPr>
          <w:rFonts w:cstheme="minorHAnsi"/>
        </w:rPr>
        <w:t>pécifique REDD+</w:t>
      </w:r>
      <w:r w:rsidRPr="00E14BEF">
        <w:rPr>
          <w:rFonts w:cstheme="minorHAnsi"/>
        </w:rPr>
        <w:t xml:space="preserve">, (iv) </w:t>
      </w:r>
      <w:r w:rsidR="00BD5BB3">
        <w:rPr>
          <w:rFonts w:cstheme="minorHAnsi"/>
        </w:rPr>
        <w:t>D</w:t>
      </w:r>
      <w:r w:rsidRPr="00E14BEF">
        <w:rPr>
          <w:rFonts w:cstheme="minorHAnsi"/>
        </w:rPr>
        <w:t>éploiement d</w:t>
      </w:r>
      <w:r w:rsidR="00BD5BB3">
        <w:rPr>
          <w:rFonts w:cstheme="minorHAnsi"/>
        </w:rPr>
        <w:t xml:space="preserve">e </w:t>
      </w:r>
      <w:r w:rsidR="000A724A">
        <w:rPr>
          <w:rFonts w:cstheme="minorHAnsi"/>
        </w:rPr>
        <w:t>gardes</w:t>
      </w:r>
      <w:r w:rsidR="00BD5BB3">
        <w:rPr>
          <w:rFonts w:cstheme="minorHAnsi"/>
        </w:rPr>
        <w:t xml:space="preserve"> forestiers,</w:t>
      </w:r>
      <w:r w:rsidRPr="00E14BEF">
        <w:rPr>
          <w:rFonts w:cstheme="minorHAnsi"/>
        </w:rPr>
        <w:t xml:space="preserve"> et (v) </w:t>
      </w:r>
      <w:r w:rsidR="00BD5BB3" w:rsidRPr="00BD5BB3">
        <w:rPr>
          <w:rFonts w:cstheme="minorHAnsi"/>
        </w:rPr>
        <w:t>Réinvestissement de la dette PPP dans des opportunités de croissance à long terme</w:t>
      </w:r>
      <w:r w:rsidRPr="00E14BEF">
        <w:rPr>
          <w:rFonts w:cstheme="minorHAnsi"/>
        </w:rPr>
        <w:t>.</w:t>
      </w:r>
    </w:p>
    <w:p w14:paraId="2FF56822" w14:textId="77023D05" w:rsidR="00E14BEF" w:rsidRPr="00E14BEF" w:rsidRDefault="00E14BEF" w:rsidP="00357CD2">
      <w:pPr>
        <w:pStyle w:val="ListParagraph"/>
        <w:numPr>
          <w:ilvl w:val="0"/>
          <w:numId w:val="6"/>
        </w:numPr>
        <w:spacing w:line="240" w:lineRule="auto"/>
        <w:contextualSpacing w:val="0"/>
        <w:jc w:val="both"/>
        <w:rPr>
          <w:rFonts w:cstheme="minorHAnsi"/>
        </w:rPr>
      </w:pPr>
      <w:r w:rsidRPr="00E14BEF">
        <w:rPr>
          <w:rFonts w:cstheme="minorHAnsi"/>
        </w:rPr>
        <w:t xml:space="preserve">L'application rigoureuse des six critères d'évaluation du CAD de l'OCDE (pertinence, cohérence, efficience, efficacité, impact et durabilité), intégrant de manière transversale les questions d'égalité des sexes, de droits humains, de l'approche "Ne laisser personne de côté" et d'inclusion des populations vulnérables. </w:t>
      </w:r>
    </w:p>
    <w:p w14:paraId="74A8AEB9" w14:textId="77777777" w:rsidR="00E14BEF" w:rsidRPr="00E14BEF" w:rsidRDefault="00E14BEF" w:rsidP="00357CD2">
      <w:pPr>
        <w:pStyle w:val="ListParagraph"/>
        <w:numPr>
          <w:ilvl w:val="0"/>
          <w:numId w:val="6"/>
        </w:numPr>
        <w:spacing w:line="240" w:lineRule="auto"/>
        <w:contextualSpacing w:val="0"/>
        <w:jc w:val="both"/>
        <w:rPr>
          <w:rFonts w:cstheme="minorHAnsi"/>
        </w:rPr>
      </w:pPr>
      <w:r w:rsidRPr="00E14BEF">
        <w:rPr>
          <w:rFonts w:cstheme="minorHAnsi"/>
        </w:rPr>
        <w:t>Une démarche participative et inclusive impliquant l'ensemble des parties prenantes à travers des consultations étendues avec les communautés bénéficiaires, les autorités locales et nationales, les partenaires de mise en œuvre et les organisations de populations autochtones.</w:t>
      </w:r>
    </w:p>
    <w:p w14:paraId="773EA126" w14:textId="12347A53" w:rsidR="00E14BEF" w:rsidRPr="00E14BEF" w:rsidRDefault="00C70C43" w:rsidP="000A724A">
      <w:pPr>
        <w:spacing w:line="240" w:lineRule="auto"/>
        <w:jc w:val="both"/>
        <w:rPr>
          <w:rFonts w:cstheme="minorHAnsi"/>
        </w:rPr>
      </w:pPr>
      <w:r>
        <w:rPr>
          <w:rFonts w:cstheme="minorHAnsi"/>
        </w:rPr>
        <w:t>Pour ce qui concerne l’analyse de contribution, l</w:t>
      </w:r>
      <w:r w:rsidR="00E14BEF" w:rsidRPr="00E14BEF">
        <w:rPr>
          <w:rFonts w:cstheme="minorHAnsi"/>
        </w:rPr>
        <w:t>'évaluation a mobilisé une approche large pour comprendre l'influence des facteurs contextuels pertinents et des moteurs alternatifs du changement. Cette approche a systématiquement distingué les facteurs d'attribution directe (résultats clairement attribuables aux seules activités du projet) des facteurs de contribution partagée (résultats auxquels le projet a participé aux côtés d'autres interventions). L'analyse a identifié les apports spécifiques d'acteurs et initiatives complémentaires : projets gouvernementaux, programmes d'autres</w:t>
      </w:r>
      <w:r w:rsidR="00D45DBF">
        <w:rPr>
          <w:rFonts w:cstheme="minorHAnsi"/>
        </w:rPr>
        <w:t xml:space="preserve"> partenaires techniques et financiers </w:t>
      </w:r>
      <w:r w:rsidR="00E14BEF" w:rsidRPr="00E14BEF">
        <w:rPr>
          <w:rFonts w:cstheme="minorHAnsi"/>
        </w:rPr>
        <w:t xml:space="preserve">  dans la région</w:t>
      </w:r>
      <w:r w:rsidR="00263999">
        <w:rPr>
          <w:rFonts w:cstheme="minorHAnsi"/>
        </w:rPr>
        <w:t xml:space="preserve"> </w:t>
      </w:r>
      <w:r w:rsidR="00E14BEF" w:rsidRPr="00E14BEF">
        <w:rPr>
          <w:rFonts w:cstheme="minorHAnsi"/>
        </w:rPr>
        <w:t>et dynamiques communautaires endogènes.</w:t>
      </w:r>
      <w:r w:rsidR="002E3835">
        <w:rPr>
          <w:rFonts w:cstheme="minorHAnsi"/>
        </w:rPr>
        <w:t xml:space="preserve"> </w:t>
      </w:r>
    </w:p>
    <w:p w14:paraId="38B91768" w14:textId="143568E5" w:rsidR="00E14BEF" w:rsidRPr="00E14BEF" w:rsidRDefault="00E14BEF" w:rsidP="000A724A">
      <w:pPr>
        <w:spacing w:line="240" w:lineRule="auto"/>
        <w:jc w:val="both"/>
        <w:rPr>
          <w:rFonts w:cstheme="minorHAnsi"/>
        </w:rPr>
      </w:pPr>
      <w:r w:rsidRPr="00E14BEF">
        <w:rPr>
          <w:rFonts w:cstheme="minorHAnsi"/>
        </w:rPr>
        <w:t>Le process tracing a complété cette approche en retraçant les mécanismes causaux depuis les activités spécifiques jusqu'aux changements observés, notamment pour l</w:t>
      </w:r>
      <w:r w:rsidR="00197ED8">
        <w:rPr>
          <w:rFonts w:cstheme="minorHAnsi"/>
        </w:rPr>
        <w:t>’amélioration de la cohésion sociale inter- et intra-communautaire, l</w:t>
      </w:r>
      <w:r w:rsidRPr="00E14BEF">
        <w:rPr>
          <w:rFonts w:cstheme="minorHAnsi"/>
        </w:rPr>
        <w:t>'évolution des relations communautés-</w:t>
      </w:r>
      <w:r w:rsidR="00197ED8">
        <w:rPr>
          <w:rFonts w:cstheme="minorHAnsi"/>
        </w:rPr>
        <w:t>autorités</w:t>
      </w:r>
      <w:r w:rsidRPr="00E14BEF">
        <w:rPr>
          <w:rFonts w:cstheme="minorHAnsi"/>
        </w:rPr>
        <w:t xml:space="preserve">, </w:t>
      </w:r>
      <w:r w:rsidR="00197ED8">
        <w:rPr>
          <w:rFonts w:cstheme="minorHAnsi"/>
        </w:rPr>
        <w:t>la réduction de la pression sur les ressources forestières, la promotion de l’investissement privé, etc</w:t>
      </w:r>
      <w:r w:rsidRPr="00E14BEF">
        <w:rPr>
          <w:rFonts w:cstheme="minorHAnsi"/>
        </w:rPr>
        <w:t xml:space="preserve">. L'approche Most </w:t>
      </w:r>
      <w:proofErr w:type="spellStart"/>
      <w:r w:rsidRPr="00E14BEF">
        <w:rPr>
          <w:rFonts w:cstheme="minorHAnsi"/>
        </w:rPr>
        <w:t>Significant</w:t>
      </w:r>
      <w:proofErr w:type="spellEnd"/>
      <w:r w:rsidRPr="00E14BEF">
        <w:rPr>
          <w:rFonts w:cstheme="minorHAnsi"/>
        </w:rPr>
        <w:t xml:space="preserve"> Change, intégrée dans les consultations, a permis aux parties prenantes d'identifier les changements qu'elles considèrent comme les plus significatifs</w:t>
      </w:r>
      <w:r w:rsidR="00197ED8">
        <w:rPr>
          <w:rFonts w:cstheme="minorHAnsi"/>
        </w:rPr>
        <w:t xml:space="preserve">. </w:t>
      </w:r>
    </w:p>
    <w:p w14:paraId="3297CFE8" w14:textId="77777777" w:rsidR="00B42C3E" w:rsidRPr="00C83A6B" w:rsidRDefault="00B42C3E" w:rsidP="000A724A">
      <w:pPr>
        <w:spacing w:line="240" w:lineRule="auto"/>
        <w:rPr>
          <w:rFonts w:cstheme="minorHAnsi"/>
          <w:sz w:val="10"/>
          <w:szCs w:val="10"/>
        </w:rPr>
      </w:pPr>
    </w:p>
    <w:p w14:paraId="0A0E441D" w14:textId="77777777" w:rsidR="003C3C9A" w:rsidRPr="003C3C9A" w:rsidRDefault="003C3C9A" w:rsidP="003C3C9A">
      <w:pPr>
        <w:pStyle w:val="Heading2"/>
        <w:jc w:val="both"/>
        <w:rPr>
          <w:rFonts w:ascii="Open Sans" w:hAnsi="Open Sans"/>
          <w:color w:val="000099"/>
        </w:rPr>
      </w:pPr>
      <w:bookmarkStart w:id="41" w:name="_Toc216948969"/>
      <w:r w:rsidRPr="003C3C9A">
        <w:rPr>
          <w:rFonts w:ascii="Open Sans" w:hAnsi="Open Sans"/>
          <w:color w:val="000099"/>
        </w:rPr>
        <w:t>3.2 Méthodes et sources de collecte de données</w:t>
      </w:r>
      <w:bookmarkEnd w:id="41"/>
    </w:p>
    <w:p w14:paraId="6057BAC4" w14:textId="77777777" w:rsidR="003C3C9A" w:rsidRPr="003C3C9A" w:rsidRDefault="003C3C9A" w:rsidP="0029615F">
      <w:pPr>
        <w:spacing w:line="240" w:lineRule="auto"/>
        <w:jc w:val="both"/>
        <w:rPr>
          <w:rFonts w:cstheme="minorHAnsi"/>
        </w:rPr>
      </w:pPr>
      <w:r w:rsidRPr="003C3C9A">
        <w:rPr>
          <w:rFonts w:cstheme="minorHAnsi"/>
        </w:rPr>
        <w:t>L'évaluation a déployé une approche de méthodes mixtes combinant cinq techniques complémentaires de collecte de données pour assurer une triangulation rigoureuse et une validation croisée des constats :</w:t>
      </w:r>
    </w:p>
    <w:p w14:paraId="1D0DCA3D" w14:textId="5DC0E2BA" w:rsidR="00EF616B" w:rsidRDefault="003C3C9A" w:rsidP="00357CD2">
      <w:pPr>
        <w:pStyle w:val="ListParagraph"/>
        <w:numPr>
          <w:ilvl w:val="0"/>
          <w:numId w:val="7"/>
        </w:numPr>
        <w:spacing w:line="240" w:lineRule="auto"/>
        <w:contextualSpacing w:val="0"/>
        <w:jc w:val="both"/>
        <w:rPr>
          <w:rFonts w:cstheme="minorHAnsi"/>
        </w:rPr>
      </w:pPr>
      <w:r w:rsidRPr="001C322C">
        <w:rPr>
          <w:rFonts w:cstheme="minorHAnsi"/>
        </w:rPr>
        <w:lastRenderedPageBreak/>
        <w:t>Revue documentaire approfondie</w:t>
      </w:r>
      <w:r w:rsidR="001C322C">
        <w:rPr>
          <w:rFonts w:cstheme="minorHAnsi"/>
        </w:rPr>
        <w:t xml:space="preserve"> : </w:t>
      </w:r>
      <w:r w:rsidRPr="001C322C">
        <w:rPr>
          <w:rFonts w:cstheme="minorHAnsi"/>
        </w:rPr>
        <w:t>Une analyse de l'ensemble de la documentation du projet a été réalisée, incluant : les documents de conception (</w:t>
      </w:r>
      <w:proofErr w:type="spellStart"/>
      <w:r w:rsidRPr="001C322C">
        <w:rPr>
          <w:rFonts w:cstheme="minorHAnsi"/>
        </w:rPr>
        <w:t>ProDoc</w:t>
      </w:r>
      <w:proofErr w:type="spellEnd"/>
      <w:r w:rsidRPr="001C322C">
        <w:rPr>
          <w:rFonts w:cstheme="minorHAnsi"/>
        </w:rPr>
        <w:t xml:space="preserve"> initial et extension), les rapports de progrès semestriels, les données de performance et financières, les rapports des partenaires de mise en œuvre (</w:t>
      </w:r>
      <w:r w:rsidR="001C322C">
        <w:rPr>
          <w:rFonts w:cstheme="minorHAnsi"/>
        </w:rPr>
        <w:t xml:space="preserve">Fondation Kibira, </w:t>
      </w:r>
      <w:r w:rsidRPr="001C322C">
        <w:rPr>
          <w:rFonts w:cstheme="minorHAnsi"/>
        </w:rPr>
        <w:t>COH</w:t>
      </w:r>
      <w:r w:rsidR="00C40C01">
        <w:rPr>
          <w:rFonts w:cstheme="minorHAnsi"/>
        </w:rPr>
        <w:t xml:space="preserve"> et ses partenaires</w:t>
      </w:r>
      <w:r w:rsidRPr="001C322C">
        <w:rPr>
          <w:rFonts w:cstheme="minorHAnsi"/>
        </w:rPr>
        <w:t>, 3C, HYDRONEO), les procès-verbaux de</w:t>
      </w:r>
      <w:r w:rsidR="001C322C">
        <w:rPr>
          <w:rFonts w:cstheme="minorHAnsi"/>
        </w:rPr>
        <w:t xml:space="preserve"> réunions</w:t>
      </w:r>
      <w:r w:rsidRPr="001C322C">
        <w:rPr>
          <w:rFonts w:cstheme="minorHAnsi"/>
        </w:rPr>
        <w:t>,</w:t>
      </w:r>
      <w:r w:rsidR="001C322C">
        <w:rPr>
          <w:rFonts w:cstheme="minorHAnsi"/>
        </w:rPr>
        <w:t xml:space="preserve"> les comptes rendus de visites et missions de suivi et de supervision,</w:t>
      </w:r>
      <w:r w:rsidRPr="001C322C">
        <w:rPr>
          <w:rFonts w:cstheme="minorHAnsi"/>
        </w:rPr>
        <w:t xml:space="preserve"> les documents de politique nationale, </w:t>
      </w:r>
      <w:r w:rsidR="001C322C">
        <w:rPr>
          <w:rFonts w:cstheme="minorHAnsi"/>
        </w:rPr>
        <w:t>etc.</w:t>
      </w:r>
      <w:r w:rsidRPr="001C322C">
        <w:rPr>
          <w:rFonts w:cstheme="minorHAnsi"/>
        </w:rPr>
        <w:t>. Cette revue a permis de reconstituer l'évolution du projet et de contextualiser les résultats dans l'environnement institutionnel burundais.</w:t>
      </w:r>
    </w:p>
    <w:p w14:paraId="101E6278" w14:textId="79C54181" w:rsidR="003C3C9A" w:rsidRPr="00EF616B" w:rsidRDefault="003C3C9A" w:rsidP="00357CD2">
      <w:pPr>
        <w:pStyle w:val="ListParagraph"/>
        <w:numPr>
          <w:ilvl w:val="0"/>
          <w:numId w:val="7"/>
        </w:numPr>
        <w:spacing w:after="0" w:line="240" w:lineRule="auto"/>
        <w:ind w:left="357" w:hanging="357"/>
        <w:contextualSpacing w:val="0"/>
        <w:jc w:val="both"/>
        <w:rPr>
          <w:rFonts w:cstheme="minorHAnsi"/>
        </w:rPr>
      </w:pPr>
      <w:r w:rsidRPr="00EF616B">
        <w:rPr>
          <w:rFonts w:cstheme="minorHAnsi"/>
        </w:rPr>
        <w:t xml:space="preserve">Entretiens semi-structurés avec </w:t>
      </w:r>
      <w:r w:rsidR="00EF616B">
        <w:rPr>
          <w:rFonts w:cstheme="minorHAnsi"/>
        </w:rPr>
        <w:t>l</w:t>
      </w:r>
      <w:r w:rsidRPr="00EF616B">
        <w:rPr>
          <w:rFonts w:cstheme="minorHAnsi"/>
        </w:rPr>
        <w:t xml:space="preserve">es parties prenantes </w:t>
      </w:r>
      <w:r w:rsidR="00EF616B">
        <w:rPr>
          <w:rFonts w:cstheme="minorHAnsi"/>
        </w:rPr>
        <w:t>à différents niveaux</w:t>
      </w:r>
      <w:r w:rsidRPr="00EF616B">
        <w:rPr>
          <w:rFonts w:cstheme="minorHAnsi"/>
        </w:rPr>
        <w:t xml:space="preserve"> :</w:t>
      </w:r>
    </w:p>
    <w:p w14:paraId="78B46012" w14:textId="04B1534B" w:rsidR="003C3C9A" w:rsidRPr="003C3C9A" w:rsidRDefault="003C3C9A" w:rsidP="00357CD2">
      <w:pPr>
        <w:numPr>
          <w:ilvl w:val="0"/>
          <w:numId w:val="8"/>
        </w:numPr>
        <w:spacing w:before="0" w:after="0" w:line="240" w:lineRule="auto"/>
        <w:ind w:left="714" w:hanging="357"/>
        <w:jc w:val="both"/>
        <w:rPr>
          <w:rFonts w:cstheme="minorHAnsi"/>
        </w:rPr>
      </w:pPr>
      <w:r w:rsidRPr="003C3C9A">
        <w:rPr>
          <w:rFonts w:cstheme="minorHAnsi"/>
        </w:rPr>
        <w:t xml:space="preserve">Au niveau national : </w:t>
      </w:r>
      <w:r w:rsidR="00DF0428">
        <w:rPr>
          <w:rFonts w:cstheme="minorHAnsi"/>
        </w:rPr>
        <w:t>E</w:t>
      </w:r>
      <w:r w:rsidRPr="003C3C9A">
        <w:rPr>
          <w:rFonts w:cstheme="minorHAnsi"/>
        </w:rPr>
        <w:t xml:space="preserve">quipe UNCDF de gestion du projet, </w:t>
      </w:r>
      <w:r w:rsidR="00DB4B3F">
        <w:rPr>
          <w:rFonts w:cstheme="minorHAnsi"/>
        </w:rPr>
        <w:t>représentants UNCDF Siège</w:t>
      </w:r>
      <w:r w:rsidRPr="003C3C9A">
        <w:rPr>
          <w:rFonts w:cstheme="minorHAnsi"/>
        </w:rPr>
        <w:t>, représentants PBF</w:t>
      </w:r>
      <w:r w:rsidR="00EB31B3">
        <w:rPr>
          <w:rFonts w:cstheme="minorHAnsi"/>
        </w:rPr>
        <w:t xml:space="preserve"> et PBSO</w:t>
      </w:r>
      <w:r w:rsidRPr="003C3C9A">
        <w:rPr>
          <w:rFonts w:cstheme="minorHAnsi"/>
        </w:rPr>
        <w:t>, autorités nationales (</w:t>
      </w:r>
      <w:r w:rsidR="00EB31B3">
        <w:rPr>
          <w:rFonts w:cstheme="minorHAnsi"/>
        </w:rPr>
        <w:t xml:space="preserve">OBPE, </w:t>
      </w:r>
      <w:r w:rsidRPr="003C3C9A">
        <w:rPr>
          <w:rFonts w:cstheme="minorHAnsi"/>
        </w:rPr>
        <w:t>Ministère de l'Énergie), partenaires techniques internationaux (PNUD, ENABEL),</w:t>
      </w:r>
      <w:r w:rsidR="00EB31B3">
        <w:rPr>
          <w:rFonts w:cstheme="minorHAnsi"/>
        </w:rPr>
        <w:t xml:space="preserve"> et</w:t>
      </w:r>
      <w:r w:rsidRPr="003C3C9A">
        <w:rPr>
          <w:rFonts w:cstheme="minorHAnsi"/>
        </w:rPr>
        <w:t xml:space="preserve"> les partenaires de mise en œuvre</w:t>
      </w:r>
      <w:r w:rsidR="00EB31B3">
        <w:rPr>
          <w:rFonts w:cstheme="minorHAnsi"/>
        </w:rPr>
        <w:t xml:space="preserve"> (Fondation Kibira, </w:t>
      </w:r>
      <w:r w:rsidR="00EB31B3" w:rsidRPr="001C322C">
        <w:rPr>
          <w:rFonts w:cstheme="minorHAnsi"/>
        </w:rPr>
        <w:t>COH</w:t>
      </w:r>
      <w:r w:rsidR="00611B94">
        <w:rPr>
          <w:rFonts w:cstheme="minorHAnsi"/>
        </w:rPr>
        <w:t xml:space="preserve"> et ses partenaires</w:t>
      </w:r>
      <w:r w:rsidR="00EB31B3" w:rsidRPr="001C322C">
        <w:rPr>
          <w:rFonts w:cstheme="minorHAnsi"/>
        </w:rPr>
        <w:t>, 3C, HYDRONEO)</w:t>
      </w:r>
      <w:r w:rsidRPr="003C3C9A">
        <w:rPr>
          <w:rFonts w:cstheme="minorHAnsi"/>
        </w:rPr>
        <w:t>.</w:t>
      </w:r>
    </w:p>
    <w:p w14:paraId="3AD68182" w14:textId="54D85779" w:rsidR="003C3C9A" w:rsidRPr="003C3C9A" w:rsidRDefault="003C3C9A" w:rsidP="00357CD2">
      <w:pPr>
        <w:numPr>
          <w:ilvl w:val="0"/>
          <w:numId w:val="8"/>
        </w:numPr>
        <w:spacing w:before="0" w:after="0" w:line="240" w:lineRule="auto"/>
        <w:ind w:left="714" w:hanging="357"/>
        <w:jc w:val="both"/>
        <w:rPr>
          <w:rFonts w:cstheme="minorHAnsi"/>
        </w:rPr>
      </w:pPr>
      <w:r w:rsidRPr="003C3C9A">
        <w:rPr>
          <w:rFonts w:cstheme="minorHAnsi"/>
        </w:rPr>
        <w:t xml:space="preserve">Au niveau local : </w:t>
      </w:r>
      <w:r w:rsidR="003C56DE">
        <w:rPr>
          <w:rFonts w:cstheme="minorHAnsi"/>
        </w:rPr>
        <w:t>D</w:t>
      </w:r>
      <w:r w:rsidRPr="003C3C9A">
        <w:rPr>
          <w:rFonts w:cstheme="minorHAnsi"/>
        </w:rPr>
        <w:t xml:space="preserve">irecteur et personnel du </w:t>
      </w:r>
      <w:r w:rsidR="00DB4B3F">
        <w:rPr>
          <w:rFonts w:cstheme="minorHAnsi"/>
        </w:rPr>
        <w:t>Parc et du centre culturel</w:t>
      </w:r>
      <w:r w:rsidRPr="003C3C9A">
        <w:rPr>
          <w:rFonts w:cstheme="minorHAnsi"/>
        </w:rPr>
        <w:t xml:space="preserve">, </w:t>
      </w:r>
      <w:r w:rsidR="003C56DE">
        <w:rPr>
          <w:rFonts w:cstheme="minorHAnsi"/>
        </w:rPr>
        <w:t>A</w:t>
      </w:r>
      <w:r w:rsidR="003C56DE" w:rsidRPr="003C3C9A">
        <w:rPr>
          <w:rFonts w:cstheme="minorHAnsi"/>
        </w:rPr>
        <w:t xml:space="preserve">utorités </w:t>
      </w:r>
      <w:r w:rsidR="003C56DE">
        <w:rPr>
          <w:rFonts w:cstheme="minorHAnsi"/>
        </w:rPr>
        <w:t>locales</w:t>
      </w:r>
      <w:r w:rsidR="003C56DE" w:rsidRPr="003C3C9A">
        <w:rPr>
          <w:rFonts w:cstheme="minorHAnsi"/>
        </w:rPr>
        <w:t xml:space="preserve">, </w:t>
      </w:r>
      <w:r w:rsidRPr="003C3C9A">
        <w:rPr>
          <w:rFonts w:cstheme="minorHAnsi"/>
        </w:rPr>
        <w:t xml:space="preserve">représentants d'organisations communautaires et </w:t>
      </w:r>
      <w:r w:rsidR="003C56DE">
        <w:rPr>
          <w:rFonts w:cstheme="minorHAnsi"/>
        </w:rPr>
        <w:t>membres de CPK</w:t>
      </w:r>
      <w:r w:rsidRPr="003C3C9A">
        <w:rPr>
          <w:rFonts w:cstheme="minorHAnsi"/>
        </w:rPr>
        <w:t xml:space="preserve"> dans les quatre sites visités (</w:t>
      </w:r>
      <w:proofErr w:type="spellStart"/>
      <w:r w:rsidRPr="003C3C9A">
        <w:rPr>
          <w:rFonts w:cstheme="minorHAnsi"/>
        </w:rPr>
        <w:t>Muciro</w:t>
      </w:r>
      <w:proofErr w:type="spellEnd"/>
      <w:r w:rsidRPr="003C3C9A">
        <w:rPr>
          <w:rFonts w:cstheme="minorHAnsi"/>
        </w:rPr>
        <w:t xml:space="preserve">, </w:t>
      </w:r>
      <w:proofErr w:type="spellStart"/>
      <w:r w:rsidRPr="003C3C9A">
        <w:rPr>
          <w:rFonts w:cstheme="minorHAnsi"/>
        </w:rPr>
        <w:t>Caguka</w:t>
      </w:r>
      <w:proofErr w:type="spellEnd"/>
      <w:r w:rsidRPr="003C3C9A">
        <w:rPr>
          <w:rFonts w:cstheme="minorHAnsi"/>
        </w:rPr>
        <w:t xml:space="preserve">, </w:t>
      </w:r>
      <w:proofErr w:type="spellStart"/>
      <w:r w:rsidR="00DB4B3F">
        <w:rPr>
          <w:rFonts w:cstheme="minorHAnsi"/>
        </w:rPr>
        <w:t>Mpfunda</w:t>
      </w:r>
      <w:proofErr w:type="spellEnd"/>
      <w:r w:rsidRPr="003C3C9A">
        <w:rPr>
          <w:rFonts w:cstheme="minorHAnsi"/>
        </w:rPr>
        <w:t xml:space="preserve">, </w:t>
      </w:r>
      <w:proofErr w:type="spellStart"/>
      <w:r w:rsidR="003C56DE">
        <w:rPr>
          <w:rFonts w:cstheme="minorHAnsi"/>
        </w:rPr>
        <w:t>Muyebe</w:t>
      </w:r>
      <w:proofErr w:type="spellEnd"/>
      <w:r w:rsidRPr="003C3C9A">
        <w:rPr>
          <w:rFonts w:cstheme="minorHAnsi"/>
        </w:rPr>
        <w:t>).</w:t>
      </w:r>
    </w:p>
    <w:p w14:paraId="285D7E48" w14:textId="77777777" w:rsidR="004F5DC3" w:rsidRDefault="003C3C9A" w:rsidP="00357CD2">
      <w:pPr>
        <w:pStyle w:val="ListParagraph"/>
        <w:numPr>
          <w:ilvl w:val="0"/>
          <w:numId w:val="7"/>
        </w:numPr>
        <w:spacing w:line="240" w:lineRule="auto"/>
        <w:contextualSpacing w:val="0"/>
        <w:jc w:val="both"/>
        <w:rPr>
          <w:rFonts w:cstheme="minorHAnsi"/>
        </w:rPr>
      </w:pPr>
      <w:r w:rsidRPr="003C3C9A">
        <w:rPr>
          <w:rFonts w:cstheme="minorHAnsi"/>
        </w:rPr>
        <w:t xml:space="preserve">Focus groups avec </w:t>
      </w:r>
      <w:r w:rsidR="003C56DE">
        <w:rPr>
          <w:rFonts w:cstheme="minorHAnsi"/>
        </w:rPr>
        <w:t xml:space="preserve">les </w:t>
      </w:r>
      <w:r w:rsidRPr="003C3C9A">
        <w:rPr>
          <w:rFonts w:cstheme="minorHAnsi"/>
        </w:rPr>
        <w:t>bénéficiaires</w:t>
      </w:r>
      <w:r w:rsidR="004F5DC3">
        <w:rPr>
          <w:rFonts w:cstheme="minorHAnsi"/>
        </w:rPr>
        <w:t xml:space="preserve"> : Des groupes de discussion ont été </w:t>
      </w:r>
      <w:r w:rsidR="004F5DC3" w:rsidRPr="003C3C9A">
        <w:rPr>
          <w:rFonts w:cstheme="minorHAnsi"/>
        </w:rPr>
        <w:t>organisés</w:t>
      </w:r>
      <w:r w:rsidR="004F5DC3">
        <w:rPr>
          <w:rFonts w:cstheme="minorHAnsi"/>
        </w:rPr>
        <w:t xml:space="preserve"> dans chacune des quatre collines visitées </w:t>
      </w:r>
      <w:r w:rsidR="004F5DC3" w:rsidRPr="003C3C9A">
        <w:rPr>
          <w:rFonts w:cstheme="minorHAnsi"/>
        </w:rPr>
        <w:t>(</w:t>
      </w:r>
      <w:proofErr w:type="spellStart"/>
      <w:r w:rsidR="004F5DC3" w:rsidRPr="003C3C9A">
        <w:rPr>
          <w:rFonts w:cstheme="minorHAnsi"/>
        </w:rPr>
        <w:t>Muciro</w:t>
      </w:r>
      <w:proofErr w:type="spellEnd"/>
      <w:r w:rsidR="004F5DC3" w:rsidRPr="003C3C9A">
        <w:rPr>
          <w:rFonts w:cstheme="minorHAnsi"/>
        </w:rPr>
        <w:t xml:space="preserve">, </w:t>
      </w:r>
      <w:proofErr w:type="spellStart"/>
      <w:r w:rsidR="004F5DC3" w:rsidRPr="003C3C9A">
        <w:rPr>
          <w:rFonts w:cstheme="minorHAnsi"/>
        </w:rPr>
        <w:t>Caguka</w:t>
      </w:r>
      <w:proofErr w:type="spellEnd"/>
      <w:r w:rsidR="004F5DC3" w:rsidRPr="003C3C9A">
        <w:rPr>
          <w:rFonts w:cstheme="minorHAnsi"/>
        </w:rPr>
        <w:t xml:space="preserve">, </w:t>
      </w:r>
      <w:proofErr w:type="spellStart"/>
      <w:r w:rsidR="004F5DC3">
        <w:rPr>
          <w:rFonts w:cstheme="minorHAnsi"/>
        </w:rPr>
        <w:t>Mpfunda</w:t>
      </w:r>
      <w:proofErr w:type="spellEnd"/>
      <w:r w:rsidR="004F5DC3" w:rsidRPr="003C3C9A">
        <w:rPr>
          <w:rFonts w:cstheme="minorHAnsi"/>
        </w:rPr>
        <w:t xml:space="preserve">, </w:t>
      </w:r>
      <w:proofErr w:type="spellStart"/>
      <w:r w:rsidR="004F5DC3">
        <w:rPr>
          <w:rFonts w:cstheme="minorHAnsi"/>
        </w:rPr>
        <w:t>Muyebe</w:t>
      </w:r>
      <w:proofErr w:type="spellEnd"/>
      <w:r w:rsidR="004F5DC3" w:rsidRPr="003C3C9A">
        <w:rPr>
          <w:rFonts w:cstheme="minorHAnsi"/>
        </w:rPr>
        <w:t>)</w:t>
      </w:r>
      <w:r w:rsidR="004F5DC3">
        <w:rPr>
          <w:rFonts w:cstheme="minorHAnsi"/>
        </w:rPr>
        <w:t xml:space="preserve"> avec les populations bénéficiaires y compris des femmes, les jeunes et les communautés </w:t>
      </w:r>
      <w:proofErr w:type="spellStart"/>
      <w:r w:rsidR="004F5DC3">
        <w:rPr>
          <w:rFonts w:cstheme="minorHAnsi"/>
        </w:rPr>
        <w:t>Batwa</w:t>
      </w:r>
      <w:proofErr w:type="spellEnd"/>
      <w:r w:rsidR="004F5DC3">
        <w:rPr>
          <w:rFonts w:cstheme="minorHAnsi"/>
        </w:rPr>
        <w:t xml:space="preserve">. De plus une réunion a été tenue avec un groupe d’écogardes sur le site de </w:t>
      </w:r>
      <w:proofErr w:type="spellStart"/>
      <w:r w:rsidR="004F5DC3">
        <w:rPr>
          <w:rFonts w:cstheme="minorHAnsi"/>
        </w:rPr>
        <w:t>Mwokora</w:t>
      </w:r>
      <w:proofErr w:type="spellEnd"/>
      <w:r w:rsidR="004F5DC3">
        <w:rPr>
          <w:rFonts w:cstheme="minorHAnsi"/>
        </w:rPr>
        <w:t xml:space="preserve">. </w:t>
      </w:r>
    </w:p>
    <w:p w14:paraId="195F109E" w14:textId="23355B6D" w:rsidR="003C3C9A" w:rsidRDefault="003C3C9A" w:rsidP="00357CD2">
      <w:pPr>
        <w:pStyle w:val="ListParagraph"/>
        <w:numPr>
          <w:ilvl w:val="0"/>
          <w:numId w:val="7"/>
        </w:numPr>
        <w:spacing w:line="240" w:lineRule="auto"/>
        <w:contextualSpacing w:val="0"/>
        <w:jc w:val="both"/>
        <w:rPr>
          <w:rFonts w:cstheme="minorHAnsi"/>
        </w:rPr>
      </w:pPr>
      <w:r w:rsidRPr="004F5DC3">
        <w:rPr>
          <w:rFonts w:cstheme="minorHAnsi"/>
        </w:rPr>
        <w:t>Observations directes sur sites</w:t>
      </w:r>
      <w:r w:rsidR="004F5DC3">
        <w:rPr>
          <w:rFonts w:cstheme="minorHAnsi"/>
        </w:rPr>
        <w:t xml:space="preserve"> : </w:t>
      </w:r>
      <w:r w:rsidR="00995946" w:rsidRPr="00995946">
        <w:rPr>
          <w:rFonts w:cstheme="minorHAnsi"/>
        </w:rPr>
        <w:t xml:space="preserve">Ces observations ont permis de vérifier : (i) à </w:t>
      </w:r>
      <w:proofErr w:type="spellStart"/>
      <w:r w:rsidR="00995946" w:rsidRPr="00995946">
        <w:rPr>
          <w:rFonts w:cstheme="minorHAnsi"/>
        </w:rPr>
        <w:t>Mwokora</w:t>
      </w:r>
      <w:proofErr w:type="spellEnd"/>
      <w:r w:rsidR="00995946" w:rsidRPr="00995946">
        <w:rPr>
          <w:rFonts w:cstheme="minorHAnsi"/>
        </w:rPr>
        <w:t>, l'état des infrastructures du quartier général rénové du parc, du centre culturel</w:t>
      </w:r>
      <w:r w:rsidR="00995946">
        <w:rPr>
          <w:rFonts w:cstheme="minorHAnsi"/>
        </w:rPr>
        <w:t>,</w:t>
      </w:r>
      <w:r w:rsidR="00995946" w:rsidRPr="00995946">
        <w:rPr>
          <w:rFonts w:cstheme="minorHAnsi"/>
        </w:rPr>
        <w:t xml:space="preserve"> et des chambres d'hôtel en construction ; (ii) à </w:t>
      </w:r>
      <w:proofErr w:type="spellStart"/>
      <w:r w:rsidR="00995946" w:rsidRPr="00995946">
        <w:rPr>
          <w:rFonts w:cstheme="minorHAnsi"/>
        </w:rPr>
        <w:t>Mpanda</w:t>
      </w:r>
      <w:proofErr w:type="spellEnd"/>
      <w:r w:rsidR="005E4C7A">
        <w:rPr>
          <w:rFonts w:cstheme="minorHAnsi"/>
        </w:rPr>
        <w:t xml:space="preserve"> et </w:t>
      </w:r>
      <w:proofErr w:type="spellStart"/>
      <w:r w:rsidR="005E4C7A">
        <w:rPr>
          <w:rFonts w:cstheme="minorHAnsi"/>
        </w:rPr>
        <w:t>Muyebe</w:t>
      </w:r>
      <w:proofErr w:type="spellEnd"/>
      <w:r w:rsidR="00995946" w:rsidRPr="00995946">
        <w:rPr>
          <w:rFonts w:cstheme="minorHAnsi"/>
        </w:rPr>
        <w:t xml:space="preserve">, l'avancement du projet hydroélectrique PPP et les effets environnementaux négatifs liés à l'abandon des travaux depuis 2017 (érosion avancée, glissements de terrain, dégradation du couvert végétal) ; (iii) à </w:t>
      </w:r>
      <w:proofErr w:type="spellStart"/>
      <w:r w:rsidR="00995946" w:rsidRPr="00995946">
        <w:rPr>
          <w:rFonts w:cstheme="minorHAnsi"/>
        </w:rPr>
        <w:t>Muciro</w:t>
      </w:r>
      <w:proofErr w:type="spellEnd"/>
      <w:r w:rsidR="00995946">
        <w:rPr>
          <w:rFonts w:cstheme="minorHAnsi"/>
        </w:rPr>
        <w:t xml:space="preserve">, </w:t>
      </w:r>
      <w:proofErr w:type="spellStart"/>
      <w:r w:rsidR="00995946" w:rsidRPr="00995946">
        <w:rPr>
          <w:rFonts w:cstheme="minorHAnsi"/>
        </w:rPr>
        <w:t>Caguka</w:t>
      </w:r>
      <w:proofErr w:type="spellEnd"/>
      <w:r w:rsidR="00995946">
        <w:rPr>
          <w:rFonts w:cstheme="minorHAnsi"/>
        </w:rPr>
        <w:t xml:space="preserve"> et </w:t>
      </w:r>
      <w:proofErr w:type="spellStart"/>
      <w:r w:rsidR="00995946">
        <w:rPr>
          <w:rFonts w:cstheme="minorHAnsi"/>
        </w:rPr>
        <w:t>Mpfunda</w:t>
      </w:r>
      <w:proofErr w:type="spellEnd"/>
      <w:r w:rsidR="00995946" w:rsidRPr="00995946">
        <w:rPr>
          <w:rFonts w:cstheme="minorHAnsi"/>
        </w:rPr>
        <w:t xml:space="preserve"> le fonctionnement des activités génératrices de revenus (champignonnières communautaires</w:t>
      </w:r>
      <w:r w:rsidR="00995946">
        <w:rPr>
          <w:rFonts w:cstheme="minorHAnsi"/>
        </w:rPr>
        <w:t xml:space="preserve"> et</w:t>
      </w:r>
      <w:r w:rsidR="00995946" w:rsidRPr="00995946">
        <w:rPr>
          <w:rFonts w:cstheme="minorHAnsi"/>
        </w:rPr>
        <w:t xml:space="preserve"> pépinières agroforestières) et leur viabilité technique et économique ; (iv) dans toutes les zones, l'état de la couverture forestière et les dynamiques d'interaction entre populations et ressources naturelles.</w:t>
      </w:r>
      <w:r w:rsidR="005E6D67">
        <w:rPr>
          <w:rFonts w:cstheme="minorHAnsi"/>
        </w:rPr>
        <w:t xml:space="preserve"> </w:t>
      </w:r>
    </w:p>
    <w:p w14:paraId="1B462FB8" w14:textId="2732EE0C" w:rsidR="003C3C9A" w:rsidRDefault="003C3C9A" w:rsidP="00357CD2">
      <w:pPr>
        <w:pStyle w:val="ListParagraph"/>
        <w:numPr>
          <w:ilvl w:val="0"/>
          <w:numId w:val="7"/>
        </w:numPr>
        <w:spacing w:line="240" w:lineRule="auto"/>
        <w:contextualSpacing w:val="0"/>
        <w:jc w:val="both"/>
        <w:rPr>
          <w:rFonts w:cstheme="minorHAnsi"/>
        </w:rPr>
      </w:pPr>
      <w:r w:rsidRPr="003137D3">
        <w:rPr>
          <w:rFonts w:cstheme="minorHAnsi"/>
        </w:rPr>
        <w:t>Analyse quantitative des données de performance</w:t>
      </w:r>
      <w:r w:rsidR="003137D3">
        <w:rPr>
          <w:rFonts w:cstheme="minorHAnsi"/>
        </w:rPr>
        <w:t xml:space="preserve"> : </w:t>
      </w:r>
      <w:r w:rsidRPr="003137D3">
        <w:rPr>
          <w:rFonts w:cstheme="minorHAnsi"/>
        </w:rPr>
        <w:t xml:space="preserve">Un traitement des données quantitatives du projet a été réalisé : données désagrégées sur les bénéficiaires directs et indirects (par type d'appui, région, genre, âge), données financières et d'exécution budgétaire, </w:t>
      </w:r>
      <w:r w:rsidR="00C95A1A">
        <w:rPr>
          <w:rFonts w:cstheme="minorHAnsi"/>
        </w:rPr>
        <w:t>etc.</w:t>
      </w:r>
    </w:p>
    <w:p w14:paraId="393774F7" w14:textId="1CCAFCA4" w:rsidR="00C155BE" w:rsidRPr="00C155BE" w:rsidRDefault="00C155BE" w:rsidP="00C155BE">
      <w:pPr>
        <w:spacing w:line="240" w:lineRule="auto"/>
        <w:jc w:val="both"/>
        <w:rPr>
          <w:rFonts w:cstheme="minorHAnsi"/>
        </w:rPr>
      </w:pPr>
      <w:r>
        <w:rPr>
          <w:rFonts w:cstheme="minorHAnsi"/>
        </w:rPr>
        <w:t>Par ailleurs, l</w:t>
      </w:r>
      <w:r w:rsidRPr="003C3C9A">
        <w:rPr>
          <w:rFonts w:cstheme="minorHAnsi"/>
        </w:rPr>
        <w:t>e choix de privilégier les focus groups plutôt que des enquêtes quantitatives standardisées s'est justifié par l'adaptation au contexte post-conflit burundais et aux spécificités culturelles des populations vulnérables dont les modes d'expression sont principalement oraux et collectifs. Cette approche a permis un cadre plus naturel pour l'expression sur des sujets sensibles liés à la réconciliation et l'exploration des processus complexes de changement social, tout en optimisant les ressources évaluatives.</w:t>
      </w:r>
    </w:p>
    <w:p w14:paraId="5ADAF28C" w14:textId="77777777" w:rsidR="00E81034" w:rsidRPr="00826EE9" w:rsidRDefault="00E81034" w:rsidP="00E81034">
      <w:pPr>
        <w:spacing w:line="240" w:lineRule="auto"/>
        <w:jc w:val="both"/>
        <w:rPr>
          <w:rFonts w:cstheme="minorHAnsi"/>
          <w:sz w:val="10"/>
          <w:szCs w:val="10"/>
        </w:rPr>
      </w:pPr>
    </w:p>
    <w:p w14:paraId="6EA16D06" w14:textId="77777777" w:rsidR="003C3C9A" w:rsidRPr="003C3C9A" w:rsidRDefault="003C3C9A" w:rsidP="00E81034">
      <w:pPr>
        <w:pStyle w:val="Heading2"/>
        <w:jc w:val="both"/>
        <w:rPr>
          <w:rFonts w:ascii="Open Sans" w:hAnsi="Open Sans"/>
          <w:color w:val="000099"/>
        </w:rPr>
      </w:pPr>
      <w:bookmarkStart w:id="42" w:name="_Toc216948970"/>
      <w:r w:rsidRPr="003C3C9A">
        <w:rPr>
          <w:rFonts w:ascii="Open Sans" w:hAnsi="Open Sans"/>
          <w:color w:val="000099"/>
        </w:rPr>
        <w:t>3.3 Échantillonnage et stratégie de sélection</w:t>
      </w:r>
      <w:bookmarkEnd w:id="42"/>
    </w:p>
    <w:p w14:paraId="79E58ACE" w14:textId="77777777" w:rsidR="00D50C95" w:rsidRPr="00D50C95" w:rsidRDefault="00D50C95" w:rsidP="00D50C95">
      <w:pPr>
        <w:spacing w:line="240" w:lineRule="auto"/>
        <w:jc w:val="both"/>
        <w:rPr>
          <w:rFonts w:cstheme="minorHAnsi"/>
        </w:rPr>
      </w:pPr>
      <w:r w:rsidRPr="00D50C95">
        <w:rPr>
          <w:rFonts w:cstheme="minorHAnsi"/>
        </w:rPr>
        <w:t>La sélection des quatre sites de visite s'est fondée sur deux critères principaux : la concentration des interventions et la diversité des situations observables.</w:t>
      </w:r>
    </w:p>
    <w:p w14:paraId="760AFD83" w14:textId="5CB24B63" w:rsidR="00D50C95" w:rsidRPr="00D50C95" w:rsidRDefault="00D50C95" w:rsidP="00D50C95">
      <w:pPr>
        <w:spacing w:line="240" w:lineRule="auto"/>
        <w:jc w:val="both"/>
        <w:rPr>
          <w:rFonts w:cstheme="minorHAnsi"/>
        </w:rPr>
      </w:pPr>
      <w:r w:rsidRPr="00D50C95">
        <w:rPr>
          <w:rFonts w:cstheme="minorHAnsi"/>
        </w:rPr>
        <w:t xml:space="preserve">Les trois collines de </w:t>
      </w:r>
      <w:proofErr w:type="spellStart"/>
      <w:r w:rsidRPr="00D50C95">
        <w:rPr>
          <w:rFonts w:cstheme="minorHAnsi"/>
        </w:rPr>
        <w:t>Muciro</w:t>
      </w:r>
      <w:proofErr w:type="spellEnd"/>
      <w:r w:rsidRPr="00D50C95">
        <w:rPr>
          <w:rFonts w:cstheme="minorHAnsi"/>
        </w:rPr>
        <w:t xml:space="preserve">, </w:t>
      </w:r>
      <w:proofErr w:type="spellStart"/>
      <w:r w:rsidRPr="00D50C95">
        <w:rPr>
          <w:rFonts w:cstheme="minorHAnsi"/>
        </w:rPr>
        <w:t>Caguka</w:t>
      </w:r>
      <w:proofErr w:type="spellEnd"/>
      <w:r w:rsidRPr="00D50C95">
        <w:rPr>
          <w:rFonts w:cstheme="minorHAnsi"/>
        </w:rPr>
        <w:t xml:space="preserve"> et </w:t>
      </w:r>
      <w:proofErr w:type="spellStart"/>
      <w:r w:rsidRPr="00D50C95">
        <w:rPr>
          <w:rFonts w:cstheme="minorHAnsi"/>
        </w:rPr>
        <w:t>Mpfunda</w:t>
      </w:r>
      <w:proofErr w:type="spellEnd"/>
      <w:r w:rsidRPr="00D50C95">
        <w:rPr>
          <w:rFonts w:cstheme="minorHAnsi"/>
        </w:rPr>
        <w:t xml:space="preserve"> ont été retenues car elles concentrent 86% du total des bénéficiaires du projet (9 168 sur 10 631) et 83% des </w:t>
      </w:r>
      <w:proofErr w:type="spellStart"/>
      <w:r w:rsidRPr="00D50C95">
        <w:rPr>
          <w:rFonts w:cstheme="minorHAnsi"/>
        </w:rPr>
        <w:t>Batwa</w:t>
      </w:r>
      <w:proofErr w:type="spellEnd"/>
      <w:r w:rsidRPr="00D50C95">
        <w:rPr>
          <w:rFonts w:cstheme="minorHAnsi"/>
        </w:rPr>
        <w:t xml:space="preserve"> ciblés (417 sur 500), permettant ainsi de maximiser la couverture évaluative malgré les contraintes de temps. Ces trois sites présentent également une diversité de situations : </w:t>
      </w:r>
      <w:r w:rsidR="007014A4">
        <w:rPr>
          <w:rFonts w:cstheme="minorHAnsi"/>
        </w:rPr>
        <w:t>I</w:t>
      </w:r>
      <w:r w:rsidRPr="00D50C95">
        <w:rPr>
          <w:rFonts w:cstheme="minorHAnsi"/>
        </w:rPr>
        <w:t xml:space="preserve">ntervention intensive avec résultats </w:t>
      </w:r>
      <w:r w:rsidRPr="00D50C95">
        <w:rPr>
          <w:rFonts w:cstheme="minorHAnsi"/>
        </w:rPr>
        <w:lastRenderedPageBreak/>
        <w:t>probants (</w:t>
      </w:r>
      <w:proofErr w:type="spellStart"/>
      <w:r w:rsidRPr="00D50C95">
        <w:rPr>
          <w:rFonts w:cstheme="minorHAnsi"/>
        </w:rPr>
        <w:t>Muciro</w:t>
      </w:r>
      <w:proofErr w:type="spellEnd"/>
      <w:r w:rsidRPr="00D50C95">
        <w:rPr>
          <w:rFonts w:cstheme="minorHAnsi"/>
        </w:rPr>
        <w:t>)</w:t>
      </w:r>
      <w:r w:rsidR="007014A4">
        <w:rPr>
          <w:rFonts w:cstheme="minorHAnsi"/>
        </w:rPr>
        <w:t xml:space="preserve"> et</w:t>
      </w:r>
      <w:r w:rsidRPr="00D50C95">
        <w:rPr>
          <w:rFonts w:cstheme="minorHAnsi"/>
        </w:rPr>
        <w:t xml:space="preserve"> difficultés de mise en œuvre liées à des conflits intracommunautaires (</w:t>
      </w:r>
      <w:proofErr w:type="spellStart"/>
      <w:r w:rsidRPr="00D50C95">
        <w:rPr>
          <w:rFonts w:cstheme="minorHAnsi"/>
        </w:rPr>
        <w:t>Caguka</w:t>
      </w:r>
      <w:proofErr w:type="spellEnd"/>
      <w:r w:rsidRPr="00D50C95">
        <w:rPr>
          <w:rFonts w:cstheme="minorHAnsi"/>
        </w:rPr>
        <w:t>)</w:t>
      </w:r>
      <w:r w:rsidR="007014A4">
        <w:rPr>
          <w:rFonts w:cstheme="minorHAnsi"/>
        </w:rPr>
        <w:t xml:space="preserve"> ou à une difficulté d’accès géographique </w:t>
      </w:r>
      <w:r w:rsidRPr="00D50C95">
        <w:rPr>
          <w:rFonts w:cstheme="minorHAnsi"/>
        </w:rPr>
        <w:t>(</w:t>
      </w:r>
      <w:proofErr w:type="spellStart"/>
      <w:r w:rsidRPr="00D50C95">
        <w:rPr>
          <w:rFonts w:cstheme="minorHAnsi"/>
        </w:rPr>
        <w:t>Mpfunda</w:t>
      </w:r>
      <w:proofErr w:type="spellEnd"/>
      <w:r w:rsidRPr="00D50C95">
        <w:rPr>
          <w:rFonts w:cstheme="minorHAnsi"/>
        </w:rPr>
        <w:t>).</w:t>
      </w:r>
    </w:p>
    <w:p w14:paraId="1EAC9463" w14:textId="144B36ED" w:rsidR="00D50C95" w:rsidRPr="00D50C95" w:rsidRDefault="00D50C95" w:rsidP="00D50C95">
      <w:pPr>
        <w:spacing w:line="240" w:lineRule="auto"/>
        <w:jc w:val="both"/>
        <w:rPr>
          <w:rFonts w:cstheme="minorHAnsi"/>
        </w:rPr>
      </w:pPr>
      <w:r w:rsidRPr="00D50C95">
        <w:rPr>
          <w:rFonts w:cstheme="minorHAnsi"/>
        </w:rPr>
        <w:t xml:space="preserve">La colline de </w:t>
      </w:r>
      <w:proofErr w:type="spellStart"/>
      <w:r w:rsidRPr="00D50C95">
        <w:rPr>
          <w:rFonts w:cstheme="minorHAnsi"/>
        </w:rPr>
        <w:t>Muyebe</w:t>
      </w:r>
      <w:proofErr w:type="spellEnd"/>
      <w:r w:rsidRPr="00D50C95">
        <w:rPr>
          <w:rFonts w:cstheme="minorHAnsi"/>
        </w:rPr>
        <w:t xml:space="preserve"> (</w:t>
      </w:r>
      <w:r w:rsidR="0086740D">
        <w:rPr>
          <w:rFonts w:cstheme="minorHAnsi"/>
        </w:rPr>
        <w:t xml:space="preserve">ancienne </w:t>
      </w:r>
      <w:r w:rsidRPr="00D50C95">
        <w:rPr>
          <w:rFonts w:cstheme="minorHAnsi"/>
        </w:rPr>
        <w:t xml:space="preserve">province de </w:t>
      </w:r>
      <w:proofErr w:type="spellStart"/>
      <w:r w:rsidRPr="00D50C95">
        <w:rPr>
          <w:rFonts w:cstheme="minorHAnsi"/>
        </w:rPr>
        <w:t>Bubanza</w:t>
      </w:r>
      <w:proofErr w:type="spellEnd"/>
      <w:r w:rsidRPr="00D50C95">
        <w:rPr>
          <w:rFonts w:cstheme="minorHAnsi"/>
        </w:rPr>
        <w:t xml:space="preserve">) a été sélectionnée pour sa proximité avec le projet hydroélectrique de </w:t>
      </w:r>
      <w:proofErr w:type="spellStart"/>
      <w:r w:rsidRPr="00D50C95">
        <w:rPr>
          <w:rFonts w:cstheme="minorHAnsi"/>
        </w:rPr>
        <w:t>Mpanda</w:t>
      </w:r>
      <w:proofErr w:type="spellEnd"/>
      <w:r w:rsidRPr="00D50C95">
        <w:rPr>
          <w:rFonts w:cstheme="minorHAnsi"/>
        </w:rPr>
        <w:t>, permettant d'évaluer les effets du PPP sur les communautés riveraines. Cette zone présente un double intérêt : d'une part, les populations ont subi les impacts environnementaux négatifs liés à l'abandon des travaux depuis 2017 (érosion, glissements de terrain) ; d'autre part, la majorité des employés recrutés par HYDRONEO proviennent de cette colline, offrant ainsi une perspective sur les retombées économiques directes du projet hydroélectrique.</w:t>
      </w:r>
    </w:p>
    <w:p w14:paraId="5DC54EF0" w14:textId="1F3CAE6E" w:rsidR="00D50C95" w:rsidRPr="00D50C95" w:rsidRDefault="00D50C95" w:rsidP="00D50C95">
      <w:pPr>
        <w:spacing w:line="240" w:lineRule="auto"/>
        <w:jc w:val="both"/>
        <w:rPr>
          <w:rFonts w:cstheme="minorHAnsi"/>
        </w:rPr>
      </w:pPr>
      <w:r w:rsidRPr="00D50C95">
        <w:rPr>
          <w:rFonts w:cstheme="minorHAnsi"/>
        </w:rPr>
        <w:t>Cette sélection a permis de couvrir l'ensemble des dimensions du projet : développement communautaire</w:t>
      </w:r>
      <w:r w:rsidR="007014A4">
        <w:rPr>
          <w:rFonts w:cstheme="minorHAnsi"/>
        </w:rPr>
        <w:t xml:space="preserve"> et conservation</w:t>
      </w:r>
      <w:r w:rsidRPr="00D50C95">
        <w:rPr>
          <w:rFonts w:cstheme="minorHAnsi"/>
        </w:rPr>
        <w:t xml:space="preserve"> (</w:t>
      </w:r>
      <w:proofErr w:type="spellStart"/>
      <w:r w:rsidRPr="00D50C95">
        <w:rPr>
          <w:rFonts w:cstheme="minorHAnsi"/>
        </w:rPr>
        <w:t>Muciro</w:t>
      </w:r>
      <w:proofErr w:type="spellEnd"/>
      <w:r w:rsidRPr="00D50C95">
        <w:rPr>
          <w:rFonts w:cstheme="minorHAnsi"/>
        </w:rPr>
        <w:t xml:space="preserve">, </w:t>
      </w:r>
      <w:proofErr w:type="spellStart"/>
      <w:r w:rsidRPr="00D50C95">
        <w:rPr>
          <w:rFonts w:cstheme="minorHAnsi"/>
        </w:rPr>
        <w:t>Caguka</w:t>
      </w:r>
      <w:proofErr w:type="spellEnd"/>
      <w:r w:rsidR="007014A4">
        <w:rPr>
          <w:rFonts w:cstheme="minorHAnsi"/>
        </w:rPr>
        <w:t xml:space="preserve"> et </w:t>
      </w:r>
      <w:proofErr w:type="spellStart"/>
      <w:r w:rsidR="007014A4">
        <w:rPr>
          <w:rFonts w:cstheme="minorHAnsi"/>
        </w:rPr>
        <w:t>Mpfunda</w:t>
      </w:r>
      <w:proofErr w:type="spellEnd"/>
      <w:r w:rsidRPr="00D50C95">
        <w:rPr>
          <w:rFonts w:cstheme="minorHAnsi"/>
        </w:rPr>
        <w:t xml:space="preserve">), renforcement institutionnel (siège du parc à </w:t>
      </w:r>
      <w:proofErr w:type="spellStart"/>
      <w:r w:rsidRPr="00D50C95">
        <w:rPr>
          <w:rFonts w:cstheme="minorHAnsi"/>
        </w:rPr>
        <w:t>Mwokora</w:t>
      </w:r>
      <w:proofErr w:type="spellEnd"/>
      <w:r w:rsidRPr="00D50C95">
        <w:rPr>
          <w:rFonts w:cstheme="minorHAnsi"/>
        </w:rPr>
        <w:t>), et financement mixte PPP (</w:t>
      </w:r>
      <w:proofErr w:type="spellStart"/>
      <w:r w:rsidRPr="00D50C95">
        <w:rPr>
          <w:rFonts w:cstheme="minorHAnsi"/>
        </w:rPr>
        <w:t>Mpanda</w:t>
      </w:r>
      <w:proofErr w:type="spellEnd"/>
      <w:r w:rsidRPr="00D50C95">
        <w:rPr>
          <w:rFonts w:cstheme="minorHAnsi"/>
        </w:rPr>
        <w:t>/</w:t>
      </w:r>
      <w:proofErr w:type="spellStart"/>
      <w:r w:rsidRPr="00D50C95">
        <w:rPr>
          <w:rFonts w:cstheme="minorHAnsi"/>
        </w:rPr>
        <w:t>Muyebe</w:t>
      </w:r>
      <w:proofErr w:type="spellEnd"/>
      <w:r w:rsidRPr="00D50C95">
        <w:rPr>
          <w:rFonts w:cstheme="minorHAnsi"/>
        </w:rPr>
        <w:t>).</w:t>
      </w:r>
    </w:p>
    <w:p w14:paraId="3FD3BFCC" w14:textId="54030E42" w:rsidR="00325839" w:rsidRPr="00325839" w:rsidRDefault="00325839" w:rsidP="00325839">
      <w:pPr>
        <w:spacing w:line="240" w:lineRule="auto"/>
        <w:jc w:val="both"/>
        <w:rPr>
          <w:rFonts w:cstheme="minorHAnsi"/>
        </w:rPr>
      </w:pPr>
      <w:r w:rsidRPr="00325839">
        <w:rPr>
          <w:rFonts w:cstheme="minorHAnsi"/>
        </w:rPr>
        <w:t xml:space="preserve">Pour les entretiens et focus groups, </w:t>
      </w:r>
      <w:r w:rsidR="00154617">
        <w:rPr>
          <w:rFonts w:cstheme="minorHAnsi"/>
        </w:rPr>
        <w:t>l’équipe d’évaluation a</w:t>
      </w:r>
      <w:r w:rsidRPr="00325839">
        <w:rPr>
          <w:rFonts w:cstheme="minorHAnsi"/>
        </w:rPr>
        <w:t xml:space="preserve"> veillé à l'inclusion des groupes vulnérables et marginalisés. Des groupes de discussion communautaires ont été organisés dans les collines </w:t>
      </w:r>
      <w:r w:rsidR="00154617">
        <w:rPr>
          <w:rFonts w:cstheme="minorHAnsi"/>
        </w:rPr>
        <w:t>visitées,</w:t>
      </w:r>
      <w:r w:rsidRPr="00325839">
        <w:rPr>
          <w:rFonts w:cstheme="minorHAnsi"/>
        </w:rPr>
        <w:t xml:space="preserve"> incluant à la fois des groupes </w:t>
      </w:r>
      <w:proofErr w:type="spellStart"/>
      <w:r w:rsidRPr="00325839">
        <w:rPr>
          <w:rFonts w:cstheme="minorHAnsi"/>
        </w:rPr>
        <w:t>Batwa</w:t>
      </w:r>
      <w:proofErr w:type="spellEnd"/>
      <w:r w:rsidRPr="00325839">
        <w:rPr>
          <w:rFonts w:cstheme="minorHAnsi"/>
        </w:rPr>
        <w:t xml:space="preserve"> </w:t>
      </w:r>
      <w:r w:rsidR="00154617">
        <w:rPr>
          <w:rFonts w:cstheme="minorHAnsi"/>
        </w:rPr>
        <w:t xml:space="preserve">(à </w:t>
      </w:r>
      <w:proofErr w:type="spellStart"/>
      <w:r w:rsidR="00154617">
        <w:rPr>
          <w:rFonts w:cstheme="minorHAnsi"/>
        </w:rPr>
        <w:t>Muciro</w:t>
      </w:r>
      <w:proofErr w:type="spellEnd"/>
      <w:r w:rsidR="00154617">
        <w:rPr>
          <w:rFonts w:cstheme="minorHAnsi"/>
        </w:rPr>
        <w:t xml:space="preserve"> et </w:t>
      </w:r>
      <w:proofErr w:type="spellStart"/>
      <w:r w:rsidR="00154617">
        <w:rPr>
          <w:rFonts w:cstheme="minorHAnsi"/>
        </w:rPr>
        <w:t>Caguka</w:t>
      </w:r>
      <w:proofErr w:type="spellEnd"/>
      <w:r w:rsidR="00154617">
        <w:rPr>
          <w:rFonts w:cstheme="minorHAnsi"/>
        </w:rPr>
        <w:t xml:space="preserve">) </w:t>
      </w:r>
      <w:r w:rsidRPr="00325839">
        <w:rPr>
          <w:rFonts w:cstheme="minorHAnsi"/>
        </w:rPr>
        <w:t>et des groupes de bénéficiaires non-</w:t>
      </w:r>
      <w:proofErr w:type="spellStart"/>
      <w:r w:rsidRPr="00325839">
        <w:rPr>
          <w:rFonts w:cstheme="minorHAnsi"/>
        </w:rPr>
        <w:t>Batwa</w:t>
      </w:r>
      <w:proofErr w:type="spellEnd"/>
      <w:r w:rsidR="00154617">
        <w:rPr>
          <w:rFonts w:cstheme="minorHAnsi"/>
        </w:rPr>
        <w:t xml:space="preserve"> (à </w:t>
      </w:r>
      <w:proofErr w:type="spellStart"/>
      <w:r w:rsidR="00154617">
        <w:rPr>
          <w:rFonts w:cstheme="minorHAnsi"/>
        </w:rPr>
        <w:t>Muciro</w:t>
      </w:r>
      <w:proofErr w:type="spellEnd"/>
      <w:r w:rsidR="00154617">
        <w:rPr>
          <w:rFonts w:cstheme="minorHAnsi"/>
        </w:rPr>
        <w:t xml:space="preserve">, </w:t>
      </w:r>
      <w:proofErr w:type="spellStart"/>
      <w:r w:rsidR="00154617">
        <w:rPr>
          <w:rFonts w:cstheme="minorHAnsi"/>
        </w:rPr>
        <w:t>Mpfunda</w:t>
      </w:r>
      <w:proofErr w:type="spellEnd"/>
      <w:r w:rsidR="00154617">
        <w:rPr>
          <w:rFonts w:cstheme="minorHAnsi"/>
        </w:rPr>
        <w:t xml:space="preserve"> et </w:t>
      </w:r>
      <w:proofErr w:type="spellStart"/>
      <w:r w:rsidR="00154617">
        <w:rPr>
          <w:rFonts w:cstheme="minorHAnsi"/>
        </w:rPr>
        <w:t>Muyebe</w:t>
      </w:r>
      <w:proofErr w:type="spellEnd"/>
      <w:r w:rsidR="00154617">
        <w:rPr>
          <w:rFonts w:cstheme="minorHAnsi"/>
        </w:rPr>
        <w:t>)</w:t>
      </w:r>
      <w:r w:rsidRPr="00325839">
        <w:rPr>
          <w:rFonts w:cstheme="minorHAnsi"/>
        </w:rPr>
        <w:t>.</w:t>
      </w:r>
    </w:p>
    <w:p w14:paraId="3971D192" w14:textId="17E875C2" w:rsidR="00325839" w:rsidRPr="00325839" w:rsidRDefault="00325839" w:rsidP="00325839">
      <w:pPr>
        <w:spacing w:line="240" w:lineRule="auto"/>
        <w:jc w:val="both"/>
        <w:rPr>
          <w:rFonts w:cstheme="minorHAnsi"/>
        </w:rPr>
      </w:pPr>
      <w:r w:rsidRPr="00325839">
        <w:rPr>
          <w:rFonts w:cstheme="minorHAnsi"/>
        </w:rPr>
        <w:t>Une particularité notable du contexte burundais a facilité la collecte de données : les groupes mixtes (hommes, femmes, jeunes) se sont révélés très fonctionnels, sans réticence apparente des femmes ou des jeunes à s'exprimer devant les hommes. Les réunions, organisées en pleine rue selon les pratiques communautaires locales, ont généré une participation spontanée et ouverte. Cette dynamique participative a enrichi considérablement la qualité des échanges et permis de capter une diversité de perspectives.</w:t>
      </w:r>
    </w:p>
    <w:p w14:paraId="671B4F66" w14:textId="46EDFFFF" w:rsidR="003C3C9A" w:rsidRPr="003C3C9A" w:rsidRDefault="003C3C9A" w:rsidP="00EF616B">
      <w:pPr>
        <w:spacing w:line="240" w:lineRule="auto"/>
        <w:jc w:val="both"/>
        <w:rPr>
          <w:rFonts w:cstheme="minorHAnsi"/>
          <w:sz w:val="10"/>
          <w:szCs w:val="10"/>
        </w:rPr>
      </w:pPr>
    </w:p>
    <w:p w14:paraId="1DC1E495" w14:textId="77777777" w:rsidR="003C3C9A" w:rsidRPr="003C3C9A" w:rsidRDefault="003C3C9A" w:rsidP="00AC20DE">
      <w:pPr>
        <w:pStyle w:val="Heading2"/>
        <w:jc w:val="both"/>
        <w:rPr>
          <w:rFonts w:ascii="Open Sans" w:hAnsi="Open Sans"/>
          <w:color w:val="000099"/>
        </w:rPr>
      </w:pPr>
      <w:bookmarkStart w:id="43" w:name="_Toc216948971"/>
      <w:r w:rsidRPr="003C3C9A">
        <w:rPr>
          <w:rFonts w:ascii="Open Sans" w:hAnsi="Open Sans"/>
          <w:color w:val="000099"/>
        </w:rPr>
        <w:t>3.4 Triangulation et analyse des données</w:t>
      </w:r>
      <w:bookmarkEnd w:id="43"/>
    </w:p>
    <w:p w14:paraId="4AB3A13F" w14:textId="7EDDD890" w:rsidR="003C3C9A" w:rsidRPr="003C3C9A" w:rsidRDefault="003C3C9A" w:rsidP="00EF616B">
      <w:pPr>
        <w:spacing w:line="240" w:lineRule="auto"/>
        <w:jc w:val="both"/>
        <w:rPr>
          <w:rFonts w:cstheme="minorHAnsi"/>
        </w:rPr>
      </w:pPr>
      <w:r w:rsidRPr="003C3C9A">
        <w:rPr>
          <w:rFonts w:cstheme="minorHAnsi"/>
        </w:rPr>
        <w:t>Le processus d'agrégation et d'analyse des données a suivi une démarche systématique en quatre étapes :</w:t>
      </w:r>
      <w:r w:rsidR="00A02D96">
        <w:rPr>
          <w:rFonts w:cstheme="minorHAnsi"/>
        </w:rPr>
        <w:t xml:space="preserve"> (i) </w:t>
      </w:r>
      <w:r w:rsidRPr="003C3C9A">
        <w:rPr>
          <w:rFonts w:cstheme="minorHAnsi"/>
        </w:rPr>
        <w:t>La collecte organisée autour d'une matrice de synthèse croisant chaque question d'évaluation avec les cinq sources de données, documentant en temps réel les informations et leurs sources</w:t>
      </w:r>
      <w:r w:rsidR="00A02D96">
        <w:rPr>
          <w:rFonts w:cstheme="minorHAnsi"/>
        </w:rPr>
        <w:t> ;</w:t>
      </w:r>
      <w:r w:rsidRPr="003C3C9A">
        <w:rPr>
          <w:rFonts w:cstheme="minorHAnsi"/>
        </w:rPr>
        <w:t xml:space="preserve"> </w:t>
      </w:r>
      <w:r w:rsidR="00A02D96">
        <w:rPr>
          <w:rFonts w:cstheme="minorHAnsi"/>
        </w:rPr>
        <w:t xml:space="preserve">(ii) </w:t>
      </w:r>
      <w:r w:rsidRPr="003C3C9A">
        <w:rPr>
          <w:rFonts w:cstheme="minorHAnsi"/>
        </w:rPr>
        <w:t>L'analyse des données qualitatives selon les critères du CAD-OCDE, couplé au traitement statistique descriptif des données quantitatives</w:t>
      </w:r>
      <w:r w:rsidR="00A02D96">
        <w:rPr>
          <w:rFonts w:cstheme="minorHAnsi"/>
        </w:rPr>
        <w:t xml:space="preserve"> (iii) </w:t>
      </w:r>
      <w:r w:rsidRPr="003C3C9A">
        <w:rPr>
          <w:rFonts w:cstheme="minorHAnsi"/>
        </w:rPr>
        <w:t>La triangulation systématique où chaque constat majeur a été étayé par au moins deux sources convergentes, les divergences ayant fait l'objet d'investigations complémentaires, et les explications alternatives ayant été systématiquement examinées</w:t>
      </w:r>
      <w:r w:rsidR="00A02D96">
        <w:rPr>
          <w:rFonts w:cstheme="minorHAnsi"/>
        </w:rPr>
        <w:t> ; (iv)</w:t>
      </w:r>
      <w:r w:rsidRPr="003C3C9A">
        <w:rPr>
          <w:rFonts w:cstheme="minorHAnsi"/>
        </w:rPr>
        <w:t xml:space="preserve"> L'agrégation finale structurant les constats selon les critères d'évaluation tout en utilisant l'analyse de la chaîne de résultats pour comprendre les liens causaux.</w:t>
      </w:r>
    </w:p>
    <w:p w14:paraId="683DB8D0" w14:textId="10E84650" w:rsidR="003C3C9A" w:rsidRDefault="003C3C9A" w:rsidP="00EF616B">
      <w:pPr>
        <w:spacing w:line="240" w:lineRule="auto"/>
        <w:jc w:val="both"/>
        <w:rPr>
          <w:rFonts w:cstheme="minorHAnsi"/>
        </w:rPr>
      </w:pPr>
      <w:r w:rsidRPr="003C3C9A">
        <w:rPr>
          <w:rFonts w:cstheme="minorHAnsi"/>
        </w:rPr>
        <w:t>Les mécanismes d'assurance qualité ont inclus la validation intermédiaire des constats lors de sessions de débriefing à Bujumbura</w:t>
      </w:r>
      <w:r w:rsidR="000873BF">
        <w:rPr>
          <w:rFonts w:cstheme="minorHAnsi"/>
        </w:rPr>
        <w:t>,</w:t>
      </w:r>
      <w:r w:rsidRPr="003C3C9A">
        <w:rPr>
          <w:rFonts w:cstheme="minorHAnsi"/>
        </w:rPr>
        <w:t xml:space="preserve"> </w:t>
      </w:r>
      <w:r w:rsidR="000873BF">
        <w:rPr>
          <w:rFonts w:cstheme="minorHAnsi"/>
        </w:rPr>
        <w:t xml:space="preserve">à la fin de la mission de terrain, </w:t>
      </w:r>
      <w:r w:rsidR="00086C42">
        <w:rPr>
          <w:rFonts w:cstheme="minorHAnsi"/>
        </w:rPr>
        <w:t>avec le chef de projet</w:t>
      </w:r>
      <w:r w:rsidR="000873BF">
        <w:rPr>
          <w:rFonts w:cstheme="minorHAnsi"/>
        </w:rPr>
        <w:t xml:space="preserve">, ensuite </w:t>
      </w:r>
      <w:r w:rsidRPr="003C3C9A">
        <w:rPr>
          <w:rFonts w:cstheme="minorHAnsi"/>
        </w:rPr>
        <w:t>en ligne</w:t>
      </w:r>
      <w:r w:rsidR="000873BF">
        <w:rPr>
          <w:rFonts w:cstheme="minorHAnsi"/>
        </w:rPr>
        <w:t xml:space="preserve"> à deux reprises : A</w:t>
      </w:r>
      <w:r w:rsidRPr="003C3C9A">
        <w:rPr>
          <w:rFonts w:cstheme="minorHAnsi"/>
        </w:rPr>
        <w:t xml:space="preserve">vec </w:t>
      </w:r>
      <w:r w:rsidR="00086C42">
        <w:rPr>
          <w:rFonts w:cstheme="minorHAnsi"/>
        </w:rPr>
        <w:t xml:space="preserve">l’unité d’évaluation de </w:t>
      </w:r>
      <w:r w:rsidRPr="003C3C9A">
        <w:rPr>
          <w:rFonts w:cstheme="minorHAnsi"/>
        </w:rPr>
        <w:t>l'UNCDF</w:t>
      </w:r>
      <w:r w:rsidR="000873BF">
        <w:rPr>
          <w:rFonts w:cstheme="minorHAnsi"/>
        </w:rPr>
        <w:t xml:space="preserve">, puis </w:t>
      </w:r>
      <w:r w:rsidR="00086C42">
        <w:rPr>
          <w:rFonts w:cstheme="minorHAnsi"/>
        </w:rPr>
        <w:t xml:space="preserve">avec l’équipe du projet et les représentants de PBF Burundi. </w:t>
      </w:r>
    </w:p>
    <w:p w14:paraId="1D7F6AB4" w14:textId="77777777" w:rsidR="00086C42" w:rsidRPr="004C4E82" w:rsidRDefault="00086C42" w:rsidP="00EF616B">
      <w:pPr>
        <w:spacing w:line="240" w:lineRule="auto"/>
        <w:jc w:val="both"/>
        <w:rPr>
          <w:rFonts w:cstheme="minorHAnsi"/>
          <w:sz w:val="10"/>
          <w:szCs w:val="10"/>
        </w:rPr>
      </w:pPr>
    </w:p>
    <w:p w14:paraId="22E7F5FB" w14:textId="77777777" w:rsidR="003C3C9A" w:rsidRPr="003C3C9A" w:rsidRDefault="003C3C9A" w:rsidP="00931A21">
      <w:pPr>
        <w:pStyle w:val="Heading2"/>
        <w:jc w:val="both"/>
        <w:rPr>
          <w:rFonts w:ascii="Open Sans" w:hAnsi="Open Sans"/>
          <w:color w:val="000099"/>
        </w:rPr>
      </w:pPr>
      <w:bookmarkStart w:id="44" w:name="_Toc216948972"/>
      <w:r w:rsidRPr="003C3C9A">
        <w:rPr>
          <w:rFonts w:ascii="Open Sans" w:hAnsi="Open Sans"/>
          <w:color w:val="000099"/>
        </w:rPr>
        <w:t>3.5 Considérations éthiques</w:t>
      </w:r>
      <w:bookmarkEnd w:id="44"/>
    </w:p>
    <w:p w14:paraId="37D45FAC" w14:textId="77777777" w:rsidR="003C3C9A" w:rsidRPr="003C3C9A" w:rsidRDefault="003C3C9A" w:rsidP="00EF616B">
      <w:pPr>
        <w:spacing w:line="240" w:lineRule="auto"/>
        <w:jc w:val="both"/>
        <w:rPr>
          <w:rFonts w:cstheme="minorHAnsi"/>
        </w:rPr>
      </w:pPr>
      <w:r w:rsidRPr="003C3C9A">
        <w:rPr>
          <w:rFonts w:cstheme="minorHAnsi"/>
        </w:rPr>
        <w:t>L'équipe d'évaluation s'est engagée à respecter intégralement les normes UNEG, garantissant l'indépendance, l'impartialité et la crédibilité de l'évaluation :</w:t>
      </w:r>
    </w:p>
    <w:p w14:paraId="696719E1" w14:textId="67D64DBA" w:rsidR="003C3C9A" w:rsidRPr="001B7E53" w:rsidRDefault="003C3C9A" w:rsidP="00357CD2">
      <w:pPr>
        <w:pStyle w:val="ListParagraph"/>
        <w:numPr>
          <w:ilvl w:val="0"/>
          <w:numId w:val="9"/>
        </w:numPr>
        <w:spacing w:line="240" w:lineRule="auto"/>
        <w:ind w:left="357" w:hanging="357"/>
        <w:contextualSpacing w:val="0"/>
        <w:jc w:val="both"/>
        <w:rPr>
          <w:rFonts w:cstheme="minorHAnsi"/>
        </w:rPr>
      </w:pPr>
      <w:r w:rsidRPr="001B7E53">
        <w:rPr>
          <w:rFonts w:cstheme="minorHAnsi"/>
        </w:rPr>
        <w:t xml:space="preserve">Sensibilité culturelle et sociale : </w:t>
      </w:r>
      <w:r w:rsidR="004A6D61">
        <w:rPr>
          <w:rFonts w:cstheme="minorHAnsi"/>
        </w:rPr>
        <w:t>A</w:t>
      </w:r>
      <w:r w:rsidRPr="001B7E53">
        <w:rPr>
          <w:rFonts w:cstheme="minorHAnsi"/>
        </w:rPr>
        <w:t xml:space="preserve">pproche particulièrement respectueuse avec la communauté </w:t>
      </w:r>
      <w:proofErr w:type="spellStart"/>
      <w:r w:rsidRPr="001B7E53">
        <w:rPr>
          <w:rFonts w:cstheme="minorHAnsi"/>
        </w:rPr>
        <w:t>Batwa</w:t>
      </w:r>
      <w:proofErr w:type="spellEnd"/>
      <w:r w:rsidRPr="001B7E53">
        <w:rPr>
          <w:rFonts w:cstheme="minorHAnsi"/>
        </w:rPr>
        <w:t xml:space="preserve">, création d'espaces sûrs pour les groupes de discussion </w:t>
      </w:r>
      <w:r w:rsidR="00D356D9">
        <w:rPr>
          <w:rFonts w:cstheme="minorHAnsi"/>
        </w:rPr>
        <w:t>incluant</w:t>
      </w:r>
      <w:r w:rsidRPr="001B7E53">
        <w:rPr>
          <w:rFonts w:cstheme="minorHAnsi"/>
        </w:rPr>
        <w:t xml:space="preserve"> les femmes (</w:t>
      </w:r>
      <w:r w:rsidR="00D356D9">
        <w:rPr>
          <w:rFonts w:cstheme="minorHAnsi"/>
        </w:rPr>
        <w:t xml:space="preserve">implication d’une </w:t>
      </w:r>
      <w:r w:rsidRPr="001B7E53">
        <w:rPr>
          <w:rFonts w:cstheme="minorHAnsi"/>
        </w:rPr>
        <w:t>animatrice femme), et consultation préalable avec les leaders communautaires.</w:t>
      </w:r>
    </w:p>
    <w:p w14:paraId="3358C91F" w14:textId="67E31B5F" w:rsidR="003C3C9A" w:rsidRPr="001B7E53" w:rsidRDefault="003C3C9A" w:rsidP="00357CD2">
      <w:pPr>
        <w:pStyle w:val="ListParagraph"/>
        <w:numPr>
          <w:ilvl w:val="0"/>
          <w:numId w:val="9"/>
        </w:numPr>
        <w:spacing w:line="240" w:lineRule="auto"/>
        <w:ind w:left="357" w:hanging="357"/>
        <w:contextualSpacing w:val="0"/>
        <w:jc w:val="both"/>
        <w:rPr>
          <w:rFonts w:cstheme="minorHAnsi"/>
        </w:rPr>
      </w:pPr>
      <w:r w:rsidRPr="001B7E53">
        <w:rPr>
          <w:rFonts w:cstheme="minorHAnsi"/>
        </w:rPr>
        <w:lastRenderedPageBreak/>
        <w:t>Approche "Do No Harm" dans le contexte post-conflit pour éviter d'exacerber les tensions existantes, particulièrement sur les sujets sensibles (conflits</w:t>
      </w:r>
      <w:r w:rsidR="00D06876">
        <w:rPr>
          <w:rFonts w:cstheme="minorHAnsi"/>
        </w:rPr>
        <w:t xml:space="preserve"> intercommunautaires et conflits entre communautés et autorités</w:t>
      </w:r>
      <w:r w:rsidRPr="001B7E53">
        <w:rPr>
          <w:rFonts w:cstheme="minorHAnsi"/>
        </w:rPr>
        <w:t xml:space="preserve">, </w:t>
      </w:r>
      <w:r w:rsidR="005519F5">
        <w:rPr>
          <w:rFonts w:cstheme="minorHAnsi"/>
        </w:rPr>
        <w:t xml:space="preserve">mise en avant des facteurs ethniques, </w:t>
      </w:r>
      <w:r w:rsidR="00D06876">
        <w:rPr>
          <w:rFonts w:cstheme="minorHAnsi"/>
        </w:rPr>
        <w:t>exploitation illégale des ressources forestières, etc.</w:t>
      </w:r>
      <w:r w:rsidRPr="001B7E53">
        <w:rPr>
          <w:rFonts w:cstheme="minorHAnsi"/>
        </w:rPr>
        <w:t>).</w:t>
      </w:r>
    </w:p>
    <w:p w14:paraId="702871D1" w14:textId="58AB5AED" w:rsidR="003C3C9A" w:rsidRPr="001B7E53" w:rsidRDefault="003C3C9A" w:rsidP="00357CD2">
      <w:pPr>
        <w:pStyle w:val="ListParagraph"/>
        <w:numPr>
          <w:ilvl w:val="0"/>
          <w:numId w:val="9"/>
        </w:numPr>
        <w:spacing w:line="240" w:lineRule="auto"/>
        <w:ind w:left="357" w:hanging="357"/>
        <w:contextualSpacing w:val="0"/>
        <w:jc w:val="both"/>
        <w:rPr>
          <w:rFonts w:cstheme="minorHAnsi"/>
        </w:rPr>
      </w:pPr>
      <w:r w:rsidRPr="001B7E53">
        <w:rPr>
          <w:rFonts w:cstheme="minorHAnsi"/>
        </w:rPr>
        <w:t xml:space="preserve">Protection des données et confidentialité : </w:t>
      </w:r>
      <w:r w:rsidR="00F90664">
        <w:rPr>
          <w:rFonts w:cstheme="minorHAnsi"/>
        </w:rPr>
        <w:t>A</w:t>
      </w:r>
      <w:r w:rsidRPr="001B7E53">
        <w:rPr>
          <w:rFonts w:cstheme="minorHAnsi"/>
        </w:rPr>
        <w:t>nonymisation stricte des informations personnelles selon les standards internationaux, information explicite sur la confidentialité et le droit de retrait, assurance que la participation n'expose aucun répondant à des risques.</w:t>
      </w:r>
    </w:p>
    <w:p w14:paraId="72FEB427" w14:textId="0E9E03A0" w:rsidR="00F90664" w:rsidRDefault="003C3C9A" w:rsidP="00357CD2">
      <w:pPr>
        <w:pStyle w:val="ListParagraph"/>
        <w:numPr>
          <w:ilvl w:val="0"/>
          <w:numId w:val="9"/>
        </w:numPr>
        <w:spacing w:line="240" w:lineRule="auto"/>
        <w:ind w:left="357" w:hanging="357"/>
        <w:contextualSpacing w:val="0"/>
        <w:jc w:val="both"/>
        <w:rPr>
          <w:rFonts w:cstheme="minorHAnsi"/>
        </w:rPr>
      </w:pPr>
      <w:r w:rsidRPr="001B7E53">
        <w:rPr>
          <w:rFonts w:cstheme="minorHAnsi"/>
        </w:rPr>
        <w:t>Consentement libre</w:t>
      </w:r>
      <w:r w:rsidR="00546E04">
        <w:rPr>
          <w:rFonts w:cstheme="minorHAnsi"/>
        </w:rPr>
        <w:t xml:space="preserve">, </w:t>
      </w:r>
      <w:r w:rsidRPr="001B7E53">
        <w:rPr>
          <w:rFonts w:cstheme="minorHAnsi"/>
        </w:rPr>
        <w:t xml:space="preserve">éclairé </w:t>
      </w:r>
      <w:r w:rsidR="00546E04">
        <w:rPr>
          <w:rFonts w:cstheme="minorHAnsi"/>
        </w:rPr>
        <w:t xml:space="preserve">et préalable </w:t>
      </w:r>
      <w:r w:rsidRPr="001B7E53">
        <w:rPr>
          <w:rFonts w:cstheme="minorHAnsi"/>
        </w:rPr>
        <w:t xml:space="preserve">obtenu systématiquement en français et kirundi, avec possibilité de refus partiel ou total. </w:t>
      </w:r>
    </w:p>
    <w:p w14:paraId="5AA34AAC" w14:textId="40CC26F1" w:rsidR="003C3C9A" w:rsidRPr="00F90664" w:rsidRDefault="003C3C9A" w:rsidP="00F90664">
      <w:pPr>
        <w:spacing w:line="240" w:lineRule="auto"/>
        <w:jc w:val="both"/>
        <w:rPr>
          <w:rFonts w:cstheme="minorHAnsi"/>
        </w:rPr>
      </w:pPr>
      <w:r w:rsidRPr="00F90664">
        <w:rPr>
          <w:rFonts w:cstheme="minorHAnsi"/>
        </w:rPr>
        <w:t>Tous les membres de l'équipe ont signé le Code de conduite UNEG et certifié leur indépendance totale vis-à-vis du projet.</w:t>
      </w:r>
    </w:p>
    <w:p w14:paraId="7FD2129E" w14:textId="77777777" w:rsidR="001B7E53" w:rsidRPr="004C4E82" w:rsidRDefault="001B7E53" w:rsidP="001B7E53">
      <w:pPr>
        <w:pStyle w:val="ListParagraph"/>
        <w:spacing w:line="240" w:lineRule="auto"/>
        <w:ind w:left="357"/>
        <w:contextualSpacing w:val="0"/>
        <w:jc w:val="both"/>
        <w:rPr>
          <w:rFonts w:cstheme="minorHAnsi"/>
          <w:sz w:val="10"/>
          <w:szCs w:val="10"/>
        </w:rPr>
      </w:pPr>
    </w:p>
    <w:p w14:paraId="45748A1E" w14:textId="77777777" w:rsidR="003C3C9A" w:rsidRPr="003C3C9A" w:rsidRDefault="003C3C9A" w:rsidP="00FA638C">
      <w:pPr>
        <w:pStyle w:val="Heading2"/>
        <w:jc w:val="both"/>
        <w:rPr>
          <w:rFonts w:ascii="Open Sans" w:hAnsi="Open Sans"/>
          <w:color w:val="000099"/>
        </w:rPr>
      </w:pPr>
      <w:bookmarkStart w:id="45" w:name="_Toc216948973"/>
      <w:r w:rsidRPr="003C3C9A">
        <w:rPr>
          <w:rFonts w:ascii="Open Sans" w:hAnsi="Open Sans"/>
          <w:color w:val="000099"/>
        </w:rPr>
        <w:t>3.6 Limites méthodologiques et stratégies d'atténuation</w:t>
      </w:r>
      <w:bookmarkEnd w:id="45"/>
    </w:p>
    <w:p w14:paraId="22E36E60" w14:textId="77777777" w:rsidR="003C3C9A" w:rsidRPr="003C3C9A" w:rsidRDefault="003C3C9A" w:rsidP="00EF616B">
      <w:pPr>
        <w:spacing w:line="240" w:lineRule="auto"/>
        <w:jc w:val="both"/>
        <w:rPr>
          <w:rFonts w:cstheme="minorHAnsi"/>
        </w:rPr>
      </w:pPr>
      <w:r w:rsidRPr="003C3C9A">
        <w:rPr>
          <w:rFonts w:cstheme="minorHAnsi"/>
        </w:rPr>
        <w:t>Plusieurs limitations ont été identifiées avec des stratégies d'atténuation appropriées :</w:t>
      </w:r>
    </w:p>
    <w:p w14:paraId="0A0E2BAD" w14:textId="4B084374" w:rsidR="003C3C9A" w:rsidRPr="00FA638C" w:rsidRDefault="003C3C9A" w:rsidP="00357CD2">
      <w:pPr>
        <w:pStyle w:val="ListParagraph"/>
        <w:numPr>
          <w:ilvl w:val="0"/>
          <w:numId w:val="10"/>
        </w:numPr>
        <w:spacing w:line="240" w:lineRule="auto"/>
        <w:ind w:left="357" w:hanging="357"/>
        <w:contextualSpacing w:val="0"/>
        <w:jc w:val="both"/>
        <w:rPr>
          <w:rFonts w:cstheme="minorHAnsi"/>
        </w:rPr>
      </w:pPr>
      <w:r w:rsidRPr="00FA638C">
        <w:rPr>
          <w:rFonts w:cstheme="minorHAnsi"/>
        </w:rPr>
        <w:t xml:space="preserve">Durée limitée de la mission terrain (7 jours ouvrables) : </w:t>
      </w:r>
      <w:r w:rsidR="00C11CAD">
        <w:rPr>
          <w:rFonts w:cstheme="minorHAnsi"/>
        </w:rPr>
        <w:t>A</w:t>
      </w:r>
      <w:r w:rsidRPr="00FA638C">
        <w:rPr>
          <w:rFonts w:cstheme="minorHAnsi"/>
        </w:rPr>
        <w:t xml:space="preserve">tténuée par un échantillonnage optimisé couvrant </w:t>
      </w:r>
      <w:r w:rsidR="00363E40">
        <w:rPr>
          <w:rFonts w:cstheme="minorHAnsi"/>
        </w:rPr>
        <w:t>plus de 80</w:t>
      </w:r>
      <w:r w:rsidRPr="00FA638C">
        <w:rPr>
          <w:rFonts w:cstheme="minorHAnsi"/>
        </w:rPr>
        <w:t xml:space="preserve">% des bénéficiaires, une préparation approfondie en amont avec </w:t>
      </w:r>
      <w:r w:rsidR="00363E40">
        <w:rPr>
          <w:rFonts w:cstheme="minorHAnsi"/>
        </w:rPr>
        <w:t xml:space="preserve">des </w:t>
      </w:r>
      <w:r w:rsidRPr="00FA638C">
        <w:rPr>
          <w:rFonts w:cstheme="minorHAnsi"/>
        </w:rPr>
        <w:t>entretiens à distance préalables</w:t>
      </w:r>
      <w:r w:rsidR="00A16BD6">
        <w:rPr>
          <w:rFonts w:cstheme="minorHAnsi"/>
        </w:rPr>
        <w:t xml:space="preserve"> et</w:t>
      </w:r>
      <w:r w:rsidRPr="00FA638C">
        <w:rPr>
          <w:rFonts w:cstheme="minorHAnsi"/>
        </w:rPr>
        <w:t xml:space="preserve"> une organisation logistique rigoureuse minimisant les temps de déplacement.</w:t>
      </w:r>
    </w:p>
    <w:p w14:paraId="5CAE344F" w14:textId="03EE4A1A" w:rsidR="003C3C9A" w:rsidRPr="00FA638C" w:rsidRDefault="003C3C9A" w:rsidP="00357CD2">
      <w:pPr>
        <w:pStyle w:val="ListParagraph"/>
        <w:numPr>
          <w:ilvl w:val="0"/>
          <w:numId w:val="10"/>
        </w:numPr>
        <w:spacing w:line="240" w:lineRule="auto"/>
        <w:ind w:left="357" w:hanging="357"/>
        <w:contextualSpacing w:val="0"/>
        <w:jc w:val="both"/>
        <w:rPr>
          <w:rFonts w:cstheme="minorHAnsi"/>
        </w:rPr>
      </w:pPr>
      <w:r w:rsidRPr="00FA638C">
        <w:rPr>
          <w:rFonts w:cstheme="minorHAnsi"/>
        </w:rPr>
        <w:t xml:space="preserve">Complexité du modèle </w:t>
      </w:r>
      <w:proofErr w:type="spellStart"/>
      <w:r w:rsidRPr="00FA638C">
        <w:rPr>
          <w:rFonts w:cstheme="minorHAnsi"/>
        </w:rPr>
        <w:t>multi-partenaires</w:t>
      </w:r>
      <w:proofErr w:type="spellEnd"/>
      <w:r w:rsidRPr="00FA638C">
        <w:rPr>
          <w:rFonts w:cstheme="minorHAnsi"/>
        </w:rPr>
        <w:t xml:space="preserve"> (5 organisations) compliquant l'attribution causale : </w:t>
      </w:r>
      <w:r w:rsidR="00397D20">
        <w:rPr>
          <w:rFonts w:cstheme="minorHAnsi"/>
        </w:rPr>
        <w:t>A</w:t>
      </w:r>
      <w:r w:rsidRPr="00FA638C">
        <w:rPr>
          <w:rFonts w:cstheme="minorHAnsi"/>
        </w:rPr>
        <w:t>tténuée par l'utilisation renforcée de l'analyse de contribution, une cartographie détaillée chronologique des interventions</w:t>
      </w:r>
      <w:r w:rsidR="00397D20">
        <w:rPr>
          <w:rFonts w:cstheme="minorHAnsi"/>
        </w:rPr>
        <w:t xml:space="preserve"> et</w:t>
      </w:r>
      <w:r w:rsidRPr="00FA638C">
        <w:rPr>
          <w:rFonts w:cstheme="minorHAnsi"/>
        </w:rPr>
        <w:t xml:space="preserve"> des entretiens croisés avec tous les partenaires pour validation.</w:t>
      </w:r>
    </w:p>
    <w:p w14:paraId="221997D6" w14:textId="4EE8B095" w:rsidR="003C3C9A" w:rsidRPr="00FA638C" w:rsidRDefault="003C3C9A" w:rsidP="00357CD2">
      <w:pPr>
        <w:pStyle w:val="ListParagraph"/>
        <w:numPr>
          <w:ilvl w:val="0"/>
          <w:numId w:val="10"/>
        </w:numPr>
        <w:spacing w:line="240" w:lineRule="auto"/>
        <w:ind w:left="357" w:hanging="357"/>
        <w:contextualSpacing w:val="0"/>
        <w:jc w:val="both"/>
        <w:rPr>
          <w:rFonts w:cstheme="minorHAnsi"/>
        </w:rPr>
      </w:pPr>
      <w:r w:rsidRPr="00FA638C">
        <w:rPr>
          <w:rFonts w:cstheme="minorHAnsi"/>
        </w:rPr>
        <w:t xml:space="preserve">Données de </w:t>
      </w:r>
      <w:proofErr w:type="spellStart"/>
      <w:r w:rsidRPr="00FA638C">
        <w:rPr>
          <w:rFonts w:cstheme="minorHAnsi"/>
        </w:rPr>
        <w:t>baseline</w:t>
      </w:r>
      <w:proofErr w:type="spellEnd"/>
      <w:r w:rsidRPr="00FA638C">
        <w:rPr>
          <w:rFonts w:cstheme="minorHAnsi"/>
        </w:rPr>
        <w:t xml:space="preserve"> limitées pour certains indicateurs : </w:t>
      </w:r>
      <w:r w:rsidR="004C3889">
        <w:rPr>
          <w:rFonts w:cstheme="minorHAnsi"/>
        </w:rPr>
        <w:t>A</w:t>
      </w:r>
      <w:r w:rsidRPr="00FA638C">
        <w:rPr>
          <w:rFonts w:cstheme="minorHAnsi"/>
        </w:rPr>
        <w:t xml:space="preserve">tténuée par la reconstruction rétrospective à partir des rapports initiaux, l'utilisation de méthodes qualitatives d'évaluation du changement (Most </w:t>
      </w:r>
      <w:proofErr w:type="spellStart"/>
      <w:r w:rsidRPr="00FA638C">
        <w:rPr>
          <w:rFonts w:cstheme="minorHAnsi"/>
        </w:rPr>
        <w:t>Significant</w:t>
      </w:r>
      <w:proofErr w:type="spellEnd"/>
      <w:r w:rsidRPr="00FA638C">
        <w:rPr>
          <w:rFonts w:cstheme="minorHAnsi"/>
        </w:rPr>
        <w:t xml:space="preserve"> Change), et la comparaison avec des zones témoins non bénéficiaires lorsque possible.</w:t>
      </w:r>
    </w:p>
    <w:p w14:paraId="4AE2BE1D" w14:textId="09920C7B" w:rsidR="003C3C9A" w:rsidRDefault="003C3C9A" w:rsidP="00357CD2">
      <w:pPr>
        <w:pStyle w:val="ListParagraph"/>
        <w:numPr>
          <w:ilvl w:val="0"/>
          <w:numId w:val="10"/>
        </w:numPr>
        <w:spacing w:line="240" w:lineRule="auto"/>
        <w:ind w:left="357" w:hanging="357"/>
        <w:contextualSpacing w:val="0"/>
        <w:jc w:val="both"/>
        <w:rPr>
          <w:rFonts w:cstheme="minorHAnsi"/>
        </w:rPr>
      </w:pPr>
      <w:r w:rsidRPr="00FA638C">
        <w:rPr>
          <w:rFonts w:cstheme="minorHAnsi"/>
        </w:rPr>
        <w:t xml:space="preserve">Biais de sélection potentiels dans les focus groups : </w:t>
      </w:r>
      <w:r w:rsidR="00E0759A">
        <w:rPr>
          <w:rFonts w:cstheme="minorHAnsi"/>
        </w:rPr>
        <w:t>A</w:t>
      </w:r>
      <w:r w:rsidRPr="00FA638C">
        <w:rPr>
          <w:rFonts w:cstheme="minorHAnsi"/>
        </w:rPr>
        <w:t>tténués par l'organisation de sessions séparées pour groupes vulnérables</w:t>
      </w:r>
      <w:r w:rsidR="0058048B">
        <w:rPr>
          <w:rFonts w:cstheme="minorHAnsi"/>
        </w:rPr>
        <w:t xml:space="preserve"> (</w:t>
      </w:r>
      <w:proofErr w:type="spellStart"/>
      <w:r w:rsidR="0058048B">
        <w:rPr>
          <w:rFonts w:cstheme="minorHAnsi"/>
        </w:rPr>
        <w:t>Batwa</w:t>
      </w:r>
      <w:proofErr w:type="spellEnd"/>
      <w:r w:rsidR="0058048B">
        <w:rPr>
          <w:rFonts w:cstheme="minorHAnsi"/>
        </w:rPr>
        <w:t>)</w:t>
      </w:r>
      <w:r w:rsidRPr="00FA638C">
        <w:rPr>
          <w:rFonts w:cstheme="minorHAnsi"/>
        </w:rPr>
        <w:t xml:space="preserve">, et la triangulation systématique avec </w:t>
      </w:r>
      <w:r w:rsidR="00D874F4">
        <w:rPr>
          <w:rFonts w:cstheme="minorHAnsi"/>
        </w:rPr>
        <w:t xml:space="preserve">les </w:t>
      </w:r>
      <w:r w:rsidRPr="00FA638C">
        <w:rPr>
          <w:rFonts w:cstheme="minorHAnsi"/>
        </w:rPr>
        <w:t xml:space="preserve">observations directes et </w:t>
      </w:r>
      <w:r w:rsidR="00D874F4">
        <w:rPr>
          <w:rFonts w:cstheme="minorHAnsi"/>
        </w:rPr>
        <w:t xml:space="preserve">les </w:t>
      </w:r>
      <w:r w:rsidRPr="00FA638C">
        <w:rPr>
          <w:rFonts w:cstheme="minorHAnsi"/>
        </w:rPr>
        <w:t>entretiens individuels.</w:t>
      </w:r>
    </w:p>
    <w:p w14:paraId="4B7F4157" w14:textId="6812A19F" w:rsidR="00B26D9A" w:rsidRDefault="00855F76" w:rsidP="00357CD2">
      <w:pPr>
        <w:pStyle w:val="ListParagraph"/>
        <w:numPr>
          <w:ilvl w:val="0"/>
          <w:numId w:val="10"/>
        </w:numPr>
        <w:spacing w:line="240" w:lineRule="auto"/>
        <w:ind w:left="357" w:hanging="357"/>
        <w:contextualSpacing w:val="0"/>
        <w:jc w:val="both"/>
        <w:rPr>
          <w:rFonts w:cstheme="minorHAnsi"/>
        </w:rPr>
      </w:pPr>
      <w:r>
        <w:rPr>
          <w:rFonts w:cstheme="minorHAnsi"/>
        </w:rPr>
        <w:t>Innovations</w:t>
      </w:r>
      <w:r w:rsidR="00B26D9A" w:rsidRPr="00B26D9A">
        <w:rPr>
          <w:rFonts w:cstheme="minorHAnsi"/>
        </w:rPr>
        <w:t xml:space="preserve"> récent</w:t>
      </w:r>
      <w:r>
        <w:rPr>
          <w:rFonts w:cstheme="minorHAnsi"/>
        </w:rPr>
        <w:t>e</w:t>
      </w:r>
      <w:r w:rsidR="00B26D9A" w:rsidRPr="00B26D9A">
        <w:rPr>
          <w:rFonts w:cstheme="minorHAnsi"/>
        </w:rPr>
        <w:t xml:space="preserve">s </w:t>
      </w:r>
      <w:r w:rsidR="00B26D9A">
        <w:rPr>
          <w:rFonts w:cstheme="minorHAnsi"/>
        </w:rPr>
        <w:t>ne permettant pas un</w:t>
      </w:r>
      <w:r w:rsidR="00B26D9A" w:rsidRPr="00B26D9A">
        <w:rPr>
          <w:rFonts w:cstheme="minorHAnsi"/>
        </w:rPr>
        <w:t xml:space="preserve"> recul </w:t>
      </w:r>
      <w:r w:rsidR="00B26D9A">
        <w:rPr>
          <w:rFonts w:cstheme="minorHAnsi"/>
        </w:rPr>
        <w:t xml:space="preserve">suffisant pour </w:t>
      </w:r>
      <w:r w:rsidR="00B26D9A" w:rsidRPr="00B26D9A">
        <w:rPr>
          <w:rFonts w:cstheme="minorHAnsi"/>
        </w:rPr>
        <w:t>évaluer l</w:t>
      </w:r>
      <w:r>
        <w:rPr>
          <w:rFonts w:cstheme="minorHAnsi"/>
        </w:rPr>
        <w:t>eur</w:t>
      </w:r>
      <w:r w:rsidR="00B26D9A" w:rsidRPr="00B26D9A">
        <w:rPr>
          <w:rFonts w:cstheme="minorHAnsi"/>
        </w:rPr>
        <w:t xml:space="preserve"> durabilité à moyen terme </w:t>
      </w:r>
      <w:r w:rsidR="00B26D9A">
        <w:rPr>
          <w:rFonts w:cstheme="minorHAnsi"/>
        </w:rPr>
        <w:t>(</w:t>
      </w:r>
      <w:r w:rsidR="00B26D9A" w:rsidRPr="00B26D9A">
        <w:rPr>
          <w:rFonts w:cstheme="minorHAnsi"/>
        </w:rPr>
        <w:t>Fondation Kibira créée en 2024, mécanisme PSE</w:t>
      </w:r>
      <w:r w:rsidR="00B26D9A">
        <w:rPr>
          <w:rFonts w:cstheme="minorHAnsi"/>
        </w:rPr>
        <w:t xml:space="preserve"> </w:t>
      </w:r>
      <w:r w:rsidR="00B26D9A" w:rsidRPr="00B26D9A">
        <w:rPr>
          <w:rFonts w:cstheme="minorHAnsi"/>
        </w:rPr>
        <w:t>en phase de démarrage</w:t>
      </w:r>
      <w:r w:rsidR="00B26D9A">
        <w:rPr>
          <w:rFonts w:cstheme="minorHAnsi"/>
        </w:rPr>
        <w:t xml:space="preserve">, projet </w:t>
      </w:r>
      <w:r w:rsidR="00B26D9A" w:rsidRPr="00B26D9A">
        <w:rPr>
          <w:rFonts w:cstheme="minorHAnsi"/>
        </w:rPr>
        <w:t xml:space="preserve">hydroélectrique </w:t>
      </w:r>
      <w:r w:rsidR="00B26D9A">
        <w:rPr>
          <w:rFonts w:cstheme="minorHAnsi"/>
        </w:rPr>
        <w:t>lancé en 2024)</w:t>
      </w:r>
      <w:r w:rsidR="00B26D9A" w:rsidRPr="00B26D9A">
        <w:rPr>
          <w:rFonts w:cstheme="minorHAnsi"/>
        </w:rPr>
        <w:t xml:space="preserve"> : </w:t>
      </w:r>
      <w:r w:rsidR="00B26D9A">
        <w:rPr>
          <w:rFonts w:cstheme="minorHAnsi"/>
        </w:rPr>
        <w:t>A</w:t>
      </w:r>
      <w:r w:rsidR="00B26D9A" w:rsidRPr="00B26D9A">
        <w:rPr>
          <w:rFonts w:cstheme="minorHAnsi"/>
        </w:rPr>
        <w:t>tténué</w:t>
      </w:r>
      <w:r w:rsidR="00B26D9A">
        <w:rPr>
          <w:rFonts w:cstheme="minorHAnsi"/>
        </w:rPr>
        <w:t>s</w:t>
      </w:r>
      <w:r w:rsidR="00B26D9A" w:rsidRPr="00B26D9A">
        <w:rPr>
          <w:rFonts w:cstheme="minorHAnsi"/>
        </w:rPr>
        <w:t xml:space="preserve"> par une approche prospective analysant les conditions de pérennité plutôt que les impacts définitifs</w:t>
      </w:r>
      <w:r w:rsidR="00B26D9A">
        <w:rPr>
          <w:rFonts w:cstheme="minorHAnsi"/>
        </w:rPr>
        <w:t xml:space="preserve"> et</w:t>
      </w:r>
      <w:r w:rsidR="00B26D9A" w:rsidRPr="00B26D9A">
        <w:rPr>
          <w:rFonts w:cstheme="minorHAnsi"/>
        </w:rPr>
        <w:t xml:space="preserve"> </w:t>
      </w:r>
      <w:r w:rsidR="004E25FB">
        <w:rPr>
          <w:rFonts w:cstheme="minorHAnsi"/>
        </w:rPr>
        <w:t xml:space="preserve">par </w:t>
      </w:r>
      <w:r w:rsidR="00B26D9A" w:rsidRPr="00B26D9A">
        <w:rPr>
          <w:rFonts w:cstheme="minorHAnsi"/>
        </w:rPr>
        <w:t>l'examen approfondi des structures de gouvernance et mécanismes de financement.</w:t>
      </w:r>
    </w:p>
    <w:p w14:paraId="067C4292" w14:textId="77777777" w:rsidR="000D4EA8" w:rsidRPr="000D4EA8" w:rsidRDefault="000D4EA8" w:rsidP="000D4EA8">
      <w:pPr>
        <w:spacing w:line="240" w:lineRule="auto"/>
        <w:jc w:val="both"/>
        <w:rPr>
          <w:rFonts w:cstheme="minorHAnsi"/>
        </w:rPr>
      </w:pPr>
    </w:p>
    <w:p w14:paraId="40EEF635" w14:textId="77777777" w:rsidR="00776702" w:rsidRPr="000D4EA8" w:rsidRDefault="00776702">
      <w:pPr>
        <w:spacing w:before="0" w:after="160"/>
        <w:rPr>
          <w:rFonts w:cstheme="minorHAnsi"/>
          <w:sz w:val="28"/>
          <w:szCs w:val="28"/>
        </w:rPr>
      </w:pPr>
      <w:r w:rsidRPr="000D4EA8">
        <w:rPr>
          <w:rFonts w:cstheme="minorHAnsi"/>
          <w:sz w:val="28"/>
          <w:szCs w:val="28"/>
        </w:rPr>
        <w:br w:type="page"/>
      </w:r>
    </w:p>
    <w:p w14:paraId="2A681371" w14:textId="2657A87A" w:rsidR="00776702" w:rsidRPr="00925FBE" w:rsidRDefault="008E3629" w:rsidP="00776702">
      <w:pPr>
        <w:pStyle w:val="Heading1"/>
        <w:rPr>
          <w:rFonts w:ascii="Open Sans" w:hAnsi="Open Sans"/>
        </w:rPr>
      </w:pPr>
      <w:bookmarkStart w:id="46" w:name="_Toc216948974"/>
      <w:r>
        <w:rPr>
          <w:rFonts w:ascii="Open Sans" w:hAnsi="Open Sans"/>
        </w:rPr>
        <w:lastRenderedPageBreak/>
        <w:t>Résultats de l’évaluation</w:t>
      </w:r>
      <w:bookmarkEnd w:id="46"/>
    </w:p>
    <w:p w14:paraId="57F6A094" w14:textId="77777777" w:rsidR="00C259EF" w:rsidRPr="000F11CE" w:rsidRDefault="00C259EF" w:rsidP="00776702">
      <w:pPr>
        <w:widowControl w:val="0"/>
        <w:jc w:val="both"/>
        <w:rPr>
          <w:rFonts w:cstheme="minorHAnsi"/>
          <w:bCs/>
          <w:sz w:val="22"/>
          <w:lang w:val="en-US"/>
        </w:rPr>
      </w:pPr>
    </w:p>
    <w:p w14:paraId="2B5DFE51" w14:textId="7E47C94A" w:rsidR="00776702" w:rsidRDefault="00776702" w:rsidP="00776702">
      <w:pPr>
        <w:pStyle w:val="Heading2"/>
        <w:jc w:val="both"/>
        <w:rPr>
          <w:rFonts w:ascii="Open Sans" w:hAnsi="Open Sans"/>
          <w:color w:val="000099"/>
          <w:lang w:val="en-US"/>
        </w:rPr>
      </w:pPr>
      <w:bookmarkStart w:id="47" w:name="_Toc216948975"/>
      <w:r w:rsidRPr="000F11CE">
        <w:rPr>
          <w:rFonts w:ascii="Open Sans" w:hAnsi="Open Sans"/>
          <w:color w:val="000099"/>
          <w:lang w:val="en-US"/>
        </w:rPr>
        <w:t xml:space="preserve">4.1 </w:t>
      </w:r>
      <w:r w:rsidR="008E3629">
        <w:rPr>
          <w:rFonts w:ascii="Open Sans" w:hAnsi="Open Sans"/>
          <w:color w:val="000099"/>
          <w:lang w:val="en-US"/>
        </w:rPr>
        <w:t>Pertinence</w:t>
      </w:r>
      <w:bookmarkEnd w:id="47"/>
    </w:p>
    <w:p w14:paraId="250A5226" w14:textId="77777777" w:rsidR="008E3629" w:rsidRDefault="008E3629" w:rsidP="008E3629">
      <w:pPr>
        <w:rPr>
          <w:lang w:val="en-US"/>
        </w:rPr>
      </w:pPr>
    </w:p>
    <w:p w14:paraId="7FB028AB" w14:textId="302CF09E" w:rsidR="00AE4974" w:rsidRPr="0006635C" w:rsidRDefault="00AE4974" w:rsidP="0006635C">
      <w:pPr>
        <w:pStyle w:val="NoSpacing"/>
        <w:rPr>
          <w:lang w:val="fr-FR"/>
        </w:rPr>
      </w:pPr>
      <w:r w:rsidRPr="0006635C">
        <w:rPr>
          <w:lang w:val="fr-FR"/>
        </w:rPr>
        <w:t>Un alignement stratégique fort avec les agendas mondiaux, les ODD et les priorités onusiennes</w:t>
      </w:r>
    </w:p>
    <w:p w14:paraId="37F66589" w14:textId="77777777" w:rsidR="00BA09E8" w:rsidRDefault="00AE4974" w:rsidP="00AE4974">
      <w:pPr>
        <w:spacing w:line="240" w:lineRule="auto"/>
        <w:jc w:val="both"/>
      </w:pPr>
      <w:r w:rsidRPr="00AE4974">
        <w:t xml:space="preserve">Le projet Kibira Sanctuaire de Paix démontre un alignement stratégique remarquable avec les agendas mondiaux et les priorités onusiennes de consolidation de la paix et de développement durable. </w:t>
      </w:r>
    </w:p>
    <w:p w14:paraId="24153523" w14:textId="05CF88EB" w:rsidR="00AE4974" w:rsidRPr="00AE4974" w:rsidRDefault="00AE4974" w:rsidP="00AE4974">
      <w:pPr>
        <w:spacing w:line="240" w:lineRule="auto"/>
        <w:jc w:val="both"/>
      </w:pPr>
      <w:r w:rsidRPr="00AE4974">
        <w:t xml:space="preserve">L'analyse de la conception et de la mise en œuvre révèle une contribution directe et substantielle à six Objectifs de Développement Durable (ODD) prioritaires. L'ODD 16 (Paix, justice et institutions efficaces) constitue le cœur même de l'intervention à travers le renforcement de la gouvernance locale par la Fondation Kibira et le développement de mécanismes de résolution des conflits. L'engagement communautaire et la cogestion du parc national incarnent cette ambition de bâtir des institutions fortes et inclusives. L'ODD 7 (Énergie propre et abordable) trouve sa matérialisation dans l'investissement de 1,5 million USD dans le projet hydroélectrique de </w:t>
      </w:r>
      <w:proofErr w:type="spellStart"/>
      <w:r w:rsidRPr="00AE4974">
        <w:t>Mpanda</w:t>
      </w:r>
      <w:proofErr w:type="spellEnd"/>
      <w:r w:rsidRPr="00AE4974">
        <w:t xml:space="preserve">. L'ODD 13 (Action climatique) est directement adressé par les </w:t>
      </w:r>
      <w:r w:rsidR="00BA09E8">
        <w:t>activités</w:t>
      </w:r>
      <w:r w:rsidRPr="00AE4974">
        <w:t xml:space="preserve"> </w:t>
      </w:r>
      <w:r w:rsidR="00BA09E8">
        <w:t>de conservation</w:t>
      </w:r>
      <w:r w:rsidRPr="00AE4974">
        <w:t xml:space="preserve"> </w:t>
      </w:r>
      <w:r w:rsidR="00BA09E8">
        <w:t xml:space="preserve">et </w:t>
      </w:r>
      <w:r w:rsidR="00BA09E8" w:rsidRPr="00AE4974">
        <w:t xml:space="preserve">la promotion des énergies renouvelables </w:t>
      </w:r>
      <w:r w:rsidRPr="00AE4974">
        <w:t>qui contribuent à l'atténuation du changement climatique et à l'adaptation à celui-ci. L'ODD 15 (Vie terrestre) s'incarne dans l'objectif principal de conservation du Parc National de la Kibira et des écosystèmes environnants, avec des activités concrètes de reboisement, de lutte contre le braconnage et de promotion de moyens de subsistance durables visant à protéger et restaurer les écosystèmes terrestres. L'ODD 17 (Partenariats pour les objectifs) est illustré par l'approche collaborative mobilisant le gouvernement, les communautés locales, les acteurs du secteur privé et les partenaires de développement, ces partenariats étant essentiels pour mobiliser les ressources et atteindre les objectifs du projet. Enfin, l'ODD 5 (Égalité des sexes) bénéficie d'une attention particulière avec 43% du budget alloué à l'égalité des sexes et à l'autonomisation économique des femmes.</w:t>
      </w:r>
    </w:p>
    <w:p w14:paraId="20951659" w14:textId="72EEB79C" w:rsidR="00522E4D" w:rsidRDefault="00AE4974" w:rsidP="00AE4974">
      <w:pPr>
        <w:spacing w:line="240" w:lineRule="auto"/>
        <w:jc w:val="both"/>
      </w:pPr>
      <w:r w:rsidRPr="00AE4974">
        <w:t xml:space="preserve">Au-delà de l'alignement avec les ODD, le projet s'inscrit pleinement dans la stratégie PBF 2020-2024 en facilitant l'investissement dans des projets pour mieux aborder les causes profondes interconnectées de l'instabilité dans la région des Grands Lacs. </w:t>
      </w:r>
    </w:p>
    <w:p w14:paraId="42BE4FB1" w14:textId="77777777" w:rsidR="008C35C0" w:rsidRDefault="00AE4974" w:rsidP="00AE4974">
      <w:pPr>
        <w:spacing w:line="240" w:lineRule="auto"/>
        <w:jc w:val="both"/>
      </w:pPr>
      <w:r w:rsidRPr="00AE4974">
        <w:t xml:space="preserve">Il contribue également à la mise en œuvre de la Stratégie des Nations Unies pour la consolidation de la paix dans la région des Grands Lacs (2020), notamment la Priorité 2 (coopération transfrontalière sur les questions de sécurité), la Priorité 6 (coopération économique régionale facilitant les partenariats avec le secteur privé) et la Priorité 10 (renforcement des capacités d'anticipation et d'absorption des chocs </w:t>
      </w:r>
      <w:r w:rsidR="00B34438">
        <w:t>internes et externes</w:t>
      </w:r>
      <w:r w:rsidRPr="00AE4974">
        <w:t xml:space="preserve">). </w:t>
      </w:r>
    </w:p>
    <w:p w14:paraId="5CA453DC" w14:textId="5C2182A6" w:rsidR="00AE4974" w:rsidRDefault="008C15B2" w:rsidP="00AE4974">
      <w:pPr>
        <w:spacing w:line="240" w:lineRule="auto"/>
        <w:jc w:val="both"/>
      </w:pPr>
      <w:r>
        <w:t>Sur un autre plan, l</w:t>
      </w:r>
      <w:r w:rsidR="00AE4974" w:rsidRPr="00AE4974">
        <w:t>e projet s'aligne parfaitement avec le mandat de l'UNCDF en ciblant un pays moins avancé (PMA) et en utilisant le financement catalytique mixte pour mobiliser des ressources additionnelles. L'approche répond aux quatre priorités thématiques du Cadre Stratégique UNCDF 2022-2025 : le financement local transformationnel à travers la Fondation Kibira, l'économie verte par l'accent sur la conservation et l'énergie propre, les économies inclusives via les moyens de subsistance communautaires, et l'égalité des sexes.</w:t>
      </w:r>
    </w:p>
    <w:p w14:paraId="29CF38B5" w14:textId="77777777" w:rsidR="008C35C0" w:rsidRDefault="008C35C0" w:rsidP="00AE4974">
      <w:pPr>
        <w:spacing w:line="240" w:lineRule="auto"/>
        <w:jc w:val="both"/>
      </w:pPr>
    </w:p>
    <w:p w14:paraId="7E81F335" w14:textId="77777777" w:rsidR="008C35C0" w:rsidRPr="00AE4974" w:rsidRDefault="008C35C0" w:rsidP="00AE4974">
      <w:pPr>
        <w:spacing w:line="240" w:lineRule="auto"/>
        <w:jc w:val="both"/>
      </w:pPr>
    </w:p>
    <w:p w14:paraId="2731F817" w14:textId="6C99D809" w:rsidR="00AE4974" w:rsidRPr="00AE4974" w:rsidRDefault="00AE4974" w:rsidP="00E63AFD">
      <w:pPr>
        <w:pStyle w:val="NoSpacing"/>
        <w:rPr>
          <w:lang w:val="fr-FR"/>
        </w:rPr>
      </w:pPr>
      <w:r w:rsidRPr="00AE4974">
        <w:rPr>
          <w:lang w:val="fr-FR"/>
        </w:rPr>
        <w:lastRenderedPageBreak/>
        <w:t>Une forte appropriation par le gouvernement burundais et alignement avec les priorités nationales</w:t>
      </w:r>
    </w:p>
    <w:p w14:paraId="430743AD" w14:textId="77777777" w:rsidR="00AE4974" w:rsidRPr="00AE4974" w:rsidRDefault="00AE4974" w:rsidP="00AE4974">
      <w:pPr>
        <w:spacing w:line="240" w:lineRule="auto"/>
        <w:jc w:val="both"/>
      </w:pPr>
      <w:r w:rsidRPr="00AE4974">
        <w:t>Le projet bénéficie d'une forte appropriation par le gouvernement burundais et s'inscrit pleinement dans les priorités stratégiques nationales de développement. Il soutient directement la Vision Burundi 2040/2060 (« Un pays émergent d'ici 2040 et un pays développé d'ici 2060 ») et contribue à la transformation économique juste et verte du pays telle qu'articulée dans cette vision nationale ambitieuse. Le projet s'aligne également avec le Plan National de Développement (PND) 2018-2027 révisé, qui met l'accent sur la croissance économique durable, la protection de l'environnement et la cohésion sociale. Les trois composantes du projet répondent directement à ces priorités nationales en combinant développement économique local, conservation environnementale et consolidation de la paix.</w:t>
      </w:r>
    </w:p>
    <w:p w14:paraId="52D93461" w14:textId="77777777" w:rsidR="00E534EF" w:rsidRDefault="00AE4974" w:rsidP="00AE4974">
      <w:pPr>
        <w:spacing w:line="240" w:lineRule="auto"/>
        <w:jc w:val="both"/>
      </w:pPr>
      <w:r w:rsidRPr="00AE4974">
        <w:t xml:space="preserve">L'alignement avec la Stratégie Nationale de Capitalisation de la Paix est particulièrement remarquable. En favorisant une gouvernance inclusive et la participation équitable des femmes et des groupes marginalisés, le projet appuie directement l'Agenda National de Consolidation de la Paix et de Résilience dans les zones post-conflit. La création de la Fondation Kibira illustre la manière dont les engagements politiques peuvent être opérationnalisés localement grâce à une gouvernance participative et responsable. </w:t>
      </w:r>
    </w:p>
    <w:p w14:paraId="1549F668" w14:textId="5497A43F" w:rsidR="00AC0A52" w:rsidRDefault="00AC0A52" w:rsidP="00AE4974">
      <w:pPr>
        <w:spacing w:line="240" w:lineRule="auto"/>
        <w:jc w:val="both"/>
      </w:pPr>
      <w:r>
        <w:t xml:space="preserve">Le Projet est également aligné à la Contribution Déterminée au Niveau National </w:t>
      </w:r>
      <w:r w:rsidR="00F040B6">
        <w:t xml:space="preserve">(troisième génération) </w:t>
      </w:r>
      <w:r>
        <w:t xml:space="preserve">CDN 3.0 </w:t>
      </w:r>
      <w:r w:rsidR="00B572FB">
        <w:t>soumise</w:t>
      </w:r>
      <w:r>
        <w:t xml:space="preserve"> au Secrétariat de la Convention cadre des Nations Unies sur le c</w:t>
      </w:r>
      <w:r w:rsidR="000244D7">
        <w:t>h</w:t>
      </w:r>
      <w:r>
        <w:t>angement climatique le 10 novembre 2025</w:t>
      </w:r>
      <w:r w:rsidR="00B572FB">
        <w:t xml:space="preserve">. </w:t>
      </w:r>
      <w:r w:rsidR="0053301E">
        <w:t>En effet, les actions pr</w:t>
      </w:r>
      <w:r w:rsidR="00007178">
        <w:t>o</w:t>
      </w:r>
      <w:r w:rsidR="0053301E">
        <w:t xml:space="preserve">posées dans le </w:t>
      </w:r>
      <w:r w:rsidR="00007178">
        <w:t>c</w:t>
      </w:r>
      <w:r w:rsidR="0053301E">
        <w:t xml:space="preserve">adre du Projet sont fortement </w:t>
      </w:r>
      <w:r w:rsidR="00007178">
        <w:t>alignées</w:t>
      </w:r>
      <w:r w:rsidR="0053301E">
        <w:t xml:space="preserve"> aux </w:t>
      </w:r>
      <w:r w:rsidR="00A902FD">
        <w:t>stratégies d’atténuation et d’</w:t>
      </w:r>
      <w:r w:rsidR="00007178">
        <w:t>adaptation</w:t>
      </w:r>
      <w:r w:rsidR="00A902FD">
        <w:t xml:space="preserve"> pr</w:t>
      </w:r>
      <w:r w:rsidR="00007178">
        <w:t>o</w:t>
      </w:r>
      <w:r w:rsidR="00A902FD">
        <w:t>posées dans la CDN</w:t>
      </w:r>
      <w:r w:rsidR="000244D7">
        <w:t>.</w:t>
      </w:r>
      <w:r>
        <w:t xml:space="preserve"> </w:t>
      </w:r>
    </w:p>
    <w:p w14:paraId="08BC1BF8" w14:textId="6F094CEE" w:rsidR="00AE4974" w:rsidRPr="00AE4974" w:rsidRDefault="00AE4974" w:rsidP="00AE4974">
      <w:pPr>
        <w:spacing w:line="240" w:lineRule="auto"/>
        <w:jc w:val="both"/>
      </w:pPr>
      <w:r w:rsidRPr="00AE4974">
        <w:t xml:space="preserve">Sur le plan sectoriel, le projet répond aux priorités gouvernementales dans plusieurs domaines stratégiques. En matière de paix et de réconciliation, il contribue à la réduction des tensions intercommunautaires et au rétablissement de relations apaisées entre populations et autorités. L'inclusion sociale, particulièrement des </w:t>
      </w:r>
      <w:proofErr w:type="spellStart"/>
      <w:r w:rsidRPr="00AE4974">
        <w:t>Batwa</w:t>
      </w:r>
      <w:proofErr w:type="spellEnd"/>
      <w:r w:rsidRPr="00AE4974">
        <w:t xml:space="preserve">, s'inscrit dans les politiques gouvernementales d'équité et de non-discrimination. Le projet appuie la restauration de la sécurité dans le Parc National de la Kibira et le rétablissement de l'autorité de l'État, répondant ainsi aux priorités sécuritaires. La conservation et la protection du PNK s'alignent avec la Stratégie Nationale sur le Changement Climatique et la Biodiversité. Le renforcement de la production électrique verte répond aux défis énergétiques du pays, tandis que l'approche de Partenariat Public-Privé (PPP) pour le projet hydroélectrique de </w:t>
      </w:r>
      <w:proofErr w:type="spellStart"/>
      <w:r w:rsidRPr="00AE4974">
        <w:t>Mpanda</w:t>
      </w:r>
      <w:proofErr w:type="spellEnd"/>
      <w:r w:rsidRPr="00AE4974">
        <w:t xml:space="preserve"> correspond à la volonté gouvernementale de mobiliser des financements privés pour le développement.</w:t>
      </w:r>
    </w:p>
    <w:p w14:paraId="33899D96" w14:textId="21953883" w:rsidR="00AE4974" w:rsidRDefault="00C71BD5" w:rsidP="00AE4974">
      <w:pPr>
        <w:spacing w:line="240" w:lineRule="auto"/>
        <w:jc w:val="both"/>
      </w:pPr>
      <w:r w:rsidRPr="00C71BD5">
        <w:t xml:space="preserve">L'appropriation gouvernementale se manifeste dès le plus haut niveau de l'État, avec l'implication directe de la Présidence de la République dans la conception du projet et la mise en place de la Fondation Kibira. Le soutien présidentiel a été déterminant pour la conclusion de l'accord de cogestion entre la Fondation et l'OBPE, premier accord de ce type au Burundi. L'implication active de plusieurs ministères et institutions nationales renforce cette forte appropriation : l'Office Burundais pour la Protection de l'Environnement (OBPE) pour la cogestion du parc et la supervision de la conservation, le Ministère de l'Énergie pour la mise en œuvre de la composante financement mixte, et les autorités locales </w:t>
      </w:r>
      <w:r w:rsidR="00970DB5">
        <w:t>pour leur contribution</w:t>
      </w:r>
      <w:r w:rsidRPr="00C71BD5">
        <w:t xml:space="preserve"> à la mise en œuvre des activités communautaires.</w:t>
      </w:r>
    </w:p>
    <w:p w14:paraId="3510F653" w14:textId="77777777" w:rsidR="00C71BD5" w:rsidRPr="004C4E82" w:rsidRDefault="00C71BD5" w:rsidP="00AE4974">
      <w:pPr>
        <w:spacing w:line="240" w:lineRule="auto"/>
        <w:jc w:val="both"/>
        <w:rPr>
          <w:sz w:val="10"/>
          <w:szCs w:val="10"/>
        </w:rPr>
      </w:pPr>
    </w:p>
    <w:p w14:paraId="416F4894" w14:textId="7C4D9DAD" w:rsidR="00AE4974" w:rsidRPr="00AE4974" w:rsidRDefault="00AE4974" w:rsidP="00BF568D">
      <w:pPr>
        <w:pStyle w:val="NoSpacing"/>
        <w:rPr>
          <w:lang w:val="fr-FR"/>
        </w:rPr>
      </w:pPr>
      <w:r w:rsidRPr="00AE4974">
        <w:rPr>
          <w:lang w:val="fr-FR"/>
        </w:rPr>
        <w:t>Une réponse pertinente aux besoins des populations mais à portée géographique</w:t>
      </w:r>
      <w:r w:rsidR="00C5499B">
        <w:rPr>
          <w:lang w:val="fr-FR"/>
        </w:rPr>
        <w:t xml:space="preserve"> et intensité</w:t>
      </w:r>
      <w:r w:rsidRPr="00AE4974">
        <w:rPr>
          <w:lang w:val="fr-FR"/>
        </w:rPr>
        <w:t xml:space="preserve"> limitée</w:t>
      </w:r>
      <w:r w:rsidR="00C5499B">
        <w:rPr>
          <w:lang w:val="fr-FR"/>
        </w:rPr>
        <w:t>s</w:t>
      </w:r>
    </w:p>
    <w:p w14:paraId="74B5666C" w14:textId="40AE129D" w:rsidR="00967734" w:rsidRDefault="00AE4974" w:rsidP="00AE4974">
      <w:pPr>
        <w:spacing w:line="240" w:lineRule="auto"/>
        <w:jc w:val="both"/>
      </w:pPr>
      <w:r w:rsidRPr="00AE4974">
        <w:t xml:space="preserve">Le projet a démontré une capacité remarquable à identifier et répondre aux besoins réels des populations vivant autour du Parc National de la Kibira. L'amélioration des moyens de subsistance constitue une réponse directe aux défis économiques des communautés, avec la création </w:t>
      </w:r>
      <w:r w:rsidRPr="00AE4974">
        <w:lastRenderedPageBreak/>
        <w:t xml:space="preserve">d'emplois de main-d'œuvre locale, le développement d'activités génératrices de revenus agricoles (culture de champignons, apiculture, production fruitière), </w:t>
      </w:r>
      <w:r w:rsidR="00134700" w:rsidRPr="00134700">
        <w:t>et l'accès à de nouvelles plantations agroforestières en dehors du parc. Ces plantations permettent aux populations de subvenir à leurs besoins essentiels en bois de chauffe</w:t>
      </w:r>
      <w:r w:rsidR="003C7656">
        <w:t xml:space="preserve"> et de service</w:t>
      </w:r>
      <w:r w:rsidR="00134700" w:rsidRPr="00134700">
        <w:t>, bambous pour la construction, et autres produits forestiers</w:t>
      </w:r>
      <w:r w:rsidR="00B96A18">
        <w:t xml:space="preserve"> ligneux et non ligneux (</w:t>
      </w:r>
      <w:r w:rsidR="00890C6A">
        <w:t>plantes médicinales</w:t>
      </w:r>
      <w:r w:rsidR="00CB6D3A">
        <w:t>, aliments.</w:t>
      </w:r>
      <w:r w:rsidR="00890C6A">
        <w:t>.</w:t>
      </w:r>
      <w:r w:rsidR="00CB6D3A">
        <w:t>.)</w:t>
      </w:r>
      <w:r w:rsidR="00134700" w:rsidRPr="00134700">
        <w:t>, sans avoir à exploiter les ressources du Parc National</w:t>
      </w:r>
      <w:r w:rsidRPr="00AE4974">
        <w:t xml:space="preserve">. Le projet hydroélectrique de </w:t>
      </w:r>
      <w:proofErr w:type="spellStart"/>
      <w:r w:rsidRPr="00AE4974">
        <w:t>Mpanda</w:t>
      </w:r>
      <w:proofErr w:type="spellEnd"/>
      <w:r w:rsidRPr="00AE4974">
        <w:t xml:space="preserve"> offre également des perspectives d'accès à l'électricité pour les communautés environnantes. </w:t>
      </w:r>
    </w:p>
    <w:p w14:paraId="65401B5F" w14:textId="6297CD8C" w:rsidR="00AE4974" w:rsidRPr="00AE4974" w:rsidRDefault="00AE4974" w:rsidP="00AE4974">
      <w:pPr>
        <w:spacing w:line="240" w:lineRule="auto"/>
        <w:jc w:val="both"/>
      </w:pPr>
      <w:r w:rsidRPr="00AE4974">
        <w:t xml:space="preserve">L'inclusion sociale des catégories vulnérables représente un point fort majeur, avec une attention particulière portée aux </w:t>
      </w:r>
      <w:proofErr w:type="spellStart"/>
      <w:r w:rsidRPr="00AE4974">
        <w:t>Batwa</w:t>
      </w:r>
      <w:proofErr w:type="spellEnd"/>
      <w:r w:rsidRPr="00AE4974">
        <w:t xml:space="preserve"> et aux femmes. Les </w:t>
      </w:r>
      <w:r w:rsidR="001B1756">
        <w:t>communautés</w:t>
      </w:r>
      <w:r w:rsidRPr="00AE4974">
        <w:t xml:space="preserve"> </w:t>
      </w:r>
      <w:proofErr w:type="spellStart"/>
      <w:r w:rsidRPr="00AE4974">
        <w:t>Batwa</w:t>
      </w:r>
      <w:proofErr w:type="spellEnd"/>
      <w:r w:rsidRPr="00AE4974">
        <w:t xml:space="preserve"> ciblé</w:t>
      </w:r>
      <w:r w:rsidR="001B1756">
        <w:t>e</w:t>
      </w:r>
      <w:r w:rsidRPr="00AE4974">
        <w:t xml:space="preserve">s ont bénéficié d'opportunités économiques, notamment à travers la culture de champignons qui a généré des revenus significatifs. L'acquisition foncière pour les </w:t>
      </w:r>
      <w:proofErr w:type="spellStart"/>
      <w:r w:rsidRPr="00AE4974">
        <w:t>Batwa</w:t>
      </w:r>
      <w:proofErr w:type="spellEnd"/>
      <w:r w:rsidRPr="00AE4974">
        <w:t xml:space="preserve"> à </w:t>
      </w:r>
      <w:proofErr w:type="spellStart"/>
      <w:r w:rsidRPr="00AE4974">
        <w:t>Muciro</w:t>
      </w:r>
      <w:proofErr w:type="spellEnd"/>
      <w:r w:rsidRPr="00AE4974">
        <w:t xml:space="preserve"> et leur participation aux Comités de Protection de la Kibira (CPK) témoignent d'une volonté d'inclusion sociale profonde. Les femmes représentent une part substantielle des bénéficiaires et ont été impliquées dans toutes les dimensions du projet, de la gouvernance (présence dans les CPK et la Fondation) aux activités génératrices de revenus. La contribution du projet à la paix et à la sécurité répond également à un besoin fondamental exprimé par les populations, avec l'amélioration des relations entre communautés et écogardes, et la réduction des tensions liées à l'exploitation illégale des ressources forestières.</w:t>
      </w:r>
    </w:p>
    <w:p w14:paraId="676701E5" w14:textId="719FA8FD" w:rsidR="00AE4974" w:rsidRPr="00AE4974" w:rsidRDefault="00AE4974" w:rsidP="00AE4974">
      <w:pPr>
        <w:spacing w:line="240" w:lineRule="auto"/>
        <w:jc w:val="both"/>
      </w:pPr>
      <w:r w:rsidRPr="00AE4974">
        <w:t xml:space="preserve">L'approche culturelle adoptée par le projet, utilisant les contes et récits traditionnels pour promouvoir la réconciliation et valoriser le patrimoine, s'est révélée particulièrement pertinente et adaptée au contexte local burundais. L'initiative de collecte d'histoires et de souvenirs liés à la forêt de Kibira a permis de sensibiliser les artistes locaux et de soutenir des événements culturels qui ont renforcé le sentiment d'appartenance et la cohésion sociale. </w:t>
      </w:r>
    </w:p>
    <w:p w14:paraId="7DDC4957" w14:textId="27FFA7E3" w:rsidR="00F55BA4" w:rsidRDefault="00AE4974" w:rsidP="00AE4974">
      <w:pPr>
        <w:spacing w:line="240" w:lineRule="auto"/>
        <w:jc w:val="both"/>
      </w:pPr>
      <w:r w:rsidRPr="00AE4974">
        <w:t xml:space="preserve">Cependant, </w:t>
      </w:r>
      <w:r w:rsidR="005723EE">
        <w:t>l</w:t>
      </w:r>
      <w:r w:rsidRPr="00AE4974">
        <w:t xml:space="preserve">e budget alloué aux actions à impact immédiat apparaît limité : </w:t>
      </w:r>
      <w:r w:rsidR="0033285D">
        <w:t xml:space="preserve">Conformément au rapport financier de COH, </w:t>
      </w:r>
      <w:r w:rsidRPr="00AE4974">
        <w:t xml:space="preserve">seulement 160 </w:t>
      </w:r>
      <w:r w:rsidR="003937A7">
        <w:t>mille</w:t>
      </w:r>
      <w:r w:rsidRPr="00AE4974">
        <w:t xml:space="preserve"> USD </w:t>
      </w:r>
      <w:r w:rsidR="0033285D">
        <w:t>(</w:t>
      </w:r>
      <w:r w:rsidRPr="00AE4974">
        <w:t>soit environ 5%</w:t>
      </w:r>
      <w:r w:rsidR="0033285D">
        <w:t xml:space="preserve"> du</w:t>
      </w:r>
      <w:r w:rsidR="0033285D" w:rsidRPr="00AE4974">
        <w:t xml:space="preserve"> budget total d</w:t>
      </w:r>
      <w:r w:rsidR="0033285D">
        <w:t>u projet de</w:t>
      </w:r>
      <w:r w:rsidR="0033285D" w:rsidRPr="00AE4974">
        <w:t xml:space="preserve"> 3 millions USD</w:t>
      </w:r>
      <w:r w:rsidRPr="00AE4974">
        <w:t xml:space="preserve">) ont été consacrés aux actions de développement communautaire et de conservation. Cette allocation budgétaire restreinte a limité la portée et l'intensité des interventions directes auprès des populations. </w:t>
      </w:r>
      <w:r w:rsidR="001F77C7">
        <w:t>C’est ainsi que</w:t>
      </w:r>
      <w:r w:rsidR="00812877">
        <w:t xml:space="preserve">, </w:t>
      </w:r>
      <w:r w:rsidR="001F77C7">
        <w:t xml:space="preserve">les deux collines voisines de </w:t>
      </w:r>
      <w:proofErr w:type="spellStart"/>
      <w:r w:rsidR="001F77C7">
        <w:t>Muciro</w:t>
      </w:r>
      <w:proofErr w:type="spellEnd"/>
      <w:r w:rsidR="001F77C7">
        <w:t xml:space="preserve"> et </w:t>
      </w:r>
      <w:proofErr w:type="spellStart"/>
      <w:r w:rsidR="001F77C7">
        <w:t>Caguka</w:t>
      </w:r>
      <w:proofErr w:type="spellEnd"/>
      <w:r w:rsidR="001F77C7">
        <w:t xml:space="preserve"> </w:t>
      </w:r>
      <w:r w:rsidR="00812877">
        <w:t xml:space="preserve">ont concentré </w:t>
      </w:r>
      <w:r w:rsidR="001F77C7">
        <w:t>86% du nombre total des bénéficiaires</w:t>
      </w:r>
      <w:r w:rsidR="0022068E">
        <w:rPr>
          <w:rStyle w:val="FootnoteReference"/>
        </w:rPr>
        <w:footnoteReference w:id="3"/>
      </w:r>
      <w:r w:rsidR="00EA73E4">
        <w:t xml:space="preserve">. </w:t>
      </w:r>
    </w:p>
    <w:p w14:paraId="7BE3AAE1" w14:textId="710CE88D" w:rsidR="00AE4974" w:rsidRDefault="00AE4974" w:rsidP="00AE4974">
      <w:pPr>
        <w:spacing w:line="240" w:lineRule="auto"/>
        <w:jc w:val="both"/>
      </w:pPr>
      <w:r w:rsidRPr="00AE4974">
        <w:t xml:space="preserve">Enfin, le ciblage de certains groupes vulnérables s'est révélé insuffisant malgré l'approche « Ne laisser personne de côté » (LNOB) affichée dans la conception. Si les </w:t>
      </w:r>
      <w:proofErr w:type="spellStart"/>
      <w:r w:rsidRPr="00AE4974">
        <w:t>Batwa</w:t>
      </w:r>
      <w:proofErr w:type="spellEnd"/>
      <w:r w:rsidRPr="00AE4974">
        <w:t xml:space="preserve"> et les femmes ont effectivement bénéficié d'une attention soutenue, la stratégie de ciblage des jeunes et des personnes </w:t>
      </w:r>
      <w:r w:rsidR="00246769">
        <w:t xml:space="preserve">vivant avec </w:t>
      </w:r>
      <w:r w:rsidRPr="00AE4974">
        <w:t xml:space="preserve">handicap est restée peu développée. Les opportunités d'emploi pour les jeunes se sont limitées essentiellement </w:t>
      </w:r>
      <w:r w:rsidR="00F55BA4">
        <w:t>à celles créées par HYDRONEO</w:t>
      </w:r>
      <w:r w:rsidRPr="00AE4974">
        <w:t>, sans stratégie spécifique d'autonomisation économique de cette catégorie. Les personnes en situation de handicap, bien que mentionnées dans les documents de projet, n'ont pas fait l'objet d'interventions ciblées significatives.</w:t>
      </w:r>
    </w:p>
    <w:p w14:paraId="72299249" w14:textId="77777777" w:rsidR="00F55BA4" w:rsidRPr="004C4E82" w:rsidRDefault="00F55BA4" w:rsidP="00AE4974">
      <w:pPr>
        <w:spacing w:line="240" w:lineRule="auto"/>
        <w:jc w:val="both"/>
        <w:rPr>
          <w:sz w:val="10"/>
          <w:szCs w:val="10"/>
        </w:rPr>
      </w:pPr>
    </w:p>
    <w:p w14:paraId="681F63C2" w14:textId="53F6D4B2" w:rsidR="00AE4974" w:rsidRPr="00AE4974" w:rsidRDefault="00AE4974" w:rsidP="000858C7">
      <w:pPr>
        <w:pStyle w:val="NoSpacing"/>
        <w:rPr>
          <w:lang w:val="fr-FR"/>
        </w:rPr>
      </w:pPr>
      <w:r w:rsidRPr="00AE4974">
        <w:rPr>
          <w:lang w:val="fr-FR"/>
        </w:rPr>
        <w:t>Un traitement approprié des principaux facteurs de conflits</w:t>
      </w:r>
    </w:p>
    <w:p w14:paraId="17430A95" w14:textId="17425772" w:rsidR="00AE4974" w:rsidRPr="00AE4974" w:rsidRDefault="00AE4974" w:rsidP="00AE4974">
      <w:pPr>
        <w:spacing w:line="240" w:lineRule="auto"/>
        <w:jc w:val="both"/>
      </w:pPr>
      <w:r w:rsidRPr="00AE4974">
        <w:t>Le projet a démontré une compréhension fine des dynamiques conflictuelles dans la région de la Kibira et a développé une approche multidimensionnelle pour traiter les principaux facteurs de conflits identifiés. Le lien entre déforestation</w:t>
      </w:r>
      <w:r w:rsidR="000B26CA">
        <w:t xml:space="preserve">, dégradation forestière </w:t>
      </w:r>
      <w:r w:rsidRPr="00AE4974">
        <w:t xml:space="preserve">et conflit, qui constitue un moteur central des tensions dans la zone, a été adressé de manière pertinente à travers plusieurs mécanismes complémentaires. La mise à disposition d'alternatives de subsistance durables (culture de champignons, apiculture, production fruitière, </w:t>
      </w:r>
      <w:r w:rsidR="004213F8">
        <w:t>autres activités agricoles</w:t>
      </w:r>
      <w:r w:rsidRPr="00AE4974">
        <w:t xml:space="preserve">) réduit la dépendance des populations aux ressources forestières du parc. L'accès à des ressources </w:t>
      </w:r>
      <w:r w:rsidRPr="00AE4974">
        <w:lastRenderedPageBreak/>
        <w:t>forestières exploitables en dehors du Parc National, notamment par le biais des nouvelles plantations agroforestières, offre des sources alternatives de bois de chauffage et de matériaux de construction. Cette double stratégie vise à diminuer la pression sur le PNK tout en répondant aux besoins matériels des communautés, contribuant ainsi à réduire les confrontations avec les autorités du parc.</w:t>
      </w:r>
    </w:p>
    <w:p w14:paraId="01F9A856" w14:textId="04FA490B" w:rsidR="00AE4974" w:rsidRPr="00AE4974" w:rsidRDefault="00AE4974" w:rsidP="00AE4974">
      <w:pPr>
        <w:spacing w:line="240" w:lineRule="auto"/>
        <w:jc w:val="both"/>
      </w:pPr>
      <w:r w:rsidRPr="00AE4974">
        <w:t xml:space="preserve">Les conflits population-population, exacerbés par la marginalisation historique des </w:t>
      </w:r>
      <w:proofErr w:type="spellStart"/>
      <w:r w:rsidRPr="00AE4974">
        <w:t>Batwa</w:t>
      </w:r>
      <w:proofErr w:type="spellEnd"/>
      <w:r w:rsidRPr="00AE4974">
        <w:t xml:space="preserve"> et les tensions intercommunautaires autour de l'accès aux ressources, ont été traités à travers une stratégie d'inclusion sociale et économique. L'amélioration des moyens de subsistance pour l'ensemble des communautés crée un environnement économique moins conflictuel en réduisant la compétition pour des ressources rares. L'inclusion sociale et économique spécifique des </w:t>
      </w:r>
      <w:proofErr w:type="spellStart"/>
      <w:r w:rsidRPr="00AE4974">
        <w:t>Batwa</w:t>
      </w:r>
      <w:proofErr w:type="spellEnd"/>
      <w:r w:rsidRPr="00AE4974">
        <w:t>, avec l'acquisition foncière, les activités génératrices de revenus adaptées culturellement, et leur participation aux structures de gouvernance (CPK, Fondation Kibira), contribue à réduire les tensions historiques et à promouvoir la cohésion sociale.</w:t>
      </w:r>
    </w:p>
    <w:p w14:paraId="61BB932D" w14:textId="127EAA31" w:rsidR="00AE4974" w:rsidRPr="00AE4974" w:rsidRDefault="00AE4974" w:rsidP="00AE4974">
      <w:pPr>
        <w:spacing w:line="240" w:lineRule="auto"/>
        <w:jc w:val="both"/>
      </w:pPr>
      <w:r w:rsidRPr="00AE4974">
        <w:t xml:space="preserve">Les conflits population-autorités, marqués par une longue histoire de méfiance entre les communautés et les écogardes du parc, ont été abordés par plusieurs leviers stratégiques. La restauration de l'autorité de l'État dans le Parc National de la Kibira, par le renforcement des capacités </w:t>
      </w:r>
      <w:r w:rsidR="004375AF">
        <w:t>de l’OBPE</w:t>
      </w:r>
      <w:r w:rsidRPr="00AE4974">
        <w:t xml:space="preserve"> (</w:t>
      </w:r>
      <w:r w:rsidR="004375AF">
        <w:t xml:space="preserve">Quartier général du parc opérationnel, </w:t>
      </w:r>
      <w:r w:rsidRPr="00AE4974">
        <w:t>formation</w:t>
      </w:r>
      <w:r w:rsidR="004375AF">
        <w:t xml:space="preserve"> et équipement des écogardes</w:t>
      </w:r>
      <w:r w:rsidRPr="00AE4974">
        <w:t xml:space="preserve">) contribue à rétablir la sécurité tout en instaurant des relations de confiance. L'amélioration des relations communautés-écogardes passe par un changement d'approche : les écogardes ne sont plus uniquement des agents répressifs mais deviennent des partenaires dans la conservation. La création des Comités de Protection de la Kibira (CPK) dans les collines cibles permet de prévenir et </w:t>
      </w:r>
      <w:r w:rsidR="004375AF">
        <w:t xml:space="preserve">de </w:t>
      </w:r>
      <w:r w:rsidRPr="00AE4974">
        <w:t xml:space="preserve">résoudre les tensions </w:t>
      </w:r>
      <w:r w:rsidR="004375AF">
        <w:t>entre communautés et autorités</w:t>
      </w:r>
      <w:r w:rsidRPr="00AE4974">
        <w:t>.</w:t>
      </w:r>
    </w:p>
    <w:p w14:paraId="740A1E6E" w14:textId="67216B61" w:rsidR="00AE4974" w:rsidRDefault="00AE4974" w:rsidP="00AE4974">
      <w:pPr>
        <w:spacing w:line="240" w:lineRule="auto"/>
        <w:jc w:val="both"/>
      </w:pPr>
      <w:r w:rsidRPr="00AE4974">
        <w:t>L'approche Nexus Climat-Paix-Sécurité adoptée par le projet représente une innovation majeure dans le traitement des facteurs de conflits. En reconnaissant explicitement les liens entre changement climatique, dégradation environnementale et instabilité sociale, le projet développe une réponse intégrée qui aborde simultanément les dimensions environnementales, économiques et sécuritaires des conflits. La prise en compte des effets du changement climatique comme facteur exacerbant les conflits liés aux ressources (raréfaction de l'eau, dégradation des sols, pression accrue sur les forêts</w:t>
      </w:r>
      <w:r w:rsidR="005258EB">
        <w:t xml:space="preserve">, </w:t>
      </w:r>
      <w:r w:rsidR="000E2E08">
        <w:t>augmentation</w:t>
      </w:r>
      <w:r w:rsidR="005258EB">
        <w:t xml:space="preserve"> des </w:t>
      </w:r>
      <w:r w:rsidR="00BA4C4A">
        <w:t>risques de catastrophes c</w:t>
      </w:r>
      <w:r w:rsidR="000E2E08">
        <w:t>o</w:t>
      </w:r>
      <w:r w:rsidR="00BA4C4A">
        <w:t>mme les gliss</w:t>
      </w:r>
      <w:r w:rsidR="000E2E08">
        <w:t>e</w:t>
      </w:r>
      <w:r w:rsidR="00BA4C4A">
        <w:t>ment</w:t>
      </w:r>
      <w:r w:rsidR="00BC5260">
        <w:t>s</w:t>
      </w:r>
      <w:r w:rsidR="00BA4C4A">
        <w:t xml:space="preserve"> de terrain, les pluies torrentielles et les vents viole</w:t>
      </w:r>
      <w:r w:rsidR="000E2E08">
        <w:t>nts</w:t>
      </w:r>
      <w:r w:rsidR="00BC5260">
        <w:t xml:space="preserve">, </w:t>
      </w:r>
      <w:r w:rsidR="000E2E08">
        <w:t>…</w:t>
      </w:r>
      <w:r w:rsidRPr="00AE4974">
        <w:t>) permet de développer des réponses qui renforcent la résilience communautaire tout en préservant l'environnement. Cette approche intégrée distingue le projet des interventions traditionnelles de consolidation de la paix ou de conservation environnementale menées de manière cloisonnée.</w:t>
      </w:r>
    </w:p>
    <w:p w14:paraId="1CA92A2C" w14:textId="77777777" w:rsidR="00DF0E9C" w:rsidRPr="004C4E82" w:rsidRDefault="00DF0E9C" w:rsidP="00AE4974">
      <w:pPr>
        <w:spacing w:line="240" w:lineRule="auto"/>
        <w:jc w:val="both"/>
        <w:rPr>
          <w:sz w:val="10"/>
          <w:szCs w:val="10"/>
        </w:rPr>
      </w:pPr>
    </w:p>
    <w:p w14:paraId="433E672F" w14:textId="328AE1B0" w:rsidR="00AE4974" w:rsidRPr="00DB301B" w:rsidRDefault="00AE4974" w:rsidP="00DB301B">
      <w:pPr>
        <w:pStyle w:val="NoSpacing"/>
        <w:rPr>
          <w:lang w:val="fr-FR"/>
        </w:rPr>
      </w:pPr>
      <w:r w:rsidRPr="00DB301B">
        <w:rPr>
          <w:lang w:val="fr-FR"/>
        </w:rPr>
        <w:t>Une approche hautement innovante et pionnière malgré certaines limites opérationnelles</w:t>
      </w:r>
    </w:p>
    <w:p w14:paraId="4C094E6A" w14:textId="49AD5AFE" w:rsidR="00AE4974" w:rsidRPr="00AE4974" w:rsidRDefault="00AE4974" w:rsidP="00AE4974">
      <w:pPr>
        <w:spacing w:line="240" w:lineRule="auto"/>
        <w:jc w:val="both"/>
      </w:pPr>
      <w:r w:rsidRPr="00AE4974">
        <w:t xml:space="preserve">Le projet Kibira Sanctuaire de Paix se distingue par un caractère hautement innovant et pionnier, introduisant plusieurs mécanismes et approches inédits dans le contexte burundais et sous-régional. Le financement mixte séquencé, articulant Fondation Kibira, investissement PPP et mécanisme REDD+, constitue une première expérience pour le Fonds pour la Consolidation de la Paix (PBF). Cette approche visait à mobiliser des financements privés et multilatéraux pour assurer la durabilité financière des interventions de conservation et de consolidation de la paix au-delà de la phase projet. L'investissement catalytique initial de 1,5 million USD dans le projet hydroélectrique de </w:t>
      </w:r>
      <w:proofErr w:type="spellStart"/>
      <w:r w:rsidRPr="00AE4974">
        <w:t>Mpanda</w:t>
      </w:r>
      <w:proofErr w:type="spellEnd"/>
      <w:r w:rsidRPr="00AE4974">
        <w:t xml:space="preserve"> devait générer des revenus permettant de financer durablement les activités de la Fondation Kibira et de créer un fonds REDD+ pour investir dans des alternatives à la déforestation</w:t>
      </w:r>
      <w:r w:rsidR="00FC7C35">
        <w:t xml:space="preserve"> et à la dégradation forestière</w:t>
      </w:r>
      <w:r w:rsidRPr="00AE4974">
        <w:t>. Cette logique de financement mixte, bien qu'ambitieuse et pertinente conceptuellement, a rencontré des défis de mise en œuvre liés aux retards dans le projet hydroélectrique et à l'abandon du mécanisme REDD+.</w:t>
      </w:r>
    </w:p>
    <w:p w14:paraId="1C121845" w14:textId="6D8B01B9" w:rsidR="00AE4974" w:rsidRPr="00AE4974" w:rsidRDefault="00AE4974" w:rsidP="00AE4974">
      <w:pPr>
        <w:spacing w:line="240" w:lineRule="auto"/>
        <w:jc w:val="both"/>
      </w:pPr>
      <w:r w:rsidRPr="00AE4974">
        <w:lastRenderedPageBreak/>
        <w:t xml:space="preserve">Le modèle de </w:t>
      </w:r>
      <w:proofErr w:type="spellStart"/>
      <w:r w:rsidRPr="00AE4974">
        <w:t>co-gestion</w:t>
      </w:r>
      <w:proofErr w:type="spellEnd"/>
      <w:r w:rsidRPr="00AE4974">
        <w:t xml:space="preserve"> des aires protégées via la Fondation Kibira représente une première expérience </w:t>
      </w:r>
      <w:r w:rsidR="006A1CD6">
        <w:t>au Burundi</w:t>
      </w:r>
      <w:r w:rsidR="00824E81">
        <w:t>.</w:t>
      </w:r>
      <w:r w:rsidR="006A1CD6">
        <w:t xml:space="preserve"> </w:t>
      </w:r>
      <w:r w:rsidRPr="00AE4974">
        <w:t>La création d'une fondation indépendante mandatée par un accord formel de cogestion avec l'OBPE constitue une innovation institutionnelle majeure.</w:t>
      </w:r>
      <w:r w:rsidR="00853B9A">
        <w:t xml:space="preserve"> </w:t>
      </w:r>
      <w:r w:rsidRPr="00AE4974">
        <w:t>La Fondation Kibira, bien qu'encore en phase de consolidation institutionnelle, démontre le potentiel d'un tel mécanisme pour concilier conservation et développement local dans un cadre de gouvernance inclusive.</w:t>
      </w:r>
    </w:p>
    <w:p w14:paraId="7D39C7C9" w14:textId="4C26244F" w:rsidR="00AE4974" w:rsidRPr="00AE4974" w:rsidRDefault="00AE4974" w:rsidP="00AE4974">
      <w:pPr>
        <w:spacing w:line="240" w:lineRule="auto"/>
        <w:jc w:val="both"/>
      </w:pPr>
      <w:r w:rsidRPr="00AE4974">
        <w:t>L'approche Nexus Climat-Paix-Sécurité fait du projet Kibira le seul projet PBF au Burundi intégrant explicitement ce nexus.</w:t>
      </w:r>
      <w:r w:rsidR="00AF1367">
        <w:t xml:space="preserve"> Il pourra également </w:t>
      </w:r>
      <w:r w:rsidR="0033680F">
        <w:t>échanger les exp</w:t>
      </w:r>
      <w:r w:rsidR="007F7010">
        <w:t>é</w:t>
      </w:r>
      <w:r w:rsidR="0033680F">
        <w:t xml:space="preserve">riences et les </w:t>
      </w:r>
      <w:r w:rsidR="007F7010">
        <w:t>leçons</w:t>
      </w:r>
      <w:r w:rsidR="0033680F">
        <w:t xml:space="preserve"> apprises avec les projets PBF</w:t>
      </w:r>
      <w:r w:rsidR="007F7010">
        <w:t xml:space="preserve"> en RDC</w:t>
      </w:r>
      <w:r w:rsidR="0070321D">
        <w:t>.</w:t>
      </w:r>
      <w:r w:rsidR="0033680F">
        <w:t xml:space="preserve"> </w:t>
      </w:r>
      <w:r w:rsidRPr="00AE4974">
        <w:t xml:space="preserve"> Cette approche multisectorielle reconnaît que la paix durable, la résilience climatique et la sécurité sont interdépendantes et doivent être abordées de manière intégrée. Le projet démontre ainsi qu'une action découplée sur ces trois dimensions ne peut générer un changement transformateur, validant la pertinence d'approches holistiques dans les contextes post-conflit marqués par la dégradation environnementale.</w:t>
      </w:r>
    </w:p>
    <w:p w14:paraId="2CB2571E" w14:textId="65A0477E" w:rsidR="00AE4974" w:rsidRDefault="00AE4974" w:rsidP="00AE4974">
      <w:pPr>
        <w:spacing w:line="240" w:lineRule="auto"/>
        <w:jc w:val="both"/>
      </w:pPr>
      <w:r w:rsidRPr="00AE4974">
        <w:t xml:space="preserve">Le mécanisme de Paiement pour Services Écosystémiques (PSE) </w:t>
      </w:r>
      <w:r w:rsidR="005B2AEE">
        <w:t>mis en place</w:t>
      </w:r>
      <w:r w:rsidR="005B2AEE" w:rsidRPr="00AE4974">
        <w:t xml:space="preserve"> </w:t>
      </w:r>
      <w:r w:rsidRPr="00AE4974">
        <w:t>constitue une innovation dans le contexte burundais pour financer durablement la conservation.</w:t>
      </w:r>
      <w:r w:rsidR="005F4C9E">
        <w:t xml:space="preserve"> </w:t>
      </w:r>
      <w:r w:rsidRPr="00AE4974">
        <w:t xml:space="preserve">L'idée de générer des revenus à partir des services rendus par l'écosystème forestier pour redistribuer des bénéfices aux communautés locales et financer la protection du parc représente un changement de paradigme économique. </w:t>
      </w:r>
    </w:p>
    <w:p w14:paraId="2BFFE10D" w14:textId="652F8A66" w:rsidR="00935D81" w:rsidRPr="00AE4974" w:rsidRDefault="00935D81" w:rsidP="00AE4974">
      <w:pPr>
        <w:spacing w:line="240" w:lineRule="auto"/>
        <w:jc w:val="both"/>
      </w:pPr>
      <w:r>
        <w:t xml:space="preserve">Ce Principe pourrait </w:t>
      </w:r>
      <w:r w:rsidR="003418AF">
        <w:t>ê</w:t>
      </w:r>
      <w:r>
        <w:t xml:space="preserve">tre couplé aux paiements pour les services environnementaux (PSE) permettant de payer directement </w:t>
      </w:r>
      <w:r w:rsidR="00CC35F0">
        <w:t>les</w:t>
      </w:r>
      <w:r>
        <w:t xml:space="preserve"> communautés engagées dans les différentes activités de conservation (lutte contre les feux, restauration forestière</w:t>
      </w:r>
      <w:r w:rsidR="003418AF">
        <w:t>, .</w:t>
      </w:r>
      <w:r>
        <w:t>..) en fonction de leur performance</w:t>
      </w:r>
      <w:r w:rsidR="003418AF">
        <w:t>.</w:t>
      </w:r>
      <w:r>
        <w:t xml:space="preserve">  </w:t>
      </w:r>
      <w:r w:rsidRPr="00AE4974">
        <w:t xml:space="preserve"> </w:t>
      </w:r>
    </w:p>
    <w:p w14:paraId="50C4DF5B" w14:textId="77777777" w:rsidR="00AE4974" w:rsidRPr="00AE4974" w:rsidRDefault="00AE4974" w:rsidP="00AE4974">
      <w:pPr>
        <w:spacing w:line="240" w:lineRule="auto"/>
        <w:jc w:val="both"/>
      </w:pPr>
      <w:r w:rsidRPr="00AE4974">
        <w:t>L'approche culturelle pour la cohésion sociale, utilisant les contes et récits traditionnels comme vecteur de réconciliation et de valorisation du patrimoine, représente une innovation dans les stratégies de consolidation de la paix. La collecte d'histoires et de souvenirs liés à la forêt de Kibira, le soutien aux artistes locaux et l'organisation d'événements culturels (récits, chants, danses) créent un espace de dialogue intercommunautaire et de reconstruction d'une identité collective positive autour du patrimoine forestier.</w:t>
      </w:r>
    </w:p>
    <w:p w14:paraId="2BB98E83" w14:textId="13DAADE2" w:rsidR="00AE4974" w:rsidRPr="00AE4974" w:rsidRDefault="00AE4974" w:rsidP="00AE4974">
      <w:pPr>
        <w:spacing w:line="240" w:lineRule="auto"/>
        <w:jc w:val="both"/>
      </w:pPr>
      <w:r w:rsidRPr="00AE4974">
        <w:t xml:space="preserve">Malgré ces innovations remarquables, le projet a révélé </w:t>
      </w:r>
      <w:r w:rsidR="0080358F">
        <w:t>quelques</w:t>
      </w:r>
      <w:r w:rsidRPr="00AE4974">
        <w:t xml:space="preserve"> limites opérationnelles, notamment concernant le mécanisme REDD+. </w:t>
      </w:r>
      <w:r w:rsidR="00EF7C29">
        <w:t xml:space="preserve">En effet, la mise en place de ce mécanisme s’est révélée </w:t>
      </w:r>
      <w:r w:rsidR="00EF7C29" w:rsidRPr="00AE4974">
        <w:t>bien plus complexe et chronophage qu'anticipé lors de la conception</w:t>
      </w:r>
      <w:r w:rsidR="00EF7C29">
        <w:t>, ce qui</w:t>
      </w:r>
      <w:r w:rsidRPr="00AE4974">
        <w:t xml:space="preserve"> a conduit à l'abandon de ce pilier en cours de projet. </w:t>
      </w:r>
    </w:p>
    <w:p w14:paraId="4738F808" w14:textId="77777777" w:rsidR="002220AB" w:rsidRPr="00AE4974" w:rsidRDefault="002220AB" w:rsidP="001712F7">
      <w:pPr>
        <w:spacing w:line="240" w:lineRule="auto"/>
      </w:pPr>
    </w:p>
    <w:p w14:paraId="4FF23E78" w14:textId="77777777" w:rsidR="00776702" w:rsidRPr="008716F9" w:rsidRDefault="00776702" w:rsidP="001712F7">
      <w:pPr>
        <w:pStyle w:val="Heading2"/>
        <w:jc w:val="both"/>
        <w:rPr>
          <w:rFonts w:ascii="Open Sans" w:hAnsi="Open Sans"/>
          <w:color w:val="000099"/>
        </w:rPr>
      </w:pPr>
      <w:bookmarkStart w:id="48" w:name="_Toc216948976"/>
      <w:r w:rsidRPr="008716F9">
        <w:rPr>
          <w:rFonts w:ascii="Open Sans" w:hAnsi="Open Sans"/>
          <w:color w:val="000099"/>
        </w:rPr>
        <w:t>4.2 Coherence</w:t>
      </w:r>
      <w:bookmarkEnd w:id="48"/>
    </w:p>
    <w:p w14:paraId="2FF5982A" w14:textId="77777777" w:rsidR="007157FC" w:rsidRPr="004C4E82" w:rsidRDefault="007157FC" w:rsidP="001712F7">
      <w:pPr>
        <w:spacing w:line="240" w:lineRule="auto"/>
        <w:rPr>
          <w:sz w:val="10"/>
          <w:szCs w:val="10"/>
        </w:rPr>
      </w:pPr>
    </w:p>
    <w:p w14:paraId="6849DC51" w14:textId="74F2C5A5" w:rsidR="00A045A5" w:rsidRPr="00A045A5" w:rsidRDefault="00A045A5" w:rsidP="00A045A5">
      <w:pPr>
        <w:spacing w:line="240" w:lineRule="auto"/>
        <w:jc w:val="both"/>
        <w:rPr>
          <w:b/>
          <w:bCs/>
          <w:color w:val="000099"/>
        </w:rPr>
      </w:pPr>
      <w:r w:rsidRPr="00A045A5">
        <w:rPr>
          <w:b/>
          <w:bCs/>
          <w:color w:val="000099"/>
        </w:rPr>
        <w:t>Une théorie du changement et une stratégie de mise en œuvre globalement cohérentes</w:t>
      </w:r>
    </w:p>
    <w:p w14:paraId="7495F639" w14:textId="590A69FD" w:rsidR="00A045A5" w:rsidRPr="00A045A5" w:rsidRDefault="00A045A5" w:rsidP="00A045A5">
      <w:pPr>
        <w:spacing w:line="240" w:lineRule="auto"/>
        <w:jc w:val="both"/>
      </w:pPr>
      <w:r w:rsidRPr="00A045A5">
        <w:t xml:space="preserve">La théorie du changement du projet Kibira Sanctuaire de Paix présente une cohérence conceptuelle dans son articulation des liens causaux entre activités, résultats et impacts visés. La logique d'intervention repose sur cinq hypothèses fondamentales qui se renforcent mutuellement: (1) </w:t>
      </w:r>
      <w:r w:rsidR="00185DC6">
        <w:t>L</w:t>
      </w:r>
      <w:r w:rsidRPr="00A045A5">
        <w:t xml:space="preserve">a paix durable nécessite l'absence de mainmise des groupes armés sur les parcs nationaux ; (2) </w:t>
      </w:r>
      <w:r w:rsidR="00185DC6">
        <w:t>L</w:t>
      </w:r>
      <w:r w:rsidRPr="00A045A5">
        <w:t xml:space="preserve">'interconnectivité régionale doit être restaurée pour assurer la paix ; (3) </w:t>
      </w:r>
      <w:r w:rsidR="00185DC6">
        <w:t>L</w:t>
      </w:r>
      <w:r w:rsidRPr="00A045A5">
        <w:t xml:space="preserve">a redistribution des </w:t>
      </w:r>
      <w:proofErr w:type="spellStart"/>
      <w:r w:rsidRPr="00A045A5">
        <w:t>co</w:t>
      </w:r>
      <w:proofErr w:type="spellEnd"/>
      <w:r w:rsidRPr="00A045A5">
        <w:t xml:space="preserve">-bénéfices est essentielle pour éviter les conflits ; (4) </w:t>
      </w:r>
      <w:r w:rsidR="00185DC6">
        <w:t>A</w:t>
      </w:r>
      <w:r w:rsidRPr="00A045A5">
        <w:t xml:space="preserve">u rythme actuel de dégradation, le Burundi perdra sa forêt restante avec tous les bénéfices qu'elle procure ; et (5) </w:t>
      </w:r>
      <w:r w:rsidR="00584B2F">
        <w:t>U</w:t>
      </w:r>
      <w:r w:rsidRPr="00A045A5">
        <w:t>ne action de paix, climat et conservation découplée ne peut générer un changement transformateur. Ces hypothèses, validées par l'analyse contextuelle et les consultations avec les parties prenantes, démontrent une compréhension fine des dynamiques conflictuelles et environnementales dans la région de la Kibira.</w:t>
      </w:r>
    </w:p>
    <w:p w14:paraId="3813F101" w14:textId="77777777" w:rsidR="00A045A5" w:rsidRPr="00A045A5" w:rsidRDefault="00A045A5" w:rsidP="00A045A5">
      <w:pPr>
        <w:spacing w:line="240" w:lineRule="auto"/>
        <w:jc w:val="both"/>
      </w:pPr>
      <w:r w:rsidRPr="00A045A5">
        <w:lastRenderedPageBreak/>
        <w:t xml:space="preserve">La stratégie de mise en œuvre s'articule de manière cohérente autour de trois composantes complémentaires visant l'objectif global de paix durable. La création et l'opérationnalisation de la Fondation Kibira établissent une gouvernance participative intégrant acteurs publics, société civile et communautés locales. L'investissement PPP dans le projet hydroélectrique de </w:t>
      </w:r>
      <w:proofErr w:type="spellStart"/>
      <w:r w:rsidRPr="00A045A5">
        <w:t>Mpanda</w:t>
      </w:r>
      <w:proofErr w:type="spellEnd"/>
      <w:r w:rsidRPr="00A045A5">
        <w:t xml:space="preserve"> devait générer des revenus durables pour financer la conservation et le développement local. Le mécanisme REDD+ envisagé visait à créer un pipeline de modèles économiques durables s'attaquant aux facteurs de déforestation tout en générant des opportunités de moyens de subsistance. Cette logique séquentielle Fondation </w:t>
      </w:r>
      <w:r w:rsidRPr="00A045A5">
        <w:rPr>
          <w:rFonts w:ascii="Arial" w:hAnsi="Arial" w:cs="Arial"/>
        </w:rPr>
        <w:t>→</w:t>
      </w:r>
      <w:r w:rsidRPr="00A045A5">
        <w:t xml:space="preserve"> PPP </w:t>
      </w:r>
      <w:r w:rsidRPr="00A045A5">
        <w:rPr>
          <w:rFonts w:ascii="Arial" w:hAnsi="Arial" w:cs="Arial"/>
        </w:rPr>
        <w:t>→</w:t>
      </w:r>
      <w:r w:rsidRPr="00A045A5">
        <w:t xml:space="preserve"> REDD+ pr</w:t>
      </w:r>
      <w:r w:rsidRPr="00A045A5">
        <w:rPr>
          <w:rFonts w:cs="Open Sans"/>
        </w:rPr>
        <w:t>é</w:t>
      </w:r>
      <w:r w:rsidRPr="00A045A5">
        <w:t>sentait une coh</w:t>
      </w:r>
      <w:r w:rsidRPr="00A045A5">
        <w:rPr>
          <w:rFonts w:cs="Open Sans"/>
        </w:rPr>
        <w:t>é</w:t>
      </w:r>
      <w:r w:rsidRPr="00A045A5">
        <w:t xml:space="preserve">rence conceptuelle forte : </w:t>
      </w:r>
      <w:r w:rsidRPr="00A045A5">
        <w:rPr>
          <w:rFonts w:cs="Open Sans"/>
        </w:rPr>
        <w:t>é</w:t>
      </w:r>
      <w:r w:rsidRPr="00A045A5">
        <w:t>tablir d'abord la structure de gouvernance (Fondation), puis assurer son financement durable (revenus PPP), et enfin multiplier les investissements locaux (REDD+).</w:t>
      </w:r>
    </w:p>
    <w:p w14:paraId="7011766C" w14:textId="48DE2746" w:rsidR="00A045A5" w:rsidRDefault="00A045A5" w:rsidP="00A045A5">
      <w:pPr>
        <w:spacing w:line="240" w:lineRule="auto"/>
        <w:jc w:val="both"/>
      </w:pPr>
      <w:r w:rsidRPr="00A045A5">
        <w:t xml:space="preserve">La théorie du changement articule clairement les chaînes causales reliant les interventions aux résultats attendus à différents niveaux. Le déploiement de gardes forestiers et l'instauration de relations de confiance avec les communautés devaient restaurer la sécurité et la conservation de la forêt. La création d'opportunités économiques et la redistribution des </w:t>
      </w:r>
      <w:proofErr w:type="spellStart"/>
      <w:r w:rsidRPr="00A045A5">
        <w:t>co</w:t>
      </w:r>
      <w:proofErr w:type="spellEnd"/>
      <w:r w:rsidRPr="00A045A5">
        <w:t xml:space="preserve">-bénéfices devaient générer des dividendes de paix réduisant les facteurs structurels de conflit. Le réinvestissement des revenus PPP dans des opportunités de croissance à long terme devait assurer la durabilité financière des interventions. Cependant, si la cohérence conceptuelle est indéniable, la mise en œuvre effective a révélé </w:t>
      </w:r>
      <w:r w:rsidR="0044154E">
        <w:t>quelques</w:t>
      </w:r>
      <w:r w:rsidRPr="00A045A5">
        <w:t xml:space="preserve"> obstacles, notamment l'abandon du mécanisme REDD+ en raison de la sous-estimation de sa complexité technique et administrative, et les retards significatifs dans le projet hydroélectrique PPP qui ont retardé la génération de revenus attendue.</w:t>
      </w:r>
    </w:p>
    <w:p w14:paraId="2AD8D925" w14:textId="77777777" w:rsidR="0044154E" w:rsidRPr="004C4E82" w:rsidRDefault="0044154E" w:rsidP="00A045A5">
      <w:pPr>
        <w:spacing w:line="240" w:lineRule="auto"/>
        <w:jc w:val="both"/>
        <w:rPr>
          <w:sz w:val="10"/>
          <w:szCs w:val="10"/>
        </w:rPr>
      </w:pPr>
    </w:p>
    <w:p w14:paraId="68F8FCE0" w14:textId="14F29447" w:rsidR="00A045A5" w:rsidRPr="00A045A5" w:rsidRDefault="00A045A5" w:rsidP="00A045A5">
      <w:pPr>
        <w:spacing w:line="240" w:lineRule="auto"/>
        <w:jc w:val="both"/>
        <w:rPr>
          <w:b/>
          <w:bCs/>
          <w:color w:val="000099"/>
        </w:rPr>
      </w:pPr>
      <w:r w:rsidRPr="00A045A5">
        <w:rPr>
          <w:b/>
          <w:bCs/>
          <w:color w:val="000099"/>
        </w:rPr>
        <w:t>Une interdépendance stratégique entre composantes affectée par l'abandon du REDD+ et les retards du PPP</w:t>
      </w:r>
    </w:p>
    <w:p w14:paraId="330A1017" w14:textId="77777777" w:rsidR="00A045A5" w:rsidRPr="00A045A5" w:rsidRDefault="00A045A5" w:rsidP="00A045A5">
      <w:pPr>
        <w:spacing w:line="240" w:lineRule="auto"/>
        <w:jc w:val="both"/>
      </w:pPr>
      <w:r w:rsidRPr="00A045A5">
        <w:t xml:space="preserve">L'architecture du projet repose sur une interdépendance stratégique particulièrement intéressante entre les trois composantes principales : Fondation Kibira, investissement PPP et conservation. Cette interdépendance crée un cercle vertueux théorique où chaque composante renforce les autres. La Fondation Kibira, en tant qu'organe de cogestion du parc, assure la gouvernance participative et la supervision des activités de conservation. L'investissement PPP dans le projet hydroélectrique de </w:t>
      </w:r>
      <w:proofErr w:type="spellStart"/>
      <w:r w:rsidRPr="00A045A5">
        <w:t>Mpanda</w:t>
      </w:r>
      <w:proofErr w:type="spellEnd"/>
      <w:r w:rsidRPr="00A045A5">
        <w:t xml:space="preserve"> devait générer des revenus durables via un mécanisme de Paiement pour Services Écosystémiques (PSE) pour financer les activités de la Fondation. Les activités de conservation et de développement communautaire, financées par ces revenus, devaient à leur tour réduire la déforestation et protéger le bassin versant dont dépend la viabilité du projet hydroélectrique. Cette boucle de renforcement mutuel illustre une conception innovante où conservation environnementale, développement économique et consolidation de la paix se soutiennent réciproquement.</w:t>
      </w:r>
    </w:p>
    <w:p w14:paraId="24181FB8" w14:textId="3F2AC240" w:rsidR="00A045A5" w:rsidRPr="00A045A5" w:rsidRDefault="00A045A5" w:rsidP="00A045A5">
      <w:pPr>
        <w:spacing w:line="240" w:lineRule="auto"/>
        <w:jc w:val="both"/>
      </w:pPr>
      <w:r w:rsidRPr="00A045A5">
        <w:t xml:space="preserve">Sur le plan opérationnel, certains mécanismes de cette interdépendance ont fonctionné comme prévu. L'accord de cogestion entre la Fondation Kibira et l'OBPE, signé en 2023, a formalisé la collaboration institutionnelle et défini les rôles respectifs dans la gestion du parc. L'accord PSE entre </w:t>
      </w:r>
      <w:proofErr w:type="spellStart"/>
      <w:r w:rsidRPr="00A045A5">
        <w:t>Hydroneo</w:t>
      </w:r>
      <w:proofErr w:type="spellEnd"/>
      <w:r w:rsidRPr="00A045A5">
        <w:t xml:space="preserve"> et la Fondation Kibira, conclu en 2024, prévoit le versement de 150 000 USD par an sur 10 ans en contrepartie des services </w:t>
      </w:r>
      <w:r w:rsidR="00433030">
        <w:t>écosystémiques</w:t>
      </w:r>
      <w:r w:rsidRPr="00A045A5">
        <w:t>. Ce mécanisme matérialise le lien financier entre le projet hydroélectrique et la conservation forestière, créant une incitation économique directe pour la protection environnementale. Les mécanismes de coordination entre la Fondation et l'OBPE sont également opérationnels.</w:t>
      </w:r>
    </w:p>
    <w:p w14:paraId="7C317234" w14:textId="0FF71D58" w:rsidR="00856425" w:rsidRDefault="00856425" w:rsidP="00A045A5">
      <w:pPr>
        <w:spacing w:line="240" w:lineRule="auto"/>
        <w:jc w:val="both"/>
      </w:pPr>
      <w:r w:rsidRPr="00856425">
        <w:t>Cependant, cette interdépendance stratégique a été affectée par deux facteurs majeurs. L'abandon du mécanisme REDD+ a rompu le troisième pilier du modèle de financement séquencé. Cette composante devait créer un fonds d'investissement catalytique pour financer des investissements pilotes dans des entreprises locales offrant des alternatives à l'exploitation forestière. Son abandon a eu un impact direct sur l'</w:t>
      </w:r>
      <w:proofErr w:type="spellStart"/>
      <w:r w:rsidRPr="00856425">
        <w:t>Outcome</w:t>
      </w:r>
      <w:proofErr w:type="spellEnd"/>
      <w:r w:rsidRPr="00856425">
        <w:t xml:space="preserve"> 2 du cadre de résultats, rendant inatteignables la plupart des objectifs liés aux investissements dans les entreprises du portefeuille </w:t>
      </w:r>
      <w:r w:rsidRPr="00856425">
        <w:lastRenderedPageBreak/>
        <w:t>REDD+, à la séquestration carbone, et aux emplois créés via ces investissements. Face à ce vide, la Fondation Kibira tente de développer des alternatives pour promouvoir l'investissement privé, notamment dans les secteurs du tourisme et de l'agro-transformation. Des initiatives concrètes sont en cours, comme la rénovation de chambres d'hôtels destinées à être confiées à la gestion privée, ou la promotion d'activités de guides touristiques intégrant les pisteurs formés par 3C. Toutefois, au moment de l'évaluation, la vision et la stratégie de la Fondation dans ce domaine ne sont pas encore suffisamment clarifiées pour garantir un mécanisme de financement alternatif robuste et durable. Les retards du projet hydroélectrique PPP ont également retardé la génération des revenus attendus. Au moment de l'évaluation, la Fondation Kibira n'a bénéficié que de 70 000 USD sur les 300 000 USD prévus par l'accord PSE sur les deux années 2024 et 2025, limitant sa capacité à autofinancer ses activités de conservation et de développement communautaire.</w:t>
      </w:r>
    </w:p>
    <w:p w14:paraId="3BCF0AFE" w14:textId="6BB83586" w:rsidR="00A045A5" w:rsidRDefault="005F3C24" w:rsidP="00A045A5">
      <w:pPr>
        <w:spacing w:line="240" w:lineRule="auto"/>
        <w:jc w:val="both"/>
      </w:pPr>
      <w:r>
        <w:t>Par ailleurs, u</w:t>
      </w:r>
      <w:r w:rsidR="00A045A5" w:rsidRPr="00A045A5">
        <w:t>n déséquilibre budgétaire significatif caractérise également la cohérence interne du projet. Environ 5% du budget total</w:t>
      </w:r>
      <w:r>
        <w:t xml:space="preserve"> du projet</w:t>
      </w:r>
      <w:r w:rsidR="00A045A5" w:rsidRPr="00A045A5">
        <w:t xml:space="preserve"> (160 000 USD sur 3 millions USD) a été alloué aux activités à retombées immédiates (développement communautaire, cohésion sociale, conservation), tandis que 50% du budget (1,5 million USD) a été investi dans le projet hydroélectrique PPP. Ce déséquilibre a limité l'ampleur et l'intensité des interventions directes auprès des populations, créant une disproportion entre les investissements infrastructurels à long terme et les actions générant des bénéfices tangibles à court terme pour les communautés. Cette allocation budgétaire reflète le pari stratégique du projet sur le financement mixte et la durabilité à long terme, mais a restreint la capacité du projet à répondre aux besoins immédiats des populations et à générer rapidement des dividendes de paix visibles.</w:t>
      </w:r>
    </w:p>
    <w:p w14:paraId="7CF070A4" w14:textId="77777777" w:rsidR="005F3C24" w:rsidRPr="004C4E82" w:rsidRDefault="005F3C24" w:rsidP="00A045A5">
      <w:pPr>
        <w:spacing w:line="240" w:lineRule="auto"/>
        <w:jc w:val="both"/>
        <w:rPr>
          <w:sz w:val="10"/>
          <w:szCs w:val="10"/>
        </w:rPr>
      </w:pPr>
    </w:p>
    <w:p w14:paraId="10E5921C" w14:textId="5F0D3FB2" w:rsidR="00A045A5" w:rsidRPr="00A045A5" w:rsidRDefault="00A045A5" w:rsidP="00A045A5">
      <w:pPr>
        <w:spacing w:line="240" w:lineRule="auto"/>
        <w:jc w:val="both"/>
        <w:rPr>
          <w:b/>
          <w:bCs/>
          <w:color w:val="000099"/>
        </w:rPr>
      </w:pPr>
      <w:r w:rsidRPr="00A045A5">
        <w:rPr>
          <w:b/>
          <w:bCs/>
          <w:color w:val="000099"/>
        </w:rPr>
        <w:t>Un cadre de résultats non révisé malgré des ajustements majeurs</w:t>
      </w:r>
    </w:p>
    <w:p w14:paraId="23250FE6" w14:textId="7A5023AE" w:rsidR="00A045A5" w:rsidRPr="00A045A5" w:rsidRDefault="00A045A5" w:rsidP="00BB4199">
      <w:pPr>
        <w:spacing w:line="240" w:lineRule="auto"/>
        <w:jc w:val="both"/>
      </w:pPr>
      <w:r w:rsidRPr="00A045A5">
        <w:t xml:space="preserve">L'absence de révision du cadre de résultats constitue une faiblesse de la cohérence interne du projet. Malgré l'abandon du mécanisme REDD+ et les retards significatifs du projet hydroélectrique PPP, le cadre de résultats initial n'a pas été formellement révisé pour refléter ces évolutions majeures. </w:t>
      </w:r>
      <w:r w:rsidR="00BB4199" w:rsidRPr="00BB4199">
        <w:t>Cette situation a créé un décalage important entre les objectifs formellement maintenus (indicateurs REDD+, cibles PPP) et la réalité opérationnelle du projet, affectant la cohérence entre planification et mise en œuvre. Les implications détaillées de cette non-révision sur l'appréciation de la performance du projet sont analysées dans la section 4.4 consacrée à l'efficacité.</w:t>
      </w:r>
    </w:p>
    <w:p w14:paraId="5FDFB063" w14:textId="02CD7540" w:rsidR="00A045A5" w:rsidRDefault="007E184A" w:rsidP="00A045A5">
      <w:pPr>
        <w:spacing w:line="240" w:lineRule="auto"/>
        <w:jc w:val="both"/>
      </w:pPr>
      <w:r>
        <w:t>Par ailleurs, c</w:t>
      </w:r>
      <w:r w:rsidR="00A045A5" w:rsidRPr="00A045A5">
        <w:t xml:space="preserve">ertains indicateurs et cibles du cadre de résultats se sont également révélés peu pertinents ou irréalistes dès la conception. Sans entrer dans une analyse détaillée (qui sera développée dans la section 4.4 - Efficacité), on peut noter que des indicateurs comme la "perception locale du PNK", le "nombre de conflits observés dans le parc", </w:t>
      </w:r>
      <w:r w:rsidR="00CE53CB">
        <w:t xml:space="preserve">ou </w:t>
      </w:r>
      <w:r w:rsidR="00A045A5" w:rsidRPr="00A045A5">
        <w:t xml:space="preserve">le "taux de déforestation" présentent des défis méthodologiques. </w:t>
      </w:r>
    </w:p>
    <w:p w14:paraId="247D73FF" w14:textId="77777777" w:rsidR="00DB5FA9" w:rsidRPr="004C4E82" w:rsidRDefault="00DB5FA9" w:rsidP="00A045A5">
      <w:pPr>
        <w:spacing w:line="240" w:lineRule="auto"/>
        <w:jc w:val="both"/>
        <w:rPr>
          <w:sz w:val="10"/>
          <w:szCs w:val="10"/>
        </w:rPr>
      </w:pPr>
    </w:p>
    <w:p w14:paraId="237EAAE5" w14:textId="1F17C4C2" w:rsidR="00A045A5" w:rsidRPr="00A045A5" w:rsidRDefault="00A045A5" w:rsidP="00A045A5">
      <w:pPr>
        <w:spacing w:line="240" w:lineRule="auto"/>
        <w:jc w:val="both"/>
        <w:rPr>
          <w:b/>
          <w:bCs/>
          <w:color w:val="000099"/>
        </w:rPr>
      </w:pPr>
      <w:r w:rsidRPr="00A045A5">
        <w:rPr>
          <w:b/>
          <w:bCs/>
          <w:color w:val="000099"/>
        </w:rPr>
        <w:t xml:space="preserve">Des synergies </w:t>
      </w:r>
      <w:r w:rsidR="00C51FFF">
        <w:rPr>
          <w:b/>
          <w:bCs/>
          <w:color w:val="000099"/>
        </w:rPr>
        <w:t>partielles</w:t>
      </w:r>
      <w:r w:rsidR="00C51FFF" w:rsidRPr="00A045A5">
        <w:rPr>
          <w:b/>
          <w:bCs/>
          <w:color w:val="000099"/>
        </w:rPr>
        <w:t xml:space="preserve"> </w:t>
      </w:r>
      <w:r w:rsidRPr="00A045A5">
        <w:rPr>
          <w:b/>
          <w:bCs/>
          <w:color w:val="000099"/>
        </w:rPr>
        <w:t>avec les autres interventions dans le PNK et au niveau national</w:t>
      </w:r>
    </w:p>
    <w:p w14:paraId="41072A32" w14:textId="6DE41C45" w:rsidR="005C3D57" w:rsidRDefault="00A045A5" w:rsidP="00A045A5">
      <w:pPr>
        <w:spacing w:line="240" w:lineRule="auto"/>
        <w:jc w:val="both"/>
      </w:pPr>
      <w:r w:rsidRPr="00A045A5">
        <w:t xml:space="preserve">L'évaluation révèle des synergies </w:t>
      </w:r>
      <w:r w:rsidR="00C51FFF">
        <w:t>partielles</w:t>
      </w:r>
      <w:r w:rsidR="00C51FFF" w:rsidRPr="00A045A5">
        <w:t xml:space="preserve"> </w:t>
      </w:r>
      <w:r w:rsidRPr="00A045A5">
        <w:t xml:space="preserve">avec d'autres interventions, tant au niveau national qu'au niveau du Parc National de la Kibira, bien que le positionnement spécifique du projet ait permis d'éviter les duplications. </w:t>
      </w:r>
    </w:p>
    <w:p w14:paraId="4D6EE05E" w14:textId="6CB2F443" w:rsidR="00A045A5" w:rsidRPr="00A045A5" w:rsidRDefault="00A045A5" w:rsidP="00A045A5">
      <w:pPr>
        <w:spacing w:line="240" w:lineRule="auto"/>
        <w:jc w:val="both"/>
      </w:pPr>
      <w:r w:rsidRPr="00A045A5">
        <w:t>Au niveau national, les synergies avec les trois autres projets PBF actifs au Burundi sont restées inexistantes malgré des thématiques potentiellement complémentaires. Ces trois projets (l'un ciblant les femmes, un autre les jeunes, et un troisième portant sur le dialogue et la santé mentale) auraient pu offrir des opportunités d'apprentissages croisés, de renforcement mutuel et de capitalisation des approches innovantes en matière de consolidation de la paix.</w:t>
      </w:r>
      <w:r w:rsidR="005C3D57">
        <w:t xml:space="preserve"> </w:t>
      </w:r>
      <w:r w:rsidR="005C3D57" w:rsidRPr="005C3D57">
        <w:t xml:space="preserve">Plusieurs facteurs expliquent cette </w:t>
      </w:r>
      <w:r w:rsidR="005C3D57">
        <w:t xml:space="preserve">situation, notamment </w:t>
      </w:r>
      <w:r w:rsidR="005C3D57" w:rsidRPr="005C3D57">
        <w:t xml:space="preserve">des contraintes de temps et de ressources limitant la capacité des équipes à investir dans des activités de coordination non prévues initialement. </w:t>
      </w:r>
      <w:r w:rsidR="00253346" w:rsidRPr="00253346">
        <w:t>Ce</w:t>
      </w:r>
      <w:r w:rsidR="00253346">
        <w:t xml:space="preserve">ci </w:t>
      </w:r>
      <w:r w:rsidR="00253346" w:rsidRPr="00253346">
        <w:lastRenderedPageBreak/>
        <w:t>révèle l'importance d'intégrer</w:t>
      </w:r>
      <w:r w:rsidR="00253346">
        <w:t>,</w:t>
      </w:r>
      <w:r w:rsidR="00253346" w:rsidRPr="00253346">
        <w:t xml:space="preserve"> dès la conception</w:t>
      </w:r>
      <w:r w:rsidR="00253346">
        <w:t>,</w:t>
      </w:r>
      <w:r w:rsidR="00253346" w:rsidRPr="00253346">
        <w:t xml:space="preserve"> des mécanismes explicites de coordination entre projets, avec des ressources dédiées et des plateformes d'échange périodiques.</w:t>
      </w:r>
      <w:r w:rsidRPr="00A045A5">
        <w:t xml:space="preserve"> </w:t>
      </w:r>
    </w:p>
    <w:p w14:paraId="6AAED252" w14:textId="3634A3C3" w:rsidR="008A37CF" w:rsidRDefault="00A045A5" w:rsidP="00A045A5">
      <w:pPr>
        <w:spacing w:line="240" w:lineRule="auto"/>
        <w:jc w:val="both"/>
      </w:pPr>
      <w:r w:rsidRPr="00A045A5">
        <w:t xml:space="preserve">Au niveau du Parc National de la Kibira, la coordination avec les autres interventions de conservation a été inégale. Les échanges avec le projet PNUD "Biodiversité" au PNK ont été assez réguliers, permettant d'éviter les redondances dans les interventions, </w:t>
      </w:r>
      <w:r w:rsidR="00C51FFF" w:rsidRPr="0062653C">
        <w:t>tout en jetant les bases d'une collaboration plus approfondie</w:t>
      </w:r>
      <w:r w:rsidR="00C51FFF" w:rsidRPr="00C51FFF">
        <w:t>.</w:t>
      </w:r>
      <w:r w:rsidRPr="00A045A5">
        <w:t xml:space="preserve"> Cette coordination a permis un partage d'informations et une compréhension mutuelle des interventions respectives, limitant les risques de duplication ou de contradiction. </w:t>
      </w:r>
      <w:r w:rsidR="00EC4D99" w:rsidRPr="00EC4D99">
        <w:t xml:space="preserve">Toutefois, ces échanges </w:t>
      </w:r>
      <w:r w:rsidR="004A6E65">
        <w:t>n’ont pas</w:t>
      </w:r>
      <w:r w:rsidR="00EC4D99" w:rsidRPr="00EC4D99">
        <w:t xml:space="preserve"> débouch</w:t>
      </w:r>
      <w:r w:rsidR="004A6E65">
        <w:t>é</w:t>
      </w:r>
      <w:r w:rsidR="00EC4D99" w:rsidRPr="00EC4D99">
        <w:t xml:space="preserve"> sur des actions conjointes. La limite principale réside dans l'absence </w:t>
      </w:r>
      <w:r w:rsidR="007C62F4">
        <w:t>de stratégie de</w:t>
      </w:r>
      <w:r w:rsidR="00EC4D99" w:rsidRPr="00EC4D99">
        <w:t xml:space="preserve"> transition et </w:t>
      </w:r>
      <w:r w:rsidR="007C62F4">
        <w:t>de</w:t>
      </w:r>
      <w:r w:rsidR="00EC4D99" w:rsidRPr="00EC4D99">
        <w:t xml:space="preserve"> relais entre les deux projets : aucune stratégie n'a été développée pour que le projet PNUD prenne le relais du projet Kibira sur certaines activités stratégiques, notamment le renforcement institutionnel de la Fondation Kibira ou son intégration </w:t>
      </w:r>
      <w:r w:rsidR="00625AE0">
        <w:t xml:space="preserve">structurelle </w:t>
      </w:r>
      <w:r w:rsidR="00EC4D99" w:rsidRPr="00EC4D99">
        <w:t xml:space="preserve">dans les activités du projet PNUD Biodiversité. Cette absence de planification de continuité entre </w:t>
      </w:r>
      <w:r w:rsidR="00625AE0">
        <w:t xml:space="preserve">les </w:t>
      </w:r>
      <w:r w:rsidR="00EC4D99" w:rsidRPr="00EC4D99">
        <w:t>deux interventions a limité les possibilités de consolidation des acquis et de maximisation de l'impact des investissements.</w:t>
      </w:r>
      <w:r w:rsidR="008A37CF" w:rsidRPr="008A37CF">
        <w:t xml:space="preserve"> </w:t>
      </w:r>
      <w:r w:rsidR="008A37CF">
        <w:t xml:space="preserve"> </w:t>
      </w:r>
    </w:p>
    <w:p w14:paraId="31A2536F" w14:textId="7BD4DBBF" w:rsidR="00A045A5" w:rsidRPr="00A045A5" w:rsidRDefault="00C51FFF" w:rsidP="00A045A5">
      <w:pPr>
        <w:spacing w:line="240" w:lineRule="auto"/>
        <w:jc w:val="both"/>
      </w:pPr>
      <w:r w:rsidRPr="00C51FFF">
        <w:t xml:space="preserve">Au-delà du projet Kibira, </w:t>
      </w:r>
      <w:r w:rsidR="001F397B">
        <w:t>l’</w:t>
      </w:r>
      <w:r w:rsidRPr="00C51FFF">
        <w:t xml:space="preserve">UNCDF et </w:t>
      </w:r>
      <w:r w:rsidR="001F397B">
        <w:t xml:space="preserve">le </w:t>
      </w:r>
      <w:r w:rsidRPr="00C51FFF">
        <w:t>PNUD, capitalisant sur l'expérience acquise, collaborent actuellement pour développer conjointement un projet GCF ainsi qu'une initiative d'écotourisme, démontrant ainsi l'émergence de synergies stratégiques entre les deux agences.</w:t>
      </w:r>
      <w:r>
        <w:t xml:space="preserve"> </w:t>
      </w:r>
    </w:p>
    <w:p w14:paraId="3B67A8A2" w14:textId="2B56C6CE" w:rsidR="00A045A5" w:rsidRPr="00A045A5" w:rsidRDefault="00A045A5" w:rsidP="00A045A5">
      <w:pPr>
        <w:spacing w:line="240" w:lineRule="auto"/>
        <w:jc w:val="both"/>
      </w:pPr>
      <w:r w:rsidRPr="00A045A5">
        <w:t>Le projet ENABEL "</w:t>
      </w:r>
      <w:proofErr w:type="spellStart"/>
      <w:r w:rsidRPr="00A045A5">
        <w:t>NaturAfrica</w:t>
      </w:r>
      <w:proofErr w:type="spellEnd"/>
      <w:r w:rsidRPr="00A045A5">
        <w:t xml:space="preserve">" dans le PNK (2025-2028) a intégré la Fondation Kibira comme partie prenante importante, reconnaissant ainsi son rôle central dans la gouvernance du parc. Cette intégration formelle représente une avancée positive pour la pérennisation du modèle de cogestion au-delà de la phase PBF. Cependant, au moment de l'évaluation, aucune feuille de route claire n'existait pour opérationnaliser concrètement cette collaboration. </w:t>
      </w:r>
    </w:p>
    <w:p w14:paraId="12BD2A7E" w14:textId="47A21E40" w:rsidR="00A045A5" w:rsidRPr="00A045A5" w:rsidRDefault="00A045A5" w:rsidP="00A045A5">
      <w:pPr>
        <w:spacing w:line="240" w:lineRule="auto"/>
        <w:jc w:val="both"/>
      </w:pPr>
      <w:r w:rsidRPr="00A045A5">
        <w:t>Au niveau régional, une tentative de synergie avec le portefeuille UNCDF en République Démocratique du Congo sur le mécanisme REDD+ n'a pas abouti</w:t>
      </w:r>
      <w:r w:rsidR="0054575E">
        <w:t>, en raison, notamment des</w:t>
      </w:r>
      <w:r w:rsidR="005C7997">
        <w:t xml:space="preserve"> </w:t>
      </w:r>
      <w:r w:rsidR="0054575E">
        <w:t xml:space="preserve">contraintes temporelles et des difficultés rencontrées pour la mise en place d’un tel mécanisme au niveau institutionnel et réglementaire. </w:t>
      </w:r>
    </w:p>
    <w:p w14:paraId="7E13DCDE" w14:textId="2FFF168A" w:rsidR="00A045A5" w:rsidRDefault="00A045A5" w:rsidP="00A045A5">
      <w:pPr>
        <w:spacing w:line="240" w:lineRule="auto"/>
        <w:jc w:val="both"/>
      </w:pPr>
      <w:r w:rsidRPr="00A045A5">
        <w:t xml:space="preserve">Malgré ces synergies </w:t>
      </w:r>
      <w:r w:rsidR="006F1D6A">
        <w:t>partielles</w:t>
      </w:r>
      <w:r w:rsidRPr="00A045A5">
        <w:t>, il convient de souligner que le positionnement spécifique du projet a évité les duplications avec d'autres interventions. L'approche nexus climat-paix-sécurité, le modèle de financement mixte séquencé, et le mécanisme de cogestion via une fondation privée constituent des innovations qui différencient clairement le projet Kibira des autres interventions de conservation ou de consolidation de la paix au Burundi. Cette différenciation garantit une valeur ajoutée distinctive et justifie l'investissement PBF dans une approche complémentaire aux interventions existantes.</w:t>
      </w:r>
    </w:p>
    <w:p w14:paraId="536FCF21" w14:textId="77777777" w:rsidR="007157FC" w:rsidRPr="00A045A5" w:rsidRDefault="007157FC" w:rsidP="007157FC"/>
    <w:p w14:paraId="1B5361A8" w14:textId="5C2C1DDF" w:rsidR="00776702" w:rsidRPr="00BF77AA" w:rsidRDefault="00776702" w:rsidP="00776702">
      <w:pPr>
        <w:pStyle w:val="Heading2"/>
        <w:jc w:val="both"/>
        <w:rPr>
          <w:rFonts w:ascii="Open Sans" w:hAnsi="Open Sans"/>
          <w:color w:val="000099"/>
        </w:rPr>
      </w:pPr>
      <w:bookmarkStart w:id="49" w:name="_Toc216948977"/>
      <w:r w:rsidRPr="00BF77AA">
        <w:rPr>
          <w:rFonts w:ascii="Open Sans" w:hAnsi="Open Sans"/>
          <w:color w:val="000099"/>
        </w:rPr>
        <w:t>4.3 Effi</w:t>
      </w:r>
      <w:r w:rsidR="008716F9" w:rsidRPr="00BF77AA">
        <w:rPr>
          <w:rFonts w:ascii="Open Sans" w:hAnsi="Open Sans"/>
          <w:color w:val="000099"/>
        </w:rPr>
        <w:t>cience</w:t>
      </w:r>
      <w:bookmarkEnd w:id="49"/>
      <w:r w:rsidR="008716F9" w:rsidRPr="00BF77AA">
        <w:rPr>
          <w:rFonts w:ascii="Open Sans" w:hAnsi="Open Sans"/>
          <w:color w:val="000099"/>
        </w:rPr>
        <w:t xml:space="preserve"> </w:t>
      </w:r>
    </w:p>
    <w:p w14:paraId="70B4C119" w14:textId="77777777" w:rsidR="008716F9" w:rsidRPr="004C4E82" w:rsidRDefault="008716F9" w:rsidP="00F44DF0">
      <w:pPr>
        <w:spacing w:line="240" w:lineRule="auto"/>
        <w:rPr>
          <w:sz w:val="10"/>
          <w:szCs w:val="10"/>
        </w:rPr>
      </w:pPr>
    </w:p>
    <w:p w14:paraId="36C7A0F4" w14:textId="3096FAB8" w:rsidR="00F44DF0" w:rsidRPr="00F44DF0" w:rsidRDefault="00F44DF0" w:rsidP="00F44DF0">
      <w:pPr>
        <w:spacing w:line="240" w:lineRule="auto"/>
        <w:jc w:val="both"/>
        <w:rPr>
          <w:b/>
          <w:bCs/>
          <w:color w:val="000099"/>
        </w:rPr>
      </w:pPr>
      <w:r w:rsidRPr="00F44DF0">
        <w:rPr>
          <w:b/>
          <w:bCs/>
          <w:color w:val="000099"/>
        </w:rPr>
        <w:t>Une exécution budgétaire satisfaisante avec des investissements structurants réalisés</w:t>
      </w:r>
    </w:p>
    <w:p w14:paraId="237684CA" w14:textId="78B2ABEE" w:rsidR="00F44DF0" w:rsidRPr="00F44DF0" w:rsidRDefault="00F44DF0" w:rsidP="00F44DF0">
      <w:pPr>
        <w:spacing w:line="240" w:lineRule="auto"/>
        <w:jc w:val="both"/>
      </w:pPr>
      <w:r w:rsidRPr="00F44DF0">
        <w:t xml:space="preserve">L'exécution budgétaire du projet Kibira Sanctuaire de Paix présente une progression graduelle et </w:t>
      </w:r>
      <w:r w:rsidR="00D97FD9">
        <w:t xml:space="preserve">assez </w:t>
      </w:r>
      <w:r w:rsidRPr="00F44DF0">
        <w:t xml:space="preserve">satisfaisante sur l'ensemble de la période de mise en œuvre. Le taux de décaissement a évolué de 46% en 2022 (461 </w:t>
      </w:r>
      <w:r w:rsidR="00BF77AA">
        <w:t>mille</w:t>
      </w:r>
      <w:r w:rsidRPr="00F44DF0">
        <w:t xml:space="preserve"> USD) à 55% en 2023 (1,657 million USD cumulé), pour atteindre </w:t>
      </w:r>
      <w:r w:rsidR="00491C7E">
        <w:t>83</w:t>
      </w:r>
      <w:r w:rsidRPr="00F44DF0">
        <w:t>% en novembre 2025 avec 2,</w:t>
      </w:r>
      <w:r w:rsidR="00491C7E">
        <w:t>5</w:t>
      </w:r>
      <w:r w:rsidRPr="00F44DF0">
        <w:t xml:space="preserve"> millions USD décaissés sur un budget total de 3 millions USD. Cette progression reflète le rythme de mise en œuvre du projet et l'échéancier des investissements majeurs. Le reliquat de 0,</w:t>
      </w:r>
      <w:r w:rsidR="00491C7E">
        <w:t>5</w:t>
      </w:r>
      <w:r w:rsidRPr="00F44DF0">
        <w:t xml:space="preserve"> million USD (</w:t>
      </w:r>
      <w:r w:rsidR="00491C7E">
        <w:t>17</w:t>
      </w:r>
      <w:r w:rsidRPr="00F44DF0">
        <w:t xml:space="preserve">%) sera dépensé d'ici fin décembre 2025 avec le versement des tranches restantes à </w:t>
      </w:r>
      <w:proofErr w:type="spellStart"/>
      <w:r w:rsidRPr="00F44DF0">
        <w:t>Hydroneo</w:t>
      </w:r>
      <w:proofErr w:type="spellEnd"/>
      <w:r w:rsidRPr="00F44DF0">
        <w:t xml:space="preserve"> pour le projet hydroélectrique de </w:t>
      </w:r>
      <w:proofErr w:type="spellStart"/>
      <w:r w:rsidRPr="00F44DF0">
        <w:t>Mpanda</w:t>
      </w:r>
      <w:proofErr w:type="spellEnd"/>
      <w:r w:rsidRPr="00F44DF0">
        <w:t>.</w:t>
      </w:r>
    </w:p>
    <w:p w14:paraId="2E01A6C2" w14:textId="67DF1511" w:rsidR="00F44DF0" w:rsidRPr="00F44DF0" w:rsidRDefault="00F44DF0" w:rsidP="00F44DF0">
      <w:pPr>
        <w:spacing w:line="240" w:lineRule="auto"/>
        <w:jc w:val="both"/>
      </w:pPr>
      <w:r w:rsidRPr="00F44DF0">
        <w:lastRenderedPageBreak/>
        <w:t xml:space="preserve">Le projet a maintenu le cap sur sa stratégie de mise en œuvre globale malgré les ajustements majeurs intervenus en cours d'exécution, notamment l'abandon du mécanisme REDD+ et les retards du projet hydroélectrique PPP. Ces ajustements, bien que significatifs, n'ont pas empêché la réalisation des investissements structurants prioritaires. Le quartier général de </w:t>
      </w:r>
      <w:proofErr w:type="spellStart"/>
      <w:r w:rsidRPr="00F44DF0">
        <w:t>Mwokora</w:t>
      </w:r>
      <w:proofErr w:type="spellEnd"/>
      <w:r w:rsidRPr="00F44DF0">
        <w:t xml:space="preserve"> a été entièrement réhabilité </w:t>
      </w:r>
      <w:r w:rsidR="00F53E3F">
        <w:t xml:space="preserve">et offre </w:t>
      </w:r>
      <w:r w:rsidRPr="00F44DF0">
        <w:t xml:space="preserve">depuis 2023 une base fonctionnelle pour la gestion du parc. La Fondation Kibira a été créée et opérationnalisée, avec la signature de l'accord historique de cogestion avec l'OBPE, marquant la première expérience de ce type au Burundi et dans la sous-région. Le projet hydroélectrique de </w:t>
      </w:r>
      <w:proofErr w:type="spellStart"/>
      <w:r w:rsidRPr="00F44DF0">
        <w:t>Mpanda</w:t>
      </w:r>
      <w:proofErr w:type="spellEnd"/>
      <w:r w:rsidRPr="00F44DF0">
        <w:t xml:space="preserve">, après avoir </w:t>
      </w:r>
      <w:r w:rsidR="00A272D2">
        <w:t xml:space="preserve">été abandonné par l’Etat burundais en 2017, </w:t>
      </w:r>
      <w:r w:rsidRPr="00F44DF0">
        <w:t>a été effectivement relancé avec le démarrage des travaux en 2024.</w:t>
      </w:r>
    </w:p>
    <w:p w14:paraId="10673898" w14:textId="74380AD5" w:rsidR="00F44DF0" w:rsidRDefault="00F44DF0" w:rsidP="00F44DF0">
      <w:pPr>
        <w:spacing w:line="240" w:lineRule="auto"/>
        <w:jc w:val="both"/>
      </w:pPr>
      <w:r w:rsidRPr="00F44DF0">
        <w:t xml:space="preserve">La forte appropriation institutionnelle par les partenaires nationaux, déjà soulignée dans le critère Pertinence, a constitué un facteur d'efficience important en facilitant la mise en œuvre opérationnelle. L'engagement de l'OBPE, du Ministère de l'Énergie, et le soutien politique au plus haut niveau ont permis d'accélérer certaines procédures administratives et de mobiliser les ressources humaines nationales nécessaires. </w:t>
      </w:r>
    </w:p>
    <w:p w14:paraId="3B031B84" w14:textId="77777777" w:rsidR="00F53E3F" w:rsidRPr="004C4E82" w:rsidRDefault="00F53E3F" w:rsidP="00F44DF0">
      <w:pPr>
        <w:spacing w:line="240" w:lineRule="auto"/>
        <w:jc w:val="both"/>
        <w:rPr>
          <w:sz w:val="10"/>
          <w:szCs w:val="10"/>
        </w:rPr>
      </w:pPr>
    </w:p>
    <w:p w14:paraId="62F2EA12" w14:textId="22CE3A18" w:rsidR="00F44DF0" w:rsidRPr="00F44DF0" w:rsidRDefault="00F44DF0" w:rsidP="00F44DF0">
      <w:pPr>
        <w:spacing w:line="240" w:lineRule="auto"/>
        <w:jc w:val="both"/>
        <w:rPr>
          <w:b/>
          <w:bCs/>
          <w:color w:val="000099"/>
        </w:rPr>
      </w:pPr>
      <w:r w:rsidRPr="00F44DF0">
        <w:rPr>
          <w:b/>
          <w:bCs/>
          <w:color w:val="000099"/>
        </w:rPr>
        <w:t>Un effet de levier financier important démontrant le potentiel catalytique du financement PBF</w:t>
      </w:r>
    </w:p>
    <w:p w14:paraId="1C0A9FFD" w14:textId="6BFA1798" w:rsidR="00F44DF0" w:rsidRPr="00F44DF0" w:rsidRDefault="00F44DF0" w:rsidP="00F44DF0">
      <w:pPr>
        <w:spacing w:line="240" w:lineRule="auto"/>
        <w:jc w:val="both"/>
      </w:pPr>
      <w:r w:rsidRPr="00F44DF0">
        <w:t xml:space="preserve">Le projet Kibira Sanctuaire de Paix démontre un effet de levier financier remarquable qui illustre la valeur catalytique du financement PBF dans la mobilisation de ressources additionnelles pour le développement durable et la consolidation de la paix. L'investissement de 1,5 million USD du PBF dans le projet hydroélectrique de </w:t>
      </w:r>
      <w:proofErr w:type="spellStart"/>
      <w:r w:rsidRPr="00F44DF0">
        <w:t>Mpanda</w:t>
      </w:r>
      <w:proofErr w:type="spellEnd"/>
      <w:r w:rsidRPr="00F44DF0">
        <w:t xml:space="preserve"> a joué un rôle déterminant dans le </w:t>
      </w:r>
      <w:proofErr w:type="spellStart"/>
      <w:r w:rsidRPr="00F44DF0">
        <w:t>dérisquage</w:t>
      </w:r>
      <w:proofErr w:type="spellEnd"/>
      <w:r w:rsidRPr="00F44DF0">
        <w:t xml:space="preserve"> et la préparation à l'investissement de ce projet d'infrastructure complexe. Cet investissement catalytique permettra de faciliter la mobilisation d'un investissement total de plus de </w:t>
      </w:r>
      <w:r w:rsidR="00AB0F57">
        <w:t>4</w:t>
      </w:r>
      <w:r w:rsidRPr="00F44DF0">
        <w:t xml:space="preserve">0 millions USD pour la construction et l'exploitation complète du projet hydroélectrique. </w:t>
      </w:r>
    </w:p>
    <w:p w14:paraId="716F60A3" w14:textId="39BCCF32" w:rsidR="00BF77AA" w:rsidRDefault="00BF77AA" w:rsidP="00F44DF0">
      <w:pPr>
        <w:spacing w:line="240" w:lineRule="auto"/>
        <w:jc w:val="both"/>
      </w:pPr>
      <w:r w:rsidRPr="00BF77AA">
        <w:t xml:space="preserve">L'attractivité créée pour les bailleurs de fonds du projet hydroélectrique découle directement de l'approche stratégique adoptée par l'UNCDF. L'enveloppe de 1,5 million USD investie a permis de conduire les études de due diligence, les évaluations d'impact environnemental et social, l'atténuation des risques immédiats comme les glissements de terrain, et la protection des communautés locales. Ces investissements préparatoires ont transformé un projet conceptuel en un projet bancable répondant aux standards internationaux, démontrant une gestion proactive des risques environnementaux et sociaux et assurant l'acceptabilité sociale auprès des communautés. Cette </w:t>
      </w:r>
      <w:r w:rsidR="00AB1EFA">
        <w:t>approche</w:t>
      </w:r>
      <w:r w:rsidRPr="00BF77AA">
        <w:t xml:space="preserve"> a réduit substantiellement le profil de risque du projet, le rendant attractif pour des financements à plus grande échelle auprès de la BAD et d'autres prêteurs principaux.</w:t>
      </w:r>
    </w:p>
    <w:p w14:paraId="7F3E2856" w14:textId="2AF8C5E3" w:rsidR="00F44DF0" w:rsidRPr="00F44DF0" w:rsidRDefault="00F44DF0" w:rsidP="00F44DF0">
      <w:pPr>
        <w:spacing w:line="240" w:lineRule="auto"/>
        <w:jc w:val="both"/>
      </w:pPr>
      <w:r w:rsidRPr="00F44DF0">
        <w:t xml:space="preserve">Le mécanisme de Paiement pour Services Écosystémiques (PSE) constitue également un effet catalytique direct des investissements PBF dans la création de la Fondation Kibira et l'établissement du cadre de cogestion. L'accord PSE signé entre </w:t>
      </w:r>
      <w:proofErr w:type="spellStart"/>
      <w:r w:rsidRPr="00F44DF0">
        <w:t>Hydroneo</w:t>
      </w:r>
      <w:proofErr w:type="spellEnd"/>
      <w:r w:rsidRPr="00F44DF0">
        <w:t xml:space="preserve"> et la Fondation Kibira prévoit le versement de 150 000 USD par an pendant 10 ans, soit un total de 1,5 million USD, pour financer </w:t>
      </w:r>
      <w:r w:rsidR="00CD1630">
        <w:t>de</w:t>
      </w:r>
      <w:r w:rsidRPr="00F44DF0">
        <w:t>s activités de conservation</w:t>
      </w:r>
      <w:r w:rsidR="00CD1630">
        <w:t xml:space="preserve"> et de développement communautaire</w:t>
      </w:r>
      <w:r w:rsidRPr="00F44DF0">
        <w:t>. Ce modèle de PSE, liant explicitement les intérêts économiques d'un projet d'infrastructure aux impératifs de conservation environnementale, constitue une innovation financière potentiellement réplicable dans d'autres contextes.</w:t>
      </w:r>
    </w:p>
    <w:p w14:paraId="2927661C" w14:textId="7007F7C1" w:rsidR="00630B62" w:rsidRDefault="00F44DF0" w:rsidP="00F44DF0">
      <w:pPr>
        <w:spacing w:line="240" w:lineRule="auto"/>
        <w:jc w:val="both"/>
      </w:pPr>
      <w:r w:rsidRPr="00F44DF0">
        <w:t xml:space="preserve">Le financement du Nature Investment Facility (NIF) de 1,875 million USD obtenu </w:t>
      </w:r>
      <w:r w:rsidR="004F05FA">
        <w:t xml:space="preserve">en août 2024 </w:t>
      </w:r>
      <w:r w:rsidRPr="00F44DF0">
        <w:t xml:space="preserve">pour l'appui à la Fondation Kibira et la continuité des actions de conservation et développement communautaire entamées dans le projet Kibira sanctuaire représente un effet catalytique additionnel significatif. Cet apport financier additionnel, soit 62,5% du montant initial PBF, permettra d'amplifier et de pérenniser les acquis du projet. </w:t>
      </w:r>
    </w:p>
    <w:p w14:paraId="0E9E6B26" w14:textId="486092CF" w:rsidR="00F44DF0" w:rsidRDefault="00F44DF0" w:rsidP="00F44DF0">
      <w:pPr>
        <w:spacing w:line="240" w:lineRule="auto"/>
        <w:jc w:val="both"/>
      </w:pPr>
      <w:r w:rsidRPr="00F44DF0">
        <w:lastRenderedPageBreak/>
        <w:t xml:space="preserve">L'effet de levier combiné (PPP + PSE + NIF) représente ainsi plus de </w:t>
      </w:r>
      <w:r w:rsidR="00630B62">
        <w:t>43</w:t>
      </w:r>
      <w:r w:rsidRPr="00F44DF0">
        <w:t xml:space="preserve"> millions USD mobilisés ou potentiellement mobilisés à partir d'un investissement catalytique initial de 3 millions USD, soit un ratio global supérieur à </w:t>
      </w:r>
      <w:proofErr w:type="gramStart"/>
      <w:r w:rsidRPr="00F44DF0">
        <w:t>1:</w:t>
      </w:r>
      <w:proofErr w:type="gramEnd"/>
      <w:r w:rsidRPr="00F44DF0">
        <w:t>1</w:t>
      </w:r>
      <w:r w:rsidR="00BC5CF9">
        <w:t>4</w:t>
      </w:r>
      <w:r w:rsidRPr="00F44DF0">
        <w:t>.</w:t>
      </w:r>
    </w:p>
    <w:p w14:paraId="7FAE2DE6" w14:textId="77777777" w:rsidR="00630B62" w:rsidRPr="004C4E82" w:rsidRDefault="00630B62" w:rsidP="00F44DF0">
      <w:pPr>
        <w:spacing w:line="240" w:lineRule="auto"/>
        <w:jc w:val="both"/>
        <w:rPr>
          <w:sz w:val="10"/>
          <w:szCs w:val="10"/>
        </w:rPr>
      </w:pPr>
    </w:p>
    <w:p w14:paraId="6E8146AD" w14:textId="1861AE3F" w:rsidR="00F44DF0" w:rsidRPr="006834FB" w:rsidRDefault="00F44DF0" w:rsidP="00F44DF0">
      <w:pPr>
        <w:spacing w:line="240" w:lineRule="auto"/>
        <w:jc w:val="both"/>
        <w:rPr>
          <w:b/>
          <w:bCs/>
          <w:color w:val="000099"/>
        </w:rPr>
      </w:pPr>
      <w:r w:rsidRPr="006834FB">
        <w:rPr>
          <w:b/>
          <w:bCs/>
          <w:color w:val="000099"/>
        </w:rPr>
        <w:t xml:space="preserve">Une utilisation </w:t>
      </w:r>
      <w:r w:rsidR="007D4485">
        <w:rPr>
          <w:b/>
          <w:bCs/>
          <w:color w:val="000099"/>
        </w:rPr>
        <w:t xml:space="preserve">peu </w:t>
      </w:r>
      <w:r w:rsidRPr="006834FB">
        <w:rPr>
          <w:b/>
          <w:bCs/>
          <w:color w:val="000099"/>
        </w:rPr>
        <w:t>optimale de certain</w:t>
      </w:r>
      <w:r w:rsidR="00D47A73">
        <w:rPr>
          <w:b/>
          <w:bCs/>
          <w:color w:val="000099"/>
        </w:rPr>
        <w:t>s</w:t>
      </w:r>
      <w:r w:rsidRPr="006834FB">
        <w:rPr>
          <w:b/>
          <w:bCs/>
          <w:color w:val="000099"/>
        </w:rPr>
        <w:t xml:space="preserve"> </w:t>
      </w:r>
      <w:r w:rsidR="00D47A73" w:rsidRPr="006834FB">
        <w:rPr>
          <w:b/>
          <w:bCs/>
          <w:color w:val="000099"/>
        </w:rPr>
        <w:t xml:space="preserve">mécanismes </w:t>
      </w:r>
      <w:r w:rsidR="00D47A73">
        <w:rPr>
          <w:b/>
          <w:bCs/>
          <w:color w:val="000099"/>
        </w:rPr>
        <w:t xml:space="preserve">et </w:t>
      </w:r>
      <w:r w:rsidRPr="006834FB">
        <w:rPr>
          <w:b/>
          <w:bCs/>
          <w:color w:val="000099"/>
        </w:rPr>
        <w:t xml:space="preserve">infrastructures </w:t>
      </w:r>
    </w:p>
    <w:p w14:paraId="70814BB0" w14:textId="77777777" w:rsidR="00F44DF0" w:rsidRPr="00F44DF0" w:rsidRDefault="00F44DF0" w:rsidP="00F44DF0">
      <w:pPr>
        <w:spacing w:line="240" w:lineRule="auto"/>
        <w:jc w:val="both"/>
      </w:pPr>
      <w:r w:rsidRPr="00F44DF0">
        <w:t>Malgré les réalisations substantielles en termes d'investissements structurants, l'évaluation révèle une sous-utilisation de certaines infrastructures et mécanismes qui limite le rapport coût-efficacité global du projet. Le centre culturel construit dans le cadre des activités de promotion du patrimoine culturel et du caractère sacré du Parc National de la Kibira demeure sous-exploité au moment de l'évaluation. Cette infrastructure, conçue pour accueillir des événements culturels (récits, chants, danses), des expositions sur l'histoire et la biodiversité de la Kibira, et servir de plateforme de dialogue intercommunautaire, n'a pas atteint le niveau d'animation et de fréquentation envisagé. Les raisons de cette sous-exploitation incluent l'absence d'un plan d'animation culturelle régulier, le manque de ressources dédiées pour l'organisation d'événements récurrents, et une appropriation limitée par les communautés locales et les artistes qui n'ont pas été suffisamment mobilisés après la phase initiale de collecte des contes et récits. Cette sous-utilisation représente un manque à gagner en termes de cohésion sociale et de valorisation du patrimoine, objectifs centraux de cette composante.</w:t>
      </w:r>
    </w:p>
    <w:p w14:paraId="2B418E0F" w14:textId="77F126C5" w:rsidR="00F44DF0" w:rsidRPr="00F44DF0" w:rsidRDefault="009B2706" w:rsidP="00F44DF0">
      <w:pPr>
        <w:spacing w:line="240" w:lineRule="auto"/>
        <w:jc w:val="both"/>
      </w:pPr>
      <w:r w:rsidRPr="009B2706">
        <w:t xml:space="preserve">La champignonnière de </w:t>
      </w:r>
      <w:proofErr w:type="spellStart"/>
      <w:r w:rsidRPr="009B2706">
        <w:t>Caguka</w:t>
      </w:r>
      <w:proofErr w:type="spellEnd"/>
      <w:r w:rsidRPr="009B2706">
        <w:t xml:space="preserve"> constitue un cas </w:t>
      </w:r>
      <w:r>
        <w:t>regrettable</w:t>
      </w:r>
      <w:r w:rsidRPr="009B2706">
        <w:t xml:space="preserve"> de perte d'investissement. Cette infrastructure, mise en place pour développer la culture de champignons comme activité génératrice de revenus, a été détruite par des intempéries</w:t>
      </w:r>
      <w:r>
        <w:t xml:space="preserve"> et </w:t>
      </w:r>
      <w:r w:rsidRPr="009B2706">
        <w:t xml:space="preserve">n'a pas été reconstruite. Cette situation prive la communauté de </w:t>
      </w:r>
      <w:proofErr w:type="spellStart"/>
      <w:r w:rsidRPr="009B2706">
        <w:t>Caguka</w:t>
      </w:r>
      <w:proofErr w:type="spellEnd"/>
      <w:r w:rsidRPr="009B2706">
        <w:t xml:space="preserve"> d'une source de revenus potentielle qui avait suscité des attentes importantes. </w:t>
      </w:r>
    </w:p>
    <w:p w14:paraId="32EC8F7D" w14:textId="5A0F8ED8" w:rsidR="00836811" w:rsidRPr="00F44DF0" w:rsidRDefault="00836811" w:rsidP="00F44DF0">
      <w:pPr>
        <w:spacing w:line="240" w:lineRule="auto"/>
        <w:jc w:val="both"/>
      </w:pPr>
      <w:r w:rsidRPr="00836811">
        <w:t>Les Comités de Protection de la Kibira (CPK)</w:t>
      </w:r>
      <w:r>
        <w:t xml:space="preserve"> </w:t>
      </w:r>
      <w:r w:rsidRPr="00836811">
        <w:t xml:space="preserve">présentent une fonctionnalité globalement limitée. Bien que certains CPK, notamment à </w:t>
      </w:r>
      <w:proofErr w:type="spellStart"/>
      <w:r w:rsidRPr="00836811">
        <w:t>Muciro</w:t>
      </w:r>
      <w:proofErr w:type="spellEnd"/>
      <w:r w:rsidRPr="00836811">
        <w:t xml:space="preserve"> où les activités du projet ont été les plus intensives, soient plus actifs que d'autres, le rôle de la plupart des CPK s'est limité à la "délation", c'est-à-dire au signalement des infractions et des activités illégales dans le parc, plutôt qu'à la médiation communautaire, au dialogue constructif avec les autorités, et à la promotion proactive de la conservation. Dans plusieurs localités, les CPK sont peu actifs voire non fonctionnels, avec une mobilisation limitée des membres. Cette concentration sur un rôle essentiellement de surveillance limite considérablement le potentiel des CPK comme espaces de gouvernance participative et de construction de la paix.</w:t>
      </w:r>
    </w:p>
    <w:p w14:paraId="7800A4F0" w14:textId="4A4E5B93" w:rsidR="00F44DF0" w:rsidRDefault="00A35100" w:rsidP="00F44DF0">
      <w:pPr>
        <w:spacing w:line="240" w:lineRule="auto"/>
        <w:jc w:val="both"/>
      </w:pPr>
      <w:r w:rsidRPr="00A35100">
        <w:t xml:space="preserve">Le manque de suivi post-intervention constitue une faiblesse transversale affectant l'efficience de plusieurs activités. L'Association ABN, qui supervisait la composante conservation, a réalisé des interventions </w:t>
      </w:r>
      <w:r>
        <w:t>importantes</w:t>
      </w:r>
      <w:r w:rsidRPr="00A35100">
        <w:t xml:space="preserve"> entre août 2022 et janvier 2024 : </w:t>
      </w:r>
      <w:r w:rsidR="00AF6818">
        <w:t>R</w:t>
      </w:r>
      <w:r w:rsidRPr="00A35100">
        <w:t xml:space="preserve">estauration forestière sur 21 hectares (taux de survie de 81% à janvier 2024), délimitation du parc sur 13 km avec </w:t>
      </w:r>
      <w:r>
        <w:t xml:space="preserve">des </w:t>
      </w:r>
      <w:r w:rsidRPr="00A35100">
        <w:t xml:space="preserve">plants de </w:t>
      </w:r>
      <w:r w:rsidRPr="0062653C">
        <w:rPr>
          <w:i/>
          <w:iCs/>
        </w:rPr>
        <w:t xml:space="preserve">Maesopsis </w:t>
      </w:r>
      <w:proofErr w:type="spellStart"/>
      <w:r w:rsidRPr="0062653C">
        <w:rPr>
          <w:i/>
          <w:iCs/>
        </w:rPr>
        <w:t>eminii</w:t>
      </w:r>
      <w:proofErr w:type="spellEnd"/>
      <w:r w:rsidRPr="00A35100">
        <w:t xml:space="preserve"> (76% de survie), distribution de 80 000 plants de </w:t>
      </w:r>
      <w:r w:rsidRPr="0062653C">
        <w:rPr>
          <w:i/>
          <w:iCs/>
        </w:rPr>
        <w:t>Grevillea robusta</w:t>
      </w:r>
      <w:r w:rsidRPr="00A35100">
        <w:t xml:space="preserve"> aux communautés (71% de survie), aménagement et végétalisation de 20 km de bassins versants, et plantation de 18 200 bambous sur les rivières </w:t>
      </w:r>
      <w:proofErr w:type="spellStart"/>
      <w:r w:rsidRPr="00A35100">
        <w:t>Kayave</w:t>
      </w:r>
      <w:proofErr w:type="spellEnd"/>
      <w:r w:rsidRPr="00A35100">
        <w:t xml:space="preserve"> et Ruvubu (63% de survie). Cependant, depuis la fin du contrat de ABN en janvier 2024, aucun suivi systématique n'a été effectué pour mesurer l'évolution des taux de survie et l'état actuel de ces plantations, soit près de deux ans sans monitoring. Cette interruption prolongée du suivi limite la capacité à évaluer le retour sur investissement réel de cette composante et à identifier les facteurs de succès ou d'échec pour ajuster les approches futures. La durée du contrat </w:t>
      </w:r>
      <w:r w:rsidR="00E051D4">
        <w:t xml:space="preserve">de </w:t>
      </w:r>
      <w:r w:rsidRPr="00A35100">
        <w:t>ABN (1</w:t>
      </w:r>
      <w:r w:rsidR="009A76FA">
        <w:t>8</w:t>
      </w:r>
      <w:r w:rsidRPr="00A35100">
        <w:t xml:space="preserve"> mois) s'est révélée insuffisante pour garantir la durabilité des plantations, qui nécessiterait idéalement un suivi sur 3 ans. De même, les activités génératrices de revenus comme la culture de champignons et l'apiculture ont bénéficié de formations et d'équipements initiaux, mais l'accompagnement post-formation est resté limité, les bénéficiaires étant laissés relativement autonomes pour gérer les défis techniques et organisationnels sans mécanisme d'appui durable.</w:t>
      </w:r>
      <w:r w:rsidR="008A299E">
        <w:t xml:space="preserve"> </w:t>
      </w:r>
      <w:r w:rsidR="008A299E" w:rsidRPr="008A299E">
        <w:t xml:space="preserve">L'exemple de </w:t>
      </w:r>
      <w:proofErr w:type="spellStart"/>
      <w:r w:rsidR="008A299E" w:rsidRPr="008A299E">
        <w:t>Mpfunda</w:t>
      </w:r>
      <w:proofErr w:type="spellEnd"/>
      <w:r w:rsidR="008A299E" w:rsidRPr="008A299E">
        <w:t xml:space="preserve"> illustre ces lacunes : les </w:t>
      </w:r>
      <w:r w:rsidR="008A299E" w:rsidRPr="008A299E">
        <w:lastRenderedPageBreak/>
        <w:t>bénéficiaires ont manifesté un besoin important d'accompagnement pour la maîtrise des techniques de culture et l'identification de sources d'approvisionnement en intrants agricoles. Sans cet appui, la viabilité et la rentabilité de ces activités génératrices de revenus demeurent incertaines</w:t>
      </w:r>
      <w:r w:rsidR="008A299E">
        <w:t>.</w:t>
      </w:r>
    </w:p>
    <w:p w14:paraId="52718135" w14:textId="77777777" w:rsidR="00A35100" w:rsidRPr="004C4E82" w:rsidRDefault="00A35100" w:rsidP="00F44DF0">
      <w:pPr>
        <w:spacing w:line="240" w:lineRule="auto"/>
        <w:jc w:val="both"/>
        <w:rPr>
          <w:sz w:val="10"/>
          <w:szCs w:val="10"/>
        </w:rPr>
      </w:pPr>
    </w:p>
    <w:p w14:paraId="4BC472F6" w14:textId="32051F8E" w:rsidR="00F44DF0" w:rsidRPr="00025BDE" w:rsidRDefault="00F44DF0" w:rsidP="00F44DF0">
      <w:pPr>
        <w:spacing w:line="240" w:lineRule="auto"/>
        <w:jc w:val="both"/>
        <w:rPr>
          <w:b/>
          <w:bCs/>
          <w:color w:val="000099"/>
        </w:rPr>
      </w:pPr>
      <w:r w:rsidRPr="00025BDE">
        <w:rPr>
          <w:b/>
          <w:bCs/>
          <w:color w:val="000099"/>
        </w:rPr>
        <w:t>Une gouvernance de projet perfectible malgré une coordination opérationnelle effective</w:t>
      </w:r>
    </w:p>
    <w:p w14:paraId="4A7B373C" w14:textId="1F0D6493" w:rsidR="00F44DF0" w:rsidRPr="00F44DF0" w:rsidRDefault="009B04FF" w:rsidP="00F44DF0">
      <w:pPr>
        <w:spacing w:line="240" w:lineRule="auto"/>
        <w:jc w:val="both"/>
      </w:pPr>
      <w:r w:rsidRPr="009B04FF">
        <w:t xml:space="preserve">La gouvernance formelle du projet Kibira Sanctuaire de Paix présente une lacune notable avec l'absence de mise en place du Comité de Pilotage (COPIL) pourtant prévu dans le document de projet. Le </w:t>
      </w:r>
      <w:proofErr w:type="spellStart"/>
      <w:r w:rsidRPr="009B04FF">
        <w:t>Prodoc</w:t>
      </w:r>
      <w:proofErr w:type="spellEnd"/>
      <w:r w:rsidRPr="009B04FF">
        <w:t xml:space="preserve"> établissait clairement la composition et les responsabilités de ce comité, qui devait être coprésidé par le Ministre de l'Environnement et le Coordinateur Résident des Nations Unies, avec la participation de représentants des bailleurs, de la Fondation Kibira, du PNUD, et de l'UNCDF assurant le secrétariat. Ce COPIL devait se réunir au moins deux fois par an pour approuver les plans de travail annuels et leurs révisions, superviser la performance du projet, examiner les rapports semestriels narratifs et financiers, et arbitrer sur les modifications majeures du programme. Cependant, malgré les démarches entreprises par l'UNCDF, ce comité n'a jamais été opérationnalisé en raison de l'absence de désignation formelle des membres par les partenaires institutionnels du gouvernement. Cette absence de COPIL a limité la capacité du projet à disposer d'un cadre de gouvernance formalisé pour les décisions stratégiques majeures, telles que l'abandon du mécanisme REDD+. La coordination stratégique a été assurée de manière plus informelle par le COPIL PBF existant au niveau du portefeuille PBF au Burundi, ainsi que par des réunions de concertation ad hoc entre l'UNCDF et les partenaires selon les besoins, sans la traçabilité et la redevabilité qu'offre un COPIL régulier avec procès-verbaux documentant les délibérations et les orientations stratégiques.</w:t>
      </w:r>
    </w:p>
    <w:p w14:paraId="7402D9E7" w14:textId="188AE2B9" w:rsidR="00F44DF0" w:rsidRPr="00F44DF0" w:rsidRDefault="00F44DF0" w:rsidP="00F44DF0">
      <w:pPr>
        <w:spacing w:line="240" w:lineRule="auto"/>
        <w:jc w:val="both"/>
      </w:pPr>
      <w:r w:rsidRPr="00F44DF0">
        <w:t xml:space="preserve">Malgré cette lacune de gouvernance formelle, la coordination opérationnelle du projet s'est révélée suffisamment effective pour permettre la mise en œuvre des activités et l'atteinte de nombreux objectifs. L'UNCDF a maintenu des réunions régulières avec les partenaires de mise en œuvre, notamment </w:t>
      </w:r>
      <w:proofErr w:type="spellStart"/>
      <w:r w:rsidRPr="00F44DF0">
        <w:t>Communities</w:t>
      </w:r>
      <w:proofErr w:type="spellEnd"/>
      <w:r w:rsidRPr="00F44DF0">
        <w:t xml:space="preserve"> of Hope (COH) en tant que chef de file du consortium, permettant un suivi rapproché de l'avancement des activités, l'identification précoce des obstacles, et la résolution collaborative des problèmes opérationnels. La collaboration avec les institutions nationales, particulièrement l'OBPE et le Ministère de l'Énergie, a été fluide avec des échanges fréquents et une réactivité appréciable face aux défis rencontrés. Cette coordination opérationnelle pragmatique, bien qu'informelle, a compensé l'absence de structure de gouvernance formalisée et a permis de maintenir la dynamique de mise en œuvre malgré.</w:t>
      </w:r>
    </w:p>
    <w:p w14:paraId="2C6E5C58" w14:textId="5C02FD0A" w:rsidR="00F44DF0" w:rsidRPr="00F44DF0" w:rsidRDefault="00F44DF0" w:rsidP="00F44DF0">
      <w:pPr>
        <w:spacing w:line="240" w:lineRule="auto"/>
        <w:jc w:val="both"/>
      </w:pPr>
      <w:r w:rsidRPr="00F44DF0">
        <w:t xml:space="preserve">La gestion du consortium coordonné par COH représente un défi d'efficience particulier compte tenu de la nécessité de synchroniser les interventions de </w:t>
      </w:r>
      <w:r w:rsidR="00E634CE">
        <w:t>quatre</w:t>
      </w:r>
      <w:r w:rsidRPr="00F44DF0">
        <w:t xml:space="preserve"> organisations partenaires aux expertises et cultures organisationnelles différentes. Cette coordination multi-acteurs a </w:t>
      </w:r>
      <w:r w:rsidR="00E634CE">
        <w:t>nécessité un effort important</w:t>
      </w:r>
      <w:r w:rsidRPr="00F44DF0">
        <w:t xml:space="preserve"> de synchronisation, notamment dans la planification conjointe des activités sur les mêmes sites et la cohérence des messages transmis aux communautés. Cependant, les résultats globalement positifs témoignent d'une gestion de consortium fonctionnelle qui a su exploiter la complémentarité des expertises tout en gérant les complexités inhérentes à un dispositif multi-organisationnel.</w:t>
      </w:r>
    </w:p>
    <w:p w14:paraId="20D96553" w14:textId="6124DA02" w:rsidR="00F44DF0" w:rsidRDefault="00F44DF0" w:rsidP="00F44DF0">
      <w:pPr>
        <w:spacing w:line="240" w:lineRule="auto"/>
        <w:jc w:val="both"/>
      </w:pPr>
      <w:r w:rsidRPr="00F44DF0">
        <w:t xml:space="preserve">Le système de suivi-évaluation du projet a assuré un </w:t>
      </w:r>
      <w:proofErr w:type="spellStart"/>
      <w:r w:rsidRPr="00F44DF0">
        <w:t>reporting</w:t>
      </w:r>
      <w:proofErr w:type="spellEnd"/>
      <w:r w:rsidRPr="00F44DF0">
        <w:t xml:space="preserve"> régulier à l'UNCDF et au PBF à travers les rapports de progrès semestriels documentant l'avancement des activités, les défis rencontrés, et les indicateurs du cadre de résultats. Cependant, ce système de monitoring présente des limites qui seront analysées en détail dans la section 4.4 - Efficacité, notamment concernant la pertinence de certains indicateurs et</w:t>
      </w:r>
      <w:r w:rsidR="00456CD9">
        <w:t xml:space="preserve"> certaines cibles visées. </w:t>
      </w:r>
    </w:p>
    <w:p w14:paraId="656EA66E" w14:textId="77777777" w:rsidR="008716F9" w:rsidRDefault="008716F9" w:rsidP="008B77C9">
      <w:pPr>
        <w:spacing w:line="240" w:lineRule="auto"/>
      </w:pPr>
    </w:p>
    <w:p w14:paraId="4C7992D2" w14:textId="77777777" w:rsidR="001F650C" w:rsidRDefault="001F650C" w:rsidP="008B77C9">
      <w:pPr>
        <w:spacing w:line="240" w:lineRule="auto"/>
      </w:pPr>
    </w:p>
    <w:p w14:paraId="68D61843" w14:textId="5E736892" w:rsidR="00776702" w:rsidRPr="000125AC" w:rsidRDefault="00776702" w:rsidP="008B77C9">
      <w:pPr>
        <w:pStyle w:val="Heading2"/>
        <w:jc w:val="both"/>
        <w:rPr>
          <w:rFonts w:ascii="Open Sans" w:hAnsi="Open Sans"/>
          <w:color w:val="000099"/>
        </w:rPr>
      </w:pPr>
      <w:bookmarkStart w:id="50" w:name="_Toc216948978"/>
      <w:r w:rsidRPr="000125AC">
        <w:rPr>
          <w:rFonts w:ascii="Open Sans" w:hAnsi="Open Sans"/>
          <w:color w:val="000099"/>
        </w:rPr>
        <w:lastRenderedPageBreak/>
        <w:t xml:space="preserve">4.4 </w:t>
      </w:r>
      <w:r w:rsidR="00432CD7" w:rsidRPr="000125AC">
        <w:rPr>
          <w:rFonts w:ascii="Open Sans" w:hAnsi="Open Sans"/>
          <w:color w:val="000099"/>
        </w:rPr>
        <w:t>Efficacité</w:t>
      </w:r>
      <w:bookmarkEnd w:id="50"/>
      <w:r w:rsidR="00432CD7" w:rsidRPr="000125AC">
        <w:rPr>
          <w:rFonts w:ascii="Open Sans" w:hAnsi="Open Sans"/>
          <w:color w:val="000099"/>
        </w:rPr>
        <w:t xml:space="preserve"> </w:t>
      </w:r>
    </w:p>
    <w:p w14:paraId="3392C1B1" w14:textId="77777777" w:rsidR="008B77C9" w:rsidRPr="004C4E82" w:rsidRDefault="008B77C9" w:rsidP="008B77C9">
      <w:pPr>
        <w:spacing w:line="240" w:lineRule="auto"/>
        <w:jc w:val="both"/>
        <w:rPr>
          <w:b/>
          <w:bCs/>
          <w:sz w:val="10"/>
          <w:szCs w:val="10"/>
        </w:rPr>
      </w:pPr>
    </w:p>
    <w:p w14:paraId="2E53C059" w14:textId="065BE142" w:rsidR="008B77C9" w:rsidRPr="008B77C9" w:rsidRDefault="008B77C9" w:rsidP="008B77C9">
      <w:pPr>
        <w:spacing w:line="240" w:lineRule="auto"/>
        <w:jc w:val="both"/>
        <w:rPr>
          <w:b/>
          <w:bCs/>
          <w:color w:val="000099"/>
        </w:rPr>
      </w:pPr>
      <w:proofErr w:type="spellStart"/>
      <w:r w:rsidRPr="008B77C9">
        <w:rPr>
          <w:b/>
          <w:bCs/>
          <w:color w:val="000099"/>
        </w:rPr>
        <w:t>Outcome</w:t>
      </w:r>
      <w:proofErr w:type="spellEnd"/>
      <w:r w:rsidRPr="008B77C9">
        <w:rPr>
          <w:b/>
          <w:bCs/>
          <w:color w:val="000099"/>
        </w:rPr>
        <w:t xml:space="preserve"> 1 : Des résultats satisfaisants en matière de gouvernance participative et de cohésion sociale</w:t>
      </w:r>
    </w:p>
    <w:p w14:paraId="01A10D45" w14:textId="77777777" w:rsidR="00BC670B" w:rsidRDefault="00BC670B" w:rsidP="00BC670B">
      <w:pPr>
        <w:spacing w:line="240" w:lineRule="auto"/>
        <w:jc w:val="both"/>
      </w:pPr>
      <w:r w:rsidRPr="00BC670B">
        <w:t>L'</w:t>
      </w:r>
      <w:proofErr w:type="spellStart"/>
      <w:r w:rsidRPr="00BC670B">
        <w:t>Outcome</w:t>
      </w:r>
      <w:proofErr w:type="spellEnd"/>
      <w:r w:rsidRPr="00BC670B">
        <w:t xml:space="preserve"> 1 du projet présente des résultats globalement satisfaisants avec des réalisations majeures malgré des écarts sur certaines cibles. </w:t>
      </w:r>
    </w:p>
    <w:p w14:paraId="746AB897" w14:textId="5B4424BB" w:rsidR="00BC670B" w:rsidRPr="00BC670B" w:rsidRDefault="00BC670B" w:rsidP="00BC670B">
      <w:pPr>
        <w:spacing w:line="240" w:lineRule="auto"/>
        <w:jc w:val="both"/>
      </w:pPr>
      <w:r w:rsidRPr="00BC670B">
        <w:t>Les indicateurs de l'</w:t>
      </w:r>
      <w:proofErr w:type="spellStart"/>
      <w:r w:rsidRPr="00BC670B">
        <w:t>Outcome</w:t>
      </w:r>
      <w:proofErr w:type="spellEnd"/>
      <w:r w:rsidRPr="00BC670B">
        <w:t xml:space="preserve"> 1 révèlent des performances contrastées. La superficie du parc sous gestion améliorée atteint 40 000 hectares sur 80 000 hectares ciblés (50%). Il convient de noter que cette cible </w:t>
      </w:r>
      <w:r w:rsidR="00273773" w:rsidRPr="00273773">
        <w:t>intégrait non seulement la superficie du Parc National de la Kibira lui-même (40 000 hectares) mais également les zones tampon et périphériques.</w:t>
      </w:r>
      <w:r w:rsidRPr="00BC670B">
        <w:t xml:space="preserve"> Les indicateurs qualitatifs sur la perception locale positive des bénéfices du parc et le nombre de conflits observés n'ont pu être mesurés faute de systèmes de collecte appropriés (enquêtes périodiques, système de remontée d'informations), limitant la capacité à évaluer pleinement l'impact sur les dynamiques sociales locales.</w:t>
      </w:r>
    </w:p>
    <w:p w14:paraId="679D644F" w14:textId="5DD2BD5C" w:rsidR="007F302F" w:rsidRPr="00BC670B" w:rsidRDefault="007F302F" w:rsidP="007F302F">
      <w:pPr>
        <w:spacing w:line="240" w:lineRule="auto"/>
        <w:jc w:val="both"/>
      </w:pPr>
      <w:r w:rsidRPr="00BC670B">
        <w:t>Le Produit 1.1 relatif à l'établissement d'un cadre de cogestion affiche des succès notables. La signature de l'accord de cogestion entre la Fondation Kibira et l'OBPE atteint pleinement la cible (1/1) et constitue une innovation institutionnelle remarquable, représentant le premier modèle de cogestion d'une aire protégée au Burundi. Cependant, le plan d'aménagement de la zone tampon n'a pas été élaboré (0/1). Le cofinancement mobilisé atteint 1,875 million USD</w:t>
      </w:r>
      <w:r>
        <w:t xml:space="preserve"> (</w:t>
      </w:r>
      <w:r w:rsidRPr="00BC670B">
        <w:t>via le Nature Investment Facility</w:t>
      </w:r>
      <w:r>
        <w:t>)</w:t>
      </w:r>
      <w:r w:rsidRPr="00BC670B">
        <w:t xml:space="preserve"> sur 30 millions ciblés (6,25%), une mobilisation partielle mais qui témoigne néanmoins de l'attractivité du modèle développé auprès des mécanismes internationaux de financement climat et biodiversité.</w:t>
      </w:r>
    </w:p>
    <w:p w14:paraId="3D387F21" w14:textId="5E0CA773" w:rsidR="00BC670B" w:rsidRPr="00BC670B" w:rsidRDefault="00BC670B" w:rsidP="00BC670B">
      <w:pPr>
        <w:spacing w:line="240" w:lineRule="auto"/>
        <w:jc w:val="both"/>
      </w:pPr>
      <w:r w:rsidRPr="00BC670B">
        <w:t>Le Produit 1.2 concernant le déploiement des écogardes affiche un dépassement quantitatif avec 68 écogardes recrutés et formés contre 60 prévus (113%). Cependant, la composition de genre demeure très déséquilibrée avec seulement 3 femmes sur 68 (4,4%), bien en deçà de l'objectif de 30 femmes sur 60 (50%). Cette sous-représentation féminine reflète les barrières structurelles à l'accès des femmes aux fonctions de sécurité et de surveillance.</w:t>
      </w:r>
    </w:p>
    <w:p w14:paraId="3B71DBA5" w14:textId="222DD890" w:rsidR="00BC670B" w:rsidRPr="00BC670B" w:rsidRDefault="00BC670B" w:rsidP="00BC670B">
      <w:pPr>
        <w:spacing w:line="240" w:lineRule="auto"/>
        <w:jc w:val="both"/>
      </w:pPr>
      <w:r w:rsidRPr="00BC670B">
        <w:t xml:space="preserve">Le Produit 1.3 relatif à la cohésion sociale présente des résultats encourageants. La collecte d'histoires culturelles a dépassé la cible avec 11 récits documentés sur 10 prévus (110%), constituant un patrimoine immatériel valorisant le caractère sacré du parc. Cependant, les autres indicateurs (militantes pour l'égalité, activités conduites par femmes et </w:t>
      </w:r>
      <w:proofErr w:type="spellStart"/>
      <w:r w:rsidRPr="00BC670B">
        <w:t>Batwa</w:t>
      </w:r>
      <w:proofErr w:type="spellEnd"/>
      <w:r w:rsidRPr="00BC670B">
        <w:t xml:space="preserve">) n'ont </w:t>
      </w:r>
      <w:r w:rsidR="007B1C12">
        <w:t xml:space="preserve">pas </w:t>
      </w:r>
      <w:r w:rsidRPr="00BC670B">
        <w:t>pu être mesurés.</w:t>
      </w:r>
    </w:p>
    <w:p w14:paraId="08B65049" w14:textId="77777777" w:rsidR="00EB2C77" w:rsidRPr="004C4E82" w:rsidRDefault="00EB2C77" w:rsidP="00BC670B">
      <w:pPr>
        <w:spacing w:line="240" w:lineRule="auto"/>
        <w:jc w:val="both"/>
        <w:rPr>
          <w:b/>
          <w:bCs/>
          <w:sz w:val="10"/>
          <w:szCs w:val="10"/>
        </w:rPr>
      </w:pPr>
    </w:p>
    <w:p w14:paraId="2D5DB152" w14:textId="241CDC49" w:rsidR="00BC670B" w:rsidRPr="00BC670B" w:rsidRDefault="00BC670B" w:rsidP="00BC670B">
      <w:pPr>
        <w:spacing w:line="240" w:lineRule="auto"/>
        <w:jc w:val="both"/>
        <w:rPr>
          <w:b/>
          <w:bCs/>
          <w:color w:val="000099"/>
        </w:rPr>
      </w:pPr>
      <w:proofErr w:type="spellStart"/>
      <w:r w:rsidRPr="00BC670B">
        <w:rPr>
          <w:b/>
          <w:bCs/>
          <w:color w:val="000099"/>
        </w:rPr>
        <w:t>Outcome</w:t>
      </w:r>
      <w:proofErr w:type="spellEnd"/>
      <w:r w:rsidRPr="00BC670B">
        <w:rPr>
          <w:b/>
          <w:bCs/>
          <w:color w:val="000099"/>
        </w:rPr>
        <w:t xml:space="preserve"> 2 : Une atteinte très limitée des objectifs due à l'abandon du REDD+ et aux retards du PPP</w:t>
      </w:r>
    </w:p>
    <w:p w14:paraId="7E6851D4" w14:textId="4F371A80" w:rsidR="00BC670B" w:rsidRPr="00BC670B" w:rsidRDefault="00BC670B" w:rsidP="00BC670B">
      <w:pPr>
        <w:spacing w:line="240" w:lineRule="auto"/>
        <w:jc w:val="both"/>
      </w:pPr>
      <w:r w:rsidRPr="00BC670B">
        <w:t>L'</w:t>
      </w:r>
      <w:proofErr w:type="spellStart"/>
      <w:r w:rsidRPr="00BC670B">
        <w:t>Outcome</w:t>
      </w:r>
      <w:proofErr w:type="spellEnd"/>
      <w:r w:rsidRPr="00BC670B">
        <w:t xml:space="preserve"> 2 présente une atteinte très limitée de ses objectifs en raison de l'abandon du mécanisme REDD+ et des retards significatifs du projet hydroélectrique PPP. Les trois indicateurs de cet </w:t>
      </w:r>
      <w:proofErr w:type="spellStart"/>
      <w:r w:rsidRPr="00BC670B">
        <w:t>outcome</w:t>
      </w:r>
      <w:proofErr w:type="spellEnd"/>
      <w:r w:rsidRPr="00BC670B">
        <w:t xml:space="preserve"> affichent des réalisations nulles ou non mesurables. L'énergie propre additionnelle générée atteint 0 mégawatt sur 15 mégawatts ciblés (0%). Le cofinancement mobilisé auprès des investisseurs privés s'élève à 0 USD sur 22 millions ciblés (0%). Ce chiffre ne reflète cependant pas les efforts en cours pour la mobilisation des financements, notamment auprès de la Banque Africaine de Développement et d'autres prêteurs principaux dont les processus d'approbation sont avancés. L</w:t>
      </w:r>
      <w:r w:rsidR="00DD033D">
        <w:t>’indicateur sur l</w:t>
      </w:r>
      <w:r w:rsidRPr="00BC670B">
        <w:t>a séquestration carbone</w:t>
      </w:r>
      <w:r w:rsidR="00DD033D">
        <w:t xml:space="preserve">, dont la valeur de référence n’a pas été définie, </w:t>
      </w:r>
      <w:r w:rsidRPr="00BC670B">
        <w:t>demeure non mesur</w:t>
      </w:r>
      <w:r w:rsidR="00F65A6B">
        <w:t xml:space="preserve">é. </w:t>
      </w:r>
    </w:p>
    <w:p w14:paraId="03183751" w14:textId="62C34E8D" w:rsidR="00BC670B" w:rsidRPr="00BC670B" w:rsidRDefault="00BC670B" w:rsidP="00BC670B">
      <w:pPr>
        <w:spacing w:line="240" w:lineRule="auto"/>
        <w:jc w:val="both"/>
      </w:pPr>
      <w:r w:rsidRPr="00BC670B">
        <w:t xml:space="preserve">Le Produit 2.1 relatif à l'investissement PPP présente des réalisations partielles. Le nombre d'emplois créés atteint 150 dont 60 femmes sur 500 dont 100 femmes ciblés (30% du total). La proportion de femmes (40%) approche l'objectif de parité (50%). Ces emplois générés pendant la </w:t>
      </w:r>
      <w:r w:rsidRPr="00BC670B">
        <w:lastRenderedPageBreak/>
        <w:t xml:space="preserve">phase de construction témoignent de l'impact économique pour les communautés locales. L'indicateur sur l'accès à l'énergie reste à 0% sur 5% ciblé. </w:t>
      </w:r>
      <w:r w:rsidR="00343E6E" w:rsidRPr="00343E6E">
        <w:t xml:space="preserve">Malgré ces réalisations quantitatives limitées, l'investissement PPP constitue un succès structurant, </w:t>
      </w:r>
      <w:r w:rsidR="00343E6E">
        <w:t>étant donné</w:t>
      </w:r>
      <w:r w:rsidR="00343E6E" w:rsidRPr="00343E6E">
        <w:t xml:space="preserve"> que l'ancien projet hydroélectrique démarré par l'État en 2007 et abandonné en 2017 présentait de graves problèmes : opérations d'expropriation mal gérées, travaux inachevés et abandonnés (routes non finalisées, absence de canalisation d'eau pluviale, travaux de stabilisation des sols non effectués) ayant entraîné de sérieux problèmes d'érosion avec formation de ravins, glissements de terrain, et dommages aux terres des populations riveraines, ainsi que des litiges avec l'entreprise chinoise non payée. Dans ce contexte, la reprise du projet </w:t>
      </w:r>
      <w:r w:rsidR="00343E6E">
        <w:t>hydroélectrique</w:t>
      </w:r>
      <w:r w:rsidR="00343E6E" w:rsidRPr="00343E6E">
        <w:t xml:space="preserve"> et sa transformation en projet bancable avec des standards internationaux constituent une réussite notable.</w:t>
      </w:r>
      <w:r w:rsidRPr="00BC670B">
        <w:t xml:space="preserve"> </w:t>
      </w:r>
    </w:p>
    <w:p w14:paraId="530ED74C" w14:textId="38C9DC3A" w:rsidR="00BC670B" w:rsidRPr="00BC670B" w:rsidRDefault="00BC670B" w:rsidP="00BC670B">
      <w:pPr>
        <w:spacing w:line="240" w:lineRule="auto"/>
        <w:jc w:val="both"/>
      </w:pPr>
      <w:r w:rsidRPr="00BC670B">
        <w:t xml:space="preserve">Un </w:t>
      </w:r>
      <w:r w:rsidR="007C265F">
        <w:t xml:space="preserve">autre </w:t>
      </w:r>
      <w:r w:rsidRPr="00BC670B">
        <w:t xml:space="preserve">élément majeur de succès réside dans l'accord de Paiement pour Services Écosystémiques entre </w:t>
      </w:r>
      <w:proofErr w:type="spellStart"/>
      <w:r w:rsidRPr="00BC670B">
        <w:t>Hydroneo</w:t>
      </w:r>
      <w:proofErr w:type="spellEnd"/>
      <w:r w:rsidRPr="00BC670B">
        <w:t xml:space="preserve"> et la Fondation Kibira, prévoyant 150 000 USD par an pendant 10 ans</w:t>
      </w:r>
      <w:r w:rsidR="00490EC4">
        <w:t>.</w:t>
      </w:r>
      <w:r w:rsidRPr="00BC670B">
        <w:t xml:space="preserve"> Ce mécanisme PSE représente une innovation financière majeure créant un lien direct entre intérêts économiques du projet hydroélectrique et conservation environnementale, établissant un modèle de financement durable pour la Fondation au-delà de la période </w:t>
      </w:r>
      <w:r w:rsidR="005F5524">
        <w:t>du projet</w:t>
      </w:r>
      <w:r w:rsidRPr="00BC670B">
        <w:t>.</w:t>
      </w:r>
    </w:p>
    <w:p w14:paraId="7B665347" w14:textId="34628566" w:rsidR="00BC670B" w:rsidRPr="00BC670B" w:rsidRDefault="00BC670B" w:rsidP="00BC670B">
      <w:pPr>
        <w:spacing w:line="240" w:lineRule="auto"/>
        <w:jc w:val="both"/>
      </w:pPr>
      <w:r w:rsidRPr="00BC670B">
        <w:t xml:space="preserve">Le Produit 2.2 relatif au mécanisme REDD+ affiche des réalisations nulles sur tous ses indicateurs suite à l'abandon de cette composante. </w:t>
      </w:r>
    </w:p>
    <w:p w14:paraId="1F95C561" w14:textId="318BC92C" w:rsidR="00BC670B" w:rsidRDefault="00BC670B" w:rsidP="00BC670B">
      <w:pPr>
        <w:spacing w:line="240" w:lineRule="auto"/>
        <w:jc w:val="both"/>
      </w:pPr>
      <w:r w:rsidRPr="00BC670B">
        <w:t xml:space="preserve">Les facteurs explicatifs combinent complexité intrinsèque et contraintes temporelles. Les retards du PPP s'expliquent par la complexité des grands projets d'infrastructure nécessitant des procédures rigoureuses de due diligence, des études E&amp;S approfondies, et la mobilisation de cofinancements auprès d'institutions financières internationales. Ces processus, bien qu'indispensables, ont généré des délais incompressibles repoussant la mise en service au-delà de la période </w:t>
      </w:r>
      <w:r w:rsidR="00767F14">
        <w:t>du projet PBF</w:t>
      </w:r>
      <w:r w:rsidRPr="00BC670B">
        <w:t xml:space="preserve">. L'abandon du REDD+ résulte d'une sous-estimation de sa complexité technique et administrative. La mise en place d'un fonds d'investissement catalytique nécessitait un cadre institutionnel robuste. </w:t>
      </w:r>
      <w:r w:rsidR="00C90D10">
        <w:t>De plus, l</w:t>
      </w:r>
      <w:r w:rsidRPr="00BC670B">
        <w:t>'équipe n'a pu aborder cet aspect qu'après</w:t>
      </w:r>
      <w:r w:rsidR="00C90D10">
        <w:t xml:space="preserve"> la signature de l’accord entre le ministère de l’énergie et </w:t>
      </w:r>
      <w:proofErr w:type="spellStart"/>
      <w:r w:rsidR="00C90D10">
        <w:t>Hydroneo</w:t>
      </w:r>
      <w:proofErr w:type="spellEnd"/>
      <w:r w:rsidR="00C90D10">
        <w:t xml:space="preserve"> en </w:t>
      </w:r>
      <w:r w:rsidRPr="00BC670B">
        <w:t>juillet 2024</w:t>
      </w:r>
      <w:r w:rsidR="00916DE4">
        <w:t xml:space="preserve">, ce qui </w:t>
      </w:r>
      <w:r w:rsidR="00916DE4" w:rsidRPr="00916DE4">
        <w:t>a posé un problème de délai</w:t>
      </w:r>
      <w:r w:rsidR="00CA6329">
        <w:t xml:space="preserve"> </w:t>
      </w:r>
      <w:r w:rsidR="00916DE4" w:rsidRPr="00916DE4">
        <w:t xml:space="preserve">: </w:t>
      </w:r>
      <w:r w:rsidR="00CA6329">
        <w:t>A</w:t>
      </w:r>
      <w:r w:rsidR="00916DE4" w:rsidRPr="00916DE4">
        <w:t>vec seulement six mois restants avant la clôture initiale du projet, le temps disponible s'est révélé insuffisant pour développer et opérationnaliser cette activité complexe.</w:t>
      </w:r>
    </w:p>
    <w:p w14:paraId="51AE32A8" w14:textId="77777777" w:rsidR="00C90D10" w:rsidRPr="004C4E82" w:rsidRDefault="00C90D10" w:rsidP="00BC670B">
      <w:pPr>
        <w:spacing w:line="240" w:lineRule="auto"/>
        <w:jc w:val="both"/>
        <w:rPr>
          <w:sz w:val="10"/>
          <w:szCs w:val="10"/>
        </w:rPr>
      </w:pPr>
    </w:p>
    <w:p w14:paraId="4FC1D402" w14:textId="18597889" w:rsidR="00BC670B" w:rsidRPr="00BC670B" w:rsidRDefault="00BC670B" w:rsidP="00BC670B">
      <w:pPr>
        <w:spacing w:line="240" w:lineRule="auto"/>
        <w:jc w:val="both"/>
        <w:rPr>
          <w:b/>
          <w:bCs/>
          <w:color w:val="000099"/>
        </w:rPr>
      </w:pPr>
      <w:r w:rsidRPr="00BC670B">
        <w:rPr>
          <w:b/>
          <w:bCs/>
          <w:color w:val="000099"/>
        </w:rPr>
        <w:t>Une inclusion contrastée des groupes vulnérables</w:t>
      </w:r>
    </w:p>
    <w:p w14:paraId="59EF2C4A" w14:textId="2226796A" w:rsidR="00BC670B" w:rsidRPr="00BC670B" w:rsidRDefault="00BC670B" w:rsidP="00BC670B">
      <w:pPr>
        <w:spacing w:line="240" w:lineRule="auto"/>
        <w:jc w:val="both"/>
      </w:pPr>
      <w:r w:rsidRPr="00BC670B">
        <w:t xml:space="preserve">L'inclusion des </w:t>
      </w:r>
      <w:proofErr w:type="spellStart"/>
      <w:r w:rsidRPr="00BC670B">
        <w:t>Batwa</w:t>
      </w:r>
      <w:proofErr w:type="spellEnd"/>
      <w:r w:rsidRPr="00BC670B">
        <w:t xml:space="preserve"> constitue une réussite notable du projet</w:t>
      </w:r>
      <w:r w:rsidR="00706E6B">
        <w:t xml:space="preserve">, avec l’intégration de </w:t>
      </w:r>
      <w:r w:rsidRPr="00BC670B">
        <w:t xml:space="preserve">500 bénéficiaires </w:t>
      </w:r>
      <w:proofErr w:type="spellStart"/>
      <w:r w:rsidRPr="00BC670B">
        <w:t>Batwa</w:t>
      </w:r>
      <w:proofErr w:type="spellEnd"/>
      <w:r w:rsidRPr="00BC670B">
        <w:t xml:space="preserve"> </w:t>
      </w:r>
      <w:r w:rsidR="00706E6B">
        <w:t>dans diverses activités (soit environ 5% du total des bénéficiaires)</w:t>
      </w:r>
      <w:r w:rsidRPr="00BC670B">
        <w:t>. L'approche a privilégié l'inclusion dans les travaux collectifs avec les autres communautés (plantations, pépinières,</w:t>
      </w:r>
      <w:r w:rsidR="00706E6B">
        <w:t xml:space="preserve"> etc.</w:t>
      </w:r>
      <w:r w:rsidRPr="00BC670B">
        <w:t xml:space="preserve">). Cette stratégie d'intégration plutôt que de ségrégation a favorisé la normalisation des interactions sociales, contribuant à réduire les stigmatisations et discriminations historiques. Au-delà des travaux physiques, les </w:t>
      </w:r>
      <w:proofErr w:type="spellStart"/>
      <w:r w:rsidRPr="00BC670B">
        <w:t>Batwa</w:t>
      </w:r>
      <w:proofErr w:type="spellEnd"/>
      <w:r w:rsidRPr="00BC670B">
        <w:t xml:space="preserve"> ont bénéficié d'activités génératrices de revenus contribuant au développement d'une culture du travail</w:t>
      </w:r>
      <w:r w:rsidR="006956C8">
        <w:t xml:space="preserve"> agricole</w:t>
      </w:r>
      <w:r w:rsidRPr="00BC670B">
        <w:t>. Les interventions ont promu</w:t>
      </w:r>
      <w:r w:rsidR="006956C8">
        <w:t xml:space="preserve"> également</w:t>
      </w:r>
      <w:r w:rsidRPr="00BC670B">
        <w:t xml:space="preserve"> la culture de l'épargne et du crédit, facilitant leur inclusion financière. Sur le plan de la gouvernance, les </w:t>
      </w:r>
      <w:proofErr w:type="spellStart"/>
      <w:r w:rsidRPr="00BC670B">
        <w:t>Batwa</w:t>
      </w:r>
      <w:proofErr w:type="spellEnd"/>
      <w:r w:rsidRPr="00BC670B">
        <w:t xml:space="preserve"> sont représentés dans la Fondation Kibira et les CPK, leur conférant une voix dans les décisions.</w:t>
      </w:r>
    </w:p>
    <w:p w14:paraId="4782EB5F" w14:textId="65059230" w:rsidR="00BC670B" w:rsidRPr="00BC670B" w:rsidRDefault="00BC670B" w:rsidP="00BC670B">
      <w:pPr>
        <w:spacing w:line="240" w:lineRule="auto"/>
        <w:jc w:val="both"/>
      </w:pPr>
      <w:r w:rsidRPr="00BC670B">
        <w:t>L'inclusion des femmes présente des résultats nuancés selon les types d'interventions. L'analyse globale révèle 2 899 femmes sur 10 631 bénéficiaires (27%)</w:t>
      </w:r>
      <w:r w:rsidR="009E0BBD">
        <w:rPr>
          <w:rStyle w:val="FootnoteReference"/>
        </w:rPr>
        <w:footnoteReference w:id="4"/>
      </w:r>
      <w:r w:rsidRPr="00BC670B">
        <w:t xml:space="preserve">. Ce chiffre relativement faible s'explique par la distribution massive de plants agroforestiers touchant 7 987 bénéficiaires dont 6436 hommes. Si l'on exclut cette activité pour se concentrer sur les autres interventions (AGR, emplois, renforcement capacités), la participation féminine atteint 1 348 femmes sur 2 644 bénéficiaires (51%), démontrant l'atteinte effective de la parité de genre. Les femmes participent </w:t>
      </w:r>
      <w:r w:rsidRPr="00BC670B">
        <w:lastRenderedPageBreak/>
        <w:t>activement aux instances de gouvernance (Fondation Kibira, CPK) et aux activités de sensibilisation à l'égalité des sexes. Cependant, la sous-représentation parmi les écogardes (3/68 = 4%) illustre les barrières structurelles persistantes à l'accès aux fonctions de sécurité, considérées culturellement comme domaines masculins.</w:t>
      </w:r>
    </w:p>
    <w:p w14:paraId="048C8936" w14:textId="78B74B35" w:rsidR="00BC670B" w:rsidRDefault="00BC670B" w:rsidP="00BC670B">
      <w:pPr>
        <w:spacing w:line="240" w:lineRule="auto"/>
        <w:jc w:val="both"/>
      </w:pPr>
      <w:r w:rsidRPr="00BC670B">
        <w:t xml:space="preserve">L'inclusion des jeunes et des personnes </w:t>
      </w:r>
      <w:r w:rsidR="00414F91">
        <w:t xml:space="preserve">vivant avec </w:t>
      </w:r>
      <w:r w:rsidRPr="00BC670B">
        <w:t xml:space="preserve">handicap demeure une faiblesse majeure, reflétant une stratégie de ciblage insuffisante. Le projet n'a pas développé d'approches spécifiques pour identifier, mobiliser et accompagner ces groupes. Cette lacune se traduit par l'absence de données désagrégées permettant de quantifier leur participation et d'évaluer la prise en compte de leurs besoins. </w:t>
      </w:r>
    </w:p>
    <w:p w14:paraId="3EB3A118" w14:textId="77777777" w:rsidR="00477A2D" w:rsidRPr="004C4E82" w:rsidRDefault="00477A2D" w:rsidP="00BC670B">
      <w:pPr>
        <w:spacing w:line="240" w:lineRule="auto"/>
        <w:jc w:val="both"/>
        <w:rPr>
          <w:sz w:val="10"/>
          <w:szCs w:val="10"/>
        </w:rPr>
      </w:pPr>
    </w:p>
    <w:p w14:paraId="1E788D19" w14:textId="40960416" w:rsidR="00BC670B" w:rsidRPr="00BC670B" w:rsidRDefault="00BC670B" w:rsidP="00BC670B">
      <w:pPr>
        <w:spacing w:line="240" w:lineRule="auto"/>
        <w:jc w:val="both"/>
        <w:rPr>
          <w:b/>
          <w:bCs/>
          <w:color w:val="000099"/>
        </w:rPr>
      </w:pPr>
      <w:r w:rsidRPr="00BC670B">
        <w:rPr>
          <w:b/>
          <w:bCs/>
          <w:color w:val="000099"/>
        </w:rPr>
        <w:t>Un système de suivi-évaluation avec des indicateurs peu pertinents</w:t>
      </w:r>
    </w:p>
    <w:p w14:paraId="11C9BF91" w14:textId="2ACD39D3" w:rsidR="00BC670B" w:rsidRPr="00BC670B" w:rsidRDefault="00BC670B" w:rsidP="00BC670B">
      <w:pPr>
        <w:spacing w:line="240" w:lineRule="auto"/>
        <w:jc w:val="both"/>
      </w:pPr>
      <w:r w:rsidRPr="00BC670B">
        <w:t xml:space="preserve">Le système de suivi-évaluation présente </w:t>
      </w:r>
      <w:r w:rsidR="00CF7589">
        <w:t>certaines</w:t>
      </w:r>
      <w:r w:rsidR="00CF7589" w:rsidRPr="00BC670B">
        <w:t xml:space="preserve"> </w:t>
      </w:r>
      <w:r w:rsidRPr="00BC670B">
        <w:t xml:space="preserve">limites qui ont affecté la capacité à mesurer les progrès et à piloter stratégiquement les interventions. L'analyse du cadre de résultats révèle </w:t>
      </w:r>
      <w:r w:rsidR="00CF7589">
        <w:t>trois</w:t>
      </w:r>
      <w:r w:rsidR="00CF7589" w:rsidRPr="00BC670B">
        <w:t xml:space="preserve"> </w:t>
      </w:r>
      <w:r w:rsidRPr="00BC670B">
        <w:t>catégories d'indicateurs problématiques. La première concerne les indicateurs difficiles à mesurer nécessitant des systèmes de collecte complexes jamais opérationnalisés. L'indicateur "Perception locale positive des bénéfices du parc" avec une cible de 80% nécessitait des enquêtes périodiques structurées. En l'absence d'une telle enquête, cet indicateur est demeuré non mesurable</w:t>
      </w:r>
      <w:r w:rsidR="00090EC1">
        <w:t xml:space="preserve">. </w:t>
      </w:r>
      <w:r w:rsidRPr="00BC670B">
        <w:t>L'indicateur "Nombre de conflits observés dans le parc et nombre de personnes touchées" nécessitait un système de remontée d'informations depuis le terrain jamais établi, rendant impossible le suivi de cet indicateur</w:t>
      </w:r>
      <w:r w:rsidR="00090EC1">
        <w:t>.</w:t>
      </w:r>
    </w:p>
    <w:p w14:paraId="48228C88" w14:textId="77777777" w:rsidR="00A541D4" w:rsidRDefault="00BC670B" w:rsidP="00BC670B">
      <w:pPr>
        <w:spacing w:line="240" w:lineRule="auto"/>
        <w:jc w:val="both"/>
      </w:pPr>
      <w:r w:rsidRPr="00BC670B">
        <w:t xml:space="preserve">La deuxième catégorie concerne les indicateurs dépendant de facteurs externes multiples au-delà de la sphère de contrôle du projet. L'indicateur "Taux de déforestation annuel" avec une cible de 0% illustre cette problématique. La déforestation résulte de multiples facteurs : politiques nationales de gestion forestière, pressions démographiques, dynamiques économiques régionales, besoins en terres agricoles, changements climatiques, </w:t>
      </w:r>
      <w:r w:rsidR="00A541D4">
        <w:t>etc.</w:t>
      </w:r>
      <w:r w:rsidRPr="00BC670B">
        <w:t xml:space="preserve"> Attribuer l'évolution du taux uniquement au projet constitue une erreur méthodologique. </w:t>
      </w:r>
    </w:p>
    <w:p w14:paraId="163567CC" w14:textId="77777777" w:rsidR="00A541D4" w:rsidRDefault="00BC670B" w:rsidP="00BC670B">
      <w:pPr>
        <w:spacing w:line="240" w:lineRule="auto"/>
        <w:jc w:val="both"/>
      </w:pPr>
      <w:r w:rsidRPr="00BC670B">
        <w:t xml:space="preserve">La troisième catégorie concerne les indicateurs sans </w:t>
      </w:r>
      <w:proofErr w:type="spellStart"/>
      <w:r w:rsidRPr="00BC670B">
        <w:t>baseline</w:t>
      </w:r>
      <w:proofErr w:type="spellEnd"/>
      <w:r w:rsidRPr="00BC670B">
        <w:t xml:space="preserve"> rendant impossible toute mesure des progrès. L'indicateur "Carbone séquestré" avec </w:t>
      </w:r>
      <w:proofErr w:type="spellStart"/>
      <w:r w:rsidRPr="00BC670B">
        <w:t>baseline</w:t>
      </w:r>
      <w:proofErr w:type="spellEnd"/>
      <w:r w:rsidRPr="00BC670B">
        <w:t xml:space="preserve"> et cible "À déterminer" illustre cette problématique.</w:t>
      </w:r>
    </w:p>
    <w:p w14:paraId="53718E43" w14:textId="505329B0" w:rsidR="002F61D9" w:rsidRDefault="00BC670B" w:rsidP="00BC670B">
      <w:pPr>
        <w:spacing w:line="240" w:lineRule="auto"/>
        <w:jc w:val="both"/>
      </w:pPr>
      <w:r w:rsidRPr="00BC670B">
        <w:t xml:space="preserve">Le système de suivi a produit des rapports de progrès semestriels réguliers documentant l'avancement des activités et assurant une traçabilité. Les données ont été désagrégées par genre pour la plupart des interventions, mais pas pour les jeunes et les personnes handicapées, limitant la capacité à suivre l'inclusion de ces groupes. </w:t>
      </w:r>
    </w:p>
    <w:p w14:paraId="7EF643F4" w14:textId="2173272C" w:rsidR="00BC670B" w:rsidRDefault="00BC670B" w:rsidP="00BC670B">
      <w:pPr>
        <w:spacing w:line="240" w:lineRule="auto"/>
        <w:jc w:val="both"/>
      </w:pPr>
      <w:r w:rsidRPr="00BC670B">
        <w:t>La faiblesse majeure réside dans l'absence de révision formelle du cadre de résultats malgré les ajustements stratégiques majeurs (abandon REDD+, retards PPP). Le maintien d'indicateurs et de cibles pour des activités abandonnées</w:t>
      </w:r>
      <w:r w:rsidR="002F61D9">
        <w:t xml:space="preserve"> ou reportées</w:t>
      </w:r>
      <w:r w:rsidRPr="00BC670B">
        <w:t xml:space="preserve"> a créé </w:t>
      </w:r>
      <w:r w:rsidR="002F61D9" w:rsidRPr="002F61D9">
        <w:t xml:space="preserve">un décalage important entre les objectifs formels du projet et sa mise en œuvre réelle. Ainsi, le projet apparaît comme ayant atteint un niveau d'efficacité limité lorsqu'on le mesure par rapport au cadre initial, alors qu'il a généré des réalisations importantes et innovantes dans les domaines effectivement mis en œuvre. Une révision du cadre de résultats en accord avec le COPIL aurait permis de définir des objectifs plus réalistes reflétant les contraintes rencontrées. </w:t>
      </w:r>
      <w:r w:rsidR="00560977">
        <w:t>Ainsi, i</w:t>
      </w:r>
      <w:r w:rsidR="002F61D9" w:rsidRPr="002F61D9">
        <w:t xml:space="preserve">l n'était pas judicieux de maintenir des objectifs sur la composante REDD+ (séquestration carbone, objectifs sur les entreprises locales du portefeuille) alors qu'il était établi dès 2024 que cette composante ne pouvait être mise en place. De même, le maintien d'objectifs sur la production électrique, la création d'emplois et le pourcentage de communautés ayant accès à l'énergie dans la zone du projet PPP n'était plus pertinent face aux retards constatés. Cette situation illustre l'importance d'une gestion adaptative formalisée du cadre de résultats pour assurer une appréciation juste des performances réelles </w:t>
      </w:r>
      <w:r w:rsidR="000E342C">
        <w:t>du</w:t>
      </w:r>
      <w:r w:rsidR="002F61D9" w:rsidRPr="002F61D9">
        <w:t xml:space="preserve"> projet.</w:t>
      </w:r>
    </w:p>
    <w:p w14:paraId="7900D166" w14:textId="77777777" w:rsidR="001F650C" w:rsidRPr="004C4E82" w:rsidRDefault="001F650C" w:rsidP="00BC670B">
      <w:pPr>
        <w:spacing w:line="240" w:lineRule="auto"/>
        <w:jc w:val="both"/>
        <w:rPr>
          <w:sz w:val="10"/>
          <w:szCs w:val="10"/>
        </w:rPr>
      </w:pPr>
    </w:p>
    <w:p w14:paraId="4899F388" w14:textId="3069A41F" w:rsidR="00BC670B" w:rsidRPr="00BC670B" w:rsidRDefault="00A008EE" w:rsidP="00BC670B">
      <w:pPr>
        <w:spacing w:line="240" w:lineRule="auto"/>
        <w:jc w:val="both"/>
        <w:rPr>
          <w:b/>
          <w:bCs/>
          <w:color w:val="000099"/>
        </w:rPr>
      </w:pPr>
      <w:r w:rsidRPr="00A008EE">
        <w:rPr>
          <w:b/>
          <w:bCs/>
          <w:color w:val="000099"/>
        </w:rPr>
        <w:t>Profondeur variable des interventions et disparités géographiques importantes</w:t>
      </w:r>
    </w:p>
    <w:p w14:paraId="02F6A7E9" w14:textId="2703BA2B" w:rsidR="00482C55" w:rsidRPr="00482C55" w:rsidRDefault="00482C55" w:rsidP="00482C55">
      <w:pPr>
        <w:spacing w:line="240" w:lineRule="auto"/>
        <w:jc w:val="both"/>
      </w:pPr>
      <w:r w:rsidRPr="00482C55">
        <w:t xml:space="preserve">La qualité des réalisations est globalement satisfaisante pour les infrastructures et mécanismes institutionnels, mais présente des limites dans le renforcement des capacités et des disparités géographiques. Les infrastructures physiques affichent une qualité satisfaisante. Le quartier général de </w:t>
      </w:r>
      <w:proofErr w:type="spellStart"/>
      <w:r w:rsidRPr="00482C55">
        <w:t>Mwokora</w:t>
      </w:r>
      <w:proofErr w:type="spellEnd"/>
      <w:r w:rsidRPr="00482C55">
        <w:t>, entièrement réhabilité avec bâtiments rénovés, pistes carrossables, système d'adduction d'eau et électrification, offre une base opérationnelle fonctionnelle pour la gestion du parc. Les observations de terrain confirment que ces installations sont effectivement utilisées et bien entretenues. La Fondation Kibira présente une qualité structurelle solide avec un cadre juridique (statuts, accord de cogestion)</w:t>
      </w:r>
      <w:r w:rsidR="00C57F84">
        <w:t xml:space="preserve"> et</w:t>
      </w:r>
      <w:r w:rsidRPr="00482C55">
        <w:t xml:space="preserve"> une gouvernance participative. </w:t>
      </w:r>
    </w:p>
    <w:p w14:paraId="4B9445C0" w14:textId="7F4F091D" w:rsidR="00482C55" w:rsidRPr="00482C55" w:rsidRDefault="00482C55" w:rsidP="00482C55">
      <w:pPr>
        <w:spacing w:line="240" w:lineRule="auto"/>
        <w:jc w:val="both"/>
      </w:pPr>
      <w:r w:rsidRPr="00482C55">
        <w:t xml:space="preserve">Cependant, la qualité du renforcement des capacités des écogardes présente </w:t>
      </w:r>
      <w:r w:rsidR="00932A72">
        <w:t>quelques</w:t>
      </w:r>
      <w:r w:rsidRPr="00482C55">
        <w:t xml:space="preserve"> insuffisances. La formation dispensée, d'une durée de trois jours seulement, s'est révélée trop courte pour opérer le changement de mentalités et de pratiques nécessaire dans une logique de consolidation de la paix. </w:t>
      </w:r>
      <w:r w:rsidR="00F16AED">
        <w:t xml:space="preserve">Un renforcement de capacités complémentaire et durable serait nécessaire en matière de </w:t>
      </w:r>
      <w:r w:rsidRPr="00482C55">
        <w:t>dialogue communautaire</w:t>
      </w:r>
      <w:r w:rsidR="00F16AED">
        <w:t xml:space="preserve"> de </w:t>
      </w:r>
      <w:r w:rsidRPr="00482C55">
        <w:t>médiation et</w:t>
      </w:r>
      <w:r w:rsidR="00F16AED">
        <w:t xml:space="preserve"> de</w:t>
      </w:r>
      <w:r w:rsidRPr="00482C55">
        <w:t xml:space="preserve"> sensibilisation. Une approche plus appropriée aurait nécessité plusieurs sessions de formation étalées sur une période plus longue, permettant une appropriation progressive des nouvelles compétences, un accompagnement pratique sur le terrain, et un renforcement continu favorisant l'évolution des mentalités vers une posture de dialogue plutôt que de confrontation.</w:t>
      </w:r>
    </w:p>
    <w:p w14:paraId="1244A1C2" w14:textId="59B27B7B" w:rsidR="00482C55" w:rsidRPr="00482C55" w:rsidRDefault="00A008EE" w:rsidP="00482C55">
      <w:pPr>
        <w:spacing w:line="240" w:lineRule="auto"/>
        <w:jc w:val="both"/>
      </w:pPr>
      <w:r w:rsidRPr="00A008EE">
        <w:t xml:space="preserve">En ce qui concerne les interventions communautaires, il convient de souligner que sur les 10 631 bénéficiaires totaux du projet, 7 987 personnes (75%) ont bénéficié de la distribution de plants agroforestiers, une intervention relativement légère n'impliquant pas de transformation profonde des conditions de vie. Les autres interventions plus substantielles (formations, activités génératrices de revenus, emplois, renforcement de capacités, sensibilisation, appui en équipements) n'ont concerné que 2 644 bénéficiaires (25%). Cette distinction est essentielle pour apprécier la profondeur réelle de l'impact du projet au-delà du nombre brut de bénéficiaires souvent mis en avant. Les interventions communautaires présentent par ailleurs une qualité très variable selon les zones géographiques. </w:t>
      </w:r>
      <w:proofErr w:type="spellStart"/>
      <w:r w:rsidRPr="00A008EE">
        <w:t>Muciro</w:t>
      </w:r>
      <w:proofErr w:type="spellEnd"/>
      <w:r w:rsidRPr="00A008EE">
        <w:t xml:space="preserve"> constitue un cas exemplaire de transformation réussie avec des résultats visibles et tangibles : pépinière communautaire bien gérée, activités génératrices de revenus fonctionnelles générant des bénéfices économiques concrets, dynamisme associatif avec groupes d'épargne-crédit actifs et CPK impliqué. Cette réussite s'explique par l'intensité des interventions, un leadership communautaire fort, une cohésion sociale préexistante, et des investissements </w:t>
      </w:r>
      <w:r w:rsidR="00D605C2">
        <w:t>importants</w:t>
      </w:r>
      <w:r w:rsidRPr="00A008EE">
        <w:t xml:space="preserve">. Cependant, </w:t>
      </w:r>
      <w:proofErr w:type="spellStart"/>
      <w:r w:rsidRPr="00A008EE">
        <w:t>Muciro</w:t>
      </w:r>
      <w:proofErr w:type="spellEnd"/>
      <w:r w:rsidRPr="00A008EE">
        <w:t xml:space="preserve"> concentre 55% des bénéficiaires, créant un déséquilibre territorial majeur. </w:t>
      </w:r>
      <w:proofErr w:type="spellStart"/>
      <w:r w:rsidRPr="00A008EE">
        <w:t>Caguka</w:t>
      </w:r>
      <w:proofErr w:type="spellEnd"/>
      <w:r w:rsidRPr="00A008EE">
        <w:t xml:space="preserve"> présente des résultats mitigés : bien qu'elle concentre 31% du total des bénéficiaires, les interventions étaient limitées et ont porté principalement sur la distribution de plants agroforestiers (3195 bénéficiaires</w:t>
      </w:r>
      <w:r w:rsidR="0009713E">
        <w:t xml:space="preserve"> de plants</w:t>
      </w:r>
      <w:r w:rsidRPr="00A008EE">
        <w:t xml:space="preserve"> soit 99% des bénéficiaires de </w:t>
      </w:r>
      <w:proofErr w:type="spellStart"/>
      <w:r w:rsidRPr="00A008EE">
        <w:t>Caguka</w:t>
      </w:r>
      <w:proofErr w:type="spellEnd"/>
      <w:r w:rsidRPr="00A008EE">
        <w:t xml:space="preserve">). La champignonnière de </w:t>
      </w:r>
      <w:proofErr w:type="spellStart"/>
      <w:r w:rsidRPr="00A008EE">
        <w:t>Caguka</w:t>
      </w:r>
      <w:proofErr w:type="spellEnd"/>
      <w:r w:rsidRPr="00A008EE">
        <w:t xml:space="preserve"> ayant bénéficié à 32 personnes a été détruite par les intempéries et n'a jamais été reconstruite. Quant à la colline de </w:t>
      </w:r>
      <w:proofErr w:type="spellStart"/>
      <w:r w:rsidRPr="00A008EE">
        <w:t>Mpfunda</w:t>
      </w:r>
      <w:proofErr w:type="spellEnd"/>
      <w:r w:rsidRPr="00A008EE">
        <w:t xml:space="preserve">, elle compte seulement 76 bénéficiaires pour les activités de pépinières et de culture de champignons. </w:t>
      </w:r>
      <w:r w:rsidR="00370915" w:rsidRPr="00370915">
        <w:t xml:space="preserve">Cette concentration géographique s'explique par plusieurs facteurs. D'une part, les contraintes budgétaires ont conduit à adopter une approche pilote concentrée sur trois zones prioritaires : </w:t>
      </w:r>
      <w:proofErr w:type="spellStart"/>
      <w:r w:rsidR="00370915" w:rsidRPr="00370915">
        <w:t>Muciro</w:t>
      </w:r>
      <w:proofErr w:type="spellEnd"/>
      <w:r w:rsidR="00370915" w:rsidRPr="00370915">
        <w:t xml:space="preserve">, </w:t>
      </w:r>
      <w:proofErr w:type="spellStart"/>
      <w:r w:rsidR="00370915" w:rsidRPr="00370915">
        <w:t>Mpfunda</w:t>
      </w:r>
      <w:proofErr w:type="spellEnd"/>
      <w:r w:rsidR="00370915" w:rsidRPr="00370915">
        <w:t xml:space="preserve"> et </w:t>
      </w:r>
      <w:proofErr w:type="spellStart"/>
      <w:r w:rsidR="00370915" w:rsidRPr="00370915">
        <w:t>Cakuga</w:t>
      </w:r>
      <w:proofErr w:type="spellEnd"/>
      <w:r w:rsidR="00370915" w:rsidRPr="00370915">
        <w:t xml:space="preserve">. D'autre part, des contraintes de mise en œuvre sont venues limiter davantage la portée du projet : des problèmes d'accès à </w:t>
      </w:r>
      <w:proofErr w:type="spellStart"/>
      <w:r w:rsidR="00370915" w:rsidRPr="00370915">
        <w:t>Mpfunda</w:t>
      </w:r>
      <w:proofErr w:type="spellEnd"/>
      <w:r w:rsidR="00370915" w:rsidRPr="00370915">
        <w:t xml:space="preserve"> et un conflit intra-communautaire à </w:t>
      </w:r>
      <w:proofErr w:type="spellStart"/>
      <w:r w:rsidR="00370915" w:rsidRPr="00370915">
        <w:t>Cakuga</w:t>
      </w:r>
      <w:proofErr w:type="spellEnd"/>
      <w:r w:rsidR="00370915" w:rsidRPr="00370915">
        <w:t xml:space="preserve"> ont empêché le déploiement des activités prévues dans ces deux zones. Le résultat final est un projet ayant eu une portée géographique limitée en termes de développement communautaire et de réduction de conflits, avec une concentration des bénéfices dans la zone de </w:t>
      </w:r>
      <w:proofErr w:type="spellStart"/>
      <w:r w:rsidR="00370915" w:rsidRPr="00370915">
        <w:t>Muciro</w:t>
      </w:r>
      <w:proofErr w:type="spellEnd"/>
      <w:r w:rsidR="00370915" w:rsidRPr="00370915">
        <w:t>.</w:t>
      </w:r>
    </w:p>
    <w:p w14:paraId="5BE97448" w14:textId="34141F04" w:rsidR="00BC670B" w:rsidRPr="00BC670B" w:rsidRDefault="00BC670B" w:rsidP="00BC670B">
      <w:pPr>
        <w:spacing w:line="240" w:lineRule="auto"/>
        <w:jc w:val="both"/>
      </w:pPr>
    </w:p>
    <w:p w14:paraId="786D9EF3" w14:textId="64C0C6E6" w:rsidR="00776702" w:rsidRPr="000125AC" w:rsidRDefault="00776702" w:rsidP="001712F7">
      <w:pPr>
        <w:pStyle w:val="Heading2"/>
        <w:spacing w:before="120"/>
        <w:jc w:val="both"/>
        <w:rPr>
          <w:rFonts w:ascii="Open Sans" w:hAnsi="Open Sans"/>
          <w:color w:val="000099"/>
        </w:rPr>
      </w:pPr>
      <w:bookmarkStart w:id="51" w:name="_Toc216948979"/>
      <w:r w:rsidRPr="000125AC">
        <w:rPr>
          <w:rFonts w:ascii="Open Sans" w:hAnsi="Open Sans"/>
          <w:color w:val="000099"/>
        </w:rPr>
        <w:lastRenderedPageBreak/>
        <w:t xml:space="preserve">4.5 </w:t>
      </w:r>
      <w:r w:rsidR="00FD0229" w:rsidRPr="000125AC">
        <w:rPr>
          <w:rFonts w:ascii="Open Sans" w:hAnsi="Open Sans"/>
          <w:color w:val="000099"/>
        </w:rPr>
        <w:t>Impact probable</w:t>
      </w:r>
      <w:bookmarkEnd w:id="51"/>
      <w:r w:rsidR="00FD0229" w:rsidRPr="000125AC">
        <w:rPr>
          <w:rFonts w:ascii="Open Sans" w:hAnsi="Open Sans"/>
          <w:color w:val="000099"/>
        </w:rPr>
        <w:t xml:space="preserve"> </w:t>
      </w:r>
    </w:p>
    <w:p w14:paraId="2BBE9621" w14:textId="77777777" w:rsidR="00FD0229" w:rsidRPr="004C4E82" w:rsidRDefault="00FD0229" w:rsidP="001712F7">
      <w:pPr>
        <w:spacing w:line="240" w:lineRule="auto"/>
        <w:rPr>
          <w:sz w:val="10"/>
          <w:szCs w:val="10"/>
        </w:rPr>
      </w:pPr>
    </w:p>
    <w:p w14:paraId="18F8F1ED" w14:textId="69E33826" w:rsidR="0076221E" w:rsidRPr="0076221E" w:rsidRDefault="0076221E" w:rsidP="0076221E">
      <w:pPr>
        <w:spacing w:line="240" w:lineRule="auto"/>
        <w:jc w:val="both"/>
        <w:rPr>
          <w:b/>
          <w:bCs/>
          <w:color w:val="000099"/>
        </w:rPr>
      </w:pPr>
      <w:r w:rsidRPr="0076221E">
        <w:rPr>
          <w:b/>
          <w:bCs/>
          <w:color w:val="000099"/>
        </w:rPr>
        <w:t>Amélioration significative et diversifiée des moyens de subsistance</w:t>
      </w:r>
      <w:r w:rsidR="00B36749">
        <w:rPr>
          <w:b/>
          <w:bCs/>
          <w:color w:val="000099"/>
        </w:rPr>
        <w:t xml:space="preserve"> et inclusion financière</w:t>
      </w:r>
    </w:p>
    <w:p w14:paraId="2165E28C" w14:textId="77777777" w:rsidR="0076221E" w:rsidRPr="0076221E" w:rsidRDefault="0076221E" w:rsidP="0076221E">
      <w:pPr>
        <w:spacing w:line="240" w:lineRule="auto"/>
        <w:jc w:val="both"/>
      </w:pPr>
      <w:r w:rsidRPr="0076221E">
        <w:t>Le projet a généré une amélioration substantielle et mesurable des moyens de subsistance des bénéficiaires à travers une diversification remarquable des sources de revenus. Cette transformation économique s'appuie sur plusieurs piliers complémentaires qui, ensemble, ont créé un écosystème économique plus résilient pour les communautés ciblées.</w:t>
      </w:r>
    </w:p>
    <w:p w14:paraId="5CB0D958" w14:textId="3BFC68C8" w:rsidR="0076221E" w:rsidRPr="0076221E" w:rsidRDefault="0076221E" w:rsidP="0076221E">
      <w:pPr>
        <w:spacing w:line="240" w:lineRule="auto"/>
        <w:jc w:val="both"/>
      </w:pPr>
      <w:r w:rsidRPr="0076221E">
        <w:t>L'emploi de main d'œuvre pour les activités de plantation agroforestière et de gestion des pépinières communautaires a constitué une première source de revenus directs pour de nombreux ménages. Ces emplois temporaires ont permis aux bénéficiaires d'obtenir des revenus monétaires immédiats tout en contribuant aux objectifs environnementaux du projet.</w:t>
      </w:r>
    </w:p>
    <w:p w14:paraId="078EDF90" w14:textId="451ED4FA" w:rsidR="0076221E" w:rsidRPr="0076221E" w:rsidRDefault="0076221E" w:rsidP="0076221E">
      <w:pPr>
        <w:spacing w:line="240" w:lineRule="auto"/>
        <w:jc w:val="both"/>
      </w:pPr>
      <w:r w:rsidRPr="0076221E">
        <w:t xml:space="preserve">La culture de champignons représente une innovation économique, particulièrement à </w:t>
      </w:r>
      <w:proofErr w:type="spellStart"/>
      <w:r w:rsidRPr="0076221E">
        <w:t>Muciro</w:t>
      </w:r>
      <w:proofErr w:type="spellEnd"/>
      <w:r w:rsidRPr="0076221E">
        <w:t xml:space="preserve"> </w:t>
      </w:r>
      <w:r w:rsidR="00FA7D49">
        <w:t>avec</w:t>
      </w:r>
      <w:r w:rsidRPr="0076221E">
        <w:t xml:space="preserve"> l'association "Amis de la Nature". Cette activité génère des revenus stables grâce à la commercialisation régulière sur les marchés locaux. Les bénéfices économiques de cette activité ont été suffisamment </w:t>
      </w:r>
      <w:r w:rsidR="00FA7D49">
        <w:t>importants</w:t>
      </w:r>
      <w:r w:rsidRPr="0076221E">
        <w:t xml:space="preserve"> pour permettre au groupement de réinvestir dans</w:t>
      </w:r>
      <w:r w:rsidR="0082353A">
        <w:t xml:space="preserve"> </w:t>
      </w:r>
      <w:r w:rsidR="0082353A" w:rsidRPr="0076221E">
        <w:t>un portefeuille diversifié d'activités d'élevage : le groupement possède désormais 3 vaches, 52 porcs, 19 chèvres et 25 moutons, ainsi qu'une parcelle productive de culture de pommes de terre. Cette diversification réduit la vulnérabilité économique en ne dépendant plus d'une seule source de revenus et crée des actifs productifs durables générant des flux de revenus continus au-delà de la période du projet.</w:t>
      </w:r>
    </w:p>
    <w:p w14:paraId="0F233B95" w14:textId="50CBB13E" w:rsidR="0076221E" w:rsidRPr="0076221E" w:rsidRDefault="0076221E" w:rsidP="0076221E">
      <w:pPr>
        <w:spacing w:line="240" w:lineRule="auto"/>
        <w:jc w:val="both"/>
      </w:pPr>
      <w:r w:rsidRPr="0076221E">
        <w:t xml:space="preserve">Pour la communauté </w:t>
      </w:r>
      <w:proofErr w:type="spellStart"/>
      <w:r w:rsidRPr="0076221E">
        <w:t>Batwa</w:t>
      </w:r>
      <w:proofErr w:type="spellEnd"/>
      <w:r w:rsidRPr="0076221E">
        <w:t xml:space="preserve"> de </w:t>
      </w:r>
      <w:proofErr w:type="spellStart"/>
      <w:r w:rsidRPr="0076221E">
        <w:t>Muciro</w:t>
      </w:r>
      <w:proofErr w:type="spellEnd"/>
      <w:r w:rsidRPr="0076221E">
        <w:t xml:space="preserve">, l'amélioration des moyens de subsistance a été particulièrement transformatrice. L'acquisition de terres agricoles via le partenaire </w:t>
      </w:r>
      <w:proofErr w:type="spellStart"/>
      <w:r w:rsidRPr="0076221E">
        <w:t>Uniproba</w:t>
      </w:r>
      <w:proofErr w:type="spellEnd"/>
      <w:r w:rsidRPr="0076221E">
        <w:t xml:space="preserve"> (1,2 hectares) a permis aux 79 ménages </w:t>
      </w:r>
      <w:proofErr w:type="spellStart"/>
      <w:r w:rsidRPr="0076221E">
        <w:t>Batwa</w:t>
      </w:r>
      <w:proofErr w:type="spellEnd"/>
      <w:r w:rsidRPr="0076221E">
        <w:t xml:space="preserve"> de développer des activités agricoles productives. L'impact économique est quantifiable et significatif : </w:t>
      </w:r>
      <w:r w:rsidR="0099553F">
        <w:t>L</w:t>
      </w:r>
      <w:r w:rsidRPr="0076221E">
        <w:t xml:space="preserve">es revenus </w:t>
      </w:r>
      <w:r w:rsidR="0099553F">
        <w:t xml:space="preserve">de l’un des agriculteurs </w:t>
      </w:r>
      <w:proofErr w:type="spellStart"/>
      <w:r w:rsidRPr="0076221E">
        <w:t>Batwa</w:t>
      </w:r>
      <w:proofErr w:type="spellEnd"/>
      <w:r w:rsidR="0099553F">
        <w:t xml:space="preserve"> rencontrés sur terrain</w:t>
      </w:r>
      <w:r w:rsidRPr="0076221E">
        <w:t xml:space="preserve"> sont passés de 200 000 BIF par trimestre à 500 000 BIF par trimestre, soit une augmentation de 150%. Cette amélioration </w:t>
      </w:r>
      <w:r w:rsidR="0099553F">
        <w:t>importante</w:t>
      </w:r>
      <w:r w:rsidRPr="0076221E">
        <w:t xml:space="preserve"> des revenus a permis à la communauté </w:t>
      </w:r>
      <w:proofErr w:type="spellStart"/>
      <w:r w:rsidRPr="0076221E">
        <w:t>Batwa</w:t>
      </w:r>
      <w:proofErr w:type="spellEnd"/>
      <w:r w:rsidRPr="0076221E">
        <w:t xml:space="preserve"> d'acheter par ses propres moyens un terrain supplémentaire de 1 hectare au prix de 38 millions BIF, témoignant d'une capacité d'épargne et d'investissement nouvellement acquise.</w:t>
      </w:r>
    </w:p>
    <w:p w14:paraId="55B1734F" w14:textId="77777777" w:rsidR="0076221E" w:rsidRPr="0076221E" w:rsidRDefault="0076221E" w:rsidP="0076221E">
      <w:pPr>
        <w:spacing w:line="240" w:lineRule="auto"/>
        <w:jc w:val="both"/>
      </w:pPr>
      <w:r w:rsidRPr="0076221E">
        <w:t xml:space="preserve">Le projet a également introduit une nouvelle pratique économique : le travail des </w:t>
      </w:r>
      <w:proofErr w:type="spellStart"/>
      <w:r w:rsidRPr="0076221E">
        <w:t>Batwa</w:t>
      </w:r>
      <w:proofErr w:type="spellEnd"/>
      <w:r w:rsidRPr="0076221E">
        <w:t xml:space="preserve"> dans les champs des propriétaires privés. Cette nouvelle culture de travail agricole rémunéré constitue une innovation sociale importante, créant des relations économiques formelles entre la communauté </w:t>
      </w:r>
      <w:proofErr w:type="spellStart"/>
      <w:r w:rsidRPr="0076221E">
        <w:t>Batwa</w:t>
      </w:r>
      <w:proofErr w:type="spellEnd"/>
      <w:r w:rsidRPr="0076221E">
        <w:t xml:space="preserve"> et les autres communautés, là où auparavant les interactions étaient souvent marquées par l'exclusion et les tensions.</w:t>
      </w:r>
    </w:p>
    <w:p w14:paraId="13A16FAC" w14:textId="521E9586" w:rsidR="0076221E" w:rsidRPr="0076221E" w:rsidRDefault="0076221E" w:rsidP="0076221E">
      <w:pPr>
        <w:spacing w:line="240" w:lineRule="auto"/>
        <w:jc w:val="both"/>
      </w:pPr>
      <w:r w:rsidRPr="0076221E">
        <w:t xml:space="preserve">Les emplois générés par le projet PPP hydroélectrique représentent une </w:t>
      </w:r>
      <w:r w:rsidR="0099553F">
        <w:t xml:space="preserve">autre </w:t>
      </w:r>
      <w:r w:rsidRPr="0076221E">
        <w:t xml:space="preserve">source de revenus majeure avec 150 employés recrutés depuis environ une année, dont une centaine provenant de la communauté riveraine de </w:t>
      </w:r>
      <w:proofErr w:type="spellStart"/>
      <w:r w:rsidRPr="0076221E">
        <w:t>Muyebe</w:t>
      </w:r>
      <w:proofErr w:type="spellEnd"/>
      <w:r w:rsidRPr="0076221E">
        <w:t xml:space="preserve">. Les conditions de travail offertes par </w:t>
      </w:r>
      <w:proofErr w:type="spellStart"/>
      <w:r w:rsidRPr="0076221E">
        <w:t>Hydroneo</w:t>
      </w:r>
      <w:proofErr w:type="spellEnd"/>
      <w:r w:rsidRPr="0076221E">
        <w:t xml:space="preserve"> marquent une amélioration substantielle par rapport aux pratiques antérieures : salaire journalier minimum de 10 000 BIF par jour</w:t>
      </w:r>
      <w:r w:rsidR="0099553F">
        <w:t xml:space="preserve">, </w:t>
      </w:r>
      <w:r w:rsidRPr="0076221E">
        <w:t>couverture de sécurité sociale, et contrats de travail formels. Cette formalisation de l'emploi représente un changement structurel important pour des populations habituées au travail informel précaire.</w:t>
      </w:r>
    </w:p>
    <w:p w14:paraId="02297C02" w14:textId="17AC059F" w:rsidR="0076221E" w:rsidRPr="0076221E" w:rsidRDefault="0076221E" w:rsidP="0076221E">
      <w:pPr>
        <w:spacing w:line="240" w:lineRule="auto"/>
        <w:jc w:val="both"/>
      </w:pPr>
      <w:r w:rsidRPr="0076221E">
        <w:t>Au-delà des revenus directs générés, le projet a enclenché une dynamique vertueuse d'épargne et de réinvestissement qui multiplie et pérennise les impacts économiques initiaux. Plusieurs bénéficiaires, qu'ils soient individuels ou organisés en groupements, ont épargné une partie des revenus directs apportés par le projet et les ont réinvestis dans de nouvelles activités génératrices de revenus.</w:t>
      </w:r>
      <w:r w:rsidR="0099553F">
        <w:t xml:space="preserve"> </w:t>
      </w:r>
    </w:p>
    <w:p w14:paraId="5EE71B7F" w14:textId="594F5225" w:rsidR="0076221E" w:rsidRPr="0076221E" w:rsidRDefault="00A06812" w:rsidP="0076221E">
      <w:pPr>
        <w:spacing w:line="240" w:lineRule="auto"/>
        <w:jc w:val="both"/>
      </w:pPr>
      <w:r>
        <w:lastRenderedPageBreak/>
        <w:t>Par ailleurs, l</w:t>
      </w:r>
      <w:r w:rsidR="0076221E" w:rsidRPr="0076221E">
        <w:t xml:space="preserve">e projet a favorisé une inclusion financière remarquable des bénéficiaires, leur donnant accès pour la première fois aux services financiers formels. </w:t>
      </w:r>
      <w:r w:rsidR="00F9591B">
        <w:t xml:space="preserve">C’est ainsi que </w:t>
      </w:r>
      <w:r w:rsidR="00F9591B" w:rsidRPr="00A75244">
        <w:t>l</w:t>
      </w:r>
      <w:r w:rsidR="0076221E" w:rsidRPr="0076221E">
        <w:t>es employés d'</w:t>
      </w:r>
      <w:proofErr w:type="spellStart"/>
      <w:r w:rsidR="0076221E" w:rsidRPr="0076221E">
        <w:t>Hydroneo</w:t>
      </w:r>
      <w:proofErr w:type="spellEnd"/>
      <w:r w:rsidR="0076221E" w:rsidRPr="0076221E">
        <w:t xml:space="preserve"> ont bénéficié d'un accompagnement </w:t>
      </w:r>
      <w:r w:rsidR="00FB48CE">
        <w:t>à l’ouverture</w:t>
      </w:r>
      <w:r w:rsidR="0076221E" w:rsidRPr="0076221E">
        <w:t xml:space="preserve"> de comptes en microfinance, </w:t>
      </w:r>
      <w:r w:rsidR="00F9591B">
        <w:t>pour recevoir leurs</w:t>
      </w:r>
      <w:r w:rsidR="0076221E" w:rsidRPr="0076221E">
        <w:t xml:space="preserve"> salaires. Cette bancarisation a permis aux employés d'accéder aux services de crédit, ouvrant ainsi des possibilités d'investissement et de développement économique.</w:t>
      </w:r>
    </w:p>
    <w:p w14:paraId="6316C115" w14:textId="0DFDB4A0" w:rsidR="0076221E" w:rsidRDefault="0076221E" w:rsidP="0076221E">
      <w:pPr>
        <w:spacing w:line="240" w:lineRule="auto"/>
        <w:jc w:val="both"/>
      </w:pPr>
      <w:r w:rsidRPr="0076221E">
        <w:t xml:space="preserve">Le groupement de </w:t>
      </w:r>
      <w:proofErr w:type="spellStart"/>
      <w:r w:rsidRPr="0076221E">
        <w:t>Muciro</w:t>
      </w:r>
      <w:proofErr w:type="spellEnd"/>
      <w:r w:rsidRPr="0076221E">
        <w:t xml:space="preserve"> (</w:t>
      </w:r>
      <w:r w:rsidR="00C72E8D" w:rsidRPr="00C72E8D">
        <w:t>Amis de la nature</w:t>
      </w:r>
      <w:r w:rsidRPr="0076221E">
        <w:t>) a également ouvert un compte collectif en microfinance et a contracté quatre crédits</w:t>
      </w:r>
      <w:r w:rsidR="001860A7">
        <w:t xml:space="preserve"> qui ont été remboursés</w:t>
      </w:r>
      <w:r w:rsidRPr="0076221E">
        <w:t>, démontrant une capacité à mobiliser des ressources financières externes pour amplifier ses activités économiques. Cette autonomisation financière constitue un facteur critique de durabilité des impacts économiques au-delà de la période du projet.</w:t>
      </w:r>
    </w:p>
    <w:p w14:paraId="7D78E993" w14:textId="36DF12DD" w:rsidR="00DA5017" w:rsidRPr="004C4E82" w:rsidRDefault="00DA5017" w:rsidP="0076221E">
      <w:pPr>
        <w:spacing w:line="240" w:lineRule="auto"/>
        <w:jc w:val="both"/>
        <w:rPr>
          <w:b/>
          <w:bCs/>
          <w:sz w:val="10"/>
          <w:szCs w:val="10"/>
        </w:rPr>
      </w:pPr>
    </w:p>
    <w:p w14:paraId="7AFA3CAF" w14:textId="566E3476" w:rsidR="0076221E" w:rsidRPr="0076221E" w:rsidRDefault="0076221E" w:rsidP="0076221E">
      <w:pPr>
        <w:spacing w:line="240" w:lineRule="auto"/>
        <w:jc w:val="both"/>
        <w:rPr>
          <w:b/>
          <w:bCs/>
          <w:color w:val="000099"/>
        </w:rPr>
      </w:pPr>
      <w:r w:rsidRPr="0076221E">
        <w:rPr>
          <w:b/>
          <w:bCs/>
          <w:color w:val="000099"/>
        </w:rPr>
        <w:t>Renforcement de la cohésion sociale et réduction des conflits</w:t>
      </w:r>
    </w:p>
    <w:p w14:paraId="6CF701A7" w14:textId="3DF59B9C" w:rsidR="0076221E" w:rsidRPr="0076221E" w:rsidRDefault="0076221E" w:rsidP="0076221E">
      <w:pPr>
        <w:spacing w:line="240" w:lineRule="auto"/>
        <w:jc w:val="both"/>
      </w:pPr>
      <w:r w:rsidRPr="0076221E">
        <w:t xml:space="preserve">Les impacts sociaux du projet sont </w:t>
      </w:r>
      <w:r w:rsidR="00CE213B">
        <w:t xml:space="preserve">tout </w:t>
      </w:r>
      <w:r w:rsidRPr="0076221E">
        <w:t>aussi significatifs que les impacts économiques, avec un renforcement de la cohésion sociale et une réduction des conflits à plusieurs niveaux.</w:t>
      </w:r>
    </w:p>
    <w:p w14:paraId="44644135" w14:textId="77777777" w:rsidR="0076221E" w:rsidRPr="0076221E" w:rsidRDefault="0076221E" w:rsidP="0076221E">
      <w:pPr>
        <w:spacing w:line="240" w:lineRule="auto"/>
        <w:jc w:val="both"/>
      </w:pPr>
      <w:r w:rsidRPr="0076221E">
        <w:t xml:space="preserve">L'amélioration des moyens de subsistance a directement contribué à la réduction des tensions entre communautés. Le cas de la communauté </w:t>
      </w:r>
      <w:proofErr w:type="spellStart"/>
      <w:r w:rsidRPr="0076221E">
        <w:t>Batwa</w:t>
      </w:r>
      <w:proofErr w:type="spellEnd"/>
      <w:r w:rsidRPr="0076221E">
        <w:t xml:space="preserve"> de </w:t>
      </w:r>
      <w:proofErr w:type="spellStart"/>
      <w:r w:rsidRPr="0076221E">
        <w:t>Muciro</w:t>
      </w:r>
      <w:proofErr w:type="spellEnd"/>
      <w:r w:rsidRPr="0076221E">
        <w:t xml:space="preserve"> est particulièrement éloquent. Avant le projet, de nombreux conflits opposaient les </w:t>
      </w:r>
      <w:proofErr w:type="spellStart"/>
      <w:r w:rsidRPr="0076221E">
        <w:t>Batwa</w:t>
      </w:r>
      <w:proofErr w:type="spellEnd"/>
      <w:r w:rsidRPr="0076221E">
        <w:t xml:space="preserve"> aux autres communautés en raison de vols motivés par la pauvreté extrême, conduisant régulièrement à l'emprisonnement de membres de la communauté </w:t>
      </w:r>
      <w:proofErr w:type="spellStart"/>
      <w:r w:rsidRPr="0076221E">
        <w:t>Batwa</w:t>
      </w:r>
      <w:proofErr w:type="spellEnd"/>
      <w:r w:rsidRPr="0076221E">
        <w:t xml:space="preserve">. Les témoignages recueillis lors de la mission de terrain sont sans équivoque : "Avant, il y avait plusieurs conflits entre les </w:t>
      </w:r>
      <w:proofErr w:type="spellStart"/>
      <w:r w:rsidRPr="0076221E">
        <w:t>Batwa</w:t>
      </w:r>
      <w:proofErr w:type="spellEnd"/>
      <w:r w:rsidRPr="0076221E">
        <w:t xml:space="preserve"> et les autres communautés car les </w:t>
      </w:r>
      <w:proofErr w:type="spellStart"/>
      <w:r w:rsidRPr="0076221E">
        <w:t>Batwa</w:t>
      </w:r>
      <w:proofErr w:type="spellEnd"/>
      <w:r w:rsidRPr="0076221E">
        <w:t xml:space="preserve"> leur volaient des choses. Maintenant on n'a plus besoin de voler puisqu'on a des sources de revenus provenant de l'activité agricole, ce qui a supprimé les conflits avec les autres communautés."</w:t>
      </w:r>
    </w:p>
    <w:p w14:paraId="55267534" w14:textId="77777777" w:rsidR="0076221E" w:rsidRPr="0076221E" w:rsidRDefault="0076221E" w:rsidP="0076221E">
      <w:pPr>
        <w:spacing w:line="240" w:lineRule="auto"/>
        <w:jc w:val="both"/>
      </w:pPr>
      <w:r w:rsidRPr="0076221E">
        <w:t xml:space="preserve">Le projet a également favorisé le travail mixte entre </w:t>
      </w:r>
      <w:proofErr w:type="spellStart"/>
      <w:r w:rsidRPr="0076221E">
        <w:t>Batwa</w:t>
      </w:r>
      <w:proofErr w:type="spellEnd"/>
      <w:r w:rsidRPr="0076221E">
        <w:t xml:space="preserve"> et autres communautés dans les pépinières communautaires, créant des espaces d'interaction positive et de collaboration concrète qui contribuent à déconstruire les préjugés et à normaliser les relations intercommunautaires.</w:t>
      </w:r>
    </w:p>
    <w:p w14:paraId="2E32D78E" w14:textId="0CAA4A7A" w:rsidR="0076221E" w:rsidRPr="0076221E" w:rsidRDefault="0076221E" w:rsidP="0076221E">
      <w:pPr>
        <w:spacing w:line="240" w:lineRule="auto"/>
        <w:jc w:val="both"/>
      </w:pPr>
      <w:r w:rsidRPr="0076221E">
        <w:t>Les relations historiquement conflictuelles entre les communautés riveraines et les écogardes du parc se sont significativement apaisées. La collaboration entre les Comités de Protection de la Kibira (CPK) et les écogardes fonctionne désormais dans plusieurs collines, créant une dynamique de coopération plutôt que de confrontation.</w:t>
      </w:r>
      <w:r w:rsidR="00007C74">
        <w:t xml:space="preserve"> </w:t>
      </w:r>
      <w:r w:rsidRPr="0076221E">
        <w:t xml:space="preserve">La communauté </w:t>
      </w:r>
      <w:proofErr w:type="spellStart"/>
      <w:r w:rsidRPr="0076221E">
        <w:t>Batwa</w:t>
      </w:r>
      <w:proofErr w:type="spellEnd"/>
      <w:r w:rsidRPr="0076221E">
        <w:t xml:space="preserve"> de </w:t>
      </w:r>
      <w:proofErr w:type="spellStart"/>
      <w:r w:rsidRPr="0076221E">
        <w:t>Muciro</w:t>
      </w:r>
      <w:proofErr w:type="spellEnd"/>
      <w:r w:rsidRPr="0076221E">
        <w:t xml:space="preserve"> témoigne de ce changement : "Il n'y a plus de conflits avec les écogardes puisqu'on ne va plus au parc." Auparavant, les </w:t>
      </w:r>
      <w:proofErr w:type="spellStart"/>
      <w:r w:rsidRPr="0076221E">
        <w:t>Batwa</w:t>
      </w:r>
      <w:proofErr w:type="spellEnd"/>
      <w:r w:rsidRPr="0076221E">
        <w:t xml:space="preserve"> entraient régulièrement dans le parc pour couper du bambou qu'ils vendaient sur le marché de </w:t>
      </w:r>
      <w:proofErr w:type="spellStart"/>
      <w:r w:rsidRPr="0076221E">
        <w:t>Kayanza</w:t>
      </w:r>
      <w:proofErr w:type="spellEnd"/>
      <w:r w:rsidRPr="0076221E">
        <w:t>, générant des confrontations fréquentes avec les écogardes. Les sources de revenus alternatives ont éliminé cette nécessité économique, supprimant ainsi la cause structurelle des conflits.</w:t>
      </w:r>
    </w:p>
    <w:p w14:paraId="3C93AFDA" w14:textId="77777777" w:rsidR="0076221E" w:rsidRPr="0076221E" w:rsidRDefault="0076221E" w:rsidP="0076221E">
      <w:pPr>
        <w:spacing w:line="240" w:lineRule="auto"/>
        <w:jc w:val="both"/>
      </w:pPr>
      <w:r w:rsidRPr="0076221E">
        <w:t>Au-delà des cas spécifiques, les témoignages convergent sur un constat général : l'amélioration des revenus a conduit à une diminution substantielle des conflits entre populations. Les conflits motivés par la pauvreté, la compétition pour des ressources limitées, et les tensions économiques ont significativement reculé dans les zones d'intervention intensive du projet.</w:t>
      </w:r>
    </w:p>
    <w:p w14:paraId="08CE0DB3" w14:textId="77777777" w:rsidR="0076221E" w:rsidRPr="0076221E" w:rsidRDefault="0076221E" w:rsidP="0076221E">
      <w:pPr>
        <w:spacing w:line="240" w:lineRule="auto"/>
        <w:jc w:val="both"/>
      </w:pPr>
      <w:r w:rsidRPr="0076221E">
        <w:t>La cohésion sociale au sein des groupements bénéficiaires s'est également renforcée. Les activités collectives (pépinières, culture de champignons, groupements d'épargne-crédit) ont créé des espaces de solidarité et de collaboration. Les témoignages font état d'une "meilleure cohésion sociale entre les membres" des groupements et de la "disparition des conflits liés à la pauvreté" au sein des communautés bénéficiaires.</w:t>
      </w:r>
    </w:p>
    <w:p w14:paraId="1125FC08" w14:textId="779B27B4" w:rsidR="0076221E" w:rsidRPr="0076221E" w:rsidRDefault="0076221E" w:rsidP="0076221E">
      <w:pPr>
        <w:spacing w:line="240" w:lineRule="auto"/>
        <w:jc w:val="both"/>
      </w:pPr>
      <w:r w:rsidRPr="0076221E">
        <w:t xml:space="preserve">Malgré ces impacts significatifs, leur portée géographique demeure limitée. </w:t>
      </w:r>
      <w:proofErr w:type="spellStart"/>
      <w:r w:rsidRPr="0076221E">
        <w:t>Muciro</w:t>
      </w:r>
      <w:proofErr w:type="spellEnd"/>
      <w:r w:rsidRPr="0076221E">
        <w:t xml:space="preserve"> concentre 55% des bénéficiaires et a bénéficié d'interventions diversifiées et intensives (pépinières, </w:t>
      </w:r>
      <w:r w:rsidRPr="0076221E">
        <w:lastRenderedPageBreak/>
        <w:t>champignonnières, AGR, formations), ce qui explique la transformation exemplaire observée. Les autres zones présentent un nombre nettement plus faible de bénéficiaires et</w:t>
      </w:r>
      <w:r w:rsidR="0047440B">
        <w:t>/ou</w:t>
      </w:r>
      <w:r w:rsidRPr="0076221E">
        <w:t xml:space="preserve"> des interventions concentrées principalement sur la distribution de plants agroforestiers, une intervention relativement légère n'impliquant pas de transformation profonde des conditions de vie. Cette concentration géographique limite l'ampleur des impacts à l'échelle de l'ensemble du parc.</w:t>
      </w:r>
    </w:p>
    <w:p w14:paraId="072D7421" w14:textId="62A93192" w:rsidR="0076221E" w:rsidRPr="0076221E" w:rsidRDefault="0076221E" w:rsidP="0076221E">
      <w:pPr>
        <w:spacing w:line="240" w:lineRule="auto"/>
        <w:jc w:val="both"/>
        <w:rPr>
          <w:b/>
          <w:bCs/>
          <w:color w:val="000099"/>
        </w:rPr>
      </w:pPr>
      <w:r w:rsidRPr="0076221E">
        <w:rPr>
          <w:b/>
          <w:bCs/>
          <w:color w:val="000099"/>
        </w:rPr>
        <w:t xml:space="preserve">Impacts environnementaux : </w:t>
      </w:r>
      <w:r w:rsidR="003519B7">
        <w:rPr>
          <w:b/>
          <w:bCs/>
          <w:color w:val="000099"/>
        </w:rPr>
        <w:t>R</w:t>
      </w:r>
      <w:r w:rsidRPr="0076221E">
        <w:rPr>
          <w:b/>
          <w:bCs/>
          <w:color w:val="000099"/>
        </w:rPr>
        <w:t>éduction de la pression sur le parc malgré des résultats limités</w:t>
      </w:r>
    </w:p>
    <w:p w14:paraId="4AFAFBAE" w14:textId="2E5A3438" w:rsidR="0076221E" w:rsidRPr="0076221E" w:rsidRDefault="0076221E" w:rsidP="0076221E">
      <w:pPr>
        <w:spacing w:line="240" w:lineRule="auto"/>
        <w:jc w:val="both"/>
      </w:pPr>
      <w:r w:rsidRPr="0076221E">
        <w:t>L'impact environnemental le plus significatif du projet réside dans la réduction de la pression humaine exercée sur les ressources du Parc National de la Kibira. Cette réduction s'explique principalement par la création d'alternatives économiques viables qui ont dissuadé les populations de continuer à exploiter les ressources forestières.</w:t>
      </w:r>
    </w:p>
    <w:p w14:paraId="1B4D06D6" w14:textId="5C137CB8" w:rsidR="0076221E" w:rsidRPr="0076221E" w:rsidRDefault="0076221E" w:rsidP="0076221E">
      <w:pPr>
        <w:spacing w:line="240" w:lineRule="auto"/>
        <w:jc w:val="both"/>
      </w:pPr>
      <w:r w:rsidRPr="0076221E">
        <w:t xml:space="preserve">Les diverses sources de revenus créées par le projet (AGR comme la culture de champignons et l'élevage, emploi agricole, emploi de main d'œuvre pour les activités de conservation, travail avec </w:t>
      </w:r>
      <w:proofErr w:type="spellStart"/>
      <w:r w:rsidRPr="0076221E">
        <w:t>Hydroneo</w:t>
      </w:r>
      <w:proofErr w:type="spellEnd"/>
      <w:r w:rsidRPr="0076221E">
        <w:t xml:space="preserve">) ont fourni des alternatives économiques attractives à l'exploitation des ressources du parc. Avant le projet, de nombreux membres des communautés riveraines entraient régulièrement dans le parc pour se sourcer en ressources (bois de chauffe, bambou, produits forestiers non ligneux) qu'ils vendaient ensuite sur le marché de </w:t>
      </w:r>
      <w:proofErr w:type="spellStart"/>
      <w:r w:rsidRPr="0076221E">
        <w:t>Kayanza</w:t>
      </w:r>
      <w:proofErr w:type="spellEnd"/>
      <w:r w:rsidRPr="0076221E">
        <w:t xml:space="preserve"> pour obtenir des revenus.</w:t>
      </w:r>
      <w:r w:rsidR="001D4656">
        <w:t xml:space="preserve"> </w:t>
      </w:r>
      <w:r w:rsidRPr="0076221E">
        <w:t>Cette pratique était particulièrement pénible pour les populations : elle exigeait beaucoup d'efforts physiques et de temps (le parc étant éloigné des habitations), présentait des risques (confrontations avec les écogardes, sanctions), et générait des revenus dérisoires et non stables. Les alternatives créées par le projet offrent des revenus plus accessibles (proximité géographique), plus stables (régularité), plus rémunérateurs, et sans risques légaux. Le calcul économique rationnel a donc conduit de nombreux bénéficiaires à abandonner l'exploitation illégale des ressources du parc au profit de ces nouvelles activités.</w:t>
      </w:r>
    </w:p>
    <w:p w14:paraId="6772D205" w14:textId="24098884" w:rsidR="0076221E" w:rsidRPr="0076221E" w:rsidRDefault="00EC3D40" w:rsidP="0076221E">
      <w:pPr>
        <w:spacing w:line="240" w:lineRule="auto"/>
        <w:jc w:val="both"/>
      </w:pPr>
      <w:r>
        <w:t>Sur un autre plan, l</w:t>
      </w:r>
      <w:r w:rsidR="0076221E" w:rsidRPr="0076221E">
        <w:t>a distribution de 80</w:t>
      </w:r>
      <w:r w:rsidR="005A2C4B">
        <w:t>.</w:t>
      </w:r>
      <w:r w:rsidR="0076221E" w:rsidRPr="0076221E">
        <w:t>000 plants agroforestiers dans les propriétés communautaires constitue une intervention structurelle visant à créer une alternative durable au prélèvement de bois de chauffe dans le parc. Ces plantations dans les champs privés permettront, à moyen terme, de satisfaire les besoins en bois de chauffe des ménages sans nécessiter l'exploitation du parc. Bien que l'impact de cette intervention ne soit pas encore pleinement mesurable (les arbres nécessitant plusieurs années pour atteindre une taille exploitable), elle pose les bases d'une autonomie énergétique des communautés compatible avec la conservation du parc.</w:t>
      </w:r>
    </w:p>
    <w:p w14:paraId="24EE3CCD" w14:textId="77777777" w:rsidR="0076221E" w:rsidRPr="0076221E" w:rsidRDefault="0076221E" w:rsidP="0076221E">
      <w:pPr>
        <w:spacing w:line="240" w:lineRule="auto"/>
        <w:jc w:val="both"/>
      </w:pPr>
      <w:r w:rsidRPr="0076221E">
        <w:t xml:space="preserve">Les témoignages recueillis lors de la mission de terrain documentent un changement comportemental réel dans certaines communautés bénéficiaires. La communauté </w:t>
      </w:r>
      <w:proofErr w:type="spellStart"/>
      <w:r w:rsidRPr="0076221E">
        <w:t>Batwa</w:t>
      </w:r>
      <w:proofErr w:type="spellEnd"/>
      <w:r w:rsidRPr="0076221E">
        <w:t xml:space="preserve"> de </w:t>
      </w:r>
      <w:proofErr w:type="spellStart"/>
      <w:r w:rsidRPr="0076221E">
        <w:t>Muciro</w:t>
      </w:r>
      <w:proofErr w:type="spellEnd"/>
      <w:r w:rsidRPr="0076221E">
        <w:t xml:space="preserve"> illustre ce changement : "Plusieurs autres communautés </w:t>
      </w:r>
      <w:proofErr w:type="spellStart"/>
      <w:r w:rsidRPr="0076221E">
        <w:t>Batwa</w:t>
      </w:r>
      <w:proofErr w:type="spellEnd"/>
      <w:r w:rsidRPr="0076221E">
        <w:t xml:space="preserve"> continuent à entrer dans le parc mais la communauté </w:t>
      </w:r>
      <w:proofErr w:type="spellStart"/>
      <w:r w:rsidRPr="0076221E">
        <w:t>Batwa</w:t>
      </w:r>
      <w:proofErr w:type="spellEnd"/>
      <w:r w:rsidRPr="0076221E">
        <w:t xml:space="preserve"> de </w:t>
      </w:r>
      <w:proofErr w:type="spellStart"/>
      <w:r w:rsidRPr="0076221E">
        <w:t>Muciro</w:t>
      </w:r>
      <w:proofErr w:type="spellEnd"/>
      <w:r w:rsidRPr="0076221E">
        <w:t xml:space="preserve"> n'y va plus." Auparavant, cette communauté dépendait de la coupe de bambou dans le parc pour générer des revenus. Désormais, les revenus agricoles et les autres opportunités économiques créées par le projet ont éliminé cette nécessité. Les témoignages sont explicites : "Grâce à ces sources de revenus, on n'a plus besoin d'entrer dans le parc" et "On n'a plus de conflits avec les écogardes puisqu'on ne va plus au parc."</w:t>
      </w:r>
    </w:p>
    <w:p w14:paraId="629F53AC" w14:textId="77777777" w:rsidR="0076221E" w:rsidRPr="0076221E" w:rsidRDefault="0076221E" w:rsidP="0076221E">
      <w:pPr>
        <w:spacing w:line="240" w:lineRule="auto"/>
        <w:jc w:val="both"/>
      </w:pPr>
      <w:r w:rsidRPr="0076221E">
        <w:t xml:space="preserve">Ce changement comportemental n'est cependant pas universel. À </w:t>
      </w:r>
      <w:proofErr w:type="spellStart"/>
      <w:r w:rsidRPr="0076221E">
        <w:t>Muyebe</w:t>
      </w:r>
      <w:proofErr w:type="spellEnd"/>
      <w:r w:rsidRPr="0076221E">
        <w:t xml:space="preserve">, malgré l'amélioration de la situation économique grâce aux emplois </w:t>
      </w:r>
      <w:proofErr w:type="spellStart"/>
      <w:r w:rsidRPr="0076221E">
        <w:t>Hydroneo</w:t>
      </w:r>
      <w:proofErr w:type="spellEnd"/>
      <w:r w:rsidRPr="0076221E">
        <w:t xml:space="preserve">, plusieurs personnes continuent d'utiliser les ressources du parc (bois de chauffe, bambous). Cette communauté n'a pas bénéficié des actions de sensibilisation et de la mise en place de CPK comme dans les collines de </w:t>
      </w:r>
      <w:proofErr w:type="spellStart"/>
      <w:r w:rsidRPr="0076221E">
        <w:t>Caguka</w:t>
      </w:r>
      <w:proofErr w:type="spellEnd"/>
      <w:r w:rsidRPr="0076221E">
        <w:t xml:space="preserve"> et </w:t>
      </w:r>
      <w:proofErr w:type="spellStart"/>
      <w:r w:rsidRPr="0076221E">
        <w:t>Muciro</w:t>
      </w:r>
      <w:proofErr w:type="spellEnd"/>
      <w:r w:rsidRPr="0076221E">
        <w:t>, soulignant l'importance de combiner alternatives économiques et sensibilisation pour maximiser l'impact sur les comportements.</w:t>
      </w:r>
    </w:p>
    <w:p w14:paraId="6C94165E" w14:textId="1133CC04" w:rsidR="0076221E" w:rsidRPr="0076221E" w:rsidRDefault="00C53955" w:rsidP="0076221E">
      <w:pPr>
        <w:spacing w:line="240" w:lineRule="auto"/>
        <w:jc w:val="both"/>
      </w:pPr>
      <w:r>
        <w:t>Par ailleurs, l</w:t>
      </w:r>
      <w:r w:rsidR="0076221E" w:rsidRPr="0076221E">
        <w:t xml:space="preserve">es travaux de conservation réalisés directement par le projet </w:t>
      </w:r>
      <w:r>
        <w:t>(</w:t>
      </w:r>
      <w:r w:rsidR="0076221E" w:rsidRPr="0076221E">
        <w:t xml:space="preserve">restauration de 21 hectares de forêt, végétalisation de bassins versants sur 20 </w:t>
      </w:r>
      <w:r>
        <w:t>Km</w:t>
      </w:r>
      <w:r w:rsidR="0076221E" w:rsidRPr="0076221E">
        <w:t xml:space="preserve">, aménagement de courbes de </w:t>
      </w:r>
      <w:r w:rsidR="0076221E" w:rsidRPr="0076221E">
        <w:lastRenderedPageBreak/>
        <w:t xml:space="preserve">niveau sur 20 </w:t>
      </w:r>
      <w:r>
        <w:t xml:space="preserve">Km, etc.) </w:t>
      </w:r>
      <w:r w:rsidR="0076221E" w:rsidRPr="0076221E">
        <w:t>ont des impacts positifs attendus en termes de conservation des sols, de protection des bassins versants contre l'érosion, et de restauration d'espaces dégradés à l'intérieur et à la périphérie du parc.</w:t>
      </w:r>
      <w:r>
        <w:t xml:space="preserve"> </w:t>
      </w:r>
      <w:r w:rsidR="0076221E" w:rsidRPr="0076221E">
        <w:t xml:space="preserve">Cependant, la portée géographique de ces interventions demeure restreinte au regard de la superficie totale du Parc National de la Kibira (40 000 hectares) et de l'ampleur des défis de conservation. </w:t>
      </w:r>
    </w:p>
    <w:p w14:paraId="62B218C7" w14:textId="2F504EC2" w:rsidR="0076221E" w:rsidRDefault="0076221E" w:rsidP="0076221E">
      <w:pPr>
        <w:spacing w:line="240" w:lineRule="auto"/>
        <w:jc w:val="both"/>
      </w:pPr>
      <w:r w:rsidRPr="0076221E">
        <w:t>Un</w:t>
      </w:r>
      <w:r w:rsidR="005823F0">
        <w:t xml:space="preserve"> autre aspect </w:t>
      </w:r>
      <w:r w:rsidR="007A1BC4">
        <w:t xml:space="preserve">mérite d’être souligné et </w:t>
      </w:r>
      <w:r w:rsidR="005823F0">
        <w:t xml:space="preserve">concerne </w:t>
      </w:r>
      <w:r w:rsidRPr="0076221E">
        <w:t>l</w:t>
      </w:r>
      <w:r w:rsidR="007A1BC4">
        <w:t>a difficulté d</w:t>
      </w:r>
      <w:r w:rsidRPr="0076221E">
        <w:t xml:space="preserve">'évaluation </w:t>
      </w:r>
      <w:r w:rsidR="007A1BC4">
        <w:t xml:space="preserve">quantitative </w:t>
      </w:r>
      <w:r w:rsidRPr="0076221E">
        <w:t xml:space="preserve">de l'impact environnemental du projet </w:t>
      </w:r>
      <w:r w:rsidR="007A1BC4">
        <w:t>en l’</w:t>
      </w:r>
      <w:r w:rsidRPr="0076221E">
        <w:t>absence de données quantitatives</w:t>
      </w:r>
      <w:r w:rsidR="007A1BC4">
        <w:t xml:space="preserve">. </w:t>
      </w:r>
      <w:r w:rsidRPr="0076221E">
        <w:t>En conséquence, l'évaluation repose principalement sur des témoignages qualitatifs, des observations directes lors de la mission de terrain, et des données indirectes (</w:t>
      </w:r>
      <w:r w:rsidR="007A1BC4">
        <w:t>évolution des comportements des</w:t>
      </w:r>
      <w:r w:rsidRPr="0076221E">
        <w:t xml:space="preserve"> bénéficiaires, perception des écogardes et autorités du parc).</w:t>
      </w:r>
    </w:p>
    <w:p w14:paraId="76B330DA" w14:textId="32D762FB" w:rsidR="00D92A81" w:rsidRPr="004C4E82" w:rsidRDefault="009610AC" w:rsidP="0076221E">
      <w:pPr>
        <w:spacing w:line="240" w:lineRule="auto"/>
        <w:jc w:val="both"/>
        <w:rPr>
          <w:b/>
          <w:bCs/>
          <w:sz w:val="10"/>
          <w:szCs w:val="10"/>
        </w:rPr>
      </w:pPr>
      <w:r>
        <w:t>L</w:t>
      </w:r>
      <w:r w:rsidR="00217455">
        <w:t xml:space="preserve">a </w:t>
      </w:r>
      <w:r>
        <w:t>mise en place d’un</w:t>
      </w:r>
      <w:r w:rsidR="00217455">
        <w:t xml:space="preserve"> </w:t>
      </w:r>
      <w:r>
        <w:t>système de PSE (paie</w:t>
      </w:r>
      <w:r w:rsidR="00217455">
        <w:t>ment</w:t>
      </w:r>
      <w:r>
        <w:t xml:space="preserve"> pour les serves environ</w:t>
      </w:r>
      <w:r w:rsidR="00217455">
        <w:t>n</w:t>
      </w:r>
      <w:r>
        <w:t xml:space="preserve">ementaux) </w:t>
      </w:r>
      <w:r w:rsidR="00BD1538">
        <w:t>dans ce dom</w:t>
      </w:r>
      <w:r w:rsidR="00217455">
        <w:t xml:space="preserve">aine permettrait </w:t>
      </w:r>
      <w:r w:rsidR="00BD1538">
        <w:t>de remp</w:t>
      </w:r>
      <w:r w:rsidR="00217455">
        <w:t xml:space="preserve">lacer </w:t>
      </w:r>
      <w:r w:rsidR="00BD1538">
        <w:t>les salaires pay</w:t>
      </w:r>
      <w:r w:rsidR="00217455">
        <w:t>é</w:t>
      </w:r>
      <w:r w:rsidR="00BD1538">
        <w:t xml:space="preserve">s aux </w:t>
      </w:r>
      <w:r w:rsidR="00217455">
        <w:t xml:space="preserve">individus </w:t>
      </w:r>
      <w:r w:rsidR="00BD1538">
        <w:t xml:space="preserve">par des paiements </w:t>
      </w:r>
      <w:r w:rsidR="00217455">
        <w:t>octroyés</w:t>
      </w:r>
      <w:r w:rsidR="00BD1538">
        <w:t xml:space="preserve"> aux commu</w:t>
      </w:r>
      <w:r w:rsidR="00217455">
        <w:t xml:space="preserve">nautés organisées impliquées dans la </w:t>
      </w:r>
      <w:r w:rsidR="00217455" w:rsidRPr="0076221E">
        <w:t>restauration de</w:t>
      </w:r>
      <w:r w:rsidR="00D725C8">
        <w:t xml:space="preserve">s forêts, la </w:t>
      </w:r>
      <w:r w:rsidR="00217455" w:rsidRPr="0076221E">
        <w:t xml:space="preserve">végétalisation de bassins versants </w:t>
      </w:r>
      <w:r w:rsidR="00D725C8">
        <w:t xml:space="preserve">et </w:t>
      </w:r>
      <w:r w:rsidR="00217455" w:rsidRPr="0076221E">
        <w:t>aménagement de courbes de niveau</w:t>
      </w:r>
      <w:r w:rsidR="005876B5">
        <w:t>x etc. Cela garantit le paiement sur la base de la performance et le suivi rapproché assuré par les communautés elles</w:t>
      </w:r>
      <w:r w:rsidR="005831A8">
        <w:t>-</w:t>
      </w:r>
      <w:r w:rsidR="005876B5">
        <w:t>mêmes vivant autour du PNK</w:t>
      </w:r>
      <w:r w:rsidR="005831A8">
        <w:t>.</w:t>
      </w:r>
      <w:r w:rsidR="005876B5">
        <w:t xml:space="preserve"> </w:t>
      </w:r>
    </w:p>
    <w:p w14:paraId="32144D9A" w14:textId="5366079E" w:rsidR="0076221E" w:rsidRPr="0076221E" w:rsidRDefault="0076221E" w:rsidP="0076221E">
      <w:pPr>
        <w:spacing w:line="240" w:lineRule="auto"/>
        <w:jc w:val="both"/>
        <w:rPr>
          <w:b/>
          <w:bCs/>
          <w:color w:val="000099"/>
        </w:rPr>
      </w:pPr>
      <w:r w:rsidRPr="0076221E">
        <w:rPr>
          <w:b/>
          <w:bCs/>
          <w:color w:val="000099"/>
        </w:rPr>
        <w:t>Impacts transformateurs du PPP hydroélectrique : effet catalytique majeur avec impacts futurs considérables</w:t>
      </w:r>
    </w:p>
    <w:p w14:paraId="0F2055E6" w14:textId="1DB21058" w:rsidR="00F07E5D" w:rsidRDefault="00F07E5D" w:rsidP="0076221E">
      <w:pPr>
        <w:spacing w:line="240" w:lineRule="auto"/>
        <w:jc w:val="both"/>
      </w:pPr>
      <w:r>
        <w:t>Les impacts recensés et attendus du projet hydroélectrique s’articulent autour des éléments suivants :</w:t>
      </w:r>
    </w:p>
    <w:p w14:paraId="2FAA7E78" w14:textId="32417910" w:rsidR="00D950CE" w:rsidRPr="0076221E" w:rsidRDefault="00053971" w:rsidP="00357CD2">
      <w:pPr>
        <w:pStyle w:val="ListParagraph"/>
        <w:numPr>
          <w:ilvl w:val="0"/>
          <w:numId w:val="11"/>
        </w:numPr>
        <w:spacing w:line="240" w:lineRule="auto"/>
        <w:ind w:left="357" w:hanging="357"/>
        <w:contextualSpacing w:val="0"/>
        <w:jc w:val="both"/>
      </w:pPr>
      <w:r w:rsidRPr="00053971">
        <w:t>Impacts socio-économiques concrets</w:t>
      </w:r>
      <w:r>
        <w:t xml:space="preserve"> : </w:t>
      </w:r>
      <w:r w:rsidR="00F716E3" w:rsidRPr="00F716E3">
        <w:t xml:space="preserve">Le projet PPP génère d'ores et déjà des impacts socio-économiques substantiels avec 150 emplois créés (détaillés </w:t>
      </w:r>
      <w:r w:rsidR="00F716E3">
        <w:t>au début du chapitre Impact</w:t>
      </w:r>
      <w:r w:rsidR="00F716E3" w:rsidRPr="00F716E3">
        <w:t>), dont les effets multiplicateurs (inclusion financière, épargne, lancement d'AGR complémentaires) augure</w:t>
      </w:r>
      <w:r w:rsidR="00F716E3">
        <w:t>nt</w:t>
      </w:r>
      <w:r w:rsidR="00F716E3" w:rsidRPr="00F716E3">
        <w:t xml:space="preserve"> d'impacts durables au-delà de la période de construction. Les perspectives sont encore plus prometteuses : à partir de 2026, le renforcement significatif de l'effectif nécessitera le recrutement au-delà de </w:t>
      </w:r>
      <w:proofErr w:type="spellStart"/>
      <w:r w:rsidR="00F716E3" w:rsidRPr="00F716E3">
        <w:t>Muyebe</w:t>
      </w:r>
      <w:proofErr w:type="spellEnd"/>
      <w:r w:rsidR="00F716E3" w:rsidRPr="00F716E3">
        <w:t>, élargissant considérablement la portée géographique des impacts économiques.</w:t>
      </w:r>
      <w:r w:rsidR="00D950CE">
        <w:t xml:space="preserve"> Par ailleurs, l</w:t>
      </w:r>
      <w:r w:rsidR="00D950CE" w:rsidRPr="0076221E">
        <w:t xml:space="preserve">es </w:t>
      </w:r>
      <w:proofErr w:type="spellStart"/>
      <w:r w:rsidR="00D950CE" w:rsidRPr="0076221E">
        <w:t>co</w:t>
      </w:r>
      <w:proofErr w:type="spellEnd"/>
      <w:r w:rsidR="00D950CE" w:rsidRPr="0076221E">
        <w:t xml:space="preserve">-bénéfices </w:t>
      </w:r>
      <w:r w:rsidR="00D950CE">
        <w:t>futurs du projet</w:t>
      </w:r>
      <w:r w:rsidR="00D950CE" w:rsidRPr="0076221E">
        <w:t xml:space="preserve"> incluent</w:t>
      </w:r>
      <w:r w:rsidR="00D950CE">
        <w:t xml:space="preserve"> </w:t>
      </w:r>
      <w:r w:rsidR="00D950CE" w:rsidRPr="0076221E">
        <w:t xml:space="preserve">l'alimentation de la communauté de </w:t>
      </w:r>
      <w:proofErr w:type="spellStart"/>
      <w:r w:rsidR="00D950CE" w:rsidRPr="0076221E">
        <w:t>Muyebe</w:t>
      </w:r>
      <w:proofErr w:type="spellEnd"/>
      <w:r w:rsidR="00D950CE" w:rsidRPr="0076221E">
        <w:t xml:space="preserve"> en eau potable et l'accès à l'eau d'irrigation, répondant ainsi à des besoins essentiels des populations riveraines et créant des conditions favorables au développement agricole.</w:t>
      </w:r>
    </w:p>
    <w:p w14:paraId="0A3557E0" w14:textId="09CD382E" w:rsidR="0076221E" w:rsidRPr="0076221E" w:rsidRDefault="00053971" w:rsidP="00357CD2">
      <w:pPr>
        <w:pStyle w:val="ListParagraph"/>
        <w:numPr>
          <w:ilvl w:val="0"/>
          <w:numId w:val="11"/>
        </w:numPr>
        <w:spacing w:line="240" w:lineRule="auto"/>
        <w:ind w:left="357" w:hanging="357"/>
        <w:contextualSpacing w:val="0"/>
        <w:jc w:val="both"/>
      </w:pPr>
      <w:r w:rsidRPr="00053971">
        <w:t>Résolution des problèmes hérités de l'ancien projet</w:t>
      </w:r>
      <w:r>
        <w:t xml:space="preserve"> : </w:t>
      </w:r>
      <w:r w:rsidR="0076221E" w:rsidRPr="0076221E">
        <w:t>Le projet PPP facilité par le projet Kibira a permis</w:t>
      </w:r>
      <w:r w:rsidR="00F716E3">
        <w:t xml:space="preserve">, également, </w:t>
      </w:r>
      <w:r w:rsidR="0076221E" w:rsidRPr="0076221E">
        <w:t xml:space="preserve">de résoudre les graves problèmes hérités de l'ancien projet hydroélectrique abandonné en 2017. Cet ancien projet présentait de multiples défaillances : opérations d'expropriation mal gérées, travaux inachevés et abandonnés (routes non finalisées, absence de canalisation d'eau pluviale, travaux de stabilisation des sols non effectués), problèmes d'érosion graves avec formation de ravins et glissements de terrain endommageant les terres des populations riveraines (environ 25 ménages sur 300 à </w:t>
      </w:r>
      <w:proofErr w:type="spellStart"/>
      <w:r w:rsidR="0076221E" w:rsidRPr="0076221E">
        <w:t>Muyebe</w:t>
      </w:r>
      <w:proofErr w:type="spellEnd"/>
      <w:r w:rsidR="0076221E" w:rsidRPr="0076221E">
        <w:t xml:space="preserve"> ont vu leurs parcelles endommagées), déviation des cours d'eau empêchant l'irrigation des terres agricoles, et litiges non résolus avec l'entreprise chinoise non payée.</w:t>
      </w:r>
      <w:r w:rsidR="009D786F">
        <w:t xml:space="preserve"> </w:t>
      </w:r>
      <w:r w:rsidR="0076221E" w:rsidRPr="0076221E">
        <w:t xml:space="preserve">La reprise du projet par </w:t>
      </w:r>
      <w:proofErr w:type="spellStart"/>
      <w:r w:rsidR="0076221E" w:rsidRPr="0076221E">
        <w:t>Hydroneo</w:t>
      </w:r>
      <w:proofErr w:type="spellEnd"/>
      <w:r w:rsidR="0076221E" w:rsidRPr="0076221E">
        <w:t xml:space="preserve"> a permis de traiter ces problèmes de manière systématique </w:t>
      </w:r>
      <w:r w:rsidR="009D786F">
        <w:t xml:space="preserve">et de </w:t>
      </w:r>
      <w:r w:rsidR="0076221E" w:rsidRPr="0076221E">
        <w:t>transform</w:t>
      </w:r>
      <w:r w:rsidR="009D786F">
        <w:t>er</w:t>
      </w:r>
      <w:r w:rsidR="0076221E" w:rsidRPr="0076221E">
        <w:t xml:space="preserve"> un héritage négatif en dynamique positive de développement.</w:t>
      </w:r>
    </w:p>
    <w:p w14:paraId="2776ECB3" w14:textId="3F0544AC" w:rsidR="0076221E" w:rsidRPr="0076221E" w:rsidRDefault="00D950CE" w:rsidP="00357CD2">
      <w:pPr>
        <w:pStyle w:val="ListParagraph"/>
        <w:numPr>
          <w:ilvl w:val="0"/>
          <w:numId w:val="11"/>
        </w:numPr>
        <w:spacing w:line="240" w:lineRule="auto"/>
        <w:ind w:left="357" w:hanging="357"/>
        <w:contextualSpacing w:val="0"/>
        <w:jc w:val="both"/>
      </w:pPr>
      <w:r w:rsidRPr="00D950CE">
        <w:t>Contribution énergétique nationale stratégique</w:t>
      </w:r>
      <w:r>
        <w:t> : L</w:t>
      </w:r>
      <w:r w:rsidR="0076221E" w:rsidRPr="0076221E">
        <w:t xml:space="preserve">e projet hydroélectrique de </w:t>
      </w:r>
      <w:proofErr w:type="spellStart"/>
      <w:r w:rsidR="0076221E" w:rsidRPr="0076221E">
        <w:t>Mpanda</w:t>
      </w:r>
      <w:proofErr w:type="spellEnd"/>
      <w:r w:rsidR="0076221E" w:rsidRPr="0076221E">
        <w:t xml:space="preserve"> aura un impact énergétique national considérable. La production attendue de 10,2 MW d'énergie verte représente 7% de la capacité installée actuelle du Burundi (153 MW), une contribution substantielle au mix énergétique national. Cette énergie propre et renouvelable s'inscrit dans la stratégie gouvernementale d'augmentation de la production électrique tout en réduisant l'empreinte carbone.</w:t>
      </w:r>
    </w:p>
    <w:p w14:paraId="37E907C3" w14:textId="1CB5876A" w:rsidR="0076221E" w:rsidRPr="0076221E" w:rsidRDefault="0040662F" w:rsidP="00357CD2">
      <w:pPr>
        <w:pStyle w:val="ListParagraph"/>
        <w:numPr>
          <w:ilvl w:val="0"/>
          <w:numId w:val="11"/>
        </w:numPr>
        <w:spacing w:line="240" w:lineRule="auto"/>
        <w:ind w:left="357" w:hanging="357"/>
        <w:contextualSpacing w:val="0"/>
        <w:jc w:val="both"/>
      </w:pPr>
      <w:r>
        <w:lastRenderedPageBreak/>
        <w:t>Impact environnemental résultant de</w:t>
      </w:r>
      <w:r w:rsidR="00B17B88">
        <w:t xml:space="preserve"> </w:t>
      </w:r>
      <w:r w:rsidR="00B17B88" w:rsidRPr="00B17B88">
        <w:t>l</w:t>
      </w:r>
      <w:r w:rsidR="0076221E" w:rsidRPr="0076221E">
        <w:t>a conception améliorée du projet</w:t>
      </w:r>
      <w:r>
        <w:t xml:space="preserve"> : </w:t>
      </w:r>
      <w:r w:rsidR="008B1F80">
        <w:t xml:space="preserve">La nouvelle conception du barrage réalisée </w:t>
      </w:r>
      <w:r w:rsidR="005E2DB6">
        <w:t xml:space="preserve">par </w:t>
      </w:r>
      <w:proofErr w:type="spellStart"/>
      <w:r w:rsidR="005E2DB6">
        <w:t>Hydroneo</w:t>
      </w:r>
      <w:proofErr w:type="spellEnd"/>
      <w:r w:rsidR="005E2DB6">
        <w:t xml:space="preserve"> permettra de </w:t>
      </w:r>
      <w:r w:rsidR="0076221E" w:rsidRPr="0076221E">
        <w:t>minimise</w:t>
      </w:r>
      <w:r w:rsidR="005E2DB6">
        <w:t>r</w:t>
      </w:r>
      <w:r w:rsidR="0076221E" w:rsidRPr="0076221E">
        <w:t xml:space="preserve"> l'impact environnemental sur le parc. Alors que l'ancien projet prévoyait une retenue/bassin versant de 100 hectares qui aurait coupé la forêt en deux parties (Nord et Sud) avec un impact très négatif sur le déplacement des populations locales (</w:t>
      </w:r>
      <w:proofErr w:type="spellStart"/>
      <w:r w:rsidR="0076221E" w:rsidRPr="0076221E">
        <w:t>Batwa</w:t>
      </w:r>
      <w:proofErr w:type="spellEnd"/>
      <w:r w:rsidR="0076221E" w:rsidRPr="0076221E">
        <w:t xml:space="preserve"> notamment) et des chimpanzés, la nouvelle conception réduit cette superficie à seulement 2 hectares</w:t>
      </w:r>
      <w:r w:rsidR="00B17B88">
        <w:t xml:space="preserve">. </w:t>
      </w:r>
    </w:p>
    <w:p w14:paraId="01DB972A" w14:textId="4CFFE6DA" w:rsidR="0076221E" w:rsidRPr="001B1644" w:rsidRDefault="008B1F80" w:rsidP="0062653C">
      <w:pPr>
        <w:pStyle w:val="ListParagraph"/>
        <w:numPr>
          <w:ilvl w:val="0"/>
          <w:numId w:val="11"/>
        </w:numPr>
        <w:spacing w:after="0" w:line="240" w:lineRule="auto"/>
        <w:ind w:left="357" w:hanging="357"/>
        <w:contextualSpacing w:val="0"/>
        <w:jc w:val="both"/>
      </w:pPr>
      <w:r w:rsidRPr="008B1F80">
        <w:t>I</w:t>
      </w:r>
      <w:r w:rsidRPr="0076221E">
        <w:t>mpacts multiples attendus</w:t>
      </w:r>
      <w:r w:rsidRPr="008B1F80">
        <w:t xml:space="preserve"> du mécanisme PSE : </w:t>
      </w:r>
      <w:r w:rsidR="001B1644" w:rsidRPr="0076221E">
        <w:t>Ce mécanisme génère</w:t>
      </w:r>
      <w:r w:rsidR="001B1644">
        <w:t>ra</w:t>
      </w:r>
      <w:r w:rsidR="001B1644" w:rsidRPr="0076221E">
        <w:t xml:space="preserve"> </w:t>
      </w:r>
      <w:r w:rsidR="001B1644">
        <w:t>plusieurs</w:t>
      </w:r>
      <w:r w:rsidR="001B1644" w:rsidRPr="0076221E">
        <w:t xml:space="preserve"> impacts qui créent une synergie remarquable entre intérêts économiques et conservation :</w:t>
      </w:r>
    </w:p>
    <w:p w14:paraId="209A52F3" w14:textId="18FE1CA5" w:rsidR="0076221E" w:rsidRPr="0076221E" w:rsidRDefault="0076221E" w:rsidP="00357CD2">
      <w:pPr>
        <w:numPr>
          <w:ilvl w:val="0"/>
          <w:numId w:val="12"/>
        </w:numPr>
        <w:spacing w:before="0" w:after="0" w:line="240" w:lineRule="auto"/>
        <w:ind w:left="714" w:hanging="357"/>
        <w:jc w:val="both"/>
      </w:pPr>
      <w:r w:rsidRPr="0076221E">
        <w:t xml:space="preserve">Conservation du Parc National de la Kibira : </w:t>
      </w:r>
      <w:r w:rsidR="001B1644">
        <w:t>L</w:t>
      </w:r>
      <w:r w:rsidRPr="0076221E">
        <w:t>es activités financées par le PSE (reboisement, aménagement de courbes de niveau, gabionnage, végétalisation) contribuent directement à la restauration et à la protection du parc.</w:t>
      </w:r>
    </w:p>
    <w:p w14:paraId="5B6CF6BD" w14:textId="24D12702" w:rsidR="0076221E" w:rsidRPr="0076221E" w:rsidRDefault="0076221E" w:rsidP="00357CD2">
      <w:pPr>
        <w:numPr>
          <w:ilvl w:val="0"/>
          <w:numId w:val="12"/>
        </w:numPr>
        <w:spacing w:before="0" w:after="0" w:line="240" w:lineRule="auto"/>
        <w:ind w:left="714" w:hanging="357"/>
        <w:jc w:val="both"/>
      </w:pPr>
      <w:r w:rsidRPr="0076221E">
        <w:t xml:space="preserve">Protection des ouvrages hydroélectriques : </w:t>
      </w:r>
      <w:r w:rsidR="001B1644">
        <w:t>C</w:t>
      </w:r>
      <w:r w:rsidRPr="0076221E">
        <w:t>es mêmes travaux de conservation protègent les infrastructures du barrage et de la centrale contre l'érosion du sol et l'envasement, assurant la pérennité technique et économique de l'investissement hydroélectrique.</w:t>
      </w:r>
    </w:p>
    <w:p w14:paraId="7E428EEB" w14:textId="4CFA8012" w:rsidR="0076221E" w:rsidRPr="0076221E" w:rsidRDefault="0076221E" w:rsidP="00357CD2">
      <w:pPr>
        <w:numPr>
          <w:ilvl w:val="0"/>
          <w:numId w:val="12"/>
        </w:numPr>
        <w:spacing w:before="0" w:after="0" w:line="240" w:lineRule="auto"/>
        <w:ind w:left="714" w:hanging="357"/>
        <w:jc w:val="both"/>
      </w:pPr>
      <w:r w:rsidRPr="0076221E">
        <w:t xml:space="preserve">Protection des populations : </w:t>
      </w:r>
      <w:r w:rsidR="001B1644">
        <w:t>L</w:t>
      </w:r>
      <w:r w:rsidRPr="0076221E">
        <w:t>es travaux de conservation protègent également les habitations et les parcelles des communautés riveraines contre les risques d'érosion et d'inondation.</w:t>
      </w:r>
    </w:p>
    <w:p w14:paraId="5A71BA8A" w14:textId="2304D0E4" w:rsidR="0076221E" w:rsidRPr="0076221E" w:rsidRDefault="0076221E" w:rsidP="00357CD2">
      <w:pPr>
        <w:numPr>
          <w:ilvl w:val="0"/>
          <w:numId w:val="12"/>
        </w:numPr>
        <w:spacing w:before="0" w:after="0" w:line="240" w:lineRule="auto"/>
        <w:ind w:left="714" w:hanging="357"/>
        <w:jc w:val="both"/>
      </w:pPr>
      <w:r w:rsidRPr="0076221E">
        <w:t xml:space="preserve">Amélioration des revenus des populations : </w:t>
      </w:r>
      <w:r w:rsidR="001B1644">
        <w:t>L</w:t>
      </w:r>
      <w:r w:rsidRPr="0076221E">
        <w:t>'emploi de main d'œuvre locale pour la réalisation des travaux de conservation génère des revenus directs pour les communautés.</w:t>
      </w:r>
    </w:p>
    <w:p w14:paraId="7489E92F" w14:textId="0EB6898F" w:rsidR="0076221E" w:rsidRPr="0076221E" w:rsidRDefault="001B1644" w:rsidP="00357CD2">
      <w:pPr>
        <w:pStyle w:val="ListParagraph"/>
        <w:numPr>
          <w:ilvl w:val="0"/>
          <w:numId w:val="11"/>
        </w:numPr>
        <w:spacing w:line="240" w:lineRule="auto"/>
        <w:ind w:left="357" w:hanging="357"/>
        <w:contextualSpacing w:val="0"/>
        <w:jc w:val="both"/>
      </w:pPr>
      <w:r>
        <w:t>L</w:t>
      </w:r>
      <w:r w:rsidR="0076221E" w:rsidRPr="0076221E">
        <w:t>evier financier exceptionnel</w:t>
      </w:r>
      <w:r>
        <w:t xml:space="preserve"> : </w:t>
      </w:r>
      <w:r w:rsidR="0076221E" w:rsidRPr="00D01A3F">
        <w:t xml:space="preserve">L'impact le plus transformateur du projet Kibira réside dans son effet catalytique : l'investissement de 1,5 million USD du PBF dans le projet hydroélectrique a facilité la mobilisation d'un investissement total de plus de 40 millions USD, soit un ratio de levier financier d'environ </w:t>
      </w:r>
      <w:proofErr w:type="gramStart"/>
      <w:r w:rsidR="0076221E" w:rsidRPr="00D01A3F">
        <w:t>1:</w:t>
      </w:r>
      <w:proofErr w:type="gramEnd"/>
      <w:r w:rsidR="0076221E" w:rsidRPr="00D01A3F">
        <w:t>27. Ce ratio démontre l'efficacité</w:t>
      </w:r>
      <w:r w:rsidR="0076221E" w:rsidRPr="0076221E">
        <w:t xml:space="preserve"> de l'approche stratégique adoptée par l'UNCDF pour maximiser l'impact des ressources limitées du PBF.</w:t>
      </w:r>
    </w:p>
    <w:p w14:paraId="0E5B7B39" w14:textId="77777777" w:rsidR="00D01A3F" w:rsidRPr="004C4E82" w:rsidRDefault="00D01A3F" w:rsidP="0076221E">
      <w:pPr>
        <w:spacing w:line="240" w:lineRule="auto"/>
        <w:jc w:val="both"/>
        <w:rPr>
          <w:b/>
          <w:bCs/>
          <w:sz w:val="10"/>
          <w:szCs w:val="10"/>
        </w:rPr>
      </w:pPr>
    </w:p>
    <w:p w14:paraId="3D260170" w14:textId="1C9A9B59" w:rsidR="0076221E" w:rsidRPr="0076221E" w:rsidRDefault="0076221E" w:rsidP="0076221E">
      <w:pPr>
        <w:spacing w:line="240" w:lineRule="auto"/>
        <w:jc w:val="both"/>
        <w:rPr>
          <w:b/>
          <w:bCs/>
          <w:color w:val="000099"/>
        </w:rPr>
      </w:pPr>
      <w:r w:rsidRPr="0076221E">
        <w:rPr>
          <w:b/>
          <w:bCs/>
          <w:color w:val="000099"/>
        </w:rPr>
        <w:t>Impacts institutionnels et promotion de l'investissement privé</w:t>
      </w:r>
    </w:p>
    <w:p w14:paraId="77FD67C7" w14:textId="19BDBF1B" w:rsidR="00C86E8E" w:rsidRPr="00C86E8E" w:rsidRDefault="00C86E8E" w:rsidP="00C86E8E">
      <w:pPr>
        <w:spacing w:line="240" w:lineRule="auto"/>
        <w:jc w:val="both"/>
      </w:pPr>
      <w:r w:rsidRPr="00C86E8E">
        <w:t xml:space="preserve">La création de la Fondation Kibira constitue une innovation institutionnelle majeure : il s'agit du premier mécanisme de cogestion participative d'une aire protégée au Burundi. Ce modèle pionnier présente un potentiel de réplication considérable pour d'autres aires protégées burundaises et de la région des Grands Lacs confrontées à des défis similaires de pression humaine et de sous-financement. </w:t>
      </w:r>
    </w:p>
    <w:p w14:paraId="4F832CA3" w14:textId="4256E973" w:rsidR="00C86E8E" w:rsidRPr="00C86E8E" w:rsidRDefault="00C86E8E" w:rsidP="00C86E8E">
      <w:pPr>
        <w:spacing w:line="240" w:lineRule="auto"/>
        <w:jc w:val="both"/>
      </w:pPr>
      <w:r w:rsidRPr="00C86E8E">
        <w:t>Au-delà de son rôle de gestionnaire du parc, la Fondation a vocation à promouvoir des investissements privés compatibles avec la conservation, notamment dans l'écotourisme (valorisation du patrimoine naturel et culturel, infrastructures d'accueil, observation des chimpanzés) et les activités agricoles et de transformation en périphérie du parc.</w:t>
      </w:r>
      <w:r w:rsidR="00F56128">
        <w:t xml:space="preserve"> </w:t>
      </w:r>
      <w:r w:rsidRPr="00C86E8E">
        <w:t xml:space="preserve">Ces investissements permettront à la Fondation de progresser vers un modèle économique durable, tout en créant des emplois et </w:t>
      </w:r>
      <w:r w:rsidR="005E57F2">
        <w:t>des</w:t>
      </w:r>
      <w:r w:rsidRPr="00C86E8E">
        <w:t xml:space="preserve"> revenus </w:t>
      </w:r>
      <w:r w:rsidR="005E57F2">
        <w:t>pour l</w:t>
      </w:r>
      <w:r w:rsidRPr="00C86E8E">
        <w:t xml:space="preserve">es communautés riveraines </w:t>
      </w:r>
      <w:r w:rsidR="00B13FE1">
        <w:t>à travers</w:t>
      </w:r>
      <w:r w:rsidRPr="00C86E8E">
        <w:t xml:space="preserve"> leur participation aux chaînes de valeur créées.</w:t>
      </w:r>
    </w:p>
    <w:p w14:paraId="3A38991B" w14:textId="0BFD105A" w:rsidR="00330774" w:rsidRPr="00C86E8E" w:rsidRDefault="00C86E8E" w:rsidP="00C86E8E">
      <w:pPr>
        <w:spacing w:line="240" w:lineRule="auto"/>
        <w:jc w:val="both"/>
      </w:pPr>
      <w:r w:rsidRPr="00C86E8E">
        <w:t xml:space="preserve">Le mécanisme REDD+, initialement prévu comme troisième pilier de financement durable, a été abandonné en 2024 après que sa complexité de mise en place s'est révélée bien plus importante qu'anticipé. Cet abandon représente une opportunité manquée de financement carbone pour la conservation et de bénéfices directs pour les communautés. Toutefois, cette lacune sera partiellement compensée par les efforts de la Fondation pour la promotion d'investissements privés, comme présenté au </w:t>
      </w:r>
      <w:r w:rsidR="00096B17">
        <w:t>paragraphe</w:t>
      </w:r>
      <w:r w:rsidRPr="00C86E8E">
        <w:t xml:space="preserve"> précédent.</w:t>
      </w:r>
    </w:p>
    <w:p w14:paraId="06FF4C17" w14:textId="77777777" w:rsidR="0000773B" w:rsidRPr="0076221E" w:rsidRDefault="0000773B" w:rsidP="0076221E">
      <w:pPr>
        <w:spacing w:line="240" w:lineRule="auto"/>
        <w:jc w:val="both"/>
      </w:pPr>
    </w:p>
    <w:p w14:paraId="2077BD9A" w14:textId="39E2A416" w:rsidR="00776702" w:rsidRPr="00FE66C2" w:rsidRDefault="00776702" w:rsidP="00776702">
      <w:pPr>
        <w:pStyle w:val="Heading2"/>
        <w:jc w:val="both"/>
        <w:rPr>
          <w:rFonts w:ascii="Open Sans" w:hAnsi="Open Sans"/>
          <w:color w:val="000099"/>
        </w:rPr>
      </w:pPr>
      <w:bookmarkStart w:id="52" w:name="_Toc216948980"/>
      <w:r w:rsidRPr="00FE66C2">
        <w:rPr>
          <w:rFonts w:ascii="Open Sans" w:hAnsi="Open Sans"/>
          <w:color w:val="000099"/>
        </w:rPr>
        <w:lastRenderedPageBreak/>
        <w:t xml:space="preserve">4.6 </w:t>
      </w:r>
      <w:r w:rsidR="00C701F5" w:rsidRPr="00FE66C2">
        <w:rPr>
          <w:rFonts w:ascii="Open Sans" w:hAnsi="Open Sans"/>
          <w:color w:val="000099"/>
        </w:rPr>
        <w:t>Durabilité</w:t>
      </w:r>
      <w:bookmarkEnd w:id="52"/>
      <w:r w:rsidR="00C701F5" w:rsidRPr="00FE66C2">
        <w:rPr>
          <w:rFonts w:ascii="Open Sans" w:hAnsi="Open Sans"/>
          <w:color w:val="000099"/>
        </w:rPr>
        <w:t xml:space="preserve"> </w:t>
      </w:r>
    </w:p>
    <w:p w14:paraId="2CB17106" w14:textId="77777777" w:rsidR="00776702" w:rsidRPr="004C4E82" w:rsidRDefault="00776702" w:rsidP="00776702">
      <w:pPr>
        <w:widowControl w:val="0"/>
        <w:spacing w:line="240" w:lineRule="auto"/>
        <w:jc w:val="both"/>
        <w:rPr>
          <w:rFonts w:cstheme="minorHAnsi"/>
          <w:bCs/>
          <w:sz w:val="10"/>
          <w:szCs w:val="10"/>
        </w:rPr>
      </w:pPr>
    </w:p>
    <w:p w14:paraId="27BF34E4" w14:textId="5C27D55F" w:rsidR="000125AC" w:rsidRPr="00904CA4" w:rsidRDefault="000125AC" w:rsidP="000125AC">
      <w:pPr>
        <w:widowControl w:val="0"/>
        <w:spacing w:line="240" w:lineRule="auto"/>
        <w:jc w:val="both"/>
        <w:rPr>
          <w:rFonts w:cstheme="minorHAnsi"/>
          <w:b/>
          <w:bCs/>
          <w:color w:val="000099"/>
          <w:szCs w:val="20"/>
        </w:rPr>
      </w:pPr>
      <w:r w:rsidRPr="00904CA4">
        <w:rPr>
          <w:rFonts w:cstheme="minorHAnsi"/>
          <w:b/>
          <w:bCs/>
          <w:color w:val="000099"/>
          <w:szCs w:val="20"/>
        </w:rPr>
        <w:t>Fondation Kibira : innovation structurante mais besoins critiques de consolidation institutionnelle et financière</w:t>
      </w:r>
    </w:p>
    <w:p w14:paraId="72CC6F60" w14:textId="06690605" w:rsidR="00542C90" w:rsidRPr="00904CA4" w:rsidRDefault="000125AC" w:rsidP="000125AC">
      <w:pPr>
        <w:widowControl w:val="0"/>
        <w:spacing w:line="240" w:lineRule="auto"/>
        <w:jc w:val="both"/>
        <w:rPr>
          <w:rFonts w:cstheme="minorHAnsi"/>
          <w:bCs/>
          <w:szCs w:val="20"/>
        </w:rPr>
      </w:pPr>
      <w:r w:rsidRPr="00904CA4">
        <w:rPr>
          <w:rFonts w:cstheme="minorHAnsi"/>
          <w:bCs/>
          <w:szCs w:val="20"/>
        </w:rPr>
        <w:t>La création de la Fondation Kibira constitue l'innovation institutionnelle majeure du projet en matière de durabilité. La Fondation a été formellement créée et un accord de cogestion a été signé avec l'OBPE.</w:t>
      </w:r>
      <w:r w:rsidR="00542C90" w:rsidRPr="00904CA4">
        <w:rPr>
          <w:rFonts w:cstheme="minorHAnsi"/>
          <w:bCs/>
          <w:szCs w:val="20"/>
        </w:rPr>
        <w:t xml:space="preserve"> </w:t>
      </w:r>
      <w:r w:rsidRPr="00904CA4">
        <w:rPr>
          <w:rFonts w:cstheme="minorHAnsi"/>
          <w:bCs/>
          <w:szCs w:val="20"/>
        </w:rPr>
        <w:t xml:space="preserve">Cependant, la Fondation fait face à des besoins critiques de renforcement de capacités. L'effectif de personnel demeure insuffisant et les capacités en management, gouvernance opérationnelle, compétences techniques, planification stratégique et mobilisation de ressources nécessitent un renforcement substantiel. La nécessité d'une pérennisation réglementaire par un texte légal formel (décret ou loi) demeure une priorité critique pour sécuriser définitivement le statut juridique et les prérogatives de cogestion. </w:t>
      </w:r>
    </w:p>
    <w:p w14:paraId="200EDD07" w14:textId="533A054C" w:rsidR="000125AC" w:rsidRPr="00904CA4" w:rsidRDefault="00542C90" w:rsidP="000125AC">
      <w:pPr>
        <w:widowControl w:val="0"/>
        <w:spacing w:line="240" w:lineRule="auto"/>
        <w:jc w:val="both"/>
        <w:rPr>
          <w:rFonts w:cstheme="minorHAnsi"/>
          <w:bCs/>
          <w:szCs w:val="20"/>
        </w:rPr>
      </w:pPr>
      <w:r w:rsidRPr="00904CA4">
        <w:rPr>
          <w:rFonts w:cstheme="minorHAnsi"/>
          <w:bCs/>
          <w:szCs w:val="20"/>
        </w:rPr>
        <w:t>Par ailleurs, l</w:t>
      </w:r>
      <w:r w:rsidR="000125AC" w:rsidRPr="00904CA4">
        <w:rPr>
          <w:rFonts w:cstheme="minorHAnsi"/>
          <w:bCs/>
          <w:szCs w:val="20"/>
        </w:rPr>
        <w:t>a construction progressive de la confiance entre la Fondation et l'OBPE représente un processus long et délicat. Le partage d'autorité après des décennies de gestion exclusive par l'OBPE nécessite un travail constant de dialogue et de négociation, où le rôle du COH comme facilitateur a été crucial et demeurera nécessaire.</w:t>
      </w:r>
    </w:p>
    <w:p w14:paraId="754222F1" w14:textId="2B86E0E6" w:rsidR="000125AC" w:rsidRPr="00904CA4" w:rsidRDefault="000125AC" w:rsidP="000125AC">
      <w:pPr>
        <w:widowControl w:val="0"/>
        <w:spacing w:line="240" w:lineRule="auto"/>
        <w:jc w:val="both"/>
        <w:rPr>
          <w:rFonts w:cstheme="minorHAnsi"/>
          <w:bCs/>
          <w:szCs w:val="20"/>
        </w:rPr>
      </w:pPr>
      <w:r w:rsidRPr="00904CA4">
        <w:rPr>
          <w:rFonts w:cstheme="minorHAnsi"/>
          <w:bCs/>
          <w:szCs w:val="20"/>
        </w:rPr>
        <w:t xml:space="preserve">Sur le plan financier, le mécanisme PSE constitue l'innovation majeure, créant un financement prévisible </w:t>
      </w:r>
      <w:r w:rsidR="009C779E" w:rsidRPr="00904CA4">
        <w:rPr>
          <w:rFonts w:cstheme="minorHAnsi"/>
          <w:bCs/>
          <w:szCs w:val="20"/>
        </w:rPr>
        <w:t>de 150 mille USD par an sur 10 ans</w:t>
      </w:r>
      <w:r w:rsidRPr="00904CA4">
        <w:rPr>
          <w:rFonts w:cstheme="minorHAnsi"/>
          <w:bCs/>
          <w:szCs w:val="20"/>
        </w:rPr>
        <w:t xml:space="preserve">. Cependant, cette dépendance à un seul partenaire privé concentre le risque : </w:t>
      </w:r>
      <w:r w:rsidR="00561FE8" w:rsidRPr="00904CA4">
        <w:rPr>
          <w:rFonts w:cstheme="minorHAnsi"/>
          <w:bCs/>
          <w:szCs w:val="20"/>
        </w:rPr>
        <w:t>D</w:t>
      </w:r>
      <w:r w:rsidRPr="00904CA4">
        <w:rPr>
          <w:rFonts w:cstheme="minorHAnsi"/>
          <w:bCs/>
          <w:szCs w:val="20"/>
        </w:rPr>
        <w:t>ifficultés financières d'</w:t>
      </w:r>
      <w:proofErr w:type="spellStart"/>
      <w:r w:rsidRPr="00904CA4">
        <w:rPr>
          <w:rFonts w:cstheme="minorHAnsi"/>
          <w:bCs/>
          <w:szCs w:val="20"/>
        </w:rPr>
        <w:t>Hydroneo</w:t>
      </w:r>
      <w:proofErr w:type="spellEnd"/>
      <w:r w:rsidRPr="00904CA4">
        <w:rPr>
          <w:rFonts w:cstheme="minorHAnsi"/>
          <w:bCs/>
          <w:szCs w:val="20"/>
        </w:rPr>
        <w:t xml:space="preserve">, litiges, changements de propriété, ou force majeure pourraient compromettre cette source. De plus, </w:t>
      </w:r>
      <w:r w:rsidR="00561FE8" w:rsidRPr="00904CA4">
        <w:rPr>
          <w:rFonts w:cstheme="minorHAnsi"/>
          <w:bCs/>
          <w:szCs w:val="20"/>
        </w:rPr>
        <w:t>ce montant annuel de 150 mille USD</w:t>
      </w:r>
      <w:r w:rsidRPr="00904CA4">
        <w:rPr>
          <w:rFonts w:cstheme="minorHAnsi"/>
          <w:bCs/>
          <w:szCs w:val="20"/>
        </w:rPr>
        <w:t xml:space="preserve"> demeure insuffisant pour couvrir l'ensemble des besoins opérationnels de la Fondation.</w:t>
      </w:r>
    </w:p>
    <w:p w14:paraId="054369BF" w14:textId="7AE336BD" w:rsidR="000125AC" w:rsidRPr="00904CA4" w:rsidRDefault="000125AC" w:rsidP="000125AC">
      <w:pPr>
        <w:widowControl w:val="0"/>
        <w:spacing w:line="240" w:lineRule="auto"/>
        <w:jc w:val="both"/>
        <w:rPr>
          <w:rFonts w:cstheme="minorHAnsi"/>
          <w:bCs/>
          <w:szCs w:val="20"/>
        </w:rPr>
      </w:pPr>
      <w:r w:rsidRPr="00904CA4">
        <w:rPr>
          <w:rFonts w:cstheme="minorHAnsi"/>
          <w:bCs/>
          <w:szCs w:val="20"/>
        </w:rPr>
        <w:t xml:space="preserve">L'appui du Nature Investment Facility (NIF) de 1,875 M$ représente une bouée de sauvetage critique pour la période 2025-2027, permettant la continuité des activités </w:t>
      </w:r>
      <w:r w:rsidR="005B7FC6" w:rsidRPr="00904CA4">
        <w:rPr>
          <w:rFonts w:cstheme="minorHAnsi"/>
          <w:bCs/>
          <w:szCs w:val="20"/>
        </w:rPr>
        <w:t xml:space="preserve">de </w:t>
      </w:r>
      <w:r w:rsidRPr="00904CA4">
        <w:rPr>
          <w:rFonts w:cstheme="minorHAnsi"/>
          <w:bCs/>
          <w:szCs w:val="20"/>
        </w:rPr>
        <w:t xml:space="preserve">conservation et </w:t>
      </w:r>
      <w:r w:rsidR="005B7FC6" w:rsidRPr="00904CA4">
        <w:rPr>
          <w:rFonts w:cstheme="minorHAnsi"/>
          <w:bCs/>
          <w:szCs w:val="20"/>
        </w:rPr>
        <w:t xml:space="preserve">de </w:t>
      </w:r>
      <w:r w:rsidRPr="00904CA4">
        <w:rPr>
          <w:rFonts w:cstheme="minorHAnsi"/>
          <w:bCs/>
          <w:szCs w:val="20"/>
        </w:rPr>
        <w:t xml:space="preserve">développement communautaire pendant la phase où la Fondation doit développer ses capacités institutionnelles et financières pour fonctionner </w:t>
      </w:r>
      <w:r w:rsidR="00976348" w:rsidRPr="00904CA4">
        <w:rPr>
          <w:rFonts w:cstheme="minorHAnsi"/>
          <w:bCs/>
          <w:szCs w:val="20"/>
        </w:rPr>
        <w:t xml:space="preserve">d’une manière </w:t>
      </w:r>
      <w:r w:rsidRPr="00904CA4">
        <w:rPr>
          <w:rFonts w:cstheme="minorHAnsi"/>
          <w:bCs/>
          <w:szCs w:val="20"/>
        </w:rPr>
        <w:t>plus autonome. Sans cet appui, la Fondation aurait probablement connu une crise majeure dès la fin du projet PBF.</w:t>
      </w:r>
    </w:p>
    <w:p w14:paraId="063C70F9" w14:textId="41AED2BE" w:rsidR="000125AC" w:rsidRPr="00904CA4" w:rsidRDefault="00861CFB" w:rsidP="000125AC">
      <w:pPr>
        <w:widowControl w:val="0"/>
        <w:spacing w:line="240" w:lineRule="auto"/>
        <w:jc w:val="both"/>
        <w:rPr>
          <w:rFonts w:cstheme="minorHAnsi"/>
          <w:bCs/>
          <w:szCs w:val="20"/>
        </w:rPr>
      </w:pPr>
      <w:r w:rsidRPr="00904CA4">
        <w:rPr>
          <w:rFonts w:cstheme="minorHAnsi"/>
          <w:bCs/>
          <w:szCs w:val="20"/>
        </w:rPr>
        <w:t>La mobilisation de ressources financières demeure un domaine critique à développer par la Fondation. Cette mobilisation pourrait se faire auprès des bailleurs bilatéraux et multilatéraux classiques, mais également auprès de fonds et de programmes spécifiques tels que les fonds GCF et GEF et les mécanismes de financement innovants (obligations vertes, fonds carbone). Cette autonomisation progressive permettra de réduire la dépendance aux financements externes ad hoc et de construire une base financière diversifiée et pérenne.</w:t>
      </w:r>
    </w:p>
    <w:p w14:paraId="57C6B6DB" w14:textId="76B02E6E" w:rsidR="000125AC" w:rsidRPr="004C4E82" w:rsidRDefault="000125AC" w:rsidP="000125AC">
      <w:pPr>
        <w:widowControl w:val="0"/>
        <w:spacing w:line="240" w:lineRule="auto"/>
        <w:jc w:val="both"/>
        <w:rPr>
          <w:rFonts w:cstheme="minorHAnsi"/>
          <w:bCs/>
          <w:sz w:val="10"/>
          <w:szCs w:val="10"/>
        </w:rPr>
      </w:pPr>
    </w:p>
    <w:p w14:paraId="7D61C473" w14:textId="73EBF144" w:rsidR="000125AC" w:rsidRPr="00904CA4" w:rsidRDefault="000125AC" w:rsidP="000125AC">
      <w:pPr>
        <w:widowControl w:val="0"/>
        <w:spacing w:line="240" w:lineRule="auto"/>
        <w:jc w:val="both"/>
        <w:rPr>
          <w:rFonts w:cstheme="minorHAnsi"/>
          <w:b/>
          <w:bCs/>
          <w:color w:val="000099"/>
          <w:szCs w:val="20"/>
        </w:rPr>
      </w:pPr>
      <w:r w:rsidRPr="00904CA4">
        <w:rPr>
          <w:rFonts w:cstheme="minorHAnsi"/>
          <w:b/>
          <w:bCs/>
          <w:color w:val="000099"/>
          <w:szCs w:val="20"/>
        </w:rPr>
        <w:t xml:space="preserve">OBPE et CPK : </w:t>
      </w:r>
      <w:r w:rsidR="006916AA" w:rsidRPr="00904CA4">
        <w:rPr>
          <w:rFonts w:cstheme="minorHAnsi"/>
          <w:b/>
          <w:bCs/>
          <w:color w:val="000099"/>
          <w:szCs w:val="20"/>
        </w:rPr>
        <w:t>C</w:t>
      </w:r>
      <w:r w:rsidRPr="00904CA4">
        <w:rPr>
          <w:rFonts w:cstheme="minorHAnsi"/>
          <w:b/>
          <w:bCs/>
          <w:color w:val="000099"/>
          <w:szCs w:val="20"/>
        </w:rPr>
        <w:t>apacités renforcées mais fragilités persistantes</w:t>
      </w:r>
    </w:p>
    <w:p w14:paraId="2ABA6843" w14:textId="7BDECDCE" w:rsidR="000125AC" w:rsidRPr="00904CA4" w:rsidRDefault="000125AC" w:rsidP="000125AC">
      <w:pPr>
        <w:widowControl w:val="0"/>
        <w:spacing w:line="240" w:lineRule="auto"/>
        <w:jc w:val="both"/>
        <w:rPr>
          <w:rFonts w:cstheme="minorHAnsi"/>
          <w:bCs/>
          <w:szCs w:val="20"/>
        </w:rPr>
      </w:pPr>
      <w:r w:rsidRPr="00904CA4">
        <w:rPr>
          <w:rFonts w:cstheme="minorHAnsi"/>
          <w:bCs/>
          <w:szCs w:val="20"/>
        </w:rPr>
        <w:t xml:space="preserve">La réhabilitation du quartier général de </w:t>
      </w:r>
      <w:proofErr w:type="spellStart"/>
      <w:r w:rsidRPr="00904CA4">
        <w:rPr>
          <w:rFonts w:cstheme="minorHAnsi"/>
          <w:bCs/>
          <w:szCs w:val="20"/>
        </w:rPr>
        <w:t>Mwokora</w:t>
      </w:r>
      <w:proofErr w:type="spellEnd"/>
      <w:r w:rsidRPr="00904CA4">
        <w:rPr>
          <w:rFonts w:cstheme="minorHAnsi"/>
          <w:bCs/>
          <w:szCs w:val="20"/>
        </w:rPr>
        <w:t xml:space="preserve"> symbolise la réinstauration de l'autorité de l'État et offre une infrastructure opérationnelle fonctionnelle (bâtiments, pistes, eau, électricité). Le renforcement des écogardes (formations, équipements) a amélioré leur professionnalisme, mais des lacunes persistent : les compétences </w:t>
      </w:r>
      <w:r w:rsidR="00B94F5C" w:rsidRPr="00904CA4">
        <w:rPr>
          <w:rFonts w:cstheme="minorHAnsi"/>
          <w:bCs/>
          <w:szCs w:val="20"/>
        </w:rPr>
        <w:t xml:space="preserve">des écogardes </w:t>
      </w:r>
      <w:r w:rsidRPr="00904CA4">
        <w:rPr>
          <w:rFonts w:cstheme="minorHAnsi"/>
          <w:bCs/>
          <w:szCs w:val="20"/>
        </w:rPr>
        <w:t xml:space="preserve">en dialogue communautaire, sensibilisation et médiation demeurent insuffisantes. L'approche largement répressive doit progressivement évoluer vers une approche équilibrée combinant application de la loi et engagement communautaire, </w:t>
      </w:r>
      <w:r w:rsidR="005B3473" w:rsidRPr="00904CA4">
        <w:rPr>
          <w:rFonts w:cstheme="minorHAnsi"/>
          <w:bCs/>
          <w:szCs w:val="20"/>
        </w:rPr>
        <w:t xml:space="preserve">mais cette </w:t>
      </w:r>
      <w:r w:rsidRPr="00904CA4">
        <w:rPr>
          <w:rFonts w:cstheme="minorHAnsi"/>
          <w:bCs/>
          <w:szCs w:val="20"/>
        </w:rPr>
        <w:t>transformation nécessit</w:t>
      </w:r>
      <w:r w:rsidR="005B3473" w:rsidRPr="00904CA4">
        <w:rPr>
          <w:rFonts w:cstheme="minorHAnsi"/>
          <w:bCs/>
          <w:szCs w:val="20"/>
        </w:rPr>
        <w:t>erait</w:t>
      </w:r>
      <w:r w:rsidRPr="00904CA4">
        <w:rPr>
          <w:rFonts w:cstheme="minorHAnsi"/>
          <w:bCs/>
          <w:szCs w:val="20"/>
        </w:rPr>
        <w:t xml:space="preserve"> un accompagnement de longue haleine. Les ressources limitées de l'OBPE, avec une dépendance forte aux financements externes</w:t>
      </w:r>
      <w:r w:rsidR="006B0204" w:rsidRPr="00904CA4">
        <w:rPr>
          <w:rFonts w:cstheme="minorHAnsi"/>
          <w:bCs/>
          <w:szCs w:val="20"/>
        </w:rPr>
        <w:t xml:space="preserve"> pour la conduite d’actions de développement</w:t>
      </w:r>
      <w:r w:rsidRPr="00904CA4">
        <w:rPr>
          <w:rFonts w:cstheme="minorHAnsi"/>
          <w:bCs/>
          <w:szCs w:val="20"/>
        </w:rPr>
        <w:t xml:space="preserve"> constituent une contrainte structurelle majeure : si ces financements se tarissent, l'OBPE risque de ne pouvoir maintenir le niveau d'activités atteint.</w:t>
      </w:r>
    </w:p>
    <w:p w14:paraId="1BD32D36" w14:textId="06189F93" w:rsidR="000125AC" w:rsidRDefault="002545E8" w:rsidP="000125AC">
      <w:pPr>
        <w:widowControl w:val="0"/>
        <w:spacing w:line="240" w:lineRule="auto"/>
        <w:jc w:val="both"/>
        <w:rPr>
          <w:rFonts w:cstheme="minorHAnsi"/>
          <w:bCs/>
          <w:sz w:val="10"/>
          <w:szCs w:val="10"/>
        </w:rPr>
      </w:pPr>
      <w:r w:rsidRPr="00904CA4">
        <w:rPr>
          <w:rFonts w:cstheme="minorHAnsi"/>
          <w:bCs/>
          <w:szCs w:val="20"/>
        </w:rPr>
        <w:t>Sur un autre plan, l</w:t>
      </w:r>
      <w:r w:rsidR="000125AC" w:rsidRPr="00904CA4">
        <w:rPr>
          <w:rFonts w:cstheme="minorHAnsi"/>
          <w:bCs/>
          <w:szCs w:val="20"/>
        </w:rPr>
        <w:t xml:space="preserve">es CPK présentent une fonctionnalité limitée compromettant leur contribution. Plusieurs comités sont insuffisamment opérationnels ou inactifs, particulièrement dans les zones </w:t>
      </w:r>
      <w:r w:rsidR="000125AC" w:rsidRPr="00904CA4">
        <w:rPr>
          <w:rFonts w:cstheme="minorHAnsi"/>
          <w:bCs/>
          <w:szCs w:val="20"/>
        </w:rPr>
        <w:lastRenderedPageBreak/>
        <w:t xml:space="preserve">où les interventions du projet ont été moins intensives. Le rôle assigné est resté limité à la "délation" (signalement d'infractions), ne mobilisant pas pleinement leur potentiel comme espaces de médiation, de sensibilisation, ou de résolution constructive des conflits. L'absence de mécanismes de motivation (le modèle repose entièrement sur le bénévolat sans compensation) constitue un obstacle à l'engagement durable. </w:t>
      </w:r>
    </w:p>
    <w:p w14:paraId="1CF09719" w14:textId="77777777" w:rsidR="001F650C" w:rsidRPr="004C4E82" w:rsidRDefault="001F650C" w:rsidP="000125AC">
      <w:pPr>
        <w:widowControl w:val="0"/>
        <w:spacing w:line="240" w:lineRule="auto"/>
        <w:jc w:val="both"/>
        <w:rPr>
          <w:rFonts w:cstheme="minorHAnsi"/>
          <w:bCs/>
          <w:sz w:val="10"/>
          <w:szCs w:val="10"/>
        </w:rPr>
      </w:pPr>
    </w:p>
    <w:p w14:paraId="0F7A3E9F" w14:textId="3DCC7CC5" w:rsidR="000125AC" w:rsidRPr="00904CA4" w:rsidRDefault="000125AC" w:rsidP="000125AC">
      <w:pPr>
        <w:widowControl w:val="0"/>
        <w:spacing w:line="240" w:lineRule="auto"/>
        <w:jc w:val="both"/>
        <w:rPr>
          <w:rFonts w:cstheme="minorHAnsi"/>
          <w:b/>
          <w:bCs/>
          <w:color w:val="000099"/>
          <w:szCs w:val="20"/>
        </w:rPr>
      </w:pPr>
      <w:r w:rsidRPr="00904CA4">
        <w:rPr>
          <w:rFonts w:cstheme="minorHAnsi"/>
          <w:b/>
          <w:bCs/>
          <w:color w:val="000099"/>
          <w:szCs w:val="20"/>
        </w:rPr>
        <w:t>Durabilité des moyens de subsistance : succès partiels mais viabilité économique incertaine</w:t>
      </w:r>
    </w:p>
    <w:p w14:paraId="5FC1109C" w14:textId="77777777" w:rsidR="000125AC" w:rsidRPr="00904CA4" w:rsidRDefault="000125AC" w:rsidP="000125AC">
      <w:pPr>
        <w:widowControl w:val="0"/>
        <w:spacing w:line="240" w:lineRule="auto"/>
        <w:jc w:val="both"/>
        <w:rPr>
          <w:rFonts w:cstheme="minorHAnsi"/>
          <w:bCs/>
          <w:szCs w:val="20"/>
        </w:rPr>
      </w:pPr>
      <w:r w:rsidRPr="00904CA4">
        <w:rPr>
          <w:rFonts w:cstheme="minorHAnsi"/>
          <w:bCs/>
          <w:szCs w:val="20"/>
        </w:rPr>
        <w:t xml:space="preserve">La viabilité économique des AGR présente des résultats contrastés. Le groupement de </w:t>
      </w:r>
      <w:proofErr w:type="spellStart"/>
      <w:r w:rsidRPr="00904CA4">
        <w:rPr>
          <w:rFonts w:cstheme="minorHAnsi"/>
          <w:bCs/>
          <w:szCs w:val="20"/>
        </w:rPr>
        <w:t>Muciro</w:t>
      </w:r>
      <w:proofErr w:type="spellEnd"/>
      <w:r w:rsidRPr="00904CA4">
        <w:rPr>
          <w:rFonts w:cstheme="minorHAnsi"/>
          <w:bCs/>
          <w:szCs w:val="20"/>
        </w:rPr>
        <w:t xml:space="preserve"> illustre un succès remarquable : champignonnière productive, portefeuille d'élevage diversifié (3 vaches, 52 porcs, 19 chèvres, 25 moutons), parcelle de pommes de terre. Cette diversification réduit la vulnérabilité économique et crée des synergies entre activités. Le système d'épargne-crédit fonctionne efficacement, témoignant d'une appropriation durable de la gestion financière collective. Les membres développent progressivement un capital productif générant des flux de revenus continus, créant une dynamique endogène ne dépendant plus de l'appui externe.</w:t>
      </w:r>
    </w:p>
    <w:p w14:paraId="0CA70904" w14:textId="08A148E4" w:rsidR="000125AC" w:rsidRPr="00904CA4" w:rsidRDefault="000125AC" w:rsidP="000125AC">
      <w:pPr>
        <w:widowControl w:val="0"/>
        <w:spacing w:line="240" w:lineRule="auto"/>
        <w:jc w:val="both"/>
        <w:rPr>
          <w:rFonts w:cstheme="minorHAnsi"/>
          <w:bCs/>
          <w:szCs w:val="20"/>
        </w:rPr>
      </w:pPr>
      <w:r w:rsidRPr="00904CA4">
        <w:rPr>
          <w:rFonts w:cstheme="minorHAnsi"/>
          <w:bCs/>
          <w:szCs w:val="20"/>
        </w:rPr>
        <w:t xml:space="preserve">Cependant, la viabilité de plusieurs AGR demeure incertaine. </w:t>
      </w:r>
      <w:r w:rsidR="00A5273D" w:rsidRPr="00904CA4">
        <w:rPr>
          <w:rFonts w:cstheme="minorHAnsi"/>
          <w:bCs/>
          <w:szCs w:val="20"/>
        </w:rPr>
        <w:t>A titre d’exemple, l</w:t>
      </w:r>
      <w:r w:rsidRPr="00904CA4">
        <w:rPr>
          <w:rFonts w:cstheme="minorHAnsi"/>
          <w:bCs/>
          <w:szCs w:val="20"/>
        </w:rPr>
        <w:t xml:space="preserve">a culture de champignons </w:t>
      </w:r>
      <w:r w:rsidR="00A5273D" w:rsidRPr="00904CA4">
        <w:rPr>
          <w:rFonts w:cstheme="minorHAnsi"/>
          <w:bCs/>
          <w:szCs w:val="20"/>
        </w:rPr>
        <w:t xml:space="preserve">dans la colline de </w:t>
      </w:r>
      <w:proofErr w:type="spellStart"/>
      <w:r w:rsidR="00A5273D" w:rsidRPr="00904CA4">
        <w:rPr>
          <w:rFonts w:cstheme="minorHAnsi"/>
          <w:bCs/>
          <w:szCs w:val="20"/>
        </w:rPr>
        <w:t>Mpfunda</w:t>
      </w:r>
      <w:proofErr w:type="spellEnd"/>
      <w:r w:rsidR="00A5273D" w:rsidRPr="00904CA4">
        <w:rPr>
          <w:rFonts w:cstheme="minorHAnsi"/>
          <w:bCs/>
          <w:szCs w:val="20"/>
        </w:rPr>
        <w:t xml:space="preserve"> </w:t>
      </w:r>
      <w:r w:rsidRPr="00904CA4">
        <w:rPr>
          <w:rFonts w:cstheme="minorHAnsi"/>
          <w:bCs/>
          <w:szCs w:val="20"/>
        </w:rPr>
        <w:t xml:space="preserve">fait face à des défis </w:t>
      </w:r>
      <w:r w:rsidR="00A5273D" w:rsidRPr="00904CA4">
        <w:rPr>
          <w:rFonts w:cstheme="minorHAnsi"/>
          <w:bCs/>
          <w:szCs w:val="20"/>
        </w:rPr>
        <w:t>importants : F</w:t>
      </w:r>
      <w:r w:rsidRPr="00904CA4">
        <w:rPr>
          <w:rFonts w:cstheme="minorHAnsi"/>
          <w:bCs/>
          <w:szCs w:val="20"/>
        </w:rPr>
        <w:t>aible maîtrise des techniques</w:t>
      </w:r>
      <w:r w:rsidR="00A5273D" w:rsidRPr="00904CA4">
        <w:rPr>
          <w:rFonts w:cstheme="minorHAnsi"/>
          <w:bCs/>
          <w:szCs w:val="20"/>
        </w:rPr>
        <w:t xml:space="preserve"> de production</w:t>
      </w:r>
      <w:r w:rsidRPr="00904CA4">
        <w:rPr>
          <w:rFonts w:cstheme="minorHAnsi"/>
          <w:bCs/>
          <w:szCs w:val="20"/>
        </w:rPr>
        <w:t xml:space="preserve"> (préparation substrat, gestion humidité/</w:t>
      </w:r>
      <w:r w:rsidR="00A5273D" w:rsidRPr="00904CA4">
        <w:rPr>
          <w:rFonts w:cstheme="minorHAnsi"/>
          <w:bCs/>
          <w:szCs w:val="20"/>
        </w:rPr>
        <w:t xml:space="preserve"> </w:t>
      </w:r>
      <w:r w:rsidRPr="00904CA4">
        <w:rPr>
          <w:rFonts w:cstheme="minorHAnsi"/>
          <w:bCs/>
          <w:szCs w:val="20"/>
        </w:rPr>
        <w:t>température, conservation)</w:t>
      </w:r>
      <w:r w:rsidR="00A5273D" w:rsidRPr="00904CA4">
        <w:rPr>
          <w:rFonts w:cstheme="minorHAnsi"/>
          <w:bCs/>
          <w:szCs w:val="20"/>
        </w:rPr>
        <w:t>, des sources</w:t>
      </w:r>
      <w:r w:rsidRPr="00904CA4">
        <w:rPr>
          <w:rFonts w:cstheme="minorHAnsi"/>
          <w:bCs/>
          <w:szCs w:val="20"/>
        </w:rPr>
        <w:t xml:space="preserve"> </w:t>
      </w:r>
      <w:r w:rsidR="00A5273D" w:rsidRPr="00904CA4">
        <w:rPr>
          <w:rFonts w:cstheme="minorHAnsi"/>
          <w:bCs/>
          <w:szCs w:val="20"/>
        </w:rPr>
        <w:t>d’</w:t>
      </w:r>
      <w:r w:rsidRPr="00904CA4">
        <w:rPr>
          <w:rFonts w:cstheme="minorHAnsi"/>
          <w:bCs/>
          <w:szCs w:val="20"/>
        </w:rPr>
        <w:t>approvisionnement en intrants (semences</w:t>
      </w:r>
      <w:r w:rsidR="00A5273D" w:rsidRPr="00904CA4">
        <w:rPr>
          <w:rFonts w:cstheme="minorHAnsi"/>
          <w:bCs/>
          <w:szCs w:val="20"/>
        </w:rPr>
        <w:t xml:space="preserve"> et</w:t>
      </w:r>
      <w:r w:rsidRPr="00904CA4">
        <w:rPr>
          <w:rFonts w:cstheme="minorHAnsi"/>
          <w:bCs/>
          <w:szCs w:val="20"/>
        </w:rPr>
        <w:t xml:space="preserve"> substrats)</w:t>
      </w:r>
      <w:r w:rsidR="00A5273D" w:rsidRPr="00904CA4">
        <w:rPr>
          <w:rFonts w:cstheme="minorHAnsi"/>
          <w:bCs/>
          <w:szCs w:val="20"/>
        </w:rPr>
        <w:t xml:space="preserve"> et des circuits de commercialisation</w:t>
      </w:r>
      <w:r w:rsidRPr="00904CA4">
        <w:rPr>
          <w:rFonts w:cstheme="minorHAnsi"/>
          <w:bCs/>
          <w:szCs w:val="20"/>
        </w:rPr>
        <w:t xml:space="preserve">. L'accès limité au crédit pour la mise à échelle et le besoin d'accompagnement technique continu demeurent critiques. La champignonnière de </w:t>
      </w:r>
      <w:proofErr w:type="spellStart"/>
      <w:r w:rsidRPr="00904CA4">
        <w:rPr>
          <w:rFonts w:cstheme="minorHAnsi"/>
          <w:bCs/>
          <w:szCs w:val="20"/>
        </w:rPr>
        <w:t>Caguka</w:t>
      </w:r>
      <w:proofErr w:type="spellEnd"/>
      <w:r w:rsidRPr="00904CA4">
        <w:rPr>
          <w:rFonts w:cstheme="minorHAnsi"/>
          <w:bCs/>
          <w:szCs w:val="20"/>
        </w:rPr>
        <w:t>, détruite et jamais reconstruite, illustre la fragilité de certains investissements et révèle une faiblesse dans le suivi post-intervention.</w:t>
      </w:r>
    </w:p>
    <w:p w14:paraId="7F1197D8" w14:textId="15DC4B15" w:rsidR="000125AC" w:rsidRPr="00904CA4" w:rsidRDefault="00D27837" w:rsidP="000125AC">
      <w:pPr>
        <w:widowControl w:val="0"/>
        <w:spacing w:line="240" w:lineRule="auto"/>
        <w:jc w:val="both"/>
        <w:rPr>
          <w:rFonts w:cstheme="minorHAnsi"/>
          <w:bCs/>
          <w:szCs w:val="20"/>
        </w:rPr>
      </w:pPr>
      <w:r w:rsidRPr="00904CA4">
        <w:rPr>
          <w:rFonts w:cstheme="minorHAnsi"/>
          <w:bCs/>
          <w:szCs w:val="20"/>
        </w:rPr>
        <w:t>Par ailleurs, l</w:t>
      </w:r>
      <w:r w:rsidR="000125AC" w:rsidRPr="00904CA4">
        <w:rPr>
          <w:rFonts w:cstheme="minorHAnsi"/>
          <w:bCs/>
          <w:szCs w:val="20"/>
        </w:rPr>
        <w:t xml:space="preserve">es changements comportementaux économiques chez les </w:t>
      </w:r>
      <w:proofErr w:type="spellStart"/>
      <w:r w:rsidR="000125AC" w:rsidRPr="00904CA4">
        <w:rPr>
          <w:rFonts w:cstheme="minorHAnsi"/>
          <w:bCs/>
          <w:szCs w:val="20"/>
        </w:rPr>
        <w:t>Batwa</w:t>
      </w:r>
      <w:proofErr w:type="spellEnd"/>
      <w:r w:rsidR="000125AC" w:rsidRPr="00904CA4">
        <w:rPr>
          <w:rFonts w:cstheme="minorHAnsi"/>
          <w:bCs/>
          <w:szCs w:val="20"/>
        </w:rPr>
        <w:t xml:space="preserve"> de </w:t>
      </w:r>
      <w:proofErr w:type="spellStart"/>
      <w:r w:rsidR="000125AC" w:rsidRPr="00904CA4">
        <w:rPr>
          <w:rFonts w:cstheme="minorHAnsi"/>
          <w:bCs/>
          <w:szCs w:val="20"/>
        </w:rPr>
        <w:t>Muciro</w:t>
      </w:r>
      <w:proofErr w:type="spellEnd"/>
      <w:r w:rsidR="000125AC" w:rsidRPr="00904CA4">
        <w:rPr>
          <w:rFonts w:cstheme="minorHAnsi"/>
          <w:bCs/>
          <w:szCs w:val="20"/>
        </w:rPr>
        <w:t xml:space="preserve"> constituent un acquis majeur : ancrage de la culture du travail agricole, adoption durable du système épargne-crédit, investissement autonome (achat terrain 1 ha), diversification des activités (agriculture, élevage, poterie). Cette transformation socio-économique pour une communauté historiquement marginalisée témoigne d'une appropriation profonde créant une résilience économique durable.</w:t>
      </w:r>
    </w:p>
    <w:p w14:paraId="60FB3EEA" w14:textId="0913B61E" w:rsidR="000125AC" w:rsidRPr="004C4E82" w:rsidRDefault="00775FC7" w:rsidP="000125AC">
      <w:pPr>
        <w:widowControl w:val="0"/>
        <w:spacing w:line="240" w:lineRule="auto"/>
        <w:jc w:val="both"/>
        <w:rPr>
          <w:rFonts w:cstheme="minorHAnsi"/>
          <w:bCs/>
          <w:sz w:val="10"/>
          <w:szCs w:val="10"/>
        </w:rPr>
      </w:pPr>
      <w:r w:rsidRPr="004C4E82">
        <w:rPr>
          <w:rFonts w:cstheme="minorHAnsi"/>
          <w:bCs/>
          <w:sz w:val="10"/>
          <w:szCs w:val="10"/>
        </w:rPr>
        <w:t xml:space="preserve"> </w:t>
      </w:r>
    </w:p>
    <w:p w14:paraId="21A9842E" w14:textId="45877CD2" w:rsidR="000125AC" w:rsidRPr="00904CA4" w:rsidRDefault="000125AC" w:rsidP="000125AC">
      <w:pPr>
        <w:widowControl w:val="0"/>
        <w:spacing w:line="240" w:lineRule="auto"/>
        <w:jc w:val="both"/>
        <w:rPr>
          <w:rFonts w:cstheme="minorHAnsi"/>
          <w:b/>
          <w:bCs/>
          <w:color w:val="000099"/>
          <w:szCs w:val="20"/>
        </w:rPr>
      </w:pPr>
      <w:r w:rsidRPr="00904CA4">
        <w:rPr>
          <w:rFonts w:cstheme="minorHAnsi"/>
          <w:b/>
          <w:bCs/>
          <w:color w:val="000099"/>
          <w:szCs w:val="20"/>
        </w:rPr>
        <w:t>Durabilité des changements comportementaux et culturels : transformation profonde mais localisée</w:t>
      </w:r>
    </w:p>
    <w:p w14:paraId="7F40A522" w14:textId="77777777" w:rsidR="000125AC" w:rsidRPr="00904CA4" w:rsidRDefault="000125AC" w:rsidP="000125AC">
      <w:pPr>
        <w:widowControl w:val="0"/>
        <w:spacing w:line="240" w:lineRule="auto"/>
        <w:jc w:val="both"/>
        <w:rPr>
          <w:rFonts w:cstheme="minorHAnsi"/>
          <w:bCs/>
          <w:szCs w:val="20"/>
        </w:rPr>
      </w:pPr>
      <w:r w:rsidRPr="00904CA4">
        <w:rPr>
          <w:rFonts w:cstheme="minorHAnsi"/>
          <w:bCs/>
          <w:szCs w:val="20"/>
        </w:rPr>
        <w:t xml:space="preserve">Les changements observés à </w:t>
      </w:r>
      <w:proofErr w:type="spellStart"/>
      <w:r w:rsidRPr="00904CA4">
        <w:rPr>
          <w:rFonts w:cstheme="minorHAnsi"/>
          <w:bCs/>
          <w:szCs w:val="20"/>
        </w:rPr>
        <w:t>Muciro</w:t>
      </w:r>
      <w:proofErr w:type="spellEnd"/>
      <w:r w:rsidRPr="00904CA4">
        <w:rPr>
          <w:rFonts w:cstheme="minorHAnsi"/>
          <w:bCs/>
          <w:szCs w:val="20"/>
        </w:rPr>
        <w:t xml:space="preserve"> représentent une transformation culturelle profonde. L'appropriation culturelle de la protection du parc, manifestée par un sentiment de redevabilité ("le parc nous a donné des bénéfices, nous devons le protéger"), transcende une relation transactionnelle pour créer une éthique de conservation ancrée dans l'identité communautaire. Les relations apaisées </w:t>
      </w:r>
      <w:proofErr w:type="spellStart"/>
      <w:r w:rsidRPr="00904CA4">
        <w:rPr>
          <w:rFonts w:cstheme="minorHAnsi"/>
          <w:bCs/>
          <w:szCs w:val="20"/>
        </w:rPr>
        <w:t>Batwa</w:t>
      </w:r>
      <w:proofErr w:type="spellEnd"/>
      <w:r w:rsidRPr="00904CA4">
        <w:rPr>
          <w:rFonts w:cstheme="minorHAnsi"/>
          <w:bCs/>
          <w:szCs w:val="20"/>
        </w:rPr>
        <w:t>/autres communautés et la collaboration institutionnalisée communautés-écogardes ont transformé une relation historiquement conflictuelle en partenariat.</w:t>
      </w:r>
    </w:p>
    <w:p w14:paraId="6E0C140B" w14:textId="22DE91E7" w:rsidR="000125AC" w:rsidRPr="00904CA4" w:rsidRDefault="000125AC" w:rsidP="000125AC">
      <w:pPr>
        <w:widowControl w:val="0"/>
        <w:spacing w:line="240" w:lineRule="auto"/>
        <w:jc w:val="both"/>
        <w:rPr>
          <w:rFonts w:cstheme="minorHAnsi"/>
          <w:bCs/>
          <w:szCs w:val="20"/>
        </w:rPr>
      </w:pPr>
      <w:r w:rsidRPr="00904CA4">
        <w:rPr>
          <w:rFonts w:cstheme="minorHAnsi"/>
          <w:bCs/>
          <w:szCs w:val="20"/>
        </w:rPr>
        <w:t>Les facteurs de succès expliquant cette transformation sont : l'intensité des interventions, le leadership communautaire fort, et la cohésion sociale préexistante facilitant l'organisation collective et la confiance mutuelle.</w:t>
      </w:r>
    </w:p>
    <w:p w14:paraId="6069CC3A" w14:textId="0AE196A1" w:rsidR="000125AC" w:rsidRPr="00904CA4" w:rsidRDefault="000125AC" w:rsidP="000125AC">
      <w:pPr>
        <w:widowControl w:val="0"/>
        <w:spacing w:line="240" w:lineRule="auto"/>
        <w:jc w:val="both"/>
        <w:rPr>
          <w:rFonts w:cstheme="minorHAnsi"/>
          <w:bCs/>
          <w:szCs w:val="20"/>
        </w:rPr>
      </w:pPr>
      <w:r w:rsidRPr="00904CA4">
        <w:rPr>
          <w:rFonts w:cstheme="minorHAnsi"/>
          <w:bCs/>
          <w:szCs w:val="20"/>
        </w:rPr>
        <w:t xml:space="preserve">Cependant, les limites de généralisation constituent la faiblesse la plus critique. La persistance des comportements d'exploitation illégale dans les zones faiblement couvertes démontre que les changements ne se diffusent pas automatiquement. Le cas de </w:t>
      </w:r>
      <w:proofErr w:type="spellStart"/>
      <w:r w:rsidRPr="00904CA4">
        <w:rPr>
          <w:rFonts w:cstheme="minorHAnsi"/>
          <w:bCs/>
          <w:szCs w:val="20"/>
        </w:rPr>
        <w:t>Muyebe</w:t>
      </w:r>
      <w:proofErr w:type="spellEnd"/>
      <w:r w:rsidRPr="00904CA4">
        <w:rPr>
          <w:rFonts w:cstheme="minorHAnsi"/>
          <w:bCs/>
          <w:szCs w:val="20"/>
        </w:rPr>
        <w:t xml:space="preserve"> est révélateur : malgré les emplois </w:t>
      </w:r>
      <w:proofErr w:type="spellStart"/>
      <w:r w:rsidRPr="00904CA4">
        <w:rPr>
          <w:rFonts w:cstheme="minorHAnsi"/>
          <w:bCs/>
          <w:szCs w:val="20"/>
        </w:rPr>
        <w:t>Hydroneo</w:t>
      </w:r>
      <w:proofErr w:type="spellEnd"/>
      <w:r w:rsidRPr="00904CA4">
        <w:rPr>
          <w:rFonts w:cstheme="minorHAnsi"/>
          <w:bCs/>
          <w:szCs w:val="20"/>
        </w:rPr>
        <w:t xml:space="preserve">, l'exploitation du parc continue car aucun CPK n'a été établi et aucune sensibilisation </w:t>
      </w:r>
      <w:r w:rsidR="00220A6A" w:rsidRPr="00904CA4">
        <w:rPr>
          <w:rFonts w:cstheme="minorHAnsi"/>
          <w:bCs/>
          <w:szCs w:val="20"/>
        </w:rPr>
        <w:t xml:space="preserve">n’a été </w:t>
      </w:r>
      <w:r w:rsidRPr="00904CA4">
        <w:rPr>
          <w:rFonts w:cstheme="minorHAnsi"/>
          <w:bCs/>
          <w:szCs w:val="20"/>
        </w:rPr>
        <w:t>menée. Ce constat confirme que l'amélioration économique, bien que nécessaire, n'est pas suffisante : elle doit être accompagnée d'un travail éducatif et culturel.</w:t>
      </w:r>
    </w:p>
    <w:p w14:paraId="55CCAC01" w14:textId="52983A06" w:rsidR="000125AC" w:rsidRPr="00904CA4" w:rsidRDefault="00220A6A" w:rsidP="000125AC">
      <w:pPr>
        <w:widowControl w:val="0"/>
        <w:spacing w:line="240" w:lineRule="auto"/>
        <w:jc w:val="both"/>
        <w:rPr>
          <w:rFonts w:cstheme="minorHAnsi"/>
          <w:bCs/>
          <w:szCs w:val="20"/>
        </w:rPr>
      </w:pPr>
      <w:r w:rsidRPr="00904CA4">
        <w:rPr>
          <w:rFonts w:cstheme="minorHAnsi"/>
          <w:bCs/>
          <w:szCs w:val="20"/>
        </w:rPr>
        <w:t>Par ailleurs, l</w:t>
      </w:r>
      <w:r w:rsidR="000125AC" w:rsidRPr="00904CA4">
        <w:rPr>
          <w:rFonts w:cstheme="minorHAnsi"/>
          <w:bCs/>
          <w:szCs w:val="20"/>
        </w:rPr>
        <w:t xml:space="preserve">e besoin continu en terres agricoles constitue un risque structurel majeur. La pression </w:t>
      </w:r>
      <w:r w:rsidR="000125AC" w:rsidRPr="00904CA4">
        <w:rPr>
          <w:rFonts w:cstheme="minorHAnsi"/>
          <w:bCs/>
          <w:szCs w:val="20"/>
        </w:rPr>
        <w:lastRenderedPageBreak/>
        <w:t xml:space="preserve">démographique croissante crée une demande croissante pour des terres cultivables. Le projet a permis à </w:t>
      </w:r>
      <w:proofErr w:type="spellStart"/>
      <w:r w:rsidR="000125AC" w:rsidRPr="00904CA4">
        <w:rPr>
          <w:rFonts w:cstheme="minorHAnsi"/>
          <w:bCs/>
          <w:szCs w:val="20"/>
        </w:rPr>
        <w:t>Muciro</w:t>
      </w:r>
      <w:proofErr w:type="spellEnd"/>
      <w:r w:rsidR="000125AC" w:rsidRPr="00904CA4">
        <w:rPr>
          <w:rFonts w:cstheme="minorHAnsi"/>
          <w:bCs/>
          <w:szCs w:val="20"/>
        </w:rPr>
        <w:t xml:space="preserve"> d'acquérir </w:t>
      </w:r>
      <w:r w:rsidR="00815DCA" w:rsidRPr="00904CA4">
        <w:rPr>
          <w:rFonts w:cstheme="minorHAnsi"/>
          <w:bCs/>
          <w:szCs w:val="20"/>
        </w:rPr>
        <w:t>une parcelle agricole</w:t>
      </w:r>
      <w:r w:rsidR="000125AC" w:rsidRPr="00904CA4">
        <w:rPr>
          <w:rFonts w:cstheme="minorHAnsi"/>
          <w:bCs/>
          <w:szCs w:val="20"/>
        </w:rPr>
        <w:t>, mais cette intervention demeure limitée. Pour les centaines d'autres ménages confrontés à l'insuffisance de terres, la tentation d'empiéter sur le parc demeure forte. Sans stratégie plus ambitieuse d'accès à la terre, le risque d'une pression accrue à moyen terme demeure élevé.</w:t>
      </w:r>
    </w:p>
    <w:p w14:paraId="467C55E3" w14:textId="5E35DE81" w:rsidR="00FC2EA5" w:rsidRDefault="008C05F4" w:rsidP="00AD1690">
      <w:pPr>
        <w:widowControl w:val="0"/>
        <w:spacing w:line="240" w:lineRule="auto"/>
        <w:jc w:val="both"/>
        <w:rPr>
          <w:rFonts w:cstheme="minorHAnsi"/>
          <w:bCs/>
          <w:szCs w:val="20"/>
        </w:rPr>
      </w:pPr>
      <w:r w:rsidRPr="00904CA4">
        <w:rPr>
          <w:rFonts w:cstheme="minorHAnsi"/>
          <w:bCs/>
          <w:szCs w:val="20"/>
        </w:rPr>
        <w:t>Ainsi, la portée géographique limitée crée un déséquilibre territorial évident, signifiant que la pression sur le parc persiste dans de larges sections de sa périphérie.</w:t>
      </w:r>
    </w:p>
    <w:p w14:paraId="38C0ECF9" w14:textId="0285934B" w:rsidR="004B0E4B" w:rsidRDefault="004B0E4B">
      <w:pPr>
        <w:spacing w:before="0" w:after="160"/>
        <w:rPr>
          <w:rFonts w:cstheme="minorHAnsi"/>
          <w:bCs/>
          <w:szCs w:val="20"/>
        </w:rPr>
      </w:pPr>
      <w:r>
        <w:rPr>
          <w:rFonts w:cstheme="minorHAnsi"/>
          <w:bCs/>
          <w:szCs w:val="20"/>
        </w:rPr>
        <w:br w:type="page"/>
      </w:r>
    </w:p>
    <w:p w14:paraId="4E75DE43" w14:textId="244F2D5A" w:rsidR="00776702" w:rsidRPr="00925FBE" w:rsidRDefault="00776702" w:rsidP="00776702">
      <w:pPr>
        <w:pStyle w:val="Heading1"/>
        <w:rPr>
          <w:rFonts w:ascii="Open Sans" w:hAnsi="Open Sans"/>
        </w:rPr>
      </w:pPr>
      <w:bookmarkStart w:id="53" w:name="_Toc216948981"/>
      <w:bookmarkStart w:id="54" w:name="_Toc283723881"/>
      <w:r w:rsidRPr="00925FBE">
        <w:rPr>
          <w:rFonts w:ascii="Open Sans" w:hAnsi="Open Sans"/>
        </w:rPr>
        <w:lastRenderedPageBreak/>
        <w:t xml:space="preserve">Conclusions, </w:t>
      </w:r>
      <w:r w:rsidR="004B0370">
        <w:rPr>
          <w:rFonts w:ascii="Open Sans" w:hAnsi="Open Sans"/>
        </w:rPr>
        <w:t>leçons apprises et recommandations</w:t>
      </w:r>
      <w:bookmarkEnd w:id="53"/>
      <w:r w:rsidR="004B0370">
        <w:rPr>
          <w:rFonts w:ascii="Open Sans" w:hAnsi="Open Sans"/>
        </w:rPr>
        <w:t xml:space="preserve"> </w:t>
      </w:r>
      <w:bookmarkEnd w:id="54"/>
    </w:p>
    <w:p w14:paraId="609CC353" w14:textId="77777777" w:rsidR="004B0E4B" w:rsidRPr="0062653C" w:rsidRDefault="004B0E4B" w:rsidP="004B0E4B">
      <w:pPr>
        <w:widowControl w:val="0"/>
        <w:spacing w:line="240" w:lineRule="auto"/>
        <w:jc w:val="both"/>
        <w:rPr>
          <w:rFonts w:cstheme="minorHAnsi"/>
          <w:bCs/>
          <w:sz w:val="12"/>
          <w:szCs w:val="12"/>
        </w:rPr>
      </w:pPr>
    </w:p>
    <w:p w14:paraId="719829DF" w14:textId="79AE6EE4" w:rsidR="00776702" w:rsidRPr="00904CA4" w:rsidRDefault="00776702" w:rsidP="00776702">
      <w:pPr>
        <w:pStyle w:val="Heading2"/>
        <w:jc w:val="both"/>
        <w:rPr>
          <w:rFonts w:ascii="Open Sans" w:hAnsi="Open Sans"/>
          <w:color w:val="000099"/>
        </w:rPr>
      </w:pPr>
      <w:bookmarkStart w:id="55" w:name="_Toc216948982"/>
      <w:r w:rsidRPr="00D147FD">
        <w:rPr>
          <w:rFonts w:ascii="Open Sans" w:hAnsi="Open Sans"/>
          <w:color w:val="000099"/>
        </w:rPr>
        <w:t xml:space="preserve">5.1 </w:t>
      </w:r>
      <w:r w:rsidR="00FC462E">
        <w:rPr>
          <w:rFonts w:ascii="Open Sans" w:hAnsi="Open Sans"/>
          <w:color w:val="000099"/>
        </w:rPr>
        <w:t>E</w:t>
      </w:r>
      <w:r w:rsidR="00B2246C" w:rsidRPr="00A96A96">
        <w:rPr>
          <w:rFonts w:ascii="Open Sans" w:hAnsi="Open Sans"/>
          <w:color w:val="000099"/>
        </w:rPr>
        <w:t>valuation</w:t>
      </w:r>
      <w:r w:rsidR="00B2246C" w:rsidRPr="00D147FD">
        <w:rPr>
          <w:rFonts w:ascii="Open Sans" w:hAnsi="Open Sans"/>
          <w:color w:val="000099"/>
        </w:rPr>
        <w:t xml:space="preserve"> globale</w:t>
      </w:r>
      <w:bookmarkEnd w:id="55"/>
      <w:r w:rsidR="00B2246C" w:rsidRPr="00D147FD">
        <w:rPr>
          <w:rFonts w:ascii="Open Sans" w:hAnsi="Open Sans"/>
          <w:color w:val="000099"/>
        </w:rPr>
        <w:t xml:space="preserve"> </w:t>
      </w:r>
    </w:p>
    <w:p w14:paraId="1A57BFF5" w14:textId="77777777" w:rsidR="00BA4412" w:rsidRDefault="00BA4412" w:rsidP="0062653C">
      <w:pPr>
        <w:widowControl w:val="0"/>
        <w:spacing w:before="0" w:line="240" w:lineRule="auto"/>
        <w:jc w:val="both"/>
        <w:rPr>
          <w:rFonts w:cstheme="minorHAnsi"/>
          <w:b/>
          <w:bCs/>
          <w:color w:val="000099"/>
          <w:szCs w:val="20"/>
        </w:rPr>
      </w:pPr>
    </w:p>
    <w:p w14:paraId="245DCF04" w14:textId="33E10C47" w:rsidR="00A96A96" w:rsidRPr="00A96A96" w:rsidRDefault="00A96A96" w:rsidP="00A96A96">
      <w:pPr>
        <w:widowControl w:val="0"/>
        <w:spacing w:line="240" w:lineRule="auto"/>
        <w:jc w:val="both"/>
        <w:rPr>
          <w:rFonts w:cstheme="minorHAnsi"/>
          <w:b/>
          <w:bCs/>
          <w:color w:val="000099"/>
          <w:szCs w:val="20"/>
        </w:rPr>
      </w:pPr>
      <w:r w:rsidRPr="00A96A96">
        <w:rPr>
          <w:rFonts w:cstheme="minorHAnsi"/>
          <w:b/>
          <w:bCs/>
          <w:color w:val="000099"/>
          <w:szCs w:val="20"/>
        </w:rPr>
        <w:t xml:space="preserve">Pertinence </w:t>
      </w:r>
    </w:p>
    <w:p w14:paraId="3DDB9728" w14:textId="5BA0C58D" w:rsidR="00A96A96" w:rsidRPr="00A96A96" w:rsidRDefault="00A96A96" w:rsidP="00A96A96">
      <w:pPr>
        <w:widowControl w:val="0"/>
        <w:spacing w:line="240" w:lineRule="auto"/>
        <w:jc w:val="both"/>
        <w:rPr>
          <w:rFonts w:cstheme="minorHAnsi"/>
          <w:bCs/>
          <w:szCs w:val="20"/>
        </w:rPr>
      </w:pPr>
      <w:r w:rsidRPr="00A96A96">
        <w:rPr>
          <w:rFonts w:cstheme="minorHAnsi"/>
          <w:bCs/>
          <w:szCs w:val="20"/>
        </w:rPr>
        <w:t>Le projet démontre un alignement stratégique exceptionnel avec les priorités nationales burundaises, les agendas mondiaux (Accord de Paris, ODD), et les besoins concrets des populations. L'approche nexus climat-paix-sécurité, unique parmi les projets PBF, répond de manière intégrée aux facteurs interdépendants des conflits locaux et de la dégradation environnementale. Les innovations introduites (cogestion, PSE, PPP hydroélectrique, approche culturelle) représentent des avancées substantielles. Les principales limites concernent la portée géographique restreinte des interventions, le budget limité pour le développement communautaire, et la sous-estimation de la complexité du mécanisme REDD+ conduisant à son abandon.</w:t>
      </w:r>
    </w:p>
    <w:p w14:paraId="00E11FE6" w14:textId="77777777" w:rsidR="00C420C1" w:rsidRPr="004C4E82" w:rsidRDefault="00C420C1" w:rsidP="00A96A96">
      <w:pPr>
        <w:widowControl w:val="0"/>
        <w:spacing w:line="240" w:lineRule="auto"/>
        <w:jc w:val="both"/>
        <w:rPr>
          <w:rFonts w:cstheme="minorHAnsi"/>
          <w:b/>
          <w:bCs/>
          <w:sz w:val="10"/>
          <w:szCs w:val="10"/>
        </w:rPr>
      </w:pPr>
    </w:p>
    <w:p w14:paraId="2C42B70B" w14:textId="41C7902F" w:rsidR="00A96A96" w:rsidRPr="00A96A96" w:rsidRDefault="00A96A96" w:rsidP="00A96A96">
      <w:pPr>
        <w:widowControl w:val="0"/>
        <w:spacing w:line="240" w:lineRule="auto"/>
        <w:jc w:val="both"/>
        <w:rPr>
          <w:rFonts w:cstheme="minorHAnsi"/>
          <w:b/>
          <w:bCs/>
          <w:color w:val="000099"/>
          <w:szCs w:val="20"/>
        </w:rPr>
      </w:pPr>
      <w:r w:rsidRPr="00A96A96">
        <w:rPr>
          <w:rFonts w:cstheme="minorHAnsi"/>
          <w:b/>
          <w:bCs/>
          <w:color w:val="000099"/>
          <w:szCs w:val="20"/>
        </w:rPr>
        <w:t xml:space="preserve">Cohérence </w:t>
      </w:r>
    </w:p>
    <w:p w14:paraId="1674EED9" w14:textId="14265D0F" w:rsidR="00A96A96" w:rsidRPr="00A96A96" w:rsidRDefault="00A96A96" w:rsidP="00A96A96">
      <w:pPr>
        <w:widowControl w:val="0"/>
        <w:spacing w:line="240" w:lineRule="auto"/>
        <w:jc w:val="both"/>
        <w:rPr>
          <w:rFonts w:cstheme="minorHAnsi"/>
          <w:bCs/>
          <w:szCs w:val="20"/>
        </w:rPr>
      </w:pPr>
      <w:r w:rsidRPr="00A96A96">
        <w:rPr>
          <w:rFonts w:cstheme="minorHAnsi"/>
          <w:bCs/>
          <w:szCs w:val="20"/>
        </w:rPr>
        <w:t xml:space="preserve">La théorie du changement </w:t>
      </w:r>
      <w:r w:rsidR="008F07B9" w:rsidRPr="00A045A5">
        <w:t xml:space="preserve">et la stratégie de mise en œuvre </w:t>
      </w:r>
      <w:r w:rsidRPr="00A96A96">
        <w:rPr>
          <w:rFonts w:cstheme="minorHAnsi"/>
          <w:bCs/>
          <w:szCs w:val="20"/>
        </w:rPr>
        <w:t>présente</w:t>
      </w:r>
      <w:r w:rsidR="008F07B9">
        <w:rPr>
          <w:rFonts w:cstheme="minorHAnsi"/>
          <w:bCs/>
          <w:szCs w:val="20"/>
        </w:rPr>
        <w:t>nt</w:t>
      </w:r>
      <w:r w:rsidRPr="00A96A96">
        <w:rPr>
          <w:rFonts w:cstheme="minorHAnsi"/>
          <w:bCs/>
          <w:szCs w:val="20"/>
        </w:rPr>
        <w:t xml:space="preserve"> une cohérence conceptuelle solide avec des hypothèses validées par l'analyse contextuelle</w:t>
      </w:r>
      <w:r w:rsidR="008F07B9">
        <w:rPr>
          <w:rFonts w:cstheme="minorHAnsi"/>
          <w:bCs/>
          <w:szCs w:val="20"/>
        </w:rPr>
        <w:t xml:space="preserve"> et </w:t>
      </w:r>
      <w:r w:rsidR="008F07B9" w:rsidRPr="00A045A5">
        <w:t>une interdépendance stratégique intéressante entre les composantes Fondation-PPP-Conservation</w:t>
      </w:r>
      <w:r w:rsidRPr="00A96A96">
        <w:rPr>
          <w:rFonts w:cstheme="minorHAnsi"/>
          <w:bCs/>
          <w:szCs w:val="20"/>
        </w:rPr>
        <w:t xml:space="preserve">. </w:t>
      </w:r>
      <w:r w:rsidR="008F07B9" w:rsidRPr="00A045A5">
        <w:t>Cependant, la cohérence interne a été affectée par l'abandon du mécanisme REDD+</w:t>
      </w:r>
      <w:r w:rsidR="002B54EB">
        <w:t xml:space="preserve"> et</w:t>
      </w:r>
      <w:r w:rsidR="008F07B9" w:rsidRPr="00A045A5">
        <w:t xml:space="preserve"> les retards du projet PPP.</w:t>
      </w:r>
      <w:r w:rsidR="00EB270E">
        <w:t xml:space="preserve"> </w:t>
      </w:r>
      <w:r w:rsidR="008F07B9" w:rsidRPr="00A045A5">
        <w:t xml:space="preserve">Les synergies avec d'autres interventions </w:t>
      </w:r>
      <w:r w:rsidR="00822FEF">
        <w:t>ont été inégales,</w:t>
      </w:r>
      <w:r w:rsidR="008F07B9" w:rsidRPr="00A045A5">
        <w:t xml:space="preserve"> </w:t>
      </w:r>
      <w:r w:rsidR="00822FEF">
        <w:t xml:space="preserve">le projet ayant, toutefois, maintenu </w:t>
      </w:r>
      <w:r w:rsidR="008F07B9" w:rsidRPr="00A045A5">
        <w:t>un positionnement distinct évitant les duplications.</w:t>
      </w:r>
    </w:p>
    <w:p w14:paraId="0888BF22" w14:textId="77777777" w:rsidR="00501463" w:rsidRPr="004C4E82" w:rsidRDefault="00501463" w:rsidP="00A96A96">
      <w:pPr>
        <w:widowControl w:val="0"/>
        <w:spacing w:line="240" w:lineRule="auto"/>
        <w:jc w:val="both"/>
        <w:rPr>
          <w:rFonts w:cstheme="minorHAnsi"/>
          <w:b/>
          <w:bCs/>
          <w:sz w:val="10"/>
          <w:szCs w:val="10"/>
        </w:rPr>
      </w:pPr>
    </w:p>
    <w:p w14:paraId="1EFBCA1C" w14:textId="1ECCBFD3" w:rsidR="00A96A96" w:rsidRPr="00A96A96" w:rsidRDefault="00A96A96" w:rsidP="00A96A96">
      <w:pPr>
        <w:widowControl w:val="0"/>
        <w:spacing w:line="240" w:lineRule="auto"/>
        <w:jc w:val="both"/>
        <w:rPr>
          <w:rFonts w:cstheme="minorHAnsi"/>
          <w:b/>
          <w:bCs/>
          <w:color w:val="000099"/>
          <w:szCs w:val="20"/>
        </w:rPr>
      </w:pPr>
      <w:r w:rsidRPr="00A96A96">
        <w:rPr>
          <w:rFonts w:cstheme="minorHAnsi"/>
          <w:b/>
          <w:bCs/>
          <w:color w:val="000099"/>
          <w:szCs w:val="20"/>
        </w:rPr>
        <w:t xml:space="preserve">Efficience </w:t>
      </w:r>
    </w:p>
    <w:p w14:paraId="3C854E64" w14:textId="68729545" w:rsidR="00A96A96" w:rsidRDefault="00A96A96" w:rsidP="00A96A96">
      <w:pPr>
        <w:widowControl w:val="0"/>
        <w:spacing w:line="240" w:lineRule="auto"/>
        <w:jc w:val="both"/>
        <w:rPr>
          <w:rFonts w:cstheme="minorHAnsi"/>
          <w:bCs/>
          <w:szCs w:val="20"/>
        </w:rPr>
      </w:pPr>
      <w:r w:rsidRPr="00A96A96">
        <w:rPr>
          <w:rFonts w:cstheme="minorHAnsi"/>
          <w:bCs/>
          <w:szCs w:val="20"/>
        </w:rPr>
        <w:t>L'exécution budgétaire est satisfaisante (</w:t>
      </w:r>
      <w:r w:rsidR="00491C7E">
        <w:t>83</w:t>
      </w:r>
      <w:r w:rsidR="008E0915" w:rsidRPr="00F44DF0">
        <w:t xml:space="preserve">% </w:t>
      </w:r>
      <w:r w:rsidR="008E0915">
        <w:t xml:space="preserve">de décaissement </w:t>
      </w:r>
      <w:r w:rsidR="008E0915" w:rsidRPr="00F44DF0">
        <w:t xml:space="preserve">avec le reliquat de </w:t>
      </w:r>
      <w:r w:rsidR="00491C7E">
        <w:t>17</w:t>
      </w:r>
      <w:r w:rsidR="008E0915" w:rsidRPr="00F44DF0">
        <w:t xml:space="preserve">% prévu </w:t>
      </w:r>
      <w:r w:rsidR="008E0915">
        <w:t xml:space="preserve">d’ici </w:t>
      </w:r>
      <w:r w:rsidR="008E0915" w:rsidRPr="00F44DF0">
        <w:t>fin 2025</w:t>
      </w:r>
      <w:r w:rsidRPr="00A96A96">
        <w:rPr>
          <w:rFonts w:cstheme="minorHAnsi"/>
          <w:bCs/>
          <w:szCs w:val="20"/>
        </w:rPr>
        <w:t xml:space="preserve">). Le projet a réalisé des investissements structurants durables : réhabilitation du quartier général de </w:t>
      </w:r>
      <w:proofErr w:type="spellStart"/>
      <w:r w:rsidRPr="00A96A96">
        <w:rPr>
          <w:rFonts w:cstheme="minorHAnsi"/>
          <w:bCs/>
          <w:szCs w:val="20"/>
        </w:rPr>
        <w:t>Mwokora</w:t>
      </w:r>
      <w:proofErr w:type="spellEnd"/>
      <w:r w:rsidRPr="00A96A96">
        <w:rPr>
          <w:rFonts w:cstheme="minorHAnsi"/>
          <w:bCs/>
          <w:szCs w:val="20"/>
        </w:rPr>
        <w:t xml:space="preserve">, création de la Fondation Kibira avec accord de cogestion, transformation du projet hydroélectrique abandonné en projet bancable. L'effet de levier financier est remarquable : </w:t>
      </w:r>
      <w:r w:rsidR="008E0915">
        <w:rPr>
          <w:rFonts w:cstheme="minorHAnsi"/>
          <w:bCs/>
          <w:szCs w:val="20"/>
        </w:rPr>
        <w:t>3</w:t>
      </w:r>
      <w:r w:rsidRPr="00A96A96">
        <w:rPr>
          <w:rFonts w:cstheme="minorHAnsi"/>
          <w:bCs/>
          <w:szCs w:val="20"/>
        </w:rPr>
        <w:t xml:space="preserve"> M$ PBF mobilisant </w:t>
      </w:r>
      <w:r w:rsidR="008E0915">
        <w:rPr>
          <w:rFonts w:cstheme="minorHAnsi"/>
          <w:bCs/>
          <w:szCs w:val="20"/>
        </w:rPr>
        <w:t xml:space="preserve">plus de </w:t>
      </w:r>
      <w:r w:rsidRPr="00A96A96">
        <w:rPr>
          <w:rFonts w:cstheme="minorHAnsi"/>
          <w:bCs/>
          <w:szCs w:val="20"/>
        </w:rPr>
        <w:t>4</w:t>
      </w:r>
      <w:r w:rsidR="008E0915">
        <w:rPr>
          <w:rFonts w:cstheme="minorHAnsi"/>
          <w:bCs/>
          <w:szCs w:val="20"/>
        </w:rPr>
        <w:t>3</w:t>
      </w:r>
      <w:r w:rsidRPr="00A96A96">
        <w:rPr>
          <w:rFonts w:cstheme="minorHAnsi"/>
          <w:bCs/>
          <w:szCs w:val="20"/>
        </w:rPr>
        <w:t xml:space="preserve"> M$ (ratio </w:t>
      </w:r>
      <w:proofErr w:type="gramStart"/>
      <w:r w:rsidRPr="00A96A96">
        <w:rPr>
          <w:rFonts w:cstheme="minorHAnsi"/>
          <w:bCs/>
          <w:szCs w:val="20"/>
        </w:rPr>
        <w:t>1:</w:t>
      </w:r>
      <w:proofErr w:type="gramEnd"/>
      <w:r w:rsidR="00D40246">
        <w:rPr>
          <w:rFonts w:cstheme="minorHAnsi"/>
          <w:bCs/>
          <w:szCs w:val="20"/>
        </w:rPr>
        <w:t>14</w:t>
      </w:r>
      <w:r w:rsidRPr="00A96A96">
        <w:rPr>
          <w:rFonts w:cstheme="minorHAnsi"/>
          <w:bCs/>
          <w:szCs w:val="20"/>
        </w:rPr>
        <w:t xml:space="preserve">). Cependant, plusieurs faiblesses affectent le rapport coût-efficacité : installations sous-utilisées (centre culturel, champignonnière </w:t>
      </w:r>
      <w:proofErr w:type="spellStart"/>
      <w:r w:rsidRPr="00A96A96">
        <w:rPr>
          <w:rFonts w:cstheme="minorHAnsi"/>
          <w:bCs/>
          <w:szCs w:val="20"/>
        </w:rPr>
        <w:t>Caguka</w:t>
      </w:r>
      <w:proofErr w:type="spellEnd"/>
      <w:r w:rsidRPr="00A96A96">
        <w:rPr>
          <w:rFonts w:cstheme="minorHAnsi"/>
          <w:bCs/>
          <w:szCs w:val="20"/>
        </w:rPr>
        <w:t xml:space="preserve"> détruite jamais reconstruite), fonctionnalité limitée des CPK, concentration géographique à </w:t>
      </w:r>
      <w:proofErr w:type="spellStart"/>
      <w:r w:rsidRPr="00A96A96">
        <w:rPr>
          <w:rFonts w:cstheme="minorHAnsi"/>
          <w:bCs/>
          <w:szCs w:val="20"/>
        </w:rPr>
        <w:t>Muciro</w:t>
      </w:r>
      <w:proofErr w:type="spellEnd"/>
      <w:r w:rsidRPr="00A96A96">
        <w:rPr>
          <w:rFonts w:cstheme="minorHAnsi"/>
          <w:bCs/>
          <w:szCs w:val="20"/>
        </w:rPr>
        <w:t xml:space="preserve"> (55% bénéficiaires), manque de suivi post-intervention, et absence de COPIL dédié.</w:t>
      </w:r>
      <w:r w:rsidR="00D40246">
        <w:rPr>
          <w:rFonts w:cstheme="minorHAnsi"/>
          <w:bCs/>
          <w:szCs w:val="20"/>
        </w:rPr>
        <w:t xml:space="preserve"> </w:t>
      </w:r>
      <w:r w:rsidR="00D40246" w:rsidRPr="00D40246">
        <w:rPr>
          <w:rFonts w:cstheme="minorHAnsi"/>
          <w:bCs/>
          <w:szCs w:val="20"/>
        </w:rPr>
        <w:t>La coordination opérationnelle effective et la forte appropriation institutionnelle ont néanmoins permis de maintenir une dynamique de mise en œuvre productive.</w:t>
      </w:r>
    </w:p>
    <w:p w14:paraId="4B51785D" w14:textId="77777777" w:rsidR="008E0915" w:rsidRPr="004C4E82" w:rsidRDefault="008E0915" w:rsidP="00A96A96">
      <w:pPr>
        <w:widowControl w:val="0"/>
        <w:spacing w:line="240" w:lineRule="auto"/>
        <w:jc w:val="both"/>
        <w:rPr>
          <w:rFonts w:cstheme="minorHAnsi"/>
          <w:bCs/>
          <w:sz w:val="10"/>
          <w:szCs w:val="10"/>
        </w:rPr>
      </w:pPr>
    </w:p>
    <w:p w14:paraId="611D3156" w14:textId="0ED559C7" w:rsidR="00A96A96" w:rsidRPr="00A96A96" w:rsidRDefault="00A96A96" w:rsidP="00A96A96">
      <w:pPr>
        <w:widowControl w:val="0"/>
        <w:spacing w:line="240" w:lineRule="auto"/>
        <w:jc w:val="both"/>
        <w:rPr>
          <w:rFonts w:cstheme="minorHAnsi"/>
          <w:b/>
          <w:bCs/>
          <w:color w:val="000099"/>
          <w:szCs w:val="20"/>
        </w:rPr>
      </w:pPr>
      <w:r w:rsidRPr="00A96A96">
        <w:rPr>
          <w:rFonts w:cstheme="minorHAnsi"/>
          <w:b/>
          <w:bCs/>
          <w:color w:val="000099"/>
          <w:szCs w:val="20"/>
        </w:rPr>
        <w:t xml:space="preserve">Efficacité </w:t>
      </w:r>
    </w:p>
    <w:p w14:paraId="02CB5BAD" w14:textId="04D9FA6D" w:rsidR="00E44422" w:rsidRDefault="00E44422" w:rsidP="00A96A96">
      <w:pPr>
        <w:widowControl w:val="0"/>
        <w:spacing w:line="240" w:lineRule="auto"/>
        <w:jc w:val="both"/>
      </w:pPr>
      <w:r w:rsidRPr="00396D13">
        <w:t>L'</w:t>
      </w:r>
      <w:proofErr w:type="spellStart"/>
      <w:r w:rsidRPr="00396D13">
        <w:t>Outcome</w:t>
      </w:r>
      <w:proofErr w:type="spellEnd"/>
      <w:r w:rsidRPr="00396D13">
        <w:t xml:space="preserve"> 1 a été </w:t>
      </w:r>
      <w:r>
        <w:t>globalement</w:t>
      </w:r>
      <w:r w:rsidRPr="00396D13">
        <w:t xml:space="preserve"> atteint (premier accord de cogestion au Burundi, cohésion sociale positive) tandis que l'</w:t>
      </w:r>
      <w:proofErr w:type="spellStart"/>
      <w:r w:rsidRPr="00396D13">
        <w:t>Outcome</w:t>
      </w:r>
      <w:proofErr w:type="spellEnd"/>
      <w:r w:rsidRPr="00396D13">
        <w:t xml:space="preserve"> 2 demeure très partiellement accompli (abandon REDD+, retards PPP avec production et cofinancements </w:t>
      </w:r>
      <w:r>
        <w:t>prévus après la clôture du projet</w:t>
      </w:r>
      <w:r w:rsidRPr="00396D13">
        <w:t xml:space="preserve">). L'inclusion des </w:t>
      </w:r>
      <w:proofErr w:type="spellStart"/>
      <w:r w:rsidRPr="00396D13">
        <w:t>Batwa</w:t>
      </w:r>
      <w:proofErr w:type="spellEnd"/>
      <w:r w:rsidRPr="00396D13">
        <w:t xml:space="preserve"> et des femmes contraste avec une stratégie insuffisante pour les jeunes et personnes handicapées. Le système de suivi-évaluation présente des faiblesses (indicateurs peu pertinents, absence de révision du cadre)</w:t>
      </w:r>
      <w:r>
        <w:t xml:space="preserve">. </w:t>
      </w:r>
      <w:r w:rsidRPr="00493AFC">
        <w:t>La profondeur des interventions demeure limitée</w:t>
      </w:r>
      <w:r>
        <w:t xml:space="preserve"> (</w:t>
      </w:r>
      <w:r w:rsidR="002C3E19">
        <w:t xml:space="preserve">intervention </w:t>
      </w:r>
      <w:r w:rsidR="002C3E19">
        <w:lastRenderedPageBreak/>
        <w:t xml:space="preserve">portant sur la distribution de plants agroforestiers pour </w:t>
      </w:r>
      <w:r w:rsidRPr="00493AFC">
        <w:t>75% des bénéficiaires</w:t>
      </w:r>
      <w:r>
        <w:t>)</w:t>
      </w:r>
      <w:r w:rsidR="001C07CA">
        <w:t>.</w:t>
      </w:r>
      <w:r w:rsidRPr="00493AFC">
        <w:t xml:space="preserve"> </w:t>
      </w:r>
      <w:r w:rsidR="001C07CA">
        <w:t>L</w:t>
      </w:r>
      <w:r w:rsidRPr="00493AFC">
        <w:t xml:space="preserve">es disparités géographiques (55% des bénéficiaires à </w:t>
      </w:r>
      <w:proofErr w:type="spellStart"/>
      <w:r w:rsidRPr="00493AFC">
        <w:t>Muciro</w:t>
      </w:r>
      <w:proofErr w:type="spellEnd"/>
      <w:r w:rsidRPr="00493AFC">
        <w:t xml:space="preserve">) </w:t>
      </w:r>
      <w:r w:rsidR="001C07CA" w:rsidRPr="001C07CA">
        <w:t>résult</w:t>
      </w:r>
      <w:r w:rsidR="001C07CA">
        <w:t>a</w:t>
      </w:r>
      <w:r w:rsidR="001C07CA" w:rsidRPr="001C07CA">
        <w:t xml:space="preserve">nt des contraintes budgétaires ayant conduit à une approche pilote concentrée et de contraintes de mise en œuvre (problèmes d'accès à </w:t>
      </w:r>
      <w:proofErr w:type="spellStart"/>
      <w:r w:rsidR="001C07CA" w:rsidRPr="001C07CA">
        <w:t>Mpfunda</w:t>
      </w:r>
      <w:proofErr w:type="spellEnd"/>
      <w:r w:rsidR="001C07CA" w:rsidRPr="001C07CA">
        <w:t xml:space="preserve">, conflit intra-communautaire à </w:t>
      </w:r>
      <w:proofErr w:type="spellStart"/>
      <w:r w:rsidR="001C07CA" w:rsidRPr="001C07CA">
        <w:t>Cakuga</w:t>
      </w:r>
      <w:proofErr w:type="spellEnd"/>
      <w:r w:rsidR="001C07CA" w:rsidRPr="001C07CA">
        <w:t>), limit</w:t>
      </w:r>
      <w:r w:rsidR="001C07CA">
        <w:t>e</w:t>
      </w:r>
      <w:r w:rsidR="001C07CA" w:rsidRPr="001C07CA">
        <w:t>nt la portée territoriale du projet en termes de développement communautaire et de réduction de conflits.</w:t>
      </w:r>
    </w:p>
    <w:p w14:paraId="2BB310C9" w14:textId="77777777" w:rsidR="00E44422" w:rsidRPr="004C4E82" w:rsidRDefault="00E44422" w:rsidP="00A96A96">
      <w:pPr>
        <w:widowControl w:val="0"/>
        <w:spacing w:line="240" w:lineRule="auto"/>
        <w:jc w:val="both"/>
        <w:rPr>
          <w:rFonts w:cstheme="minorHAnsi"/>
          <w:b/>
          <w:bCs/>
          <w:sz w:val="10"/>
          <w:szCs w:val="10"/>
        </w:rPr>
      </w:pPr>
    </w:p>
    <w:p w14:paraId="23678418" w14:textId="3968DAD9" w:rsidR="00A96A96" w:rsidRPr="00A96A96" w:rsidRDefault="00A96A96" w:rsidP="00A96A96">
      <w:pPr>
        <w:widowControl w:val="0"/>
        <w:spacing w:line="240" w:lineRule="auto"/>
        <w:jc w:val="both"/>
        <w:rPr>
          <w:rFonts w:cstheme="minorHAnsi"/>
          <w:b/>
          <w:bCs/>
          <w:color w:val="000099"/>
          <w:szCs w:val="20"/>
        </w:rPr>
      </w:pPr>
      <w:r w:rsidRPr="00A96A96">
        <w:rPr>
          <w:rFonts w:cstheme="minorHAnsi"/>
          <w:b/>
          <w:bCs/>
          <w:color w:val="000099"/>
          <w:szCs w:val="20"/>
        </w:rPr>
        <w:t xml:space="preserve">Impact </w:t>
      </w:r>
    </w:p>
    <w:p w14:paraId="4D631556" w14:textId="723D9B1D" w:rsidR="00AD174B" w:rsidRPr="0000773B" w:rsidRDefault="00AD174B" w:rsidP="00AD174B">
      <w:pPr>
        <w:spacing w:line="240" w:lineRule="auto"/>
        <w:jc w:val="both"/>
      </w:pPr>
      <w:r w:rsidRPr="0000773B">
        <w:t xml:space="preserve">Le projet a généré des impacts socio-économiques significatifs dans les zones ciblées (amélioration des revenus, création </w:t>
      </w:r>
      <w:r>
        <w:t>d’</w:t>
      </w:r>
      <w:r w:rsidRPr="0000773B">
        <w:t xml:space="preserve">emplois, inclusion financière, cohésion sociale renforcée, réduction des conflits) et une réduction qualitativement documentée de la pression sur le parc, malgré l'absence de données quantitatives. L'effet catalytique du PPP constitue l'impact transformateur majeur avec un ratio de levier financier de </w:t>
      </w:r>
      <w:proofErr w:type="gramStart"/>
      <w:r w:rsidRPr="0000773B">
        <w:t>1:</w:t>
      </w:r>
      <w:proofErr w:type="gramEnd"/>
      <w:r w:rsidRPr="0000773B">
        <w:t>27 et des impacts futurs considérables (10,2 MW</w:t>
      </w:r>
      <w:r>
        <w:t xml:space="preserve"> d’énergie propre</w:t>
      </w:r>
      <w:r w:rsidRPr="0000773B">
        <w:t>, mécanisme PSE</w:t>
      </w:r>
      <w:r>
        <w:t>, nouveaux emplois à partir de 2026</w:t>
      </w:r>
      <w:r w:rsidRPr="0000773B">
        <w:t>). Les innovations institutionnelles (premier accord de cogestion via la Fondation Kibira</w:t>
      </w:r>
      <w:r>
        <w:t xml:space="preserve">) </w:t>
      </w:r>
      <w:r w:rsidRPr="0000773B">
        <w:t>créent des bases structurelles pour des impacts durables. Les principales limites concernent la portée géographique restreinte, l'absence de données quantitatives, et l'abandon du mécanisme REDD+.</w:t>
      </w:r>
    </w:p>
    <w:p w14:paraId="183892C4" w14:textId="77777777" w:rsidR="00AD174B" w:rsidRPr="004C4E82" w:rsidRDefault="00AD174B" w:rsidP="00A96A96">
      <w:pPr>
        <w:widowControl w:val="0"/>
        <w:spacing w:line="240" w:lineRule="auto"/>
        <w:jc w:val="both"/>
        <w:rPr>
          <w:rFonts w:cstheme="minorHAnsi"/>
          <w:b/>
          <w:bCs/>
          <w:sz w:val="10"/>
          <w:szCs w:val="10"/>
        </w:rPr>
      </w:pPr>
    </w:p>
    <w:p w14:paraId="1224B744" w14:textId="06A099F7" w:rsidR="00A96A96" w:rsidRPr="00A96A96" w:rsidRDefault="00A96A96" w:rsidP="00A96A96">
      <w:pPr>
        <w:widowControl w:val="0"/>
        <w:spacing w:line="240" w:lineRule="auto"/>
        <w:jc w:val="both"/>
        <w:rPr>
          <w:rFonts w:cstheme="minorHAnsi"/>
          <w:b/>
          <w:bCs/>
          <w:color w:val="000099"/>
          <w:szCs w:val="20"/>
        </w:rPr>
      </w:pPr>
      <w:r w:rsidRPr="00A96A96">
        <w:rPr>
          <w:rFonts w:cstheme="minorHAnsi"/>
          <w:b/>
          <w:bCs/>
          <w:color w:val="000099"/>
          <w:szCs w:val="20"/>
        </w:rPr>
        <w:t xml:space="preserve">Durabilité </w:t>
      </w:r>
    </w:p>
    <w:p w14:paraId="16EB8CF8" w14:textId="7AACA3A9" w:rsidR="00EC31C2" w:rsidRDefault="00EC31C2" w:rsidP="00A96A96">
      <w:pPr>
        <w:widowControl w:val="0"/>
        <w:spacing w:line="240" w:lineRule="auto"/>
        <w:jc w:val="both"/>
        <w:rPr>
          <w:rFonts w:cstheme="minorHAnsi"/>
          <w:bCs/>
          <w:szCs w:val="20"/>
        </w:rPr>
      </w:pPr>
      <w:r w:rsidRPr="00904CA4">
        <w:rPr>
          <w:rFonts w:cstheme="minorHAnsi"/>
          <w:bCs/>
          <w:szCs w:val="20"/>
        </w:rPr>
        <w:t xml:space="preserve">La durabilité repose sur des bases institutionnelles et financières solides (Fondation avec accord cogestion, PSE sur 10 ans, </w:t>
      </w:r>
      <w:r>
        <w:rPr>
          <w:rFonts w:cstheme="minorHAnsi"/>
          <w:bCs/>
          <w:szCs w:val="20"/>
        </w:rPr>
        <w:t xml:space="preserve">financement </w:t>
      </w:r>
      <w:r w:rsidRPr="00904CA4">
        <w:rPr>
          <w:rFonts w:cstheme="minorHAnsi"/>
          <w:bCs/>
          <w:szCs w:val="20"/>
        </w:rPr>
        <w:t xml:space="preserve">NIF jusqu'à 2027) et les changements profonds à </w:t>
      </w:r>
      <w:proofErr w:type="spellStart"/>
      <w:r w:rsidRPr="00904CA4">
        <w:rPr>
          <w:rFonts w:cstheme="minorHAnsi"/>
          <w:bCs/>
          <w:szCs w:val="20"/>
        </w:rPr>
        <w:t>Muciro</w:t>
      </w:r>
      <w:proofErr w:type="spellEnd"/>
      <w:r w:rsidRPr="00904CA4">
        <w:rPr>
          <w:rFonts w:cstheme="minorHAnsi"/>
          <w:bCs/>
          <w:szCs w:val="20"/>
        </w:rPr>
        <w:t xml:space="preserve"> démontrent qu'une transformation culturelle durable est possible. Cependant, elle demeure fragile : besoins critiques de renforcement de capacités de la Fondation, fonctionnalité limitée des CPK, viabilité incertaine de plusieurs AGR, et surtout généralisation très limitée des changements comportementaux. La persistance de l'exploitation illégale dans les zones périphériques et le besoin en terres non résolu constituent des risques structurels majeurs compromettant la durabilité à l'échelle du parc.</w:t>
      </w:r>
    </w:p>
    <w:p w14:paraId="3E888E9F" w14:textId="77777777" w:rsidR="00EC31C2" w:rsidRPr="004C4E82" w:rsidRDefault="00EC31C2" w:rsidP="00A96A96">
      <w:pPr>
        <w:widowControl w:val="0"/>
        <w:spacing w:line="240" w:lineRule="auto"/>
        <w:jc w:val="both"/>
        <w:rPr>
          <w:rFonts w:cstheme="minorHAnsi"/>
          <w:bCs/>
          <w:sz w:val="10"/>
          <w:szCs w:val="10"/>
        </w:rPr>
      </w:pPr>
    </w:p>
    <w:p w14:paraId="3E7E131A" w14:textId="77777777" w:rsidR="00A96A96" w:rsidRPr="00A96A96" w:rsidRDefault="00A96A96" w:rsidP="00A96A96">
      <w:pPr>
        <w:widowControl w:val="0"/>
        <w:spacing w:line="240" w:lineRule="auto"/>
        <w:jc w:val="both"/>
        <w:rPr>
          <w:rFonts w:cstheme="minorHAnsi"/>
          <w:b/>
          <w:bCs/>
          <w:color w:val="000099"/>
          <w:szCs w:val="20"/>
        </w:rPr>
      </w:pPr>
      <w:r w:rsidRPr="00A96A96">
        <w:rPr>
          <w:rFonts w:cstheme="minorHAnsi"/>
          <w:b/>
          <w:bCs/>
          <w:color w:val="000099"/>
          <w:szCs w:val="20"/>
        </w:rPr>
        <w:t>Trade-</w:t>
      </w:r>
      <w:proofErr w:type="spellStart"/>
      <w:r w:rsidRPr="00A96A96">
        <w:rPr>
          <w:rFonts w:cstheme="minorHAnsi"/>
          <w:b/>
          <w:bCs/>
          <w:color w:val="000099"/>
          <w:szCs w:val="20"/>
        </w:rPr>
        <w:t>offs</w:t>
      </w:r>
      <w:proofErr w:type="spellEnd"/>
      <w:r w:rsidRPr="00A96A96">
        <w:rPr>
          <w:rFonts w:cstheme="minorHAnsi"/>
          <w:b/>
          <w:bCs/>
          <w:color w:val="000099"/>
          <w:szCs w:val="20"/>
        </w:rPr>
        <w:t xml:space="preserve"> et compromis identifiés</w:t>
      </w:r>
    </w:p>
    <w:p w14:paraId="5518B0D2" w14:textId="77777777" w:rsidR="00E37208" w:rsidRDefault="00A96A96" w:rsidP="00A96A96">
      <w:pPr>
        <w:widowControl w:val="0"/>
        <w:spacing w:line="240" w:lineRule="auto"/>
        <w:jc w:val="both"/>
        <w:rPr>
          <w:rFonts w:cstheme="minorHAnsi"/>
          <w:bCs/>
          <w:szCs w:val="20"/>
        </w:rPr>
      </w:pPr>
      <w:r w:rsidRPr="00A96A96">
        <w:rPr>
          <w:rFonts w:cstheme="minorHAnsi"/>
          <w:bCs/>
          <w:szCs w:val="20"/>
        </w:rPr>
        <w:t xml:space="preserve">L'évaluation révèle plusieurs tensions inhérentes nécessitant des arbitrages. </w:t>
      </w:r>
    </w:p>
    <w:p w14:paraId="17E834B6" w14:textId="63AF4300" w:rsidR="00E37208" w:rsidRDefault="00A96A96" w:rsidP="00357CD2">
      <w:pPr>
        <w:pStyle w:val="ListParagraph"/>
        <w:widowControl w:val="0"/>
        <w:numPr>
          <w:ilvl w:val="0"/>
          <w:numId w:val="13"/>
        </w:numPr>
        <w:spacing w:before="60" w:after="60" w:line="240" w:lineRule="auto"/>
        <w:ind w:left="357" w:hanging="357"/>
        <w:contextualSpacing w:val="0"/>
        <w:jc w:val="both"/>
        <w:rPr>
          <w:rFonts w:cstheme="minorHAnsi"/>
          <w:bCs/>
          <w:szCs w:val="20"/>
        </w:rPr>
      </w:pPr>
      <w:r w:rsidRPr="00E37208">
        <w:rPr>
          <w:rFonts w:cstheme="minorHAnsi"/>
          <w:bCs/>
          <w:szCs w:val="20"/>
        </w:rPr>
        <w:t xml:space="preserve">Le </w:t>
      </w:r>
      <w:proofErr w:type="spellStart"/>
      <w:r w:rsidRPr="00E37208">
        <w:rPr>
          <w:rFonts w:cstheme="minorHAnsi"/>
          <w:bCs/>
          <w:szCs w:val="20"/>
        </w:rPr>
        <w:t>trade</w:t>
      </w:r>
      <w:proofErr w:type="spellEnd"/>
      <w:r w:rsidRPr="00E37208">
        <w:rPr>
          <w:rFonts w:cstheme="minorHAnsi"/>
          <w:bCs/>
          <w:szCs w:val="20"/>
        </w:rPr>
        <w:t xml:space="preserve">-off profondeur versus étendue : la concentration à </w:t>
      </w:r>
      <w:proofErr w:type="spellStart"/>
      <w:r w:rsidRPr="00E37208">
        <w:rPr>
          <w:rFonts w:cstheme="minorHAnsi"/>
          <w:bCs/>
          <w:szCs w:val="20"/>
        </w:rPr>
        <w:t>Muciro</w:t>
      </w:r>
      <w:proofErr w:type="spellEnd"/>
      <w:r w:rsidRPr="00E37208">
        <w:rPr>
          <w:rFonts w:cstheme="minorHAnsi"/>
          <w:bCs/>
          <w:szCs w:val="20"/>
        </w:rPr>
        <w:t xml:space="preserve"> a créé une transformation profonde au prix d'une équité territoriale limitée. </w:t>
      </w:r>
    </w:p>
    <w:p w14:paraId="7E4E4C32" w14:textId="77777777" w:rsidR="00E37208" w:rsidRDefault="00A96A96" w:rsidP="00357CD2">
      <w:pPr>
        <w:pStyle w:val="ListParagraph"/>
        <w:widowControl w:val="0"/>
        <w:numPr>
          <w:ilvl w:val="0"/>
          <w:numId w:val="13"/>
        </w:numPr>
        <w:spacing w:before="60" w:after="60" w:line="240" w:lineRule="auto"/>
        <w:ind w:left="357" w:hanging="357"/>
        <w:contextualSpacing w:val="0"/>
        <w:jc w:val="both"/>
        <w:rPr>
          <w:rFonts w:cstheme="minorHAnsi"/>
          <w:bCs/>
          <w:szCs w:val="20"/>
        </w:rPr>
      </w:pPr>
      <w:r w:rsidRPr="00E37208">
        <w:rPr>
          <w:rFonts w:cstheme="minorHAnsi"/>
          <w:bCs/>
          <w:szCs w:val="20"/>
        </w:rPr>
        <w:t xml:space="preserve">Le </w:t>
      </w:r>
      <w:proofErr w:type="spellStart"/>
      <w:r w:rsidRPr="00E37208">
        <w:rPr>
          <w:rFonts w:cstheme="minorHAnsi"/>
          <w:bCs/>
          <w:szCs w:val="20"/>
        </w:rPr>
        <w:t>trade</w:t>
      </w:r>
      <w:proofErr w:type="spellEnd"/>
      <w:r w:rsidRPr="00E37208">
        <w:rPr>
          <w:rFonts w:cstheme="minorHAnsi"/>
          <w:bCs/>
          <w:szCs w:val="20"/>
        </w:rPr>
        <w:t>-off innovation versus complexité</w:t>
      </w:r>
      <w:r w:rsidR="00E37208">
        <w:rPr>
          <w:rFonts w:cstheme="minorHAnsi"/>
          <w:bCs/>
          <w:szCs w:val="20"/>
        </w:rPr>
        <w:t xml:space="preserve"> </w:t>
      </w:r>
      <w:r w:rsidRPr="00E37208">
        <w:rPr>
          <w:rFonts w:cstheme="minorHAnsi"/>
          <w:bCs/>
          <w:szCs w:val="20"/>
        </w:rPr>
        <w:t xml:space="preserve">: les mécanismes innovants créent des bases solides mais nécessitent des capacités importantes actuellement insuffisantes. </w:t>
      </w:r>
    </w:p>
    <w:p w14:paraId="05AFADA2" w14:textId="55AA38B5" w:rsidR="00A96A96" w:rsidRPr="00E37208" w:rsidRDefault="00A96A96" w:rsidP="00357CD2">
      <w:pPr>
        <w:pStyle w:val="ListParagraph"/>
        <w:widowControl w:val="0"/>
        <w:numPr>
          <w:ilvl w:val="0"/>
          <w:numId w:val="13"/>
        </w:numPr>
        <w:spacing w:before="60" w:after="60" w:line="240" w:lineRule="auto"/>
        <w:ind w:left="357" w:hanging="357"/>
        <w:contextualSpacing w:val="0"/>
        <w:jc w:val="both"/>
        <w:rPr>
          <w:rFonts w:cstheme="minorHAnsi"/>
          <w:bCs/>
          <w:szCs w:val="20"/>
        </w:rPr>
      </w:pPr>
      <w:r w:rsidRPr="00E37208">
        <w:rPr>
          <w:rFonts w:cstheme="minorHAnsi"/>
          <w:bCs/>
          <w:szCs w:val="20"/>
        </w:rPr>
        <w:t xml:space="preserve">Le </w:t>
      </w:r>
      <w:proofErr w:type="spellStart"/>
      <w:r w:rsidRPr="00E37208">
        <w:rPr>
          <w:rFonts w:cstheme="minorHAnsi"/>
          <w:bCs/>
          <w:szCs w:val="20"/>
        </w:rPr>
        <w:t>trade</w:t>
      </w:r>
      <w:proofErr w:type="spellEnd"/>
      <w:r w:rsidRPr="00E37208">
        <w:rPr>
          <w:rFonts w:cstheme="minorHAnsi"/>
          <w:bCs/>
          <w:szCs w:val="20"/>
        </w:rPr>
        <w:t>-off court terme versus long terme : l'investissement substantiel dans le PPP et la Fondation génère des impacts limités pendant le projet mais crée les conditions d'impacts transformateurs futurs, au risque de frustrations communautaires face à des bénéfices tangibles différés.</w:t>
      </w:r>
    </w:p>
    <w:p w14:paraId="2E3FC02B" w14:textId="77777777" w:rsidR="00EC31C2" w:rsidRPr="004C4E82" w:rsidRDefault="00EC31C2" w:rsidP="00A96A96">
      <w:pPr>
        <w:widowControl w:val="0"/>
        <w:spacing w:line="240" w:lineRule="auto"/>
        <w:jc w:val="both"/>
        <w:rPr>
          <w:rFonts w:cstheme="minorHAnsi"/>
          <w:b/>
          <w:bCs/>
          <w:color w:val="000099"/>
          <w:sz w:val="10"/>
          <w:szCs w:val="10"/>
        </w:rPr>
      </w:pPr>
    </w:p>
    <w:p w14:paraId="3FA4C385" w14:textId="473A9A56" w:rsidR="00A96A96" w:rsidRPr="00A96A96" w:rsidRDefault="00A96A96" w:rsidP="00A96A96">
      <w:pPr>
        <w:widowControl w:val="0"/>
        <w:spacing w:line="240" w:lineRule="auto"/>
        <w:jc w:val="both"/>
        <w:rPr>
          <w:rFonts w:cstheme="minorHAnsi"/>
          <w:b/>
          <w:bCs/>
          <w:color w:val="000099"/>
          <w:szCs w:val="20"/>
        </w:rPr>
      </w:pPr>
      <w:r w:rsidRPr="00A96A96">
        <w:rPr>
          <w:rFonts w:cstheme="minorHAnsi"/>
          <w:b/>
          <w:bCs/>
          <w:color w:val="000099"/>
          <w:szCs w:val="20"/>
        </w:rPr>
        <w:t>Appréciation globale</w:t>
      </w:r>
    </w:p>
    <w:p w14:paraId="2EED8A7A" w14:textId="77777777" w:rsidR="00A96A96" w:rsidRPr="00A96A96" w:rsidRDefault="00A96A96" w:rsidP="00A96A96">
      <w:pPr>
        <w:widowControl w:val="0"/>
        <w:spacing w:line="240" w:lineRule="auto"/>
        <w:jc w:val="both"/>
        <w:rPr>
          <w:rFonts w:cstheme="minorHAnsi"/>
          <w:bCs/>
          <w:szCs w:val="20"/>
        </w:rPr>
      </w:pPr>
      <w:r w:rsidRPr="00A96A96">
        <w:rPr>
          <w:rFonts w:cstheme="minorHAnsi"/>
          <w:bCs/>
          <w:szCs w:val="20"/>
        </w:rPr>
        <w:t xml:space="preserve">Le projet représente une intervention ambitieuse et innovante ayant jeté des bases solides pour une transformation durable de la gouvernance et de la conservation du Parc National de la Kibira. Ses réalisations majeures (premier mécanisme de cogestion au Burundi, effet catalytique financier exceptionnel, transformation profonde de certaines communautés) démontrent la validité de l'approche nexus climat-paix-sécurité dans les contextes post-conflit. Le projet mérite une appréciation globale satisfaisante, reconnaissant ses innovations structurantes et ses limites opérationnelles. Les défis identifiés (portée géographique limitée, besoins de renforcement de capacités, généralisation des changements) ne remettent pas en cause la pertinence du modèle </w:t>
      </w:r>
      <w:r w:rsidRPr="00A96A96">
        <w:rPr>
          <w:rFonts w:cstheme="minorHAnsi"/>
          <w:bCs/>
          <w:szCs w:val="20"/>
        </w:rPr>
        <w:lastRenderedPageBreak/>
        <w:t>mais soulignent la nécessité d'un accompagnement de plus longue durée et de ressources plus substantielles pour permettre à ces innovations de produire leur plein potentiel à l'échelle de l'ensemble du parc.</w:t>
      </w:r>
    </w:p>
    <w:p w14:paraId="023DA776" w14:textId="77777777" w:rsidR="00434325" w:rsidRPr="001000DC" w:rsidRDefault="00434325" w:rsidP="001000DC">
      <w:pPr>
        <w:spacing w:line="240" w:lineRule="auto"/>
        <w:jc w:val="both"/>
        <w:rPr>
          <w:rFonts w:cstheme="minorHAnsi"/>
          <w:b/>
          <w:bCs/>
          <w:sz w:val="10"/>
          <w:szCs w:val="10"/>
        </w:rPr>
      </w:pPr>
    </w:p>
    <w:p w14:paraId="037F9987" w14:textId="23DA1469" w:rsidR="00776702" w:rsidRPr="00105078" w:rsidRDefault="00776702" w:rsidP="00776702">
      <w:pPr>
        <w:pStyle w:val="Heading2"/>
        <w:jc w:val="both"/>
        <w:rPr>
          <w:rFonts w:ascii="Open Sans" w:hAnsi="Open Sans"/>
          <w:color w:val="000099"/>
        </w:rPr>
      </w:pPr>
      <w:bookmarkStart w:id="56" w:name="_Toc216948983"/>
      <w:r w:rsidRPr="00105078">
        <w:rPr>
          <w:rFonts w:ascii="Open Sans" w:hAnsi="Open Sans"/>
          <w:color w:val="000099"/>
        </w:rPr>
        <w:t>5.2 Recommendations</w:t>
      </w:r>
      <w:bookmarkEnd w:id="56"/>
      <w:r w:rsidR="00105078">
        <w:rPr>
          <w:rFonts w:ascii="Open Sans" w:hAnsi="Open Sans"/>
          <w:color w:val="000099"/>
        </w:rPr>
        <w:t xml:space="preserve"> </w:t>
      </w:r>
      <w:r w:rsidRPr="00105078">
        <w:rPr>
          <w:rFonts w:ascii="Open Sans" w:hAnsi="Open Sans"/>
          <w:color w:val="000099"/>
        </w:rPr>
        <w:t xml:space="preserve"> </w:t>
      </w:r>
    </w:p>
    <w:p w14:paraId="5131943A" w14:textId="5A3F581E" w:rsidR="00776702" w:rsidRDefault="00105078" w:rsidP="001B671C">
      <w:pPr>
        <w:spacing w:line="240" w:lineRule="auto"/>
        <w:jc w:val="both"/>
        <w:rPr>
          <w:rFonts w:cstheme="minorHAnsi"/>
        </w:rPr>
      </w:pPr>
      <w:r w:rsidRPr="00105078">
        <w:rPr>
          <w:rFonts w:cstheme="minorHAnsi"/>
        </w:rPr>
        <w:t xml:space="preserve">Les recommandations suivantes découlent logiquement des conclusions de l'évaluation et </w:t>
      </w:r>
      <w:proofErr w:type="spellStart"/>
      <w:r w:rsidR="00CC49E4" w:rsidRPr="00CC49E4">
        <w:rPr>
          <w:rFonts w:cstheme="minorHAnsi"/>
        </w:rPr>
        <w:t>et</w:t>
      </w:r>
      <w:proofErr w:type="spellEnd"/>
      <w:r w:rsidR="00CC49E4" w:rsidRPr="00CC49E4">
        <w:rPr>
          <w:rFonts w:cstheme="minorHAnsi"/>
        </w:rPr>
        <w:t xml:space="preserve"> s'inscrivent dans une perspective d'évaluation finale orientée vers la valorisation des acquis et l'éclairage des interventions futures.</w:t>
      </w:r>
    </w:p>
    <w:p w14:paraId="4DDB07DA" w14:textId="631625EE" w:rsidR="00F87EB7" w:rsidRPr="00F87EB7" w:rsidRDefault="008A134B" w:rsidP="00F87EB7">
      <w:pPr>
        <w:spacing w:line="240" w:lineRule="auto"/>
        <w:jc w:val="both"/>
        <w:rPr>
          <w:rFonts w:cstheme="minorHAnsi"/>
        </w:rPr>
      </w:pPr>
      <w:r w:rsidRPr="008A134B">
        <w:rPr>
          <w:rFonts w:cstheme="minorHAnsi"/>
        </w:rPr>
        <w:t xml:space="preserve">Le projet Kibira a généré des résultats substantiels et des innovations institutionnelles majeures en matière de gouvernance participative, de financement </w:t>
      </w:r>
      <w:r>
        <w:rPr>
          <w:rFonts w:cstheme="minorHAnsi"/>
        </w:rPr>
        <w:t>mixte</w:t>
      </w:r>
      <w:r w:rsidRPr="008A134B">
        <w:rPr>
          <w:rFonts w:cstheme="minorHAnsi"/>
        </w:rPr>
        <w:t xml:space="preserve"> et d'approche nexus climat-paix-sécurité. Toutefois, la durabilité de plusieurs de ces acquis n'est pas encore pleinement garantie, et certaines activités ont été mises en œuvre sur une base pilote avec une couverture géographique limitée.</w:t>
      </w:r>
    </w:p>
    <w:p w14:paraId="66C91B1F" w14:textId="4D996D6C" w:rsidR="00F87EB7" w:rsidRPr="00F87EB7" w:rsidRDefault="00F87EB7" w:rsidP="00F87EB7">
      <w:pPr>
        <w:spacing w:line="240" w:lineRule="auto"/>
        <w:jc w:val="both"/>
        <w:rPr>
          <w:rFonts w:cstheme="minorHAnsi"/>
        </w:rPr>
      </w:pPr>
      <w:r w:rsidRPr="00F87EB7">
        <w:rPr>
          <w:rFonts w:cstheme="minorHAnsi"/>
        </w:rPr>
        <w:t xml:space="preserve">Dans ce contexte, les présentes recommandations poursuivent trois objectifs complémentaires : </w:t>
      </w:r>
      <w:r w:rsidR="009A5D63">
        <w:rPr>
          <w:rFonts w:cstheme="minorHAnsi"/>
        </w:rPr>
        <w:t>(i) C</w:t>
      </w:r>
      <w:r w:rsidRPr="00F87EB7">
        <w:rPr>
          <w:rFonts w:cstheme="minorHAnsi"/>
        </w:rPr>
        <w:t xml:space="preserve">apitaliser et valoriser les innovations et enseignements du projet pour maximiser leur impact au-delà du </w:t>
      </w:r>
      <w:r w:rsidR="009F4700">
        <w:rPr>
          <w:rFonts w:cstheme="minorHAnsi"/>
        </w:rPr>
        <w:t>cadre</w:t>
      </w:r>
      <w:r w:rsidRPr="00F87EB7">
        <w:rPr>
          <w:rFonts w:cstheme="minorHAnsi"/>
        </w:rPr>
        <w:t xml:space="preserve"> </w:t>
      </w:r>
      <w:r w:rsidR="009A5D63">
        <w:rPr>
          <w:rFonts w:cstheme="minorHAnsi"/>
        </w:rPr>
        <w:t>du projet ; (ii) C</w:t>
      </w:r>
      <w:r w:rsidRPr="00F87EB7">
        <w:rPr>
          <w:rFonts w:cstheme="minorHAnsi"/>
        </w:rPr>
        <w:t xml:space="preserve">onsolider et pérenniser les acquis en renforçant leur durabilité </w:t>
      </w:r>
      <w:r w:rsidR="00F42D28">
        <w:rPr>
          <w:rFonts w:cstheme="minorHAnsi"/>
        </w:rPr>
        <w:t>après</w:t>
      </w:r>
      <w:r w:rsidRPr="00F87EB7">
        <w:rPr>
          <w:rFonts w:cstheme="minorHAnsi"/>
        </w:rPr>
        <w:t xml:space="preserve"> la clôture du projet ; </w:t>
      </w:r>
      <w:r w:rsidR="009F4700">
        <w:rPr>
          <w:rFonts w:cstheme="minorHAnsi"/>
        </w:rPr>
        <w:t>(iii) T</w:t>
      </w:r>
      <w:r w:rsidRPr="00F87EB7">
        <w:rPr>
          <w:rFonts w:cstheme="minorHAnsi"/>
        </w:rPr>
        <w:t>irer des leçons apprises pour éclairer la conception de futures interventions similaires.</w:t>
      </w:r>
    </w:p>
    <w:p w14:paraId="6A887289" w14:textId="77777777" w:rsidR="00062421" w:rsidRDefault="00F87EB7" w:rsidP="0062653C">
      <w:pPr>
        <w:spacing w:after="0" w:line="240" w:lineRule="auto"/>
        <w:jc w:val="both"/>
        <w:rPr>
          <w:rFonts w:cstheme="minorHAnsi"/>
        </w:rPr>
      </w:pPr>
      <w:r w:rsidRPr="00F87EB7">
        <w:rPr>
          <w:rFonts w:cstheme="minorHAnsi"/>
        </w:rPr>
        <w:t xml:space="preserve">Ces recommandations s'adressent à différents acteurs et peuvent être mises en œuvre dans plusieurs cadres complémentaires : </w:t>
      </w:r>
    </w:p>
    <w:p w14:paraId="4966E0BD" w14:textId="55A6F5E8" w:rsidR="00995F6E" w:rsidRPr="00995F6E" w:rsidRDefault="00995F6E">
      <w:pPr>
        <w:pStyle w:val="ListParagraph"/>
        <w:numPr>
          <w:ilvl w:val="0"/>
          <w:numId w:val="12"/>
        </w:numPr>
        <w:tabs>
          <w:tab w:val="clear" w:pos="720"/>
          <w:tab w:val="num" w:pos="284"/>
        </w:tabs>
        <w:spacing w:before="60" w:after="0" w:line="240" w:lineRule="auto"/>
        <w:ind w:left="284" w:hanging="284"/>
        <w:contextualSpacing w:val="0"/>
        <w:jc w:val="both"/>
        <w:rPr>
          <w:rFonts w:cstheme="minorHAnsi"/>
        </w:rPr>
      </w:pPr>
      <w:r w:rsidRPr="0062653C">
        <w:rPr>
          <w:rFonts w:cstheme="minorHAnsi"/>
        </w:rPr>
        <w:t>Le projet NIF (jusqu'en mai 2028)</w:t>
      </w:r>
      <w:r w:rsidRPr="00995F6E">
        <w:rPr>
          <w:rFonts w:cstheme="minorHAnsi"/>
        </w:rPr>
        <w:t xml:space="preserve"> qui appuie déjà le renforcement de la Fondation Kibira et peut initier plusieurs actions de consolidation ;</w:t>
      </w:r>
    </w:p>
    <w:p w14:paraId="2791B19D" w14:textId="0910179F" w:rsidR="00062421" w:rsidRDefault="00062421" w:rsidP="0062653C">
      <w:pPr>
        <w:pStyle w:val="ListParagraph"/>
        <w:numPr>
          <w:ilvl w:val="0"/>
          <w:numId w:val="12"/>
        </w:numPr>
        <w:tabs>
          <w:tab w:val="clear" w:pos="720"/>
          <w:tab w:val="num" w:pos="284"/>
        </w:tabs>
        <w:spacing w:before="60" w:after="0" w:line="240" w:lineRule="auto"/>
        <w:ind w:left="284" w:hanging="284"/>
        <w:contextualSpacing w:val="0"/>
        <w:jc w:val="both"/>
        <w:rPr>
          <w:rFonts w:cstheme="minorHAnsi"/>
        </w:rPr>
      </w:pPr>
      <w:r>
        <w:rPr>
          <w:rFonts w:cstheme="minorHAnsi"/>
        </w:rPr>
        <w:t>U</w:t>
      </w:r>
      <w:r w:rsidR="00F87EB7" w:rsidRPr="00062421">
        <w:rPr>
          <w:rFonts w:cstheme="minorHAnsi"/>
        </w:rPr>
        <w:t xml:space="preserve">ne phase 2 potentielle du projet Kibira qui consoliderait et étendrait les résultats obtenus ; </w:t>
      </w:r>
    </w:p>
    <w:p w14:paraId="2D3598A9" w14:textId="77777777" w:rsidR="00062421" w:rsidRDefault="00062421" w:rsidP="00062421">
      <w:pPr>
        <w:pStyle w:val="ListParagraph"/>
        <w:numPr>
          <w:ilvl w:val="0"/>
          <w:numId w:val="12"/>
        </w:numPr>
        <w:tabs>
          <w:tab w:val="clear" w:pos="720"/>
          <w:tab w:val="num" w:pos="284"/>
        </w:tabs>
        <w:spacing w:before="60" w:after="0" w:line="240" w:lineRule="auto"/>
        <w:ind w:left="284" w:hanging="284"/>
        <w:contextualSpacing w:val="0"/>
        <w:jc w:val="both"/>
        <w:rPr>
          <w:rFonts w:cstheme="minorHAnsi"/>
        </w:rPr>
      </w:pPr>
      <w:r>
        <w:rPr>
          <w:rFonts w:cstheme="minorHAnsi"/>
        </w:rPr>
        <w:t>D</w:t>
      </w:r>
      <w:r w:rsidR="00F87EB7" w:rsidRPr="00062421">
        <w:rPr>
          <w:rFonts w:cstheme="minorHAnsi"/>
        </w:rPr>
        <w:t xml:space="preserve">e futures interventions d'autres partenaires au niveau du Parc National de la Kibira (projets PNUD Biodiversité, ENABEL </w:t>
      </w:r>
      <w:proofErr w:type="spellStart"/>
      <w:r w:rsidR="00F87EB7" w:rsidRPr="00062421">
        <w:rPr>
          <w:rFonts w:cstheme="minorHAnsi"/>
        </w:rPr>
        <w:t>NaturAfrica</w:t>
      </w:r>
      <w:proofErr w:type="spellEnd"/>
      <w:r w:rsidR="00F87EB7" w:rsidRPr="00062421">
        <w:rPr>
          <w:rFonts w:cstheme="minorHAnsi"/>
        </w:rPr>
        <w:t xml:space="preserve">, autres bailleurs) ; </w:t>
      </w:r>
    </w:p>
    <w:p w14:paraId="5C1F32A9" w14:textId="0732502A" w:rsidR="00062421" w:rsidRDefault="00062421" w:rsidP="00062421">
      <w:pPr>
        <w:pStyle w:val="ListParagraph"/>
        <w:numPr>
          <w:ilvl w:val="0"/>
          <w:numId w:val="12"/>
        </w:numPr>
        <w:tabs>
          <w:tab w:val="clear" w:pos="720"/>
          <w:tab w:val="num" w:pos="284"/>
        </w:tabs>
        <w:spacing w:before="60" w:after="0" w:line="240" w:lineRule="auto"/>
        <w:ind w:left="284" w:hanging="284"/>
        <w:contextualSpacing w:val="0"/>
        <w:jc w:val="both"/>
        <w:rPr>
          <w:rFonts w:cstheme="minorHAnsi"/>
        </w:rPr>
      </w:pPr>
      <w:r>
        <w:rPr>
          <w:rFonts w:cstheme="minorHAnsi"/>
        </w:rPr>
        <w:t>D</w:t>
      </w:r>
      <w:r w:rsidR="00F87EB7" w:rsidRPr="00062421">
        <w:rPr>
          <w:rFonts w:cstheme="minorHAnsi"/>
        </w:rPr>
        <w:t xml:space="preserve">es interventions du Gouvernement du Burundi </w:t>
      </w:r>
      <w:r w:rsidR="00D833D7">
        <w:rPr>
          <w:rFonts w:cstheme="minorHAnsi"/>
        </w:rPr>
        <w:t xml:space="preserve">et/ou de la Fondation Kibira </w:t>
      </w:r>
      <w:r w:rsidR="00F60D7B">
        <w:rPr>
          <w:rFonts w:cstheme="minorHAnsi"/>
        </w:rPr>
        <w:t>en matière de</w:t>
      </w:r>
      <w:r w:rsidR="00F87EB7" w:rsidRPr="00062421">
        <w:rPr>
          <w:rFonts w:cstheme="minorHAnsi"/>
        </w:rPr>
        <w:t xml:space="preserve"> conservation et </w:t>
      </w:r>
      <w:r w:rsidR="00F60D7B">
        <w:rPr>
          <w:rFonts w:cstheme="minorHAnsi"/>
        </w:rPr>
        <w:t>de</w:t>
      </w:r>
      <w:r w:rsidR="00F87EB7" w:rsidRPr="00062421">
        <w:rPr>
          <w:rFonts w:cstheme="minorHAnsi"/>
        </w:rPr>
        <w:t xml:space="preserve"> développement communautaire ; </w:t>
      </w:r>
    </w:p>
    <w:p w14:paraId="0DA9A3A7" w14:textId="242EF0B9" w:rsidR="00062421" w:rsidRDefault="00062421" w:rsidP="00062421">
      <w:pPr>
        <w:pStyle w:val="ListParagraph"/>
        <w:numPr>
          <w:ilvl w:val="0"/>
          <w:numId w:val="12"/>
        </w:numPr>
        <w:tabs>
          <w:tab w:val="clear" w:pos="720"/>
          <w:tab w:val="num" w:pos="284"/>
        </w:tabs>
        <w:spacing w:before="60" w:after="0" w:line="240" w:lineRule="auto"/>
        <w:ind w:left="284" w:hanging="284"/>
        <w:contextualSpacing w:val="0"/>
        <w:jc w:val="both"/>
        <w:rPr>
          <w:rFonts w:cstheme="minorHAnsi"/>
        </w:rPr>
      </w:pPr>
      <w:r>
        <w:rPr>
          <w:rFonts w:cstheme="minorHAnsi"/>
        </w:rPr>
        <w:t>D</w:t>
      </w:r>
      <w:r w:rsidR="00F87EB7" w:rsidRPr="00062421">
        <w:rPr>
          <w:rFonts w:cstheme="minorHAnsi"/>
        </w:rPr>
        <w:t xml:space="preserve">e nouveaux projets nexus </w:t>
      </w:r>
      <w:r w:rsidR="00D542D8">
        <w:rPr>
          <w:rFonts w:cstheme="minorHAnsi"/>
        </w:rPr>
        <w:t xml:space="preserve">lancés </w:t>
      </w:r>
      <w:r w:rsidR="00F87EB7" w:rsidRPr="00062421">
        <w:rPr>
          <w:rFonts w:cstheme="minorHAnsi"/>
        </w:rPr>
        <w:t xml:space="preserve">par l'UNCDF, le PNUD </w:t>
      </w:r>
      <w:r w:rsidR="00D542D8">
        <w:rPr>
          <w:rFonts w:cstheme="minorHAnsi"/>
        </w:rPr>
        <w:t>ou</w:t>
      </w:r>
      <w:r w:rsidR="00F87EB7" w:rsidRPr="00062421">
        <w:rPr>
          <w:rFonts w:cstheme="minorHAnsi"/>
        </w:rPr>
        <w:t xml:space="preserve"> d'autres agences dans la région des Grands Lacs ou ailleurs. </w:t>
      </w:r>
    </w:p>
    <w:p w14:paraId="1D431658" w14:textId="56F18CB4" w:rsidR="00F87EB7" w:rsidRDefault="00F87EB7" w:rsidP="0062653C">
      <w:pPr>
        <w:spacing w:after="0" w:line="240" w:lineRule="auto"/>
        <w:jc w:val="both"/>
        <w:rPr>
          <w:rFonts w:cstheme="minorHAnsi"/>
        </w:rPr>
      </w:pPr>
      <w:r w:rsidRPr="00062421">
        <w:rPr>
          <w:rFonts w:cstheme="minorHAnsi"/>
        </w:rPr>
        <w:t>Pour chaque recommandation, les cadres de mise en œuvre spécifiques, les acteurs concernés et les échéanciers sont précisés.</w:t>
      </w:r>
    </w:p>
    <w:p w14:paraId="637AB543" w14:textId="77777777" w:rsidR="00337CFB" w:rsidRDefault="00337CFB" w:rsidP="00207259">
      <w:pPr>
        <w:spacing w:line="240" w:lineRule="auto"/>
        <w:jc w:val="both"/>
        <w:rPr>
          <w:rFonts w:cstheme="minorHAnsi"/>
          <w:b/>
          <w:bCs/>
        </w:rPr>
      </w:pPr>
    </w:p>
    <w:p w14:paraId="445DA993" w14:textId="0802837B" w:rsidR="00207259" w:rsidRPr="00207259" w:rsidRDefault="00207259" w:rsidP="00207259">
      <w:pPr>
        <w:spacing w:line="240" w:lineRule="auto"/>
        <w:jc w:val="both"/>
        <w:rPr>
          <w:rFonts w:cstheme="minorHAnsi"/>
          <w:b/>
          <w:bCs/>
          <w:color w:val="000099"/>
        </w:rPr>
      </w:pPr>
      <w:r w:rsidRPr="00207259">
        <w:rPr>
          <w:rFonts w:cstheme="minorHAnsi"/>
          <w:b/>
          <w:bCs/>
          <w:color w:val="000099"/>
        </w:rPr>
        <w:t>RECOMMANDATIONS STRATÉGIQUES</w:t>
      </w:r>
    </w:p>
    <w:p w14:paraId="583F5873" w14:textId="3708788E" w:rsidR="00207259" w:rsidRPr="00207259" w:rsidRDefault="00207259" w:rsidP="00890240">
      <w:pPr>
        <w:spacing w:before="240" w:line="240" w:lineRule="auto"/>
        <w:jc w:val="both"/>
        <w:rPr>
          <w:rFonts w:cstheme="minorHAnsi"/>
          <w:color w:val="000099"/>
        </w:rPr>
      </w:pPr>
      <w:r w:rsidRPr="00207259">
        <w:rPr>
          <w:rFonts w:cstheme="minorHAnsi"/>
          <w:b/>
          <w:bCs/>
          <w:color w:val="000099"/>
        </w:rPr>
        <w:t xml:space="preserve">RS1. Capitaliser et diffuser les innovations pour favoriser </w:t>
      </w:r>
      <w:r w:rsidR="00C517AB">
        <w:rPr>
          <w:rFonts w:cstheme="minorHAnsi"/>
          <w:b/>
          <w:bCs/>
          <w:color w:val="000099"/>
        </w:rPr>
        <w:t>la cons</w:t>
      </w:r>
      <w:r w:rsidR="00897C69">
        <w:rPr>
          <w:rFonts w:cstheme="minorHAnsi"/>
          <w:b/>
          <w:bCs/>
          <w:color w:val="000099"/>
        </w:rPr>
        <w:t xml:space="preserve">olidation des acquis </w:t>
      </w:r>
      <w:r w:rsidR="00887C79">
        <w:rPr>
          <w:rFonts w:cstheme="minorHAnsi"/>
          <w:b/>
          <w:bCs/>
          <w:color w:val="000099"/>
        </w:rPr>
        <w:t xml:space="preserve">et </w:t>
      </w:r>
      <w:r w:rsidRPr="00207259">
        <w:rPr>
          <w:rFonts w:cstheme="minorHAnsi"/>
          <w:b/>
          <w:bCs/>
          <w:color w:val="000099"/>
        </w:rPr>
        <w:t>la mise à l'échelle</w:t>
      </w:r>
    </w:p>
    <w:p w14:paraId="11310AC6" w14:textId="27A806B0" w:rsidR="00207259" w:rsidRPr="00207259" w:rsidRDefault="00207259" w:rsidP="0013182B">
      <w:pPr>
        <w:spacing w:after="60" w:line="240" w:lineRule="auto"/>
        <w:jc w:val="both"/>
        <w:rPr>
          <w:rFonts w:cstheme="minorHAnsi"/>
        </w:rPr>
      </w:pPr>
      <w:r w:rsidRPr="00207259">
        <w:rPr>
          <w:rFonts w:cstheme="minorHAnsi"/>
        </w:rPr>
        <w:t xml:space="preserve">Le projet a généré des innovations majeures dont le potentiel de réplication est considérable mais qui demeurent insuffisamment documentées et diffusées. La capitalisation systématique de ces innovations et leur adaptation à d'autres contextes constituent une priorité pour maximiser l'impact au-delà du projet </w:t>
      </w:r>
      <w:r w:rsidR="006F3BAF">
        <w:rPr>
          <w:rFonts w:cstheme="minorHAnsi"/>
        </w:rPr>
        <w:t>Kibira</w:t>
      </w:r>
      <w:r w:rsidRPr="00207259">
        <w:rPr>
          <w:rFonts w:cstheme="minorHAnsi"/>
        </w:rPr>
        <w:t>. Plus particulièrement, il s'agit de :</w:t>
      </w:r>
    </w:p>
    <w:p w14:paraId="2176FCFD" w14:textId="4B246A5D" w:rsidR="00207259" w:rsidRPr="00207259" w:rsidRDefault="00207259" w:rsidP="00357CD2">
      <w:pPr>
        <w:numPr>
          <w:ilvl w:val="0"/>
          <w:numId w:val="14"/>
        </w:numPr>
        <w:spacing w:before="60" w:after="60" w:line="240" w:lineRule="auto"/>
        <w:ind w:left="357" w:hanging="357"/>
        <w:jc w:val="both"/>
        <w:rPr>
          <w:rFonts w:cstheme="minorHAnsi"/>
        </w:rPr>
      </w:pPr>
      <w:r w:rsidRPr="00207259">
        <w:rPr>
          <w:rFonts w:cstheme="minorHAnsi"/>
        </w:rPr>
        <w:t>Documenter de manière approfondie toutes les innovations : modèle de cogestion participative (processus, gouvernance, défis), mécanisme PSE (structuration contractuelle, facteurs de succès), PPP hydroélectrique (</w:t>
      </w:r>
      <w:r w:rsidR="006A29B8">
        <w:rPr>
          <w:rFonts w:cstheme="minorHAnsi"/>
        </w:rPr>
        <w:t>atténuation des risques</w:t>
      </w:r>
      <w:r w:rsidRPr="00207259">
        <w:rPr>
          <w:rFonts w:cstheme="minorHAnsi"/>
        </w:rPr>
        <w:t>, transformation en projet bancable), approche nexus climat-paix-sécurité, financement mixte (ratio de levier)</w:t>
      </w:r>
    </w:p>
    <w:p w14:paraId="6CD42C15" w14:textId="77777777" w:rsidR="00207259" w:rsidRPr="00207259" w:rsidRDefault="00207259" w:rsidP="00357CD2">
      <w:pPr>
        <w:numPr>
          <w:ilvl w:val="0"/>
          <w:numId w:val="14"/>
        </w:numPr>
        <w:spacing w:before="60" w:after="60" w:line="240" w:lineRule="auto"/>
        <w:ind w:left="357" w:hanging="357"/>
        <w:jc w:val="both"/>
        <w:rPr>
          <w:rFonts w:cstheme="minorHAnsi"/>
        </w:rPr>
      </w:pPr>
      <w:r w:rsidRPr="00207259">
        <w:rPr>
          <w:rFonts w:cstheme="minorHAnsi"/>
        </w:rPr>
        <w:lastRenderedPageBreak/>
        <w:t>Identifier les facteurs de succès, défis rencontrés, conditions de réplicabilité, et adaptations nécessaires selon les contextes</w:t>
      </w:r>
    </w:p>
    <w:p w14:paraId="22AC07FC" w14:textId="77777777" w:rsidR="00207259" w:rsidRDefault="00207259" w:rsidP="00357CD2">
      <w:pPr>
        <w:numPr>
          <w:ilvl w:val="0"/>
          <w:numId w:val="14"/>
        </w:numPr>
        <w:spacing w:before="60" w:after="60" w:line="240" w:lineRule="auto"/>
        <w:ind w:left="357" w:hanging="357"/>
        <w:jc w:val="both"/>
        <w:rPr>
          <w:rFonts w:cstheme="minorHAnsi"/>
        </w:rPr>
      </w:pPr>
      <w:r w:rsidRPr="00207259">
        <w:rPr>
          <w:rFonts w:cstheme="minorHAnsi"/>
        </w:rPr>
        <w:t>Diffuser auprès de la communauté de pratique : aires protégées burundaises, région Grands Lacs, programmes nexus internationaux, bailleurs</w:t>
      </w:r>
    </w:p>
    <w:p w14:paraId="1214FEE0" w14:textId="592D51B4" w:rsidR="00A043F1" w:rsidRPr="00207259" w:rsidRDefault="00A043F1" w:rsidP="0062653C">
      <w:pPr>
        <w:spacing w:before="60" w:after="60" w:line="240" w:lineRule="auto"/>
        <w:jc w:val="both"/>
        <w:rPr>
          <w:rFonts w:cstheme="minorHAnsi"/>
        </w:rPr>
      </w:pPr>
      <w:r w:rsidRPr="00A043F1">
        <w:rPr>
          <w:rFonts w:cstheme="minorHAnsi"/>
        </w:rPr>
        <w:t>Cette recommandation s'adresse principalement à l'UNCDF</w:t>
      </w:r>
      <w:r w:rsidR="0063602E">
        <w:rPr>
          <w:rFonts w:cstheme="minorHAnsi"/>
        </w:rPr>
        <w:t>, au gouvernement burundais</w:t>
      </w:r>
      <w:r w:rsidRPr="00A043F1">
        <w:rPr>
          <w:rFonts w:cstheme="minorHAnsi"/>
        </w:rPr>
        <w:t xml:space="preserve"> et aux bailleurs pour la documentation et la diffusion des innovations à court terme (6 mois), et servira ensuite de base pour l'adaptation de ces innovations dans d'autres contextes à moyen terme (2-3 ans). La diffusion ciblera les autres aires protégées </w:t>
      </w:r>
      <w:r w:rsidR="0063602E">
        <w:rPr>
          <w:rFonts w:cstheme="minorHAnsi"/>
        </w:rPr>
        <w:t>au B</w:t>
      </w:r>
      <w:r w:rsidRPr="00A043F1">
        <w:rPr>
          <w:rFonts w:cstheme="minorHAnsi"/>
        </w:rPr>
        <w:t>urund</w:t>
      </w:r>
      <w:r w:rsidR="0063602E">
        <w:rPr>
          <w:rFonts w:cstheme="minorHAnsi"/>
        </w:rPr>
        <w:t>i</w:t>
      </w:r>
      <w:r w:rsidRPr="00A043F1">
        <w:rPr>
          <w:rFonts w:cstheme="minorHAnsi"/>
        </w:rPr>
        <w:t xml:space="preserve"> dans le cadre de la politique nationale de conservation, la région des Grands Lacs pour des projets nexus similaires, et la communauté internationale des praticiens en conservation et consolidation de la paix. Les enseignements pourront être appliqués soit dans une phase 2 potentielle du projet Kibira, soit dans de nouveaux projets similaires développés par l'UNCDF, le PNUD ou d'autres agences.</w:t>
      </w:r>
    </w:p>
    <w:p w14:paraId="529263B1" w14:textId="77777777" w:rsidR="0085194F" w:rsidRPr="0062653C" w:rsidRDefault="00207259" w:rsidP="007077DD">
      <w:pPr>
        <w:spacing w:after="60" w:line="240" w:lineRule="auto"/>
        <w:jc w:val="both"/>
        <w:rPr>
          <w:rFonts w:cstheme="minorHAnsi"/>
          <w:i/>
          <w:iCs/>
        </w:rPr>
      </w:pPr>
      <w:r w:rsidRPr="001F0FDD">
        <w:rPr>
          <w:rFonts w:cstheme="minorHAnsi"/>
          <w:i/>
          <w:iCs/>
        </w:rPr>
        <w:t>Cible :</w:t>
      </w:r>
      <w:r w:rsidRPr="0062653C">
        <w:rPr>
          <w:rFonts w:cstheme="minorHAnsi"/>
          <w:i/>
          <w:iCs/>
        </w:rPr>
        <w:t xml:space="preserve"> UNCDF, Gouvernement, bailleurs, communauté internationale conservation/paix</w:t>
      </w:r>
    </w:p>
    <w:p w14:paraId="5BEA54AE" w14:textId="3F099419" w:rsidR="001F0FDD" w:rsidRDefault="001F0FDD" w:rsidP="007077DD">
      <w:pPr>
        <w:spacing w:before="60" w:line="240" w:lineRule="auto"/>
        <w:jc w:val="both"/>
        <w:rPr>
          <w:rFonts w:cstheme="minorHAnsi"/>
          <w:i/>
          <w:iCs/>
        </w:rPr>
      </w:pPr>
      <w:r>
        <w:rPr>
          <w:rFonts w:cstheme="minorHAnsi"/>
          <w:i/>
          <w:iCs/>
        </w:rPr>
        <w:t xml:space="preserve">Priorité : </w:t>
      </w:r>
      <w:r w:rsidR="00092E8A">
        <w:rPr>
          <w:rFonts w:cstheme="minorHAnsi"/>
          <w:i/>
          <w:iCs/>
        </w:rPr>
        <w:t>Elevée</w:t>
      </w:r>
      <w:r>
        <w:rPr>
          <w:rFonts w:cstheme="minorHAnsi"/>
          <w:i/>
          <w:iCs/>
        </w:rPr>
        <w:t xml:space="preserve"> </w:t>
      </w:r>
    </w:p>
    <w:p w14:paraId="6E016992" w14:textId="3765EAB8" w:rsidR="00207259" w:rsidRPr="0062653C" w:rsidRDefault="006F3BAF" w:rsidP="007077DD">
      <w:pPr>
        <w:spacing w:before="60" w:line="240" w:lineRule="auto"/>
        <w:jc w:val="both"/>
        <w:rPr>
          <w:rFonts w:cstheme="minorHAnsi"/>
          <w:i/>
          <w:iCs/>
        </w:rPr>
      </w:pPr>
      <w:r w:rsidRPr="001F0FDD">
        <w:rPr>
          <w:rFonts w:cstheme="minorHAnsi"/>
          <w:i/>
          <w:iCs/>
        </w:rPr>
        <w:t xml:space="preserve">Echéancier </w:t>
      </w:r>
      <w:r w:rsidR="00207259" w:rsidRPr="001F0FDD">
        <w:rPr>
          <w:rFonts w:cstheme="minorHAnsi"/>
          <w:i/>
          <w:iCs/>
        </w:rPr>
        <w:t>:</w:t>
      </w:r>
      <w:r w:rsidR="00207259" w:rsidRPr="0062653C">
        <w:rPr>
          <w:rFonts w:cstheme="minorHAnsi"/>
          <w:i/>
          <w:iCs/>
        </w:rPr>
        <w:t xml:space="preserve"> Court terme (documentation 6 mois) et moyen terme (réplication 2-3 ans)</w:t>
      </w:r>
    </w:p>
    <w:p w14:paraId="656F02C4" w14:textId="1F74448B" w:rsidR="00207259" w:rsidRPr="00207259" w:rsidRDefault="00207259" w:rsidP="00BB7373">
      <w:pPr>
        <w:spacing w:before="240" w:line="240" w:lineRule="auto"/>
        <w:jc w:val="both"/>
        <w:rPr>
          <w:rFonts w:cstheme="minorHAnsi"/>
          <w:b/>
          <w:bCs/>
          <w:color w:val="000099"/>
        </w:rPr>
      </w:pPr>
      <w:r w:rsidRPr="00207259">
        <w:rPr>
          <w:rFonts w:cstheme="minorHAnsi"/>
          <w:b/>
          <w:bCs/>
          <w:color w:val="000099"/>
        </w:rPr>
        <w:t xml:space="preserve">RS2. Renforcer les synergies et partenariats stratégiques pour </w:t>
      </w:r>
      <w:r w:rsidR="00BB7373">
        <w:rPr>
          <w:rFonts w:cstheme="minorHAnsi"/>
          <w:b/>
          <w:bCs/>
          <w:color w:val="000099"/>
        </w:rPr>
        <w:t xml:space="preserve">des </w:t>
      </w:r>
      <w:r w:rsidRPr="00207259">
        <w:rPr>
          <w:rFonts w:cstheme="minorHAnsi"/>
          <w:b/>
          <w:bCs/>
          <w:color w:val="000099"/>
        </w:rPr>
        <w:t>interventions intégrées</w:t>
      </w:r>
    </w:p>
    <w:p w14:paraId="6ECA1715" w14:textId="103FC8AE" w:rsidR="00207259" w:rsidRPr="00207259" w:rsidRDefault="00207259" w:rsidP="0013182B">
      <w:pPr>
        <w:spacing w:after="60" w:line="240" w:lineRule="auto"/>
        <w:jc w:val="both"/>
        <w:rPr>
          <w:rFonts w:cstheme="minorHAnsi"/>
        </w:rPr>
      </w:pPr>
      <w:r w:rsidRPr="00207259">
        <w:rPr>
          <w:rFonts w:cstheme="minorHAnsi"/>
        </w:rPr>
        <w:t xml:space="preserve">La multiplication des interventions dans le PNK par différents acteurs crée des risques de duplication et des opportunités de synergie insuffisamment exploitées. Le renforcement des partenariats et de la coordination maximisera l'efficience collective et la couverture géographique. </w:t>
      </w:r>
      <w:r w:rsidR="00BB7373">
        <w:rPr>
          <w:rFonts w:cstheme="minorHAnsi"/>
        </w:rPr>
        <w:t>Il s’agit c</w:t>
      </w:r>
      <w:r w:rsidRPr="00207259">
        <w:rPr>
          <w:rFonts w:cstheme="minorHAnsi"/>
        </w:rPr>
        <w:t>oncrètement</w:t>
      </w:r>
      <w:r w:rsidR="00BB7373">
        <w:rPr>
          <w:rFonts w:cstheme="minorHAnsi"/>
        </w:rPr>
        <w:t xml:space="preserve"> de</w:t>
      </w:r>
      <w:r w:rsidRPr="00207259">
        <w:rPr>
          <w:rFonts w:cstheme="minorHAnsi"/>
        </w:rPr>
        <w:t xml:space="preserve"> :</w:t>
      </w:r>
    </w:p>
    <w:p w14:paraId="314C3A67" w14:textId="7CF5EC42" w:rsidR="00BB7373" w:rsidRPr="00207259" w:rsidRDefault="00BB7373" w:rsidP="00357CD2">
      <w:pPr>
        <w:numPr>
          <w:ilvl w:val="0"/>
          <w:numId w:val="14"/>
        </w:numPr>
        <w:tabs>
          <w:tab w:val="num" w:pos="720"/>
        </w:tabs>
        <w:spacing w:before="60" w:after="60" w:line="240" w:lineRule="auto"/>
        <w:ind w:left="357" w:hanging="357"/>
        <w:jc w:val="both"/>
        <w:rPr>
          <w:rFonts w:cstheme="minorHAnsi"/>
        </w:rPr>
      </w:pPr>
      <w:r>
        <w:rPr>
          <w:rFonts w:cstheme="minorHAnsi"/>
        </w:rPr>
        <w:t>Au n</w:t>
      </w:r>
      <w:r w:rsidRPr="00207259">
        <w:rPr>
          <w:rFonts w:cstheme="minorHAnsi"/>
        </w:rPr>
        <w:t xml:space="preserve">iveau </w:t>
      </w:r>
      <w:r>
        <w:rPr>
          <w:rFonts w:cstheme="minorHAnsi"/>
        </w:rPr>
        <w:t xml:space="preserve">du </w:t>
      </w:r>
      <w:r w:rsidRPr="00207259">
        <w:rPr>
          <w:rFonts w:cstheme="minorHAnsi"/>
        </w:rPr>
        <w:t xml:space="preserve">PNK : </w:t>
      </w:r>
      <w:r w:rsidR="00B64D81" w:rsidRPr="00B64D81">
        <w:rPr>
          <w:rFonts w:cstheme="minorHAnsi"/>
        </w:rPr>
        <w:t xml:space="preserve">L'OBPE et la Fondation Kibira </w:t>
      </w:r>
      <w:r w:rsidR="00B64D81">
        <w:rPr>
          <w:rFonts w:cstheme="minorHAnsi"/>
        </w:rPr>
        <w:t>devraient assurer</w:t>
      </w:r>
      <w:r w:rsidR="00B64D81" w:rsidRPr="00B64D81">
        <w:rPr>
          <w:rFonts w:cstheme="minorHAnsi"/>
        </w:rPr>
        <w:t xml:space="preserve"> une coordination opérationnelle renforcée pour </w:t>
      </w:r>
      <w:r w:rsidR="00B64D81">
        <w:rPr>
          <w:rFonts w:cstheme="minorHAnsi"/>
        </w:rPr>
        <w:t>garantir</w:t>
      </w:r>
      <w:r w:rsidR="00B64D81" w:rsidRPr="00B64D81">
        <w:rPr>
          <w:rFonts w:cstheme="minorHAnsi"/>
        </w:rPr>
        <w:t xml:space="preserve"> la complémentarité des interventions de tous les acteurs, veiller à leur cohérence avec les objectifs nationaux de conservation et de développement communautaire, identifier les niches spécifiques pour chaque partenaire et maximiser la couverture géographique collective. Ceci pourrait se faire à travers la mise en place d'un comité de coordination réunissant tous les acteurs intervenant dans le parc (réunions trimestrielles), le partage systématique des plans d'action et des zones d'intervention de chaque partenaire, et la consultation préalable avant le lancement de nouvelles interventions.</w:t>
      </w:r>
      <w:r w:rsidR="00B64D81" w:rsidRPr="00B64D81" w:rsidDel="00B64D81">
        <w:rPr>
          <w:rFonts w:cstheme="minorHAnsi"/>
        </w:rPr>
        <w:t xml:space="preserve"> </w:t>
      </w:r>
    </w:p>
    <w:p w14:paraId="59E46076" w14:textId="59BE2319" w:rsidR="00207259" w:rsidRDefault="00D01B42" w:rsidP="00357CD2">
      <w:pPr>
        <w:numPr>
          <w:ilvl w:val="0"/>
          <w:numId w:val="14"/>
        </w:numPr>
        <w:tabs>
          <w:tab w:val="num" w:pos="720"/>
        </w:tabs>
        <w:spacing w:before="60" w:after="60" w:line="240" w:lineRule="auto"/>
        <w:ind w:left="357" w:hanging="357"/>
        <w:jc w:val="both"/>
        <w:rPr>
          <w:rFonts w:cstheme="minorHAnsi"/>
        </w:rPr>
      </w:pPr>
      <w:r>
        <w:rPr>
          <w:rFonts w:cstheme="minorHAnsi"/>
        </w:rPr>
        <w:t>Au niveau de l’UNCDF et du PNU</w:t>
      </w:r>
      <w:r w:rsidR="008F335D">
        <w:rPr>
          <w:rFonts w:cstheme="minorHAnsi"/>
        </w:rPr>
        <w:t>D</w:t>
      </w:r>
      <w:r>
        <w:rPr>
          <w:rFonts w:cstheme="minorHAnsi"/>
        </w:rPr>
        <w:t xml:space="preserve"> : </w:t>
      </w:r>
      <w:r w:rsidR="00EB154A">
        <w:rPr>
          <w:rFonts w:cstheme="minorHAnsi"/>
        </w:rPr>
        <w:t>L</w:t>
      </w:r>
      <w:r w:rsidR="00EB154A" w:rsidRPr="00EB154A">
        <w:rPr>
          <w:rFonts w:cstheme="minorHAnsi"/>
        </w:rPr>
        <w:t xml:space="preserve">es deux agences onusiennes </w:t>
      </w:r>
      <w:r w:rsidR="00EB154A">
        <w:rPr>
          <w:rFonts w:cstheme="minorHAnsi"/>
        </w:rPr>
        <w:t>devraient établir</w:t>
      </w:r>
      <w:r w:rsidR="00EB154A" w:rsidRPr="00EB154A">
        <w:rPr>
          <w:rFonts w:cstheme="minorHAnsi"/>
        </w:rPr>
        <w:t xml:space="preserve"> </w:t>
      </w:r>
      <w:r w:rsidR="00207259" w:rsidRPr="00207259">
        <w:rPr>
          <w:rFonts w:cstheme="minorHAnsi"/>
        </w:rPr>
        <w:t xml:space="preserve">un partenariat stratégique pour </w:t>
      </w:r>
      <w:r w:rsidR="00BB7373">
        <w:rPr>
          <w:rFonts w:cstheme="minorHAnsi"/>
        </w:rPr>
        <w:t xml:space="preserve">la </w:t>
      </w:r>
      <w:r w:rsidR="00207259" w:rsidRPr="00207259">
        <w:rPr>
          <w:rFonts w:cstheme="minorHAnsi"/>
        </w:rPr>
        <w:t>gestion conjointe de projets nexus</w:t>
      </w:r>
      <w:r w:rsidR="00EB154A">
        <w:rPr>
          <w:rFonts w:cstheme="minorHAnsi"/>
        </w:rPr>
        <w:t xml:space="preserve">. </w:t>
      </w:r>
      <w:r w:rsidR="00207259" w:rsidRPr="00207259">
        <w:rPr>
          <w:rFonts w:cstheme="minorHAnsi"/>
        </w:rPr>
        <w:t xml:space="preserve"> </w:t>
      </w:r>
      <w:r w:rsidR="008E01EC">
        <w:rPr>
          <w:rFonts w:cstheme="minorHAnsi"/>
        </w:rPr>
        <w:t xml:space="preserve">Ce partenariat </w:t>
      </w:r>
      <w:r w:rsidRPr="00D01B42">
        <w:rPr>
          <w:rFonts w:cstheme="minorHAnsi"/>
        </w:rPr>
        <w:t>permett</w:t>
      </w:r>
      <w:r w:rsidR="008E01EC">
        <w:rPr>
          <w:rFonts w:cstheme="minorHAnsi"/>
        </w:rPr>
        <w:t>ra</w:t>
      </w:r>
      <w:r w:rsidRPr="00D01B42">
        <w:rPr>
          <w:rFonts w:cstheme="minorHAnsi"/>
        </w:rPr>
        <w:t xml:space="preserve"> de combiner l'expertise financière de l'UNCDF avec le savoir-faire du PNUD en consolidation de la paix</w:t>
      </w:r>
      <w:r>
        <w:rPr>
          <w:rFonts w:cstheme="minorHAnsi"/>
        </w:rPr>
        <w:t xml:space="preserve"> et développement communautaire</w:t>
      </w:r>
      <w:r w:rsidRPr="00D01B42">
        <w:rPr>
          <w:rFonts w:cstheme="minorHAnsi"/>
        </w:rPr>
        <w:t xml:space="preserve">, de mutualiser les ressources et de développer une offre conjointe </w:t>
      </w:r>
      <w:r>
        <w:rPr>
          <w:rFonts w:cstheme="minorHAnsi"/>
        </w:rPr>
        <w:t xml:space="preserve">attractive </w:t>
      </w:r>
      <w:r w:rsidRPr="00D01B42">
        <w:rPr>
          <w:rFonts w:cstheme="minorHAnsi"/>
        </w:rPr>
        <w:t>pour les bailleurs</w:t>
      </w:r>
      <w:r>
        <w:rPr>
          <w:rFonts w:cstheme="minorHAnsi"/>
        </w:rPr>
        <w:t xml:space="preserve">. </w:t>
      </w:r>
    </w:p>
    <w:p w14:paraId="693D6E6B" w14:textId="6266C56C" w:rsidR="001C03D8" w:rsidRDefault="001C03D8" w:rsidP="00357CD2">
      <w:pPr>
        <w:numPr>
          <w:ilvl w:val="0"/>
          <w:numId w:val="14"/>
        </w:numPr>
        <w:tabs>
          <w:tab w:val="num" w:pos="720"/>
        </w:tabs>
        <w:spacing w:before="60" w:after="60" w:line="240" w:lineRule="auto"/>
        <w:ind w:left="357" w:hanging="357"/>
        <w:jc w:val="both"/>
        <w:rPr>
          <w:rFonts w:cstheme="minorHAnsi"/>
        </w:rPr>
      </w:pPr>
      <w:r w:rsidRPr="001C03D8">
        <w:rPr>
          <w:rFonts w:cstheme="minorHAnsi"/>
        </w:rPr>
        <w:t xml:space="preserve">Au niveau du secteur privé et des dividendes de paix : </w:t>
      </w:r>
      <w:r w:rsidR="007E6CF2" w:rsidRPr="007E6CF2">
        <w:rPr>
          <w:rFonts w:cstheme="minorHAnsi"/>
        </w:rPr>
        <w:t>Il est recommandé que l'UNCDF et le PNUD systématisent l'engagement du secteur privé dans les projets nexus en tant que générateur de dividendes de paix durables, en développant une approche de financement mixte institutionnalisée pour la conception de nouveaux projets. Ceci pourrait se faire à travers l'identification précoce des opportunités de partenariats public-privé (PPP) dès la phase de conception, la structuration d'investissements publics catalytiques pour mobiliser le secteur privé, l'intégration de mécanismes contractuels de partage de bénéfices (type PSE) garantissant des retombées locales, et le suivi systématique des dividendes de paix générés (emplois créés, revenus communautaires, cohésion sociale).</w:t>
      </w:r>
    </w:p>
    <w:p w14:paraId="301ABDE5" w14:textId="77777777" w:rsidR="009C6030" w:rsidRPr="0062653C" w:rsidRDefault="00207259" w:rsidP="0062653C">
      <w:pPr>
        <w:spacing w:line="240" w:lineRule="auto"/>
        <w:jc w:val="both"/>
        <w:rPr>
          <w:rFonts w:cstheme="minorHAnsi"/>
          <w:i/>
          <w:iCs/>
        </w:rPr>
      </w:pPr>
      <w:r w:rsidRPr="002166AD">
        <w:rPr>
          <w:rFonts w:cstheme="minorHAnsi"/>
          <w:i/>
          <w:iCs/>
        </w:rPr>
        <w:t>Cible :</w:t>
      </w:r>
      <w:r w:rsidRPr="0062653C">
        <w:rPr>
          <w:rFonts w:cstheme="minorHAnsi"/>
          <w:i/>
          <w:iCs/>
        </w:rPr>
        <w:t xml:space="preserve"> UNCDF, PNUD, Fondation Kibira, OBPE, bailleurs, ONG actives PNK</w:t>
      </w:r>
    </w:p>
    <w:p w14:paraId="72F23FED" w14:textId="23EC6D3F" w:rsidR="00695477" w:rsidRDefault="00695477" w:rsidP="00695477">
      <w:pPr>
        <w:spacing w:before="60" w:line="240" w:lineRule="auto"/>
        <w:jc w:val="both"/>
        <w:rPr>
          <w:rFonts w:cstheme="minorHAnsi"/>
          <w:i/>
          <w:iCs/>
        </w:rPr>
      </w:pPr>
      <w:r>
        <w:rPr>
          <w:rFonts w:cstheme="minorHAnsi"/>
          <w:i/>
          <w:iCs/>
        </w:rPr>
        <w:t xml:space="preserve">Priorité : </w:t>
      </w:r>
      <w:r w:rsidR="00092E8A">
        <w:rPr>
          <w:rFonts w:cstheme="minorHAnsi"/>
          <w:i/>
          <w:iCs/>
        </w:rPr>
        <w:t>Elevée</w:t>
      </w:r>
      <w:r>
        <w:rPr>
          <w:rFonts w:cstheme="minorHAnsi"/>
          <w:i/>
          <w:iCs/>
        </w:rPr>
        <w:t xml:space="preserve"> </w:t>
      </w:r>
    </w:p>
    <w:p w14:paraId="77A6C2D1" w14:textId="31B01C5E" w:rsidR="009C6030" w:rsidRPr="0062653C" w:rsidRDefault="009C6030" w:rsidP="009C6030">
      <w:pPr>
        <w:spacing w:before="60" w:line="240" w:lineRule="auto"/>
        <w:jc w:val="both"/>
        <w:rPr>
          <w:rFonts w:cstheme="minorHAnsi"/>
          <w:i/>
          <w:iCs/>
        </w:rPr>
      </w:pPr>
      <w:r w:rsidRPr="00695477">
        <w:rPr>
          <w:rFonts w:cstheme="minorHAnsi"/>
          <w:i/>
          <w:iCs/>
        </w:rPr>
        <w:t>Echéancier</w:t>
      </w:r>
      <w:r w:rsidR="00207259" w:rsidRPr="00695477">
        <w:rPr>
          <w:rFonts w:cstheme="minorHAnsi"/>
          <w:i/>
          <w:iCs/>
        </w:rPr>
        <w:t xml:space="preserve"> :</w:t>
      </w:r>
      <w:r w:rsidR="00207259" w:rsidRPr="0062653C">
        <w:rPr>
          <w:rFonts w:cstheme="minorHAnsi"/>
          <w:i/>
          <w:iCs/>
        </w:rPr>
        <w:t xml:space="preserve"> Court terme (mise en place) et continu</w:t>
      </w:r>
    </w:p>
    <w:p w14:paraId="44B81064" w14:textId="5E14CFF3" w:rsidR="00207259" w:rsidRPr="00207259" w:rsidRDefault="00207259" w:rsidP="009C6030">
      <w:pPr>
        <w:spacing w:before="240" w:line="240" w:lineRule="auto"/>
        <w:jc w:val="both"/>
        <w:rPr>
          <w:rFonts w:cstheme="minorHAnsi"/>
          <w:b/>
          <w:bCs/>
          <w:color w:val="000099"/>
        </w:rPr>
      </w:pPr>
      <w:r w:rsidRPr="00207259">
        <w:rPr>
          <w:rFonts w:cstheme="minorHAnsi"/>
          <w:b/>
          <w:bCs/>
          <w:color w:val="000099"/>
        </w:rPr>
        <w:lastRenderedPageBreak/>
        <w:t xml:space="preserve">RS3. Adopter une approche d'équilibrage budgétaire pour </w:t>
      </w:r>
      <w:r w:rsidR="00625A0B">
        <w:rPr>
          <w:rFonts w:cstheme="minorHAnsi"/>
          <w:b/>
          <w:bCs/>
          <w:color w:val="000099"/>
        </w:rPr>
        <w:t xml:space="preserve">des </w:t>
      </w:r>
      <w:r w:rsidRPr="00207259">
        <w:rPr>
          <w:rFonts w:cstheme="minorHAnsi"/>
          <w:b/>
          <w:bCs/>
          <w:color w:val="000099"/>
        </w:rPr>
        <w:t>projets complexes similaires</w:t>
      </w:r>
    </w:p>
    <w:p w14:paraId="5BDBAD3A" w14:textId="2DC06AE5" w:rsidR="00207259" w:rsidRPr="00207259" w:rsidRDefault="00207259" w:rsidP="00BF0C3E">
      <w:pPr>
        <w:spacing w:after="0" w:line="240" w:lineRule="auto"/>
        <w:jc w:val="both"/>
        <w:rPr>
          <w:rFonts w:cstheme="minorHAnsi"/>
        </w:rPr>
      </w:pPr>
      <w:r w:rsidRPr="00207259">
        <w:rPr>
          <w:rFonts w:cstheme="minorHAnsi"/>
        </w:rPr>
        <w:t xml:space="preserve">L'allocation budgétaire du projet a privilégié les investissements structurants long terme au détriment des retombées immédiates pour les communautés. Les projets futurs doivent équilibrer ces dimensions pour assurer durabilité structurelle et adhésion communautaire. </w:t>
      </w:r>
      <w:r w:rsidR="005312D3">
        <w:rPr>
          <w:rFonts w:cstheme="minorHAnsi"/>
        </w:rPr>
        <w:t>Ainsi, i</w:t>
      </w:r>
      <w:r w:rsidRPr="00207259">
        <w:rPr>
          <w:rFonts w:cstheme="minorHAnsi"/>
        </w:rPr>
        <w:t xml:space="preserve">l </w:t>
      </w:r>
      <w:r w:rsidR="002A6D2B">
        <w:rPr>
          <w:rFonts w:cstheme="minorHAnsi"/>
        </w:rPr>
        <w:t>est recommandé aux concepteurs de nouvelles interventions nexus (UNCDF et autres bailleurs)</w:t>
      </w:r>
      <w:r w:rsidR="00A514A3">
        <w:rPr>
          <w:rFonts w:cstheme="minorHAnsi"/>
        </w:rPr>
        <w:t xml:space="preserve"> </w:t>
      </w:r>
      <w:r w:rsidR="002A6D2B">
        <w:rPr>
          <w:rFonts w:cstheme="minorHAnsi"/>
        </w:rPr>
        <w:t>d’a</w:t>
      </w:r>
      <w:r w:rsidRPr="00207259">
        <w:rPr>
          <w:rFonts w:cstheme="minorHAnsi"/>
        </w:rPr>
        <w:t xml:space="preserve">llouer </w:t>
      </w:r>
      <w:r w:rsidR="005312D3">
        <w:rPr>
          <w:rFonts w:cstheme="minorHAnsi"/>
        </w:rPr>
        <w:t xml:space="preserve">un </w:t>
      </w:r>
      <w:r w:rsidRPr="00207259">
        <w:rPr>
          <w:rFonts w:cstheme="minorHAnsi"/>
        </w:rPr>
        <w:t>budget</w:t>
      </w:r>
      <w:r w:rsidR="002A6D2B">
        <w:rPr>
          <w:rFonts w:cstheme="minorHAnsi"/>
        </w:rPr>
        <w:t xml:space="preserve"> minimum (par exemple 20%)</w:t>
      </w:r>
      <w:r w:rsidRPr="00207259">
        <w:rPr>
          <w:rFonts w:cstheme="minorHAnsi"/>
        </w:rPr>
        <w:t xml:space="preserve"> à </w:t>
      </w:r>
      <w:r w:rsidR="009E4B82">
        <w:rPr>
          <w:rFonts w:cstheme="minorHAnsi"/>
        </w:rPr>
        <w:t xml:space="preserve">des </w:t>
      </w:r>
      <w:r w:rsidRPr="00207259">
        <w:rPr>
          <w:rFonts w:cstheme="minorHAnsi"/>
        </w:rPr>
        <w:t xml:space="preserve">actions à retombées immédiates et visibles : AGR, infrastructures sociales, cohésion sociale, travaux de conservation avec emploi </w:t>
      </w:r>
      <w:r w:rsidR="005312D3">
        <w:rPr>
          <w:rFonts w:cstheme="minorHAnsi"/>
        </w:rPr>
        <w:t xml:space="preserve">de </w:t>
      </w:r>
      <w:r w:rsidRPr="00207259">
        <w:rPr>
          <w:rFonts w:cstheme="minorHAnsi"/>
        </w:rPr>
        <w:t>main d'œuvre locale</w:t>
      </w:r>
      <w:r w:rsidR="005312D3">
        <w:rPr>
          <w:rFonts w:cstheme="minorHAnsi"/>
        </w:rPr>
        <w:t>, etc.</w:t>
      </w:r>
    </w:p>
    <w:p w14:paraId="7C07AFA3" w14:textId="77777777" w:rsidR="00017EE4" w:rsidRDefault="00207259" w:rsidP="00017EE4">
      <w:pPr>
        <w:spacing w:after="60" w:line="240" w:lineRule="auto"/>
        <w:jc w:val="both"/>
        <w:rPr>
          <w:rFonts w:cstheme="minorHAnsi"/>
          <w:i/>
          <w:iCs/>
        </w:rPr>
      </w:pPr>
      <w:r w:rsidRPr="00207259">
        <w:rPr>
          <w:rFonts w:cstheme="minorHAnsi"/>
          <w:i/>
          <w:iCs/>
        </w:rPr>
        <w:t>Cible : UNCDF, bailleurs, concepteurs projets complexes similaires</w:t>
      </w:r>
    </w:p>
    <w:p w14:paraId="6D5FF337" w14:textId="34BDA76D" w:rsidR="00541318" w:rsidRDefault="00541318" w:rsidP="00541318">
      <w:pPr>
        <w:spacing w:before="60" w:line="240" w:lineRule="auto"/>
        <w:jc w:val="both"/>
        <w:rPr>
          <w:rFonts w:cstheme="minorHAnsi"/>
          <w:i/>
          <w:iCs/>
        </w:rPr>
      </w:pPr>
      <w:r>
        <w:rPr>
          <w:rFonts w:cstheme="minorHAnsi"/>
          <w:i/>
          <w:iCs/>
        </w:rPr>
        <w:t xml:space="preserve">Priorité : Moyenne  </w:t>
      </w:r>
    </w:p>
    <w:p w14:paraId="6A8A8D19" w14:textId="58D3011D" w:rsidR="00207259" w:rsidRPr="00207259" w:rsidRDefault="005312D3" w:rsidP="00292C0D">
      <w:pPr>
        <w:spacing w:before="60" w:line="240" w:lineRule="auto"/>
        <w:jc w:val="both"/>
        <w:rPr>
          <w:rFonts w:cstheme="minorHAnsi"/>
          <w:i/>
          <w:iCs/>
        </w:rPr>
      </w:pPr>
      <w:r>
        <w:rPr>
          <w:rFonts w:cstheme="minorHAnsi"/>
          <w:i/>
          <w:iCs/>
        </w:rPr>
        <w:t>Echéancier</w:t>
      </w:r>
      <w:r w:rsidR="00207259" w:rsidRPr="00207259">
        <w:rPr>
          <w:rFonts w:cstheme="minorHAnsi"/>
          <w:i/>
          <w:iCs/>
        </w:rPr>
        <w:t xml:space="preserve"> : Dès conception </w:t>
      </w:r>
      <w:r w:rsidR="00EF0EE8">
        <w:rPr>
          <w:rFonts w:cstheme="minorHAnsi"/>
          <w:i/>
          <w:iCs/>
        </w:rPr>
        <w:t xml:space="preserve">de </w:t>
      </w:r>
      <w:r w:rsidR="00207259" w:rsidRPr="00207259">
        <w:rPr>
          <w:rFonts w:cstheme="minorHAnsi"/>
          <w:i/>
          <w:iCs/>
        </w:rPr>
        <w:t>futurs projets</w:t>
      </w:r>
    </w:p>
    <w:p w14:paraId="0E6C1116" w14:textId="331BA5F0" w:rsidR="00207259" w:rsidRPr="00207259" w:rsidRDefault="00207259" w:rsidP="000E576D">
      <w:pPr>
        <w:spacing w:before="240" w:line="240" w:lineRule="auto"/>
        <w:jc w:val="both"/>
        <w:rPr>
          <w:rFonts w:cstheme="minorHAnsi"/>
          <w:b/>
          <w:bCs/>
          <w:color w:val="000099"/>
        </w:rPr>
      </w:pPr>
      <w:r w:rsidRPr="00207259">
        <w:rPr>
          <w:rFonts w:cstheme="minorHAnsi"/>
          <w:b/>
          <w:bCs/>
          <w:color w:val="000099"/>
        </w:rPr>
        <w:t>RS4. Étendre géographiquement l'approche intégrée et développer une stratégie durable d'accès aux terres</w:t>
      </w:r>
    </w:p>
    <w:p w14:paraId="62D82C8B" w14:textId="1C4C68B7" w:rsidR="00207259" w:rsidRPr="00207259" w:rsidRDefault="003633C6" w:rsidP="00C83820">
      <w:pPr>
        <w:spacing w:after="0" w:line="240" w:lineRule="auto"/>
        <w:jc w:val="both"/>
        <w:rPr>
          <w:rFonts w:cstheme="minorHAnsi"/>
        </w:rPr>
      </w:pPr>
      <w:r w:rsidRPr="003633C6">
        <w:rPr>
          <w:rFonts w:cstheme="minorHAnsi"/>
        </w:rPr>
        <w:t xml:space="preserve">Les activités communautaires ont été conçues comme interventions pilotes dans trois </w:t>
      </w:r>
      <w:r>
        <w:rPr>
          <w:rFonts w:cstheme="minorHAnsi"/>
        </w:rPr>
        <w:t>collines</w:t>
      </w:r>
      <w:r w:rsidRPr="003633C6">
        <w:rPr>
          <w:rFonts w:cstheme="minorHAnsi"/>
        </w:rPr>
        <w:t xml:space="preserve"> mais sont restées concentrées sur </w:t>
      </w:r>
      <w:proofErr w:type="spellStart"/>
      <w:r w:rsidRPr="003633C6">
        <w:rPr>
          <w:rFonts w:cstheme="minorHAnsi"/>
        </w:rPr>
        <w:t>Muciro</w:t>
      </w:r>
      <w:proofErr w:type="spellEnd"/>
      <w:r w:rsidRPr="003633C6">
        <w:rPr>
          <w:rFonts w:cstheme="minorHAnsi"/>
        </w:rPr>
        <w:t xml:space="preserve"> en raison de contraintes de mise en œuvre </w:t>
      </w:r>
      <w:r>
        <w:rPr>
          <w:rFonts w:cstheme="minorHAnsi"/>
        </w:rPr>
        <w:t>dans les deux autres zones</w:t>
      </w:r>
      <w:r w:rsidRPr="003633C6">
        <w:rPr>
          <w:rFonts w:cstheme="minorHAnsi"/>
        </w:rPr>
        <w:t xml:space="preserve">. </w:t>
      </w:r>
      <w:r w:rsidR="00207259" w:rsidRPr="00207259">
        <w:rPr>
          <w:rFonts w:cstheme="minorHAnsi"/>
        </w:rPr>
        <w:t xml:space="preserve">L'extension de l'approche intégrée et la résolution du besoin </w:t>
      </w:r>
      <w:r w:rsidR="0071297B">
        <w:rPr>
          <w:rFonts w:cstheme="minorHAnsi"/>
        </w:rPr>
        <w:t>foncier</w:t>
      </w:r>
      <w:r w:rsidR="00207259" w:rsidRPr="00207259">
        <w:rPr>
          <w:rFonts w:cstheme="minorHAnsi"/>
        </w:rPr>
        <w:t xml:space="preserve"> sont essentielles pour la durabilité à l'échelle du parc.</w:t>
      </w:r>
      <w:r w:rsidR="00564BD5">
        <w:rPr>
          <w:rFonts w:cstheme="minorHAnsi"/>
        </w:rPr>
        <w:t xml:space="preserve"> Ainsi, il est recommandé de </w:t>
      </w:r>
      <w:r w:rsidR="00207259" w:rsidRPr="00207259">
        <w:rPr>
          <w:rFonts w:cstheme="minorHAnsi"/>
        </w:rPr>
        <w:t>:</w:t>
      </w:r>
    </w:p>
    <w:p w14:paraId="56A2BCE6" w14:textId="65D67AD5" w:rsidR="006425A3" w:rsidRDefault="006425A3" w:rsidP="00357CD2">
      <w:pPr>
        <w:numPr>
          <w:ilvl w:val="0"/>
          <w:numId w:val="14"/>
        </w:numPr>
        <w:tabs>
          <w:tab w:val="num" w:pos="720"/>
        </w:tabs>
        <w:spacing w:before="0" w:after="0" w:line="240" w:lineRule="auto"/>
        <w:ind w:left="357" w:hanging="357"/>
        <w:jc w:val="both"/>
        <w:rPr>
          <w:rFonts w:cstheme="minorHAnsi"/>
        </w:rPr>
      </w:pPr>
      <w:r>
        <w:rPr>
          <w:rFonts w:cstheme="minorHAnsi"/>
        </w:rPr>
        <w:t>Promouvoir l’approche paysages te</w:t>
      </w:r>
      <w:r w:rsidR="00E15078">
        <w:rPr>
          <w:rFonts w:cstheme="minorHAnsi"/>
        </w:rPr>
        <w:t xml:space="preserve">lle que définie </w:t>
      </w:r>
      <w:r>
        <w:rPr>
          <w:rFonts w:cstheme="minorHAnsi"/>
        </w:rPr>
        <w:t xml:space="preserve">par l’UICN </w:t>
      </w:r>
      <w:r w:rsidR="00E15078">
        <w:rPr>
          <w:rFonts w:cstheme="minorHAnsi"/>
        </w:rPr>
        <w:t>pour ten</w:t>
      </w:r>
      <w:r w:rsidR="005679BD">
        <w:rPr>
          <w:rFonts w:cstheme="minorHAnsi"/>
        </w:rPr>
        <w:t>i</w:t>
      </w:r>
      <w:r w:rsidR="00E15078">
        <w:rPr>
          <w:rFonts w:cstheme="minorHAnsi"/>
        </w:rPr>
        <w:t xml:space="preserve">r compte des </w:t>
      </w:r>
      <w:r w:rsidR="005679BD">
        <w:rPr>
          <w:rFonts w:cstheme="minorHAnsi"/>
        </w:rPr>
        <w:t xml:space="preserve">autres </w:t>
      </w:r>
      <w:r w:rsidR="00E15078">
        <w:rPr>
          <w:rFonts w:cstheme="minorHAnsi"/>
        </w:rPr>
        <w:t>fac</w:t>
      </w:r>
      <w:r w:rsidR="005679BD">
        <w:rPr>
          <w:rFonts w:cstheme="minorHAnsi"/>
        </w:rPr>
        <w:t xml:space="preserve">teurs humains, économiques, politiques, </w:t>
      </w:r>
      <w:r w:rsidR="002B5569">
        <w:rPr>
          <w:rFonts w:cstheme="minorHAnsi"/>
        </w:rPr>
        <w:t xml:space="preserve">environnementaux </w:t>
      </w:r>
      <w:r w:rsidR="005679BD">
        <w:rPr>
          <w:rFonts w:cstheme="minorHAnsi"/>
        </w:rPr>
        <w:t xml:space="preserve">et </w:t>
      </w:r>
      <w:r w:rsidR="00DD34B5">
        <w:rPr>
          <w:rFonts w:cstheme="minorHAnsi"/>
        </w:rPr>
        <w:t>socia</w:t>
      </w:r>
      <w:r w:rsidR="00AE18BE">
        <w:rPr>
          <w:rFonts w:cstheme="minorHAnsi"/>
        </w:rPr>
        <w:t>ux</w:t>
      </w:r>
      <w:r w:rsidR="00DD34B5">
        <w:rPr>
          <w:rFonts w:cstheme="minorHAnsi"/>
        </w:rPr>
        <w:t xml:space="preserve"> autour</w:t>
      </w:r>
      <w:r w:rsidR="005679BD">
        <w:rPr>
          <w:rFonts w:cstheme="minorHAnsi"/>
        </w:rPr>
        <w:t xml:space="preserve"> du PNK qui ont un impact</w:t>
      </w:r>
      <w:r w:rsidR="007C3039">
        <w:rPr>
          <w:rFonts w:cstheme="minorHAnsi"/>
        </w:rPr>
        <w:t xml:space="preserve"> </w:t>
      </w:r>
      <w:r w:rsidR="005679BD">
        <w:rPr>
          <w:rFonts w:cstheme="minorHAnsi"/>
        </w:rPr>
        <w:t>sur sa gestion</w:t>
      </w:r>
      <w:r w:rsidR="00564BD5">
        <w:rPr>
          <w:rFonts w:cstheme="minorHAnsi"/>
        </w:rPr>
        <w:t>.</w:t>
      </w:r>
      <w:r w:rsidR="005937FA">
        <w:rPr>
          <w:rFonts w:cstheme="minorHAnsi"/>
        </w:rPr>
        <w:t xml:space="preserve"> </w:t>
      </w:r>
    </w:p>
    <w:p w14:paraId="1A31A924" w14:textId="3DB4A821" w:rsidR="00207259" w:rsidRPr="00207259" w:rsidRDefault="00207259" w:rsidP="00357CD2">
      <w:pPr>
        <w:numPr>
          <w:ilvl w:val="0"/>
          <w:numId w:val="14"/>
        </w:numPr>
        <w:tabs>
          <w:tab w:val="num" w:pos="720"/>
        </w:tabs>
        <w:spacing w:before="0" w:after="0" w:line="240" w:lineRule="auto"/>
        <w:ind w:left="357" w:hanging="357"/>
        <w:jc w:val="both"/>
        <w:rPr>
          <w:rFonts w:cstheme="minorHAnsi"/>
        </w:rPr>
      </w:pPr>
      <w:r w:rsidRPr="00207259">
        <w:rPr>
          <w:rFonts w:cstheme="minorHAnsi"/>
        </w:rPr>
        <w:t xml:space="preserve">Étendre progressivement le paquet complet d'interventions (pas uniquement </w:t>
      </w:r>
      <w:r w:rsidR="0071297B">
        <w:rPr>
          <w:rFonts w:cstheme="minorHAnsi"/>
        </w:rPr>
        <w:t xml:space="preserve">distribution de </w:t>
      </w:r>
      <w:r w:rsidRPr="00207259">
        <w:rPr>
          <w:rFonts w:cstheme="minorHAnsi"/>
        </w:rPr>
        <w:t>plants) aux zones périphériques non/faiblement couvertes, en priorisant</w:t>
      </w:r>
      <w:r w:rsidR="00F219CD">
        <w:rPr>
          <w:rFonts w:cstheme="minorHAnsi"/>
        </w:rPr>
        <w:t xml:space="preserve"> les</w:t>
      </w:r>
      <w:r w:rsidRPr="00207259">
        <w:rPr>
          <w:rFonts w:cstheme="minorHAnsi"/>
        </w:rPr>
        <w:t xml:space="preserve"> zones à forte pression et </w:t>
      </w:r>
      <w:r w:rsidR="00F219CD">
        <w:rPr>
          <w:rFonts w:cstheme="minorHAnsi"/>
        </w:rPr>
        <w:t xml:space="preserve">les </w:t>
      </w:r>
      <w:r w:rsidRPr="00207259">
        <w:rPr>
          <w:rFonts w:cstheme="minorHAnsi"/>
        </w:rPr>
        <w:t>communautés vulnérables</w:t>
      </w:r>
      <w:r w:rsidR="00F219CD">
        <w:rPr>
          <w:rFonts w:cstheme="minorHAnsi"/>
        </w:rPr>
        <w:t>.</w:t>
      </w:r>
    </w:p>
    <w:p w14:paraId="7E3278FB" w14:textId="5E6905E7" w:rsidR="00207259" w:rsidRPr="00207259" w:rsidRDefault="00207259" w:rsidP="00357CD2">
      <w:pPr>
        <w:numPr>
          <w:ilvl w:val="0"/>
          <w:numId w:val="14"/>
        </w:numPr>
        <w:tabs>
          <w:tab w:val="num" w:pos="720"/>
        </w:tabs>
        <w:spacing w:before="0" w:after="0" w:line="240" w:lineRule="auto"/>
        <w:ind w:left="357" w:hanging="357"/>
        <w:jc w:val="both"/>
        <w:rPr>
          <w:rFonts w:cstheme="minorHAnsi"/>
        </w:rPr>
      </w:pPr>
      <w:r w:rsidRPr="00207259">
        <w:rPr>
          <w:rFonts w:cstheme="minorHAnsi"/>
        </w:rPr>
        <w:t xml:space="preserve">Reproduire l'approche intégrée de </w:t>
      </w:r>
      <w:proofErr w:type="spellStart"/>
      <w:r w:rsidRPr="00207259">
        <w:rPr>
          <w:rFonts w:cstheme="minorHAnsi"/>
        </w:rPr>
        <w:t>Muciro</w:t>
      </w:r>
      <w:proofErr w:type="spellEnd"/>
      <w:r w:rsidRPr="00207259">
        <w:rPr>
          <w:rFonts w:cstheme="minorHAnsi"/>
        </w:rPr>
        <w:t xml:space="preserve"> : AGR</w:t>
      </w:r>
      <w:r w:rsidR="0071297B">
        <w:rPr>
          <w:rFonts w:cstheme="minorHAnsi"/>
        </w:rPr>
        <w:t>,</w:t>
      </w:r>
      <w:r w:rsidRPr="00207259">
        <w:rPr>
          <w:rFonts w:cstheme="minorHAnsi"/>
        </w:rPr>
        <w:t xml:space="preserve"> accès </w:t>
      </w:r>
      <w:r w:rsidR="0071297B">
        <w:rPr>
          <w:rFonts w:cstheme="minorHAnsi"/>
        </w:rPr>
        <w:t>foncier,</w:t>
      </w:r>
      <w:r w:rsidRPr="00207259">
        <w:rPr>
          <w:rFonts w:cstheme="minorHAnsi"/>
        </w:rPr>
        <w:t xml:space="preserve"> renforcement </w:t>
      </w:r>
      <w:r w:rsidR="0071297B">
        <w:rPr>
          <w:rFonts w:cstheme="minorHAnsi"/>
        </w:rPr>
        <w:t xml:space="preserve">de </w:t>
      </w:r>
      <w:r w:rsidRPr="00207259">
        <w:rPr>
          <w:rFonts w:cstheme="minorHAnsi"/>
        </w:rPr>
        <w:t>capacités</w:t>
      </w:r>
      <w:r w:rsidR="0071297B">
        <w:rPr>
          <w:rFonts w:cstheme="minorHAnsi"/>
        </w:rPr>
        <w:t>, sensibilisation à la conservation, formation et accompagnement des CPK, etc.</w:t>
      </w:r>
      <w:r w:rsidRPr="00207259">
        <w:rPr>
          <w:rFonts w:cstheme="minorHAnsi"/>
        </w:rPr>
        <w:t xml:space="preserve"> </w:t>
      </w:r>
    </w:p>
    <w:p w14:paraId="71582A25" w14:textId="335170E1" w:rsidR="00207259" w:rsidRDefault="00207259" w:rsidP="00357CD2">
      <w:pPr>
        <w:numPr>
          <w:ilvl w:val="0"/>
          <w:numId w:val="14"/>
        </w:numPr>
        <w:tabs>
          <w:tab w:val="num" w:pos="720"/>
        </w:tabs>
        <w:spacing w:before="0" w:after="0" w:line="240" w:lineRule="auto"/>
        <w:ind w:left="357" w:hanging="357"/>
        <w:jc w:val="both"/>
        <w:rPr>
          <w:rFonts w:cstheme="minorHAnsi"/>
        </w:rPr>
      </w:pPr>
      <w:r w:rsidRPr="00207259">
        <w:rPr>
          <w:rFonts w:cstheme="minorHAnsi"/>
        </w:rPr>
        <w:t xml:space="preserve">Développer </w:t>
      </w:r>
      <w:r w:rsidR="0071297B">
        <w:rPr>
          <w:rFonts w:cstheme="minorHAnsi"/>
        </w:rPr>
        <w:t xml:space="preserve">une </w:t>
      </w:r>
      <w:r w:rsidRPr="00207259">
        <w:rPr>
          <w:rFonts w:cstheme="minorHAnsi"/>
        </w:rPr>
        <w:t xml:space="preserve">stratégie intégrée d'accès aux terres : </w:t>
      </w:r>
      <w:r w:rsidR="0071297B">
        <w:rPr>
          <w:rFonts w:cstheme="minorHAnsi"/>
        </w:rPr>
        <w:t>A</w:t>
      </w:r>
      <w:r w:rsidRPr="00207259">
        <w:rPr>
          <w:rFonts w:cstheme="minorHAnsi"/>
        </w:rPr>
        <w:t>cquisition terres supplémentaires pour</w:t>
      </w:r>
      <w:r w:rsidR="0071297B">
        <w:rPr>
          <w:rFonts w:cstheme="minorHAnsi"/>
        </w:rPr>
        <w:t xml:space="preserve"> les </w:t>
      </w:r>
      <w:r w:rsidRPr="00207259">
        <w:rPr>
          <w:rFonts w:cstheme="minorHAnsi"/>
        </w:rPr>
        <w:t>communautés marginalisées (</w:t>
      </w:r>
      <w:proofErr w:type="spellStart"/>
      <w:r w:rsidRPr="00207259">
        <w:rPr>
          <w:rFonts w:cstheme="minorHAnsi"/>
        </w:rPr>
        <w:t>Batwa</w:t>
      </w:r>
      <w:proofErr w:type="spellEnd"/>
      <w:r w:rsidRPr="00207259">
        <w:rPr>
          <w:rFonts w:cstheme="minorHAnsi"/>
        </w:rPr>
        <w:t xml:space="preserve">), intensification agricole, </w:t>
      </w:r>
      <w:r w:rsidR="0071297B">
        <w:rPr>
          <w:rFonts w:cstheme="minorHAnsi"/>
        </w:rPr>
        <w:t xml:space="preserve">AGR </w:t>
      </w:r>
      <w:r w:rsidRPr="00207259">
        <w:rPr>
          <w:rFonts w:cstheme="minorHAnsi"/>
        </w:rPr>
        <w:t>alternatives moins intensives en terres</w:t>
      </w:r>
      <w:r w:rsidR="0071297B">
        <w:rPr>
          <w:rFonts w:cstheme="minorHAnsi"/>
        </w:rPr>
        <w:t>, etc.</w:t>
      </w:r>
    </w:p>
    <w:p w14:paraId="4ABD04B1" w14:textId="2EF47504" w:rsidR="00003F80" w:rsidRPr="00207259" w:rsidRDefault="00305EE0" w:rsidP="0062653C">
      <w:pPr>
        <w:spacing w:after="0" w:line="240" w:lineRule="auto"/>
        <w:jc w:val="both"/>
        <w:rPr>
          <w:rFonts w:cstheme="minorHAnsi"/>
        </w:rPr>
      </w:pPr>
      <w:r w:rsidRPr="00305EE0">
        <w:rPr>
          <w:rFonts w:cstheme="minorHAnsi"/>
        </w:rPr>
        <w:t xml:space="preserve">Une phase 2 potentielle du projet Kibira pourrait étendre l'approche intégrée à d'autres zones </w:t>
      </w:r>
      <w:r>
        <w:rPr>
          <w:rFonts w:cstheme="minorHAnsi"/>
        </w:rPr>
        <w:t>du parc</w:t>
      </w:r>
      <w:r w:rsidRPr="00305EE0">
        <w:rPr>
          <w:rFonts w:cstheme="minorHAnsi"/>
        </w:rPr>
        <w:t xml:space="preserve">. Les projets en cours ou planifiés par d'autres partenaires (PNUD Biodiversité, ENABEL </w:t>
      </w:r>
      <w:proofErr w:type="spellStart"/>
      <w:r w:rsidRPr="00305EE0">
        <w:rPr>
          <w:rFonts w:cstheme="minorHAnsi"/>
        </w:rPr>
        <w:t>NaturAfrica</w:t>
      </w:r>
      <w:proofErr w:type="spellEnd"/>
      <w:r w:rsidRPr="00305EE0">
        <w:rPr>
          <w:rFonts w:cstheme="minorHAnsi"/>
        </w:rPr>
        <w:t>) pourraient également intégrer cette approche dans leurs interventions respectives. La Fondation Kibira, appuyée par le NIF et d'autres bailleurs potentiels, coordonnera cette extension progressive en collaboration avec l'OBPE. La stratégie d'accès aux terres nécessitera l'implication forte du Gouvernement burundais et s'inscrit dans le cadre des politiques nationales de gestion foncière et de développement rural.</w:t>
      </w:r>
    </w:p>
    <w:p w14:paraId="534E2EE5" w14:textId="77777777" w:rsidR="0087067B" w:rsidRDefault="00207259" w:rsidP="0087067B">
      <w:pPr>
        <w:spacing w:after="60" w:line="240" w:lineRule="auto"/>
        <w:jc w:val="both"/>
        <w:rPr>
          <w:rFonts w:cstheme="minorHAnsi"/>
          <w:i/>
          <w:iCs/>
        </w:rPr>
      </w:pPr>
      <w:r w:rsidRPr="00207259">
        <w:rPr>
          <w:rFonts w:cstheme="minorHAnsi"/>
          <w:i/>
          <w:iCs/>
        </w:rPr>
        <w:t>Cible : Fondation, OBPE, Gouvernement, partenaires développement</w:t>
      </w:r>
    </w:p>
    <w:p w14:paraId="76100D27" w14:textId="5B4B9229" w:rsidR="00541318" w:rsidRDefault="00541318" w:rsidP="004336F6">
      <w:pPr>
        <w:spacing w:before="60" w:after="60" w:line="240" w:lineRule="auto"/>
        <w:jc w:val="both"/>
        <w:rPr>
          <w:rFonts w:cstheme="minorHAnsi"/>
          <w:i/>
          <w:iCs/>
        </w:rPr>
      </w:pPr>
      <w:r>
        <w:rPr>
          <w:rFonts w:cstheme="minorHAnsi"/>
          <w:i/>
          <w:iCs/>
        </w:rPr>
        <w:t xml:space="preserve">Priorité : </w:t>
      </w:r>
      <w:r w:rsidR="00092E8A">
        <w:rPr>
          <w:rFonts w:cstheme="minorHAnsi"/>
          <w:i/>
          <w:iCs/>
        </w:rPr>
        <w:t xml:space="preserve">Elevée </w:t>
      </w:r>
      <w:r>
        <w:rPr>
          <w:rFonts w:cstheme="minorHAnsi"/>
          <w:i/>
          <w:iCs/>
        </w:rPr>
        <w:t xml:space="preserve"> </w:t>
      </w:r>
    </w:p>
    <w:p w14:paraId="5E55BC1C" w14:textId="7184286F" w:rsidR="00207259" w:rsidRPr="00207259" w:rsidRDefault="0087067B" w:rsidP="004336F6">
      <w:pPr>
        <w:spacing w:before="60" w:after="60" w:line="240" w:lineRule="auto"/>
        <w:jc w:val="both"/>
        <w:rPr>
          <w:rFonts w:cstheme="minorHAnsi"/>
          <w:i/>
          <w:iCs/>
        </w:rPr>
      </w:pPr>
      <w:r>
        <w:rPr>
          <w:rFonts w:cstheme="minorHAnsi"/>
          <w:i/>
          <w:iCs/>
        </w:rPr>
        <w:t>Echéancier</w:t>
      </w:r>
      <w:r w:rsidR="00FD1020">
        <w:rPr>
          <w:rFonts w:cstheme="minorHAnsi"/>
          <w:i/>
          <w:iCs/>
        </w:rPr>
        <w:t xml:space="preserve"> </w:t>
      </w:r>
      <w:r w:rsidR="00207259" w:rsidRPr="00207259">
        <w:rPr>
          <w:rFonts w:cstheme="minorHAnsi"/>
          <w:i/>
          <w:iCs/>
        </w:rPr>
        <w:t>: Moyen à long terme (3-5 ans)</w:t>
      </w:r>
    </w:p>
    <w:p w14:paraId="1A1E62F4" w14:textId="70331D0F" w:rsidR="00207259" w:rsidRPr="00061930" w:rsidRDefault="00061930" w:rsidP="00061930">
      <w:pPr>
        <w:spacing w:before="240" w:line="240" w:lineRule="auto"/>
        <w:jc w:val="both"/>
        <w:rPr>
          <w:rFonts w:cstheme="minorHAnsi"/>
          <w:b/>
          <w:bCs/>
          <w:color w:val="000099"/>
        </w:rPr>
      </w:pPr>
      <w:r w:rsidRPr="00061930">
        <w:rPr>
          <w:rFonts w:cstheme="minorHAnsi"/>
          <w:b/>
          <w:bCs/>
          <w:color w:val="000099"/>
        </w:rPr>
        <w:t xml:space="preserve">RS5. Garantir un système de suivi-évaluation robuste </w:t>
      </w:r>
      <w:r w:rsidR="006A7499">
        <w:rPr>
          <w:rFonts w:cstheme="minorHAnsi"/>
          <w:b/>
          <w:bCs/>
          <w:color w:val="000099"/>
        </w:rPr>
        <w:t>ainsi qu’un</w:t>
      </w:r>
      <w:r w:rsidR="002158F0">
        <w:rPr>
          <w:rFonts w:cstheme="minorHAnsi"/>
          <w:b/>
          <w:bCs/>
          <w:color w:val="000099"/>
        </w:rPr>
        <w:t xml:space="preserve">e </w:t>
      </w:r>
      <w:r w:rsidRPr="00061930">
        <w:rPr>
          <w:rFonts w:cstheme="minorHAnsi"/>
          <w:b/>
          <w:bCs/>
          <w:color w:val="000099"/>
        </w:rPr>
        <w:t>prise en compte systématique des dimensions transversales</w:t>
      </w:r>
    </w:p>
    <w:p w14:paraId="0013183F" w14:textId="6E96C434" w:rsidR="00061930" w:rsidRPr="00207259" w:rsidRDefault="000F0C36" w:rsidP="00C83820">
      <w:pPr>
        <w:spacing w:after="0" w:line="240" w:lineRule="auto"/>
        <w:jc w:val="both"/>
        <w:rPr>
          <w:rFonts w:cstheme="minorHAnsi"/>
        </w:rPr>
      </w:pPr>
      <w:r w:rsidRPr="000F0C36">
        <w:rPr>
          <w:rFonts w:cstheme="minorHAnsi"/>
        </w:rPr>
        <w:t xml:space="preserve">L'absence de révision du cadre de résultats malgré les ajustements stratégiques majeurs et les limites du système de S&amp;E </w:t>
      </w:r>
      <w:r>
        <w:rPr>
          <w:rFonts w:cstheme="minorHAnsi"/>
        </w:rPr>
        <w:t xml:space="preserve">du projet Kibira </w:t>
      </w:r>
      <w:r w:rsidRPr="000F0C36">
        <w:rPr>
          <w:rFonts w:cstheme="minorHAnsi"/>
        </w:rPr>
        <w:t xml:space="preserve">constituent des enseignements importants pour les </w:t>
      </w:r>
      <w:r>
        <w:rPr>
          <w:rFonts w:cstheme="minorHAnsi"/>
        </w:rPr>
        <w:t>interventions similaires</w:t>
      </w:r>
      <w:r w:rsidRPr="000F0C36">
        <w:rPr>
          <w:rFonts w:cstheme="minorHAnsi"/>
        </w:rPr>
        <w:t xml:space="preserve">. </w:t>
      </w:r>
      <w:r>
        <w:rPr>
          <w:rFonts w:cstheme="minorHAnsi"/>
        </w:rPr>
        <w:t>Ainsi, pour l</w:t>
      </w:r>
      <w:r w:rsidRPr="000F0C36">
        <w:rPr>
          <w:rFonts w:cstheme="minorHAnsi"/>
        </w:rPr>
        <w:t xml:space="preserve">a conception </w:t>
      </w:r>
      <w:r w:rsidR="00E7601B">
        <w:rPr>
          <w:rFonts w:cstheme="minorHAnsi"/>
        </w:rPr>
        <w:t>des futurs projets</w:t>
      </w:r>
      <w:r w:rsidRPr="000F0C36">
        <w:rPr>
          <w:rFonts w:cstheme="minorHAnsi"/>
        </w:rPr>
        <w:t>, il est recommandé</w:t>
      </w:r>
      <w:r>
        <w:rPr>
          <w:rFonts w:cstheme="minorHAnsi"/>
        </w:rPr>
        <w:t xml:space="preserve"> de :</w:t>
      </w:r>
    </w:p>
    <w:p w14:paraId="7795DE28" w14:textId="6C010CF3" w:rsidR="00061930" w:rsidRDefault="00562A0C" w:rsidP="0062653C">
      <w:pPr>
        <w:numPr>
          <w:ilvl w:val="0"/>
          <w:numId w:val="14"/>
        </w:numPr>
        <w:tabs>
          <w:tab w:val="num" w:pos="720"/>
        </w:tabs>
        <w:spacing w:before="60" w:after="0" w:line="240" w:lineRule="auto"/>
        <w:ind w:left="357" w:hanging="357"/>
        <w:jc w:val="both"/>
        <w:rPr>
          <w:rFonts w:cstheme="minorHAnsi"/>
        </w:rPr>
      </w:pPr>
      <w:r>
        <w:rPr>
          <w:rFonts w:cstheme="minorHAnsi"/>
        </w:rPr>
        <w:t>I</w:t>
      </w:r>
      <w:r w:rsidR="00C26516" w:rsidRPr="00C26516">
        <w:rPr>
          <w:rFonts w:cstheme="minorHAnsi"/>
        </w:rPr>
        <w:t xml:space="preserve">ntégrer dans le cadre de résultats des indicateurs mesurables, réalistes et directement liés aux objectifs, établir des </w:t>
      </w:r>
      <w:proofErr w:type="spellStart"/>
      <w:r w:rsidR="00C26516" w:rsidRPr="00C26516">
        <w:rPr>
          <w:rFonts w:cstheme="minorHAnsi"/>
        </w:rPr>
        <w:t>baselines</w:t>
      </w:r>
      <w:proofErr w:type="spellEnd"/>
      <w:r w:rsidR="00C26516" w:rsidRPr="00C26516">
        <w:rPr>
          <w:rFonts w:cstheme="minorHAnsi"/>
        </w:rPr>
        <w:t xml:space="preserve"> pour tous les indicateurs critiques avant le démarrage des </w:t>
      </w:r>
      <w:r w:rsidR="00C26516" w:rsidRPr="00C26516">
        <w:rPr>
          <w:rFonts w:cstheme="minorHAnsi"/>
        </w:rPr>
        <w:lastRenderedPageBreak/>
        <w:t xml:space="preserve">interventions, </w:t>
      </w:r>
      <w:r>
        <w:rPr>
          <w:rFonts w:cstheme="minorHAnsi"/>
        </w:rPr>
        <w:t xml:space="preserve">et </w:t>
      </w:r>
      <w:r w:rsidR="00C26516" w:rsidRPr="00C26516">
        <w:rPr>
          <w:rFonts w:cstheme="minorHAnsi"/>
        </w:rPr>
        <w:t>prévoir des mécanismes de révision du cadre en cas d'ajustements stratégiques majeurs</w:t>
      </w:r>
      <w:r>
        <w:rPr>
          <w:rFonts w:cstheme="minorHAnsi"/>
        </w:rPr>
        <w:t>.</w:t>
      </w:r>
    </w:p>
    <w:p w14:paraId="0C31A70B" w14:textId="1C3382D9" w:rsidR="00DD34B5" w:rsidRPr="00207259" w:rsidRDefault="00DD34B5" w:rsidP="0062653C">
      <w:pPr>
        <w:numPr>
          <w:ilvl w:val="0"/>
          <w:numId w:val="14"/>
        </w:numPr>
        <w:tabs>
          <w:tab w:val="num" w:pos="720"/>
        </w:tabs>
        <w:spacing w:before="60" w:after="0" w:line="240" w:lineRule="auto"/>
        <w:ind w:left="357" w:hanging="357"/>
        <w:jc w:val="both"/>
        <w:rPr>
          <w:rFonts w:cstheme="minorHAnsi"/>
        </w:rPr>
      </w:pPr>
      <w:r>
        <w:rPr>
          <w:rFonts w:cstheme="minorHAnsi"/>
        </w:rPr>
        <w:t xml:space="preserve">Mettre un place </w:t>
      </w:r>
      <w:r w:rsidR="001D0F5A">
        <w:rPr>
          <w:rFonts w:cstheme="minorHAnsi"/>
        </w:rPr>
        <w:t>un système de suivi</w:t>
      </w:r>
      <w:r w:rsidR="002158F0">
        <w:rPr>
          <w:rFonts w:cstheme="minorHAnsi"/>
        </w:rPr>
        <w:t>-</w:t>
      </w:r>
      <w:r w:rsidR="001D0F5A">
        <w:rPr>
          <w:rFonts w:cstheme="minorHAnsi"/>
        </w:rPr>
        <w:t>évaluation participatif au niveau du pay</w:t>
      </w:r>
      <w:r w:rsidR="00F90A86">
        <w:rPr>
          <w:rFonts w:cstheme="minorHAnsi"/>
        </w:rPr>
        <w:t xml:space="preserve">sage </w:t>
      </w:r>
      <w:r w:rsidR="00365240">
        <w:rPr>
          <w:rFonts w:cstheme="minorHAnsi"/>
        </w:rPr>
        <w:t>(dé</w:t>
      </w:r>
      <w:r w:rsidR="00955AF5">
        <w:rPr>
          <w:rFonts w:cstheme="minorHAnsi"/>
        </w:rPr>
        <w:t xml:space="preserve">jà planifié au niveau de la Fondation Kibira) </w:t>
      </w:r>
      <w:r w:rsidR="00F60CD9">
        <w:rPr>
          <w:rFonts w:cstheme="minorHAnsi"/>
        </w:rPr>
        <w:t>per</w:t>
      </w:r>
      <w:r w:rsidR="00F06246">
        <w:rPr>
          <w:rFonts w:cstheme="minorHAnsi"/>
        </w:rPr>
        <w:t>mettant</w:t>
      </w:r>
      <w:r w:rsidR="00F60CD9">
        <w:rPr>
          <w:rFonts w:cstheme="minorHAnsi"/>
        </w:rPr>
        <w:t xml:space="preserve"> d</w:t>
      </w:r>
      <w:r w:rsidR="002158F0">
        <w:rPr>
          <w:rFonts w:cstheme="minorHAnsi"/>
        </w:rPr>
        <w:t>’</w:t>
      </w:r>
      <w:r w:rsidR="00F06246">
        <w:rPr>
          <w:rFonts w:cstheme="minorHAnsi"/>
        </w:rPr>
        <w:t>é</w:t>
      </w:r>
      <w:r w:rsidR="00F60CD9">
        <w:rPr>
          <w:rFonts w:cstheme="minorHAnsi"/>
        </w:rPr>
        <w:t>valuer</w:t>
      </w:r>
      <w:r w:rsidR="00F06246">
        <w:rPr>
          <w:rFonts w:cstheme="minorHAnsi"/>
        </w:rPr>
        <w:t xml:space="preserve"> annuellement</w:t>
      </w:r>
      <w:r w:rsidR="002158F0">
        <w:rPr>
          <w:rFonts w:cstheme="minorHAnsi"/>
        </w:rPr>
        <w:t xml:space="preserve">, </w:t>
      </w:r>
      <w:r w:rsidR="00F60CD9">
        <w:rPr>
          <w:rFonts w:cstheme="minorHAnsi"/>
        </w:rPr>
        <w:t xml:space="preserve">dans un </w:t>
      </w:r>
      <w:r w:rsidR="00955AF5">
        <w:rPr>
          <w:rFonts w:cstheme="minorHAnsi"/>
        </w:rPr>
        <w:t xml:space="preserve">cadre </w:t>
      </w:r>
      <w:r w:rsidR="00F60CD9">
        <w:rPr>
          <w:rFonts w:cstheme="minorHAnsi"/>
        </w:rPr>
        <w:t>participatif et sci</w:t>
      </w:r>
      <w:r w:rsidR="00F06246">
        <w:rPr>
          <w:rFonts w:cstheme="minorHAnsi"/>
        </w:rPr>
        <w:t>entifique</w:t>
      </w:r>
      <w:r w:rsidR="002158F0">
        <w:rPr>
          <w:rFonts w:cstheme="minorHAnsi"/>
        </w:rPr>
        <w:t>,</w:t>
      </w:r>
      <w:r w:rsidR="00F60CD9">
        <w:rPr>
          <w:rFonts w:cstheme="minorHAnsi"/>
        </w:rPr>
        <w:t xml:space="preserve"> </w:t>
      </w:r>
      <w:r w:rsidR="00604279">
        <w:rPr>
          <w:rFonts w:cstheme="minorHAnsi"/>
        </w:rPr>
        <w:t>l’</w:t>
      </w:r>
      <w:r w:rsidR="00955AF5">
        <w:rPr>
          <w:rFonts w:cstheme="minorHAnsi"/>
        </w:rPr>
        <w:t>é</w:t>
      </w:r>
      <w:r w:rsidR="00604279">
        <w:rPr>
          <w:rFonts w:cstheme="minorHAnsi"/>
        </w:rPr>
        <w:t>volution au n</w:t>
      </w:r>
      <w:r w:rsidR="001B6E26">
        <w:rPr>
          <w:rFonts w:cstheme="minorHAnsi"/>
        </w:rPr>
        <w:t>i</w:t>
      </w:r>
      <w:r w:rsidR="00604279">
        <w:rPr>
          <w:rFonts w:cstheme="minorHAnsi"/>
        </w:rPr>
        <w:t>veau du paysage (et pas s</w:t>
      </w:r>
      <w:r w:rsidR="001B6E26">
        <w:rPr>
          <w:rFonts w:cstheme="minorHAnsi"/>
        </w:rPr>
        <w:t>eulement</w:t>
      </w:r>
      <w:r w:rsidR="00604279">
        <w:rPr>
          <w:rFonts w:cstheme="minorHAnsi"/>
        </w:rPr>
        <w:t xml:space="preserve"> au niveau du PNK)</w:t>
      </w:r>
      <w:r w:rsidR="002158F0">
        <w:rPr>
          <w:rFonts w:cstheme="minorHAnsi"/>
        </w:rPr>
        <w:t xml:space="preserve">, ainsi que </w:t>
      </w:r>
      <w:r w:rsidR="00604279">
        <w:rPr>
          <w:rFonts w:cstheme="minorHAnsi"/>
        </w:rPr>
        <w:t>l’</w:t>
      </w:r>
      <w:r w:rsidR="001B6E26">
        <w:rPr>
          <w:rFonts w:cstheme="minorHAnsi"/>
        </w:rPr>
        <w:t xml:space="preserve">évolution </w:t>
      </w:r>
      <w:r w:rsidR="00604279">
        <w:rPr>
          <w:rFonts w:cstheme="minorHAnsi"/>
        </w:rPr>
        <w:t>des acqu</w:t>
      </w:r>
      <w:r w:rsidR="001B6E26">
        <w:rPr>
          <w:rFonts w:cstheme="minorHAnsi"/>
        </w:rPr>
        <w:t>i</w:t>
      </w:r>
      <w:r w:rsidR="00604279">
        <w:rPr>
          <w:rFonts w:cstheme="minorHAnsi"/>
        </w:rPr>
        <w:t>s soc</w:t>
      </w:r>
      <w:r w:rsidR="001B6E26">
        <w:rPr>
          <w:rFonts w:cstheme="minorHAnsi"/>
        </w:rPr>
        <w:t>iaux</w:t>
      </w:r>
      <w:r w:rsidR="00604279">
        <w:rPr>
          <w:rFonts w:cstheme="minorHAnsi"/>
        </w:rPr>
        <w:t xml:space="preserve">, </w:t>
      </w:r>
      <w:r w:rsidR="001B6E26">
        <w:rPr>
          <w:rFonts w:cstheme="minorHAnsi"/>
        </w:rPr>
        <w:t>é</w:t>
      </w:r>
      <w:r w:rsidR="00604279">
        <w:rPr>
          <w:rFonts w:cstheme="minorHAnsi"/>
        </w:rPr>
        <w:t>con</w:t>
      </w:r>
      <w:r w:rsidR="0089161D">
        <w:rPr>
          <w:rFonts w:cstheme="minorHAnsi"/>
        </w:rPr>
        <w:t>o</w:t>
      </w:r>
      <w:r w:rsidR="00604279">
        <w:rPr>
          <w:rFonts w:cstheme="minorHAnsi"/>
        </w:rPr>
        <w:t>mi</w:t>
      </w:r>
      <w:r w:rsidR="0089161D">
        <w:rPr>
          <w:rFonts w:cstheme="minorHAnsi"/>
        </w:rPr>
        <w:t>ques</w:t>
      </w:r>
      <w:r w:rsidR="00604279">
        <w:rPr>
          <w:rFonts w:cstheme="minorHAnsi"/>
        </w:rPr>
        <w:t>, envir</w:t>
      </w:r>
      <w:r w:rsidR="0089161D">
        <w:rPr>
          <w:rFonts w:cstheme="minorHAnsi"/>
        </w:rPr>
        <w:t>onnementa</w:t>
      </w:r>
      <w:r w:rsidR="002158F0">
        <w:rPr>
          <w:rFonts w:cstheme="minorHAnsi"/>
        </w:rPr>
        <w:t>ux</w:t>
      </w:r>
      <w:r w:rsidR="0089161D">
        <w:rPr>
          <w:rFonts w:cstheme="minorHAnsi"/>
        </w:rPr>
        <w:t xml:space="preserve"> </w:t>
      </w:r>
      <w:r w:rsidR="00604279">
        <w:rPr>
          <w:rFonts w:cstheme="minorHAnsi"/>
        </w:rPr>
        <w:t>et de la gouve</w:t>
      </w:r>
      <w:r w:rsidR="00365240">
        <w:rPr>
          <w:rFonts w:cstheme="minorHAnsi"/>
        </w:rPr>
        <w:t>rnance</w:t>
      </w:r>
      <w:r w:rsidR="002158F0">
        <w:rPr>
          <w:rFonts w:cstheme="minorHAnsi"/>
        </w:rPr>
        <w:t xml:space="preserve">. </w:t>
      </w:r>
      <w:r w:rsidR="00604279">
        <w:rPr>
          <w:rFonts w:cstheme="minorHAnsi"/>
        </w:rPr>
        <w:t xml:space="preserve"> </w:t>
      </w:r>
    </w:p>
    <w:p w14:paraId="4B78AA5B" w14:textId="7F2F9286" w:rsidR="00061930" w:rsidRDefault="00562A0C" w:rsidP="0062653C">
      <w:pPr>
        <w:numPr>
          <w:ilvl w:val="0"/>
          <w:numId w:val="14"/>
        </w:numPr>
        <w:tabs>
          <w:tab w:val="num" w:pos="720"/>
        </w:tabs>
        <w:spacing w:before="60" w:after="0" w:line="240" w:lineRule="auto"/>
        <w:ind w:left="357" w:hanging="357"/>
        <w:jc w:val="both"/>
        <w:rPr>
          <w:rFonts w:cstheme="minorHAnsi"/>
        </w:rPr>
      </w:pPr>
      <w:r>
        <w:rPr>
          <w:rFonts w:cstheme="minorHAnsi"/>
        </w:rPr>
        <w:t>E</w:t>
      </w:r>
      <w:r w:rsidR="00C26516" w:rsidRPr="00C26516">
        <w:rPr>
          <w:rFonts w:cstheme="minorHAnsi"/>
        </w:rPr>
        <w:t>laborer dès la conception une stratégie spécifique pour l'inclusion de tous les groupes vulnérables (femmes, jeunes</w:t>
      </w:r>
      <w:proofErr w:type="gramStart"/>
      <w:r w:rsidR="00C26516" w:rsidRPr="00C26516">
        <w:rPr>
          <w:rFonts w:cstheme="minorHAnsi"/>
        </w:rPr>
        <w:t>, ,</w:t>
      </w:r>
      <w:proofErr w:type="gramEnd"/>
      <w:r w:rsidR="00C26516" w:rsidRPr="00C26516">
        <w:rPr>
          <w:rFonts w:cstheme="minorHAnsi"/>
        </w:rPr>
        <w:t xml:space="preserve"> groupes ethniques marginalisés)</w:t>
      </w:r>
      <w:r>
        <w:rPr>
          <w:rFonts w:cstheme="minorHAnsi"/>
        </w:rPr>
        <w:t xml:space="preserve"> </w:t>
      </w:r>
      <w:r w:rsidR="00955AF5">
        <w:rPr>
          <w:rFonts w:cstheme="minorHAnsi"/>
        </w:rPr>
        <w:t>et des personnes vivant avec handicap</w:t>
      </w:r>
      <w:r>
        <w:rPr>
          <w:rFonts w:cstheme="minorHAnsi"/>
        </w:rPr>
        <w:t>.</w:t>
      </w:r>
    </w:p>
    <w:p w14:paraId="0E229E7E" w14:textId="54A0EB88" w:rsidR="00061930" w:rsidRPr="007546E6" w:rsidRDefault="00061930" w:rsidP="00061930">
      <w:pPr>
        <w:spacing w:after="60" w:line="240" w:lineRule="auto"/>
        <w:jc w:val="both"/>
        <w:rPr>
          <w:rFonts w:cstheme="minorHAnsi"/>
          <w:i/>
          <w:iCs/>
        </w:rPr>
      </w:pPr>
      <w:r w:rsidRPr="00207259">
        <w:rPr>
          <w:rFonts w:cstheme="minorHAnsi"/>
          <w:i/>
          <w:iCs/>
        </w:rPr>
        <w:t xml:space="preserve">Cible : </w:t>
      </w:r>
      <w:r w:rsidR="007546E6" w:rsidRPr="007546E6">
        <w:rPr>
          <w:rFonts w:cstheme="minorHAnsi"/>
          <w:i/>
          <w:iCs/>
        </w:rPr>
        <w:t xml:space="preserve">UNCDF, bailleurs, concepteurs de projets </w:t>
      </w:r>
    </w:p>
    <w:p w14:paraId="530FA5BB" w14:textId="5EFC6465" w:rsidR="00092E8A" w:rsidRDefault="00092E8A" w:rsidP="00061930">
      <w:pPr>
        <w:spacing w:before="60" w:after="60" w:line="240" w:lineRule="auto"/>
        <w:jc w:val="both"/>
        <w:rPr>
          <w:rFonts w:cstheme="minorHAnsi"/>
          <w:i/>
          <w:iCs/>
        </w:rPr>
      </w:pPr>
      <w:r>
        <w:rPr>
          <w:rFonts w:cstheme="minorHAnsi"/>
          <w:i/>
          <w:iCs/>
        </w:rPr>
        <w:t xml:space="preserve">Priorité : Moyenne </w:t>
      </w:r>
    </w:p>
    <w:p w14:paraId="6126EE5C" w14:textId="31D1A765" w:rsidR="00061930" w:rsidRPr="00207259" w:rsidRDefault="00061930" w:rsidP="00061930">
      <w:pPr>
        <w:spacing w:before="60" w:after="60" w:line="240" w:lineRule="auto"/>
        <w:jc w:val="both"/>
        <w:rPr>
          <w:rFonts w:cstheme="minorHAnsi"/>
          <w:i/>
          <w:iCs/>
        </w:rPr>
      </w:pPr>
      <w:r w:rsidRPr="007546E6">
        <w:rPr>
          <w:rFonts w:cstheme="minorHAnsi"/>
          <w:i/>
          <w:iCs/>
        </w:rPr>
        <w:t>Echéancier</w:t>
      </w:r>
      <w:r w:rsidRPr="00207259">
        <w:rPr>
          <w:rFonts w:cstheme="minorHAnsi"/>
          <w:i/>
          <w:iCs/>
        </w:rPr>
        <w:t xml:space="preserve"> : </w:t>
      </w:r>
      <w:r w:rsidR="007546E6" w:rsidRPr="007546E6">
        <w:rPr>
          <w:rFonts w:cstheme="minorHAnsi"/>
          <w:i/>
          <w:iCs/>
        </w:rPr>
        <w:t>Dès la conception de futurs projets similaires</w:t>
      </w:r>
    </w:p>
    <w:p w14:paraId="6BC2FABF" w14:textId="77777777" w:rsidR="004C4E82" w:rsidRDefault="004C4E82" w:rsidP="00207259">
      <w:pPr>
        <w:spacing w:line="240" w:lineRule="auto"/>
        <w:jc w:val="both"/>
        <w:rPr>
          <w:rFonts w:cstheme="minorHAnsi"/>
          <w:b/>
          <w:bCs/>
          <w:color w:val="000099"/>
        </w:rPr>
      </w:pPr>
    </w:p>
    <w:p w14:paraId="1AC6E9E2" w14:textId="58A6E5FF" w:rsidR="00207259" w:rsidRPr="00207259" w:rsidRDefault="00207259" w:rsidP="00207259">
      <w:pPr>
        <w:spacing w:line="240" w:lineRule="auto"/>
        <w:jc w:val="both"/>
        <w:rPr>
          <w:rFonts w:cstheme="minorHAnsi"/>
          <w:b/>
          <w:bCs/>
          <w:color w:val="000099"/>
        </w:rPr>
      </w:pPr>
      <w:r w:rsidRPr="00207259">
        <w:rPr>
          <w:rFonts w:cstheme="minorHAnsi"/>
          <w:b/>
          <w:bCs/>
          <w:color w:val="000099"/>
        </w:rPr>
        <w:t>RECOMMANDATIONS OPÉRATIONNELLES</w:t>
      </w:r>
    </w:p>
    <w:p w14:paraId="5C074244" w14:textId="77777777" w:rsidR="00207259" w:rsidRPr="00207259" w:rsidRDefault="00207259" w:rsidP="00751138">
      <w:pPr>
        <w:spacing w:before="240" w:line="240" w:lineRule="auto"/>
        <w:jc w:val="both"/>
        <w:rPr>
          <w:rFonts w:cstheme="minorHAnsi"/>
          <w:b/>
          <w:bCs/>
          <w:color w:val="000099"/>
        </w:rPr>
      </w:pPr>
      <w:r w:rsidRPr="00207259">
        <w:rPr>
          <w:rFonts w:cstheme="minorHAnsi"/>
          <w:b/>
          <w:bCs/>
          <w:color w:val="000099"/>
        </w:rPr>
        <w:t>RO1. Consolider les capacités institutionnelles, la pérennisation réglementaire et la viabilité financière de la Fondation Kibira</w:t>
      </w:r>
    </w:p>
    <w:p w14:paraId="1C269687" w14:textId="50B12DE9" w:rsidR="005D2C58" w:rsidRDefault="00C47B11" w:rsidP="00AD365C">
      <w:pPr>
        <w:spacing w:after="0" w:line="240" w:lineRule="auto"/>
        <w:jc w:val="both"/>
        <w:rPr>
          <w:rFonts w:cstheme="minorHAnsi"/>
        </w:rPr>
      </w:pPr>
      <w:r w:rsidRPr="00C47B11">
        <w:rPr>
          <w:rFonts w:cstheme="minorHAnsi"/>
        </w:rPr>
        <w:t xml:space="preserve">La Fondation Kibira constitue l'innovation institutionnelle centrale </w:t>
      </w:r>
      <w:r>
        <w:rPr>
          <w:rFonts w:cstheme="minorHAnsi"/>
        </w:rPr>
        <w:t xml:space="preserve">du projet </w:t>
      </w:r>
      <w:r w:rsidRPr="00C47B11">
        <w:rPr>
          <w:rFonts w:cstheme="minorHAnsi"/>
        </w:rPr>
        <w:t>mais demeure une structure jeune</w:t>
      </w:r>
      <w:r>
        <w:rPr>
          <w:rFonts w:cstheme="minorHAnsi"/>
        </w:rPr>
        <w:t xml:space="preserve"> </w:t>
      </w:r>
      <w:r w:rsidRPr="00C47B11">
        <w:rPr>
          <w:rFonts w:cstheme="minorHAnsi"/>
        </w:rPr>
        <w:t>qui n'a pas encore atteint sa pleine maturité institutionnelle</w:t>
      </w:r>
      <w:r>
        <w:rPr>
          <w:rFonts w:cstheme="minorHAnsi"/>
        </w:rPr>
        <w:t xml:space="preserve"> et qui fait</w:t>
      </w:r>
      <w:r w:rsidRPr="00C47B11">
        <w:rPr>
          <w:rFonts w:cstheme="minorHAnsi"/>
        </w:rPr>
        <w:t xml:space="preserve"> face à des besoins critiques de consolidation. </w:t>
      </w:r>
      <w:r w:rsidR="00207259" w:rsidRPr="00207259">
        <w:rPr>
          <w:rFonts w:cstheme="minorHAnsi"/>
        </w:rPr>
        <w:t xml:space="preserve"> </w:t>
      </w:r>
    </w:p>
    <w:p w14:paraId="1D860944" w14:textId="4FEF63D2" w:rsidR="00207259" w:rsidRPr="00207259" w:rsidRDefault="00937101" w:rsidP="00AD365C">
      <w:pPr>
        <w:spacing w:after="0" w:line="240" w:lineRule="auto"/>
        <w:jc w:val="both"/>
        <w:rPr>
          <w:rFonts w:cstheme="minorHAnsi"/>
        </w:rPr>
      </w:pPr>
      <w:r>
        <w:rPr>
          <w:rFonts w:cstheme="minorHAnsi"/>
        </w:rPr>
        <w:t xml:space="preserve">Il </w:t>
      </w:r>
      <w:r w:rsidR="00201B21">
        <w:rPr>
          <w:rFonts w:cstheme="minorHAnsi"/>
        </w:rPr>
        <w:t>serait ainsi recommandé</w:t>
      </w:r>
      <w:r w:rsidR="00207259" w:rsidRPr="00207259">
        <w:rPr>
          <w:rFonts w:cstheme="minorHAnsi"/>
        </w:rPr>
        <w:t xml:space="preserve"> </w:t>
      </w:r>
      <w:r>
        <w:rPr>
          <w:rFonts w:cstheme="minorHAnsi"/>
        </w:rPr>
        <w:t xml:space="preserve">de </w:t>
      </w:r>
      <w:r w:rsidR="00207259" w:rsidRPr="00207259">
        <w:rPr>
          <w:rFonts w:cstheme="minorHAnsi"/>
        </w:rPr>
        <w:t>:</w:t>
      </w:r>
    </w:p>
    <w:p w14:paraId="1B686872" w14:textId="236FAD55" w:rsidR="005D2C58" w:rsidRPr="00207259" w:rsidRDefault="00937101" w:rsidP="00201B21">
      <w:pPr>
        <w:numPr>
          <w:ilvl w:val="0"/>
          <w:numId w:val="14"/>
        </w:numPr>
        <w:tabs>
          <w:tab w:val="num" w:pos="720"/>
        </w:tabs>
        <w:spacing w:before="0" w:after="0" w:line="240" w:lineRule="auto"/>
        <w:ind w:left="357" w:hanging="357"/>
        <w:jc w:val="both"/>
        <w:rPr>
          <w:rFonts w:cstheme="minorHAnsi"/>
        </w:rPr>
      </w:pPr>
      <w:r>
        <w:rPr>
          <w:rFonts w:cstheme="minorHAnsi"/>
        </w:rPr>
        <w:t>Renforcer l’effectif technique et de management</w:t>
      </w:r>
      <w:r w:rsidR="00201B21">
        <w:rPr>
          <w:rFonts w:cstheme="minorHAnsi"/>
        </w:rPr>
        <w:t xml:space="preserve"> de la Fondation et</w:t>
      </w:r>
      <w:r>
        <w:rPr>
          <w:rFonts w:cstheme="minorHAnsi"/>
        </w:rPr>
        <w:t xml:space="preserve"> </w:t>
      </w:r>
      <w:r w:rsidR="00207259" w:rsidRPr="00207259">
        <w:rPr>
          <w:rFonts w:cstheme="minorHAnsi"/>
        </w:rPr>
        <w:t xml:space="preserve">développer </w:t>
      </w:r>
      <w:r w:rsidR="00201B21">
        <w:rPr>
          <w:rFonts w:cstheme="minorHAnsi"/>
        </w:rPr>
        <w:t xml:space="preserve">leurs </w:t>
      </w:r>
      <w:r w:rsidR="00207259" w:rsidRPr="00207259">
        <w:rPr>
          <w:rFonts w:cstheme="minorHAnsi"/>
        </w:rPr>
        <w:t>compétences techniques (conservation, monitoring, conflits</w:t>
      </w:r>
      <w:r w:rsidR="006C2C61">
        <w:rPr>
          <w:rFonts w:cstheme="minorHAnsi"/>
        </w:rPr>
        <w:t>, développement communautaire</w:t>
      </w:r>
      <w:r w:rsidR="00207259" w:rsidRPr="00207259">
        <w:rPr>
          <w:rFonts w:cstheme="minorHAnsi"/>
        </w:rPr>
        <w:t>)</w:t>
      </w:r>
      <w:r w:rsidR="00201B21">
        <w:rPr>
          <w:rFonts w:cstheme="minorHAnsi"/>
        </w:rPr>
        <w:t xml:space="preserve"> et managériales </w:t>
      </w:r>
      <w:proofErr w:type="gramStart"/>
      <w:r w:rsidR="00201B21">
        <w:rPr>
          <w:rFonts w:cstheme="minorHAnsi"/>
        </w:rPr>
        <w:t>(</w:t>
      </w:r>
      <w:r>
        <w:rPr>
          <w:rFonts w:cstheme="minorHAnsi"/>
        </w:rPr>
        <w:t xml:space="preserve"> </w:t>
      </w:r>
      <w:r w:rsidR="00207259" w:rsidRPr="00207259">
        <w:rPr>
          <w:rFonts w:cstheme="minorHAnsi"/>
        </w:rPr>
        <w:t>planification</w:t>
      </w:r>
      <w:proofErr w:type="gramEnd"/>
      <w:r w:rsidR="00207259" w:rsidRPr="00207259">
        <w:rPr>
          <w:rFonts w:cstheme="minorHAnsi"/>
        </w:rPr>
        <w:t xml:space="preserve"> stratégique, </w:t>
      </w:r>
      <w:r w:rsidR="00201B21">
        <w:rPr>
          <w:rFonts w:cstheme="minorHAnsi"/>
        </w:rPr>
        <w:t>partenariats et</w:t>
      </w:r>
      <w:r>
        <w:rPr>
          <w:rFonts w:cstheme="minorHAnsi"/>
        </w:rPr>
        <w:t xml:space="preserve"> </w:t>
      </w:r>
      <w:r w:rsidR="00207259" w:rsidRPr="00207259">
        <w:rPr>
          <w:rFonts w:cstheme="minorHAnsi"/>
        </w:rPr>
        <w:t xml:space="preserve">mobilisation </w:t>
      </w:r>
      <w:r>
        <w:rPr>
          <w:rFonts w:cstheme="minorHAnsi"/>
        </w:rPr>
        <w:t xml:space="preserve">des </w:t>
      </w:r>
      <w:r w:rsidR="00207259" w:rsidRPr="00207259">
        <w:rPr>
          <w:rFonts w:cstheme="minorHAnsi"/>
        </w:rPr>
        <w:t>ressources</w:t>
      </w:r>
      <w:r>
        <w:rPr>
          <w:rFonts w:cstheme="minorHAnsi"/>
        </w:rPr>
        <w:t xml:space="preserve"> financières, etc.</w:t>
      </w:r>
      <w:r w:rsidR="00201B21">
        <w:rPr>
          <w:rFonts w:cstheme="minorHAnsi"/>
        </w:rPr>
        <w:t>).</w:t>
      </w:r>
      <w:r>
        <w:rPr>
          <w:rFonts w:cstheme="minorHAnsi"/>
        </w:rPr>
        <w:t xml:space="preserve"> </w:t>
      </w:r>
    </w:p>
    <w:p w14:paraId="3371CC20" w14:textId="58AF4B18" w:rsidR="00207259" w:rsidRPr="00207259" w:rsidRDefault="006C2C61" w:rsidP="00357CD2">
      <w:pPr>
        <w:numPr>
          <w:ilvl w:val="0"/>
          <w:numId w:val="14"/>
        </w:numPr>
        <w:tabs>
          <w:tab w:val="num" w:pos="720"/>
        </w:tabs>
        <w:spacing w:before="0" w:after="0" w:line="240" w:lineRule="auto"/>
        <w:ind w:left="357" w:hanging="357"/>
        <w:jc w:val="both"/>
        <w:rPr>
          <w:rFonts w:cstheme="minorHAnsi"/>
        </w:rPr>
      </w:pPr>
      <w:r>
        <w:rPr>
          <w:rFonts w:cstheme="minorHAnsi"/>
        </w:rPr>
        <w:t>F</w:t>
      </w:r>
      <w:r w:rsidR="00207259" w:rsidRPr="00207259">
        <w:rPr>
          <w:rFonts w:cstheme="minorHAnsi"/>
        </w:rPr>
        <w:t xml:space="preserve">aire adopter </w:t>
      </w:r>
      <w:r>
        <w:rPr>
          <w:rFonts w:cstheme="minorHAnsi"/>
        </w:rPr>
        <w:t xml:space="preserve">un </w:t>
      </w:r>
      <w:r w:rsidR="00207259" w:rsidRPr="00207259">
        <w:rPr>
          <w:rFonts w:cstheme="minorHAnsi"/>
        </w:rPr>
        <w:t xml:space="preserve">texte légal formel (décret/loi) sécurisant </w:t>
      </w:r>
      <w:r>
        <w:rPr>
          <w:rFonts w:cstheme="minorHAnsi"/>
        </w:rPr>
        <w:t xml:space="preserve">le </w:t>
      </w:r>
      <w:r w:rsidR="00207259" w:rsidRPr="00207259">
        <w:rPr>
          <w:rFonts w:cstheme="minorHAnsi"/>
        </w:rPr>
        <w:t xml:space="preserve">statut juridique et </w:t>
      </w:r>
      <w:r>
        <w:rPr>
          <w:rFonts w:cstheme="minorHAnsi"/>
        </w:rPr>
        <w:t xml:space="preserve">les </w:t>
      </w:r>
      <w:r w:rsidR="00207259" w:rsidRPr="00207259">
        <w:rPr>
          <w:rFonts w:cstheme="minorHAnsi"/>
        </w:rPr>
        <w:t>prérogatives de cogestion</w:t>
      </w:r>
      <w:r w:rsidR="00201B21">
        <w:rPr>
          <w:rFonts w:cstheme="minorHAnsi"/>
        </w:rPr>
        <w:t xml:space="preserve"> de la Fondation</w:t>
      </w:r>
      <w:r>
        <w:rPr>
          <w:rFonts w:cstheme="minorHAnsi"/>
        </w:rPr>
        <w:t> ;</w:t>
      </w:r>
    </w:p>
    <w:p w14:paraId="451AE479" w14:textId="0E59562C" w:rsidR="00201B21" w:rsidRPr="00207259" w:rsidRDefault="009A761F" w:rsidP="00357CD2">
      <w:pPr>
        <w:numPr>
          <w:ilvl w:val="0"/>
          <w:numId w:val="14"/>
        </w:numPr>
        <w:tabs>
          <w:tab w:val="num" w:pos="720"/>
        </w:tabs>
        <w:spacing w:before="0" w:after="0" w:line="240" w:lineRule="auto"/>
        <w:ind w:left="357" w:hanging="357"/>
        <w:jc w:val="both"/>
        <w:rPr>
          <w:rFonts w:cstheme="minorHAnsi"/>
        </w:rPr>
      </w:pPr>
      <w:r>
        <w:rPr>
          <w:rFonts w:cstheme="minorHAnsi"/>
        </w:rPr>
        <w:t>A</w:t>
      </w:r>
      <w:r w:rsidRPr="00207259">
        <w:rPr>
          <w:rFonts w:cstheme="minorHAnsi"/>
        </w:rPr>
        <w:t xml:space="preserve">ccompagner </w:t>
      </w:r>
      <w:r>
        <w:rPr>
          <w:rFonts w:cstheme="minorHAnsi"/>
        </w:rPr>
        <w:t xml:space="preserve">la </w:t>
      </w:r>
      <w:r w:rsidRPr="00207259">
        <w:rPr>
          <w:rFonts w:cstheme="minorHAnsi"/>
        </w:rPr>
        <w:t>construction progressive</w:t>
      </w:r>
      <w:r>
        <w:rPr>
          <w:rFonts w:cstheme="minorHAnsi"/>
        </w:rPr>
        <w:t xml:space="preserve"> de la</w:t>
      </w:r>
      <w:r w:rsidRPr="00207259">
        <w:rPr>
          <w:rFonts w:cstheme="minorHAnsi"/>
        </w:rPr>
        <w:t xml:space="preserve"> confiance OBPE-Fondation </w:t>
      </w:r>
      <w:r>
        <w:rPr>
          <w:rFonts w:cstheme="minorHAnsi"/>
        </w:rPr>
        <w:t>avec l’appui d’une assistance spécialisée ;</w:t>
      </w:r>
    </w:p>
    <w:p w14:paraId="2FB0A717" w14:textId="144B839E" w:rsidR="00207259" w:rsidRPr="00201B21" w:rsidRDefault="006C2C61" w:rsidP="0062653C">
      <w:pPr>
        <w:numPr>
          <w:ilvl w:val="0"/>
          <w:numId w:val="14"/>
        </w:numPr>
        <w:tabs>
          <w:tab w:val="num" w:pos="720"/>
        </w:tabs>
        <w:spacing w:before="0" w:after="0" w:line="240" w:lineRule="auto"/>
        <w:ind w:left="357" w:hanging="357"/>
        <w:jc w:val="both"/>
        <w:rPr>
          <w:rFonts w:cstheme="minorHAnsi"/>
        </w:rPr>
      </w:pPr>
      <w:r w:rsidRPr="00201B21">
        <w:rPr>
          <w:rFonts w:cstheme="minorHAnsi"/>
        </w:rPr>
        <w:t>D</w:t>
      </w:r>
      <w:r w:rsidR="00207259" w:rsidRPr="00201B21">
        <w:rPr>
          <w:rFonts w:cstheme="minorHAnsi"/>
        </w:rPr>
        <w:t xml:space="preserve">iversifier </w:t>
      </w:r>
      <w:r w:rsidRPr="00201B21">
        <w:rPr>
          <w:rFonts w:cstheme="minorHAnsi"/>
        </w:rPr>
        <w:t xml:space="preserve">les </w:t>
      </w:r>
      <w:r w:rsidR="00207259" w:rsidRPr="00201B21">
        <w:rPr>
          <w:rFonts w:cstheme="minorHAnsi"/>
        </w:rPr>
        <w:t xml:space="preserve">sources </w:t>
      </w:r>
      <w:r w:rsidRPr="00201B21">
        <w:rPr>
          <w:rFonts w:cstheme="minorHAnsi"/>
        </w:rPr>
        <w:t xml:space="preserve">de financement </w:t>
      </w:r>
      <w:r w:rsidR="00207259" w:rsidRPr="00201B21">
        <w:rPr>
          <w:rFonts w:cstheme="minorHAnsi"/>
        </w:rPr>
        <w:t xml:space="preserve">pour ne pas dépendre uniquement </w:t>
      </w:r>
      <w:r w:rsidRPr="00201B21">
        <w:rPr>
          <w:rFonts w:cstheme="minorHAnsi"/>
        </w:rPr>
        <w:t xml:space="preserve">du mécanisme </w:t>
      </w:r>
      <w:r w:rsidR="00207259" w:rsidRPr="00201B21">
        <w:rPr>
          <w:rFonts w:cstheme="minorHAnsi"/>
        </w:rPr>
        <w:t>PSE</w:t>
      </w:r>
      <w:r w:rsidRPr="00201B21">
        <w:rPr>
          <w:rFonts w:cstheme="minorHAnsi"/>
        </w:rPr>
        <w:t xml:space="preserve"> et de l’appui </w:t>
      </w:r>
      <w:r w:rsidR="00207259" w:rsidRPr="00201B21">
        <w:rPr>
          <w:rFonts w:cstheme="minorHAnsi"/>
        </w:rPr>
        <w:t>NIF</w:t>
      </w:r>
      <w:r w:rsidRPr="00201B21">
        <w:rPr>
          <w:rFonts w:cstheme="minorHAnsi"/>
        </w:rPr>
        <w:t xml:space="preserve"> : Cibler les </w:t>
      </w:r>
      <w:r w:rsidR="00207259" w:rsidRPr="00201B21">
        <w:rPr>
          <w:rFonts w:cstheme="minorHAnsi"/>
        </w:rPr>
        <w:t>bailleurs climat/biodiversité (GCF, GEF)</w:t>
      </w:r>
      <w:r w:rsidR="009A761F" w:rsidRPr="00201B21">
        <w:rPr>
          <w:rFonts w:cstheme="minorHAnsi"/>
        </w:rPr>
        <w:t xml:space="preserve"> et les</w:t>
      </w:r>
      <w:r w:rsidR="00207259" w:rsidRPr="00201B21">
        <w:rPr>
          <w:rFonts w:cstheme="minorHAnsi"/>
        </w:rPr>
        <w:t xml:space="preserve"> mécanismes innovants (obligations vertes)</w:t>
      </w:r>
      <w:r w:rsidR="00201B21">
        <w:rPr>
          <w:rFonts w:cstheme="minorHAnsi"/>
        </w:rPr>
        <w:t xml:space="preserve">, ainsi que les banques </w:t>
      </w:r>
      <w:r w:rsidR="00AB3050" w:rsidRPr="00201B21">
        <w:rPr>
          <w:rFonts w:cstheme="minorHAnsi"/>
        </w:rPr>
        <w:t>loc</w:t>
      </w:r>
      <w:r w:rsidR="0096336F" w:rsidRPr="00201B21">
        <w:rPr>
          <w:rFonts w:cstheme="minorHAnsi"/>
        </w:rPr>
        <w:t>a</w:t>
      </w:r>
      <w:r w:rsidR="00AB3050" w:rsidRPr="00201B21">
        <w:rPr>
          <w:rFonts w:cstheme="minorHAnsi"/>
        </w:rPr>
        <w:t>les et internationales</w:t>
      </w:r>
      <w:r w:rsidR="0096336F" w:rsidRPr="00201B21">
        <w:rPr>
          <w:rFonts w:cstheme="minorHAnsi"/>
        </w:rPr>
        <w:t>.</w:t>
      </w:r>
      <w:r w:rsidR="00AB3050" w:rsidRPr="00201B21">
        <w:rPr>
          <w:rFonts w:cstheme="minorHAnsi"/>
        </w:rPr>
        <w:t xml:space="preserve"> </w:t>
      </w:r>
    </w:p>
    <w:p w14:paraId="6DE67672" w14:textId="5AC0F8A2" w:rsidR="00201B21" w:rsidRPr="00207259" w:rsidRDefault="00201B21" w:rsidP="0062653C">
      <w:pPr>
        <w:spacing w:after="0" w:line="240" w:lineRule="auto"/>
        <w:jc w:val="both"/>
        <w:rPr>
          <w:rFonts w:cstheme="minorHAnsi"/>
        </w:rPr>
      </w:pPr>
      <w:r>
        <w:rPr>
          <w:rFonts w:cstheme="minorHAnsi"/>
        </w:rPr>
        <w:t xml:space="preserve">Cet effort de renforcement et d’accompagnement de la Fondation, déjà engagé avec l’appui de NIF, </w:t>
      </w:r>
      <w:r w:rsidRPr="005D2C58">
        <w:rPr>
          <w:rFonts w:cstheme="minorHAnsi"/>
        </w:rPr>
        <w:t>pourra</w:t>
      </w:r>
      <w:r>
        <w:rPr>
          <w:rFonts w:cstheme="minorHAnsi"/>
        </w:rPr>
        <w:t>it</w:t>
      </w:r>
      <w:r w:rsidRPr="005D2C58">
        <w:rPr>
          <w:rFonts w:cstheme="minorHAnsi"/>
        </w:rPr>
        <w:t xml:space="preserve"> être poursuivi et approfondi dans le cadre d'une </w:t>
      </w:r>
      <w:r>
        <w:rPr>
          <w:rFonts w:cstheme="minorHAnsi"/>
        </w:rPr>
        <w:t xml:space="preserve">éventuelle </w:t>
      </w:r>
      <w:r w:rsidRPr="005D2C58">
        <w:rPr>
          <w:rFonts w:cstheme="minorHAnsi"/>
        </w:rPr>
        <w:t>phase 2 du projet Kibira</w:t>
      </w:r>
      <w:r w:rsidR="00615327">
        <w:rPr>
          <w:rFonts w:cstheme="minorHAnsi"/>
        </w:rPr>
        <w:t xml:space="preserve"> et/ou</w:t>
      </w:r>
      <w:r w:rsidR="009D5267">
        <w:rPr>
          <w:rFonts w:cstheme="minorHAnsi"/>
        </w:rPr>
        <w:t xml:space="preserve"> </w:t>
      </w:r>
      <w:r w:rsidR="00615327">
        <w:rPr>
          <w:rFonts w:cstheme="minorHAnsi"/>
        </w:rPr>
        <w:t>d’autres projets de développement intervenant au niveau du PNK</w:t>
      </w:r>
      <w:r>
        <w:rPr>
          <w:rFonts w:cstheme="minorHAnsi"/>
        </w:rPr>
        <w:t>.</w:t>
      </w:r>
    </w:p>
    <w:p w14:paraId="77720D4C" w14:textId="77777777" w:rsidR="00EA7BCA" w:rsidRPr="0062653C" w:rsidRDefault="00207259" w:rsidP="004336F6">
      <w:pPr>
        <w:spacing w:after="60" w:line="240" w:lineRule="auto"/>
        <w:jc w:val="both"/>
        <w:rPr>
          <w:rFonts w:cstheme="minorHAnsi"/>
          <w:i/>
          <w:iCs/>
        </w:rPr>
      </w:pPr>
      <w:r w:rsidRPr="00A97FE2">
        <w:rPr>
          <w:rFonts w:cstheme="minorHAnsi"/>
          <w:i/>
          <w:iCs/>
        </w:rPr>
        <w:t>Cible :</w:t>
      </w:r>
      <w:r w:rsidRPr="0062653C">
        <w:rPr>
          <w:rFonts w:cstheme="minorHAnsi"/>
          <w:i/>
          <w:iCs/>
        </w:rPr>
        <w:t xml:space="preserve"> Fondation, Gouvernement, UNCDF, bailleurs</w:t>
      </w:r>
    </w:p>
    <w:p w14:paraId="13FB18CE" w14:textId="08EC7650" w:rsidR="00092E8A" w:rsidRDefault="00092E8A" w:rsidP="004336F6">
      <w:pPr>
        <w:spacing w:before="60" w:after="60" w:line="240" w:lineRule="auto"/>
        <w:jc w:val="both"/>
        <w:rPr>
          <w:rFonts w:cstheme="minorHAnsi"/>
          <w:i/>
          <w:iCs/>
        </w:rPr>
      </w:pPr>
      <w:r>
        <w:rPr>
          <w:rFonts w:cstheme="minorHAnsi"/>
          <w:i/>
          <w:iCs/>
        </w:rPr>
        <w:t xml:space="preserve">Priorité : Elevée </w:t>
      </w:r>
    </w:p>
    <w:p w14:paraId="5068B4CB" w14:textId="342F41C6" w:rsidR="00207259" w:rsidRPr="00A97FE2" w:rsidRDefault="009A761F" w:rsidP="004336F6">
      <w:pPr>
        <w:spacing w:before="60" w:after="60" w:line="240" w:lineRule="auto"/>
        <w:jc w:val="both"/>
        <w:rPr>
          <w:rFonts w:cstheme="minorHAnsi"/>
          <w:i/>
          <w:iCs/>
        </w:rPr>
      </w:pPr>
      <w:r w:rsidRPr="00A97FE2">
        <w:rPr>
          <w:rFonts w:cstheme="minorHAnsi"/>
          <w:i/>
          <w:iCs/>
        </w:rPr>
        <w:t>Echéancier</w:t>
      </w:r>
      <w:r w:rsidR="00207259" w:rsidRPr="00A97FE2">
        <w:rPr>
          <w:rFonts w:cstheme="minorHAnsi"/>
          <w:i/>
          <w:iCs/>
        </w:rPr>
        <w:t xml:space="preserve"> :</w:t>
      </w:r>
      <w:r w:rsidR="00207259" w:rsidRPr="0062653C">
        <w:rPr>
          <w:rFonts w:cstheme="minorHAnsi"/>
          <w:i/>
          <w:iCs/>
        </w:rPr>
        <w:t xml:space="preserve"> Court à moyen terme (12-24 mois) </w:t>
      </w:r>
    </w:p>
    <w:p w14:paraId="22B0FFF7" w14:textId="77777777" w:rsidR="00207259" w:rsidRPr="00207259" w:rsidRDefault="00207259" w:rsidP="004336F6">
      <w:pPr>
        <w:spacing w:before="240" w:line="240" w:lineRule="auto"/>
        <w:jc w:val="both"/>
        <w:rPr>
          <w:rFonts w:cstheme="minorHAnsi"/>
          <w:b/>
          <w:bCs/>
          <w:color w:val="000099"/>
        </w:rPr>
      </w:pPr>
      <w:r w:rsidRPr="00207259">
        <w:rPr>
          <w:rFonts w:cstheme="minorHAnsi"/>
          <w:b/>
          <w:bCs/>
          <w:color w:val="000099"/>
        </w:rPr>
        <w:t>RO2. Opérationnaliser et renforcer la fonctionnalité des Comités de Protection de la Kibira (CPK)</w:t>
      </w:r>
    </w:p>
    <w:p w14:paraId="7B58751A" w14:textId="2B1D42A3" w:rsidR="00207259" w:rsidRPr="00207259" w:rsidRDefault="00207259" w:rsidP="00AD365C">
      <w:pPr>
        <w:spacing w:after="0" w:line="240" w:lineRule="auto"/>
        <w:jc w:val="both"/>
        <w:rPr>
          <w:rFonts w:cstheme="minorHAnsi"/>
        </w:rPr>
      </w:pPr>
      <w:r w:rsidRPr="00207259">
        <w:rPr>
          <w:rFonts w:cstheme="minorHAnsi"/>
        </w:rPr>
        <w:t xml:space="preserve">Les CPK constituent l'interface communautaire de la conservation mais leur fonctionnalité demeure très limitée, compromettant leur durabilité. Leur opérationnalisation avec un rôle élargi et des mécanismes de motivation est essentielle pour l'appropriation communautaire. </w:t>
      </w:r>
      <w:r w:rsidR="00D25E9B">
        <w:rPr>
          <w:rFonts w:cstheme="minorHAnsi"/>
        </w:rPr>
        <w:t>Ains, i</w:t>
      </w:r>
      <w:r w:rsidRPr="00207259">
        <w:rPr>
          <w:rFonts w:cstheme="minorHAnsi"/>
        </w:rPr>
        <w:t>l convient de :</w:t>
      </w:r>
    </w:p>
    <w:p w14:paraId="0B916680" w14:textId="34F30D06" w:rsidR="00207259" w:rsidRPr="00207259" w:rsidRDefault="00207259" w:rsidP="00357CD2">
      <w:pPr>
        <w:numPr>
          <w:ilvl w:val="0"/>
          <w:numId w:val="14"/>
        </w:numPr>
        <w:tabs>
          <w:tab w:val="num" w:pos="720"/>
        </w:tabs>
        <w:spacing w:before="0" w:after="0" w:line="240" w:lineRule="auto"/>
        <w:ind w:left="357" w:hanging="357"/>
        <w:jc w:val="both"/>
        <w:rPr>
          <w:rFonts w:cstheme="minorHAnsi"/>
        </w:rPr>
      </w:pPr>
      <w:r w:rsidRPr="00207259">
        <w:rPr>
          <w:rFonts w:cstheme="minorHAnsi"/>
        </w:rPr>
        <w:lastRenderedPageBreak/>
        <w:t xml:space="preserve">Redéfinir le mandat au-delà de la "délation" pour inclure </w:t>
      </w:r>
      <w:r w:rsidR="004513ED">
        <w:rPr>
          <w:rFonts w:cstheme="minorHAnsi"/>
        </w:rPr>
        <w:t xml:space="preserve">la </w:t>
      </w:r>
      <w:r w:rsidRPr="00207259">
        <w:rPr>
          <w:rFonts w:cstheme="minorHAnsi"/>
        </w:rPr>
        <w:t xml:space="preserve">médiation communautaire, </w:t>
      </w:r>
      <w:r w:rsidR="004513ED">
        <w:rPr>
          <w:rFonts w:cstheme="minorHAnsi"/>
        </w:rPr>
        <w:t xml:space="preserve">la </w:t>
      </w:r>
      <w:r w:rsidRPr="00207259">
        <w:rPr>
          <w:rFonts w:cstheme="minorHAnsi"/>
        </w:rPr>
        <w:t xml:space="preserve">sensibilisation </w:t>
      </w:r>
      <w:r w:rsidR="004513ED">
        <w:rPr>
          <w:rFonts w:cstheme="minorHAnsi"/>
        </w:rPr>
        <w:t xml:space="preserve">à la </w:t>
      </w:r>
      <w:r w:rsidRPr="00207259">
        <w:rPr>
          <w:rFonts w:cstheme="minorHAnsi"/>
        </w:rPr>
        <w:t xml:space="preserve">conservation, et </w:t>
      </w:r>
      <w:r w:rsidR="004513ED">
        <w:rPr>
          <w:rFonts w:cstheme="minorHAnsi"/>
        </w:rPr>
        <w:t xml:space="preserve">le </w:t>
      </w:r>
      <w:r w:rsidRPr="00207259">
        <w:rPr>
          <w:rFonts w:cstheme="minorHAnsi"/>
        </w:rPr>
        <w:t>rôle de relais bidirectionnel communautés-autorités</w:t>
      </w:r>
      <w:r w:rsidR="00D25E9B">
        <w:rPr>
          <w:rFonts w:cstheme="minorHAnsi"/>
        </w:rPr>
        <w:t xml:space="preserve"> : Ce processus pourrait être initié dans le cadre du projet NIF, avec comme objectif de faire valider cette redéfinition du mandat par l’OBPE et de faciliter </w:t>
      </w:r>
      <w:r w:rsidR="00D25E9B" w:rsidRPr="00D25E9B">
        <w:rPr>
          <w:rFonts w:cstheme="minorHAnsi"/>
        </w:rPr>
        <w:t>l'intégration des CPK dans le système de gestion du parc.</w:t>
      </w:r>
    </w:p>
    <w:p w14:paraId="6416004F" w14:textId="3369921D" w:rsidR="00207259" w:rsidRPr="00207259" w:rsidRDefault="00207259" w:rsidP="00357CD2">
      <w:pPr>
        <w:numPr>
          <w:ilvl w:val="0"/>
          <w:numId w:val="14"/>
        </w:numPr>
        <w:tabs>
          <w:tab w:val="num" w:pos="720"/>
        </w:tabs>
        <w:spacing w:before="0" w:after="0" w:line="240" w:lineRule="auto"/>
        <w:ind w:left="357" w:hanging="357"/>
        <w:jc w:val="both"/>
        <w:rPr>
          <w:rFonts w:cstheme="minorHAnsi"/>
        </w:rPr>
      </w:pPr>
      <w:r w:rsidRPr="00207259">
        <w:rPr>
          <w:rFonts w:cstheme="minorHAnsi"/>
        </w:rPr>
        <w:t xml:space="preserve">Établir </w:t>
      </w:r>
      <w:r w:rsidR="004513ED">
        <w:rPr>
          <w:rFonts w:cstheme="minorHAnsi"/>
        </w:rPr>
        <w:t xml:space="preserve">des </w:t>
      </w:r>
      <w:r w:rsidRPr="00207259">
        <w:rPr>
          <w:rFonts w:cstheme="minorHAnsi"/>
        </w:rPr>
        <w:t xml:space="preserve">mécanismes de motivation : </w:t>
      </w:r>
      <w:r w:rsidR="004513ED">
        <w:rPr>
          <w:rFonts w:cstheme="minorHAnsi"/>
        </w:rPr>
        <w:t>R</w:t>
      </w:r>
      <w:r w:rsidRPr="00207259">
        <w:rPr>
          <w:rFonts w:cstheme="minorHAnsi"/>
        </w:rPr>
        <w:t xml:space="preserve">econnaissance publique </w:t>
      </w:r>
      <w:r w:rsidR="004513ED">
        <w:rPr>
          <w:rFonts w:cstheme="minorHAnsi"/>
        </w:rPr>
        <w:t xml:space="preserve">des </w:t>
      </w:r>
      <w:r w:rsidRPr="00207259">
        <w:rPr>
          <w:rFonts w:cstheme="minorHAnsi"/>
        </w:rPr>
        <w:t xml:space="preserve">CPK actifs, accès prioritaire à </w:t>
      </w:r>
      <w:r w:rsidR="004513ED">
        <w:rPr>
          <w:rFonts w:cstheme="minorHAnsi"/>
        </w:rPr>
        <w:t xml:space="preserve">des </w:t>
      </w:r>
      <w:r w:rsidRPr="00207259">
        <w:rPr>
          <w:rFonts w:cstheme="minorHAnsi"/>
        </w:rPr>
        <w:t>bénéfices (formations, équipements, microprojets), per diem modestes pour réunions/activités</w:t>
      </w:r>
    </w:p>
    <w:p w14:paraId="3B16BF4D" w14:textId="309127B3" w:rsidR="00207259" w:rsidRPr="00207259" w:rsidRDefault="00207259" w:rsidP="00357CD2">
      <w:pPr>
        <w:numPr>
          <w:ilvl w:val="0"/>
          <w:numId w:val="14"/>
        </w:numPr>
        <w:tabs>
          <w:tab w:val="num" w:pos="720"/>
        </w:tabs>
        <w:spacing w:before="0" w:after="0" w:line="240" w:lineRule="auto"/>
        <w:ind w:left="357" w:hanging="357"/>
        <w:jc w:val="both"/>
        <w:rPr>
          <w:rFonts w:cstheme="minorHAnsi"/>
        </w:rPr>
      </w:pPr>
      <w:r w:rsidRPr="00207259">
        <w:rPr>
          <w:rFonts w:cstheme="minorHAnsi"/>
        </w:rPr>
        <w:t xml:space="preserve">Former </w:t>
      </w:r>
      <w:r w:rsidR="004513ED">
        <w:rPr>
          <w:rFonts w:cstheme="minorHAnsi"/>
        </w:rPr>
        <w:t xml:space="preserve">les </w:t>
      </w:r>
      <w:r w:rsidRPr="00207259">
        <w:rPr>
          <w:rFonts w:cstheme="minorHAnsi"/>
        </w:rPr>
        <w:t>membres</w:t>
      </w:r>
      <w:r w:rsidR="004513ED">
        <w:rPr>
          <w:rFonts w:cstheme="minorHAnsi"/>
        </w:rPr>
        <w:t xml:space="preserve"> des CPK</w:t>
      </w:r>
      <w:r w:rsidRPr="00207259">
        <w:rPr>
          <w:rFonts w:cstheme="minorHAnsi"/>
        </w:rPr>
        <w:t xml:space="preserve"> aux compétences de dialogue, médiation conflits, et sensibilisation environnementale</w:t>
      </w:r>
    </w:p>
    <w:p w14:paraId="72B5B653" w14:textId="0566504D" w:rsidR="00207259" w:rsidRDefault="00207259" w:rsidP="00357CD2">
      <w:pPr>
        <w:numPr>
          <w:ilvl w:val="0"/>
          <w:numId w:val="14"/>
        </w:numPr>
        <w:tabs>
          <w:tab w:val="num" w:pos="720"/>
        </w:tabs>
        <w:spacing w:before="0" w:after="0" w:line="240" w:lineRule="auto"/>
        <w:ind w:left="357" w:hanging="357"/>
        <w:jc w:val="both"/>
        <w:rPr>
          <w:rFonts w:cstheme="minorHAnsi"/>
        </w:rPr>
      </w:pPr>
      <w:r w:rsidRPr="00207259">
        <w:rPr>
          <w:rFonts w:cstheme="minorHAnsi"/>
        </w:rPr>
        <w:t xml:space="preserve">Établir et activer </w:t>
      </w:r>
      <w:r w:rsidR="004513ED">
        <w:rPr>
          <w:rFonts w:cstheme="minorHAnsi"/>
        </w:rPr>
        <w:t xml:space="preserve">les </w:t>
      </w:r>
      <w:r w:rsidRPr="00207259">
        <w:rPr>
          <w:rFonts w:cstheme="minorHAnsi"/>
        </w:rPr>
        <w:t>CPK dans toutes</w:t>
      </w:r>
      <w:r w:rsidR="004513ED">
        <w:rPr>
          <w:rFonts w:cstheme="minorHAnsi"/>
        </w:rPr>
        <w:t xml:space="preserve"> les</w:t>
      </w:r>
      <w:r w:rsidRPr="00207259">
        <w:rPr>
          <w:rFonts w:cstheme="minorHAnsi"/>
        </w:rPr>
        <w:t xml:space="preserve"> zones périphériques du parc</w:t>
      </w:r>
    </w:p>
    <w:p w14:paraId="0BFE05A9" w14:textId="4F486E93" w:rsidR="00787CBA" w:rsidRPr="00207259" w:rsidRDefault="00787CBA" w:rsidP="0062653C">
      <w:pPr>
        <w:spacing w:after="0" w:line="240" w:lineRule="auto"/>
        <w:jc w:val="both"/>
        <w:rPr>
          <w:rFonts w:cstheme="minorHAnsi"/>
        </w:rPr>
      </w:pPr>
      <w:r>
        <w:rPr>
          <w:rFonts w:cstheme="minorHAnsi"/>
        </w:rPr>
        <w:t xml:space="preserve">Cet effort de renforcement des CPK </w:t>
      </w:r>
      <w:r w:rsidR="006F06EC">
        <w:rPr>
          <w:rFonts w:cstheme="minorHAnsi"/>
        </w:rPr>
        <w:t>pourrait être</w:t>
      </w:r>
      <w:r>
        <w:rPr>
          <w:rFonts w:cstheme="minorHAnsi"/>
        </w:rPr>
        <w:t xml:space="preserve"> déploy</w:t>
      </w:r>
      <w:r w:rsidR="00782AC8">
        <w:rPr>
          <w:rFonts w:cstheme="minorHAnsi"/>
        </w:rPr>
        <w:t>é</w:t>
      </w:r>
      <w:r>
        <w:rPr>
          <w:rFonts w:cstheme="minorHAnsi"/>
        </w:rPr>
        <w:t xml:space="preserve"> dans le cadre du projet NIF, en coordination avec la Fondation Kibira et l’OBPE, et</w:t>
      </w:r>
      <w:r w:rsidR="000C1D24">
        <w:rPr>
          <w:rFonts w:cstheme="minorHAnsi"/>
        </w:rPr>
        <w:t xml:space="preserve"> avec l’appui d’</w:t>
      </w:r>
      <w:r>
        <w:rPr>
          <w:rFonts w:cstheme="minorHAnsi"/>
        </w:rPr>
        <w:t>autres projets en cours ou planifiés (</w:t>
      </w:r>
      <w:r w:rsidRPr="00787CBA">
        <w:rPr>
          <w:rFonts w:cstheme="minorHAnsi"/>
        </w:rPr>
        <w:t xml:space="preserve">PNUD Biodiversité, ENABEL </w:t>
      </w:r>
      <w:proofErr w:type="spellStart"/>
      <w:r w:rsidRPr="00787CBA">
        <w:rPr>
          <w:rFonts w:cstheme="minorHAnsi"/>
        </w:rPr>
        <w:t>NaturAfrica</w:t>
      </w:r>
      <w:proofErr w:type="spellEnd"/>
      <w:r>
        <w:rPr>
          <w:rFonts w:cstheme="minorHAnsi"/>
        </w:rPr>
        <w:t xml:space="preserve">, </w:t>
      </w:r>
      <w:r w:rsidRPr="00787CBA">
        <w:rPr>
          <w:rFonts w:cstheme="minorHAnsi"/>
        </w:rPr>
        <w:t>éventuelle phase 2 du projet Kibira</w:t>
      </w:r>
      <w:r>
        <w:rPr>
          <w:rFonts w:cstheme="minorHAnsi"/>
        </w:rPr>
        <w:t xml:space="preserve">).  </w:t>
      </w:r>
    </w:p>
    <w:p w14:paraId="436859D9" w14:textId="77777777" w:rsidR="00117757" w:rsidRPr="00117757" w:rsidRDefault="00207259" w:rsidP="00117757">
      <w:pPr>
        <w:spacing w:after="60" w:line="240" w:lineRule="auto"/>
        <w:jc w:val="both"/>
        <w:rPr>
          <w:rFonts w:cstheme="minorHAnsi"/>
          <w:i/>
          <w:iCs/>
        </w:rPr>
      </w:pPr>
      <w:r w:rsidRPr="00207259">
        <w:rPr>
          <w:rFonts w:cstheme="minorHAnsi"/>
          <w:i/>
          <w:iCs/>
        </w:rPr>
        <w:t>Cible : Fondation, OBPE, communautés</w:t>
      </w:r>
    </w:p>
    <w:p w14:paraId="2D5F47D3" w14:textId="20713E25" w:rsidR="00DC3E26" w:rsidRDefault="00DC3E26" w:rsidP="00117757">
      <w:pPr>
        <w:spacing w:before="60" w:after="60" w:line="240" w:lineRule="auto"/>
        <w:jc w:val="both"/>
        <w:rPr>
          <w:rFonts w:cstheme="minorHAnsi"/>
          <w:i/>
          <w:iCs/>
        </w:rPr>
      </w:pPr>
      <w:r>
        <w:rPr>
          <w:rFonts w:cstheme="minorHAnsi"/>
          <w:i/>
          <w:iCs/>
        </w:rPr>
        <w:t xml:space="preserve">Priorité : Moyenne </w:t>
      </w:r>
    </w:p>
    <w:p w14:paraId="402087B0" w14:textId="75BEA224" w:rsidR="00207259" w:rsidRPr="00207259" w:rsidRDefault="00117757" w:rsidP="00117757">
      <w:pPr>
        <w:spacing w:before="60" w:after="60" w:line="240" w:lineRule="auto"/>
        <w:jc w:val="both"/>
        <w:rPr>
          <w:rFonts w:cstheme="minorHAnsi"/>
          <w:i/>
          <w:iCs/>
        </w:rPr>
      </w:pPr>
      <w:r>
        <w:rPr>
          <w:rFonts w:cstheme="minorHAnsi"/>
          <w:i/>
          <w:iCs/>
        </w:rPr>
        <w:t>Echéa</w:t>
      </w:r>
      <w:r w:rsidR="00680686">
        <w:rPr>
          <w:rFonts w:cstheme="minorHAnsi"/>
          <w:i/>
          <w:iCs/>
        </w:rPr>
        <w:t>n</w:t>
      </w:r>
      <w:r>
        <w:rPr>
          <w:rFonts w:cstheme="minorHAnsi"/>
          <w:i/>
          <w:iCs/>
        </w:rPr>
        <w:t>cier</w:t>
      </w:r>
      <w:r w:rsidR="00680686">
        <w:rPr>
          <w:rFonts w:cstheme="minorHAnsi"/>
          <w:i/>
          <w:iCs/>
        </w:rPr>
        <w:t xml:space="preserve"> </w:t>
      </w:r>
      <w:r w:rsidR="00207259" w:rsidRPr="00207259">
        <w:rPr>
          <w:rFonts w:cstheme="minorHAnsi"/>
          <w:i/>
          <w:iCs/>
        </w:rPr>
        <w:t>: Court à moyen terme (12-18 mois)</w:t>
      </w:r>
    </w:p>
    <w:p w14:paraId="5EED70CB" w14:textId="77777777" w:rsidR="00207259" w:rsidRPr="00207259" w:rsidRDefault="00207259" w:rsidP="004513ED">
      <w:pPr>
        <w:spacing w:before="240" w:line="240" w:lineRule="auto"/>
        <w:jc w:val="both"/>
        <w:rPr>
          <w:rFonts w:cstheme="minorHAnsi"/>
          <w:b/>
          <w:bCs/>
          <w:color w:val="000099"/>
        </w:rPr>
      </w:pPr>
      <w:r w:rsidRPr="00207259">
        <w:rPr>
          <w:rFonts w:cstheme="minorHAnsi"/>
          <w:b/>
          <w:bCs/>
          <w:color w:val="000099"/>
        </w:rPr>
        <w:t>RO3. Renforcer la viabilité économique et technique des interventions de développement communautaire</w:t>
      </w:r>
    </w:p>
    <w:p w14:paraId="560D0D1D" w14:textId="189F1476" w:rsidR="00207259" w:rsidRPr="00207259" w:rsidRDefault="00207259" w:rsidP="00AD365C">
      <w:pPr>
        <w:spacing w:after="0" w:line="240" w:lineRule="auto"/>
        <w:jc w:val="both"/>
        <w:rPr>
          <w:rFonts w:cstheme="minorHAnsi"/>
        </w:rPr>
      </w:pPr>
      <w:r w:rsidRPr="00207259">
        <w:rPr>
          <w:rFonts w:cstheme="minorHAnsi"/>
        </w:rPr>
        <w:t xml:space="preserve">La viabilité de plusieurs interventions demeure incertaine en raison de faiblesses techniques et d'absence de suivi post-intervention. Le renforcement de la viabilité des AGR et la mise en place de systèmes de suivi continu sont essentiels pour la durabilité. </w:t>
      </w:r>
      <w:r w:rsidR="002376C6">
        <w:rPr>
          <w:rFonts w:cstheme="minorHAnsi"/>
        </w:rPr>
        <w:t>Ainsi, il convient</w:t>
      </w:r>
      <w:r w:rsidRPr="00207259">
        <w:rPr>
          <w:rFonts w:cstheme="minorHAnsi"/>
        </w:rPr>
        <w:t xml:space="preserve"> </w:t>
      </w:r>
      <w:r w:rsidR="004513ED">
        <w:rPr>
          <w:rFonts w:cstheme="minorHAnsi"/>
        </w:rPr>
        <w:t xml:space="preserve">de </w:t>
      </w:r>
      <w:r w:rsidRPr="00207259">
        <w:rPr>
          <w:rFonts w:cstheme="minorHAnsi"/>
        </w:rPr>
        <w:t>:</w:t>
      </w:r>
    </w:p>
    <w:p w14:paraId="4DBCE48E" w14:textId="1D381A44" w:rsidR="00207259" w:rsidRPr="00207259" w:rsidRDefault="004513ED" w:rsidP="00357CD2">
      <w:pPr>
        <w:numPr>
          <w:ilvl w:val="0"/>
          <w:numId w:val="14"/>
        </w:numPr>
        <w:tabs>
          <w:tab w:val="num" w:pos="720"/>
        </w:tabs>
        <w:spacing w:before="0" w:after="0" w:line="240" w:lineRule="auto"/>
        <w:ind w:left="357" w:hanging="357"/>
        <w:jc w:val="both"/>
        <w:rPr>
          <w:rFonts w:cstheme="minorHAnsi"/>
        </w:rPr>
      </w:pPr>
      <w:r>
        <w:rPr>
          <w:rFonts w:cstheme="minorHAnsi"/>
        </w:rPr>
        <w:t>Assurer un</w:t>
      </w:r>
      <w:r w:rsidR="00207259" w:rsidRPr="00207259">
        <w:rPr>
          <w:rFonts w:cstheme="minorHAnsi"/>
        </w:rPr>
        <w:t xml:space="preserve"> accompagnement continu</w:t>
      </w:r>
      <w:r>
        <w:rPr>
          <w:rFonts w:cstheme="minorHAnsi"/>
        </w:rPr>
        <w:t xml:space="preserve"> des AGR </w:t>
      </w:r>
      <w:r w:rsidR="0039565D">
        <w:rPr>
          <w:rFonts w:cstheme="minorHAnsi"/>
        </w:rPr>
        <w:t xml:space="preserve">(champignons, élevage, …) </w:t>
      </w:r>
      <w:r>
        <w:rPr>
          <w:rFonts w:cstheme="minorHAnsi"/>
        </w:rPr>
        <w:t>: A</w:t>
      </w:r>
      <w:r w:rsidR="00207259" w:rsidRPr="00207259">
        <w:rPr>
          <w:rFonts w:cstheme="minorHAnsi"/>
        </w:rPr>
        <w:t>méliorer</w:t>
      </w:r>
      <w:r>
        <w:rPr>
          <w:rFonts w:cstheme="minorHAnsi"/>
        </w:rPr>
        <w:t xml:space="preserve"> la</w:t>
      </w:r>
      <w:r w:rsidR="00207259" w:rsidRPr="00207259">
        <w:rPr>
          <w:rFonts w:cstheme="minorHAnsi"/>
        </w:rPr>
        <w:t xml:space="preserve"> maîtrise </w:t>
      </w:r>
      <w:r>
        <w:rPr>
          <w:rFonts w:cstheme="minorHAnsi"/>
        </w:rPr>
        <w:t xml:space="preserve">des </w:t>
      </w:r>
      <w:r w:rsidR="00207259" w:rsidRPr="00207259">
        <w:rPr>
          <w:rFonts w:cstheme="minorHAnsi"/>
        </w:rPr>
        <w:t xml:space="preserve">techniques de production, sécuriser </w:t>
      </w:r>
      <w:r>
        <w:rPr>
          <w:rFonts w:cstheme="minorHAnsi"/>
        </w:rPr>
        <w:t>l’</w:t>
      </w:r>
      <w:r w:rsidR="00207259" w:rsidRPr="00207259">
        <w:rPr>
          <w:rFonts w:cstheme="minorHAnsi"/>
        </w:rPr>
        <w:t>approvisionnement</w:t>
      </w:r>
      <w:r>
        <w:rPr>
          <w:rFonts w:cstheme="minorHAnsi"/>
        </w:rPr>
        <w:t xml:space="preserve"> en</w:t>
      </w:r>
      <w:r w:rsidR="00207259" w:rsidRPr="00207259">
        <w:rPr>
          <w:rFonts w:cstheme="minorHAnsi"/>
        </w:rPr>
        <w:t xml:space="preserve"> intrants, </w:t>
      </w:r>
      <w:r>
        <w:rPr>
          <w:rFonts w:cstheme="minorHAnsi"/>
        </w:rPr>
        <w:t>faciliter l’accès au marché</w:t>
      </w:r>
      <w:r w:rsidR="00207259" w:rsidRPr="00207259">
        <w:rPr>
          <w:rFonts w:cstheme="minorHAnsi"/>
        </w:rPr>
        <w:t xml:space="preserve">, </w:t>
      </w:r>
      <w:r>
        <w:rPr>
          <w:rFonts w:cstheme="minorHAnsi"/>
        </w:rPr>
        <w:t>appuyer l’</w:t>
      </w:r>
      <w:r w:rsidR="00207259" w:rsidRPr="00207259">
        <w:rPr>
          <w:rFonts w:cstheme="minorHAnsi"/>
        </w:rPr>
        <w:t xml:space="preserve">accès </w:t>
      </w:r>
      <w:r>
        <w:rPr>
          <w:rFonts w:cstheme="minorHAnsi"/>
        </w:rPr>
        <w:t xml:space="preserve">au </w:t>
      </w:r>
      <w:r w:rsidR="00207259" w:rsidRPr="00207259">
        <w:rPr>
          <w:rFonts w:cstheme="minorHAnsi"/>
        </w:rPr>
        <w:t xml:space="preserve">crédit, </w:t>
      </w:r>
      <w:r>
        <w:rPr>
          <w:rFonts w:cstheme="minorHAnsi"/>
        </w:rPr>
        <w:t>etc.</w:t>
      </w:r>
    </w:p>
    <w:p w14:paraId="6298FF50" w14:textId="1426FFE6" w:rsidR="00207259" w:rsidRDefault="0039565D" w:rsidP="00357CD2">
      <w:pPr>
        <w:numPr>
          <w:ilvl w:val="0"/>
          <w:numId w:val="14"/>
        </w:numPr>
        <w:tabs>
          <w:tab w:val="num" w:pos="720"/>
        </w:tabs>
        <w:spacing w:before="0" w:after="0" w:line="240" w:lineRule="auto"/>
        <w:ind w:left="357" w:hanging="357"/>
        <w:jc w:val="both"/>
        <w:rPr>
          <w:rFonts w:cstheme="minorHAnsi"/>
        </w:rPr>
      </w:pPr>
      <w:r>
        <w:rPr>
          <w:rFonts w:cstheme="minorHAnsi"/>
        </w:rPr>
        <w:t>Assurer un suivi post-p</w:t>
      </w:r>
      <w:r w:rsidR="00207259" w:rsidRPr="00207259">
        <w:rPr>
          <w:rFonts w:cstheme="minorHAnsi"/>
        </w:rPr>
        <w:t>lantation</w:t>
      </w:r>
      <w:r>
        <w:rPr>
          <w:rFonts w:cstheme="minorHAnsi"/>
        </w:rPr>
        <w:t xml:space="preserve"> </w:t>
      </w:r>
      <w:r w:rsidR="00207259" w:rsidRPr="00207259">
        <w:rPr>
          <w:rFonts w:cstheme="minorHAnsi"/>
        </w:rPr>
        <w:t xml:space="preserve">: </w:t>
      </w:r>
      <w:r>
        <w:rPr>
          <w:rFonts w:cstheme="minorHAnsi"/>
        </w:rPr>
        <w:t xml:space="preserve">Entretien, </w:t>
      </w:r>
      <w:r w:rsidRPr="00207259">
        <w:rPr>
          <w:rFonts w:cstheme="minorHAnsi"/>
        </w:rPr>
        <w:t>visites techniques périodiques</w:t>
      </w:r>
      <w:r>
        <w:rPr>
          <w:rFonts w:cstheme="minorHAnsi"/>
        </w:rPr>
        <w:t xml:space="preserve">, </w:t>
      </w:r>
      <w:r w:rsidRPr="00207259">
        <w:rPr>
          <w:rFonts w:cstheme="minorHAnsi"/>
        </w:rPr>
        <w:t>sensibilisation valeur économique/</w:t>
      </w:r>
      <w:r>
        <w:rPr>
          <w:rFonts w:cstheme="minorHAnsi"/>
        </w:rPr>
        <w:t xml:space="preserve"> </w:t>
      </w:r>
      <w:r w:rsidRPr="00207259">
        <w:rPr>
          <w:rFonts w:cstheme="minorHAnsi"/>
        </w:rPr>
        <w:t>environnementale</w:t>
      </w:r>
      <w:r>
        <w:rPr>
          <w:rFonts w:cstheme="minorHAnsi"/>
        </w:rPr>
        <w:t>,</w:t>
      </w:r>
      <w:r w:rsidRPr="00207259">
        <w:rPr>
          <w:rFonts w:cstheme="minorHAnsi"/>
        </w:rPr>
        <w:t xml:space="preserve"> </w:t>
      </w:r>
      <w:r w:rsidR="00207259" w:rsidRPr="00207259">
        <w:rPr>
          <w:rFonts w:cstheme="minorHAnsi"/>
        </w:rPr>
        <w:t xml:space="preserve">suivi </w:t>
      </w:r>
      <w:r>
        <w:rPr>
          <w:rFonts w:cstheme="minorHAnsi"/>
        </w:rPr>
        <w:t xml:space="preserve">du </w:t>
      </w:r>
      <w:r w:rsidR="00207259" w:rsidRPr="00207259">
        <w:rPr>
          <w:rFonts w:cstheme="minorHAnsi"/>
        </w:rPr>
        <w:t>taux survie</w:t>
      </w:r>
      <w:r>
        <w:rPr>
          <w:rFonts w:cstheme="minorHAnsi"/>
        </w:rPr>
        <w:t>, etc.</w:t>
      </w:r>
    </w:p>
    <w:p w14:paraId="75E62BB7" w14:textId="663E5293" w:rsidR="005E204F" w:rsidRPr="00207259" w:rsidRDefault="005E204F" w:rsidP="00357CD2">
      <w:pPr>
        <w:numPr>
          <w:ilvl w:val="0"/>
          <w:numId w:val="14"/>
        </w:numPr>
        <w:tabs>
          <w:tab w:val="num" w:pos="720"/>
        </w:tabs>
        <w:spacing w:before="0" w:after="0" w:line="240" w:lineRule="auto"/>
        <w:ind w:left="357" w:hanging="357"/>
        <w:jc w:val="both"/>
        <w:rPr>
          <w:rFonts w:cstheme="minorHAnsi"/>
        </w:rPr>
      </w:pPr>
      <w:r>
        <w:rPr>
          <w:rFonts w:cstheme="minorHAnsi"/>
        </w:rPr>
        <w:t>Promouvoir les pa</w:t>
      </w:r>
      <w:r w:rsidR="001E05DD">
        <w:rPr>
          <w:rFonts w:cstheme="minorHAnsi"/>
        </w:rPr>
        <w:t>i</w:t>
      </w:r>
      <w:r>
        <w:rPr>
          <w:rFonts w:cstheme="minorHAnsi"/>
        </w:rPr>
        <w:t>ements pour les serv</w:t>
      </w:r>
      <w:r w:rsidR="001E05DD">
        <w:rPr>
          <w:rFonts w:cstheme="minorHAnsi"/>
        </w:rPr>
        <w:t xml:space="preserve">ices </w:t>
      </w:r>
      <w:r>
        <w:rPr>
          <w:rFonts w:cstheme="minorHAnsi"/>
        </w:rPr>
        <w:t>envir</w:t>
      </w:r>
      <w:r w:rsidR="001E05DD">
        <w:rPr>
          <w:rFonts w:cstheme="minorHAnsi"/>
        </w:rPr>
        <w:t>onnementaux</w:t>
      </w:r>
      <w:r w:rsidR="00A97FE2">
        <w:rPr>
          <w:rFonts w:cstheme="minorHAnsi"/>
        </w:rPr>
        <w:t xml:space="preserve"> (PSE</w:t>
      </w:r>
      <w:r w:rsidR="001E05DD">
        <w:rPr>
          <w:rFonts w:cstheme="minorHAnsi"/>
        </w:rPr>
        <w:t>) à long terme</w:t>
      </w:r>
      <w:r w:rsidR="00F91FCA">
        <w:rPr>
          <w:rFonts w:cstheme="minorHAnsi"/>
        </w:rPr>
        <w:t xml:space="preserve"> en</w:t>
      </w:r>
      <w:r w:rsidR="001E05DD">
        <w:rPr>
          <w:rFonts w:cstheme="minorHAnsi"/>
        </w:rPr>
        <w:t xml:space="preserve"> i</w:t>
      </w:r>
      <w:r w:rsidR="00D717F5">
        <w:rPr>
          <w:rFonts w:cstheme="minorHAnsi"/>
        </w:rPr>
        <w:t>mpliquant l</w:t>
      </w:r>
      <w:r w:rsidR="001E05DD">
        <w:rPr>
          <w:rFonts w:cstheme="minorHAnsi"/>
        </w:rPr>
        <w:t>es communaut</w:t>
      </w:r>
      <w:r w:rsidR="00D717F5">
        <w:rPr>
          <w:rFonts w:cstheme="minorHAnsi"/>
        </w:rPr>
        <w:t>é</w:t>
      </w:r>
      <w:r w:rsidR="001E05DD">
        <w:rPr>
          <w:rFonts w:cstheme="minorHAnsi"/>
        </w:rPr>
        <w:t xml:space="preserve">s riveraines </w:t>
      </w:r>
      <w:r w:rsidR="00F91FCA">
        <w:rPr>
          <w:rFonts w:cstheme="minorHAnsi"/>
        </w:rPr>
        <w:t>payées sur la base de leur performance</w:t>
      </w:r>
      <w:r w:rsidR="00A97FE2">
        <w:rPr>
          <w:rFonts w:cstheme="minorHAnsi"/>
        </w:rPr>
        <w:t>,</w:t>
      </w:r>
      <w:r w:rsidR="00F91FCA">
        <w:rPr>
          <w:rFonts w:cstheme="minorHAnsi"/>
        </w:rPr>
        <w:t xml:space="preserve"> </w:t>
      </w:r>
      <w:r w:rsidR="00832C7E">
        <w:rPr>
          <w:rFonts w:cstheme="minorHAnsi"/>
        </w:rPr>
        <w:t>au lieu de poursuivre les m</w:t>
      </w:r>
      <w:r w:rsidR="00F91FCA">
        <w:rPr>
          <w:rFonts w:cstheme="minorHAnsi"/>
        </w:rPr>
        <w:t>é</w:t>
      </w:r>
      <w:r w:rsidR="00832C7E">
        <w:rPr>
          <w:rFonts w:cstheme="minorHAnsi"/>
        </w:rPr>
        <w:t>th</w:t>
      </w:r>
      <w:r w:rsidR="00F91FCA">
        <w:rPr>
          <w:rFonts w:cstheme="minorHAnsi"/>
        </w:rPr>
        <w:t xml:space="preserve">odes </w:t>
      </w:r>
      <w:r w:rsidR="00832C7E">
        <w:rPr>
          <w:rFonts w:cstheme="minorHAnsi"/>
        </w:rPr>
        <w:t>classiques du paiement de m</w:t>
      </w:r>
      <w:r w:rsidR="00F91FCA">
        <w:rPr>
          <w:rFonts w:cstheme="minorHAnsi"/>
        </w:rPr>
        <w:t xml:space="preserve">ain </w:t>
      </w:r>
      <w:r w:rsidR="00832C7E">
        <w:rPr>
          <w:rFonts w:cstheme="minorHAnsi"/>
        </w:rPr>
        <w:t>d’</w:t>
      </w:r>
      <w:r w:rsidR="00F91FCA">
        <w:rPr>
          <w:rFonts w:cstheme="minorHAnsi"/>
        </w:rPr>
        <w:t xml:space="preserve">œuvre </w:t>
      </w:r>
      <w:r w:rsidR="00832C7E">
        <w:rPr>
          <w:rFonts w:cstheme="minorHAnsi"/>
        </w:rPr>
        <w:t>qui n</w:t>
      </w:r>
      <w:r w:rsidR="00A97FE2">
        <w:rPr>
          <w:rFonts w:cstheme="minorHAnsi"/>
        </w:rPr>
        <w:t>’</w:t>
      </w:r>
      <w:r w:rsidR="00832C7E">
        <w:rPr>
          <w:rFonts w:cstheme="minorHAnsi"/>
        </w:rPr>
        <w:t xml:space="preserve">a </w:t>
      </w:r>
      <w:r w:rsidR="00F91FCA">
        <w:rPr>
          <w:rFonts w:cstheme="minorHAnsi"/>
        </w:rPr>
        <w:t>aucune</w:t>
      </w:r>
      <w:r w:rsidR="00832C7E">
        <w:rPr>
          <w:rFonts w:cstheme="minorHAnsi"/>
        </w:rPr>
        <w:t xml:space="preserve"> obligation de suivi ou qui n</w:t>
      </w:r>
      <w:r w:rsidR="00A97FE2">
        <w:rPr>
          <w:rFonts w:cstheme="minorHAnsi"/>
        </w:rPr>
        <w:t>’</w:t>
      </w:r>
      <w:r w:rsidR="00832C7E">
        <w:rPr>
          <w:rFonts w:cstheme="minorHAnsi"/>
        </w:rPr>
        <w:t xml:space="preserve">habite pas </w:t>
      </w:r>
      <w:r w:rsidR="00F91FCA">
        <w:rPr>
          <w:rFonts w:cstheme="minorHAnsi"/>
        </w:rPr>
        <w:t>autour du PNK</w:t>
      </w:r>
      <w:r w:rsidR="00A97FE2">
        <w:rPr>
          <w:rFonts w:cstheme="minorHAnsi"/>
        </w:rPr>
        <w:t>.</w:t>
      </w:r>
    </w:p>
    <w:p w14:paraId="22879733" w14:textId="70150D09" w:rsidR="00207259" w:rsidRPr="00207259" w:rsidRDefault="0039565D" w:rsidP="00357CD2">
      <w:pPr>
        <w:numPr>
          <w:ilvl w:val="0"/>
          <w:numId w:val="14"/>
        </w:numPr>
        <w:tabs>
          <w:tab w:val="num" w:pos="720"/>
        </w:tabs>
        <w:spacing w:before="0" w:after="0" w:line="240" w:lineRule="auto"/>
        <w:ind w:left="357" w:hanging="357"/>
        <w:jc w:val="both"/>
        <w:rPr>
          <w:rFonts w:cstheme="minorHAnsi"/>
        </w:rPr>
      </w:pPr>
      <w:r>
        <w:rPr>
          <w:rFonts w:cstheme="minorHAnsi"/>
        </w:rPr>
        <w:t>G</w:t>
      </w:r>
      <w:r w:rsidR="00207259" w:rsidRPr="00207259">
        <w:rPr>
          <w:rFonts w:cstheme="minorHAnsi"/>
        </w:rPr>
        <w:t xml:space="preserve">énéraliser </w:t>
      </w:r>
      <w:r>
        <w:rPr>
          <w:rFonts w:cstheme="minorHAnsi"/>
        </w:rPr>
        <w:t xml:space="preserve">le </w:t>
      </w:r>
      <w:r w:rsidR="00207259" w:rsidRPr="00207259">
        <w:rPr>
          <w:rFonts w:cstheme="minorHAnsi"/>
        </w:rPr>
        <w:t>suivi post-intervention</w:t>
      </w:r>
      <w:r>
        <w:rPr>
          <w:rFonts w:cstheme="minorHAnsi"/>
        </w:rPr>
        <w:t xml:space="preserve"> à toutes les activités </w:t>
      </w:r>
      <w:r w:rsidR="00207259" w:rsidRPr="00207259">
        <w:rPr>
          <w:rFonts w:cstheme="minorHAnsi"/>
        </w:rPr>
        <w:t xml:space="preserve">avec visites régulières, identification rapide </w:t>
      </w:r>
      <w:r>
        <w:rPr>
          <w:rFonts w:cstheme="minorHAnsi"/>
        </w:rPr>
        <w:t xml:space="preserve">des </w:t>
      </w:r>
      <w:r w:rsidR="00207259" w:rsidRPr="00207259">
        <w:rPr>
          <w:rFonts w:cstheme="minorHAnsi"/>
        </w:rPr>
        <w:t xml:space="preserve">problèmes, appui correctif pour éviter </w:t>
      </w:r>
      <w:r>
        <w:rPr>
          <w:rFonts w:cstheme="minorHAnsi"/>
        </w:rPr>
        <w:t>l’</w:t>
      </w:r>
      <w:r w:rsidR="00207259" w:rsidRPr="00207259">
        <w:rPr>
          <w:rFonts w:cstheme="minorHAnsi"/>
        </w:rPr>
        <w:t>abandon</w:t>
      </w:r>
      <w:r w:rsidR="00611182">
        <w:rPr>
          <w:rFonts w:cstheme="minorHAnsi"/>
        </w:rPr>
        <w:t xml:space="preserve"> ou </w:t>
      </w:r>
      <w:r>
        <w:rPr>
          <w:rFonts w:cstheme="minorHAnsi"/>
        </w:rPr>
        <w:t xml:space="preserve">la </w:t>
      </w:r>
      <w:r w:rsidR="00207259" w:rsidRPr="00207259">
        <w:rPr>
          <w:rFonts w:cstheme="minorHAnsi"/>
        </w:rPr>
        <w:t>dégradation</w:t>
      </w:r>
    </w:p>
    <w:p w14:paraId="5D43983B" w14:textId="0329F56C" w:rsidR="00940A78" w:rsidRPr="0062653C" w:rsidRDefault="00940A78" w:rsidP="0062653C">
      <w:pPr>
        <w:spacing w:after="0" w:line="240" w:lineRule="auto"/>
        <w:jc w:val="both"/>
        <w:rPr>
          <w:rFonts w:cstheme="minorHAnsi"/>
        </w:rPr>
      </w:pPr>
      <w:r w:rsidRPr="0062653C">
        <w:rPr>
          <w:rFonts w:cstheme="minorHAnsi"/>
        </w:rPr>
        <w:t xml:space="preserve">L'accompagnement continu et le suivi post-intervention pourront être assurés par la Fondation Kibira et les </w:t>
      </w:r>
      <w:r w:rsidR="00FB6782">
        <w:rPr>
          <w:rFonts w:cstheme="minorHAnsi"/>
        </w:rPr>
        <w:t xml:space="preserve">ONG </w:t>
      </w:r>
      <w:r w:rsidRPr="0062653C">
        <w:rPr>
          <w:rFonts w:cstheme="minorHAnsi"/>
        </w:rPr>
        <w:t>partenaires</w:t>
      </w:r>
      <w:r w:rsidR="00FB6782">
        <w:rPr>
          <w:rFonts w:cstheme="minorHAnsi"/>
        </w:rPr>
        <w:t>,</w:t>
      </w:r>
      <w:r w:rsidRPr="0062653C">
        <w:rPr>
          <w:rFonts w:cstheme="minorHAnsi"/>
        </w:rPr>
        <w:t xml:space="preserve"> avec l'appui du projet NIF, et renforcés dans le cadre d'une éventuelle phase 2 du projet Kibira ou intégrés dans les activités des projets en cours (PNUD Biodiversité, ENABEL </w:t>
      </w:r>
      <w:proofErr w:type="spellStart"/>
      <w:r w:rsidRPr="0062653C">
        <w:rPr>
          <w:rFonts w:cstheme="minorHAnsi"/>
        </w:rPr>
        <w:t>NaturAfrica</w:t>
      </w:r>
      <w:proofErr w:type="spellEnd"/>
      <w:r w:rsidRPr="0062653C">
        <w:rPr>
          <w:rFonts w:cstheme="minorHAnsi"/>
        </w:rPr>
        <w:t>). Pour garantir la pérennité de ces interventions, il est essentiel que le suivi post-intervention soit formellement intégré dans les mandats de la Fondation et des partenaires de mise en œuvre.</w:t>
      </w:r>
    </w:p>
    <w:p w14:paraId="119D2178" w14:textId="5B801F74" w:rsidR="0039565D" w:rsidRPr="0039565D" w:rsidRDefault="00207259" w:rsidP="0039565D">
      <w:pPr>
        <w:spacing w:after="60" w:line="240" w:lineRule="auto"/>
        <w:jc w:val="both"/>
        <w:rPr>
          <w:rFonts w:cstheme="minorHAnsi"/>
          <w:i/>
          <w:iCs/>
        </w:rPr>
      </w:pPr>
      <w:r w:rsidRPr="00207259">
        <w:rPr>
          <w:rFonts w:cstheme="minorHAnsi"/>
          <w:i/>
          <w:iCs/>
        </w:rPr>
        <w:t>Cible : Fondation, partenaires mise en œuvre, microfinance, bénéficiaires</w:t>
      </w:r>
    </w:p>
    <w:p w14:paraId="1D7C2399" w14:textId="4EA0E796" w:rsidR="00DC3E26" w:rsidRDefault="00DC3E26" w:rsidP="0039565D">
      <w:pPr>
        <w:spacing w:before="60" w:after="60" w:line="240" w:lineRule="auto"/>
        <w:jc w:val="both"/>
        <w:rPr>
          <w:rFonts w:cstheme="minorHAnsi"/>
          <w:i/>
          <w:iCs/>
        </w:rPr>
      </w:pPr>
      <w:r>
        <w:rPr>
          <w:rFonts w:cstheme="minorHAnsi"/>
          <w:i/>
          <w:iCs/>
        </w:rPr>
        <w:t xml:space="preserve">Priorité : Elevée </w:t>
      </w:r>
    </w:p>
    <w:p w14:paraId="46C05206" w14:textId="751E10EC" w:rsidR="00207259" w:rsidRPr="00207259" w:rsidRDefault="00680686" w:rsidP="0039565D">
      <w:pPr>
        <w:spacing w:before="60" w:after="60" w:line="240" w:lineRule="auto"/>
        <w:jc w:val="both"/>
        <w:rPr>
          <w:rFonts w:cstheme="minorHAnsi"/>
          <w:i/>
          <w:iCs/>
        </w:rPr>
      </w:pPr>
      <w:r w:rsidRPr="00817F34">
        <w:rPr>
          <w:rFonts w:cstheme="minorHAnsi"/>
          <w:i/>
          <w:iCs/>
        </w:rPr>
        <w:t xml:space="preserve">Echéancier </w:t>
      </w:r>
      <w:r w:rsidR="00207259" w:rsidRPr="00207259">
        <w:rPr>
          <w:rFonts w:cstheme="minorHAnsi"/>
          <w:i/>
          <w:iCs/>
        </w:rPr>
        <w:t>: Court à moyen terme et continu</w:t>
      </w:r>
    </w:p>
    <w:p w14:paraId="43CDE636" w14:textId="77777777" w:rsidR="00105078" w:rsidRDefault="00105078" w:rsidP="00421023">
      <w:pPr>
        <w:rPr>
          <w:rFonts w:cstheme="minorHAnsi"/>
        </w:rPr>
      </w:pPr>
    </w:p>
    <w:p w14:paraId="30441E25" w14:textId="281DCAA0" w:rsidR="00776702" w:rsidRPr="00253D95" w:rsidRDefault="00776702" w:rsidP="00776702">
      <w:pPr>
        <w:pStyle w:val="Heading2"/>
        <w:jc w:val="both"/>
        <w:rPr>
          <w:rFonts w:ascii="Open Sans" w:hAnsi="Open Sans"/>
          <w:color w:val="000099"/>
        </w:rPr>
      </w:pPr>
      <w:bookmarkStart w:id="57" w:name="_Toc216948984"/>
      <w:r w:rsidRPr="00253D95">
        <w:rPr>
          <w:rFonts w:ascii="Open Sans" w:hAnsi="Open Sans"/>
          <w:color w:val="000099"/>
        </w:rPr>
        <w:lastRenderedPageBreak/>
        <w:t xml:space="preserve">5.3 </w:t>
      </w:r>
      <w:r w:rsidR="00207259" w:rsidRPr="00253D95">
        <w:rPr>
          <w:rFonts w:ascii="Open Sans" w:hAnsi="Open Sans"/>
          <w:color w:val="000099"/>
        </w:rPr>
        <w:t>Leçons apprises</w:t>
      </w:r>
      <w:bookmarkEnd w:id="57"/>
      <w:r w:rsidR="00207259" w:rsidRPr="00253D95">
        <w:rPr>
          <w:rFonts w:ascii="Open Sans" w:hAnsi="Open Sans"/>
          <w:color w:val="000099"/>
        </w:rPr>
        <w:t xml:space="preserve"> </w:t>
      </w:r>
    </w:p>
    <w:p w14:paraId="17165982" w14:textId="77777777" w:rsidR="00253D95" w:rsidRPr="00253D95" w:rsidRDefault="00253D95" w:rsidP="00253D95">
      <w:pPr>
        <w:jc w:val="both"/>
        <w:rPr>
          <w:rFonts w:cstheme="minorHAnsi"/>
          <w:szCs w:val="20"/>
        </w:rPr>
      </w:pPr>
      <w:r w:rsidRPr="00253D95">
        <w:rPr>
          <w:rFonts w:cstheme="minorHAnsi"/>
          <w:szCs w:val="20"/>
        </w:rPr>
        <w:t>L'évaluation du projet Kibira permet de dégager des leçons transférables à d'autres interventions combinant conservation, consolidation de la paix et développement communautaire dans des contextes post-conflit fragiles.</w:t>
      </w:r>
    </w:p>
    <w:p w14:paraId="4F7499BB" w14:textId="7FF2B4C1" w:rsidR="00253D95" w:rsidRPr="00253D95" w:rsidRDefault="00253D95" w:rsidP="00253D95">
      <w:pPr>
        <w:spacing w:before="240" w:line="240" w:lineRule="auto"/>
        <w:jc w:val="both"/>
        <w:rPr>
          <w:rFonts w:cstheme="minorHAnsi"/>
          <w:b/>
          <w:bCs/>
          <w:color w:val="000099"/>
        </w:rPr>
      </w:pPr>
      <w:r w:rsidRPr="00253D95">
        <w:rPr>
          <w:rFonts w:cstheme="minorHAnsi"/>
          <w:b/>
          <w:bCs/>
          <w:color w:val="000099"/>
        </w:rPr>
        <w:t>Cogestion des aires protégées : facteurs critiques de succès</w:t>
      </w:r>
    </w:p>
    <w:p w14:paraId="473A7C0A" w14:textId="1AABAD70" w:rsidR="00253D95" w:rsidRPr="00253D95" w:rsidRDefault="00253D95" w:rsidP="00253D95">
      <w:pPr>
        <w:jc w:val="both"/>
        <w:rPr>
          <w:rFonts w:cstheme="minorHAnsi"/>
          <w:szCs w:val="20"/>
        </w:rPr>
      </w:pPr>
      <w:r w:rsidRPr="00253D95">
        <w:rPr>
          <w:rFonts w:cstheme="minorHAnsi"/>
          <w:szCs w:val="20"/>
        </w:rPr>
        <w:t>La création de la Fondation Kibira comme premier mécanisme de cogestion au Burundi démontre que la transformation d'une gestion étatique exclusive vers une gouvernance partagée est possible mais exige des conditions spécifiques. La légitimité</w:t>
      </w:r>
      <w:r w:rsidR="00201318">
        <w:rPr>
          <w:rFonts w:cstheme="minorHAnsi"/>
          <w:szCs w:val="20"/>
        </w:rPr>
        <w:t xml:space="preserve"> et la légalité</w:t>
      </w:r>
      <w:r w:rsidRPr="00253D95">
        <w:rPr>
          <w:rFonts w:cstheme="minorHAnsi"/>
          <w:szCs w:val="20"/>
        </w:rPr>
        <w:t xml:space="preserve"> institutionnelle et juridique formelle est essentielle pour conférer autorité et pérennité. La construction progressive de la confiance entre l'État et les acteurs non-étatiques nécessite un accompagnement de long terme par un facilitateur neutre. La gouvernance inclusive avec représentation équitable de toutes les parties prenantes crée l'appropriation collective indispensable. Enfin, des capacités institutionnelles robustes (personnel qualifié, compétences techniques, ressources financières</w:t>
      </w:r>
      <w:r w:rsidR="004B74E2">
        <w:rPr>
          <w:rFonts w:cstheme="minorHAnsi"/>
          <w:szCs w:val="20"/>
        </w:rPr>
        <w:t xml:space="preserve"> suffisantes, non</w:t>
      </w:r>
      <w:r w:rsidR="00E41ACC">
        <w:rPr>
          <w:rFonts w:cstheme="minorHAnsi"/>
          <w:szCs w:val="20"/>
        </w:rPr>
        <w:t>-</w:t>
      </w:r>
      <w:r w:rsidR="004B74E2">
        <w:rPr>
          <w:rFonts w:cstheme="minorHAnsi"/>
          <w:szCs w:val="20"/>
        </w:rPr>
        <w:t xml:space="preserve">dépendance d’une seule </w:t>
      </w:r>
      <w:r w:rsidR="00E41ACC">
        <w:rPr>
          <w:rFonts w:cstheme="minorHAnsi"/>
          <w:szCs w:val="20"/>
        </w:rPr>
        <w:t xml:space="preserve">source </w:t>
      </w:r>
      <w:r w:rsidR="004B74E2">
        <w:rPr>
          <w:rFonts w:cstheme="minorHAnsi"/>
          <w:szCs w:val="20"/>
        </w:rPr>
        <w:t>de revenu</w:t>
      </w:r>
      <w:r w:rsidRPr="00253D95">
        <w:rPr>
          <w:rFonts w:cstheme="minorHAnsi"/>
          <w:szCs w:val="20"/>
        </w:rPr>
        <w:t>) constituent une condition sine qua non : sans ces capacités, même les structures les mieux conçues demeurent incapables de remplir leur mandat.</w:t>
      </w:r>
    </w:p>
    <w:p w14:paraId="29B5750F" w14:textId="226DBD10" w:rsidR="00253D95" w:rsidRPr="00253D95" w:rsidRDefault="00253D95" w:rsidP="00805165">
      <w:pPr>
        <w:spacing w:before="240" w:line="240" w:lineRule="auto"/>
        <w:jc w:val="both"/>
        <w:rPr>
          <w:rFonts w:cstheme="minorHAnsi"/>
          <w:b/>
          <w:bCs/>
          <w:color w:val="000099"/>
        </w:rPr>
      </w:pPr>
      <w:r w:rsidRPr="00253D95">
        <w:rPr>
          <w:rFonts w:cstheme="minorHAnsi"/>
          <w:b/>
          <w:bCs/>
          <w:color w:val="000099"/>
        </w:rPr>
        <w:t>Financement mixte et effet catalytique : maximiser l'impact des investissements concessionnels</w:t>
      </w:r>
    </w:p>
    <w:p w14:paraId="315889BB" w14:textId="16F186BA" w:rsidR="00253D95" w:rsidRPr="00253D95" w:rsidRDefault="00253D95" w:rsidP="00253D95">
      <w:pPr>
        <w:jc w:val="both"/>
        <w:rPr>
          <w:rFonts w:cstheme="minorHAnsi"/>
          <w:szCs w:val="20"/>
        </w:rPr>
      </w:pPr>
      <w:r w:rsidRPr="00253D95">
        <w:rPr>
          <w:rFonts w:cstheme="minorHAnsi"/>
          <w:szCs w:val="20"/>
        </w:rPr>
        <w:t xml:space="preserve">L'expérience du PPP hydroélectrique démontre le potentiel des investissements publics concessionnels pour mobiliser des financements commerciaux substantiels. Le ratio de levier de </w:t>
      </w:r>
      <w:proofErr w:type="gramStart"/>
      <w:r w:rsidRPr="00253D95">
        <w:rPr>
          <w:rFonts w:cstheme="minorHAnsi"/>
          <w:szCs w:val="20"/>
        </w:rPr>
        <w:t>1:</w:t>
      </w:r>
      <w:proofErr w:type="gramEnd"/>
      <w:r w:rsidRPr="00253D95">
        <w:rPr>
          <w:rFonts w:cstheme="minorHAnsi"/>
          <w:szCs w:val="20"/>
        </w:rPr>
        <w:t xml:space="preserve">27 (1,5 M$ mobilisant &gt;40 M$) illustre comment des fonds catalytiques stratégiquement déployés transforment des projets perçus comme risqués en opportunités bancables. </w:t>
      </w:r>
      <w:r w:rsidR="00E41ACC">
        <w:rPr>
          <w:rFonts w:cstheme="minorHAnsi"/>
          <w:szCs w:val="20"/>
        </w:rPr>
        <w:t>L’atténuation des risques</w:t>
      </w:r>
      <w:r w:rsidRPr="00253D95">
        <w:rPr>
          <w:rFonts w:cstheme="minorHAnsi"/>
          <w:szCs w:val="20"/>
        </w:rPr>
        <w:t xml:space="preserve"> par des études rigoureuses, des interventions préparatoires avec les communautés, et l'établissement d'un cadre de gouvernance solide réduit l'incertitude pour les investisseurs privés. Les mécanismes PSE créent une convergence d'intérêts entre objectifs économiques et conservation, mais nécessitent une sécurisation contractuelle.</w:t>
      </w:r>
    </w:p>
    <w:p w14:paraId="2CA89723" w14:textId="09A5F250" w:rsidR="00253D95" w:rsidRPr="00253D95" w:rsidRDefault="00253D95" w:rsidP="00805165">
      <w:pPr>
        <w:spacing w:before="240" w:line="240" w:lineRule="auto"/>
        <w:jc w:val="both"/>
        <w:rPr>
          <w:rFonts w:cstheme="minorHAnsi"/>
          <w:b/>
          <w:bCs/>
          <w:color w:val="000099"/>
        </w:rPr>
      </w:pPr>
      <w:r w:rsidRPr="00253D95">
        <w:rPr>
          <w:rFonts w:cstheme="minorHAnsi"/>
          <w:b/>
          <w:bCs/>
          <w:color w:val="000099"/>
        </w:rPr>
        <w:t>Approche nexus climat-paix-sécurité : intégration nécessaire mais complexité opérationnelle</w:t>
      </w:r>
    </w:p>
    <w:p w14:paraId="5ABAE923" w14:textId="4DDD67A2" w:rsidR="00253D95" w:rsidRPr="00253D95" w:rsidRDefault="00253D95" w:rsidP="00253D95">
      <w:pPr>
        <w:jc w:val="both"/>
        <w:rPr>
          <w:rFonts w:cstheme="minorHAnsi"/>
          <w:szCs w:val="20"/>
        </w:rPr>
      </w:pPr>
      <w:r w:rsidRPr="00253D95">
        <w:rPr>
          <w:rFonts w:cstheme="minorHAnsi"/>
          <w:szCs w:val="20"/>
        </w:rPr>
        <w:t>L'approche nexus, traitant simultanément conflits, pauvreté</w:t>
      </w:r>
      <w:r w:rsidR="00E41ACC">
        <w:rPr>
          <w:rFonts w:cstheme="minorHAnsi"/>
          <w:szCs w:val="20"/>
        </w:rPr>
        <w:t xml:space="preserve">, </w:t>
      </w:r>
      <w:r w:rsidRPr="00253D95">
        <w:rPr>
          <w:rFonts w:cstheme="minorHAnsi"/>
          <w:szCs w:val="20"/>
        </w:rPr>
        <w:t xml:space="preserve">dégradation environnementale, </w:t>
      </w:r>
      <w:r w:rsidR="00E41ACC">
        <w:rPr>
          <w:rFonts w:cstheme="minorHAnsi"/>
          <w:szCs w:val="20"/>
        </w:rPr>
        <w:t xml:space="preserve">et </w:t>
      </w:r>
      <w:r w:rsidR="004B74E2">
        <w:rPr>
          <w:rFonts w:cstheme="minorHAnsi"/>
          <w:szCs w:val="20"/>
        </w:rPr>
        <w:t xml:space="preserve">risques de catastrophes </w:t>
      </w:r>
      <w:r w:rsidR="003C61B2">
        <w:rPr>
          <w:rFonts w:cstheme="minorHAnsi"/>
          <w:szCs w:val="20"/>
        </w:rPr>
        <w:t>dus aux changement</w:t>
      </w:r>
      <w:r w:rsidR="005C0FE9">
        <w:rPr>
          <w:rFonts w:cstheme="minorHAnsi"/>
          <w:szCs w:val="20"/>
        </w:rPr>
        <w:t>s</w:t>
      </w:r>
      <w:r w:rsidR="003C61B2">
        <w:rPr>
          <w:rFonts w:cstheme="minorHAnsi"/>
          <w:szCs w:val="20"/>
        </w:rPr>
        <w:t xml:space="preserve"> climatique</w:t>
      </w:r>
      <w:r w:rsidR="00E41ACC">
        <w:rPr>
          <w:rFonts w:cstheme="minorHAnsi"/>
          <w:szCs w:val="20"/>
        </w:rPr>
        <w:t>s</w:t>
      </w:r>
      <w:r w:rsidR="003C61B2">
        <w:rPr>
          <w:rFonts w:cstheme="minorHAnsi"/>
          <w:szCs w:val="20"/>
        </w:rPr>
        <w:t xml:space="preserve"> </w:t>
      </w:r>
      <w:r w:rsidRPr="00253D95">
        <w:rPr>
          <w:rFonts w:cstheme="minorHAnsi"/>
          <w:szCs w:val="20"/>
        </w:rPr>
        <w:t xml:space="preserve">s'avère plus efficace que des interventions sectorielles isolées car elle adresse les causes profondes plutôt que les symptômes. Cependant, elle génère une complexité opérationnelle importante nécessitant une coordination renforcée entre multiples partenaires, </w:t>
      </w:r>
      <w:r w:rsidR="00C0653C">
        <w:rPr>
          <w:rFonts w:cstheme="minorHAnsi"/>
          <w:szCs w:val="20"/>
        </w:rPr>
        <w:t xml:space="preserve">une complémentarité entre les parties prenantes, </w:t>
      </w:r>
      <w:r w:rsidRPr="00253D95">
        <w:rPr>
          <w:rFonts w:cstheme="minorHAnsi"/>
          <w:szCs w:val="20"/>
        </w:rPr>
        <w:t>une flexibilité dans la mise en œuvre, et des compétences transversales rares. Le temps nécessaire pour des impacts de transformation systémique dépasse généralement les cycles de projets standards (</w:t>
      </w:r>
      <w:r w:rsidR="008642FB">
        <w:rPr>
          <w:rFonts w:cstheme="minorHAnsi"/>
          <w:szCs w:val="20"/>
        </w:rPr>
        <w:t>3</w:t>
      </w:r>
      <w:r w:rsidRPr="00253D95">
        <w:rPr>
          <w:rFonts w:cstheme="minorHAnsi"/>
          <w:szCs w:val="20"/>
        </w:rPr>
        <w:t xml:space="preserve"> ans), suggérant la nécessité de programmations plus longues ou de mécanismes de transition assurant la continuité.</w:t>
      </w:r>
    </w:p>
    <w:p w14:paraId="58CC0952" w14:textId="2DCFF848" w:rsidR="00694280" w:rsidRPr="00694280" w:rsidRDefault="00694280" w:rsidP="00694280">
      <w:pPr>
        <w:spacing w:before="240" w:line="240" w:lineRule="auto"/>
        <w:jc w:val="both"/>
        <w:rPr>
          <w:rFonts w:cstheme="minorHAnsi"/>
          <w:b/>
          <w:bCs/>
          <w:color w:val="000099"/>
        </w:rPr>
      </w:pPr>
      <w:r w:rsidRPr="00694280">
        <w:rPr>
          <w:rFonts w:cstheme="minorHAnsi"/>
          <w:b/>
          <w:bCs/>
          <w:color w:val="000099"/>
        </w:rPr>
        <w:t xml:space="preserve">Secteur privé et dividendes de paix : intégrer systématiquement </w:t>
      </w:r>
      <w:r>
        <w:rPr>
          <w:rFonts w:cstheme="minorHAnsi"/>
          <w:b/>
          <w:bCs/>
          <w:color w:val="000099"/>
        </w:rPr>
        <w:t>le secteur privé</w:t>
      </w:r>
      <w:r w:rsidRPr="00694280">
        <w:rPr>
          <w:rFonts w:cstheme="minorHAnsi"/>
          <w:b/>
          <w:bCs/>
          <w:color w:val="000099"/>
        </w:rPr>
        <w:t xml:space="preserve"> dans la consolidation de la paix</w:t>
      </w:r>
    </w:p>
    <w:p w14:paraId="268E7A8A" w14:textId="4CA3ACCB" w:rsidR="00694280" w:rsidRPr="0062653C" w:rsidRDefault="00694280" w:rsidP="0062653C">
      <w:pPr>
        <w:jc w:val="both"/>
        <w:rPr>
          <w:rFonts w:cstheme="minorHAnsi"/>
          <w:szCs w:val="20"/>
        </w:rPr>
      </w:pPr>
      <w:r w:rsidRPr="0062653C">
        <w:rPr>
          <w:rFonts w:cstheme="minorHAnsi"/>
          <w:szCs w:val="20"/>
        </w:rPr>
        <w:t xml:space="preserve">L'expérience du PPP </w:t>
      </w:r>
      <w:r w:rsidR="00E43940">
        <w:rPr>
          <w:rFonts w:cstheme="minorHAnsi"/>
          <w:szCs w:val="20"/>
        </w:rPr>
        <w:t xml:space="preserve">de </w:t>
      </w:r>
      <w:proofErr w:type="spellStart"/>
      <w:r w:rsidRPr="0062653C">
        <w:rPr>
          <w:rFonts w:cstheme="minorHAnsi"/>
          <w:szCs w:val="20"/>
        </w:rPr>
        <w:t>Mpanda</w:t>
      </w:r>
      <w:proofErr w:type="spellEnd"/>
      <w:r w:rsidRPr="0062653C">
        <w:rPr>
          <w:rFonts w:cstheme="minorHAnsi"/>
          <w:szCs w:val="20"/>
        </w:rPr>
        <w:t xml:space="preserve"> démontre que le secteur privé peut devenir un acteur central de consolidation de la paix en générant des dividendes tangibles : dividendes économiques (emplois directs et indirects, injection de salaires locaux), dividendes sociaux (mécanisme PSE sur 10 ans </w:t>
      </w:r>
      <w:r w:rsidRPr="0062653C">
        <w:rPr>
          <w:rFonts w:cstheme="minorHAnsi"/>
          <w:szCs w:val="20"/>
        </w:rPr>
        <w:lastRenderedPageBreak/>
        <w:t>pour conservation et développement communautaire, infrastructures partagées), et dividendes de stabilité (présence d'un acteur économique de long terme créant des incitations durables à la paix). Les facteurs de succès incluent l'ancrage contractuel dès la conception des obligations de retombées locales, des mécanismes de partage de bénéfices garantissant des flux prévisibles vers les communautés, et une gouvernance participative assurant transparence et redevabilité. Cette approche transforme les relations communautés-entreprises d'une logique potentiellement conflictuelle vers un modèle gagnant-gagnant où la réussite économique privée devient directement liée à la stabilité sociale.</w:t>
      </w:r>
    </w:p>
    <w:p w14:paraId="4F8ED23C" w14:textId="3033A487" w:rsidR="00253D95" w:rsidRPr="00253D95" w:rsidRDefault="00651E18" w:rsidP="00805165">
      <w:pPr>
        <w:spacing w:before="240" w:line="240" w:lineRule="auto"/>
        <w:jc w:val="both"/>
        <w:rPr>
          <w:rFonts w:cstheme="minorHAnsi"/>
          <w:b/>
          <w:bCs/>
          <w:color w:val="000099"/>
        </w:rPr>
      </w:pPr>
      <w:r>
        <w:rPr>
          <w:rFonts w:cstheme="minorHAnsi"/>
          <w:b/>
          <w:bCs/>
          <w:color w:val="000099"/>
        </w:rPr>
        <w:t>I</w:t>
      </w:r>
      <w:r w:rsidRPr="00651E18">
        <w:rPr>
          <w:rFonts w:cstheme="minorHAnsi"/>
          <w:b/>
          <w:bCs/>
          <w:color w:val="000099"/>
        </w:rPr>
        <w:t>nterventions de développement communautaire : profondeur versus étendue géographique</w:t>
      </w:r>
    </w:p>
    <w:p w14:paraId="35241E91" w14:textId="263745C9" w:rsidR="00253D95" w:rsidRPr="00253D95" w:rsidRDefault="0025227D" w:rsidP="00253D95">
      <w:pPr>
        <w:jc w:val="both"/>
        <w:rPr>
          <w:rFonts w:cstheme="minorHAnsi"/>
          <w:szCs w:val="20"/>
        </w:rPr>
      </w:pPr>
      <w:r w:rsidRPr="0025227D">
        <w:rPr>
          <w:rFonts w:cstheme="minorHAnsi"/>
          <w:szCs w:val="20"/>
        </w:rPr>
        <w:t xml:space="preserve">L'expérience contrastée entre </w:t>
      </w:r>
      <w:proofErr w:type="spellStart"/>
      <w:r w:rsidRPr="0025227D">
        <w:rPr>
          <w:rFonts w:cstheme="minorHAnsi"/>
          <w:szCs w:val="20"/>
        </w:rPr>
        <w:t>Muciro</w:t>
      </w:r>
      <w:proofErr w:type="spellEnd"/>
      <w:r w:rsidRPr="0025227D">
        <w:rPr>
          <w:rFonts w:cstheme="minorHAnsi"/>
          <w:szCs w:val="20"/>
        </w:rPr>
        <w:t xml:space="preserve"> (transformation profonde avec 55% des bénéficiaires) et les zones périphériques (interventions superficielles) souligne un dilemme fondamental dans les projets de développement communautaire : concentrer les ressources pour créer des transformations profondes et durables dans quelques sites, ou les étaler pour assurer une équité territoriale au risque d'interventions trop superficielles pour être transformatrices. L'évaluation démontre que des changements comportementaux durables et une appropriation culturelle de la conservation nécessitent un paquet complet d'interventions intégrées : accès aux ressources productives (terres, équipements, intrants), AGR viables avec accompagnement technique continu, renforcement substantiel des capacités, participation effective aux structures de gouvernance locale, et sensibilisation intensive à la conservation. L'amélioration isolée des moyens de subsistance, bien que nécessaire, s'avère insuffisante sans un travail parallèle approfondi sur les attitudes, les valeurs et les pratiques. L'exemple des </w:t>
      </w:r>
      <w:proofErr w:type="spellStart"/>
      <w:r w:rsidRPr="0025227D">
        <w:rPr>
          <w:rFonts w:cstheme="minorHAnsi"/>
          <w:szCs w:val="20"/>
        </w:rPr>
        <w:t>Batwa</w:t>
      </w:r>
      <w:proofErr w:type="spellEnd"/>
      <w:r w:rsidRPr="0025227D">
        <w:rPr>
          <w:rFonts w:cstheme="minorHAnsi"/>
          <w:szCs w:val="20"/>
        </w:rPr>
        <w:t xml:space="preserve"> de </w:t>
      </w:r>
      <w:proofErr w:type="spellStart"/>
      <w:r w:rsidRPr="0025227D">
        <w:rPr>
          <w:rFonts w:cstheme="minorHAnsi"/>
          <w:szCs w:val="20"/>
        </w:rPr>
        <w:t>Muciro</w:t>
      </w:r>
      <w:proofErr w:type="spellEnd"/>
      <w:r w:rsidRPr="0025227D">
        <w:rPr>
          <w:rFonts w:cstheme="minorHAnsi"/>
          <w:szCs w:val="20"/>
        </w:rPr>
        <w:t>, ayant bénéficié du paquet complet, illustre cette transformation profonde, tandis que d'autres communautés ayant reçu des interventions limitées continuent d'exploiter le parc. Cette leçon interpelle les concepteurs sur la nécessité d'arbitrages explicites et assumés entre profondeur et étendue, en fonction des objectifs prioritaires et des ressources disponibles.</w:t>
      </w:r>
    </w:p>
    <w:p w14:paraId="45B56130" w14:textId="1FA3DF9B" w:rsidR="00253D95" w:rsidRPr="00253D95" w:rsidRDefault="00253D95" w:rsidP="00805165">
      <w:pPr>
        <w:spacing w:before="240" w:line="240" w:lineRule="auto"/>
        <w:jc w:val="both"/>
        <w:rPr>
          <w:rFonts w:cstheme="minorHAnsi"/>
          <w:b/>
          <w:bCs/>
          <w:color w:val="000099"/>
        </w:rPr>
      </w:pPr>
      <w:r w:rsidRPr="00253D95">
        <w:rPr>
          <w:rFonts w:cstheme="minorHAnsi"/>
          <w:b/>
          <w:bCs/>
          <w:color w:val="000099"/>
        </w:rPr>
        <w:t xml:space="preserve">Données de </w:t>
      </w:r>
      <w:proofErr w:type="spellStart"/>
      <w:r w:rsidRPr="00253D95">
        <w:rPr>
          <w:rFonts w:cstheme="minorHAnsi"/>
          <w:b/>
          <w:bCs/>
          <w:color w:val="000099"/>
        </w:rPr>
        <w:t>baseline</w:t>
      </w:r>
      <w:proofErr w:type="spellEnd"/>
      <w:r w:rsidRPr="00253D95">
        <w:rPr>
          <w:rFonts w:cstheme="minorHAnsi"/>
          <w:b/>
          <w:bCs/>
          <w:color w:val="000099"/>
        </w:rPr>
        <w:t xml:space="preserve"> et systèmes de suivi-évaluation : criticité pour l'attribution rigoureuse</w:t>
      </w:r>
    </w:p>
    <w:p w14:paraId="5A5E5756" w14:textId="739723EA" w:rsidR="00253D95" w:rsidRPr="00253D95" w:rsidRDefault="00253D95" w:rsidP="00253D95">
      <w:pPr>
        <w:jc w:val="both"/>
        <w:rPr>
          <w:rFonts w:cstheme="minorHAnsi"/>
          <w:szCs w:val="20"/>
        </w:rPr>
      </w:pPr>
      <w:r w:rsidRPr="00253D95">
        <w:rPr>
          <w:rFonts w:cstheme="minorHAnsi"/>
          <w:szCs w:val="20"/>
        </w:rPr>
        <w:t xml:space="preserve">L'absence de données </w:t>
      </w:r>
      <w:r w:rsidR="00C0653C">
        <w:rPr>
          <w:rFonts w:cstheme="minorHAnsi"/>
          <w:szCs w:val="20"/>
        </w:rPr>
        <w:t xml:space="preserve">de base </w:t>
      </w:r>
      <w:r w:rsidRPr="00253D95">
        <w:rPr>
          <w:rFonts w:cstheme="minorHAnsi"/>
          <w:szCs w:val="20"/>
        </w:rPr>
        <w:t xml:space="preserve">quantitatives sur des indicateurs critiques (déforestation, incidents sécuritaires, revenus) a considérablement limité la capacité à attribuer de manière rigoureuse les changements observés au projet plutôt qu'à d'autres facteurs. L'établissement de </w:t>
      </w:r>
      <w:proofErr w:type="spellStart"/>
      <w:r w:rsidRPr="00253D95">
        <w:rPr>
          <w:rFonts w:cstheme="minorHAnsi"/>
          <w:szCs w:val="20"/>
        </w:rPr>
        <w:t>baselines</w:t>
      </w:r>
      <w:proofErr w:type="spellEnd"/>
      <w:r w:rsidRPr="00253D95">
        <w:rPr>
          <w:rFonts w:cstheme="minorHAnsi"/>
          <w:szCs w:val="20"/>
        </w:rPr>
        <w:t xml:space="preserve"> robustes et de systèmes de suivi continu doit être une priorité dès le démarrage du projet, même si cela nécessite des investissements initiaux importants. Le cadre de résultats doit être suffisamment flexible pour être révisé en cas d'ajustements stratégiques majeurs, garantissant la pertinence continue du système de mesure face aux réalités changeantes.</w:t>
      </w:r>
    </w:p>
    <w:p w14:paraId="3A0781A0" w14:textId="729346F7" w:rsidR="00776702" w:rsidRPr="00253D95" w:rsidRDefault="00776702" w:rsidP="00C259EF">
      <w:pPr>
        <w:jc w:val="both"/>
        <w:rPr>
          <w:rFonts w:cstheme="minorHAnsi"/>
          <w:szCs w:val="20"/>
        </w:rPr>
      </w:pPr>
    </w:p>
    <w:p w14:paraId="3D12E52C" w14:textId="18EE8B00" w:rsidR="00286ED9" w:rsidRPr="00253D95" w:rsidRDefault="00286ED9">
      <w:pPr>
        <w:spacing w:before="0" w:after="160"/>
        <w:rPr>
          <w:rFonts w:cstheme="minorHAnsi"/>
          <w:szCs w:val="20"/>
        </w:rPr>
      </w:pPr>
      <w:r w:rsidRPr="00253D95">
        <w:rPr>
          <w:rFonts w:cstheme="minorHAnsi"/>
          <w:szCs w:val="20"/>
        </w:rPr>
        <w:br w:type="page"/>
      </w:r>
    </w:p>
    <w:p w14:paraId="4D04B935" w14:textId="70235399" w:rsidR="00776702" w:rsidRPr="000F11CE" w:rsidRDefault="00B85E0F" w:rsidP="008D7508">
      <w:pPr>
        <w:pStyle w:val="Heading1"/>
        <w:rPr>
          <w:rFonts w:ascii="Open Sans" w:hAnsi="Open Sans"/>
          <w:lang w:val="en-US"/>
        </w:rPr>
      </w:pPr>
      <w:bookmarkStart w:id="58" w:name="_Toc216948985"/>
      <w:r>
        <w:rPr>
          <w:rFonts w:ascii="Open Sans" w:hAnsi="Open Sans"/>
          <w:lang w:val="en-US"/>
        </w:rPr>
        <w:lastRenderedPageBreak/>
        <w:t xml:space="preserve">Genre et Droits </w:t>
      </w:r>
      <w:proofErr w:type="spellStart"/>
      <w:r>
        <w:rPr>
          <w:rFonts w:ascii="Open Sans" w:hAnsi="Open Sans"/>
          <w:lang w:val="en-US"/>
        </w:rPr>
        <w:t>Humains</w:t>
      </w:r>
      <w:bookmarkEnd w:id="58"/>
      <w:proofErr w:type="spellEnd"/>
    </w:p>
    <w:p w14:paraId="5BE51EBA" w14:textId="164B0D72" w:rsidR="00776702" w:rsidRDefault="00776702" w:rsidP="008D7508">
      <w:pPr>
        <w:spacing w:line="240" w:lineRule="auto"/>
        <w:rPr>
          <w:rFonts w:cstheme="minorHAnsi"/>
          <w:i/>
          <w:szCs w:val="20"/>
          <w:lang w:val="en-US"/>
        </w:rPr>
      </w:pPr>
    </w:p>
    <w:p w14:paraId="6E00027F" w14:textId="41DD86E5" w:rsidR="00C8354C" w:rsidRPr="00C8354C" w:rsidRDefault="00C8354C" w:rsidP="008D7508">
      <w:pPr>
        <w:spacing w:line="240" w:lineRule="auto"/>
        <w:jc w:val="both"/>
        <w:rPr>
          <w:rFonts w:cstheme="minorHAnsi"/>
          <w:szCs w:val="20"/>
        </w:rPr>
      </w:pPr>
      <w:r w:rsidRPr="00C8354C">
        <w:rPr>
          <w:rFonts w:cstheme="minorHAnsi"/>
          <w:szCs w:val="20"/>
        </w:rPr>
        <w:t xml:space="preserve">Le projet "Kibira Sanctuaire de Paix" a intégré de manière substantielle une perspective </w:t>
      </w:r>
      <w:r w:rsidR="00E41ACC" w:rsidRPr="0062653C">
        <w:rPr>
          <w:rFonts w:cstheme="minorHAnsi"/>
          <w:szCs w:val="20"/>
        </w:rPr>
        <w:t>d’équilibre</w:t>
      </w:r>
      <w:r w:rsidR="00E41ACC" w:rsidRPr="00E41ACC">
        <w:rPr>
          <w:rFonts w:cstheme="minorHAnsi"/>
          <w:szCs w:val="20"/>
        </w:rPr>
        <w:t xml:space="preserve"> </w:t>
      </w:r>
      <w:r w:rsidRPr="00E41ACC">
        <w:rPr>
          <w:rFonts w:cstheme="minorHAnsi"/>
          <w:szCs w:val="20"/>
        </w:rPr>
        <w:t>de genre et u</w:t>
      </w:r>
      <w:r w:rsidRPr="00C8354C">
        <w:rPr>
          <w:rFonts w:cstheme="minorHAnsi"/>
          <w:szCs w:val="20"/>
        </w:rPr>
        <w:t xml:space="preserve">ne approche basée sur les droits humains, avec des résultats tangibles pour les femmes et les </w:t>
      </w:r>
      <w:proofErr w:type="spellStart"/>
      <w:r w:rsidRPr="00C8354C">
        <w:rPr>
          <w:rFonts w:cstheme="minorHAnsi"/>
          <w:szCs w:val="20"/>
        </w:rPr>
        <w:t>Batwa</w:t>
      </w:r>
      <w:proofErr w:type="spellEnd"/>
      <w:r w:rsidRPr="00C8354C">
        <w:rPr>
          <w:rFonts w:cstheme="minorHAnsi"/>
          <w:szCs w:val="20"/>
        </w:rPr>
        <w:t>. Cependant, des lacunes persistent dans la prise en compte de l'ensemble des groupes marginalisés.</w:t>
      </w:r>
    </w:p>
    <w:p w14:paraId="116CA498" w14:textId="03BFE159" w:rsidR="00C8354C" w:rsidRPr="00C8354C" w:rsidRDefault="00C8354C" w:rsidP="008D7508">
      <w:pPr>
        <w:spacing w:before="240" w:line="240" w:lineRule="auto"/>
        <w:jc w:val="both"/>
        <w:rPr>
          <w:rFonts w:cstheme="minorHAnsi"/>
          <w:b/>
          <w:bCs/>
          <w:color w:val="000099"/>
          <w:szCs w:val="20"/>
        </w:rPr>
      </w:pPr>
      <w:r w:rsidRPr="00C8354C">
        <w:rPr>
          <w:rFonts w:cstheme="minorHAnsi"/>
          <w:b/>
          <w:bCs/>
          <w:color w:val="000099"/>
          <w:szCs w:val="20"/>
        </w:rPr>
        <w:t xml:space="preserve">Intégration du genre </w:t>
      </w:r>
    </w:p>
    <w:p w14:paraId="0FF328C6" w14:textId="77777777" w:rsidR="00C8354C" w:rsidRPr="00C8354C" w:rsidRDefault="00C8354C" w:rsidP="008D7508">
      <w:pPr>
        <w:spacing w:line="240" w:lineRule="auto"/>
        <w:jc w:val="both"/>
        <w:rPr>
          <w:rFonts w:cstheme="minorHAnsi"/>
          <w:szCs w:val="20"/>
        </w:rPr>
      </w:pPr>
      <w:r w:rsidRPr="00C8354C">
        <w:rPr>
          <w:rFonts w:cstheme="minorHAnsi"/>
          <w:szCs w:val="20"/>
        </w:rPr>
        <w:t>La conception du projet a explicitement reconnu les inégalités de genre et l'exclusion comme facteurs structurels des conflits et de la pression sur les ressources naturelles, avec des cibles quantitatives de participation féminine (minimum 30% dans les structures de gouvernance) et des indicateurs désagrégés par sexe.</w:t>
      </w:r>
    </w:p>
    <w:p w14:paraId="7E6FE754" w14:textId="24A1FD8C" w:rsidR="00C8354C" w:rsidRPr="00C8354C" w:rsidRDefault="00C8354C" w:rsidP="008D7508">
      <w:pPr>
        <w:spacing w:line="240" w:lineRule="auto"/>
        <w:jc w:val="both"/>
        <w:rPr>
          <w:rFonts w:cstheme="minorHAnsi"/>
          <w:szCs w:val="20"/>
        </w:rPr>
      </w:pPr>
      <w:r w:rsidRPr="00C8354C">
        <w:rPr>
          <w:rFonts w:cstheme="minorHAnsi"/>
          <w:szCs w:val="20"/>
        </w:rPr>
        <w:t xml:space="preserve">La mise en œuvre a démontré un engagement réel. Au niveau gouvernance, les femmes sont représentées dans les organes décisionnels de la Fondation Kibira et dans plusieurs CPK, dépassant dans certains cas les cibles de 30%. Cette participation traduit une volonté d'intégrer les perspectives féminines dans la gestion du parc. Au niveau économique, les femmes ont bénéficié substantiellement des AGR, créant une autonomie financière accrue et renforçant leur pouvoir de décision au sein des ménages et des communautés. </w:t>
      </w:r>
    </w:p>
    <w:p w14:paraId="260A7296" w14:textId="77777777" w:rsidR="00C8354C" w:rsidRPr="00C8354C" w:rsidRDefault="00C8354C" w:rsidP="008D7508">
      <w:pPr>
        <w:spacing w:before="240" w:line="240" w:lineRule="auto"/>
        <w:jc w:val="both"/>
        <w:rPr>
          <w:rFonts w:cstheme="minorHAnsi"/>
          <w:b/>
          <w:bCs/>
          <w:color w:val="000099"/>
          <w:szCs w:val="20"/>
        </w:rPr>
      </w:pPr>
      <w:r w:rsidRPr="00C8354C">
        <w:rPr>
          <w:rFonts w:cstheme="minorHAnsi"/>
          <w:b/>
          <w:bCs/>
          <w:color w:val="000099"/>
          <w:szCs w:val="20"/>
        </w:rPr>
        <w:t xml:space="preserve">Inclusion des </w:t>
      </w:r>
      <w:proofErr w:type="spellStart"/>
      <w:r w:rsidRPr="00C8354C">
        <w:rPr>
          <w:rFonts w:cstheme="minorHAnsi"/>
          <w:b/>
          <w:bCs/>
          <w:color w:val="000099"/>
          <w:szCs w:val="20"/>
        </w:rPr>
        <w:t>Batwa</w:t>
      </w:r>
      <w:proofErr w:type="spellEnd"/>
      <w:r w:rsidRPr="00C8354C">
        <w:rPr>
          <w:rFonts w:cstheme="minorHAnsi"/>
          <w:b/>
          <w:bCs/>
          <w:color w:val="000099"/>
          <w:szCs w:val="20"/>
        </w:rPr>
        <w:t xml:space="preserve"> : approche basée sur les droits humains</w:t>
      </w:r>
    </w:p>
    <w:p w14:paraId="79DA9BB6" w14:textId="737E9039" w:rsidR="00C8354C" w:rsidRPr="00C8354C" w:rsidRDefault="00C8354C" w:rsidP="008D7508">
      <w:pPr>
        <w:spacing w:line="240" w:lineRule="auto"/>
        <w:jc w:val="both"/>
        <w:rPr>
          <w:rFonts w:cstheme="minorHAnsi"/>
          <w:szCs w:val="20"/>
        </w:rPr>
      </w:pPr>
      <w:r w:rsidRPr="00C8354C">
        <w:rPr>
          <w:rFonts w:cstheme="minorHAnsi"/>
          <w:szCs w:val="20"/>
        </w:rPr>
        <w:t xml:space="preserve">L'inclusion des </w:t>
      </w:r>
      <w:proofErr w:type="spellStart"/>
      <w:r w:rsidRPr="00C8354C">
        <w:rPr>
          <w:rFonts w:cstheme="minorHAnsi"/>
          <w:szCs w:val="20"/>
        </w:rPr>
        <w:t>Batwa</w:t>
      </w:r>
      <w:proofErr w:type="spellEnd"/>
      <w:r w:rsidRPr="00C8354C">
        <w:rPr>
          <w:rFonts w:cstheme="minorHAnsi"/>
          <w:szCs w:val="20"/>
        </w:rPr>
        <w:t xml:space="preserve"> constitue une réussite majeure en termes d'approche basée sur les droits humains, adressant leur exclusion historique et leur marginalisation systématique. Le projet a reconnu que leurs droits fondamentaux (terre, niveau de vie décent, participation) étaient structurellement niés. L'approche a combiné accès aux droits économiques et sociaux (acquisition terres, AGR, formations), participation aux structures de gouvernance (représentation dans </w:t>
      </w:r>
      <w:r w:rsidR="000775F2">
        <w:rPr>
          <w:rFonts w:cstheme="minorHAnsi"/>
          <w:szCs w:val="20"/>
        </w:rPr>
        <w:t xml:space="preserve">la </w:t>
      </w:r>
      <w:r w:rsidRPr="00C8354C">
        <w:rPr>
          <w:rFonts w:cstheme="minorHAnsi"/>
          <w:szCs w:val="20"/>
        </w:rPr>
        <w:t xml:space="preserve">Fondation et </w:t>
      </w:r>
      <w:r w:rsidR="000775F2">
        <w:rPr>
          <w:rFonts w:cstheme="minorHAnsi"/>
          <w:szCs w:val="20"/>
        </w:rPr>
        <w:t xml:space="preserve">les </w:t>
      </w:r>
      <w:r w:rsidRPr="00C8354C">
        <w:rPr>
          <w:rFonts w:cstheme="minorHAnsi"/>
          <w:szCs w:val="20"/>
        </w:rPr>
        <w:t>CPK), et inclusion sociale (travail sur</w:t>
      </w:r>
      <w:r w:rsidR="000775F2">
        <w:rPr>
          <w:rFonts w:cstheme="minorHAnsi"/>
          <w:szCs w:val="20"/>
        </w:rPr>
        <w:t xml:space="preserve"> les</w:t>
      </w:r>
      <w:r w:rsidRPr="00C8354C">
        <w:rPr>
          <w:rFonts w:cstheme="minorHAnsi"/>
          <w:szCs w:val="20"/>
        </w:rPr>
        <w:t xml:space="preserve"> attitudes discriminatoires</w:t>
      </w:r>
      <w:r w:rsidR="000775F2">
        <w:rPr>
          <w:rFonts w:cstheme="minorHAnsi"/>
          <w:szCs w:val="20"/>
        </w:rPr>
        <w:t xml:space="preserve"> et la</w:t>
      </w:r>
      <w:r w:rsidRPr="00C8354C">
        <w:rPr>
          <w:rFonts w:cstheme="minorHAnsi"/>
          <w:szCs w:val="20"/>
        </w:rPr>
        <w:t xml:space="preserve"> réduction </w:t>
      </w:r>
      <w:r w:rsidR="000775F2">
        <w:rPr>
          <w:rFonts w:cstheme="minorHAnsi"/>
          <w:szCs w:val="20"/>
        </w:rPr>
        <w:t xml:space="preserve">des </w:t>
      </w:r>
      <w:r w:rsidRPr="00C8354C">
        <w:rPr>
          <w:rFonts w:cstheme="minorHAnsi"/>
          <w:szCs w:val="20"/>
        </w:rPr>
        <w:t>tensions).</w:t>
      </w:r>
    </w:p>
    <w:p w14:paraId="5294904C" w14:textId="45245F9A" w:rsidR="00C8354C" w:rsidRPr="00C8354C" w:rsidRDefault="00C8354C" w:rsidP="008D7508">
      <w:pPr>
        <w:spacing w:line="240" w:lineRule="auto"/>
        <w:jc w:val="both"/>
        <w:rPr>
          <w:rFonts w:cstheme="minorHAnsi"/>
          <w:szCs w:val="20"/>
        </w:rPr>
      </w:pPr>
      <w:r w:rsidRPr="00C8354C">
        <w:rPr>
          <w:rFonts w:cstheme="minorHAnsi"/>
          <w:szCs w:val="20"/>
        </w:rPr>
        <w:t xml:space="preserve">Les résultats sont remarquables </w:t>
      </w:r>
      <w:r w:rsidR="000775F2">
        <w:rPr>
          <w:rFonts w:cstheme="minorHAnsi"/>
          <w:szCs w:val="20"/>
        </w:rPr>
        <w:t xml:space="preserve">chez la communauté </w:t>
      </w:r>
      <w:proofErr w:type="spellStart"/>
      <w:r w:rsidR="000775F2">
        <w:rPr>
          <w:rFonts w:cstheme="minorHAnsi"/>
          <w:szCs w:val="20"/>
        </w:rPr>
        <w:t>Batwa</w:t>
      </w:r>
      <w:proofErr w:type="spellEnd"/>
      <w:r w:rsidR="000775F2">
        <w:rPr>
          <w:rFonts w:cstheme="minorHAnsi"/>
          <w:szCs w:val="20"/>
        </w:rPr>
        <w:t xml:space="preserve"> de </w:t>
      </w:r>
      <w:proofErr w:type="spellStart"/>
      <w:r w:rsidRPr="00C8354C">
        <w:rPr>
          <w:rFonts w:cstheme="minorHAnsi"/>
          <w:szCs w:val="20"/>
        </w:rPr>
        <w:t>Muciro</w:t>
      </w:r>
      <w:proofErr w:type="spellEnd"/>
      <w:r w:rsidRPr="00C8354C">
        <w:rPr>
          <w:rFonts w:cstheme="minorHAnsi"/>
          <w:szCs w:val="20"/>
        </w:rPr>
        <w:t xml:space="preserve"> : </w:t>
      </w:r>
      <w:r w:rsidR="000775F2">
        <w:rPr>
          <w:rFonts w:cstheme="minorHAnsi"/>
          <w:szCs w:val="20"/>
        </w:rPr>
        <w:t>A</w:t>
      </w:r>
      <w:r w:rsidRPr="00C8354C">
        <w:rPr>
          <w:rFonts w:cstheme="minorHAnsi"/>
          <w:szCs w:val="20"/>
        </w:rPr>
        <w:t xml:space="preserve">mélioration substantielle des revenus (augmentation </w:t>
      </w:r>
      <w:r w:rsidR="000775F2">
        <w:rPr>
          <w:rFonts w:cstheme="minorHAnsi"/>
          <w:szCs w:val="20"/>
        </w:rPr>
        <w:t xml:space="preserve">de plus de </w:t>
      </w:r>
      <w:r w:rsidRPr="00C8354C">
        <w:rPr>
          <w:rFonts w:cstheme="minorHAnsi"/>
          <w:szCs w:val="20"/>
        </w:rPr>
        <w:t>150% pour certains ménages), ancrage durable de la culture du travail agricole, inclusion financière effective, et reconnaissance sociale accrue. Cette transformation démontre que l'inclusion effective nécessite un paquet complet adressant simultanément les dimensions économiques, sociales et politiques de l'exclusion.</w:t>
      </w:r>
    </w:p>
    <w:p w14:paraId="2870A521" w14:textId="240F3F0A" w:rsidR="00C8354C" w:rsidRPr="00C8354C" w:rsidRDefault="00C8354C" w:rsidP="008D7508">
      <w:pPr>
        <w:spacing w:before="240" w:line="240" w:lineRule="auto"/>
        <w:jc w:val="both"/>
        <w:rPr>
          <w:rFonts w:cstheme="minorHAnsi"/>
          <w:b/>
          <w:bCs/>
          <w:color w:val="000099"/>
          <w:szCs w:val="20"/>
        </w:rPr>
      </w:pPr>
      <w:r w:rsidRPr="00C8354C">
        <w:rPr>
          <w:rFonts w:cstheme="minorHAnsi"/>
          <w:b/>
          <w:bCs/>
          <w:color w:val="000099"/>
          <w:szCs w:val="20"/>
        </w:rPr>
        <w:t>Lacunes identifiées</w:t>
      </w:r>
      <w:r w:rsidR="00996B7C">
        <w:rPr>
          <w:rFonts w:cstheme="minorHAnsi"/>
          <w:b/>
          <w:bCs/>
          <w:color w:val="000099"/>
          <w:szCs w:val="20"/>
        </w:rPr>
        <w:t xml:space="preserve"> et recommandations </w:t>
      </w:r>
    </w:p>
    <w:p w14:paraId="047B9D96" w14:textId="49EA2AC3" w:rsidR="00C8354C" w:rsidRPr="00C8354C" w:rsidRDefault="00C8354C" w:rsidP="008D7508">
      <w:pPr>
        <w:spacing w:line="240" w:lineRule="auto"/>
        <w:jc w:val="both"/>
        <w:rPr>
          <w:rFonts w:cstheme="minorHAnsi"/>
          <w:szCs w:val="20"/>
        </w:rPr>
      </w:pPr>
      <w:r w:rsidRPr="00C8354C">
        <w:rPr>
          <w:rFonts w:cstheme="minorHAnsi"/>
          <w:szCs w:val="20"/>
        </w:rPr>
        <w:t xml:space="preserve">Malgré ces avancées, des lacunes persistent. Les jeunes (15-35 ans) et les personnes handicapées demeurent insuffisamment ciblés, faute de stratégie spécifique. </w:t>
      </w:r>
    </w:p>
    <w:p w14:paraId="063AEE12" w14:textId="77777777" w:rsidR="0036391A" w:rsidRDefault="00C8354C" w:rsidP="008D7508">
      <w:pPr>
        <w:spacing w:line="240" w:lineRule="auto"/>
        <w:jc w:val="both"/>
        <w:rPr>
          <w:rFonts w:cstheme="minorHAnsi"/>
          <w:szCs w:val="20"/>
        </w:rPr>
      </w:pPr>
      <w:r w:rsidRPr="00C8354C">
        <w:rPr>
          <w:rFonts w:cstheme="minorHAnsi"/>
          <w:szCs w:val="20"/>
        </w:rPr>
        <w:t>La désagrégation systématique des données par genre, âge, ethnie et handicap demeure partielle, limitant la capacité à mesurer les impacts différenciés et compromettant la redevabilité.</w:t>
      </w:r>
    </w:p>
    <w:p w14:paraId="7D259A46" w14:textId="59242AA9" w:rsidR="00B85E0F" w:rsidRPr="008D7508" w:rsidRDefault="00C8354C" w:rsidP="008D7508">
      <w:pPr>
        <w:spacing w:line="240" w:lineRule="auto"/>
        <w:jc w:val="both"/>
        <w:rPr>
          <w:rFonts w:cstheme="minorHAnsi"/>
          <w:szCs w:val="20"/>
        </w:rPr>
      </w:pPr>
      <w:r w:rsidRPr="00C8354C">
        <w:rPr>
          <w:rFonts w:cstheme="minorHAnsi"/>
          <w:szCs w:val="20"/>
        </w:rPr>
        <w:t>Pour les projets futurs, il est essentiel d'élaborer dès la conception des stratégies spécifiques pour tous les groupes vulnérables (femmes, jeunes, personnes handicapées, groupes ethniques marginalisés). La désagrégation systématique des données doit être une exigence du système de suivi-évaluation. L'intégration d'analyses de conflits sensibles au genre permettra de mieux comprendre les dynamiques conflictuelles. Enfin, le maintien de la participation des femmes et groupes marginalisés dans les structures de gouvernance doit demeurer une priorité.</w:t>
      </w:r>
    </w:p>
    <w:p w14:paraId="7FD8B3F0" w14:textId="63B2E1FF" w:rsidR="00286ED9" w:rsidRPr="00B85E0F" w:rsidRDefault="00286ED9">
      <w:pPr>
        <w:spacing w:before="0" w:after="160"/>
        <w:rPr>
          <w:rFonts w:cstheme="minorHAnsi"/>
          <w:b/>
          <w:sz w:val="28"/>
          <w:szCs w:val="28"/>
        </w:rPr>
      </w:pPr>
      <w:r w:rsidRPr="00B85E0F">
        <w:rPr>
          <w:rFonts w:cstheme="minorHAnsi"/>
          <w:b/>
          <w:sz w:val="28"/>
          <w:szCs w:val="28"/>
        </w:rPr>
        <w:br w:type="page"/>
      </w:r>
    </w:p>
    <w:p w14:paraId="377C0463" w14:textId="0438843C" w:rsidR="00776702" w:rsidRPr="00925FBE" w:rsidRDefault="00776702" w:rsidP="00776702">
      <w:pPr>
        <w:pStyle w:val="Heading1"/>
        <w:rPr>
          <w:rFonts w:ascii="Open Sans" w:hAnsi="Open Sans"/>
        </w:rPr>
      </w:pPr>
      <w:bookmarkStart w:id="59" w:name="_Toc216948986"/>
      <w:r w:rsidRPr="00925FBE">
        <w:rPr>
          <w:rFonts w:ascii="Open Sans" w:hAnsi="Open Sans"/>
        </w:rPr>
        <w:lastRenderedPageBreak/>
        <w:t>Annexes</w:t>
      </w:r>
      <w:r w:rsidR="000375E8">
        <w:rPr>
          <w:rFonts w:ascii="Open Sans" w:hAnsi="Open Sans"/>
        </w:rPr>
        <w:t xml:space="preserve"> </w:t>
      </w:r>
      <w:r w:rsidRPr="00925FBE">
        <w:rPr>
          <w:rFonts w:ascii="Open Sans" w:hAnsi="Open Sans"/>
        </w:rPr>
        <w:t>:</w:t>
      </w:r>
      <w:bookmarkEnd w:id="59"/>
    </w:p>
    <w:p w14:paraId="3727EFF3" w14:textId="77777777" w:rsidR="003F4F80" w:rsidRPr="00925FBE" w:rsidRDefault="003F4F80" w:rsidP="00776702">
      <w:pPr>
        <w:ind w:right="-10"/>
        <w:jc w:val="both"/>
        <w:rPr>
          <w:rFonts w:cstheme="minorHAnsi"/>
        </w:rPr>
      </w:pPr>
    </w:p>
    <w:p w14:paraId="7E5AC9D6" w14:textId="3A21C7F6" w:rsidR="00B72C66" w:rsidRDefault="00B72C66" w:rsidP="00B72C66">
      <w:pPr>
        <w:pStyle w:val="Heading2"/>
        <w:jc w:val="both"/>
        <w:rPr>
          <w:rFonts w:ascii="Open Sans" w:hAnsi="Open Sans"/>
          <w:color w:val="000099"/>
        </w:rPr>
      </w:pPr>
      <w:bookmarkStart w:id="60" w:name="_Toc216948987"/>
      <w:r w:rsidRPr="003E62D9">
        <w:rPr>
          <w:rFonts w:ascii="Open Sans" w:hAnsi="Open Sans"/>
          <w:color w:val="000099"/>
        </w:rPr>
        <w:t xml:space="preserve">Annexe 1 : </w:t>
      </w:r>
      <w:r>
        <w:rPr>
          <w:rFonts w:ascii="Open Sans" w:hAnsi="Open Sans"/>
          <w:color w:val="000099"/>
        </w:rPr>
        <w:t>Théorie de changement du projet</w:t>
      </w:r>
      <w:bookmarkEnd w:id="60"/>
      <w:r>
        <w:rPr>
          <w:rFonts w:ascii="Open Sans" w:hAnsi="Open Sans"/>
          <w:color w:val="000099"/>
        </w:rPr>
        <w:t xml:space="preserve"> </w:t>
      </w:r>
    </w:p>
    <w:p w14:paraId="6A4B8219" w14:textId="77777777" w:rsidR="00B72C66" w:rsidRDefault="00B72C66" w:rsidP="00B72C66"/>
    <w:p w14:paraId="1AAE2687" w14:textId="283B1EDE" w:rsidR="00B72C66" w:rsidRPr="00B72C66" w:rsidRDefault="00713975" w:rsidP="00B72C66">
      <w:r w:rsidRPr="00CB761B">
        <w:rPr>
          <w:noProof/>
        </w:rPr>
        <w:drawing>
          <wp:inline distT="0" distB="0" distL="0" distR="0" wp14:anchorId="7F1BF593" wp14:editId="5F25E139">
            <wp:extent cx="5731510" cy="5140686"/>
            <wp:effectExtent l="0" t="0" r="2540" b="3175"/>
            <wp:docPr id="99743097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430976" name=""/>
                    <pic:cNvPicPr/>
                  </pic:nvPicPr>
                  <pic:blipFill>
                    <a:blip r:embed="rId20"/>
                    <a:stretch>
                      <a:fillRect/>
                    </a:stretch>
                  </pic:blipFill>
                  <pic:spPr>
                    <a:xfrm>
                      <a:off x="0" y="0"/>
                      <a:ext cx="5731510" cy="5140686"/>
                    </a:xfrm>
                    <a:prstGeom prst="rect">
                      <a:avLst/>
                    </a:prstGeom>
                  </pic:spPr>
                </pic:pic>
              </a:graphicData>
            </a:graphic>
          </wp:inline>
        </w:drawing>
      </w:r>
    </w:p>
    <w:p w14:paraId="0244204B" w14:textId="77777777" w:rsidR="00B72C66" w:rsidRDefault="00B72C66">
      <w:pPr>
        <w:spacing w:before="0" w:after="160"/>
        <w:rPr>
          <w:rFonts w:eastAsiaTheme="majorEastAsia" w:cstheme="majorBidi"/>
          <w:b/>
          <w:caps/>
          <w:color w:val="000099"/>
          <w:sz w:val="22"/>
          <w:szCs w:val="26"/>
        </w:rPr>
      </w:pPr>
      <w:r>
        <w:rPr>
          <w:color w:val="000099"/>
        </w:rPr>
        <w:br w:type="page"/>
      </w:r>
    </w:p>
    <w:p w14:paraId="66859E23" w14:textId="47FE5169" w:rsidR="00776702" w:rsidRPr="003E62D9" w:rsidRDefault="00776702" w:rsidP="00AF5E84">
      <w:pPr>
        <w:pStyle w:val="Heading2"/>
        <w:jc w:val="both"/>
        <w:rPr>
          <w:rFonts w:ascii="Open Sans" w:hAnsi="Open Sans"/>
          <w:color w:val="000099"/>
        </w:rPr>
      </w:pPr>
      <w:bookmarkStart w:id="61" w:name="_Toc216948988"/>
      <w:r w:rsidRPr="003E62D9">
        <w:rPr>
          <w:rFonts w:ascii="Open Sans" w:hAnsi="Open Sans"/>
          <w:color w:val="000099"/>
        </w:rPr>
        <w:lastRenderedPageBreak/>
        <w:t>Annex</w:t>
      </w:r>
      <w:r w:rsidR="00AF5E84" w:rsidRPr="003E62D9">
        <w:rPr>
          <w:rFonts w:ascii="Open Sans" w:hAnsi="Open Sans"/>
          <w:color w:val="000099"/>
        </w:rPr>
        <w:t>e</w:t>
      </w:r>
      <w:r w:rsidRPr="003E62D9">
        <w:rPr>
          <w:rFonts w:ascii="Open Sans" w:hAnsi="Open Sans"/>
          <w:color w:val="000099"/>
        </w:rPr>
        <w:t xml:space="preserve"> </w:t>
      </w:r>
      <w:r w:rsidR="00713975">
        <w:rPr>
          <w:rFonts w:ascii="Open Sans" w:hAnsi="Open Sans"/>
          <w:color w:val="000099"/>
        </w:rPr>
        <w:t>2</w:t>
      </w:r>
      <w:r w:rsidR="00AF5E84" w:rsidRPr="003E62D9">
        <w:rPr>
          <w:rFonts w:ascii="Open Sans" w:hAnsi="Open Sans"/>
          <w:color w:val="000099"/>
        </w:rPr>
        <w:t xml:space="preserve"> </w:t>
      </w:r>
      <w:r w:rsidRPr="003E62D9">
        <w:rPr>
          <w:rFonts w:ascii="Open Sans" w:hAnsi="Open Sans"/>
          <w:color w:val="000099"/>
        </w:rPr>
        <w:t xml:space="preserve">: </w:t>
      </w:r>
      <w:r w:rsidR="003E62D9" w:rsidRPr="003E62D9">
        <w:rPr>
          <w:rFonts w:ascii="Open Sans" w:hAnsi="Open Sans"/>
          <w:color w:val="000099"/>
        </w:rPr>
        <w:t>Carte du Parc N</w:t>
      </w:r>
      <w:r w:rsidR="003E62D9">
        <w:rPr>
          <w:rFonts w:ascii="Open Sans" w:hAnsi="Open Sans"/>
          <w:color w:val="000099"/>
        </w:rPr>
        <w:t>ational de la Kibira</w:t>
      </w:r>
      <w:bookmarkEnd w:id="61"/>
    </w:p>
    <w:p w14:paraId="73816C58" w14:textId="77777777" w:rsidR="00AF5E84" w:rsidRPr="003E62D9" w:rsidRDefault="00AF5E84" w:rsidP="00AF5E84"/>
    <w:p w14:paraId="2D7C1322" w14:textId="602A8D70" w:rsidR="003E62D9" w:rsidRDefault="00812EA5" w:rsidP="003E62D9">
      <w:r w:rsidRPr="00576BB8">
        <w:rPr>
          <w:noProof/>
        </w:rPr>
        <w:drawing>
          <wp:inline distT="0" distB="0" distL="0" distR="0" wp14:anchorId="4AF06CA2" wp14:editId="1EA94E38">
            <wp:extent cx="5731510" cy="4474899"/>
            <wp:effectExtent l="0" t="0" r="2540" b="1905"/>
            <wp:docPr id="132545929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459297" name=""/>
                    <pic:cNvPicPr/>
                  </pic:nvPicPr>
                  <pic:blipFill>
                    <a:blip r:embed="rId21"/>
                    <a:stretch>
                      <a:fillRect/>
                    </a:stretch>
                  </pic:blipFill>
                  <pic:spPr>
                    <a:xfrm>
                      <a:off x="0" y="0"/>
                      <a:ext cx="5731510" cy="4474899"/>
                    </a:xfrm>
                    <a:prstGeom prst="rect">
                      <a:avLst/>
                    </a:prstGeom>
                  </pic:spPr>
                </pic:pic>
              </a:graphicData>
            </a:graphic>
          </wp:inline>
        </w:drawing>
      </w:r>
    </w:p>
    <w:p w14:paraId="28AFA645" w14:textId="243860D7" w:rsidR="00812EA5" w:rsidRPr="00812EA5" w:rsidRDefault="00812EA5" w:rsidP="003E62D9">
      <w:pPr>
        <w:rPr>
          <w:i/>
          <w:iCs/>
          <w:sz w:val="18"/>
          <w:szCs w:val="20"/>
        </w:rPr>
      </w:pPr>
      <w:r>
        <w:rPr>
          <w:i/>
          <w:iCs/>
          <w:sz w:val="18"/>
          <w:szCs w:val="20"/>
        </w:rPr>
        <w:t xml:space="preserve">  </w:t>
      </w:r>
      <w:r w:rsidRPr="00812EA5">
        <w:rPr>
          <w:i/>
          <w:iCs/>
          <w:sz w:val="18"/>
          <w:szCs w:val="20"/>
        </w:rPr>
        <w:t>Source : COH, Octobre 2024</w:t>
      </w:r>
    </w:p>
    <w:p w14:paraId="2375904E" w14:textId="0285FC3F" w:rsidR="00713975" w:rsidRDefault="00713975">
      <w:pPr>
        <w:spacing w:before="0" w:after="160"/>
      </w:pPr>
      <w:r>
        <w:br w:type="page"/>
      </w:r>
    </w:p>
    <w:p w14:paraId="59B63C9E" w14:textId="03494D6D" w:rsidR="003E62D9" w:rsidRDefault="003E62D9" w:rsidP="000375E8">
      <w:pPr>
        <w:pStyle w:val="Heading2"/>
        <w:jc w:val="both"/>
        <w:rPr>
          <w:rFonts w:ascii="Open Sans" w:hAnsi="Open Sans"/>
          <w:color w:val="000099"/>
        </w:rPr>
      </w:pPr>
      <w:bookmarkStart w:id="62" w:name="_Toc216948989"/>
      <w:r w:rsidRPr="000375E8">
        <w:rPr>
          <w:rFonts w:ascii="Open Sans" w:hAnsi="Open Sans"/>
          <w:color w:val="000099"/>
        </w:rPr>
        <w:lastRenderedPageBreak/>
        <w:t>Annex</w:t>
      </w:r>
      <w:r w:rsidR="000375E8">
        <w:rPr>
          <w:rFonts w:ascii="Open Sans" w:hAnsi="Open Sans"/>
          <w:color w:val="000099"/>
        </w:rPr>
        <w:t>e</w:t>
      </w:r>
      <w:r w:rsidRPr="000375E8">
        <w:rPr>
          <w:rFonts w:ascii="Open Sans" w:hAnsi="Open Sans"/>
          <w:color w:val="000099"/>
        </w:rPr>
        <w:t xml:space="preserve"> </w:t>
      </w:r>
      <w:r w:rsidR="00713975">
        <w:rPr>
          <w:rFonts w:ascii="Open Sans" w:hAnsi="Open Sans"/>
          <w:color w:val="000099"/>
        </w:rPr>
        <w:t>3</w:t>
      </w:r>
      <w:r w:rsidR="000375E8">
        <w:rPr>
          <w:rFonts w:ascii="Open Sans" w:hAnsi="Open Sans"/>
          <w:color w:val="000099"/>
        </w:rPr>
        <w:t xml:space="preserve"> </w:t>
      </w:r>
      <w:r w:rsidRPr="000375E8">
        <w:rPr>
          <w:rFonts w:ascii="Open Sans" w:hAnsi="Open Sans"/>
          <w:color w:val="000099"/>
        </w:rPr>
        <w:t xml:space="preserve">: </w:t>
      </w:r>
      <w:r w:rsidRPr="001326E3">
        <w:rPr>
          <w:rFonts w:ascii="Open Sans" w:hAnsi="Open Sans"/>
          <w:color w:val="000099"/>
        </w:rPr>
        <w:t>Répartition</w:t>
      </w:r>
      <w:r w:rsidRPr="000375E8">
        <w:rPr>
          <w:rFonts w:ascii="Open Sans" w:hAnsi="Open Sans"/>
          <w:color w:val="000099"/>
        </w:rPr>
        <w:t xml:space="preserve"> des b</w:t>
      </w:r>
      <w:r w:rsidR="000375E8">
        <w:rPr>
          <w:rFonts w:ascii="Open Sans" w:hAnsi="Open Sans"/>
          <w:color w:val="000099"/>
        </w:rPr>
        <w:t>énéficiaires par région et par type d’appui</w:t>
      </w:r>
      <w:bookmarkEnd w:id="62"/>
    </w:p>
    <w:p w14:paraId="54F283E9" w14:textId="77777777" w:rsidR="007072F9" w:rsidRDefault="007072F9" w:rsidP="007072F9"/>
    <w:p w14:paraId="6AAA04BE" w14:textId="333005F1" w:rsidR="001326E3" w:rsidRPr="001326E3" w:rsidRDefault="001326E3" w:rsidP="007072F9">
      <w:pPr>
        <w:rPr>
          <w:b/>
          <w:bCs/>
          <w:color w:val="000099"/>
        </w:rPr>
      </w:pPr>
      <w:r w:rsidRPr="001326E3">
        <w:rPr>
          <w:b/>
          <w:bCs/>
          <w:color w:val="000099"/>
        </w:rPr>
        <w:t xml:space="preserve">Répartition des bénéficiaires par colline et par genre et ethnie </w:t>
      </w:r>
    </w:p>
    <w:tbl>
      <w:tblPr>
        <w:tblW w:w="9186" w:type="dxa"/>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CellMar>
          <w:left w:w="70" w:type="dxa"/>
          <w:right w:w="70" w:type="dxa"/>
        </w:tblCellMar>
        <w:tblLook w:val="04A0" w:firstRow="1" w:lastRow="0" w:firstColumn="1" w:lastColumn="0" w:noHBand="0" w:noVBand="1"/>
      </w:tblPr>
      <w:tblGrid>
        <w:gridCol w:w="2120"/>
        <w:gridCol w:w="1566"/>
        <w:gridCol w:w="1940"/>
        <w:gridCol w:w="1900"/>
        <w:gridCol w:w="1660"/>
      </w:tblGrid>
      <w:tr w:rsidR="007072F9" w:rsidRPr="007072F9" w14:paraId="675D2C50" w14:textId="77777777" w:rsidTr="007072F9">
        <w:trPr>
          <w:trHeight w:val="288"/>
        </w:trPr>
        <w:tc>
          <w:tcPr>
            <w:tcW w:w="2120" w:type="dxa"/>
            <w:shd w:val="clear" w:color="auto" w:fill="000099"/>
            <w:noWrap/>
            <w:vAlign w:val="center"/>
            <w:hideMark/>
          </w:tcPr>
          <w:p w14:paraId="1DA85709" w14:textId="5DA7C2DB" w:rsidR="007072F9" w:rsidRPr="007072F9" w:rsidRDefault="007072F9" w:rsidP="007072F9">
            <w:pPr>
              <w:spacing w:before="0" w:after="0" w:line="240" w:lineRule="auto"/>
              <w:jc w:val="center"/>
              <w:rPr>
                <w:rFonts w:eastAsia="Times New Roman" w:cs="Open Sans"/>
                <w:b/>
                <w:bCs/>
                <w:sz w:val="18"/>
                <w:szCs w:val="18"/>
                <w:lang w:eastAsia="fr-FR"/>
              </w:rPr>
            </w:pPr>
            <w:r w:rsidRPr="007072F9">
              <w:rPr>
                <w:rFonts w:eastAsia="Times New Roman" w:cs="Open Sans"/>
                <w:b/>
                <w:bCs/>
                <w:sz w:val="18"/>
                <w:szCs w:val="18"/>
                <w:lang w:eastAsia="fr-FR"/>
              </w:rPr>
              <w:t>Colline</w:t>
            </w:r>
          </w:p>
        </w:tc>
        <w:tc>
          <w:tcPr>
            <w:tcW w:w="1566" w:type="dxa"/>
            <w:shd w:val="clear" w:color="auto" w:fill="000099"/>
            <w:noWrap/>
            <w:vAlign w:val="center"/>
            <w:hideMark/>
          </w:tcPr>
          <w:p w14:paraId="5E1FC318" w14:textId="148672B6" w:rsidR="007072F9" w:rsidRPr="007072F9" w:rsidRDefault="007072F9" w:rsidP="007072F9">
            <w:pPr>
              <w:spacing w:before="0" w:after="0" w:line="240" w:lineRule="auto"/>
              <w:jc w:val="center"/>
              <w:rPr>
                <w:rFonts w:eastAsia="Times New Roman" w:cs="Open Sans"/>
                <w:b/>
                <w:bCs/>
                <w:sz w:val="18"/>
                <w:szCs w:val="18"/>
                <w:lang w:eastAsia="fr-FR"/>
              </w:rPr>
            </w:pPr>
            <w:r w:rsidRPr="007072F9">
              <w:rPr>
                <w:rFonts w:eastAsia="Times New Roman" w:cs="Open Sans"/>
                <w:b/>
                <w:bCs/>
                <w:sz w:val="18"/>
                <w:szCs w:val="18"/>
                <w:lang w:eastAsia="fr-FR"/>
              </w:rPr>
              <w:t>Total bénéficiaires</w:t>
            </w:r>
          </w:p>
        </w:tc>
        <w:tc>
          <w:tcPr>
            <w:tcW w:w="1940" w:type="dxa"/>
            <w:shd w:val="clear" w:color="auto" w:fill="000099"/>
            <w:noWrap/>
            <w:vAlign w:val="center"/>
            <w:hideMark/>
          </w:tcPr>
          <w:p w14:paraId="038C4CDC" w14:textId="734E745C" w:rsidR="007072F9" w:rsidRPr="007072F9" w:rsidRDefault="007072F9" w:rsidP="007072F9">
            <w:pPr>
              <w:spacing w:before="0" w:after="0" w:line="240" w:lineRule="auto"/>
              <w:jc w:val="center"/>
              <w:rPr>
                <w:rFonts w:eastAsia="Times New Roman" w:cs="Open Sans"/>
                <w:b/>
                <w:bCs/>
                <w:sz w:val="18"/>
                <w:szCs w:val="18"/>
                <w:lang w:eastAsia="fr-FR"/>
              </w:rPr>
            </w:pPr>
            <w:r w:rsidRPr="007072F9">
              <w:rPr>
                <w:rFonts w:eastAsia="Times New Roman" w:cs="Open Sans"/>
                <w:b/>
                <w:bCs/>
                <w:sz w:val="18"/>
                <w:szCs w:val="18"/>
                <w:lang w:eastAsia="fr-FR"/>
              </w:rPr>
              <w:t>Bénéficiaires Hommes</w:t>
            </w:r>
          </w:p>
        </w:tc>
        <w:tc>
          <w:tcPr>
            <w:tcW w:w="1900" w:type="dxa"/>
            <w:shd w:val="clear" w:color="auto" w:fill="000099"/>
            <w:noWrap/>
            <w:vAlign w:val="center"/>
            <w:hideMark/>
          </w:tcPr>
          <w:p w14:paraId="386D3EEE" w14:textId="7A349C0B" w:rsidR="007072F9" w:rsidRPr="007072F9" w:rsidRDefault="007072F9" w:rsidP="007072F9">
            <w:pPr>
              <w:spacing w:before="0" w:after="0" w:line="240" w:lineRule="auto"/>
              <w:jc w:val="center"/>
              <w:rPr>
                <w:rFonts w:eastAsia="Times New Roman" w:cs="Open Sans"/>
                <w:b/>
                <w:bCs/>
                <w:sz w:val="18"/>
                <w:szCs w:val="18"/>
                <w:lang w:eastAsia="fr-FR"/>
              </w:rPr>
            </w:pPr>
            <w:r w:rsidRPr="007072F9">
              <w:rPr>
                <w:rFonts w:eastAsia="Times New Roman" w:cs="Open Sans"/>
                <w:b/>
                <w:bCs/>
                <w:sz w:val="18"/>
                <w:szCs w:val="18"/>
                <w:lang w:eastAsia="fr-FR"/>
              </w:rPr>
              <w:t>Bénéficiaires Femmes</w:t>
            </w:r>
          </w:p>
        </w:tc>
        <w:tc>
          <w:tcPr>
            <w:tcW w:w="1660" w:type="dxa"/>
            <w:shd w:val="clear" w:color="auto" w:fill="000099"/>
            <w:noWrap/>
            <w:vAlign w:val="center"/>
            <w:hideMark/>
          </w:tcPr>
          <w:p w14:paraId="52141457" w14:textId="4F533C8B" w:rsidR="007072F9" w:rsidRPr="007072F9" w:rsidRDefault="007072F9" w:rsidP="007072F9">
            <w:pPr>
              <w:spacing w:before="0" w:after="0" w:line="240" w:lineRule="auto"/>
              <w:jc w:val="center"/>
              <w:rPr>
                <w:rFonts w:eastAsia="Times New Roman" w:cs="Open Sans"/>
                <w:b/>
                <w:bCs/>
                <w:sz w:val="18"/>
                <w:szCs w:val="18"/>
                <w:lang w:eastAsia="fr-FR"/>
              </w:rPr>
            </w:pPr>
            <w:r w:rsidRPr="007072F9">
              <w:rPr>
                <w:rFonts w:eastAsia="Times New Roman" w:cs="Open Sans"/>
                <w:b/>
                <w:bCs/>
                <w:sz w:val="18"/>
                <w:szCs w:val="18"/>
                <w:lang w:eastAsia="fr-FR"/>
              </w:rPr>
              <w:t xml:space="preserve">Bénéficiaires </w:t>
            </w:r>
            <w:proofErr w:type="spellStart"/>
            <w:r w:rsidRPr="007072F9">
              <w:rPr>
                <w:rFonts w:eastAsia="Times New Roman" w:cs="Open Sans"/>
                <w:b/>
                <w:bCs/>
                <w:sz w:val="18"/>
                <w:szCs w:val="18"/>
                <w:lang w:eastAsia="fr-FR"/>
              </w:rPr>
              <w:t>Batwa</w:t>
            </w:r>
            <w:proofErr w:type="spellEnd"/>
          </w:p>
        </w:tc>
      </w:tr>
      <w:tr w:rsidR="007072F9" w:rsidRPr="007072F9" w14:paraId="7F5656B6" w14:textId="77777777" w:rsidTr="007072F9">
        <w:trPr>
          <w:trHeight w:val="288"/>
        </w:trPr>
        <w:tc>
          <w:tcPr>
            <w:tcW w:w="2120" w:type="dxa"/>
            <w:noWrap/>
            <w:vAlign w:val="bottom"/>
            <w:hideMark/>
          </w:tcPr>
          <w:p w14:paraId="7C79E9AD" w14:textId="77777777" w:rsidR="007072F9" w:rsidRPr="007072F9" w:rsidRDefault="007072F9" w:rsidP="007072F9">
            <w:pPr>
              <w:spacing w:before="0" w:after="0" w:line="240" w:lineRule="auto"/>
              <w:rPr>
                <w:rFonts w:eastAsia="Times New Roman" w:cs="Open Sans"/>
                <w:color w:val="000000"/>
                <w:sz w:val="18"/>
                <w:szCs w:val="18"/>
                <w:lang w:eastAsia="fr-FR"/>
              </w:rPr>
            </w:pPr>
            <w:r w:rsidRPr="007072F9">
              <w:rPr>
                <w:rFonts w:eastAsia="Times New Roman" w:cs="Open Sans"/>
                <w:color w:val="000000"/>
                <w:sz w:val="18"/>
                <w:szCs w:val="18"/>
                <w:lang w:eastAsia="fr-FR"/>
              </w:rPr>
              <w:t>MUCIRO</w:t>
            </w:r>
          </w:p>
        </w:tc>
        <w:tc>
          <w:tcPr>
            <w:tcW w:w="1566" w:type="dxa"/>
            <w:noWrap/>
            <w:vAlign w:val="center"/>
            <w:hideMark/>
          </w:tcPr>
          <w:p w14:paraId="6C069246"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5855</w:t>
            </w:r>
          </w:p>
        </w:tc>
        <w:tc>
          <w:tcPr>
            <w:tcW w:w="1940" w:type="dxa"/>
            <w:noWrap/>
            <w:vAlign w:val="center"/>
            <w:hideMark/>
          </w:tcPr>
          <w:p w14:paraId="53266E28"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4289</w:t>
            </w:r>
          </w:p>
        </w:tc>
        <w:tc>
          <w:tcPr>
            <w:tcW w:w="1900" w:type="dxa"/>
            <w:noWrap/>
            <w:vAlign w:val="center"/>
            <w:hideMark/>
          </w:tcPr>
          <w:p w14:paraId="045CCF93"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1566</w:t>
            </w:r>
          </w:p>
        </w:tc>
        <w:tc>
          <w:tcPr>
            <w:tcW w:w="1660" w:type="dxa"/>
            <w:noWrap/>
            <w:vAlign w:val="center"/>
            <w:hideMark/>
          </w:tcPr>
          <w:p w14:paraId="7793E21C"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393</w:t>
            </w:r>
          </w:p>
        </w:tc>
      </w:tr>
      <w:tr w:rsidR="007072F9" w:rsidRPr="007072F9" w14:paraId="0F652D37" w14:textId="77777777" w:rsidTr="007072F9">
        <w:trPr>
          <w:trHeight w:val="288"/>
        </w:trPr>
        <w:tc>
          <w:tcPr>
            <w:tcW w:w="2120" w:type="dxa"/>
            <w:noWrap/>
            <w:vAlign w:val="bottom"/>
            <w:hideMark/>
          </w:tcPr>
          <w:p w14:paraId="2E497EC7" w14:textId="77777777" w:rsidR="007072F9" w:rsidRPr="007072F9" w:rsidRDefault="007072F9" w:rsidP="007072F9">
            <w:pPr>
              <w:spacing w:before="0" w:after="0" w:line="240" w:lineRule="auto"/>
              <w:rPr>
                <w:rFonts w:eastAsia="Times New Roman" w:cs="Open Sans"/>
                <w:color w:val="000000"/>
                <w:sz w:val="18"/>
                <w:szCs w:val="18"/>
                <w:lang w:eastAsia="fr-FR"/>
              </w:rPr>
            </w:pPr>
            <w:r w:rsidRPr="007072F9">
              <w:rPr>
                <w:rFonts w:eastAsia="Times New Roman" w:cs="Open Sans"/>
                <w:color w:val="000000"/>
                <w:sz w:val="18"/>
                <w:szCs w:val="18"/>
                <w:lang w:eastAsia="fr-FR"/>
              </w:rPr>
              <w:t>CAGUKA</w:t>
            </w:r>
          </w:p>
        </w:tc>
        <w:tc>
          <w:tcPr>
            <w:tcW w:w="1566" w:type="dxa"/>
            <w:noWrap/>
            <w:vAlign w:val="center"/>
            <w:hideMark/>
          </w:tcPr>
          <w:p w14:paraId="5491591B"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3237</w:t>
            </w:r>
          </w:p>
        </w:tc>
        <w:tc>
          <w:tcPr>
            <w:tcW w:w="1940" w:type="dxa"/>
            <w:noWrap/>
            <w:vAlign w:val="center"/>
            <w:hideMark/>
          </w:tcPr>
          <w:p w14:paraId="67143F37"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2604</w:t>
            </w:r>
          </w:p>
        </w:tc>
        <w:tc>
          <w:tcPr>
            <w:tcW w:w="1900" w:type="dxa"/>
            <w:noWrap/>
            <w:vAlign w:val="center"/>
            <w:hideMark/>
          </w:tcPr>
          <w:p w14:paraId="0ECA1C17"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633</w:t>
            </w:r>
          </w:p>
        </w:tc>
        <w:tc>
          <w:tcPr>
            <w:tcW w:w="1660" w:type="dxa"/>
            <w:noWrap/>
            <w:vAlign w:val="center"/>
            <w:hideMark/>
          </w:tcPr>
          <w:p w14:paraId="7AA46289"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14</w:t>
            </w:r>
          </w:p>
        </w:tc>
      </w:tr>
      <w:tr w:rsidR="007072F9" w:rsidRPr="007072F9" w14:paraId="513983A3" w14:textId="77777777" w:rsidTr="007072F9">
        <w:trPr>
          <w:trHeight w:val="288"/>
        </w:trPr>
        <w:tc>
          <w:tcPr>
            <w:tcW w:w="2120" w:type="dxa"/>
            <w:noWrap/>
            <w:vAlign w:val="bottom"/>
            <w:hideMark/>
          </w:tcPr>
          <w:p w14:paraId="37844BCE" w14:textId="77777777" w:rsidR="007072F9" w:rsidRPr="007072F9" w:rsidRDefault="007072F9" w:rsidP="007072F9">
            <w:pPr>
              <w:spacing w:before="0" w:after="0" w:line="240" w:lineRule="auto"/>
              <w:rPr>
                <w:rFonts w:eastAsia="Times New Roman" w:cs="Open Sans"/>
                <w:color w:val="000000"/>
                <w:sz w:val="18"/>
                <w:szCs w:val="18"/>
                <w:lang w:eastAsia="fr-FR"/>
              </w:rPr>
            </w:pPr>
            <w:r w:rsidRPr="007072F9">
              <w:rPr>
                <w:rFonts w:eastAsia="Times New Roman" w:cs="Open Sans"/>
                <w:color w:val="000000"/>
                <w:sz w:val="18"/>
                <w:szCs w:val="18"/>
                <w:lang w:eastAsia="fr-FR"/>
              </w:rPr>
              <w:t>RWEGURA</w:t>
            </w:r>
          </w:p>
        </w:tc>
        <w:tc>
          <w:tcPr>
            <w:tcW w:w="1566" w:type="dxa"/>
            <w:noWrap/>
            <w:vAlign w:val="center"/>
            <w:hideMark/>
          </w:tcPr>
          <w:p w14:paraId="695CF9D8"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315</w:t>
            </w:r>
          </w:p>
        </w:tc>
        <w:tc>
          <w:tcPr>
            <w:tcW w:w="1940" w:type="dxa"/>
            <w:noWrap/>
            <w:vAlign w:val="center"/>
            <w:hideMark/>
          </w:tcPr>
          <w:p w14:paraId="2EE9D5C5"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132</w:t>
            </w:r>
          </w:p>
        </w:tc>
        <w:tc>
          <w:tcPr>
            <w:tcW w:w="1900" w:type="dxa"/>
            <w:noWrap/>
            <w:vAlign w:val="center"/>
            <w:hideMark/>
          </w:tcPr>
          <w:p w14:paraId="5BBABB89"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183</w:t>
            </w:r>
          </w:p>
        </w:tc>
        <w:tc>
          <w:tcPr>
            <w:tcW w:w="1660" w:type="dxa"/>
            <w:noWrap/>
            <w:vAlign w:val="center"/>
            <w:hideMark/>
          </w:tcPr>
          <w:p w14:paraId="25B94FDC"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0</w:t>
            </w:r>
          </w:p>
        </w:tc>
      </w:tr>
      <w:tr w:rsidR="007072F9" w:rsidRPr="007072F9" w14:paraId="6BAD96DC" w14:textId="77777777" w:rsidTr="007072F9">
        <w:trPr>
          <w:trHeight w:val="288"/>
        </w:trPr>
        <w:tc>
          <w:tcPr>
            <w:tcW w:w="2120" w:type="dxa"/>
            <w:noWrap/>
            <w:vAlign w:val="bottom"/>
            <w:hideMark/>
          </w:tcPr>
          <w:p w14:paraId="267BE074" w14:textId="77777777" w:rsidR="007072F9" w:rsidRPr="007072F9" w:rsidRDefault="007072F9" w:rsidP="007072F9">
            <w:pPr>
              <w:spacing w:before="0" w:after="0" w:line="240" w:lineRule="auto"/>
              <w:rPr>
                <w:rFonts w:eastAsia="Times New Roman" w:cs="Open Sans"/>
                <w:color w:val="000000"/>
                <w:sz w:val="18"/>
                <w:szCs w:val="18"/>
                <w:lang w:eastAsia="fr-FR"/>
              </w:rPr>
            </w:pPr>
            <w:r w:rsidRPr="007072F9">
              <w:rPr>
                <w:rFonts w:eastAsia="Times New Roman" w:cs="Open Sans"/>
                <w:color w:val="000000"/>
                <w:sz w:val="18"/>
                <w:szCs w:val="18"/>
                <w:lang w:eastAsia="fr-FR"/>
              </w:rPr>
              <w:t>SEHE</w:t>
            </w:r>
          </w:p>
        </w:tc>
        <w:tc>
          <w:tcPr>
            <w:tcW w:w="1566" w:type="dxa"/>
            <w:noWrap/>
            <w:vAlign w:val="center"/>
            <w:hideMark/>
          </w:tcPr>
          <w:p w14:paraId="795E8C9E"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245</w:t>
            </w:r>
          </w:p>
        </w:tc>
        <w:tc>
          <w:tcPr>
            <w:tcW w:w="1940" w:type="dxa"/>
            <w:noWrap/>
            <w:vAlign w:val="center"/>
            <w:hideMark/>
          </w:tcPr>
          <w:p w14:paraId="3B45785E"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36</w:t>
            </w:r>
          </w:p>
        </w:tc>
        <w:tc>
          <w:tcPr>
            <w:tcW w:w="1900" w:type="dxa"/>
            <w:noWrap/>
            <w:vAlign w:val="center"/>
            <w:hideMark/>
          </w:tcPr>
          <w:p w14:paraId="7327886F"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59</w:t>
            </w:r>
          </w:p>
        </w:tc>
        <w:tc>
          <w:tcPr>
            <w:tcW w:w="1660" w:type="dxa"/>
            <w:noWrap/>
            <w:vAlign w:val="center"/>
            <w:hideMark/>
          </w:tcPr>
          <w:p w14:paraId="4EAA05CE"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55</w:t>
            </w:r>
          </w:p>
        </w:tc>
      </w:tr>
      <w:tr w:rsidR="007072F9" w:rsidRPr="007072F9" w14:paraId="41552444" w14:textId="77777777" w:rsidTr="007072F9">
        <w:trPr>
          <w:trHeight w:val="288"/>
        </w:trPr>
        <w:tc>
          <w:tcPr>
            <w:tcW w:w="2120" w:type="dxa"/>
            <w:noWrap/>
            <w:vAlign w:val="bottom"/>
            <w:hideMark/>
          </w:tcPr>
          <w:p w14:paraId="7D816CC1" w14:textId="77777777" w:rsidR="007072F9" w:rsidRPr="007072F9" w:rsidRDefault="007072F9" w:rsidP="007072F9">
            <w:pPr>
              <w:spacing w:before="0" w:after="0" w:line="240" w:lineRule="auto"/>
              <w:rPr>
                <w:rFonts w:eastAsia="Times New Roman" w:cs="Open Sans"/>
                <w:color w:val="000000"/>
                <w:sz w:val="18"/>
                <w:szCs w:val="18"/>
                <w:lang w:eastAsia="fr-FR"/>
              </w:rPr>
            </w:pPr>
            <w:r w:rsidRPr="007072F9">
              <w:rPr>
                <w:rFonts w:eastAsia="Times New Roman" w:cs="Open Sans"/>
                <w:color w:val="000000"/>
                <w:sz w:val="18"/>
                <w:szCs w:val="18"/>
                <w:lang w:eastAsia="fr-FR"/>
              </w:rPr>
              <w:t>MUYEBE</w:t>
            </w:r>
          </w:p>
        </w:tc>
        <w:tc>
          <w:tcPr>
            <w:tcW w:w="1566" w:type="dxa"/>
            <w:noWrap/>
            <w:vAlign w:val="center"/>
            <w:hideMark/>
          </w:tcPr>
          <w:p w14:paraId="69362B9C"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189</w:t>
            </w:r>
          </w:p>
        </w:tc>
        <w:tc>
          <w:tcPr>
            <w:tcW w:w="1940" w:type="dxa"/>
            <w:noWrap/>
            <w:vAlign w:val="center"/>
            <w:hideMark/>
          </w:tcPr>
          <w:p w14:paraId="5E33F77B"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158</w:t>
            </w:r>
          </w:p>
        </w:tc>
        <w:tc>
          <w:tcPr>
            <w:tcW w:w="1900" w:type="dxa"/>
            <w:noWrap/>
            <w:vAlign w:val="center"/>
            <w:hideMark/>
          </w:tcPr>
          <w:p w14:paraId="0AAA1489"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31</w:t>
            </w:r>
          </w:p>
        </w:tc>
        <w:tc>
          <w:tcPr>
            <w:tcW w:w="1660" w:type="dxa"/>
            <w:noWrap/>
            <w:vAlign w:val="center"/>
            <w:hideMark/>
          </w:tcPr>
          <w:p w14:paraId="39E27FFF"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1</w:t>
            </w:r>
          </w:p>
        </w:tc>
      </w:tr>
      <w:tr w:rsidR="007072F9" w:rsidRPr="007072F9" w14:paraId="2A7E7036" w14:textId="77777777" w:rsidTr="007072F9">
        <w:trPr>
          <w:trHeight w:val="288"/>
        </w:trPr>
        <w:tc>
          <w:tcPr>
            <w:tcW w:w="2120" w:type="dxa"/>
            <w:noWrap/>
            <w:vAlign w:val="bottom"/>
            <w:hideMark/>
          </w:tcPr>
          <w:p w14:paraId="7A5D1B3E" w14:textId="77777777" w:rsidR="007072F9" w:rsidRPr="007072F9" w:rsidRDefault="007072F9" w:rsidP="007072F9">
            <w:pPr>
              <w:spacing w:before="0" w:after="0" w:line="240" w:lineRule="auto"/>
              <w:rPr>
                <w:rFonts w:eastAsia="Times New Roman" w:cs="Open Sans"/>
                <w:color w:val="000000"/>
                <w:sz w:val="18"/>
                <w:szCs w:val="18"/>
                <w:lang w:eastAsia="fr-FR"/>
              </w:rPr>
            </w:pPr>
            <w:r w:rsidRPr="007072F9">
              <w:rPr>
                <w:rFonts w:eastAsia="Times New Roman" w:cs="Open Sans"/>
                <w:color w:val="000000"/>
                <w:sz w:val="18"/>
                <w:szCs w:val="18"/>
                <w:lang w:eastAsia="fr-FR"/>
              </w:rPr>
              <w:t>REMERA</w:t>
            </w:r>
          </w:p>
        </w:tc>
        <w:tc>
          <w:tcPr>
            <w:tcW w:w="1566" w:type="dxa"/>
            <w:noWrap/>
            <w:vAlign w:val="center"/>
            <w:hideMark/>
          </w:tcPr>
          <w:p w14:paraId="60EB11DB"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180</w:t>
            </w:r>
          </w:p>
        </w:tc>
        <w:tc>
          <w:tcPr>
            <w:tcW w:w="1940" w:type="dxa"/>
            <w:noWrap/>
            <w:vAlign w:val="center"/>
            <w:hideMark/>
          </w:tcPr>
          <w:p w14:paraId="3518F3F9"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70</w:t>
            </w:r>
          </w:p>
        </w:tc>
        <w:tc>
          <w:tcPr>
            <w:tcW w:w="1900" w:type="dxa"/>
            <w:noWrap/>
            <w:vAlign w:val="center"/>
            <w:hideMark/>
          </w:tcPr>
          <w:p w14:paraId="19546323"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110</w:t>
            </w:r>
          </w:p>
        </w:tc>
        <w:tc>
          <w:tcPr>
            <w:tcW w:w="1660" w:type="dxa"/>
            <w:noWrap/>
            <w:vAlign w:val="center"/>
            <w:hideMark/>
          </w:tcPr>
          <w:p w14:paraId="556BFAB9"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0</w:t>
            </w:r>
          </w:p>
        </w:tc>
      </w:tr>
      <w:tr w:rsidR="007072F9" w:rsidRPr="007072F9" w14:paraId="36947D6F" w14:textId="77777777" w:rsidTr="007072F9">
        <w:trPr>
          <w:trHeight w:val="288"/>
        </w:trPr>
        <w:tc>
          <w:tcPr>
            <w:tcW w:w="2120" w:type="dxa"/>
            <w:noWrap/>
            <w:vAlign w:val="bottom"/>
            <w:hideMark/>
          </w:tcPr>
          <w:p w14:paraId="4FA39BC3" w14:textId="77777777" w:rsidR="007072F9" w:rsidRPr="007072F9" w:rsidRDefault="007072F9" w:rsidP="007072F9">
            <w:pPr>
              <w:spacing w:before="0" w:after="0" w:line="240" w:lineRule="auto"/>
              <w:rPr>
                <w:rFonts w:eastAsia="Times New Roman" w:cs="Open Sans"/>
                <w:color w:val="000000"/>
                <w:sz w:val="18"/>
                <w:szCs w:val="18"/>
                <w:lang w:eastAsia="fr-FR"/>
              </w:rPr>
            </w:pPr>
            <w:r w:rsidRPr="007072F9">
              <w:rPr>
                <w:rFonts w:eastAsia="Times New Roman" w:cs="Open Sans"/>
                <w:color w:val="000000"/>
                <w:sz w:val="18"/>
                <w:szCs w:val="18"/>
                <w:lang w:eastAsia="fr-FR"/>
              </w:rPr>
              <w:t>RWEGURA I</w:t>
            </w:r>
          </w:p>
        </w:tc>
        <w:tc>
          <w:tcPr>
            <w:tcW w:w="1566" w:type="dxa"/>
            <w:noWrap/>
            <w:vAlign w:val="center"/>
            <w:hideMark/>
          </w:tcPr>
          <w:p w14:paraId="529B6101"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150</w:t>
            </w:r>
          </w:p>
        </w:tc>
        <w:tc>
          <w:tcPr>
            <w:tcW w:w="1940" w:type="dxa"/>
            <w:noWrap/>
            <w:vAlign w:val="center"/>
            <w:hideMark/>
          </w:tcPr>
          <w:p w14:paraId="2DE5430C"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0</w:t>
            </w:r>
          </w:p>
        </w:tc>
        <w:tc>
          <w:tcPr>
            <w:tcW w:w="1900" w:type="dxa"/>
            <w:noWrap/>
            <w:vAlign w:val="center"/>
            <w:hideMark/>
          </w:tcPr>
          <w:p w14:paraId="4F49FB79"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0</w:t>
            </w:r>
          </w:p>
        </w:tc>
        <w:tc>
          <w:tcPr>
            <w:tcW w:w="1660" w:type="dxa"/>
            <w:noWrap/>
            <w:vAlign w:val="center"/>
            <w:hideMark/>
          </w:tcPr>
          <w:p w14:paraId="6441422C"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p>
        </w:tc>
      </w:tr>
      <w:tr w:rsidR="007072F9" w:rsidRPr="007072F9" w14:paraId="3C986426" w14:textId="77777777" w:rsidTr="007072F9">
        <w:trPr>
          <w:trHeight w:val="288"/>
        </w:trPr>
        <w:tc>
          <w:tcPr>
            <w:tcW w:w="2120" w:type="dxa"/>
            <w:noWrap/>
            <w:vAlign w:val="bottom"/>
            <w:hideMark/>
          </w:tcPr>
          <w:p w14:paraId="799CD0EE" w14:textId="77777777" w:rsidR="007072F9" w:rsidRPr="007072F9" w:rsidRDefault="007072F9" w:rsidP="007072F9">
            <w:pPr>
              <w:spacing w:before="0" w:after="0" w:line="240" w:lineRule="auto"/>
              <w:rPr>
                <w:rFonts w:eastAsia="Times New Roman" w:cs="Open Sans"/>
                <w:color w:val="000000"/>
                <w:sz w:val="18"/>
                <w:szCs w:val="18"/>
                <w:lang w:eastAsia="fr-FR"/>
              </w:rPr>
            </w:pPr>
            <w:r w:rsidRPr="007072F9">
              <w:rPr>
                <w:rFonts w:eastAsia="Times New Roman" w:cs="Open Sans"/>
                <w:color w:val="000000"/>
                <w:sz w:val="18"/>
                <w:szCs w:val="18"/>
                <w:lang w:eastAsia="fr-FR"/>
              </w:rPr>
              <w:t>MWOKORA (Parc HQ)</w:t>
            </w:r>
          </w:p>
        </w:tc>
        <w:tc>
          <w:tcPr>
            <w:tcW w:w="1566" w:type="dxa"/>
            <w:noWrap/>
            <w:vAlign w:val="center"/>
            <w:hideMark/>
          </w:tcPr>
          <w:p w14:paraId="100830DA"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96</w:t>
            </w:r>
          </w:p>
        </w:tc>
        <w:tc>
          <w:tcPr>
            <w:tcW w:w="1940" w:type="dxa"/>
            <w:noWrap/>
            <w:vAlign w:val="center"/>
            <w:hideMark/>
          </w:tcPr>
          <w:p w14:paraId="2546CE60"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89</w:t>
            </w:r>
          </w:p>
        </w:tc>
        <w:tc>
          <w:tcPr>
            <w:tcW w:w="1900" w:type="dxa"/>
            <w:noWrap/>
            <w:vAlign w:val="center"/>
            <w:hideMark/>
          </w:tcPr>
          <w:p w14:paraId="2867EEAD"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7</w:t>
            </w:r>
          </w:p>
        </w:tc>
        <w:tc>
          <w:tcPr>
            <w:tcW w:w="1660" w:type="dxa"/>
            <w:noWrap/>
            <w:vAlign w:val="center"/>
            <w:hideMark/>
          </w:tcPr>
          <w:p w14:paraId="363C265C"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0</w:t>
            </w:r>
          </w:p>
        </w:tc>
      </w:tr>
      <w:tr w:rsidR="007072F9" w:rsidRPr="007072F9" w14:paraId="0B5C2CD6" w14:textId="77777777" w:rsidTr="007072F9">
        <w:trPr>
          <w:trHeight w:val="288"/>
        </w:trPr>
        <w:tc>
          <w:tcPr>
            <w:tcW w:w="2120" w:type="dxa"/>
            <w:noWrap/>
            <w:vAlign w:val="bottom"/>
            <w:hideMark/>
          </w:tcPr>
          <w:p w14:paraId="3D46DFA5" w14:textId="77777777" w:rsidR="007072F9" w:rsidRPr="007072F9" w:rsidRDefault="007072F9" w:rsidP="007072F9">
            <w:pPr>
              <w:spacing w:before="0" w:after="0" w:line="240" w:lineRule="auto"/>
              <w:rPr>
                <w:rFonts w:eastAsia="Times New Roman" w:cs="Open Sans"/>
                <w:color w:val="000000"/>
                <w:sz w:val="18"/>
                <w:szCs w:val="18"/>
                <w:lang w:eastAsia="fr-FR"/>
              </w:rPr>
            </w:pPr>
            <w:r w:rsidRPr="007072F9">
              <w:rPr>
                <w:rFonts w:eastAsia="Times New Roman" w:cs="Open Sans"/>
                <w:color w:val="000000"/>
                <w:sz w:val="18"/>
                <w:szCs w:val="18"/>
                <w:lang w:eastAsia="fr-FR"/>
              </w:rPr>
              <w:t>MPFUNDA</w:t>
            </w:r>
          </w:p>
        </w:tc>
        <w:tc>
          <w:tcPr>
            <w:tcW w:w="1566" w:type="dxa"/>
            <w:noWrap/>
            <w:vAlign w:val="center"/>
            <w:hideMark/>
          </w:tcPr>
          <w:p w14:paraId="62FE8E9D"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76</w:t>
            </w:r>
          </w:p>
        </w:tc>
        <w:tc>
          <w:tcPr>
            <w:tcW w:w="1940" w:type="dxa"/>
            <w:noWrap/>
            <w:vAlign w:val="center"/>
            <w:hideMark/>
          </w:tcPr>
          <w:p w14:paraId="5AB1F66C"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25</w:t>
            </w:r>
          </w:p>
        </w:tc>
        <w:tc>
          <w:tcPr>
            <w:tcW w:w="1900" w:type="dxa"/>
            <w:noWrap/>
            <w:vAlign w:val="center"/>
            <w:hideMark/>
          </w:tcPr>
          <w:p w14:paraId="784781D2"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51</w:t>
            </w:r>
          </w:p>
        </w:tc>
        <w:tc>
          <w:tcPr>
            <w:tcW w:w="1660" w:type="dxa"/>
            <w:noWrap/>
            <w:vAlign w:val="center"/>
            <w:hideMark/>
          </w:tcPr>
          <w:p w14:paraId="6A4C4767"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10</w:t>
            </w:r>
          </w:p>
        </w:tc>
      </w:tr>
      <w:tr w:rsidR="007072F9" w:rsidRPr="007072F9" w14:paraId="6926EC5B" w14:textId="77777777" w:rsidTr="007072F9">
        <w:trPr>
          <w:trHeight w:val="288"/>
        </w:trPr>
        <w:tc>
          <w:tcPr>
            <w:tcW w:w="2120" w:type="dxa"/>
            <w:noWrap/>
            <w:vAlign w:val="bottom"/>
            <w:hideMark/>
          </w:tcPr>
          <w:p w14:paraId="6A30CF3A" w14:textId="77777777" w:rsidR="007072F9" w:rsidRPr="007072F9" w:rsidRDefault="007072F9" w:rsidP="007072F9">
            <w:pPr>
              <w:spacing w:before="0" w:after="0" w:line="240" w:lineRule="auto"/>
              <w:rPr>
                <w:rFonts w:eastAsia="Times New Roman" w:cs="Open Sans"/>
                <w:color w:val="000000"/>
                <w:sz w:val="18"/>
                <w:szCs w:val="18"/>
                <w:lang w:eastAsia="fr-FR"/>
              </w:rPr>
            </w:pPr>
            <w:r w:rsidRPr="007072F9">
              <w:rPr>
                <w:rFonts w:eastAsia="Times New Roman" w:cs="Open Sans"/>
                <w:color w:val="000000"/>
                <w:sz w:val="18"/>
                <w:szCs w:val="18"/>
                <w:lang w:eastAsia="fr-FR"/>
              </w:rPr>
              <w:t>TONDERO</w:t>
            </w:r>
          </w:p>
        </w:tc>
        <w:tc>
          <w:tcPr>
            <w:tcW w:w="1566" w:type="dxa"/>
            <w:noWrap/>
            <w:vAlign w:val="center"/>
            <w:hideMark/>
          </w:tcPr>
          <w:p w14:paraId="6D8ADAD4"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54</w:t>
            </w:r>
          </w:p>
        </w:tc>
        <w:tc>
          <w:tcPr>
            <w:tcW w:w="1940" w:type="dxa"/>
            <w:noWrap/>
            <w:vAlign w:val="center"/>
            <w:hideMark/>
          </w:tcPr>
          <w:p w14:paraId="02F9F367"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45</w:t>
            </w:r>
          </w:p>
        </w:tc>
        <w:tc>
          <w:tcPr>
            <w:tcW w:w="1900" w:type="dxa"/>
            <w:noWrap/>
            <w:vAlign w:val="center"/>
            <w:hideMark/>
          </w:tcPr>
          <w:p w14:paraId="49FB579C"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9</w:t>
            </w:r>
          </w:p>
        </w:tc>
        <w:tc>
          <w:tcPr>
            <w:tcW w:w="1660" w:type="dxa"/>
            <w:noWrap/>
            <w:vAlign w:val="center"/>
            <w:hideMark/>
          </w:tcPr>
          <w:p w14:paraId="4A5CE76C"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0</w:t>
            </w:r>
          </w:p>
        </w:tc>
      </w:tr>
      <w:tr w:rsidR="007072F9" w:rsidRPr="007072F9" w14:paraId="0375FE32" w14:textId="77777777" w:rsidTr="007072F9">
        <w:trPr>
          <w:trHeight w:val="288"/>
        </w:trPr>
        <w:tc>
          <w:tcPr>
            <w:tcW w:w="2120" w:type="dxa"/>
            <w:noWrap/>
            <w:vAlign w:val="bottom"/>
            <w:hideMark/>
          </w:tcPr>
          <w:p w14:paraId="15463BE6" w14:textId="77777777" w:rsidR="007072F9" w:rsidRPr="007072F9" w:rsidRDefault="007072F9" w:rsidP="007072F9">
            <w:pPr>
              <w:spacing w:before="0" w:after="0" w:line="240" w:lineRule="auto"/>
              <w:rPr>
                <w:rFonts w:eastAsia="Times New Roman" w:cs="Open Sans"/>
                <w:color w:val="000000"/>
                <w:sz w:val="18"/>
                <w:szCs w:val="18"/>
                <w:lang w:eastAsia="fr-FR"/>
              </w:rPr>
            </w:pPr>
            <w:r w:rsidRPr="007072F9">
              <w:rPr>
                <w:rFonts w:eastAsia="Times New Roman" w:cs="Open Sans"/>
                <w:color w:val="000000"/>
                <w:sz w:val="18"/>
                <w:szCs w:val="18"/>
                <w:lang w:eastAsia="fr-FR"/>
              </w:rPr>
              <w:t>KIBATI</w:t>
            </w:r>
          </w:p>
        </w:tc>
        <w:tc>
          <w:tcPr>
            <w:tcW w:w="1566" w:type="dxa"/>
            <w:noWrap/>
            <w:vAlign w:val="center"/>
            <w:hideMark/>
          </w:tcPr>
          <w:p w14:paraId="42749C0E"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40</w:t>
            </w:r>
          </w:p>
        </w:tc>
        <w:tc>
          <w:tcPr>
            <w:tcW w:w="1940" w:type="dxa"/>
            <w:noWrap/>
            <w:vAlign w:val="center"/>
            <w:hideMark/>
          </w:tcPr>
          <w:p w14:paraId="0E939317"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17</w:t>
            </w:r>
          </w:p>
        </w:tc>
        <w:tc>
          <w:tcPr>
            <w:tcW w:w="1900" w:type="dxa"/>
            <w:noWrap/>
            <w:vAlign w:val="center"/>
            <w:hideMark/>
          </w:tcPr>
          <w:p w14:paraId="4E7E9034"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23</w:t>
            </w:r>
          </w:p>
        </w:tc>
        <w:tc>
          <w:tcPr>
            <w:tcW w:w="1660" w:type="dxa"/>
            <w:noWrap/>
            <w:vAlign w:val="center"/>
            <w:hideMark/>
          </w:tcPr>
          <w:p w14:paraId="686EF33B"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12</w:t>
            </w:r>
          </w:p>
        </w:tc>
      </w:tr>
      <w:tr w:rsidR="007072F9" w:rsidRPr="007072F9" w14:paraId="1BDC3307" w14:textId="77777777" w:rsidTr="007072F9">
        <w:trPr>
          <w:trHeight w:val="288"/>
        </w:trPr>
        <w:tc>
          <w:tcPr>
            <w:tcW w:w="2120" w:type="dxa"/>
            <w:noWrap/>
            <w:vAlign w:val="bottom"/>
            <w:hideMark/>
          </w:tcPr>
          <w:p w14:paraId="60A57CE2" w14:textId="77777777" w:rsidR="007072F9" w:rsidRPr="007072F9" w:rsidRDefault="007072F9" w:rsidP="007072F9">
            <w:pPr>
              <w:spacing w:before="0" w:after="0" w:line="240" w:lineRule="auto"/>
              <w:rPr>
                <w:rFonts w:eastAsia="Times New Roman" w:cs="Open Sans"/>
                <w:color w:val="000000"/>
                <w:sz w:val="18"/>
                <w:szCs w:val="18"/>
                <w:lang w:eastAsia="fr-FR"/>
              </w:rPr>
            </w:pPr>
            <w:r w:rsidRPr="007072F9">
              <w:rPr>
                <w:rFonts w:eastAsia="Times New Roman" w:cs="Open Sans"/>
                <w:color w:val="000000"/>
                <w:sz w:val="18"/>
                <w:szCs w:val="18"/>
                <w:lang w:eastAsia="fr-FR"/>
              </w:rPr>
              <w:t>NYAGUMBA</w:t>
            </w:r>
          </w:p>
        </w:tc>
        <w:tc>
          <w:tcPr>
            <w:tcW w:w="1566" w:type="dxa"/>
            <w:noWrap/>
            <w:vAlign w:val="center"/>
            <w:hideMark/>
          </w:tcPr>
          <w:p w14:paraId="47B4D732"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33</w:t>
            </w:r>
          </w:p>
        </w:tc>
        <w:tc>
          <w:tcPr>
            <w:tcW w:w="1940" w:type="dxa"/>
            <w:noWrap/>
            <w:vAlign w:val="center"/>
            <w:hideMark/>
          </w:tcPr>
          <w:p w14:paraId="7FB084FB"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18</w:t>
            </w:r>
          </w:p>
        </w:tc>
        <w:tc>
          <w:tcPr>
            <w:tcW w:w="1900" w:type="dxa"/>
            <w:noWrap/>
            <w:vAlign w:val="center"/>
            <w:hideMark/>
          </w:tcPr>
          <w:p w14:paraId="31EAA000"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15</w:t>
            </w:r>
          </w:p>
        </w:tc>
        <w:tc>
          <w:tcPr>
            <w:tcW w:w="1660" w:type="dxa"/>
            <w:noWrap/>
            <w:vAlign w:val="center"/>
            <w:hideMark/>
          </w:tcPr>
          <w:p w14:paraId="1108DB92"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11</w:t>
            </w:r>
          </w:p>
        </w:tc>
      </w:tr>
      <w:tr w:rsidR="007072F9" w:rsidRPr="007072F9" w14:paraId="58D269DE" w14:textId="77777777" w:rsidTr="007072F9">
        <w:trPr>
          <w:trHeight w:val="288"/>
        </w:trPr>
        <w:tc>
          <w:tcPr>
            <w:tcW w:w="2120" w:type="dxa"/>
            <w:noWrap/>
            <w:vAlign w:val="bottom"/>
            <w:hideMark/>
          </w:tcPr>
          <w:p w14:paraId="699E55DA" w14:textId="77777777" w:rsidR="007072F9" w:rsidRPr="007072F9" w:rsidRDefault="007072F9" w:rsidP="007072F9">
            <w:pPr>
              <w:spacing w:before="0" w:after="0" w:line="240" w:lineRule="auto"/>
              <w:rPr>
                <w:rFonts w:eastAsia="Times New Roman" w:cs="Open Sans"/>
                <w:color w:val="000000"/>
                <w:sz w:val="18"/>
                <w:szCs w:val="18"/>
                <w:lang w:eastAsia="fr-FR"/>
              </w:rPr>
            </w:pPr>
            <w:r w:rsidRPr="007072F9">
              <w:rPr>
                <w:rFonts w:eastAsia="Times New Roman" w:cs="Open Sans"/>
                <w:color w:val="000000"/>
                <w:sz w:val="18"/>
                <w:szCs w:val="18"/>
                <w:lang w:eastAsia="fr-FR"/>
              </w:rPr>
              <w:t>NYAVE</w:t>
            </w:r>
          </w:p>
        </w:tc>
        <w:tc>
          <w:tcPr>
            <w:tcW w:w="1566" w:type="dxa"/>
            <w:noWrap/>
            <w:vAlign w:val="center"/>
            <w:hideMark/>
          </w:tcPr>
          <w:p w14:paraId="7A5082E1"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30</w:t>
            </w:r>
          </w:p>
        </w:tc>
        <w:tc>
          <w:tcPr>
            <w:tcW w:w="1940" w:type="dxa"/>
            <w:noWrap/>
            <w:vAlign w:val="center"/>
            <w:hideMark/>
          </w:tcPr>
          <w:p w14:paraId="7DB9E726"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22</w:t>
            </w:r>
          </w:p>
        </w:tc>
        <w:tc>
          <w:tcPr>
            <w:tcW w:w="1900" w:type="dxa"/>
            <w:noWrap/>
            <w:vAlign w:val="center"/>
            <w:hideMark/>
          </w:tcPr>
          <w:p w14:paraId="5FE58EEB"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8</w:t>
            </w:r>
          </w:p>
        </w:tc>
        <w:tc>
          <w:tcPr>
            <w:tcW w:w="1660" w:type="dxa"/>
            <w:noWrap/>
            <w:vAlign w:val="center"/>
            <w:hideMark/>
          </w:tcPr>
          <w:p w14:paraId="04A8BFCA"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0</w:t>
            </w:r>
          </w:p>
        </w:tc>
      </w:tr>
      <w:tr w:rsidR="007072F9" w:rsidRPr="007072F9" w14:paraId="34751D9D" w14:textId="77777777" w:rsidTr="007072F9">
        <w:trPr>
          <w:trHeight w:val="288"/>
        </w:trPr>
        <w:tc>
          <w:tcPr>
            <w:tcW w:w="2120" w:type="dxa"/>
            <w:noWrap/>
            <w:vAlign w:val="bottom"/>
            <w:hideMark/>
          </w:tcPr>
          <w:p w14:paraId="1B34606A" w14:textId="77777777" w:rsidR="007072F9" w:rsidRPr="007072F9" w:rsidRDefault="007072F9" w:rsidP="007072F9">
            <w:pPr>
              <w:spacing w:before="0" w:after="0" w:line="240" w:lineRule="auto"/>
              <w:rPr>
                <w:rFonts w:eastAsia="Times New Roman" w:cs="Open Sans"/>
                <w:color w:val="000000"/>
                <w:sz w:val="18"/>
                <w:szCs w:val="18"/>
                <w:lang w:eastAsia="fr-FR"/>
              </w:rPr>
            </w:pPr>
            <w:r w:rsidRPr="007072F9">
              <w:rPr>
                <w:rFonts w:eastAsia="Times New Roman" w:cs="Open Sans"/>
                <w:color w:val="000000"/>
                <w:sz w:val="18"/>
                <w:szCs w:val="18"/>
                <w:lang w:eastAsia="fr-FR"/>
              </w:rPr>
              <w:t>NYAKIBARI</w:t>
            </w:r>
          </w:p>
        </w:tc>
        <w:tc>
          <w:tcPr>
            <w:tcW w:w="1566" w:type="dxa"/>
            <w:noWrap/>
            <w:vAlign w:val="center"/>
            <w:hideMark/>
          </w:tcPr>
          <w:p w14:paraId="4363722A"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28</w:t>
            </w:r>
          </w:p>
        </w:tc>
        <w:tc>
          <w:tcPr>
            <w:tcW w:w="1940" w:type="dxa"/>
            <w:noWrap/>
            <w:vAlign w:val="center"/>
            <w:hideMark/>
          </w:tcPr>
          <w:p w14:paraId="591F7CD0"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10</w:t>
            </w:r>
          </w:p>
        </w:tc>
        <w:tc>
          <w:tcPr>
            <w:tcW w:w="1900" w:type="dxa"/>
            <w:noWrap/>
            <w:vAlign w:val="center"/>
            <w:hideMark/>
          </w:tcPr>
          <w:p w14:paraId="28042350"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18</w:t>
            </w:r>
          </w:p>
        </w:tc>
        <w:tc>
          <w:tcPr>
            <w:tcW w:w="1660" w:type="dxa"/>
            <w:noWrap/>
            <w:vAlign w:val="center"/>
            <w:hideMark/>
          </w:tcPr>
          <w:p w14:paraId="41CB6F2E"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0</w:t>
            </w:r>
          </w:p>
        </w:tc>
      </w:tr>
      <w:tr w:rsidR="007072F9" w:rsidRPr="007072F9" w14:paraId="4BD227E2" w14:textId="77777777" w:rsidTr="007072F9">
        <w:trPr>
          <w:trHeight w:val="288"/>
        </w:trPr>
        <w:tc>
          <w:tcPr>
            <w:tcW w:w="2120" w:type="dxa"/>
            <w:noWrap/>
            <w:vAlign w:val="bottom"/>
            <w:hideMark/>
          </w:tcPr>
          <w:p w14:paraId="0BFDEB14" w14:textId="77777777" w:rsidR="007072F9" w:rsidRPr="007072F9" w:rsidRDefault="007072F9" w:rsidP="007072F9">
            <w:pPr>
              <w:spacing w:before="0" w:after="0" w:line="240" w:lineRule="auto"/>
              <w:rPr>
                <w:rFonts w:eastAsia="Times New Roman" w:cs="Open Sans"/>
                <w:color w:val="000000"/>
                <w:sz w:val="18"/>
                <w:szCs w:val="18"/>
                <w:lang w:eastAsia="fr-FR"/>
              </w:rPr>
            </w:pPr>
            <w:r w:rsidRPr="007072F9">
              <w:rPr>
                <w:rFonts w:eastAsia="Times New Roman" w:cs="Open Sans"/>
                <w:color w:val="000000"/>
                <w:sz w:val="18"/>
                <w:szCs w:val="18"/>
                <w:lang w:eastAsia="fr-FR"/>
              </w:rPr>
              <w:t>YANZA</w:t>
            </w:r>
          </w:p>
        </w:tc>
        <w:tc>
          <w:tcPr>
            <w:tcW w:w="1566" w:type="dxa"/>
            <w:noWrap/>
            <w:vAlign w:val="center"/>
            <w:hideMark/>
          </w:tcPr>
          <w:p w14:paraId="273005FB"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27</w:t>
            </w:r>
          </w:p>
        </w:tc>
        <w:tc>
          <w:tcPr>
            <w:tcW w:w="1940" w:type="dxa"/>
            <w:noWrap/>
            <w:vAlign w:val="center"/>
            <w:hideMark/>
          </w:tcPr>
          <w:p w14:paraId="78622BFF"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25</w:t>
            </w:r>
          </w:p>
        </w:tc>
        <w:tc>
          <w:tcPr>
            <w:tcW w:w="1900" w:type="dxa"/>
            <w:noWrap/>
            <w:vAlign w:val="center"/>
            <w:hideMark/>
          </w:tcPr>
          <w:p w14:paraId="693ED038"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2</w:t>
            </w:r>
          </w:p>
        </w:tc>
        <w:tc>
          <w:tcPr>
            <w:tcW w:w="1660" w:type="dxa"/>
            <w:noWrap/>
            <w:vAlign w:val="center"/>
            <w:hideMark/>
          </w:tcPr>
          <w:p w14:paraId="29C6D47A"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0</w:t>
            </w:r>
          </w:p>
        </w:tc>
      </w:tr>
      <w:tr w:rsidR="007072F9" w:rsidRPr="007072F9" w14:paraId="608455CD" w14:textId="77777777" w:rsidTr="007072F9">
        <w:trPr>
          <w:trHeight w:val="288"/>
        </w:trPr>
        <w:tc>
          <w:tcPr>
            <w:tcW w:w="2120" w:type="dxa"/>
            <w:noWrap/>
            <w:vAlign w:val="bottom"/>
            <w:hideMark/>
          </w:tcPr>
          <w:p w14:paraId="5850E197" w14:textId="77777777" w:rsidR="007072F9" w:rsidRPr="007072F9" w:rsidRDefault="007072F9" w:rsidP="007072F9">
            <w:pPr>
              <w:spacing w:before="0" w:after="0" w:line="240" w:lineRule="auto"/>
              <w:rPr>
                <w:rFonts w:eastAsia="Times New Roman" w:cs="Open Sans"/>
                <w:color w:val="000000"/>
                <w:sz w:val="18"/>
                <w:szCs w:val="18"/>
                <w:lang w:eastAsia="fr-FR"/>
              </w:rPr>
            </w:pPr>
            <w:r w:rsidRPr="007072F9">
              <w:rPr>
                <w:rFonts w:eastAsia="Times New Roman" w:cs="Open Sans"/>
                <w:color w:val="000000"/>
                <w:sz w:val="18"/>
                <w:szCs w:val="18"/>
                <w:lang w:eastAsia="fr-FR"/>
              </w:rPr>
              <w:t>NYAMISAGARA</w:t>
            </w:r>
          </w:p>
        </w:tc>
        <w:tc>
          <w:tcPr>
            <w:tcW w:w="1566" w:type="dxa"/>
            <w:noWrap/>
            <w:vAlign w:val="center"/>
            <w:hideMark/>
          </w:tcPr>
          <w:p w14:paraId="31EB4B8D"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20</w:t>
            </w:r>
          </w:p>
        </w:tc>
        <w:tc>
          <w:tcPr>
            <w:tcW w:w="1940" w:type="dxa"/>
            <w:noWrap/>
            <w:vAlign w:val="center"/>
            <w:hideMark/>
          </w:tcPr>
          <w:p w14:paraId="2ABE3711"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15</w:t>
            </w:r>
          </w:p>
        </w:tc>
        <w:tc>
          <w:tcPr>
            <w:tcW w:w="1900" w:type="dxa"/>
            <w:noWrap/>
            <w:vAlign w:val="center"/>
            <w:hideMark/>
          </w:tcPr>
          <w:p w14:paraId="5E534EA8"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5</w:t>
            </w:r>
          </w:p>
        </w:tc>
        <w:tc>
          <w:tcPr>
            <w:tcW w:w="1660" w:type="dxa"/>
            <w:noWrap/>
            <w:vAlign w:val="center"/>
            <w:hideMark/>
          </w:tcPr>
          <w:p w14:paraId="3CFD67CF"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0</w:t>
            </w:r>
          </w:p>
        </w:tc>
      </w:tr>
      <w:tr w:rsidR="007072F9" w:rsidRPr="007072F9" w14:paraId="7FD23B8B" w14:textId="77777777" w:rsidTr="007072F9">
        <w:trPr>
          <w:trHeight w:val="288"/>
        </w:trPr>
        <w:tc>
          <w:tcPr>
            <w:tcW w:w="2120" w:type="dxa"/>
            <w:noWrap/>
            <w:vAlign w:val="bottom"/>
            <w:hideMark/>
          </w:tcPr>
          <w:p w14:paraId="4FDC7F00" w14:textId="77777777" w:rsidR="007072F9" w:rsidRPr="007072F9" w:rsidRDefault="007072F9" w:rsidP="007072F9">
            <w:pPr>
              <w:spacing w:before="0" w:after="0" w:line="240" w:lineRule="auto"/>
              <w:rPr>
                <w:rFonts w:eastAsia="Times New Roman" w:cs="Open Sans"/>
                <w:color w:val="000000"/>
                <w:sz w:val="18"/>
                <w:szCs w:val="18"/>
                <w:lang w:eastAsia="fr-FR"/>
              </w:rPr>
            </w:pPr>
            <w:r w:rsidRPr="007072F9">
              <w:rPr>
                <w:rFonts w:eastAsia="Times New Roman" w:cs="Open Sans"/>
                <w:color w:val="000000"/>
                <w:sz w:val="18"/>
                <w:szCs w:val="18"/>
                <w:lang w:eastAsia="fr-FR"/>
              </w:rPr>
              <w:t>GISHUBI</w:t>
            </w:r>
          </w:p>
        </w:tc>
        <w:tc>
          <w:tcPr>
            <w:tcW w:w="1566" w:type="dxa"/>
            <w:noWrap/>
            <w:vAlign w:val="center"/>
            <w:hideMark/>
          </w:tcPr>
          <w:p w14:paraId="5901018F"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15</w:t>
            </w:r>
          </w:p>
        </w:tc>
        <w:tc>
          <w:tcPr>
            <w:tcW w:w="1940" w:type="dxa"/>
            <w:noWrap/>
            <w:vAlign w:val="center"/>
            <w:hideMark/>
          </w:tcPr>
          <w:p w14:paraId="16A5ADA2"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7</w:t>
            </w:r>
          </w:p>
        </w:tc>
        <w:tc>
          <w:tcPr>
            <w:tcW w:w="1900" w:type="dxa"/>
            <w:noWrap/>
            <w:vAlign w:val="center"/>
            <w:hideMark/>
          </w:tcPr>
          <w:p w14:paraId="6D02DBCB"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8</w:t>
            </w:r>
          </w:p>
        </w:tc>
        <w:tc>
          <w:tcPr>
            <w:tcW w:w="1660" w:type="dxa"/>
            <w:noWrap/>
            <w:vAlign w:val="center"/>
            <w:hideMark/>
          </w:tcPr>
          <w:p w14:paraId="21B6E093"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0</w:t>
            </w:r>
          </w:p>
        </w:tc>
      </w:tr>
      <w:tr w:rsidR="007072F9" w:rsidRPr="007072F9" w14:paraId="4CAC6A4D" w14:textId="77777777" w:rsidTr="007072F9">
        <w:trPr>
          <w:trHeight w:val="288"/>
        </w:trPr>
        <w:tc>
          <w:tcPr>
            <w:tcW w:w="2120" w:type="dxa"/>
            <w:noWrap/>
            <w:vAlign w:val="bottom"/>
            <w:hideMark/>
          </w:tcPr>
          <w:p w14:paraId="3F434306" w14:textId="77777777" w:rsidR="007072F9" w:rsidRPr="007072F9" w:rsidRDefault="007072F9" w:rsidP="007072F9">
            <w:pPr>
              <w:spacing w:before="0" w:after="0" w:line="240" w:lineRule="auto"/>
              <w:rPr>
                <w:rFonts w:eastAsia="Times New Roman" w:cs="Open Sans"/>
                <w:color w:val="000000"/>
                <w:sz w:val="18"/>
                <w:szCs w:val="18"/>
                <w:lang w:eastAsia="fr-FR"/>
              </w:rPr>
            </w:pPr>
            <w:r w:rsidRPr="007072F9">
              <w:rPr>
                <w:rFonts w:eastAsia="Times New Roman" w:cs="Open Sans"/>
                <w:color w:val="000000"/>
                <w:sz w:val="18"/>
                <w:szCs w:val="18"/>
                <w:lang w:eastAsia="fr-FR"/>
              </w:rPr>
              <w:t>MUTANA</w:t>
            </w:r>
          </w:p>
        </w:tc>
        <w:tc>
          <w:tcPr>
            <w:tcW w:w="1566" w:type="dxa"/>
            <w:noWrap/>
            <w:vAlign w:val="center"/>
            <w:hideMark/>
          </w:tcPr>
          <w:p w14:paraId="126F1D04"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14</w:t>
            </w:r>
          </w:p>
        </w:tc>
        <w:tc>
          <w:tcPr>
            <w:tcW w:w="1940" w:type="dxa"/>
            <w:noWrap/>
            <w:vAlign w:val="center"/>
            <w:hideMark/>
          </w:tcPr>
          <w:p w14:paraId="4BB8E224"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7</w:t>
            </w:r>
          </w:p>
        </w:tc>
        <w:tc>
          <w:tcPr>
            <w:tcW w:w="1900" w:type="dxa"/>
            <w:noWrap/>
            <w:vAlign w:val="center"/>
            <w:hideMark/>
          </w:tcPr>
          <w:p w14:paraId="0EC8680E"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7</w:t>
            </w:r>
          </w:p>
        </w:tc>
        <w:tc>
          <w:tcPr>
            <w:tcW w:w="1660" w:type="dxa"/>
            <w:noWrap/>
            <w:vAlign w:val="center"/>
            <w:hideMark/>
          </w:tcPr>
          <w:p w14:paraId="394CA6EB"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4</w:t>
            </w:r>
          </w:p>
        </w:tc>
      </w:tr>
      <w:tr w:rsidR="007072F9" w:rsidRPr="007072F9" w14:paraId="5D114B87" w14:textId="77777777" w:rsidTr="007072F9">
        <w:trPr>
          <w:trHeight w:val="288"/>
        </w:trPr>
        <w:tc>
          <w:tcPr>
            <w:tcW w:w="2120" w:type="dxa"/>
            <w:noWrap/>
            <w:vAlign w:val="bottom"/>
            <w:hideMark/>
          </w:tcPr>
          <w:p w14:paraId="0D76D927" w14:textId="77777777" w:rsidR="007072F9" w:rsidRPr="007072F9" w:rsidRDefault="007072F9" w:rsidP="007072F9">
            <w:pPr>
              <w:spacing w:before="0" w:after="0" w:line="240" w:lineRule="auto"/>
              <w:rPr>
                <w:rFonts w:eastAsia="Times New Roman" w:cs="Open Sans"/>
                <w:color w:val="000000"/>
                <w:sz w:val="18"/>
                <w:szCs w:val="18"/>
                <w:lang w:eastAsia="fr-FR"/>
              </w:rPr>
            </w:pPr>
            <w:r w:rsidRPr="007072F9">
              <w:rPr>
                <w:rFonts w:eastAsia="Times New Roman" w:cs="Open Sans"/>
                <w:color w:val="000000"/>
                <w:sz w:val="18"/>
                <w:szCs w:val="18"/>
                <w:lang w:eastAsia="fr-FR"/>
              </w:rPr>
              <w:t>RUVUMU</w:t>
            </w:r>
          </w:p>
        </w:tc>
        <w:tc>
          <w:tcPr>
            <w:tcW w:w="1566" w:type="dxa"/>
            <w:noWrap/>
            <w:vAlign w:val="center"/>
            <w:hideMark/>
          </w:tcPr>
          <w:p w14:paraId="23756418"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14</w:t>
            </w:r>
          </w:p>
        </w:tc>
        <w:tc>
          <w:tcPr>
            <w:tcW w:w="1940" w:type="dxa"/>
            <w:noWrap/>
            <w:vAlign w:val="center"/>
            <w:hideMark/>
          </w:tcPr>
          <w:p w14:paraId="698DA5A9"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7</w:t>
            </w:r>
          </w:p>
        </w:tc>
        <w:tc>
          <w:tcPr>
            <w:tcW w:w="1900" w:type="dxa"/>
            <w:noWrap/>
            <w:vAlign w:val="center"/>
            <w:hideMark/>
          </w:tcPr>
          <w:p w14:paraId="7A194664"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7</w:t>
            </w:r>
          </w:p>
        </w:tc>
        <w:tc>
          <w:tcPr>
            <w:tcW w:w="1660" w:type="dxa"/>
            <w:noWrap/>
            <w:vAlign w:val="center"/>
            <w:hideMark/>
          </w:tcPr>
          <w:p w14:paraId="36AE7027"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0</w:t>
            </w:r>
          </w:p>
        </w:tc>
      </w:tr>
      <w:tr w:rsidR="007072F9" w:rsidRPr="007072F9" w14:paraId="2C2C5C4F" w14:textId="77777777" w:rsidTr="007072F9">
        <w:trPr>
          <w:trHeight w:val="288"/>
        </w:trPr>
        <w:tc>
          <w:tcPr>
            <w:tcW w:w="2120" w:type="dxa"/>
            <w:noWrap/>
            <w:vAlign w:val="bottom"/>
            <w:hideMark/>
          </w:tcPr>
          <w:p w14:paraId="7B8B5F31" w14:textId="77777777" w:rsidR="007072F9" w:rsidRPr="007072F9" w:rsidRDefault="007072F9" w:rsidP="007072F9">
            <w:pPr>
              <w:spacing w:before="0" w:after="0" w:line="240" w:lineRule="auto"/>
              <w:rPr>
                <w:rFonts w:eastAsia="Times New Roman" w:cs="Open Sans"/>
                <w:color w:val="000000"/>
                <w:sz w:val="18"/>
                <w:szCs w:val="18"/>
                <w:lang w:eastAsia="fr-FR"/>
              </w:rPr>
            </w:pPr>
            <w:r w:rsidRPr="007072F9">
              <w:rPr>
                <w:rFonts w:eastAsia="Times New Roman" w:cs="Open Sans"/>
                <w:color w:val="000000"/>
                <w:sz w:val="18"/>
                <w:szCs w:val="18"/>
                <w:lang w:eastAsia="fr-FR"/>
              </w:rPr>
              <w:t>RUHARO</w:t>
            </w:r>
          </w:p>
        </w:tc>
        <w:tc>
          <w:tcPr>
            <w:tcW w:w="1566" w:type="dxa"/>
            <w:noWrap/>
            <w:vAlign w:val="center"/>
            <w:hideMark/>
          </w:tcPr>
          <w:p w14:paraId="2CCFE33F"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13</w:t>
            </w:r>
          </w:p>
        </w:tc>
        <w:tc>
          <w:tcPr>
            <w:tcW w:w="1940" w:type="dxa"/>
            <w:noWrap/>
            <w:vAlign w:val="center"/>
            <w:hideMark/>
          </w:tcPr>
          <w:p w14:paraId="3E4DB8E2"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6</w:t>
            </w:r>
          </w:p>
        </w:tc>
        <w:tc>
          <w:tcPr>
            <w:tcW w:w="1900" w:type="dxa"/>
            <w:noWrap/>
            <w:vAlign w:val="center"/>
            <w:hideMark/>
          </w:tcPr>
          <w:p w14:paraId="46BA9D81"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7</w:t>
            </w:r>
          </w:p>
        </w:tc>
        <w:tc>
          <w:tcPr>
            <w:tcW w:w="1660" w:type="dxa"/>
            <w:noWrap/>
            <w:vAlign w:val="center"/>
            <w:hideMark/>
          </w:tcPr>
          <w:p w14:paraId="00392AD2" w14:textId="77777777" w:rsidR="007072F9" w:rsidRPr="007072F9" w:rsidRDefault="007072F9" w:rsidP="007072F9">
            <w:pPr>
              <w:spacing w:before="0" w:after="0" w:line="240" w:lineRule="auto"/>
              <w:jc w:val="center"/>
              <w:rPr>
                <w:rFonts w:eastAsia="Times New Roman" w:cs="Open Sans"/>
                <w:color w:val="000000"/>
                <w:sz w:val="18"/>
                <w:szCs w:val="18"/>
                <w:lang w:eastAsia="fr-FR"/>
              </w:rPr>
            </w:pPr>
            <w:r w:rsidRPr="007072F9">
              <w:rPr>
                <w:rFonts w:eastAsia="Times New Roman" w:cs="Open Sans"/>
                <w:color w:val="000000"/>
                <w:sz w:val="18"/>
                <w:szCs w:val="18"/>
                <w:lang w:eastAsia="fr-FR"/>
              </w:rPr>
              <w:t>0</w:t>
            </w:r>
          </w:p>
        </w:tc>
      </w:tr>
      <w:tr w:rsidR="007072F9" w:rsidRPr="007072F9" w14:paraId="3EEBA33F" w14:textId="77777777" w:rsidTr="007072F9">
        <w:trPr>
          <w:trHeight w:val="363"/>
        </w:trPr>
        <w:tc>
          <w:tcPr>
            <w:tcW w:w="2120" w:type="dxa"/>
            <w:shd w:val="clear" w:color="auto" w:fill="FFFFFF" w:themeFill="background1"/>
            <w:noWrap/>
            <w:vAlign w:val="center"/>
            <w:hideMark/>
          </w:tcPr>
          <w:p w14:paraId="3CDE0803" w14:textId="77777777" w:rsidR="007072F9" w:rsidRPr="007072F9" w:rsidRDefault="007072F9" w:rsidP="007072F9">
            <w:pPr>
              <w:spacing w:before="0" w:after="0" w:line="240" w:lineRule="auto"/>
              <w:jc w:val="center"/>
              <w:rPr>
                <w:rFonts w:eastAsia="Times New Roman" w:cs="Open Sans"/>
                <w:b/>
                <w:bCs/>
                <w:sz w:val="18"/>
                <w:szCs w:val="18"/>
                <w:lang w:eastAsia="fr-FR"/>
              </w:rPr>
            </w:pPr>
            <w:r w:rsidRPr="007072F9">
              <w:rPr>
                <w:rFonts w:eastAsia="Times New Roman" w:cs="Open Sans"/>
                <w:b/>
                <w:bCs/>
                <w:sz w:val="18"/>
                <w:szCs w:val="18"/>
                <w:lang w:eastAsia="fr-FR"/>
              </w:rPr>
              <w:t>Total général</w:t>
            </w:r>
          </w:p>
        </w:tc>
        <w:tc>
          <w:tcPr>
            <w:tcW w:w="1566" w:type="dxa"/>
            <w:shd w:val="clear" w:color="auto" w:fill="FFFFFF" w:themeFill="background1"/>
            <w:noWrap/>
            <w:vAlign w:val="center"/>
            <w:hideMark/>
          </w:tcPr>
          <w:p w14:paraId="2CE61DA1" w14:textId="77777777" w:rsidR="007072F9" w:rsidRPr="007072F9" w:rsidRDefault="007072F9" w:rsidP="007072F9">
            <w:pPr>
              <w:spacing w:before="0" w:after="0" w:line="240" w:lineRule="auto"/>
              <w:jc w:val="center"/>
              <w:rPr>
                <w:rFonts w:eastAsia="Times New Roman" w:cs="Open Sans"/>
                <w:b/>
                <w:bCs/>
                <w:sz w:val="18"/>
                <w:szCs w:val="18"/>
                <w:lang w:eastAsia="fr-FR"/>
              </w:rPr>
            </w:pPr>
            <w:r w:rsidRPr="007072F9">
              <w:rPr>
                <w:rFonts w:eastAsia="Times New Roman" w:cs="Open Sans"/>
                <w:b/>
                <w:bCs/>
                <w:sz w:val="18"/>
                <w:szCs w:val="18"/>
                <w:lang w:eastAsia="fr-FR"/>
              </w:rPr>
              <w:t>10631</w:t>
            </w:r>
          </w:p>
        </w:tc>
        <w:tc>
          <w:tcPr>
            <w:tcW w:w="1940" w:type="dxa"/>
            <w:shd w:val="clear" w:color="auto" w:fill="FFFFFF" w:themeFill="background1"/>
            <w:noWrap/>
            <w:vAlign w:val="center"/>
            <w:hideMark/>
          </w:tcPr>
          <w:p w14:paraId="130B685B" w14:textId="77777777" w:rsidR="007072F9" w:rsidRPr="007072F9" w:rsidRDefault="007072F9" w:rsidP="007072F9">
            <w:pPr>
              <w:spacing w:before="0" w:after="0" w:line="240" w:lineRule="auto"/>
              <w:jc w:val="center"/>
              <w:rPr>
                <w:rFonts w:eastAsia="Times New Roman" w:cs="Open Sans"/>
                <w:b/>
                <w:bCs/>
                <w:sz w:val="18"/>
                <w:szCs w:val="18"/>
                <w:lang w:eastAsia="fr-FR"/>
              </w:rPr>
            </w:pPr>
            <w:r w:rsidRPr="007072F9">
              <w:rPr>
                <w:rFonts w:eastAsia="Times New Roman" w:cs="Open Sans"/>
                <w:b/>
                <w:bCs/>
                <w:sz w:val="18"/>
                <w:szCs w:val="18"/>
                <w:lang w:eastAsia="fr-FR"/>
              </w:rPr>
              <w:t>7582</w:t>
            </w:r>
          </w:p>
        </w:tc>
        <w:tc>
          <w:tcPr>
            <w:tcW w:w="1900" w:type="dxa"/>
            <w:shd w:val="clear" w:color="auto" w:fill="FFFFFF" w:themeFill="background1"/>
            <w:noWrap/>
            <w:vAlign w:val="center"/>
            <w:hideMark/>
          </w:tcPr>
          <w:p w14:paraId="37AF2DBF" w14:textId="77777777" w:rsidR="007072F9" w:rsidRPr="007072F9" w:rsidRDefault="007072F9" w:rsidP="007072F9">
            <w:pPr>
              <w:spacing w:before="0" w:after="0" w:line="240" w:lineRule="auto"/>
              <w:jc w:val="center"/>
              <w:rPr>
                <w:rFonts w:eastAsia="Times New Roman" w:cs="Open Sans"/>
                <w:b/>
                <w:bCs/>
                <w:sz w:val="18"/>
                <w:szCs w:val="18"/>
                <w:lang w:eastAsia="fr-FR"/>
              </w:rPr>
            </w:pPr>
            <w:r w:rsidRPr="007072F9">
              <w:rPr>
                <w:rFonts w:eastAsia="Times New Roman" w:cs="Open Sans"/>
                <w:b/>
                <w:bCs/>
                <w:sz w:val="18"/>
                <w:szCs w:val="18"/>
                <w:lang w:eastAsia="fr-FR"/>
              </w:rPr>
              <w:t>2749</w:t>
            </w:r>
          </w:p>
        </w:tc>
        <w:tc>
          <w:tcPr>
            <w:tcW w:w="1660" w:type="dxa"/>
            <w:shd w:val="clear" w:color="auto" w:fill="FFFFFF" w:themeFill="background1"/>
            <w:noWrap/>
            <w:vAlign w:val="center"/>
            <w:hideMark/>
          </w:tcPr>
          <w:p w14:paraId="567AC530" w14:textId="77777777" w:rsidR="007072F9" w:rsidRPr="007072F9" w:rsidRDefault="007072F9" w:rsidP="007072F9">
            <w:pPr>
              <w:spacing w:before="0" w:after="0" w:line="240" w:lineRule="auto"/>
              <w:jc w:val="center"/>
              <w:rPr>
                <w:rFonts w:eastAsia="Times New Roman" w:cs="Open Sans"/>
                <w:b/>
                <w:bCs/>
                <w:sz w:val="18"/>
                <w:szCs w:val="18"/>
                <w:lang w:eastAsia="fr-FR"/>
              </w:rPr>
            </w:pPr>
            <w:r w:rsidRPr="007072F9">
              <w:rPr>
                <w:rFonts w:eastAsia="Times New Roman" w:cs="Open Sans"/>
                <w:b/>
                <w:bCs/>
                <w:sz w:val="18"/>
                <w:szCs w:val="18"/>
                <w:lang w:eastAsia="fr-FR"/>
              </w:rPr>
              <w:t>500</w:t>
            </w:r>
          </w:p>
        </w:tc>
      </w:tr>
    </w:tbl>
    <w:p w14:paraId="0E0D4613" w14:textId="77777777" w:rsidR="007072F9" w:rsidRDefault="007072F9" w:rsidP="007072F9"/>
    <w:p w14:paraId="236D2DF4" w14:textId="77777777" w:rsidR="00360C9C" w:rsidRDefault="00360C9C" w:rsidP="007072F9"/>
    <w:p w14:paraId="4DDD2D15" w14:textId="391759D1" w:rsidR="00360C9C" w:rsidRDefault="00360C9C">
      <w:pPr>
        <w:spacing w:before="0" w:after="160"/>
      </w:pPr>
      <w:r>
        <w:br w:type="page"/>
      </w:r>
    </w:p>
    <w:p w14:paraId="4FDD82F0" w14:textId="77777777" w:rsidR="00360C9C" w:rsidRDefault="00360C9C" w:rsidP="007072F9"/>
    <w:p w14:paraId="6F234775" w14:textId="4CAA41BC" w:rsidR="00613085" w:rsidRPr="001326E3" w:rsidRDefault="00613085" w:rsidP="00613085">
      <w:pPr>
        <w:rPr>
          <w:b/>
          <w:bCs/>
          <w:color w:val="000099"/>
        </w:rPr>
      </w:pPr>
      <w:r w:rsidRPr="001326E3">
        <w:rPr>
          <w:b/>
          <w:bCs/>
          <w:color w:val="000099"/>
        </w:rPr>
        <w:t xml:space="preserve">Répartition des bénéficiaires par colline et par </w:t>
      </w:r>
      <w:r>
        <w:rPr>
          <w:b/>
          <w:bCs/>
          <w:color w:val="000099"/>
        </w:rPr>
        <w:t xml:space="preserve">type d’appui </w:t>
      </w:r>
      <w:r w:rsidRPr="001326E3">
        <w:rPr>
          <w:b/>
          <w:bCs/>
          <w:color w:val="000099"/>
        </w:rPr>
        <w:t xml:space="preserve"> </w:t>
      </w:r>
    </w:p>
    <w:tbl>
      <w:tblPr>
        <w:tblW w:w="9776" w:type="dxa"/>
        <w:tblInd w:w="-147" w:type="dxa"/>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CellMar>
          <w:top w:w="28" w:type="dxa"/>
          <w:left w:w="70" w:type="dxa"/>
          <w:bottom w:w="28" w:type="dxa"/>
          <w:right w:w="70" w:type="dxa"/>
        </w:tblCellMar>
        <w:tblLook w:val="04A0" w:firstRow="1" w:lastRow="0" w:firstColumn="1" w:lastColumn="0" w:noHBand="0" w:noVBand="1"/>
      </w:tblPr>
      <w:tblGrid>
        <w:gridCol w:w="3848"/>
        <w:gridCol w:w="688"/>
        <w:gridCol w:w="709"/>
        <w:gridCol w:w="567"/>
        <w:gridCol w:w="449"/>
        <w:gridCol w:w="449"/>
        <w:gridCol w:w="520"/>
        <w:gridCol w:w="496"/>
        <w:gridCol w:w="496"/>
        <w:gridCol w:w="662"/>
        <w:gridCol w:w="892"/>
      </w:tblGrid>
      <w:tr w:rsidR="00222D51" w:rsidRPr="00360C9C" w14:paraId="69539F7A" w14:textId="77777777" w:rsidTr="001E4B6B">
        <w:trPr>
          <w:cantSplit/>
          <w:trHeight w:val="1296"/>
        </w:trPr>
        <w:tc>
          <w:tcPr>
            <w:tcW w:w="3848" w:type="dxa"/>
            <w:tcBorders>
              <w:right w:val="single" w:sz="4" w:space="0" w:color="FFFFFF" w:themeColor="background1"/>
            </w:tcBorders>
            <w:shd w:val="clear" w:color="auto" w:fill="000099"/>
            <w:noWrap/>
            <w:vAlign w:val="center"/>
            <w:hideMark/>
          </w:tcPr>
          <w:p w14:paraId="312D8455" w14:textId="1A2B1333" w:rsidR="00222D51" w:rsidRPr="00360C9C" w:rsidRDefault="00222D51" w:rsidP="00222D51">
            <w:pPr>
              <w:spacing w:before="0" w:after="0" w:line="240" w:lineRule="auto"/>
              <w:jc w:val="center"/>
              <w:rPr>
                <w:rFonts w:eastAsia="Times New Roman" w:cs="Open Sans"/>
                <w:b/>
                <w:bCs/>
                <w:sz w:val="18"/>
                <w:szCs w:val="18"/>
                <w:lang w:eastAsia="fr-FR"/>
              </w:rPr>
            </w:pPr>
            <w:r w:rsidRPr="00360C9C">
              <w:rPr>
                <w:rFonts w:eastAsia="Times New Roman" w:cs="Open Sans"/>
                <w:b/>
                <w:bCs/>
                <w:sz w:val="18"/>
                <w:szCs w:val="18"/>
                <w:lang w:eastAsia="fr-FR"/>
              </w:rPr>
              <w:t>Type d’appui / Colline</w:t>
            </w:r>
          </w:p>
        </w:tc>
        <w:tc>
          <w:tcPr>
            <w:tcW w:w="688" w:type="dxa"/>
            <w:tcBorders>
              <w:left w:val="single" w:sz="4" w:space="0" w:color="FFFFFF" w:themeColor="background1"/>
              <w:right w:val="single" w:sz="4" w:space="0" w:color="FFFFFF" w:themeColor="background1"/>
            </w:tcBorders>
            <w:shd w:val="clear" w:color="auto" w:fill="000099"/>
            <w:noWrap/>
            <w:textDirection w:val="btLr"/>
            <w:vAlign w:val="center"/>
            <w:hideMark/>
          </w:tcPr>
          <w:p w14:paraId="3A3A8EB1" w14:textId="77777777" w:rsidR="00222D51" w:rsidRPr="00360C9C" w:rsidRDefault="00222D51" w:rsidP="00222D51">
            <w:pPr>
              <w:spacing w:before="0" w:after="0" w:line="240" w:lineRule="auto"/>
              <w:ind w:left="113" w:right="113"/>
              <w:rPr>
                <w:rFonts w:eastAsia="Times New Roman" w:cs="Open Sans"/>
                <w:b/>
                <w:bCs/>
                <w:sz w:val="18"/>
                <w:szCs w:val="18"/>
                <w:lang w:eastAsia="fr-FR"/>
              </w:rPr>
            </w:pPr>
            <w:r w:rsidRPr="00360C9C">
              <w:rPr>
                <w:rFonts w:eastAsia="Times New Roman" w:cs="Open Sans"/>
                <w:b/>
                <w:bCs/>
                <w:sz w:val="18"/>
                <w:szCs w:val="18"/>
                <w:lang w:eastAsia="fr-FR"/>
              </w:rPr>
              <w:t>MUCIRO</w:t>
            </w:r>
          </w:p>
        </w:tc>
        <w:tc>
          <w:tcPr>
            <w:tcW w:w="709" w:type="dxa"/>
            <w:tcBorders>
              <w:left w:val="single" w:sz="4" w:space="0" w:color="FFFFFF" w:themeColor="background1"/>
              <w:right w:val="single" w:sz="4" w:space="0" w:color="FFFFFF" w:themeColor="background1"/>
            </w:tcBorders>
            <w:shd w:val="clear" w:color="auto" w:fill="000099"/>
            <w:noWrap/>
            <w:textDirection w:val="btLr"/>
            <w:vAlign w:val="center"/>
            <w:hideMark/>
          </w:tcPr>
          <w:p w14:paraId="7380DFA9" w14:textId="77777777" w:rsidR="00222D51" w:rsidRPr="00360C9C" w:rsidRDefault="00222D51" w:rsidP="00222D51">
            <w:pPr>
              <w:spacing w:before="0" w:after="0" w:line="240" w:lineRule="auto"/>
              <w:ind w:left="113" w:right="113"/>
              <w:rPr>
                <w:rFonts w:eastAsia="Times New Roman" w:cs="Open Sans"/>
                <w:b/>
                <w:bCs/>
                <w:sz w:val="18"/>
                <w:szCs w:val="18"/>
                <w:lang w:eastAsia="fr-FR"/>
              </w:rPr>
            </w:pPr>
            <w:r w:rsidRPr="00360C9C">
              <w:rPr>
                <w:rFonts w:eastAsia="Times New Roman" w:cs="Open Sans"/>
                <w:b/>
                <w:bCs/>
                <w:sz w:val="18"/>
                <w:szCs w:val="18"/>
                <w:lang w:eastAsia="fr-FR"/>
              </w:rPr>
              <w:t>CAGUKA</w:t>
            </w:r>
          </w:p>
        </w:tc>
        <w:tc>
          <w:tcPr>
            <w:tcW w:w="567" w:type="dxa"/>
            <w:tcBorders>
              <w:left w:val="single" w:sz="4" w:space="0" w:color="FFFFFF" w:themeColor="background1"/>
              <w:right w:val="single" w:sz="4" w:space="0" w:color="FFFFFF" w:themeColor="background1"/>
            </w:tcBorders>
            <w:shd w:val="clear" w:color="auto" w:fill="000099"/>
            <w:noWrap/>
            <w:textDirection w:val="btLr"/>
            <w:vAlign w:val="center"/>
            <w:hideMark/>
          </w:tcPr>
          <w:p w14:paraId="32113B8D" w14:textId="77777777" w:rsidR="00222D51" w:rsidRPr="00360C9C" w:rsidRDefault="00222D51" w:rsidP="00222D51">
            <w:pPr>
              <w:spacing w:before="0" w:after="0" w:line="240" w:lineRule="auto"/>
              <w:ind w:left="113" w:right="113"/>
              <w:rPr>
                <w:rFonts w:eastAsia="Times New Roman" w:cs="Open Sans"/>
                <w:b/>
                <w:bCs/>
                <w:sz w:val="18"/>
                <w:szCs w:val="18"/>
                <w:lang w:eastAsia="fr-FR"/>
              </w:rPr>
            </w:pPr>
            <w:r w:rsidRPr="00360C9C">
              <w:rPr>
                <w:rFonts w:eastAsia="Times New Roman" w:cs="Open Sans"/>
                <w:b/>
                <w:bCs/>
                <w:sz w:val="18"/>
                <w:szCs w:val="18"/>
                <w:lang w:eastAsia="fr-FR"/>
              </w:rPr>
              <w:t>RWEGURA</w:t>
            </w:r>
          </w:p>
        </w:tc>
        <w:tc>
          <w:tcPr>
            <w:tcW w:w="449" w:type="dxa"/>
            <w:tcBorders>
              <w:left w:val="single" w:sz="4" w:space="0" w:color="FFFFFF" w:themeColor="background1"/>
              <w:right w:val="single" w:sz="4" w:space="0" w:color="FFFFFF" w:themeColor="background1"/>
            </w:tcBorders>
            <w:shd w:val="clear" w:color="auto" w:fill="000099"/>
            <w:noWrap/>
            <w:textDirection w:val="btLr"/>
            <w:vAlign w:val="center"/>
            <w:hideMark/>
          </w:tcPr>
          <w:p w14:paraId="5A264C17" w14:textId="77777777" w:rsidR="00222D51" w:rsidRPr="00360C9C" w:rsidRDefault="00222D51" w:rsidP="00222D51">
            <w:pPr>
              <w:spacing w:before="0" w:after="0" w:line="240" w:lineRule="auto"/>
              <w:ind w:left="113" w:right="113"/>
              <w:rPr>
                <w:rFonts w:eastAsia="Times New Roman" w:cs="Open Sans"/>
                <w:b/>
                <w:bCs/>
                <w:sz w:val="18"/>
                <w:szCs w:val="18"/>
                <w:lang w:eastAsia="fr-FR"/>
              </w:rPr>
            </w:pPr>
            <w:r w:rsidRPr="00360C9C">
              <w:rPr>
                <w:rFonts w:eastAsia="Times New Roman" w:cs="Open Sans"/>
                <w:b/>
                <w:bCs/>
                <w:sz w:val="18"/>
                <w:szCs w:val="18"/>
                <w:lang w:eastAsia="fr-FR"/>
              </w:rPr>
              <w:t>SEHE</w:t>
            </w:r>
          </w:p>
        </w:tc>
        <w:tc>
          <w:tcPr>
            <w:tcW w:w="449" w:type="dxa"/>
            <w:tcBorders>
              <w:left w:val="single" w:sz="4" w:space="0" w:color="FFFFFF" w:themeColor="background1"/>
              <w:right w:val="single" w:sz="4" w:space="0" w:color="FFFFFF" w:themeColor="background1"/>
            </w:tcBorders>
            <w:shd w:val="clear" w:color="auto" w:fill="000099"/>
            <w:noWrap/>
            <w:textDirection w:val="btLr"/>
            <w:vAlign w:val="center"/>
            <w:hideMark/>
          </w:tcPr>
          <w:p w14:paraId="0A41ED38" w14:textId="77777777" w:rsidR="00222D51" w:rsidRPr="00360C9C" w:rsidRDefault="00222D51" w:rsidP="00222D51">
            <w:pPr>
              <w:spacing w:before="0" w:after="0" w:line="240" w:lineRule="auto"/>
              <w:ind w:left="113" w:right="113"/>
              <w:rPr>
                <w:rFonts w:eastAsia="Times New Roman" w:cs="Open Sans"/>
                <w:b/>
                <w:bCs/>
                <w:sz w:val="18"/>
                <w:szCs w:val="18"/>
                <w:lang w:eastAsia="fr-FR"/>
              </w:rPr>
            </w:pPr>
            <w:r w:rsidRPr="00360C9C">
              <w:rPr>
                <w:rFonts w:eastAsia="Times New Roman" w:cs="Open Sans"/>
                <w:b/>
                <w:bCs/>
                <w:sz w:val="18"/>
                <w:szCs w:val="18"/>
                <w:lang w:eastAsia="fr-FR"/>
              </w:rPr>
              <w:t>MUYEBE</w:t>
            </w:r>
          </w:p>
        </w:tc>
        <w:tc>
          <w:tcPr>
            <w:tcW w:w="520" w:type="dxa"/>
            <w:tcBorders>
              <w:left w:val="single" w:sz="4" w:space="0" w:color="FFFFFF" w:themeColor="background1"/>
              <w:right w:val="single" w:sz="4" w:space="0" w:color="FFFFFF" w:themeColor="background1"/>
            </w:tcBorders>
            <w:shd w:val="clear" w:color="auto" w:fill="000099"/>
            <w:noWrap/>
            <w:textDirection w:val="btLr"/>
            <w:vAlign w:val="center"/>
            <w:hideMark/>
          </w:tcPr>
          <w:p w14:paraId="1E362F2C" w14:textId="77777777" w:rsidR="00222D51" w:rsidRPr="00360C9C" w:rsidRDefault="00222D51" w:rsidP="00222D51">
            <w:pPr>
              <w:spacing w:before="0" w:after="0" w:line="240" w:lineRule="auto"/>
              <w:ind w:left="113" w:right="113"/>
              <w:rPr>
                <w:rFonts w:eastAsia="Times New Roman" w:cs="Open Sans"/>
                <w:b/>
                <w:bCs/>
                <w:sz w:val="18"/>
                <w:szCs w:val="18"/>
                <w:lang w:eastAsia="fr-FR"/>
              </w:rPr>
            </w:pPr>
            <w:r w:rsidRPr="00360C9C">
              <w:rPr>
                <w:rFonts w:eastAsia="Times New Roman" w:cs="Open Sans"/>
                <w:b/>
                <w:bCs/>
                <w:sz w:val="18"/>
                <w:szCs w:val="18"/>
                <w:lang w:eastAsia="fr-FR"/>
              </w:rPr>
              <w:t>REMERA</w:t>
            </w:r>
          </w:p>
        </w:tc>
        <w:tc>
          <w:tcPr>
            <w:tcW w:w="496" w:type="dxa"/>
            <w:tcBorders>
              <w:left w:val="single" w:sz="4" w:space="0" w:color="FFFFFF" w:themeColor="background1"/>
              <w:right w:val="single" w:sz="4" w:space="0" w:color="FFFFFF" w:themeColor="background1"/>
            </w:tcBorders>
            <w:shd w:val="clear" w:color="auto" w:fill="000099"/>
            <w:noWrap/>
            <w:textDirection w:val="btLr"/>
            <w:vAlign w:val="center"/>
            <w:hideMark/>
          </w:tcPr>
          <w:p w14:paraId="1D0CD22A" w14:textId="77777777" w:rsidR="00222D51" w:rsidRPr="00360C9C" w:rsidRDefault="00222D51" w:rsidP="00222D51">
            <w:pPr>
              <w:spacing w:before="0" w:after="0" w:line="240" w:lineRule="auto"/>
              <w:ind w:left="113" w:right="113"/>
              <w:rPr>
                <w:rFonts w:eastAsia="Times New Roman" w:cs="Open Sans"/>
                <w:b/>
                <w:bCs/>
                <w:sz w:val="18"/>
                <w:szCs w:val="18"/>
                <w:lang w:eastAsia="fr-FR"/>
              </w:rPr>
            </w:pPr>
            <w:r w:rsidRPr="00360C9C">
              <w:rPr>
                <w:rFonts w:eastAsia="Times New Roman" w:cs="Open Sans"/>
                <w:b/>
                <w:bCs/>
                <w:sz w:val="18"/>
                <w:szCs w:val="18"/>
                <w:lang w:eastAsia="fr-FR"/>
              </w:rPr>
              <w:t>MWOKORA</w:t>
            </w:r>
          </w:p>
        </w:tc>
        <w:tc>
          <w:tcPr>
            <w:tcW w:w="496" w:type="dxa"/>
            <w:tcBorders>
              <w:left w:val="single" w:sz="4" w:space="0" w:color="FFFFFF" w:themeColor="background1"/>
              <w:right w:val="single" w:sz="4" w:space="0" w:color="FFFFFF" w:themeColor="background1"/>
            </w:tcBorders>
            <w:shd w:val="clear" w:color="auto" w:fill="000099"/>
            <w:noWrap/>
            <w:textDirection w:val="btLr"/>
            <w:vAlign w:val="center"/>
            <w:hideMark/>
          </w:tcPr>
          <w:p w14:paraId="0FE75B3E" w14:textId="77777777" w:rsidR="00222D51" w:rsidRPr="00360C9C" w:rsidRDefault="00222D51" w:rsidP="00222D51">
            <w:pPr>
              <w:spacing w:before="0" w:after="0" w:line="240" w:lineRule="auto"/>
              <w:ind w:left="113" w:right="113"/>
              <w:rPr>
                <w:rFonts w:eastAsia="Times New Roman" w:cs="Open Sans"/>
                <w:b/>
                <w:bCs/>
                <w:sz w:val="18"/>
                <w:szCs w:val="18"/>
                <w:lang w:eastAsia="fr-FR"/>
              </w:rPr>
            </w:pPr>
            <w:r w:rsidRPr="00360C9C">
              <w:rPr>
                <w:rFonts w:eastAsia="Times New Roman" w:cs="Open Sans"/>
                <w:b/>
                <w:bCs/>
                <w:sz w:val="18"/>
                <w:szCs w:val="18"/>
                <w:lang w:eastAsia="fr-FR"/>
              </w:rPr>
              <w:t>MPFUNDA</w:t>
            </w:r>
          </w:p>
        </w:tc>
        <w:tc>
          <w:tcPr>
            <w:tcW w:w="662" w:type="dxa"/>
            <w:tcBorders>
              <w:left w:val="single" w:sz="4" w:space="0" w:color="FFFFFF" w:themeColor="background1"/>
              <w:right w:val="single" w:sz="4" w:space="0" w:color="FFFFFF" w:themeColor="background1"/>
            </w:tcBorders>
            <w:shd w:val="clear" w:color="auto" w:fill="000099"/>
            <w:textDirection w:val="btLr"/>
            <w:vAlign w:val="center"/>
          </w:tcPr>
          <w:p w14:paraId="52BBF91B" w14:textId="73A8BC7A" w:rsidR="00222D51" w:rsidRPr="00360C9C" w:rsidRDefault="00222D51" w:rsidP="00222D51">
            <w:pPr>
              <w:spacing w:before="0" w:after="0" w:line="240" w:lineRule="auto"/>
              <w:ind w:left="113" w:right="113"/>
              <w:rPr>
                <w:rFonts w:eastAsia="Times New Roman" w:cs="Open Sans"/>
                <w:b/>
                <w:bCs/>
                <w:sz w:val="18"/>
                <w:szCs w:val="18"/>
                <w:lang w:eastAsia="fr-FR"/>
              </w:rPr>
            </w:pPr>
            <w:r w:rsidRPr="00360C9C">
              <w:rPr>
                <w:rFonts w:eastAsia="Times New Roman" w:cs="Open Sans"/>
                <w:b/>
                <w:bCs/>
                <w:sz w:val="18"/>
                <w:szCs w:val="18"/>
                <w:lang w:eastAsia="fr-FR"/>
              </w:rPr>
              <w:t>Autres (11 collines)</w:t>
            </w:r>
          </w:p>
        </w:tc>
        <w:tc>
          <w:tcPr>
            <w:tcW w:w="892" w:type="dxa"/>
            <w:tcBorders>
              <w:left w:val="single" w:sz="4" w:space="0" w:color="FFFFFF" w:themeColor="background1"/>
            </w:tcBorders>
            <w:shd w:val="clear" w:color="auto" w:fill="000099"/>
            <w:noWrap/>
            <w:textDirection w:val="btLr"/>
            <w:vAlign w:val="center"/>
            <w:hideMark/>
          </w:tcPr>
          <w:p w14:paraId="39A42607" w14:textId="3821C5DE" w:rsidR="00222D51" w:rsidRPr="00360C9C" w:rsidRDefault="00222D51" w:rsidP="00222D51">
            <w:pPr>
              <w:spacing w:before="0" w:after="0" w:line="240" w:lineRule="auto"/>
              <w:ind w:left="113" w:right="113"/>
              <w:rPr>
                <w:rFonts w:eastAsia="Times New Roman" w:cs="Open Sans"/>
                <w:b/>
                <w:bCs/>
                <w:sz w:val="18"/>
                <w:szCs w:val="18"/>
                <w:lang w:eastAsia="fr-FR"/>
              </w:rPr>
            </w:pPr>
            <w:r>
              <w:rPr>
                <w:rFonts w:eastAsia="Times New Roman" w:cs="Open Sans"/>
                <w:b/>
                <w:bCs/>
                <w:sz w:val="18"/>
                <w:szCs w:val="18"/>
                <w:lang w:eastAsia="fr-FR"/>
              </w:rPr>
              <w:t>TOTAL</w:t>
            </w:r>
          </w:p>
        </w:tc>
      </w:tr>
      <w:tr w:rsidR="00941FCB" w:rsidRPr="00360C9C" w14:paraId="795D3A2D" w14:textId="77777777" w:rsidTr="001E4B6B">
        <w:trPr>
          <w:trHeight w:val="288"/>
        </w:trPr>
        <w:tc>
          <w:tcPr>
            <w:tcW w:w="3848" w:type="dxa"/>
            <w:vAlign w:val="bottom"/>
            <w:hideMark/>
          </w:tcPr>
          <w:p w14:paraId="4819E95B" w14:textId="77777777" w:rsidR="00941FCB" w:rsidRPr="00360C9C" w:rsidRDefault="00941FCB" w:rsidP="00941FCB">
            <w:pPr>
              <w:spacing w:before="0" w:after="0" w:line="240" w:lineRule="auto"/>
              <w:rPr>
                <w:rFonts w:eastAsia="Times New Roman" w:cs="Open Sans"/>
                <w:color w:val="000000"/>
                <w:sz w:val="18"/>
                <w:szCs w:val="18"/>
                <w:lang w:eastAsia="fr-FR"/>
              </w:rPr>
            </w:pPr>
            <w:r w:rsidRPr="00360C9C">
              <w:rPr>
                <w:rFonts w:eastAsia="Times New Roman" w:cs="Open Sans"/>
                <w:color w:val="000000"/>
                <w:sz w:val="18"/>
                <w:szCs w:val="18"/>
                <w:lang w:eastAsia="fr-FR"/>
              </w:rPr>
              <w:t>Plants agroforestiers</w:t>
            </w:r>
          </w:p>
        </w:tc>
        <w:tc>
          <w:tcPr>
            <w:tcW w:w="688" w:type="dxa"/>
            <w:noWrap/>
            <w:vAlign w:val="bottom"/>
            <w:hideMark/>
          </w:tcPr>
          <w:p w14:paraId="251A2053"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r w:rsidRPr="00360C9C">
              <w:rPr>
                <w:rFonts w:eastAsia="Times New Roman" w:cs="Open Sans"/>
                <w:color w:val="000000"/>
                <w:sz w:val="18"/>
                <w:szCs w:val="18"/>
                <w:lang w:eastAsia="fr-FR"/>
              </w:rPr>
              <w:t>4792</w:t>
            </w:r>
          </w:p>
        </w:tc>
        <w:tc>
          <w:tcPr>
            <w:tcW w:w="709" w:type="dxa"/>
            <w:noWrap/>
            <w:vAlign w:val="bottom"/>
            <w:hideMark/>
          </w:tcPr>
          <w:p w14:paraId="7656E8F0"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r w:rsidRPr="00360C9C">
              <w:rPr>
                <w:rFonts w:eastAsia="Times New Roman" w:cs="Open Sans"/>
                <w:color w:val="000000"/>
                <w:sz w:val="18"/>
                <w:szCs w:val="18"/>
                <w:lang w:eastAsia="fr-FR"/>
              </w:rPr>
              <w:t>3195</w:t>
            </w:r>
          </w:p>
        </w:tc>
        <w:tc>
          <w:tcPr>
            <w:tcW w:w="567" w:type="dxa"/>
            <w:noWrap/>
            <w:vAlign w:val="bottom"/>
            <w:hideMark/>
          </w:tcPr>
          <w:p w14:paraId="7F3348C1"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p>
        </w:tc>
        <w:tc>
          <w:tcPr>
            <w:tcW w:w="449" w:type="dxa"/>
            <w:noWrap/>
            <w:vAlign w:val="bottom"/>
            <w:hideMark/>
          </w:tcPr>
          <w:p w14:paraId="6D7B00D5" w14:textId="77777777" w:rsidR="00941FCB" w:rsidRPr="00360C9C" w:rsidRDefault="00941FCB" w:rsidP="00941FCB">
            <w:pPr>
              <w:spacing w:before="0" w:after="0" w:line="240" w:lineRule="auto"/>
              <w:rPr>
                <w:rFonts w:eastAsia="Times New Roman" w:cs="Open Sans"/>
                <w:sz w:val="18"/>
                <w:szCs w:val="18"/>
                <w:lang w:eastAsia="fr-FR"/>
              </w:rPr>
            </w:pPr>
          </w:p>
        </w:tc>
        <w:tc>
          <w:tcPr>
            <w:tcW w:w="449" w:type="dxa"/>
            <w:noWrap/>
            <w:vAlign w:val="bottom"/>
            <w:hideMark/>
          </w:tcPr>
          <w:p w14:paraId="22DBDACD" w14:textId="77777777" w:rsidR="00941FCB" w:rsidRPr="00360C9C" w:rsidRDefault="00941FCB" w:rsidP="00941FCB">
            <w:pPr>
              <w:spacing w:before="0" w:after="0" w:line="240" w:lineRule="auto"/>
              <w:rPr>
                <w:rFonts w:eastAsia="Times New Roman" w:cs="Open Sans"/>
                <w:sz w:val="18"/>
                <w:szCs w:val="18"/>
                <w:lang w:eastAsia="fr-FR"/>
              </w:rPr>
            </w:pPr>
          </w:p>
        </w:tc>
        <w:tc>
          <w:tcPr>
            <w:tcW w:w="520" w:type="dxa"/>
            <w:noWrap/>
            <w:vAlign w:val="bottom"/>
            <w:hideMark/>
          </w:tcPr>
          <w:p w14:paraId="6765A1D8" w14:textId="77777777" w:rsidR="00941FCB" w:rsidRPr="00360C9C" w:rsidRDefault="00941FCB" w:rsidP="00941FCB">
            <w:pPr>
              <w:spacing w:before="0" w:after="0" w:line="240" w:lineRule="auto"/>
              <w:rPr>
                <w:rFonts w:eastAsia="Times New Roman" w:cs="Open Sans"/>
                <w:sz w:val="18"/>
                <w:szCs w:val="18"/>
                <w:lang w:eastAsia="fr-FR"/>
              </w:rPr>
            </w:pPr>
          </w:p>
        </w:tc>
        <w:tc>
          <w:tcPr>
            <w:tcW w:w="496" w:type="dxa"/>
            <w:noWrap/>
            <w:vAlign w:val="bottom"/>
            <w:hideMark/>
          </w:tcPr>
          <w:p w14:paraId="07D479FC" w14:textId="77777777" w:rsidR="00941FCB" w:rsidRPr="00360C9C" w:rsidRDefault="00941FCB" w:rsidP="00941FCB">
            <w:pPr>
              <w:spacing w:before="0" w:after="0" w:line="240" w:lineRule="auto"/>
              <w:rPr>
                <w:rFonts w:eastAsia="Times New Roman" w:cs="Open Sans"/>
                <w:sz w:val="18"/>
                <w:szCs w:val="18"/>
                <w:lang w:eastAsia="fr-FR"/>
              </w:rPr>
            </w:pPr>
          </w:p>
        </w:tc>
        <w:tc>
          <w:tcPr>
            <w:tcW w:w="496" w:type="dxa"/>
            <w:noWrap/>
            <w:vAlign w:val="bottom"/>
            <w:hideMark/>
          </w:tcPr>
          <w:p w14:paraId="7D5873E3" w14:textId="77777777" w:rsidR="00941FCB" w:rsidRPr="00360C9C" w:rsidRDefault="00941FCB" w:rsidP="00941FCB">
            <w:pPr>
              <w:spacing w:before="0" w:after="0" w:line="240" w:lineRule="auto"/>
              <w:rPr>
                <w:rFonts w:eastAsia="Times New Roman" w:cs="Open Sans"/>
                <w:sz w:val="18"/>
                <w:szCs w:val="18"/>
                <w:lang w:eastAsia="fr-FR"/>
              </w:rPr>
            </w:pPr>
          </w:p>
        </w:tc>
        <w:tc>
          <w:tcPr>
            <w:tcW w:w="662" w:type="dxa"/>
            <w:vAlign w:val="bottom"/>
          </w:tcPr>
          <w:p w14:paraId="79139D0C"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p>
        </w:tc>
        <w:tc>
          <w:tcPr>
            <w:tcW w:w="892" w:type="dxa"/>
            <w:noWrap/>
            <w:vAlign w:val="bottom"/>
          </w:tcPr>
          <w:p w14:paraId="4562C646" w14:textId="07EAAAB8" w:rsidR="00941FCB" w:rsidRPr="00360C9C" w:rsidRDefault="00941FCB" w:rsidP="00941FCB">
            <w:pPr>
              <w:spacing w:before="0" w:after="0" w:line="240" w:lineRule="auto"/>
              <w:jc w:val="right"/>
              <w:rPr>
                <w:rFonts w:eastAsia="Times New Roman" w:cs="Open Sans"/>
                <w:color w:val="000000"/>
                <w:sz w:val="18"/>
                <w:szCs w:val="18"/>
                <w:lang w:eastAsia="fr-FR"/>
              </w:rPr>
            </w:pPr>
            <w:r>
              <w:rPr>
                <w:rFonts w:ascii="Aptos Narrow" w:hAnsi="Aptos Narrow"/>
                <w:color w:val="000000"/>
                <w:sz w:val="22"/>
              </w:rPr>
              <w:t>7987</w:t>
            </w:r>
          </w:p>
        </w:tc>
      </w:tr>
      <w:tr w:rsidR="00941FCB" w:rsidRPr="00360C9C" w14:paraId="68832D31" w14:textId="77777777" w:rsidTr="001E4B6B">
        <w:trPr>
          <w:trHeight w:val="288"/>
        </w:trPr>
        <w:tc>
          <w:tcPr>
            <w:tcW w:w="3848" w:type="dxa"/>
            <w:vAlign w:val="bottom"/>
            <w:hideMark/>
          </w:tcPr>
          <w:p w14:paraId="088DCCE2" w14:textId="77777777" w:rsidR="00941FCB" w:rsidRPr="00360C9C" w:rsidRDefault="00941FCB" w:rsidP="00941FCB">
            <w:pPr>
              <w:spacing w:before="0" w:after="0" w:line="240" w:lineRule="auto"/>
              <w:rPr>
                <w:rFonts w:eastAsia="Times New Roman" w:cs="Open Sans"/>
                <w:color w:val="000000"/>
                <w:sz w:val="18"/>
                <w:szCs w:val="18"/>
                <w:lang w:eastAsia="fr-FR"/>
              </w:rPr>
            </w:pPr>
            <w:r w:rsidRPr="00360C9C">
              <w:rPr>
                <w:rFonts w:eastAsia="Times New Roman" w:cs="Open Sans"/>
                <w:color w:val="000000"/>
                <w:sz w:val="18"/>
                <w:szCs w:val="18"/>
                <w:lang w:eastAsia="fr-FR"/>
              </w:rPr>
              <w:t>Contes et écologies</w:t>
            </w:r>
          </w:p>
        </w:tc>
        <w:tc>
          <w:tcPr>
            <w:tcW w:w="688" w:type="dxa"/>
            <w:noWrap/>
            <w:vAlign w:val="bottom"/>
            <w:hideMark/>
          </w:tcPr>
          <w:p w14:paraId="42F9A962"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r w:rsidRPr="00360C9C">
              <w:rPr>
                <w:rFonts w:eastAsia="Times New Roman" w:cs="Open Sans"/>
                <w:color w:val="000000"/>
                <w:sz w:val="18"/>
                <w:szCs w:val="18"/>
                <w:lang w:eastAsia="fr-FR"/>
              </w:rPr>
              <w:t>530</w:t>
            </w:r>
          </w:p>
        </w:tc>
        <w:tc>
          <w:tcPr>
            <w:tcW w:w="709" w:type="dxa"/>
            <w:noWrap/>
            <w:vAlign w:val="bottom"/>
            <w:hideMark/>
          </w:tcPr>
          <w:p w14:paraId="7EE3DFAD"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p>
        </w:tc>
        <w:tc>
          <w:tcPr>
            <w:tcW w:w="567" w:type="dxa"/>
            <w:noWrap/>
            <w:vAlign w:val="bottom"/>
            <w:hideMark/>
          </w:tcPr>
          <w:p w14:paraId="0708F034" w14:textId="77777777" w:rsidR="00941FCB" w:rsidRPr="00360C9C" w:rsidRDefault="00941FCB" w:rsidP="00941FCB">
            <w:pPr>
              <w:spacing w:before="0" w:after="0" w:line="240" w:lineRule="auto"/>
              <w:rPr>
                <w:rFonts w:eastAsia="Times New Roman" w:cs="Open Sans"/>
                <w:sz w:val="18"/>
                <w:szCs w:val="18"/>
                <w:lang w:eastAsia="fr-FR"/>
              </w:rPr>
            </w:pPr>
          </w:p>
        </w:tc>
        <w:tc>
          <w:tcPr>
            <w:tcW w:w="449" w:type="dxa"/>
            <w:noWrap/>
            <w:vAlign w:val="bottom"/>
            <w:hideMark/>
          </w:tcPr>
          <w:p w14:paraId="7CF3B435" w14:textId="77777777" w:rsidR="00941FCB" w:rsidRPr="00360C9C" w:rsidRDefault="00941FCB" w:rsidP="00941FCB">
            <w:pPr>
              <w:spacing w:before="0" w:after="0" w:line="240" w:lineRule="auto"/>
              <w:rPr>
                <w:rFonts w:eastAsia="Times New Roman" w:cs="Open Sans"/>
                <w:sz w:val="18"/>
                <w:szCs w:val="18"/>
                <w:lang w:eastAsia="fr-FR"/>
              </w:rPr>
            </w:pPr>
          </w:p>
        </w:tc>
        <w:tc>
          <w:tcPr>
            <w:tcW w:w="449" w:type="dxa"/>
            <w:noWrap/>
            <w:vAlign w:val="bottom"/>
            <w:hideMark/>
          </w:tcPr>
          <w:p w14:paraId="2C5553BC" w14:textId="77777777" w:rsidR="00941FCB" w:rsidRPr="00360C9C" w:rsidRDefault="00941FCB" w:rsidP="00941FCB">
            <w:pPr>
              <w:spacing w:before="0" w:after="0" w:line="240" w:lineRule="auto"/>
              <w:rPr>
                <w:rFonts w:eastAsia="Times New Roman" w:cs="Open Sans"/>
                <w:sz w:val="18"/>
                <w:szCs w:val="18"/>
                <w:lang w:eastAsia="fr-FR"/>
              </w:rPr>
            </w:pPr>
          </w:p>
        </w:tc>
        <w:tc>
          <w:tcPr>
            <w:tcW w:w="520" w:type="dxa"/>
            <w:noWrap/>
            <w:vAlign w:val="bottom"/>
            <w:hideMark/>
          </w:tcPr>
          <w:p w14:paraId="607A1E26" w14:textId="77777777" w:rsidR="00941FCB" w:rsidRPr="00360C9C" w:rsidRDefault="00941FCB" w:rsidP="00941FCB">
            <w:pPr>
              <w:spacing w:before="0" w:after="0" w:line="240" w:lineRule="auto"/>
              <w:rPr>
                <w:rFonts w:eastAsia="Times New Roman" w:cs="Open Sans"/>
                <w:sz w:val="18"/>
                <w:szCs w:val="18"/>
                <w:lang w:eastAsia="fr-FR"/>
              </w:rPr>
            </w:pPr>
          </w:p>
        </w:tc>
        <w:tc>
          <w:tcPr>
            <w:tcW w:w="496" w:type="dxa"/>
            <w:noWrap/>
            <w:vAlign w:val="bottom"/>
            <w:hideMark/>
          </w:tcPr>
          <w:p w14:paraId="7E2F1A38" w14:textId="77777777" w:rsidR="00941FCB" w:rsidRPr="00360C9C" w:rsidRDefault="00941FCB" w:rsidP="00941FCB">
            <w:pPr>
              <w:spacing w:before="0" w:after="0" w:line="240" w:lineRule="auto"/>
              <w:rPr>
                <w:rFonts w:eastAsia="Times New Roman" w:cs="Open Sans"/>
                <w:sz w:val="18"/>
                <w:szCs w:val="18"/>
                <w:lang w:eastAsia="fr-FR"/>
              </w:rPr>
            </w:pPr>
          </w:p>
        </w:tc>
        <w:tc>
          <w:tcPr>
            <w:tcW w:w="496" w:type="dxa"/>
            <w:noWrap/>
            <w:vAlign w:val="bottom"/>
            <w:hideMark/>
          </w:tcPr>
          <w:p w14:paraId="700DCCBA" w14:textId="77777777" w:rsidR="00941FCB" w:rsidRPr="00360C9C" w:rsidRDefault="00941FCB" w:rsidP="00941FCB">
            <w:pPr>
              <w:spacing w:before="0" w:after="0" w:line="240" w:lineRule="auto"/>
              <w:rPr>
                <w:rFonts w:eastAsia="Times New Roman" w:cs="Open Sans"/>
                <w:sz w:val="18"/>
                <w:szCs w:val="18"/>
                <w:lang w:eastAsia="fr-FR"/>
              </w:rPr>
            </w:pPr>
          </w:p>
        </w:tc>
        <w:tc>
          <w:tcPr>
            <w:tcW w:w="662" w:type="dxa"/>
            <w:vAlign w:val="bottom"/>
          </w:tcPr>
          <w:p w14:paraId="4E1CFE06"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p>
        </w:tc>
        <w:tc>
          <w:tcPr>
            <w:tcW w:w="892" w:type="dxa"/>
            <w:noWrap/>
            <w:vAlign w:val="bottom"/>
          </w:tcPr>
          <w:p w14:paraId="5C73FB79" w14:textId="50A415E1" w:rsidR="00941FCB" w:rsidRPr="00360C9C" w:rsidRDefault="00941FCB" w:rsidP="00941FCB">
            <w:pPr>
              <w:spacing w:before="0" w:after="0" w:line="240" w:lineRule="auto"/>
              <w:jc w:val="right"/>
              <w:rPr>
                <w:rFonts w:eastAsia="Times New Roman" w:cs="Open Sans"/>
                <w:color w:val="000000"/>
                <w:sz w:val="18"/>
                <w:szCs w:val="18"/>
                <w:lang w:eastAsia="fr-FR"/>
              </w:rPr>
            </w:pPr>
            <w:r>
              <w:rPr>
                <w:rFonts w:ascii="Aptos Narrow" w:hAnsi="Aptos Narrow"/>
                <w:color w:val="000000"/>
                <w:sz w:val="22"/>
              </w:rPr>
              <w:t>530</w:t>
            </w:r>
          </w:p>
        </w:tc>
      </w:tr>
      <w:tr w:rsidR="00941FCB" w:rsidRPr="00360C9C" w14:paraId="74456DB5" w14:textId="77777777" w:rsidTr="001E4B6B">
        <w:trPr>
          <w:trHeight w:val="576"/>
        </w:trPr>
        <w:tc>
          <w:tcPr>
            <w:tcW w:w="3848" w:type="dxa"/>
            <w:vAlign w:val="bottom"/>
            <w:hideMark/>
          </w:tcPr>
          <w:p w14:paraId="0B69A1A5" w14:textId="7524F998" w:rsidR="00941FCB" w:rsidRPr="00360C9C" w:rsidRDefault="00941FCB" w:rsidP="00941FCB">
            <w:pPr>
              <w:spacing w:before="0" w:after="0" w:line="240" w:lineRule="auto"/>
              <w:rPr>
                <w:rFonts w:eastAsia="Times New Roman" w:cs="Open Sans"/>
                <w:color w:val="000000"/>
                <w:sz w:val="18"/>
                <w:szCs w:val="18"/>
                <w:lang w:eastAsia="fr-FR"/>
              </w:rPr>
            </w:pPr>
            <w:r w:rsidRPr="00360C9C">
              <w:rPr>
                <w:rFonts w:eastAsia="Times New Roman" w:cs="Open Sans"/>
                <w:color w:val="000000"/>
                <w:sz w:val="18"/>
                <w:szCs w:val="18"/>
                <w:lang w:eastAsia="fr-FR"/>
              </w:rPr>
              <w:t>Sensibilisation des membres des comités de protection de la Kibira</w:t>
            </w:r>
          </w:p>
        </w:tc>
        <w:tc>
          <w:tcPr>
            <w:tcW w:w="688" w:type="dxa"/>
            <w:noWrap/>
            <w:vAlign w:val="bottom"/>
            <w:hideMark/>
          </w:tcPr>
          <w:p w14:paraId="6E6AFF8B"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r w:rsidRPr="00360C9C">
              <w:rPr>
                <w:rFonts w:eastAsia="Times New Roman" w:cs="Open Sans"/>
                <w:color w:val="000000"/>
                <w:sz w:val="18"/>
                <w:szCs w:val="18"/>
                <w:lang w:eastAsia="fr-FR"/>
              </w:rPr>
              <w:t>14</w:t>
            </w:r>
          </w:p>
        </w:tc>
        <w:tc>
          <w:tcPr>
            <w:tcW w:w="709" w:type="dxa"/>
            <w:noWrap/>
            <w:vAlign w:val="bottom"/>
            <w:hideMark/>
          </w:tcPr>
          <w:p w14:paraId="19DA7813"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r w:rsidRPr="00360C9C">
              <w:rPr>
                <w:rFonts w:eastAsia="Times New Roman" w:cs="Open Sans"/>
                <w:color w:val="000000"/>
                <w:sz w:val="18"/>
                <w:szCs w:val="18"/>
                <w:lang w:eastAsia="fr-FR"/>
              </w:rPr>
              <w:t>10</w:t>
            </w:r>
          </w:p>
        </w:tc>
        <w:tc>
          <w:tcPr>
            <w:tcW w:w="567" w:type="dxa"/>
            <w:noWrap/>
            <w:vAlign w:val="bottom"/>
            <w:hideMark/>
          </w:tcPr>
          <w:p w14:paraId="6D3D3F0D"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r w:rsidRPr="00360C9C">
              <w:rPr>
                <w:rFonts w:eastAsia="Times New Roman" w:cs="Open Sans"/>
                <w:color w:val="000000"/>
                <w:sz w:val="18"/>
                <w:szCs w:val="18"/>
                <w:lang w:eastAsia="fr-FR"/>
              </w:rPr>
              <w:t>15</w:t>
            </w:r>
          </w:p>
        </w:tc>
        <w:tc>
          <w:tcPr>
            <w:tcW w:w="449" w:type="dxa"/>
            <w:noWrap/>
            <w:vAlign w:val="bottom"/>
            <w:hideMark/>
          </w:tcPr>
          <w:p w14:paraId="61A8C0DE"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r w:rsidRPr="00360C9C">
              <w:rPr>
                <w:rFonts w:eastAsia="Times New Roman" w:cs="Open Sans"/>
                <w:color w:val="000000"/>
                <w:sz w:val="18"/>
                <w:szCs w:val="18"/>
                <w:lang w:eastAsia="fr-FR"/>
              </w:rPr>
              <w:t>95</w:t>
            </w:r>
          </w:p>
        </w:tc>
        <w:tc>
          <w:tcPr>
            <w:tcW w:w="449" w:type="dxa"/>
            <w:noWrap/>
            <w:vAlign w:val="bottom"/>
            <w:hideMark/>
          </w:tcPr>
          <w:p w14:paraId="21FBFB43"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p>
        </w:tc>
        <w:tc>
          <w:tcPr>
            <w:tcW w:w="520" w:type="dxa"/>
            <w:noWrap/>
            <w:vAlign w:val="bottom"/>
            <w:hideMark/>
          </w:tcPr>
          <w:p w14:paraId="5AE3016B"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r w:rsidRPr="00360C9C">
              <w:rPr>
                <w:rFonts w:eastAsia="Times New Roman" w:cs="Open Sans"/>
                <w:color w:val="000000"/>
                <w:sz w:val="18"/>
                <w:szCs w:val="18"/>
                <w:lang w:eastAsia="fr-FR"/>
              </w:rPr>
              <w:t>30</w:t>
            </w:r>
          </w:p>
        </w:tc>
        <w:tc>
          <w:tcPr>
            <w:tcW w:w="496" w:type="dxa"/>
            <w:noWrap/>
            <w:vAlign w:val="bottom"/>
            <w:hideMark/>
          </w:tcPr>
          <w:p w14:paraId="756989E7" w14:textId="77777777" w:rsidR="00941FCB" w:rsidRPr="00360C9C" w:rsidRDefault="00941FCB" w:rsidP="00941FCB">
            <w:pPr>
              <w:spacing w:before="0" w:after="0" w:line="240" w:lineRule="auto"/>
              <w:rPr>
                <w:rFonts w:eastAsia="Times New Roman" w:cs="Open Sans"/>
                <w:sz w:val="18"/>
                <w:szCs w:val="18"/>
                <w:lang w:eastAsia="fr-FR"/>
              </w:rPr>
            </w:pPr>
          </w:p>
        </w:tc>
        <w:tc>
          <w:tcPr>
            <w:tcW w:w="496" w:type="dxa"/>
            <w:noWrap/>
            <w:vAlign w:val="bottom"/>
            <w:hideMark/>
          </w:tcPr>
          <w:p w14:paraId="6CDC4B71"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r w:rsidRPr="00360C9C">
              <w:rPr>
                <w:rFonts w:eastAsia="Times New Roman" w:cs="Open Sans"/>
                <w:color w:val="000000"/>
                <w:sz w:val="18"/>
                <w:szCs w:val="18"/>
                <w:lang w:eastAsia="fr-FR"/>
              </w:rPr>
              <w:t>12</w:t>
            </w:r>
          </w:p>
        </w:tc>
        <w:tc>
          <w:tcPr>
            <w:tcW w:w="662" w:type="dxa"/>
            <w:vAlign w:val="bottom"/>
          </w:tcPr>
          <w:p w14:paraId="39EF52C5" w14:textId="2B537953" w:rsidR="00941FCB" w:rsidRPr="00360C9C" w:rsidRDefault="00941FCB" w:rsidP="00941FCB">
            <w:pPr>
              <w:spacing w:before="0" w:after="0" w:line="240" w:lineRule="auto"/>
              <w:jc w:val="right"/>
              <w:rPr>
                <w:rFonts w:eastAsia="Times New Roman" w:cs="Open Sans"/>
                <w:color w:val="000000"/>
                <w:sz w:val="18"/>
                <w:szCs w:val="18"/>
                <w:lang w:eastAsia="fr-FR"/>
              </w:rPr>
            </w:pPr>
            <w:r w:rsidRPr="00360C9C">
              <w:rPr>
                <w:rFonts w:eastAsia="Times New Roman" w:cs="Open Sans"/>
                <w:color w:val="000000"/>
                <w:sz w:val="18"/>
                <w:szCs w:val="18"/>
                <w:lang w:eastAsia="fr-FR"/>
              </w:rPr>
              <w:t>288</w:t>
            </w:r>
          </w:p>
        </w:tc>
        <w:tc>
          <w:tcPr>
            <w:tcW w:w="892" w:type="dxa"/>
            <w:noWrap/>
            <w:vAlign w:val="bottom"/>
          </w:tcPr>
          <w:p w14:paraId="5A4716E0" w14:textId="41E84C0E" w:rsidR="00941FCB" w:rsidRPr="00360C9C" w:rsidRDefault="00941FCB" w:rsidP="00941FCB">
            <w:pPr>
              <w:spacing w:before="0" w:after="0" w:line="240" w:lineRule="auto"/>
              <w:jc w:val="right"/>
              <w:rPr>
                <w:rFonts w:eastAsia="Times New Roman" w:cs="Open Sans"/>
                <w:color w:val="000000"/>
                <w:sz w:val="18"/>
                <w:szCs w:val="18"/>
                <w:lang w:eastAsia="fr-FR"/>
              </w:rPr>
            </w:pPr>
            <w:r>
              <w:rPr>
                <w:rFonts w:ascii="Aptos Narrow" w:hAnsi="Aptos Narrow"/>
                <w:color w:val="000000"/>
                <w:sz w:val="22"/>
              </w:rPr>
              <w:t>464</w:t>
            </w:r>
          </w:p>
        </w:tc>
      </w:tr>
      <w:tr w:rsidR="00941FCB" w:rsidRPr="00360C9C" w14:paraId="2614FE9A" w14:textId="77777777" w:rsidTr="001E4B6B">
        <w:trPr>
          <w:trHeight w:val="576"/>
        </w:trPr>
        <w:tc>
          <w:tcPr>
            <w:tcW w:w="3848" w:type="dxa"/>
            <w:vAlign w:val="bottom"/>
            <w:hideMark/>
          </w:tcPr>
          <w:p w14:paraId="268EACE5" w14:textId="77777777" w:rsidR="00941FCB" w:rsidRPr="00360C9C" w:rsidRDefault="00941FCB" w:rsidP="00941FCB">
            <w:pPr>
              <w:spacing w:before="0" w:after="0" w:line="240" w:lineRule="auto"/>
              <w:rPr>
                <w:rFonts w:eastAsia="Times New Roman" w:cs="Open Sans"/>
                <w:color w:val="000000"/>
                <w:sz w:val="18"/>
                <w:szCs w:val="18"/>
                <w:lang w:eastAsia="fr-FR"/>
              </w:rPr>
            </w:pPr>
            <w:r w:rsidRPr="00360C9C">
              <w:rPr>
                <w:rFonts w:eastAsia="Times New Roman" w:cs="Open Sans"/>
                <w:color w:val="000000"/>
                <w:sz w:val="18"/>
                <w:szCs w:val="18"/>
                <w:lang w:eastAsia="fr-FR"/>
              </w:rPr>
              <w:t>Main d'œuvre pour la plantation des plants dans le PNK</w:t>
            </w:r>
          </w:p>
        </w:tc>
        <w:tc>
          <w:tcPr>
            <w:tcW w:w="688" w:type="dxa"/>
            <w:noWrap/>
            <w:vAlign w:val="bottom"/>
            <w:hideMark/>
          </w:tcPr>
          <w:p w14:paraId="4A8B95A6" w14:textId="77777777" w:rsidR="00941FCB" w:rsidRPr="00360C9C" w:rsidRDefault="00941FCB" w:rsidP="00941FCB">
            <w:pPr>
              <w:spacing w:before="0" w:after="0" w:line="240" w:lineRule="auto"/>
              <w:rPr>
                <w:rFonts w:eastAsia="Times New Roman" w:cs="Open Sans"/>
                <w:color w:val="000000"/>
                <w:sz w:val="18"/>
                <w:szCs w:val="18"/>
                <w:lang w:eastAsia="fr-FR"/>
              </w:rPr>
            </w:pPr>
          </w:p>
        </w:tc>
        <w:tc>
          <w:tcPr>
            <w:tcW w:w="709" w:type="dxa"/>
            <w:noWrap/>
            <w:vAlign w:val="bottom"/>
            <w:hideMark/>
          </w:tcPr>
          <w:p w14:paraId="67F8CD94" w14:textId="77777777" w:rsidR="00941FCB" w:rsidRPr="00360C9C" w:rsidRDefault="00941FCB" w:rsidP="00941FCB">
            <w:pPr>
              <w:spacing w:before="0" w:after="0" w:line="240" w:lineRule="auto"/>
              <w:rPr>
                <w:rFonts w:eastAsia="Times New Roman" w:cs="Open Sans"/>
                <w:sz w:val="18"/>
                <w:szCs w:val="18"/>
                <w:lang w:eastAsia="fr-FR"/>
              </w:rPr>
            </w:pPr>
          </w:p>
        </w:tc>
        <w:tc>
          <w:tcPr>
            <w:tcW w:w="567" w:type="dxa"/>
            <w:noWrap/>
            <w:vAlign w:val="bottom"/>
            <w:hideMark/>
          </w:tcPr>
          <w:p w14:paraId="4EF3A385"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r w:rsidRPr="00360C9C">
              <w:rPr>
                <w:rFonts w:eastAsia="Times New Roman" w:cs="Open Sans"/>
                <w:color w:val="000000"/>
                <w:sz w:val="18"/>
                <w:szCs w:val="18"/>
                <w:lang w:eastAsia="fr-FR"/>
              </w:rPr>
              <w:t>300</w:t>
            </w:r>
          </w:p>
        </w:tc>
        <w:tc>
          <w:tcPr>
            <w:tcW w:w="449" w:type="dxa"/>
            <w:noWrap/>
            <w:vAlign w:val="bottom"/>
            <w:hideMark/>
          </w:tcPr>
          <w:p w14:paraId="73D50FB6"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p>
        </w:tc>
        <w:tc>
          <w:tcPr>
            <w:tcW w:w="449" w:type="dxa"/>
            <w:noWrap/>
            <w:vAlign w:val="bottom"/>
            <w:hideMark/>
          </w:tcPr>
          <w:p w14:paraId="4FC8B69F" w14:textId="77777777" w:rsidR="00941FCB" w:rsidRPr="00360C9C" w:rsidRDefault="00941FCB" w:rsidP="00941FCB">
            <w:pPr>
              <w:spacing w:before="0" w:after="0" w:line="240" w:lineRule="auto"/>
              <w:rPr>
                <w:rFonts w:eastAsia="Times New Roman" w:cs="Open Sans"/>
                <w:sz w:val="18"/>
                <w:szCs w:val="18"/>
                <w:lang w:eastAsia="fr-FR"/>
              </w:rPr>
            </w:pPr>
          </w:p>
        </w:tc>
        <w:tc>
          <w:tcPr>
            <w:tcW w:w="520" w:type="dxa"/>
            <w:noWrap/>
            <w:vAlign w:val="bottom"/>
            <w:hideMark/>
          </w:tcPr>
          <w:p w14:paraId="6212D531" w14:textId="77777777" w:rsidR="00941FCB" w:rsidRPr="00360C9C" w:rsidRDefault="00941FCB" w:rsidP="00941FCB">
            <w:pPr>
              <w:spacing w:before="0" w:after="0" w:line="240" w:lineRule="auto"/>
              <w:rPr>
                <w:rFonts w:eastAsia="Times New Roman" w:cs="Open Sans"/>
                <w:sz w:val="18"/>
                <w:szCs w:val="18"/>
                <w:lang w:eastAsia="fr-FR"/>
              </w:rPr>
            </w:pPr>
          </w:p>
        </w:tc>
        <w:tc>
          <w:tcPr>
            <w:tcW w:w="496" w:type="dxa"/>
            <w:noWrap/>
            <w:vAlign w:val="bottom"/>
            <w:hideMark/>
          </w:tcPr>
          <w:p w14:paraId="44020CCB" w14:textId="77777777" w:rsidR="00941FCB" w:rsidRPr="00360C9C" w:rsidRDefault="00941FCB" w:rsidP="00941FCB">
            <w:pPr>
              <w:spacing w:before="0" w:after="0" w:line="240" w:lineRule="auto"/>
              <w:rPr>
                <w:rFonts w:eastAsia="Times New Roman" w:cs="Open Sans"/>
                <w:sz w:val="18"/>
                <w:szCs w:val="18"/>
                <w:lang w:eastAsia="fr-FR"/>
              </w:rPr>
            </w:pPr>
          </w:p>
        </w:tc>
        <w:tc>
          <w:tcPr>
            <w:tcW w:w="496" w:type="dxa"/>
            <w:noWrap/>
            <w:vAlign w:val="bottom"/>
            <w:hideMark/>
          </w:tcPr>
          <w:p w14:paraId="1DB19F91" w14:textId="77777777" w:rsidR="00941FCB" w:rsidRPr="00360C9C" w:rsidRDefault="00941FCB" w:rsidP="00941FCB">
            <w:pPr>
              <w:spacing w:before="0" w:after="0" w:line="240" w:lineRule="auto"/>
              <w:rPr>
                <w:rFonts w:eastAsia="Times New Roman" w:cs="Open Sans"/>
                <w:sz w:val="18"/>
                <w:szCs w:val="18"/>
                <w:lang w:eastAsia="fr-FR"/>
              </w:rPr>
            </w:pPr>
          </w:p>
        </w:tc>
        <w:tc>
          <w:tcPr>
            <w:tcW w:w="662" w:type="dxa"/>
            <w:vAlign w:val="bottom"/>
          </w:tcPr>
          <w:p w14:paraId="1C4620E4"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p>
        </w:tc>
        <w:tc>
          <w:tcPr>
            <w:tcW w:w="892" w:type="dxa"/>
            <w:noWrap/>
            <w:vAlign w:val="bottom"/>
          </w:tcPr>
          <w:p w14:paraId="42432CA8" w14:textId="07BA7D78" w:rsidR="00941FCB" w:rsidRPr="00360C9C" w:rsidRDefault="00941FCB" w:rsidP="00941FCB">
            <w:pPr>
              <w:spacing w:before="0" w:after="0" w:line="240" w:lineRule="auto"/>
              <w:jc w:val="right"/>
              <w:rPr>
                <w:rFonts w:eastAsia="Times New Roman" w:cs="Open Sans"/>
                <w:color w:val="000000"/>
                <w:sz w:val="18"/>
                <w:szCs w:val="18"/>
                <w:lang w:eastAsia="fr-FR"/>
              </w:rPr>
            </w:pPr>
            <w:r>
              <w:rPr>
                <w:rFonts w:ascii="Aptos Narrow" w:hAnsi="Aptos Narrow"/>
                <w:color w:val="000000"/>
                <w:sz w:val="22"/>
              </w:rPr>
              <w:t>300</w:t>
            </w:r>
          </w:p>
        </w:tc>
      </w:tr>
      <w:tr w:rsidR="00941FCB" w:rsidRPr="00360C9C" w14:paraId="5A59C3D9" w14:textId="77777777" w:rsidTr="001E4B6B">
        <w:trPr>
          <w:trHeight w:val="288"/>
        </w:trPr>
        <w:tc>
          <w:tcPr>
            <w:tcW w:w="3848" w:type="dxa"/>
            <w:vAlign w:val="bottom"/>
            <w:hideMark/>
          </w:tcPr>
          <w:p w14:paraId="0E781E0F" w14:textId="77777777" w:rsidR="00941FCB" w:rsidRPr="00360C9C" w:rsidRDefault="00941FCB" w:rsidP="00941FCB">
            <w:pPr>
              <w:spacing w:before="0" w:after="0" w:line="240" w:lineRule="auto"/>
              <w:rPr>
                <w:rFonts w:eastAsia="Times New Roman" w:cs="Open Sans"/>
                <w:color w:val="000000"/>
                <w:sz w:val="18"/>
                <w:szCs w:val="18"/>
                <w:lang w:eastAsia="fr-FR"/>
              </w:rPr>
            </w:pPr>
            <w:r w:rsidRPr="00360C9C">
              <w:rPr>
                <w:rFonts w:eastAsia="Times New Roman" w:cs="Open Sans"/>
                <w:color w:val="000000"/>
                <w:sz w:val="18"/>
                <w:szCs w:val="18"/>
                <w:lang w:eastAsia="fr-FR"/>
              </w:rPr>
              <w:t>Sensibilisation et distribution Kit scolaire</w:t>
            </w:r>
          </w:p>
        </w:tc>
        <w:tc>
          <w:tcPr>
            <w:tcW w:w="688" w:type="dxa"/>
            <w:noWrap/>
            <w:vAlign w:val="bottom"/>
            <w:hideMark/>
          </w:tcPr>
          <w:p w14:paraId="3125DD32" w14:textId="77777777" w:rsidR="00941FCB" w:rsidRPr="00360C9C" w:rsidRDefault="00941FCB" w:rsidP="00941FCB">
            <w:pPr>
              <w:spacing w:before="0" w:after="0" w:line="240" w:lineRule="auto"/>
              <w:rPr>
                <w:rFonts w:eastAsia="Times New Roman" w:cs="Open Sans"/>
                <w:color w:val="000000"/>
                <w:sz w:val="18"/>
                <w:szCs w:val="18"/>
                <w:lang w:eastAsia="fr-FR"/>
              </w:rPr>
            </w:pPr>
          </w:p>
        </w:tc>
        <w:tc>
          <w:tcPr>
            <w:tcW w:w="709" w:type="dxa"/>
            <w:noWrap/>
            <w:vAlign w:val="bottom"/>
            <w:hideMark/>
          </w:tcPr>
          <w:p w14:paraId="14A3A667" w14:textId="77777777" w:rsidR="00941FCB" w:rsidRPr="00360C9C" w:rsidRDefault="00941FCB" w:rsidP="00941FCB">
            <w:pPr>
              <w:spacing w:before="0" w:after="0" w:line="240" w:lineRule="auto"/>
              <w:rPr>
                <w:rFonts w:eastAsia="Times New Roman" w:cs="Open Sans"/>
                <w:sz w:val="18"/>
                <w:szCs w:val="18"/>
                <w:lang w:eastAsia="fr-FR"/>
              </w:rPr>
            </w:pPr>
          </w:p>
        </w:tc>
        <w:tc>
          <w:tcPr>
            <w:tcW w:w="567" w:type="dxa"/>
            <w:noWrap/>
            <w:vAlign w:val="bottom"/>
            <w:hideMark/>
          </w:tcPr>
          <w:p w14:paraId="65336BB9" w14:textId="59CDBF78" w:rsidR="00941FCB" w:rsidRPr="00360C9C" w:rsidRDefault="00941FCB" w:rsidP="00941FCB">
            <w:pPr>
              <w:spacing w:before="0" w:after="0" w:line="240" w:lineRule="auto"/>
              <w:rPr>
                <w:rFonts w:eastAsia="Times New Roman" w:cs="Open Sans"/>
                <w:sz w:val="18"/>
                <w:szCs w:val="18"/>
                <w:lang w:eastAsia="fr-FR"/>
              </w:rPr>
            </w:pPr>
            <w:r w:rsidRPr="00360C9C">
              <w:rPr>
                <w:rFonts w:eastAsia="Times New Roman" w:cs="Open Sans"/>
                <w:sz w:val="18"/>
                <w:szCs w:val="18"/>
                <w:lang w:eastAsia="fr-FR"/>
              </w:rPr>
              <w:t>150</w:t>
            </w:r>
          </w:p>
        </w:tc>
        <w:tc>
          <w:tcPr>
            <w:tcW w:w="449" w:type="dxa"/>
            <w:noWrap/>
            <w:vAlign w:val="bottom"/>
            <w:hideMark/>
          </w:tcPr>
          <w:p w14:paraId="00B87BCA"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r w:rsidRPr="00360C9C">
              <w:rPr>
                <w:rFonts w:eastAsia="Times New Roman" w:cs="Open Sans"/>
                <w:color w:val="000000"/>
                <w:sz w:val="18"/>
                <w:szCs w:val="18"/>
                <w:lang w:eastAsia="fr-FR"/>
              </w:rPr>
              <w:t>150</w:t>
            </w:r>
          </w:p>
        </w:tc>
        <w:tc>
          <w:tcPr>
            <w:tcW w:w="449" w:type="dxa"/>
            <w:noWrap/>
            <w:vAlign w:val="bottom"/>
            <w:hideMark/>
          </w:tcPr>
          <w:p w14:paraId="4071B738"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p>
        </w:tc>
        <w:tc>
          <w:tcPr>
            <w:tcW w:w="520" w:type="dxa"/>
            <w:noWrap/>
            <w:vAlign w:val="bottom"/>
            <w:hideMark/>
          </w:tcPr>
          <w:p w14:paraId="658EBA15" w14:textId="77777777" w:rsidR="00941FCB" w:rsidRPr="00360C9C" w:rsidRDefault="00941FCB" w:rsidP="00941FCB">
            <w:pPr>
              <w:spacing w:before="0" w:after="0" w:line="240" w:lineRule="auto"/>
              <w:rPr>
                <w:rFonts w:eastAsia="Times New Roman" w:cs="Open Sans"/>
                <w:sz w:val="18"/>
                <w:szCs w:val="18"/>
                <w:lang w:eastAsia="fr-FR"/>
              </w:rPr>
            </w:pPr>
          </w:p>
        </w:tc>
        <w:tc>
          <w:tcPr>
            <w:tcW w:w="496" w:type="dxa"/>
            <w:noWrap/>
            <w:vAlign w:val="bottom"/>
            <w:hideMark/>
          </w:tcPr>
          <w:p w14:paraId="33B168AE"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p>
        </w:tc>
        <w:tc>
          <w:tcPr>
            <w:tcW w:w="496" w:type="dxa"/>
            <w:noWrap/>
            <w:vAlign w:val="bottom"/>
            <w:hideMark/>
          </w:tcPr>
          <w:p w14:paraId="38099D39" w14:textId="77777777" w:rsidR="00941FCB" w:rsidRPr="00360C9C" w:rsidRDefault="00941FCB" w:rsidP="00941FCB">
            <w:pPr>
              <w:spacing w:before="0" w:after="0" w:line="240" w:lineRule="auto"/>
              <w:rPr>
                <w:rFonts w:eastAsia="Times New Roman" w:cs="Open Sans"/>
                <w:sz w:val="18"/>
                <w:szCs w:val="18"/>
                <w:lang w:eastAsia="fr-FR"/>
              </w:rPr>
            </w:pPr>
          </w:p>
        </w:tc>
        <w:tc>
          <w:tcPr>
            <w:tcW w:w="662" w:type="dxa"/>
            <w:vAlign w:val="bottom"/>
          </w:tcPr>
          <w:p w14:paraId="4888CA98"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p>
        </w:tc>
        <w:tc>
          <w:tcPr>
            <w:tcW w:w="892" w:type="dxa"/>
            <w:noWrap/>
            <w:vAlign w:val="bottom"/>
          </w:tcPr>
          <w:p w14:paraId="63E16E85" w14:textId="186C29E8" w:rsidR="00941FCB" w:rsidRPr="00360C9C" w:rsidRDefault="00941FCB" w:rsidP="00941FCB">
            <w:pPr>
              <w:spacing w:before="0" w:after="0" w:line="240" w:lineRule="auto"/>
              <w:jc w:val="right"/>
              <w:rPr>
                <w:rFonts w:eastAsia="Times New Roman" w:cs="Open Sans"/>
                <w:color w:val="000000"/>
                <w:sz w:val="18"/>
                <w:szCs w:val="18"/>
                <w:lang w:eastAsia="fr-FR"/>
              </w:rPr>
            </w:pPr>
            <w:r>
              <w:rPr>
                <w:rFonts w:ascii="Aptos Narrow" w:hAnsi="Aptos Narrow"/>
                <w:color w:val="000000"/>
                <w:sz w:val="22"/>
              </w:rPr>
              <w:t>300</w:t>
            </w:r>
          </w:p>
        </w:tc>
      </w:tr>
      <w:tr w:rsidR="00941FCB" w:rsidRPr="00360C9C" w14:paraId="50047836" w14:textId="77777777" w:rsidTr="001E4B6B">
        <w:trPr>
          <w:trHeight w:val="288"/>
        </w:trPr>
        <w:tc>
          <w:tcPr>
            <w:tcW w:w="3848" w:type="dxa"/>
            <w:vAlign w:val="bottom"/>
            <w:hideMark/>
          </w:tcPr>
          <w:p w14:paraId="40BB4C60" w14:textId="77777777" w:rsidR="00941FCB" w:rsidRPr="00360C9C" w:rsidRDefault="00941FCB" w:rsidP="00941FCB">
            <w:pPr>
              <w:spacing w:before="0" w:after="0" w:line="240" w:lineRule="auto"/>
              <w:rPr>
                <w:rFonts w:eastAsia="Times New Roman" w:cs="Open Sans"/>
                <w:color w:val="000000"/>
                <w:sz w:val="18"/>
                <w:szCs w:val="18"/>
                <w:lang w:eastAsia="fr-FR"/>
              </w:rPr>
            </w:pPr>
            <w:r w:rsidRPr="00360C9C">
              <w:rPr>
                <w:rFonts w:eastAsia="Times New Roman" w:cs="Open Sans"/>
                <w:color w:val="000000"/>
                <w:sz w:val="18"/>
                <w:szCs w:val="18"/>
                <w:lang w:eastAsia="fr-FR"/>
              </w:rPr>
              <w:t>Culture des Champignons</w:t>
            </w:r>
          </w:p>
        </w:tc>
        <w:tc>
          <w:tcPr>
            <w:tcW w:w="688" w:type="dxa"/>
            <w:noWrap/>
            <w:vAlign w:val="bottom"/>
            <w:hideMark/>
          </w:tcPr>
          <w:p w14:paraId="6C6DD1F8"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r w:rsidRPr="00360C9C">
              <w:rPr>
                <w:rFonts w:eastAsia="Times New Roman" w:cs="Open Sans"/>
                <w:color w:val="000000"/>
                <w:sz w:val="18"/>
                <w:szCs w:val="18"/>
                <w:lang w:eastAsia="fr-FR"/>
              </w:rPr>
              <w:t>110</w:t>
            </w:r>
          </w:p>
        </w:tc>
        <w:tc>
          <w:tcPr>
            <w:tcW w:w="709" w:type="dxa"/>
            <w:noWrap/>
            <w:vAlign w:val="bottom"/>
            <w:hideMark/>
          </w:tcPr>
          <w:p w14:paraId="4C1D01CB"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r w:rsidRPr="00360C9C">
              <w:rPr>
                <w:rFonts w:eastAsia="Times New Roman" w:cs="Open Sans"/>
                <w:color w:val="000000"/>
                <w:sz w:val="18"/>
                <w:szCs w:val="18"/>
                <w:lang w:eastAsia="fr-FR"/>
              </w:rPr>
              <w:t>32</w:t>
            </w:r>
          </w:p>
        </w:tc>
        <w:tc>
          <w:tcPr>
            <w:tcW w:w="567" w:type="dxa"/>
            <w:noWrap/>
            <w:vAlign w:val="bottom"/>
            <w:hideMark/>
          </w:tcPr>
          <w:p w14:paraId="0FDA9567"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p>
        </w:tc>
        <w:tc>
          <w:tcPr>
            <w:tcW w:w="449" w:type="dxa"/>
            <w:noWrap/>
            <w:vAlign w:val="bottom"/>
            <w:hideMark/>
          </w:tcPr>
          <w:p w14:paraId="4FA23CED" w14:textId="77777777" w:rsidR="00941FCB" w:rsidRPr="00360C9C" w:rsidRDefault="00941FCB" w:rsidP="00941FCB">
            <w:pPr>
              <w:spacing w:before="0" w:after="0" w:line="240" w:lineRule="auto"/>
              <w:rPr>
                <w:rFonts w:eastAsia="Times New Roman" w:cs="Open Sans"/>
                <w:sz w:val="18"/>
                <w:szCs w:val="18"/>
                <w:lang w:eastAsia="fr-FR"/>
              </w:rPr>
            </w:pPr>
          </w:p>
        </w:tc>
        <w:tc>
          <w:tcPr>
            <w:tcW w:w="449" w:type="dxa"/>
            <w:noWrap/>
            <w:vAlign w:val="bottom"/>
            <w:hideMark/>
          </w:tcPr>
          <w:p w14:paraId="1E0825E5" w14:textId="77777777" w:rsidR="00941FCB" w:rsidRPr="00360C9C" w:rsidRDefault="00941FCB" w:rsidP="00941FCB">
            <w:pPr>
              <w:spacing w:before="0" w:after="0" w:line="240" w:lineRule="auto"/>
              <w:rPr>
                <w:rFonts w:eastAsia="Times New Roman" w:cs="Open Sans"/>
                <w:sz w:val="18"/>
                <w:szCs w:val="18"/>
                <w:lang w:eastAsia="fr-FR"/>
              </w:rPr>
            </w:pPr>
          </w:p>
        </w:tc>
        <w:tc>
          <w:tcPr>
            <w:tcW w:w="520" w:type="dxa"/>
            <w:noWrap/>
            <w:vAlign w:val="bottom"/>
            <w:hideMark/>
          </w:tcPr>
          <w:p w14:paraId="39A274D8" w14:textId="77777777" w:rsidR="00941FCB" w:rsidRPr="00360C9C" w:rsidRDefault="00941FCB" w:rsidP="00941FCB">
            <w:pPr>
              <w:spacing w:before="0" w:after="0" w:line="240" w:lineRule="auto"/>
              <w:rPr>
                <w:rFonts w:eastAsia="Times New Roman" w:cs="Open Sans"/>
                <w:sz w:val="18"/>
                <w:szCs w:val="18"/>
                <w:lang w:eastAsia="fr-FR"/>
              </w:rPr>
            </w:pPr>
          </w:p>
        </w:tc>
        <w:tc>
          <w:tcPr>
            <w:tcW w:w="496" w:type="dxa"/>
            <w:noWrap/>
            <w:vAlign w:val="bottom"/>
            <w:hideMark/>
          </w:tcPr>
          <w:p w14:paraId="6BD0A256" w14:textId="77777777" w:rsidR="00941FCB" w:rsidRPr="00360C9C" w:rsidRDefault="00941FCB" w:rsidP="00941FCB">
            <w:pPr>
              <w:spacing w:before="0" w:after="0" w:line="240" w:lineRule="auto"/>
              <w:rPr>
                <w:rFonts w:eastAsia="Times New Roman" w:cs="Open Sans"/>
                <w:sz w:val="18"/>
                <w:szCs w:val="18"/>
                <w:lang w:eastAsia="fr-FR"/>
              </w:rPr>
            </w:pPr>
          </w:p>
        </w:tc>
        <w:tc>
          <w:tcPr>
            <w:tcW w:w="496" w:type="dxa"/>
            <w:noWrap/>
            <w:vAlign w:val="bottom"/>
            <w:hideMark/>
          </w:tcPr>
          <w:p w14:paraId="3DF0ADB6"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r w:rsidRPr="00360C9C">
              <w:rPr>
                <w:rFonts w:eastAsia="Times New Roman" w:cs="Open Sans"/>
                <w:color w:val="000000"/>
                <w:sz w:val="18"/>
                <w:szCs w:val="18"/>
                <w:lang w:eastAsia="fr-FR"/>
              </w:rPr>
              <w:t>30</w:t>
            </w:r>
          </w:p>
        </w:tc>
        <w:tc>
          <w:tcPr>
            <w:tcW w:w="662" w:type="dxa"/>
            <w:vAlign w:val="bottom"/>
          </w:tcPr>
          <w:p w14:paraId="68385F11"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p>
        </w:tc>
        <w:tc>
          <w:tcPr>
            <w:tcW w:w="892" w:type="dxa"/>
            <w:noWrap/>
            <w:vAlign w:val="bottom"/>
          </w:tcPr>
          <w:p w14:paraId="5544EB51" w14:textId="08905D6F" w:rsidR="00941FCB" w:rsidRPr="00360C9C" w:rsidRDefault="00941FCB" w:rsidP="00941FCB">
            <w:pPr>
              <w:spacing w:before="0" w:after="0" w:line="240" w:lineRule="auto"/>
              <w:jc w:val="right"/>
              <w:rPr>
                <w:rFonts w:eastAsia="Times New Roman" w:cs="Open Sans"/>
                <w:color w:val="000000"/>
                <w:sz w:val="18"/>
                <w:szCs w:val="18"/>
                <w:lang w:eastAsia="fr-FR"/>
              </w:rPr>
            </w:pPr>
            <w:r>
              <w:rPr>
                <w:rFonts w:ascii="Aptos Narrow" w:hAnsi="Aptos Narrow"/>
                <w:color w:val="000000"/>
                <w:sz w:val="22"/>
              </w:rPr>
              <w:t>172</w:t>
            </w:r>
          </w:p>
        </w:tc>
      </w:tr>
      <w:tr w:rsidR="00941FCB" w:rsidRPr="00360C9C" w14:paraId="651A9332" w14:textId="77777777" w:rsidTr="001E4B6B">
        <w:trPr>
          <w:trHeight w:val="576"/>
        </w:trPr>
        <w:tc>
          <w:tcPr>
            <w:tcW w:w="3848" w:type="dxa"/>
            <w:vAlign w:val="bottom"/>
            <w:hideMark/>
          </w:tcPr>
          <w:p w14:paraId="56849E23" w14:textId="77777777" w:rsidR="00941FCB" w:rsidRPr="00360C9C" w:rsidRDefault="00941FCB" w:rsidP="00941FCB">
            <w:pPr>
              <w:spacing w:before="0" w:after="0" w:line="240" w:lineRule="auto"/>
              <w:rPr>
                <w:rFonts w:eastAsia="Times New Roman" w:cs="Open Sans"/>
                <w:color w:val="000000"/>
                <w:sz w:val="18"/>
                <w:szCs w:val="18"/>
                <w:lang w:eastAsia="fr-FR"/>
              </w:rPr>
            </w:pPr>
            <w:r w:rsidRPr="00360C9C">
              <w:rPr>
                <w:rFonts w:eastAsia="Times New Roman" w:cs="Open Sans"/>
                <w:color w:val="000000"/>
                <w:sz w:val="18"/>
                <w:szCs w:val="18"/>
                <w:lang w:eastAsia="fr-FR"/>
              </w:rPr>
              <w:t>Formation sur la production des plants de bambous</w:t>
            </w:r>
          </w:p>
        </w:tc>
        <w:tc>
          <w:tcPr>
            <w:tcW w:w="688" w:type="dxa"/>
            <w:noWrap/>
            <w:vAlign w:val="bottom"/>
            <w:hideMark/>
          </w:tcPr>
          <w:p w14:paraId="38B37B7C" w14:textId="77777777" w:rsidR="00941FCB" w:rsidRPr="00360C9C" w:rsidRDefault="00941FCB" w:rsidP="00941FCB">
            <w:pPr>
              <w:spacing w:before="0" w:after="0" w:line="240" w:lineRule="auto"/>
              <w:rPr>
                <w:rFonts w:eastAsia="Times New Roman" w:cs="Open Sans"/>
                <w:color w:val="000000"/>
                <w:sz w:val="18"/>
                <w:szCs w:val="18"/>
                <w:lang w:eastAsia="fr-FR"/>
              </w:rPr>
            </w:pPr>
          </w:p>
        </w:tc>
        <w:tc>
          <w:tcPr>
            <w:tcW w:w="709" w:type="dxa"/>
            <w:noWrap/>
            <w:vAlign w:val="bottom"/>
            <w:hideMark/>
          </w:tcPr>
          <w:p w14:paraId="5895048F" w14:textId="77777777" w:rsidR="00941FCB" w:rsidRPr="00360C9C" w:rsidRDefault="00941FCB" w:rsidP="00941FCB">
            <w:pPr>
              <w:spacing w:before="0" w:after="0" w:line="240" w:lineRule="auto"/>
              <w:rPr>
                <w:rFonts w:eastAsia="Times New Roman" w:cs="Open Sans"/>
                <w:sz w:val="18"/>
                <w:szCs w:val="18"/>
                <w:lang w:eastAsia="fr-FR"/>
              </w:rPr>
            </w:pPr>
          </w:p>
        </w:tc>
        <w:tc>
          <w:tcPr>
            <w:tcW w:w="567" w:type="dxa"/>
            <w:noWrap/>
            <w:vAlign w:val="bottom"/>
            <w:hideMark/>
          </w:tcPr>
          <w:p w14:paraId="67DCCAD9" w14:textId="77777777" w:rsidR="00941FCB" w:rsidRPr="00360C9C" w:rsidRDefault="00941FCB" w:rsidP="00941FCB">
            <w:pPr>
              <w:spacing w:before="0" w:after="0" w:line="240" w:lineRule="auto"/>
              <w:rPr>
                <w:rFonts w:eastAsia="Times New Roman" w:cs="Open Sans"/>
                <w:sz w:val="18"/>
                <w:szCs w:val="18"/>
                <w:lang w:eastAsia="fr-FR"/>
              </w:rPr>
            </w:pPr>
          </w:p>
        </w:tc>
        <w:tc>
          <w:tcPr>
            <w:tcW w:w="449" w:type="dxa"/>
            <w:noWrap/>
            <w:vAlign w:val="bottom"/>
            <w:hideMark/>
          </w:tcPr>
          <w:p w14:paraId="1C5ECC10" w14:textId="77777777" w:rsidR="00941FCB" w:rsidRPr="00360C9C" w:rsidRDefault="00941FCB" w:rsidP="00941FCB">
            <w:pPr>
              <w:spacing w:before="0" w:after="0" w:line="240" w:lineRule="auto"/>
              <w:rPr>
                <w:rFonts w:eastAsia="Times New Roman" w:cs="Open Sans"/>
                <w:sz w:val="18"/>
                <w:szCs w:val="18"/>
                <w:lang w:eastAsia="fr-FR"/>
              </w:rPr>
            </w:pPr>
          </w:p>
        </w:tc>
        <w:tc>
          <w:tcPr>
            <w:tcW w:w="449" w:type="dxa"/>
            <w:noWrap/>
            <w:vAlign w:val="bottom"/>
            <w:hideMark/>
          </w:tcPr>
          <w:p w14:paraId="7BC7447F" w14:textId="77777777" w:rsidR="00941FCB" w:rsidRPr="00360C9C" w:rsidRDefault="00941FCB" w:rsidP="00941FCB">
            <w:pPr>
              <w:spacing w:before="0" w:after="0" w:line="240" w:lineRule="auto"/>
              <w:rPr>
                <w:rFonts w:eastAsia="Times New Roman" w:cs="Open Sans"/>
                <w:sz w:val="18"/>
                <w:szCs w:val="18"/>
                <w:lang w:eastAsia="fr-FR"/>
              </w:rPr>
            </w:pPr>
          </w:p>
        </w:tc>
        <w:tc>
          <w:tcPr>
            <w:tcW w:w="520" w:type="dxa"/>
            <w:noWrap/>
            <w:vAlign w:val="bottom"/>
            <w:hideMark/>
          </w:tcPr>
          <w:p w14:paraId="269BAF4E"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r w:rsidRPr="00360C9C">
              <w:rPr>
                <w:rFonts w:eastAsia="Times New Roman" w:cs="Open Sans"/>
                <w:color w:val="000000"/>
                <w:sz w:val="18"/>
                <w:szCs w:val="18"/>
                <w:lang w:eastAsia="fr-FR"/>
              </w:rPr>
              <w:t>150</w:t>
            </w:r>
          </w:p>
        </w:tc>
        <w:tc>
          <w:tcPr>
            <w:tcW w:w="496" w:type="dxa"/>
            <w:noWrap/>
            <w:vAlign w:val="bottom"/>
            <w:hideMark/>
          </w:tcPr>
          <w:p w14:paraId="64378F13" w14:textId="77777777" w:rsidR="00941FCB" w:rsidRPr="00360C9C" w:rsidRDefault="00941FCB" w:rsidP="00941FCB">
            <w:pPr>
              <w:spacing w:before="0" w:after="0" w:line="240" w:lineRule="auto"/>
              <w:rPr>
                <w:rFonts w:eastAsia="Times New Roman" w:cs="Open Sans"/>
                <w:sz w:val="18"/>
                <w:szCs w:val="18"/>
                <w:lang w:eastAsia="fr-FR"/>
              </w:rPr>
            </w:pPr>
          </w:p>
        </w:tc>
        <w:tc>
          <w:tcPr>
            <w:tcW w:w="496" w:type="dxa"/>
            <w:noWrap/>
            <w:vAlign w:val="bottom"/>
            <w:hideMark/>
          </w:tcPr>
          <w:p w14:paraId="4278C7E9" w14:textId="77777777" w:rsidR="00941FCB" w:rsidRPr="00360C9C" w:rsidRDefault="00941FCB" w:rsidP="00941FCB">
            <w:pPr>
              <w:spacing w:before="0" w:after="0" w:line="240" w:lineRule="auto"/>
              <w:rPr>
                <w:rFonts w:eastAsia="Times New Roman" w:cs="Open Sans"/>
                <w:sz w:val="18"/>
                <w:szCs w:val="18"/>
                <w:lang w:eastAsia="fr-FR"/>
              </w:rPr>
            </w:pPr>
          </w:p>
        </w:tc>
        <w:tc>
          <w:tcPr>
            <w:tcW w:w="662" w:type="dxa"/>
            <w:vAlign w:val="bottom"/>
          </w:tcPr>
          <w:p w14:paraId="0EE0F117"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p>
        </w:tc>
        <w:tc>
          <w:tcPr>
            <w:tcW w:w="892" w:type="dxa"/>
            <w:noWrap/>
            <w:vAlign w:val="bottom"/>
          </w:tcPr>
          <w:p w14:paraId="2E9A00B9" w14:textId="255D2EFD" w:rsidR="00941FCB" w:rsidRPr="00360C9C" w:rsidRDefault="00941FCB" w:rsidP="00941FCB">
            <w:pPr>
              <w:spacing w:before="0" w:after="0" w:line="240" w:lineRule="auto"/>
              <w:jc w:val="right"/>
              <w:rPr>
                <w:rFonts w:eastAsia="Times New Roman" w:cs="Open Sans"/>
                <w:color w:val="000000"/>
                <w:sz w:val="18"/>
                <w:szCs w:val="18"/>
                <w:lang w:eastAsia="fr-FR"/>
              </w:rPr>
            </w:pPr>
            <w:r>
              <w:rPr>
                <w:rFonts w:ascii="Aptos Narrow" w:hAnsi="Aptos Narrow"/>
                <w:color w:val="000000"/>
                <w:sz w:val="22"/>
              </w:rPr>
              <w:t>150</w:t>
            </w:r>
          </w:p>
        </w:tc>
      </w:tr>
      <w:tr w:rsidR="00941FCB" w:rsidRPr="00360C9C" w14:paraId="238B26ED" w14:textId="77777777" w:rsidTr="001E4B6B">
        <w:trPr>
          <w:trHeight w:val="576"/>
        </w:trPr>
        <w:tc>
          <w:tcPr>
            <w:tcW w:w="3848" w:type="dxa"/>
            <w:vAlign w:val="bottom"/>
            <w:hideMark/>
          </w:tcPr>
          <w:p w14:paraId="478DC4C6" w14:textId="234F9EB5" w:rsidR="00941FCB" w:rsidRPr="00360C9C" w:rsidRDefault="00941FCB" w:rsidP="00941FCB">
            <w:pPr>
              <w:spacing w:before="0" w:after="0" w:line="240" w:lineRule="auto"/>
              <w:rPr>
                <w:rFonts w:eastAsia="Times New Roman" w:cs="Open Sans"/>
                <w:color w:val="000000"/>
                <w:sz w:val="18"/>
                <w:szCs w:val="18"/>
                <w:lang w:eastAsia="fr-FR"/>
              </w:rPr>
            </w:pPr>
            <w:r w:rsidRPr="00360C9C">
              <w:rPr>
                <w:rFonts w:eastAsia="Times New Roman" w:cs="Open Sans"/>
                <w:color w:val="000000"/>
                <w:sz w:val="18"/>
                <w:szCs w:val="18"/>
                <w:lang w:eastAsia="fr-FR"/>
              </w:rPr>
              <w:t>Emploi local am</w:t>
            </w:r>
            <w:r>
              <w:rPr>
                <w:rFonts w:eastAsia="Times New Roman" w:cs="Open Sans"/>
                <w:color w:val="000000"/>
                <w:sz w:val="18"/>
                <w:szCs w:val="18"/>
                <w:lang w:eastAsia="fr-FR"/>
              </w:rPr>
              <w:t>é</w:t>
            </w:r>
            <w:r w:rsidRPr="00360C9C">
              <w:rPr>
                <w:rFonts w:eastAsia="Times New Roman" w:cs="Open Sans"/>
                <w:color w:val="000000"/>
                <w:sz w:val="18"/>
                <w:szCs w:val="18"/>
                <w:lang w:eastAsia="fr-FR"/>
              </w:rPr>
              <w:t xml:space="preserve">nagement route, stabilisation </w:t>
            </w:r>
            <w:r>
              <w:rPr>
                <w:rFonts w:eastAsia="Times New Roman" w:cs="Open Sans"/>
                <w:color w:val="000000"/>
                <w:sz w:val="18"/>
                <w:szCs w:val="18"/>
                <w:lang w:eastAsia="fr-FR"/>
              </w:rPr>
              <w:t>é</w:t>
            </w:r>
            <w:r w:rsidRPr="00360C9C">
              <w:rPr>
                <w:rFonts w:eastAsia="Times New Roman" w:cs="Open Sans"/>
                <w:color w:val="000000"/>
                <w:sz w:val="18"/>
                <w:szCs w:val="18"/>
                <w:lang w:eastAsia="fr-FR"/>
              </w:rPr>
              <w:t>rosion</w:t>
            </w:r>
          </w:p>
        </w:tc>
        <w:tc>
          <w:tcPr>
            <w:tcW w:w="688" w:type="dxa"/>
            <w:noWrap/>
            <w:vAlign w:val="bottom"/>
            <w:hideMark/>
          </w:tcPr>
          <w:p w14:paraId="24C2B114" w14:textId="77777777" w:rsidR="00941FCB" w:rsidRPr="00360C9C" w:rsidRDefault="00941FCB" w:rsidP="00941FCB">
            <w:pPr>
              <w:spacing w:before="0" w:after="0" w:line="240" w:lineRule="auto"/>
              <w:rPr>
                <w:rFonts w:eastAsia="Times New Roman" w:cs="Open Sans"/>
                <w:color w:val="000000"/>
                <w:sz w:val="18"/>
                <w:szCs w:val="18"/>
                <w:lang w:eastAsia="fr-FR"/>
              </w:rPr>
            </w:pPr>
          </w:p>
        </w:tc>
        <w:tc>
          <w:tcPr>
            <w:tcW w:w="709" w:type="dxa"/>
            <w:noWrap/>
            <w:vAlign w:val="bottom"/>
            <w:hideMark/>
          </w:tcPr>
          <w:p w14:paraId="5C101B3D" w14:textId="77777777" w:rsidR="00941FCB" w:rsidRPr="00360C9C" w:rsidRDefault="00941FCB" w:rsidP="00941FCB">
            <w:pPr>
              <w:spacing w:before="0" w:after="0" w:line="240" w:lineRule="auto"/>
              <w:rPr>
                <w:rFonts w:eastAsia="Times New Roman" w:cs="Open Sans"/>
                <w:sz w:val="18"/>
                <w:szCs w:val="18"/>
                <w:lang w:eastAsia="fr-FR"/>
              </w:rPr>
            </w:pPr>
          </w:p>
        </w:tc>
        <w:tc>
          <w:tcPr>
            <w:tcW w:w="567" w:type="dxa"/>
            <w:noWrap/>
            <w:vAlign w:val="bottom"/>
            <w:hideMark/>
          </w:tcPr>
          <w:p w14:paraId="70F1DE3B" w14:textId="77777777" w:rsidR="00941FCB" w:rsidRPr="00360C9C" w:rsidRDefault="00941FCB" w:rsidP="00941FCB">
            <w:pPr>
              <w:spacing w:before="0" w:after="0" w:line="240" w:lineRule="auto"/>
              <w:rPr>
                <w:rFonts w:eastAsia="Times New Roman" w:cs="Open Sans"/>
                <w:sz w:val="18"/>
                <w:szCs w:val="18"/>
                <w:lang w:eastAsia="fr-FR"/>
              </w:rPr>
            </w:pPr>
          </w:p>
        </w:tc>
        <w:tc>
          <w:tcPr>
            <w:tcW w:w="449" w:type="dxa"/>
            <w:noWrap/>
            <w:vAlign w:val="bottom"/>
            <w:hideMark/>
          </w:tcPr>
          <w:p w14:paraId="09E76CEE" w14:textId="77777777" w:rsidR="00941FCB" w:rsidRPr="00360C9C" w:rsidRDefault="00941FCB" w:rsidP="00941FCB">
            <w:pPr>
              <w:spacing w:before="0" w:after="0" w:line="240" w:lineRule="auto"/>
              <w:rPr>
                <w:rFonts w:eastAsia="Times New Roman" w:cs="Open Sans"/>
                <w:sz w:val="18"/>
                <w:szCs w:val="18"/>
                <w:lang w:eastAsia="fr-FR"/>
              </w:rPr>
            </w:pPr>
          </w:p>
        </w:tc>
        <w:tc>
          <w:tcPr>
            <w:tcW w:w="449" w:type="dxa"/>
            <w:noWrap/>
            <w:vAlign w:val="bottom"/>
            <w:hideMark/>
          </w:tcPr>
          <w:p w14:paraId="0E4AA4BB"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r w:rsidRPr="00360C9C">
              <w:rPr>
                <w:rFonts w:eastAsia="Times New Roman" w:cs="Open Sans"/>
                <w:color w:val="000000"/>
                <w:sz w:val="18"/>
                <w:szCs w:val="18"/>
                <w:lang w:eastAsia="fr-FR"/>
              </w:rPr>
              <w:t>146</w:t>
            </w:r>
          </w:p>
        </w:tc>
        <w:tc>
          <w:tcPr>
            <w:tcW w:w="520" w:type="dxa"/>
            <w:noWrap/>
            <w:vAlign w:val="bottom"/>
            <w:hideMark/>
          </w:tcPr>
          <w:p w14:paraId="609E4B3C"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p>
        </w:tc>
        <w:tc>
          <w:tcPr>
            <w:tcW w:w="496" w:type="dxa"/>
            <w:noWrap/>
            <w:vAlign w:val="bottom"/>
            <w:hideMark/>
          </w:tcPr>
          <w:p w14:paraId="61A2DA7C" w14:textId="77777777" w:rsidR="00941FCB" w:rsidRPr="00360C9C" w:rsidRDefault="00941FCB" w:rsidP="00941FCB">
            <w:pPr>
              <w:spacing w:before="0" w:after="0" w:line="240" w:lineRule="auto"/>
              <w:rPr>
                <w:rFonts w:eastAsia="Times New Roman" w:cs="Open Sans"/>
                <w:sz w:val="18"/>
                <w:szCs w:val="18"/>
                <w:lang w:eastAsia="fr-FR"/>
              </w:rPr>
            </w:pPr>
          </w:p>
        </w:tc>
        <w:tc>
          <w:tcPr>
            <w:tcW w:w="496" w:type="dxa"/>
            <w:noWrap/>
            <w:vAlign w:val="bottom"/>
            <w:hideMark/>
          </w:tcPr>
          <w:p w14:paraId="3FA4B0C5" w14:textId="77777777" w:rsidR="00941FCB" w:rsidRPr="00360C9C" w:rsidRDefault="00941FCB" w:rsidP="00941FCB">
            <w:pPr>
              <w:spacing w:before="0" w:after="0" w:line="240" w:lineRule="auto"/>
              <w:rPr>
                <w:rFonts w:eastAsia="Times New Roman" w:cs="Open Sans"/>
                <w:sz w:val="18"/>
                <w:szCs w:val="18"/>
                <w:lang w:eastAsia="fr-FR"/>
              </w:rPr>
            </w:pPr>
          </w:p>
        </w:tc>
        <w:tc>
          <w:tcPr>
            <w:tcW w:w="662" w:type="dxa"/>
            <w:vAlign w:val="bottom"/>
          </w:tcPr>
          <w:p w14:paraId="66431957"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p>
        </w:tc>
        <w:tc>
          <w:tcPr>
            <w:tcW w:w="892" w:type="dxa"/>
            <w:noWrap/>
            <w:vAlign w:val="bottom"/>
          </w:tcPr>
          <w:p w14:paraId="2C1E5AB9" w14:textId="02E05437" w:rsidR="00941FCB" w:rsidRPr="00360C9C" w:rsidRDefault="00941FCB" w:rsidP="00941FCB">
            <w:pPr>
              <w:spacing w:before="0" w:after="0" w:line="240" w:lineRule="auto"/>
              <w:jc w:val="right"/>
              <w:rPr>
                <w:rFonts w:eastAsia="Times New Roman" w:cs="Open Sans"/>
                <w:color w:val="000000"/>
                <w:sz w:val="18"/>
                <w:szCs w:val="18"/>
                <w:lang w:eastAsia="fr-FR"/>
              </w:rPr>
            </w:pPr>
            <w:r>
              <w:rPr>
                <w:rFonts w:ascii="Aptos Narrow" w:hAnsi="Aptos Narrow"/>
                <w:color w:val="000000"/>
                <w:sz w:val="22"/>
              </w:rPr>
              <w:t>146</w:t>
            </w:r>
          </w:p>
        </w:tc>
      </w:tr>
      <w:tr w:rsidR="00941FCB" w:rsidRPr="00360C9C" w14:paraId="78B9F2CD" w14:textId="77777777" w:rsidTr="001E4B6B">
        <w:trPr>
          <w:trHeight w:val="864"/>
        </w:trPr>
        <w:tc>
          <w:tcPr>
            <w:tcW w:w="3848" w:type="dxa"/>
            <w:vAlign w:val="bottom"/>
            <w:hideMark/>
          </w:tcPr>
          <w:p w14:paraId="2C612306" w14:textId="77777777" w:rsidR="00941FCB" w:rsidRPr="00360C9C" w:rsidRDefault="00941FCB" w:rsidP="00941FCB">
            <w:pPr>
              <w:spacing w:before="0" w:after="0" w:line="240" w:lineRule="auto"/>
              <w:rPr>
                <w:rFonts w:eastAsia="Times New Roman" w:cs="Open Sans"/>
                <w:color w:val="000000"/>
                <w:sz w:val="18"/>
                <w:szCs w:val="18"/>
                <w:lang w:eastAsia="fr-FR"/>
              </w:rPr>
            </w:pPr>
            <w:r w:rsidRPr="00360C9C">
              <w:rPr>
                <w:rFonts w:eastAsia="Times New Roman" w:cs="Open Sans"/>
                <w:color w:val="000000"/>
                <w:sz w:val="18"/>
                <w:szCs w:val="18"/>
                <w:lang w:eastAsia="fr-FR"/>
              </w:rPr>
              <w:t>Sensibilisation sur la cohésion sociale, la solidarité entre eux et la lutte contre la pauvreté, source d’inégalités et de conflits</w:t>
            </w:r>
          </w:p>
        </w:tc>
        <w:tc>
          <w:tcPr>
            <w:tcW w:w="688" w:type="dxa"/>
            <w:noWrap/>
            <w:vAlign w:val="bottom"/>
            <w:hideMark/>
          </w:tcPr>
          <w:p w14:paraId="25895740"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r w:rsidRPr="00360C9C">
              <w:rPr>
                <w:rFonts w:eastAsia="Times New Roman" w:cs="Open Sans"/>
                <w:color w:val="000000"/>
                <w:sz w:val="18"/>
                <w:szCs w:val="18"/>
                <w:lang w:eastAsia="fr-FR"/>
              </w:rPr>
              <w:t>140</w:t>
            </w:r>
          </w:p>
        </w:tc>
        <w:tc>
          <w:tcPr>
            <w:tcW w:w="709" w:type="dxa"/>
            <w:noWrap/>
            <w:vAlign w:val="bottom"/>
            <w:hideMark/>
          </w:tcPr>
          <w:p w14:paraId="20E50353"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p>
        </w:tc>
        <w:tc>
          <w:tcPr>
            <w:tcW w:w="567" w:type="dxa"/>
            <w:noWrap/>
            <w:vAlign w:val="bottom"/>
            <w:hideMark/>
          </w:tcPr>
          <w:p w14:paraId="0CBD4F29" w14:textId="77777777" w:rsidR="00941FCB" w:rsidRPr="00360C9C" w:rsidRDefault="00941FCB" w:rsidP="00941FCB">
            <w:pPr>
              <w:spacing w:before="0" w:after="0" w:line="240" w:lineRule="auto"/>
              <w:rPr>
                <w:rFonts w:eastAsia="Times New Roman" w:cs="Open Sans"/>
                <w:sz w:val="18"/>
                <w:szCs w:val="18"/>
                <w:lang w:eastAsia="fr-FR"/>
              </w:rPr>
            </w:pPr>
          </w:p>
        </w:tc>
        <w:tc>
          <w:tcPr>
            <w:tcW w:w="449" w:type="dxa"/>
            <w:noWrap/>
            <w:vAlign w:val="bottom"/>
            <w:hideMark/>
          </w:tcPr>
          <w:p w14:paraId="5592A0B9" w14:textId="77777777" w:rsidR="00941FCB" w:rsidRPr="00360C9C" w:rsidRDefault="00941FCB" w:rsidP="00941FCB">
            <w:pPr>
              <w:spacing w:before="0" w:after="0" w:line="240" w:lineRule="auto"/>
              <w:rPr>
                <w:rFonts w:eastAsia="Times New Roman" w:cs="Open Sans"/>
                <w:sz w:val="18"/>
                <w:szCs w:val="18"/>
                <w:lang w:eastAsia="fr-FR"/>
              </w:rPr>
            </w:pPr>
          </w:p>
        </w:tc>
        <w:tc>
          <w:tcPr>
            <w:tcW w:w="449" w:type="dxa"/>
            <w:noWrap/>
            <w:vAlign w:val="bottom"/>
            <w:hideMark/>
          </w:tcPr>
          <w:p w14:paraId="752CC853" w14:textId="77777777" w:rsidR="00941FCB" w:rsidRPr="00360C9C" w:rsidRDefault="00941FCB" w:rsidP="00941FCB">
            <w:pPr>
              <w:spacing w:before="0" w:after="0" w:line="240" w:lineRule="auto"/>
              <w:rPr>
                <w:rFonts w:eastAsia="Times New Roman" w:cs="Open Sans"/>
                <w:sz w:val="18"/>
                <w:szCs w:val="18"/>
                <w:lang w:eastAsia="fr-FR"/>
              </w:rPr>
            </w:pPr>
          </w:p>
        </w:tc>
        <w:tc>
          <w:tcPr>
            <w:tcW w:w="520" w:type="dxa"/>
            <w:noWrap/>
            <w:vAlign w:val="bottom"/>
            <w:hideMark/>
          </w:tcPr>
          <w:p w14:paraId="520E004D" w14:textId="77777777" w:rsidR="00941FCB" w:rsidRPr="00360C9C" w:rsidRDefault="00941FCB" w:rsidP="00941FCB">
            <w:pPr>
              <w:spacing w:before="0" w:after="0" w:line="240" w:lineRule="auto"/>
              <w:rPr>
                <w:rFonts w:eastAsia="Times New Roman" w:cs="Open Sans"/>
                <w:sz w:val="18"/>
                <w:szCs w:val="18"/>
                <w:lang w:eastAsia="fr-FR"/>
              </w:rPr>
            </w:pPr>
          </w:p>
        </w:tc>
        <w:tc>
          <w:tcPr>
            <w:tcW w:w="496" w:type="dxa"/>
            <w:noWrap/>
            <w:vAlign w:val="bottom"/>
            <w:hideMark/>
          </w:tcPr>
          <w:p w14:paraId="5780D429" w14:textId="77777777" w:rsidR="00941FCB" w:rsidRPr="00360C9C" w:rsidRDefault="00941FCB" w:rsidP="00941FCB">
            <w:pPr>
              <w:spacing w:before="0" w:after="0" w:line="240" w:lineRule="auto"/>
              <w:rPr>
                <w:rFonts w:eastAsia="Times New Roman" w:cs="Open Sans"/>
                <w:sz w:val="18"/>
                <w:szCs w:val="18"/>
                <w:lang w:eastAsia="fr-FR"/>
              </w:rPr>
            </w:pPr>
          </w:p>
        </w:tc>
        <w:tc>
          <w:tcPr>
            <w:tcW w:w="496" w:type="dxa"/>
            <w:noWrap/>
            <w:vAlign w:val="bottom"/>
            <w:hideMark/>
          </w:tcPr>
          <w:p w14:paraId="0458103A" w14:textId="77777777" w:rsidR="00941FCB" w:rsidRPr="00360C9C" w:rsidRDefault="00941FCB" w:rsidP="00941FCB">
            <w:pPr>
              <w:spacing w:before="0" w:after="0" w:line="240" w:lineRule="auto"/>
              <w:rPr>
                <w:rFonts w:eastAsia="Times New Roman" w:cs="Open Sans"/>
                <w:sz w:val="18"/>
                <w:szCs w:val="18"/>
                <w:lang w:eastAsia="fr-FR"/>
              </w:rPr>
            </w:pPr>
          </w:p>
        </w:tc>
        <w:tc>
          <w:tcPr>
            <w:tcW w:w="662" w:type="dxa"/>
            <w:vAlign w:val="bottom"/>
          </w:tcPr>
          <w:p w14:paraId="49D05741"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p>
        </w:tc>
        <w:tc>
          <w:tcPr>
            <w:tcW w:w="892" w:type="dxa"/>
            <w:noWrap/>
            <w:vAlign w:val="bottom"/>
          </w:tcPr>
          <w:p w14:paraId="417320B1" w14:textId="730B6D36" w:rsidR="00941FCB" w:rsidRPr="00360C9C" w:rsidRDefault="00941FCB" w:rsidP="00941FCB">
            <w:pPr>
              <w:spacing w:before="0" w:after="0" w:line="240" w:lineRule="auto"/>
              <w:jc w:val="right"/>
              <w:rPr>
                <w:rFonts w:eastAsia="Times New Roman" w:cs="Open Sans"/>
                <w:color w:val="000000"/>
                <w:sz w:val="18"/>
                <w:szCs w:val="18"/>
                <w:lang w:eastAsia="fr-FR"/>
              </w:rPr>
            </w:pPr>
            <w:r>
              <w:rPr>
                <w:rFonts w:ascii="Aptos Narrow" w:hAnsi="Aptos Narrow"/>
                <w:color w:val="000000"/>
                <w:sz w:val="22"/>
              </w:rPr>
              <w:t>140</w:t>
            </w:r>
          </w:p>
        </w:tc>
      </w:tr>
      <w:tr w:rsidR="00941FCB" w:rsidRPr="00360C9C" w14:paraId="29FEFDFD" w14:textId="77777777" w:rsidTr="001E4B6B">
        <w:trPr>
          <w:trHeight w:val="288"/>
        </w:trPr>
        <w:tc>
          <w:tcPr>
            <w:tcW w:w="3848" w:type="dxa"/>
            <w:vAlign w:val="bottom"/>
            <w:hideMark/>
          </w:tcPr>
          <w:p w14:paraId="10A48DC6" w14:textId="77777777" w:rsidR="00941FCB" w:rsidRPr="00360C9C" w:rsidRDefault="00941FCB" w:rsidP="00941FCB">
            <w:pPr>
              <w:spacing w:before="0" w:after="0" w:line="240" w:lineRule="auto"/>
              <w:rPr>
                <w:rFonts w:eastAsia="Times New Roman" w:cs="Open Sans"/>
                <w:color w:val="000000"/>
                <w:sz w:val="18"/>
                <w:szCs w:val="18"/>
                <w:lang w:eastAsia="fr-FR"/>
              </w:rPr>
            </w:pPr>
            <w:r w:rsidRPr="00360C9C">
              <w:rPr>
                <w:rFonts w:eastAsia="Times New Roman" w:cs="Open Sans"/>
                <w:color w:val="000000"/>
                <w:sz w:val="18"/>
                <w:szCs w:val="18"/>
                <w:lang w:eastAsia="fr-FR"/>
              </w:rPr>
              <w:t>Appui dans l’acquisition foncière</w:t>
            </w:r>
          </w:p>
        </w:tc>
        <w:tc>
          <w:tcPr>
            <w:tcW w:w="688" w:type="dxa"/>
            <w:noWrap/>
            <w:vAlign w:val="bottom"/>
            <w:hideMark/>
          </w:tcPr>
          <w:p w14:paraId="13DF9C9B"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r w:rsidRPr="00360C9C">
              <w:rPr>
                <w:rFonts w:eastAsia="Times New Roman" w:cs="Open Sans"/>
                <w:color w:val="000000"/>
                <w:sz w:val="18"/>
                <w:szCs w:val="18"/>
                <w:lang w:eastAsia="fr-FR"/>
              </w:rPr>
              <w:t>124</w:t>
            </w:r>
          </w:p>
        </w:tc>
        <w:tc>
          <w:tcPr>
            <w:tcW w:w="709" w:type="dxa"/>
            <w:noWrap/>
            <w:vAlign w:val="bottom"/>
            <w:hideMark/>
          </w:tcPr>
          <w:p w14:paraId="04879837"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p>
        </w:tc>
        <w:tc>
          <w:tcPr>
            <w:tcW w:w="567" w:type="dxa"/>
            <w:noWrap/>
            <w:vAlign w:val="bottom"/>
            <w:hideMark/>
          </w:tcPr>
          <w:p w14:paraId="60E72868" w14:textId="77777777" w:rsidR="00941FCB" w:rsidRPr="00360C9C" w:rsidRDefault="00941FCB" w:rsidP="00941FCB">
            <w:pPr>
              <w:spacing w:before="0" w:after="0" w:line="240" w:lineRule="auto"/>
              <w:rPr>
                <w:rFonts w:eastAsia="Times New Roman" w:cs="Open Sans"/>
                <w:sz w:val="18"/>
                <w:szCs w:val="18"/>
                <w:lang w:eastAsia="fr-FR"/>
              </w:rPr>
            </w:pPr>
          </w:p>
        </w:tc>
        <w:tc>
          <w:tcPr>
            <w:tcW w:w="449" w:type="dxa"/>
            <w:noWrap/>
            <w:vAlign w:val="bottom"/>
            <w:hideMark/>
          </w:tcPr>
          <w:p w14:paraId="1F0600FD" w14:textId="77777777" w:rsidR="00941FCB" w:rsidRPr="00360C9C" w:rsidRDefault="00941FCB" w:rsidP="00941FCB">
            <w:pPr>
              <w:spacing w:before="0" w:after="0" w:line="240" w:lineRule="auto"/>
              <w:rPr>
                <w:rFonts w:eastAsia="Times New Roman" w:cs="Open Sans"/>
                <w:sz w:val="18"/>
                <w:szCs w:val="18"/>
                <w:lang w:eastAsia="fr-FR"/>
              </w:rPr>
            </w:pPr>
          </w:p>
        </w:tc>
        <w:tc>
          <w:tcPr>
            <w:tcW w:w="449" w:type="dxa"/>
            <w:noWrap/>
            <w:vAlign w:val="bottom"/>
            <w:hideMark/>
          </w:tcPr>
          <w:p w14:paraId="4460B045" w14:textId="77777777" w:rsidR="00941FCB" w:rsidRPr="00360C9C" w:rsidRDefault="00941FCB" w:rsidP="00941FCB">
            <w:pPr>
              <w:spacing w:before="0" w:after="0" w:line="240" w:lineRule="auto"/>
              <w:rPr>
                <w:rFonts w:eastAsia="Times New Roman" w:cs="Open Sans"/>
                <w:sz w:val="18"/>
                <w:szCs w:val="18"/>
                <w:lang w:eastAsia="fr-FR"/>
              </w:rPr>
            </w:pPr>
          </w:p>
        </w:tc>
        <w:tc>
          <w:tcPr>
            <w:tcW w:w="520" w:type="dxa"/>
            <w:noWrap/>
            <w:vAlign w:val="bottom"/>
            <w:hideMark/>
          </w:tcPr>
          <w:p w14:paraId="4C57100C" w14:textId="77777777" w:rsidR="00941FCB" w:rsidRPr="00360C9C" w:rsidRDefault="00941FCB" w:rsidP="00941FCB">
            <w:pPr>
              <w:spacing w:before="0" w:after="0" w:line="240" w:lineRule="auto"/>
              <w:rPr>
                <w:rFonts w:eastAsia="Times New Roman" w:cs="Open Sans"/>
                <w:sz w:val="18"/>
                <w:szCs w:val="18"/>
                <w:lang w:eastAsia="fr-FR"/>
              </w:rPr>
            </w:pPr>
          </w:p>
        </w:tc>
        <w:tc>
          <w:tcPr>
            <w:tcW w:w="496" w:type="dxa"/>
            <w:noWrap/>
            <w:vAlign w:val="bottom"/>
            <w:hideMark/>
          </w:tcPr>
          <w:p w14:paraId="42BD99A2" w14:textId="77777777" w:rsidR="00941FCB" w:rsidRPr="00360C9C" w:rsidRDefault="00941FCB" w:rsidP="00941FCB">
            <w:pPr>
              <w:spacing w:before="0" w:after="0" w:line="240" w:lineRule="auto"/>
              <w:rPr>
                <w:rFonts w:eastAsia="Times New Roman" w:cs="Open Sans"/>
                <w:sz w:val="18"/>
                <w:szCs w:val="18"/>
                <w:lang w:eastAsia="fr-FR"/>
              </w:rPr>
            </w:pPr>
          </w:p>
        </w:tc>
        <w:tc>
          <w:tcPr>
            <w:tcW w:w="496" w:type="dxa"/>
            <w:noWrap/>
            <w:vAlign w:val="bottom"/>
            <w:hideMark/>
          </w:tcPr>
          <w:p w14:paraId="7EBBA281" w14:textId="77777777" w:rsidR="00941FCB" w:rsidRPr="00360C9C" w:rsidRDefault="00941FCB" w:rsidP="00941FCB">
            <w:pPr>
              <w:spacing w:before="0" w:after="0" w:line="240" w:lineRule="auto"/>
              <w:rPr>
                <w:rFonts w:eastAsia="Times New Roman" w:cs="Open Sans"/>
                <w:sz w:val="18"/>
                <w:szCs w:val="18"/>
                <w:lang w:eastAsia="fr-FR"/>
              </w:rPr>
            </w:pPr>
          </w:p>
        </w:tc>
        <w:tc>
          <w:tcPr>
            <w:tcW w:w="662" w:type="dxa"/>
            <w:vAlign w:val="bottom"/>
          </w:tcPr>
          <w:p w14:paraId="79FCA447"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p>
        </w:tc>
        <w:tc>
          <w:tcPr>
            <w:tcW w:w="892" w:type="dxa"/>
            <w:noWrap/>
            <w:vAlign w:val="bottom"/>
          </w:tcPr>
          <w:p w14:paraId="7F563A14" w14:textId="1869A968" w:rsidR="00941FCB" w:rsidRPr="00360C9C" w:rsidRDefault="00941FCB" w:rsidP="00941FCB">
            <w:pPr>
              <w:spacing w:before="0" w:after="0" w:line="240" w:lineRule="auto"/>
              <w:jc w:val="right"/>
              <w:rPr>
                <w:rFonts w:eastAsia="Times New Roman" w:cs="Open Sans"/>
                <w:color w:val="000000"/>
                <w:sz w:val="18"/>
                <w:szCs w:val="18"/>
                <w:lang w:eastAsia="fr-FR"/>
              </w:rPr>
            </w:pPr>
            <w:r>
              <w:rPr>
                <w:rFonts w:ascii="Aptos Narrow" w:hAnsi="Aptos Narrow"/>
                <w:color w:val="000000"/>
                <w:sz w:val="22"/>
              </w:rPr>
              <w:t>124</w:t>
            </w:r>
          </w:p>
        </w:tc>
      </w:tr>
      <w:tr w:rsidR="00941FCB" w:rsidRPr="00360C9C" w14:paraId="6D946873" w14:textId="77777777" w:rsidTr="001E4B6B">
        <w:trPr>
          <w:trHeight w:val="288"/>
        </w:trPr>
        <w:tc>
          <w:tcPr>
            <w:tcW w:w="3848" w:type="dxa"/>
            <w:vAlign w:val="bottom"/>
            <w:hideMark/>
          </w:tcPr>
          <w:p w14:paraId="36629BF7" w14:textId="77777777" w:rsidR="00941FCB" w:rsidRPr="00360C9C" w:rsidRDefault="00941FCB" w:rsidP="00941FCB">
            <w:pPr>
              <w:spacing w:before="0" w:after="0" w:line="240" w:lineRule="auto"/>
              <w:rPr>
                <w:rFonts w:eastAsia="Times New Roman" w:cs="Open Sans"/>
                <w:color w:val="000000"/>
                <w:sz w:val="18"/>
                <w:szCs w:val="18"/>
                <w:lang w:eastAsia="fr-FR"/>
              </w:rPr>
            </w:pPr>
            <w:r w:rsidRPr="00360C9C">
              <w:rPr>
                <w:rFonts w:eastAsia="Times New Roman" w:cs="Open Sans"/>
                <w:color w:val="000000"/>
                <w:sz w:val="18"/>
                <w:szCs w:val="18"/>
                <w:lang w:eastAsia="fr-FR"/>
              </w:rPr>
              <w:t>Marché de production des plants en pépinière</w:t>
            </w:r>
          </w:p>
        </w:tc>
        <w:tc>
          <w:tcPr>
            <w:tcW w:w="688" w:type="dxa"/>
            <w:noWrap/>
            <w:vAlign w:val="bottom"/>
            <w:hideMark/>
          </w:tcPr>
          <w:p w14:paraId="00063065"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r w:rsidRPr="00360C9C">
              <w:rPr>
                <w:rFonts w:eastAsia="Times New Roman" w:cs="Open Sans"/>
                <w:color w:val="000000"/>
                <w:sz w:val="18"/>
                <w:szCs w:val="18"/>
                <w:lang w:eastAsia="fr-FR"/>
              </w:rPr>
              <w:t>47</w:t>
            </w:r>
          </w:p>
        </w:tc>
        <w:tc>
          <w:tcPr>
            <w:tcW w:w="709" w:type="dxa"/>
            <w:noWrap/>
            <w:vAlign w:val="bottom"/>
            <w:hideMark/>
          </w:tcPr>
          <w:p w14:paraId="087B481E"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p>
        </w:tc>
        <w:tc>
          <w:tcPr>
            <w:tcW w:w="567" w:type="dxa"/>
            <w:noWrap/>
            <w:vAlign w:val="bottom"/>
            <w:hideMark/>
          </w:tcPr>
          <w:p w14:paraId="7C8A6DEE" w14:textId="77777777" w:rsidR="00941FCB" w:rsidRPr="00360C9C" w:rsidRDefault="00941FCB" w:rsidP="00941FCB">
            <w:pPr>
              <w:spacing w:before="0" w:after="0" w:line="240" w:lineRule="auto"/>
              <w:rPr>
                <w:rFonts w:eastAsia="Times New Roman" w:cs="Open Sans"/>
                <w:sz w:val="18"/>
                <w:szCs w:val="18"/>
                <w:lang w:eastAsia="fr-FR"/>
              </w:rPr>
            </w:pPr>
          </w:p>
        </w:tc>
        <w:tc>
          <w:tcPr>
            <w:tcW w:w="449" w:type="dxa"/>
            <w:noWrap/>
            <w:vAlign w:val="bottom"/>
            <w:hideMark/>
          </w:tcPr>
          <w:p w14:paraId="65A83272" w14:textId="77777777" w:rsidR="00941FCB" w:rsidRPr="00360C9C" w:rsidRDefault="00941FCB" w:rsidP="00941FCB">
            <w:pPr>
              <w:spacing w:before="0" w:after="0" w:line="240" w:lineRule="auto"/>
              <w:rPr>
                <w:rFonts w:eastAsia="Times New Roman" w:cs="Open Sans"/>
                <w:sz w:val="18"/>
                <w:szCs w:val="18"/>
                <w:lang w:eastAsia="fr-FR"/>
              </w:rPr>
            </w:pPr>
          </w:p>
        </w:tc>
        <w:tc>
          <w:tcPr>
            <w:tcW w:w="449" w:type="dxa"/>
            <w:noWrap/>
            <w:vAlign w:val="bottom"/>
            <w:hideMark/>
          </w:tcPr>
          <w:p w14:paraId="00A43847" w14:textId="77777777" w:rsidR="00941FCB" w:rsidRPr="00360C9C" w:rsidRDefault="00941FCB" w:rsidP="00941FCB">
            <w:pPr>
              <w:spacing w:before="0" w:after="0" w:line="240" w:lineRule="auto"/>
              <w:rPr>
                <w:rFonts w:eastAsia="Times New Roman" w:cs="Open Sans"/>
                <w:sz w:val="18"/>
                <w:szCs w:val="18"/>
                <w:lang w:eastAsia="fr-FR"/>
              </w:rPr>
            </w:pPr>
          </w:p>
        </w:tc>
        <w:tc>
          <w:tcPr>
            <w:tcW w:w="520" w:type="dxa"/>
            <w:noWrap/>
            <w:vAlign w:val="bottom"/>
            <w:hideMark/>
          </w:tcPr>
          <w:p w14:paraId="370FAEBF" w14:textId="77777777" w:rsidR="00941FCB" w:rsidRPr="00360C9C" w:rsidRDefault="00941FCB" w:rsidP="00941FCB">
            <w:pPr>
              <w:spacing w:before="0" w:after="0" w:line="240" w:lineRule="auto"/>
              <w:rPr>
                <w:rFonts w:eastAsia="Times New Roman" w:cs="Open Sans"/>
                <w:sz w:val="18"/>
                <w:szCs w:val="18"/>
                <w:lang w:eastAsia="fr-FR"/>
              </w:rPr>
            </w:pPr>
          </w:p>
        </w:tc>
        <w:tc>
          <w:tcPr>
            <w:tcW w:w="496" w:type="dxa"/>
            <w:noWrap/>
            <w:vAlign w:val="bottom"/>
            <w:hideMark/>
          </w:tcPr>
          <w:p w14:paraId="3F194148" w14:textId="77777777" w:rsidR="00941FCB" w:rsidRPr="00360C9C" w:rsidRDefault="00941FCB" w:rsidP="00941FCB">
            <w:pPr>
              <w:spacing w:before="0" w:after="0" w:line="240" w:lineRule="auto"/>
              <w:rPr>
                <w:rFonts w:eastAsia="Times New Roman" w:cs="Open Sans"/>
                <w:sz w:val="18"/>
                <w:szCs w:val="18"/>
                <w:lang w:eastAsia="fr-FR"/>
              </w:rPr>
            </w:pPr>
          </w:p>
        </w:tc>
        <w:tc>
          <w:tcPr>
            <w:tcW w:w="496" w:type="dxa"/>
            <w:noWrap/>
            <w:vAlign w:val="bottom"/>
            <w:hideMark/>
          </w:tcPr>
          <w:p w14:paraId="46EA2AD1"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r w:rsidRPr="00360C9C">
              <w:rPr>
                <w:rFonts w:eastAsia="Times New Roman" w:cs="Open Sans"/>
                <w:color w:val="000000"/>
                <w:sz w:val="18"/>
                <w:szCs w:val="18"/>
                <w:lang w:eastAsia="fr-FR"/>
              </w:rPr>
              <w:t>34</w:t>
            </w:r>
          </w:p>
        </w:tc>
        <w:tc>
          <w:tcPr>
            <w:tcW w:w="662" w:type="dxa"/>
            <w:vAlign w:val="bottom"/>
          </w:tcPr>
          <w:p w14:paraId="19BD2DCE"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p>
        </w:tc>
        <w:tc>
          <w:tcPr>
            <w:tcW w:w="892" w:type="dxa"/>
            <w:noWrap/>
            <w:vAlign w:val="bottom"/>
          </w:tcPr>
          <w:p w14:paraId="20796E97" w14:textId="2894BDD8" w:rsidR="00941FCB" w:rsidRPr="00360C9C" w:rsidRDefault="00941FCB" w:rsidP="00941FCB">
            <w:pPr>
              <w:spacing w:before="0" w:after="0" w:line="240" w:lineRule="auto"/>
              <w:jc w:val="right"/>
              <w:rPr>
                <w:rFonts w:eastAsia="Times New Roman" w:cs="Open Sans"/>
                <w:color w:val="000000"/>
                <w:sz w:val="18"/>
                <w:szCs w:val="18"/>
                <w:lang w:eastAsia="fr-FR"/>
              </w:rPr>
            </w:pPr>
            <w:r>
              <w:rPr>
                <w:rFonts w:ascii="Aptos Narrow" w:hAnsi="Aptos Narrow"/>
                <w:color w:val="000000"/>
                <w:sz w:val="22"/>
              </w:rPr>
              <w:t>81</w:t>
            </w:r>
          </w:p>
        </w:tc>
      </w:tr>
      <w:tr w:rsidR="00941FCB" w:rsidRPr="00360C9C" w14:paraId="5532C910" w14:textId="77777777" w:rsidTr="001E4B6B">
        <w:trPr>
          <w:trHeight w:val="864"/>
        </w:trPr>
        <w:tc>
          <w:tcPr>
            <w:tcW w:w="3848" w:type="dxa"/>
            <w:vAlign w:val="bottom"/>
            <w:hideMark/>
          </w:tcPr>
          <w:p w14:paraId="7177FC8F" w14:textId="77777777" w:rsidR="00941FCB" w:rsidRPr="00360C9C" w:rsidRDefault="00941FCB" w:rsidP="00941FCB">
            <w:pPr>
              <w:spacing w:before="0" w:after="0" w:line="240" w:lineRule="auto"/>
              <w:rPr>
                <w:rFonts w:eastAsia="Times New Roman" w:cs="Open Sans"/>
                <w:color w:val="000000"/>
                <w:sz w:val="18"/>
                <w:szCs w:val="18"/>
                <w:lang w:eastAsia="fr-FR"/>
              </w:rPr>
            </w:pPr>
            <w:r w:rsidRPr="00360C9C">
              <w:rPr>
                <w:rFonts w:eastAsia="Times New Roman" w:cs="Open Sans"/>
                <w:color w:val="000000"/>
                <w:sz w:val="18"/>
                <w:szCs w:val="18"/>
                <w:lang w:eastAsia="fr-FR"/>
              </w:rPr>
              <w:t>Appui en équipement pour écogardes et pisteurs de l’OBPE (Bottes, GPS, smartphones, jumelles d’observations,)</w:t>
            </w:r>
          </w:p>
        </w:tc>
        <w:tc>
          <w:tcPr>
            <w:tcW w:w="688" w:type="dxa"/>
            <w:noWrap/>
            <w:vAlign w:val="bottom"/>
            <w:hideMark/>
          </w:tcPr>
          <w:p w14:paraId="2320F2A9" w14:textId="77777777" w:rsidR="00941FCB" w:rsidRPr="00360C9C" w:rsidRDefault="00941FCB" w:rsidP="00941FCB">
            <w:pPr>
              <w:spacing w:before="0" w:after="0" w:line="240" w:lineRule="auto"/>
              <w:rPr>
                <w:rFonts w:eastAsia="Times New Roman" w:cs="Open Sans"/>
                <w:color w:val="000000"/>
                <w:sz w:val="18"/>
                <w:szCs w:val="18"/>
                <w:lang w:eastAsia="fr-FR"/>
              </w:rPr>
            </w:pPr>
          </w:p>
        </w:tc>
        <w:tc>
          <w:tcPr>
            <w:tcW w:w="709" w:type="dxa"/>
            <w:noWrap/>
            <w:vAlign w:val="bottom"/>
            <w:hideMark/>
          </w:tcPr>
          <w:p w14:paraId="420A08D9" w14:textId="77777777" w:rsidR="00941FCB" w:rsidRPr="00360C9C" w:rsidRDefault="00941FCB" w:rsidP="00941FCB">
            <w:pPr>
              <w:spacing w:before="0" w:after="0" w:line="240" w:lineRule="auto"/>
              <w:rPr>
                <w:rFonts w:eastAsia="Times New Roman" w:cs="Open Sans"/>
                <w:sz w:val="18"/>
                <w:szCs w:val="18"/>
                <w:lang w:eastAsia="fr-FR"/>
              </w:rPr>
            </w:pPr>
          </w:p>
        </w:tc>
        <w:tc>
          <w:tcPr>
            <w:tcW w:w="567" w:type="dxa"/>
            <w:noWrap/>
            <w:vAlign w:val="bottom"/>
            <w:hideMark/>
          </w:tcPr>
          <w:p w14:paraId="1602434D" w14:textId="77777777" w:rsidR="00941FCB" w:rsidRPr="00360C9C" w:rsidRDefault="00941FCB" w:rsidP="00941FCB">
            <w:pPr>
              <w:spacing w:before="0" w:after="0" w:line="240" w:lineRule="auto"/>
              <w:rPr>
                <w:rFonts w:eastAsia="Times New Roman" w:cs="Open Sans"/>
                <w:sz w:val="18"/>
                <w:szCs w:val="18"/>
                <w:lang w:eastAsia="fr-FR"/>
              </w:rPr>
            </w:pPr>
          </w:p>
        </w:tc>
        <w:tc>
          <w:tcPr>
            <w:tcW w:w="449" w:type="dxa"/>
            <w:noWrap/>
            <w:vAlign w:val="bottom"/>
            <w:hideMark/>
          </w:tcPr>
          <w:p w14:paraId="6FDCABF9" w14:textId="77777777" w:rsidR="00941FCB" w:rsidRPr="00360C9C" w:rsidRDefault="00941FCB" w:rsidP="00941FCB">
            <w:pPr>
              <w:spacing w:before="0" w:after="0" w:line="240" w:lineRule="auto"/>
              <w:rPr>
                <w:rFonts w:eastAsia="Times New Roman" w:cs="Open Sans"/>
                <w:sz w:val="18"/>
                <w:szCs w:val="18"/>
                <w:lang w:eastAsia="fr-FR"/>
              </w:rPr>
            </w:pPr>
          </w:p>
        </w:tc>
        <w:tc>
          <w:tcPr>
            <w:tcW w:w="449" w:type="dxa"/>
            <w:noWrap/>
            <w:vAlign w:val="bottom"/>
            <w:hideMark/>
          </w:tcPr>
          <w:p w14:paraId="7FBE68D6" w14:textId="77777777" w:rsidR="00941FCB" w:rsidRPr="00360C9C" w:rsidRDefault="00941FCB" w:rsidP="00941FCB">
            <w:pPr>
              <w:spacing w:before="0" w:after="0" w:line="240" w:lineRule="auto"/>
              <w:rPr>
                <w:rFonts w:eastAsia="Times New Roman" w:cs="Open Sans"/>
                <w:sz w:val="18"/>
                <w:szCs w:val="18"/>
                <w:lang w:eastAsia="fr-FR"/>
              </w:rPr>
            </w:pPr>
          </w:p>
        </w:tc>
        <w:tc>
          <w:tcPr>
            <w:tcW w:w="520" w:type="dxa"/>
            <w:noWrap/>
            <w:vAlign w:val="bottom"/>
            <w:hideMark/>
          </w:tcPr>
          <w:p w14:paraId="46C8E3D6" w14:textId="77777777" w:rsidR="00941FCB" w:rsidRPr="00360C9C" w:rsidRDefault="00941FCB" w:rsidP="00941FCB">
            <w:pPr>
              <w:spacing w:before="0" w:after="0" w:line="240" w:lineRule="auto"/>
              <w:rPr>
                <w:rFonts w:eastAsia="Times New Roman" w:cs="Open Sans"/>
                <w:sz w:val="18"/>
                <w:szCs w:val="18"/>
                <w:lang w:eastAsia="fr-FR"/>
              </w:rPr>
            </w:pPr>
          </w:p>
        </w:tc>
        <w:tc>
          <w:tcPr>
            <w:tcW w:w="496" w:type="dxa"/>
            <w:noWrap/>
            <w:vAlign w:val="bottom"/>
            <w:hideMark/>
          </w:tcPr>
          <w:p w14:paraId="644ECF51"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r w:rsidRPr="00360C9C">
              <w:rPr>
                <w:rFonts w:eastAsia="Times New Roman" w:cs="Open Sans"/>
                <w:color w:val="000000"/>
                <w:sz w:val="18"/>
                <w:szCs w:val="18"/>
                <w:lang w:eastAsia="fr-FR"/>
              </w:rPr>
              <w:t>71</w:t>
            </w:r>
          </w:p>
        </w:tc>
        <w:tc>
          <w:tcPr>
            <w:tcW w:w="496" w:type="dxa"/>
            <w:noWrap/>
            <w:vAlign w:val="bottom"/>
            <w:hideMark/>
          </w:tcPr>
          <w:p w14:paraId="3E7451FC"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p>
        </w:tc>
        <w:tc>
          <w:tcPr>
            <w:tcW w:w="662" w:type="dxa"/>
            <w:vAlign w:val="bottom"/>
          </w:tcPr>
          <w:p w14:paraId="66B012D5"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p>
        </w:tc>
        <w:tc>
          <w:tcPr>
            <w:tcW w:w="892" w:type="dxa"/>
            <w:noWrap/>
            <w:vAlign w:val="bottom"/>
          </w:tcPr>
          <w:p w14:paraId="0F79F82E" w14:textId="6D43D0BF" w:rsidR="00941FCB" w:rsidRPr="00360C9C" w:rsidRDefault="00941FCB" w:rsidP="00941FCB">
            <w:pPr>
              <w:spacing w:before="0" w:after="0" w:line="240" w:lineRule="auto"/>
              <w:jc w:val="right"/>
              <w:rPr>
                <w:rFonts w:eastAsia="Times New Roman" w:cs="Open Sans"/>
                <w:color w:val="000000"/>
                <w:sz w:val="18"/>
                <w:szCs w:val="18"/>
                <w:lang w:eastAsia="fr-FR"/>
              </w:rPr>
            </w:pPr>
            <w:r>
              <w:rPr>
                <w:rFonts w:ascii="Aptos Narrow" w:hAnsi="Aptos Narrow"/>
                <w:color w:val="000000"/>
                <w:sz w:val="22"/>
              </w:rPr>
              <w:t>71</w:t>
            </w:r>
          </w:p>
        </w:tc>
      </w:tr>
      <w:tr w:rsidR="00941FCB" w:rsidRPr="00360C9C" w14:paraId="3C63362E" w14:textId="77777777" w:rsidTr="001E4B6B">
        <w:trPr>
          <w:trHeight w:val="288"/>
        </w:trPr>
        <w:tc>
          <w:tcPr>
            <w:tcW w:w="3848" w:type="dxa"/>
            <w:vAlign w:val="bottom"/>
            <w:hideMark/>
          </w:tcPr>
          <w:p w14:paraId="1858482D" w14:textId="77777777" w:rsidR="00941FCB" w:rsidRPr="00360C9C" w:rsidRDefault="00941FCB" w:rsidP="00941FCB">
            <w:pPr>
              <w:spacing w:before="0" w:after="0" w:line="240" w:lineRule="auto"/>
              <w:rPr>
                <w:rFonts w:eastAsia="Times New Roman" w:cs="Open Sans"/>
                <w:color w:val="000000"/>
                <w:sz w:val="18"/>
                <w:szCs w:val="18"/>
                <w:lang w:eastAsia="fr-FR"/>
              </w:rPr>
            </w:pPr>
            <w:r w:rsidRPr="00360C9C">
              <w:rPr>
                <w:rFonts w:eastAsia="Times New Roman" w:cs="Open Sans"/>
                <w:color w:val="000000"/>
                <w:sz w:val="18"/>
                <w:szCs w:val="18"/>
                <w:lang w:eastAsia="fr-FR"/>
              </w:rPr>
              <w:t>Apiculture</w:t>
            </w:r>
          </w:p>
        </w:tc>
        <w:tc>
          <w:tcPr>
            <w:tcW w:w="688" w:type="dxa"/>
            <w:noWrap/>
            <w:vAlign w:val="bottom"/>
            <w:hideMark/>
          </w:tcPr>
          <w:p w14:paraId="0DD5A644"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r w:rsidRPr="00360C9C">
              <w:rPr>
                <w:rFonts w:eastAsia="Times New Roman" w:cs="Open Sans"/>
                <w:color w:val="000000"/>
                <w:sz w:val="18"/>
                <w:szCs w:val="18"/>
                <w:lang w:eastAsia="fr-FR"/>
              </w:rPr>
              <w:t>68</w:t>
            </w:r>
          </w:p>
        </w:tc>
        <w:tc>
          <w:tcPr>
            <w:tcW w:w="709" w:type="dxa"/>
            <w:noWrap/>
            <w:vAlign w:val="bottom"/>
            <w:hideMark/>
          </w:tcPr>
          <w:p w14:paraId="58582FDB"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p>
        </w:tc>
        <w:tc>
          <w:tcPr>
            <w:tcW w:w="567" w:type="dxa"/>
            <w:noWrap/>
            <w:vAlign w:val="bottom"/>
            <w:hideMark/>
          </w:tcPr>
          <w:p w14:paraId="4A30C464" w14:textId="77777777" w:rsidR="00941FCB" w:rsidRPr="00360C9C" w:rsidRDefault="00941FCB" w:rsidP="00941FCB">
            <w:pPr>
              <w:spacing w:before="0" w:after="0" w:line="240" w:lineRule="auto"/>
              <w:rPr>
                <w:rFonts w:eastAsia="Times New Roman" w:cs="Open Sans"/>
                <w:sz w:val="18"/>
                <w:szCs w:val="18"/>
                <w:lang w:eastAsia="fr-FR"/>
              </w:rPr>
            </w:pPr>
          </w:p>
        </w:tc>
        <w:tc>
          <w:tcPr>
            <w:tcW w:w="449" w:type="dxa"/>
            <w:noWrap/>
            <w:vAlign w:val="bottom"/>
            <w:hideMark/>
          </w:tcPr>
          <w:p w14:paraId="4BEB1661" w14:textId="77777777" w:rsidR="00941FCB" w:rsidRPr="00360C9C" w:rsidRDefault="00941FCB" w:rsidP="00941FCB">
            <w:pPr>
              <w:spacing w:before="0" w:after="0" w:line="240" w:lineRule="auto"/>
              <w:rPr>
                <w:rFonts w:eastAsia="Times New Roman" w:cs="Open Sans"/>
                <w:sz w:val="18"/>
                <w:szCs w:val="18"/>
                <w:lang w:eastAsia="fr-FR"/>
              </w:rPr>
            </w:pPr>
          </w:p>
        </w:tc>
        <w:tc>
          <w:tcPr>
            <w:tcW w:w="449" w:type="dxa"/>
            <w:noWrap/>
            <w:vAlign w:val="bottom"/>
            <w:hideMark/>
          </w:tcPr>
          <w:p w14:paraId="14C67037" w14:textId="77777777" w:rsidR="00941FCB" w:rsidRPr="00360C9C" w:rsidRDefault="00941FCB" w:rsidP="00941FCB">
            <w:pPr>
              <w:spacing w:before="0" w:after="0" w:line="240" w:lineRule="auto"/>
              <w:rPr>
                <w:rFonts w:eastAsia="Times New Roman" w:cs="Open Sans"/>
                <w:sz w:val="18"/>
                <w:szCs w:val="18"/>
                <w:lang w:eastAsia="fr-FR"/>
              </w:rPr>
            </w:pPr>
          </w:p>
        </w:tc>
        <w:tc>
          <w:tcPr>
            <w:tcW w:w="520" w:type="dxa"/>
            <w:noWrap/>
            <w:vAlign w:val="bottom"/>
            <w:hideMark/>
          </w:tcPr>
          <w:p w14:paraId="1BCBB3D1" w14:textId="77777777" w:rsidR="00941FCB" w:rsidRPr="00360C9C" w:rsidRDefault="00941FCB" w:rsidP="00941FCB">
            <w:pPr>
              <w:spacing w:before="0" w:after="0" w:line="240" w:lineRule="auto"/>
              <w:rPr>
                <w:rFonts w:eastAsia="Times New Roman" w:cs="Open Sans"/>
                <w:sz w:val="18"/>
                <w:szCs w:val="18"/>
                <w:lang w:eastAsia="fr-FR"/>
              </w:rPr>
            </w:pPr>
          </w:p>
        </w:tc>
        <w:tc>
          <w:tcPr>
            <w:tcW w:w="496" w:type="dxa"/>
            <w:noWrap/>
            <w:vAlign w:val="bottom"/>
            <w:hideMark/>
          </w:tcPr>
          <w:p w14:paraId="479809F3" w14:textId="77777777" w:rsidR="00941FCB" w:rsidRPr="00360C9C" w:rsidRDefault="00941FCB" w:rsidP="00941FCB">
            <w:pPr>
              <w:spacing w:before="0" w:after="0" w:line="240" w:lineRule="auto"/>
              <w:rPr>
                <w:rFonts w:eastAsia="Times New Roman" w:cs="Open Sans"/>
                <w:sz w:val="18"/>
                <w:szCs w:val="18"/>
                <w:lang w:eastAsia="fr-FR"/>
              </w:rPr>
            </w:pPr>
          </w:p>
        </w:tc>
        <w:tc>
          <w:tcPr>
            <w:tcW w:w="496" w:type="dxa"/>
            <w:noWrap/>
            <w:vAlign w:val="bottom"/>
            <w:hideMark/>
          </w:tcPr>
          <w:p w14:paraId="2EC28CB7" w14:textId="77777777" w:rsidR="00941FCB" w:rsidRPr="00360C9C" w:rsidRDefault="00941FCB" w:rsidP="00941FCB">
            <w:pPr>
              <w:spacing w:before="0" w:after="0" w:line="240" w:lineRule="auto"/>
              <w:rPr>
                <w:rFonts w:eastAsia="Times New Roman" w:cs="Open Sans"/>
                <w:sz w:val="18"/>
                <w:szCs w:val="18"/>
                <w:lang w:eastAsia="fr-FR"/>
              </w:rPr>
            </w:pPr>
          </w:p>
        </w:tc>
        <w:tc>
          <w:tcPr>
            <w:tcW w:w="662" w:type="dxa"/>
            <w:vAlign w:val="bottom"/>
          </w:tcPr>
          <w:p w14:paraId="2ED37E57"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p>
        </w:tc>
        <w:tc>
          <w:tcPr>
            <w:tcW w:w="892" w:type="dxa"/>
            <w:noWrap/>
            <w:vAlign w:val="bottom"/>
          </w:tcPr>
          <w:p w14:paraId="789D0F5C" w14:textId="5DAC21F3" w:rsidR="00941FCB" w:rsidRPr="00360C9C" w:rsidRDefault="00941FCB" w:rsidP="00941FCB">
            <w:pPr>
              <w:spacing w:before="0" w:after="0" w:line="240" w:lineRule="auto"/>
              <w:jc w:val="right"/>
              <w:rPr>
                <w:rFonts w:eastAsia="Times New Roman" w:cs="Open Sans"/>
                <w:color w:val="000000"/>
                <w:sz w:val="18"/>
                <w:szCs w:val="18"/>
                <w:lang w:eastAsia="fr-FR"/>
              </w:rPr>
            </w:pPr>
            <w:r>
              <w:rPr>
                <w:rFonts w:ascii="Aptos Narrow" w:hAnsi="Aptos Narrow"/>
                <w:color w:val="000000"/>
                <w:sz w:val="22"/>
              </w:rPr>
              <w:t>68</w:t>
            </w:r>
          </w:p>
        </w:tc>
      </w:tr>
      <w:tr w:rsidR="00941FCB" w:rsidRPr="00360C9C" w14:paraId="1F00AC04" w14:textId="77777777" w:rsidTr="001E4B6B">
        <w:trPr>
          <w:trHeight w:val="576"/>
        </w:trPr>
        <w:tc>
          <w:tcPr>
            <w:tcW w:w="3848" w:type="dxa"/>
            <w:vAlign w:val="bottom"/>
            <w:hideMark/>
          </w:tcPr>
          <w:p w14:paraId="452262FE" w14:textId="47053E38" w:rsidR="00941FCB" w:rsidRPr="00360C9C" w:rsidRDefault="00941FCB" w:rsidP="00941FCB">
            <w:pPr>
              <w:spacing w:before="0" w:after="0" w:line="240" w:lineRule="auto"/>
              <w:rPr>
                <w:rFonts w:eastAsia="Times New Roman" w:cs="Open Sans"/>
                <w:color w:val="000000"/>
                <w:sz w:val="18"/>
                <w:szCs w:val="18"/>
                <w:lang w:eastAsia="fr-FR"/>
              </w:rPr>
            </w:pPr>
            <w:r w:rsidRPr="00360C9C">
              <w:rPr>
                <w:rFonts w:eastAsia="Times New Roman" w:cs="Open Sans"/>
                <w:color w:val="000000"/>
                <w:sz w:val="18"/>
                <w:szCs w:val="18"/>
                <w:lang w:eastAsia="fr-FR"/>
              </w:rPr>
              <w:t>Consultations communautaires projet Hydro</w:t>
            </w:r>
            <w:r>
              <w:rPr>
                <w:rFonts w:eastAsia="Times New Roman" w:cs="Open Sans"/>
                <w:color w:val="000000"/>
                <w:sz w:val="18"/>
                <w:szCs w:val="18"/>
                <w:lang w:eastAsia="fr-FR"/>
              </w:rPr>
              <w:t>é</w:t>
            </w:r>
            <w:r w:rsidRPr="00360C9C">
              <w:rPr>
                <w:rFonts w:eastAsia="Times New Roman" w:cs="Open Sans"/>
                <w:color w:val="000000"/>
                <w:sz w:val="18"/>
                <w:szCs w:val="18"/>
                <w:lang w:eastAsia="fr-FR"/>
              </w:rPr>
              <w:t xml:space="preserve">lectrique </w:t>
            </w:r>
            <w:proofErr w:type="spellStart"/>
            <w:r w:rsidRPr="00360C9C">
              <w:rPr>
                <w:rFonts w:eastAsia="Times New Roman" w:cs="Open Sans"/>
                <w:color w:val="000000"/>
                <w:sz w:val="18"/>
                <w:szCs w:val="18"/>
                <w:lang w:eastAsia="fr-FR"/>
              </w:rPr>
              <w:t>Mpanda</w:t>
            </w:r>
            <w:proofErr w:type="spellEnd"/>
          </w:p>
        </w:tc>
        <w:tc>
          <w:tcPr>
            <w:tcW w:w="688" w:type="dxa"/>
            <w:noWrap/>
            <w:vAlign w:val="bottom"/>
            <w:hideMark/>
          </w:tcPr>
          <w:p w14:paraId="533C93C6" w14:textId="77777777" w:rsidR="00941FCB" w:rsidRPr="00360C9C" w:rsidRDefault="00941FCB" w:rsidP="00941FCB">
            <w:pPr>
              <w:spacing w:before="0" w:after="0" w:line="240" w:lineRule="auto"/>
              <w:rPr>
                <w:rFonts w:eastAsia="Times New Roman" w:cs="Open Sans"/>
                <w:color w:val="000000"/>
                <w:sz w:val="18"/>
                <w:szCs w:val="18"/>
                <w:lang w:eastAsia="fr-FR"/>
              </w:rPr>
            </w:pPr>
          </w:p>
        </w:tc>
        <w:tc>
          <w:tcPr>
            <w:tcW w:w="709" w:type="dxa"/>
            <w:noWrap/>
            <w:vAlign w:val="bottom"/>
            <w:hideMark/>
          </w:tcPr>
          <w:p w14:paraId="55FDE32D" w14:textId="77777777" w:rsidR="00941FCB" w:rsidRPr="00360C9C" w:rsidRDefault="00941FCB" w:rsidP="00941FCB">
            <w:pPr>
              <w:spacing w:before="0" w:after="0" w:line="240" w:lineRule="auto"/>
              <w:rPr>
                <w:rFonts w:eastAsia="Times New Roman" w:cs="Open Sans"/>
                <w:sz w:val="18"/>
                <w:szCs w:val="18"/>
                <w:lang w:eastAsia="fr-FR"/>
              </w:rPr>
            </w:pPr>
          </w:p>
        </w:tc>
        <w:tc>
          <w:tcPr>
            <w:tcW w:w="567" w:type="dxa"/>
            <w:noWrap/>
            <w:vAlign w:val="bottom"/>
            <w:hideMark/>
          </w:tcPr>
          <w:p w14:paraId="080123CC" w14:textId="77777777" w:rsidR="00941FCB" w:rsidRPr="00360C9C" w:rsidRDefault="00941FCB" w:rsidP="00941FCB">
            <w:pPr>
              <w:spacing w:before="0" w:after="0" w:line="240" w:lineRule="auto"/>
              <w:rPr>
                <w:rFonts w:eastAsia="Times New Roman" w:cs="Open Sans"/>
                <w:sz w:val="18"/>
                <w:szCs w:val="18"/>
                <w:lang w:eastAsia="fr-FR"/>
              </w:rPr>
            </w:pPr>
          </w:p>
        </w:tc>
        <w:tc>
          <w:tcPr>
            <w:tcW w:w="449" w:type="dxa"/>
            <w:noWrap/>
            <w:vAlign w:val="bottom"/>
            <w:hideMark/>
          </w:tcPr>
          <w:p w14:paraId="2EC6F28C" w14:textId="77777777" w:rsidR="00941FCB" w:rsidRPr="00360C9C" w:rsidRDefault="00941FCB" w:rsidP="00941FCB">
            <w:pPr>
              <w:spacing w:before="0" w:after="0" w:line="240" w:lineRule="auto"/>
              <w:rPr>
                <w:rFonts w:eastAsia="Times New Roman" w:cs="Open Sans"/>
                <w:sz w:val="18"/>
                <w:szCs w:val="18"/>
                <w:lang w:eastAsia="fr-FR"/>
              </w:rPr>
            </w:pPr>
          </w:p>
        </w:tc>
        <w:tc>
          <w:tcPr>
            <w:tcW w:w="449" w:type="dxa"/>
            <w:noWrap/>
            <w:vAlign w:val="bottom"/>
            <w:hideMark/>
          </w:tcPr>
          <w:p w14:paraId="2153A97F"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r w:rsidRPr="00360C9C">
              <w:rPr>
                <w:rFonts w:eastAsia="Times New Roman" w:cs="Open Sans"/>
                <w:color w:val="000000"/>
                <w:sz w:val="18"/>
                <w:szCs w:val="18"/>
                <w:lang w:eastAsia="fr-FR"/>
              </w:rPr>
              <w:t>43</w:t>
            </w:r>
          </w:p>
        </w:tc>
        <w:tc>
          <w:tcPr>
            <w:tcW w:w="520" w:type="dxa"/>
            <w:noWrap/>
            <w:vAlign w:val="bottom"/>
            <w:hideMark/>
          </w:tcPr>
          <w:p w14:paraId="219A2F4D"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p>
        </w:tc>
        <w:tc>
          <w:tcPr>
            <w:tcW w:w="496" w:type="dxa"/>
            <w:noWrap/>
            <w:vAlign w:val="bottom"/>
            <w:hideMark/>
          </w:tcPr>
          <w:p w14:paraId="55F823B6" w14:textId="77777777" w:rsidR="00941FCB" w:rsidRPr="00360C9C" w:rsidRDefault="00941FCB" w:rsidP="00941FCB">
            <w:pPr>
              <w:spacing w:before="0" w:after="0" w:line="240" w:lineRule="auto"/>
              <w:rPr>
                <w:rFonts w:eastAsia="Times New Roman" w:cs="Open Sans"/>
                <w:sz w:val="18"/>
                <w:szCs w:val="18"/>
                <w:lang w:eastAsia="fr-FR"/>
              </w:rPr>
            </w:pPr>
          </w:p>
        </w:tc>
        <w:tc>
          <w:tcPr>
            <w:tcW w:w="496" w:type="dxa"/>
            <w:noWrap/>
            <w:vAlign w:val="bottom"/>
            <w:hideMark/>
          </w:tcPr>
          <w:p w14:paraId="2B7EEE69" w14:textId="77777777" w:rsidR="00941FCB" w:rsidRPr="00360C9C" w:rsidRDefault="00941FCB" w:rsidP="00941FCB">
            <w:pPr>
              <w:spacing w:before="0" w:after="0" w:line="240" w:lineRule="auto"/>
              <w:rPr>
                <w:rFonts w:eastAsia="Times New Roman" w:cs="Open Sans"/>
                <w:sz w:val="18"/>
                <w:szCs w:val="18"/>
                <w:lang w:eastAsia="fr-FR"/>
              </w:rPr>
            </w:pPr>
          </w:p>
        </w:tc>
        <w:tc>
          <w:tcPr>
            <w:tcW w:w="662" w:type="dxa"/>
            <w:vAlign w:val="bottom"/>
          </w:tcPr>
          <w:p w14:paraId="32A4EA9C" w14:textId="3C62394C" w:rsidR="00941FCB" w:rsidRPr="00360C9C" w:rsidRDefault="00941FCB" w:rsidP="00941FCB">
            <w:pPr>
              <w:spacing w:before="0" w:after="0" w:line="240" w:lineRule="auto"/>
              <w:jc w:val="right"/>
              <w:rPr>
                <w:rFonts w:eastAsia="Times New Roman" w:cs="Open Sans"/>
                <w:color w:val="000000"/>
                <w:sz w:val="18"/>
                <w:szCs w:val="18"/>
                <w:lang w:eastAsia="fr-FR"/>
              </w:rPr>
            </w:pPr>
            <w:r w:rsidRPr="00360C9C">
              <w:rPr>
                <w:rFonts w:eastAsia="Times New Roman" w:cs="Open Sans"/>
                <w:color w:val="000000"/>
                <w:sz w:val="18"/>
                <w:szCs w:val="18"/>
                <w:lang w:eastAsia="fr-FR"/>
              </w:rPr>
              <w:t>0</w:t>
            </w:r>
          </w:p>
        </w:tc>
        <w:tc>
          <w:tcPr>
            <w:tcW w:w="892" w:type="dxa"/>
            <w:noWrap/>
            <w:vAlign w:val="bottom"/>
          </w:tcPr>
          <w:p w14:paraId="3F8CFE32" w14:textId="2F9F5D24" w:rsidR="00941FCB" w:rsidRPr="00360C9C" w:rsidRDefault="00941FCB" w:rsidP="00941FCB">
            <w:pPr>
              <w:spacing w:before="0" w:after="0" w:line="240" w:lineRule="auto"/>
              <w:jc w:val="right"/>
              <w:rPr>
                <w:rFonts w:eastAsia="Times New Roman" w:cs="Open Sans"/>
                <w:color w:val="000000"/>
                <w:sz w:val="18"/>
                <w:szCs w:val="18"/>
                <w:lang w:eastAsia="fr-FR"/>
              </w:rPr>
            </w:pPr>
            <w:r>
              <w:rPr>
                <w:rFonts w:ascii="Aptos Narrow" w:hAnsi="Aptos Narrow"/>
                <w:color w:val="000000"/>
                <w:sz w:val="22"/>
              </w:rPr>
              <w:t>43</w:t>
            </w:r>
          </w:p>
        </w:tc>
      </w:tr>
      <w:tr w:rsidR="00941FCB" w:rsidRPr="00360C9C" w14:paraId="62A39B95" w14:textId="77777777" w:rsidTr="001E4B6B">
        <w:trPr>
          <w:trHeight w:val="288"/>
        </w:trPr>
        <w:tc>
          <w:tcPr>
            <w:tcW w:w="3848" w:type="dxa"/>
            <w:vAlign w:val="bottom"/>
            <w:hideMark/>
          </w:tcPr>
          <w:p w14:paraId="77D3E5D9" w14:textId="77777777" w:rsidR="00941FCB" w:rsidRPr="00360C9C" w:rsidRDefault="00941FCB" w:rsidP="00941FCB">
            <w:pPr>
              <w:spacing w:before="0" w:after="0" w:line="240" w:lineRule="auto"/>
              <w:rPr>
                <w:rFonts w:eastAsia="Times New Roman" w:cs="Open Sans"/>
                <w:color w:val="000000"/>
                <w:sz w:val="18"/>
                <w:szCs w:val="18"/>
                <w:lang w:eastAsia="fr-FR"/>
              </w:rPr>
            </w:pPr>
            <w:r w:rsidRPr="00360C9C">
              <w:rPr>
                <w:rFonts w:eastAsia="Times New Roman" w:cs="Open Sans"/>
                <w:color w:val="000000"/>
                <w:sz w:val="18"/>
                <w:szCs w:val="18"/>
                <w:lang w:eastAsia="fr-FR"/>
              </w:rPr>
              <w:t>Culture des fruits</w:t>
            </w:r>
          </w:p>
        </w:tc>
        <w:tc>
          <w:tcPr>
            <w:tcW w:w="688" w:type="dxa"/>
            <w:noWrap/>
            <w:vAlign w:val="bottom"/>
            <w:hideMark/>
          </w:tcPr>
          <w:p w14:paraId="1725B237"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r w:rsidRPr="00360C9C">
              <w:rPr>
                <w:rFonts w:eastAsia="Times New Roman" w:cs="Open Sans"/>
                <w:color w:val="000000"/>
                <w:sz w:val="18"/>
                <w:szCs w:val="18"/>
                <w:lang w:eastAsia="fr-FR"/>
              </w:rPr>
              <w:t>30</w:t>
            </w:r>
          </w:p>
        </w:tc>
        <w:tc>
          <w:tcPr>
            <w:tcW w:w="709" w:type="dxa"/>
            <w:noWrap/>
            <w:vAlign w:val="bottom"/>
            <w:hideMark/>
          </w:tcPr>
          <w:p w14:paraId="1C32AF8A"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p>
        </w:tc>
        <w:tc>
          <w:tcPr>
            <w:tcW w:w="567" w:type="dxa"/>
            <w:noWrap/>
            <w:vAlign w:val="bottom"/>
            <w:hideMark/>
          </w:tcPr>
          <w:p w14:paraId="5F850684" w14:textId="77777777" w:rsidR="00941FCB" w:rsidRPr="00360C9C" w:rsidRDefault="00941FCB" w:rsidP="00941FCB">
            <w:pPr>
              <w:spacing w:before="0" w:after="0" w:line="240" w:lineRule="auto"/>
              <w:rPr>
                <w:rFonts w:eastAsia="Times New Roman" w:cs="Open Sans"/>
                <w:sz w:val="18"/>
                <w:szCs w:val="18"/>
                <w:lang w:eastAsia="fr-FR"/>
              </w:rPr>
            </w:pPr>
          </w:p>
        </w:tc>
        <w:tc>
          <w:tcPr>
            <w:tcW w:w="449" w:type="dxa"/>
            <w:noWrap/>
            <w:vAlign w:val="bottom"/>
            <w:hideMark/>
          </w:tcPr>
          <w:p w14:paraId="0D57D770" w14:textId="77777777" w:rsidR="00941FCB" w:rsidRPr="00360C9C" w:rsidRDefault="00941FCB" w:rsidP="00941FCB">
            <w:pPr>
              <w:spacing w:before="0" w:after="0" w:line="240" w:lineRule="auto"/>
              <w:rPr>
                <w:rFonts w:eastAsia="Times New Roman" w:cs="Open Sans"/>
                <w:sz w:val="18"/>
                <w:szCs w:val="18"/>
                <w:lang w:eastAsia="fr-FR"/>
              </w:rPr>
            </w:pPr>
          </w:p>
        </w:tc>
        <w:tc>
          <w:tcPr>
            <w:tcW w:w="449" w:type="dxa"/>
            <w:noWrap/>
            <w:vAlign w:val="bottom"/>
            <w:hideMark/>
          </w:tcPr>
          <w:p w14:paraId="7DF0A339" w14:textId="77777777" w:rsidR="00941FCB" w:rsidRPr="00360C9C" w:rsidRDefault="00941FCB" w:rsidP="00941FCB">
            <w:pPr>
              <w:spacing w:before="0" w:after="0" w:line="240" w:lineRule="auto"/>
              <w:rPr>
                <w:rFonts w:eastAsia="Times New Roman" w:cs="Open Sans"/>
                <w:sz w:val="18"/>
                <w:szCs w:val="18"/>
                <w:lang w:eastAsia="fr-FR"/>
              </w:rPr>
            </w:pPr>
          </w:p>
        </w:tc>
        <w:tc>
          <w:tcPr>
            <w:tcW w:w="520" w:type="dxa"/>
            <w:noWrap/>
            <w:vAlign w:val="bottom"/>
            <w:hideMark/>
          </w:tcPr>
          <w:p w14:paraId="13B2C31C" w14:textId="77777777" w:rsidR="00941FCB" w:rsidRPr="00360C9C" w:rsidRDefault="00941FCB" w:rsidP="00941FCB">
            <w:pPr>
              <w:spacing w:before="0" w:after="0" w:line="240" w:lineRule="auto"/>
              <w:rPr>
                <w:rFonts w:eastAsia="Times New Roman" w:cs="Open Sans"/>
                <w:sz w:val="18"/>
                <w:szCs w:val="18"/>
                <w:lang w:eastAsia="fr-FR"/>
              </w:rPr>
            </w:pPr>
          </w:p>
        </w:tc>
        <w:tc>
          <w:tcPr>
            <w:tcW w:w="496" w:type="dxa"/>
            <w:noWrap/>
            <w:vAlign w:val="bottom"/>
            <w:hideMark/>
          </w:tcPr>
          <w:p w14:paraId="64984FEF" w14:textId="77777777" w:rsidR="00941FCB" w:rsidRPr="00360C9C" w:rsidRDefault="00941FCB" w:rsidP="00941FCB">
            <w:pPr>
              <w:spacing w:before="0" w:after="0" w:line="240" w:lineRule="auto"/>
              <w:rPr>
                <w:rFonts w:eastAsia="Times New Roman" w:cs="Open Sans"/>
                <w:sz w:val="18"/>
                <w:szCs w:val="18"/>
                <w:lang w:eastAsia="fr-FR"/>
              </w:rPr>
            </w:pPr>
          </w:p>
        </w:tc>
        <w:tc>
          <w:tcPr>
            <w:tcW w:w="496" w:type="dxa"/>
            <w:noWrap/>
            <w:vAlign w:val="bottom"/>
            <w:hideMark/>
          </w:tcPr>
          <w:p w14:paraId="423F7A49" w14:textId="77777777" w:rsidR="00941FCB" w:rsidRPr="00360C9C" w:rsidRDefault="00941FCB" w:rsidP="00941FCB">
            <w:pPr>
              <w:spacing w:before="0" w:after="0" w:line="240" w:lineRule="auto"/>
              <w:rPr>
                <w:rFonts w:eastAsia="Times New Roman" w:cs="Open Sans"/>
                <w:sz w:val="18"/>
                <w:szCs w:val="18"/>
                <w:lang w:eastAsia="fr-FR"/>
              </w:rPr>
            </w:pPr>
          </w:p>
        </w:tc>
        <w:tc>
          <w:tcPr>
            <w:tcW w:w="662" w:type="dxa"/>
            <w:vAlign w:val="bottom"/>
          </w:tcPr>
          <w:p w14:paraId="6E57C1F9" w14:textId="1F3CF1C7" w:rsidR="00941FCB" w:rsidRPr="00360C9C" w:rsidRDefault="00941FCB" w:rsidP="00941FCB">
            <w:pPr>
              <w:spacing w:before="0" w:after="0" w:line="240" w:lineRule="auto"/>
              <w:jc w:val="right"/>
              <w:rPr>
                <w:rFonts w:eastAsia="Times New Roman" w:cs="Open Sans"/>
                <w:color w:val="000000"/>
                <w:sz w:val="18"/>
                <w:szCs w:val="18"/>
                <w:lang w:eastAsia="fr-FR"/>
              </w:rPr>
            </w:pPr>
            <w:r w:rsidRPr="00360C9C">
              <w:rPr>
                <w:rFonts w:eastAsia="Times New Roman" w:cs="Open Sans"/>
                <w:color w:val="000000"/>
                <w:sz w:val="18"/>
                <w:szCs w:val="18"/>
                <w:lang w:eastAsia="fr-FR"/>
              </w:rPr>
              <w:t>0</w:t>
            </w:r>
          </w:p>
        </w:tc>
        <w:tc>
          <w:tcPr>
            <w:tcW w:w="892" w:type="dxa"/>
            <w:noWrap/>
            <w:vAlign w:val="bottom"/>
          </w:tcPr>
          <w:p w14:paraId="18432308" w14:textId="0FC4FD35" w:rsidR="00941FCB" w:rsidRPr="00360C9C" w:rsidRDefault="00941FCB" w:rsidP="00941FCB">
            <w:pPr>
              <w:spacing w:before="0" w:after="0" w:line="240" w:lineRule="auto"/>
              <w:jc w:val="right"/>
              <w:rPr>
                <w:rFonts w:eastAsia="Times New Roman" w:cs="Open Sans"/>
                <w:color w:val="000000"/>
                <w:sz w:val="18"/>
                <w:szCs w:val="18"/>
                <w:lang w:eastAsia="fr-FR"/>
              </w:rPr>
            </w:pPr>
            <w:r>
              <w:rPr>
                <w:rFonts w:ascii="Aptos Narrow" w:hAnsi="Aptos Narrow"/>
                <w:color w:val="000000"/>
                <w:sz w:val="22"/>
              </w:rPr>
              <w:t>30</w:t>
            </w:r>
          </w:p>
        </w:tc>
      </w:tr>
      <w:tr w:rsidR="00941FCB" w:rsidRPr="00360C9C" w14:paraId="35631BAD" w14:textId="77777777" w:rsidTr="001E4B6B">
        <w:trPr>
          <w:trHeight w:val="288"/>
        </w:trPr>
        <w:tc>
          <w:tcPr>
            <w:tcW w:w="3848" w:type="dxa"/>
            <w:vAlign w:val="bottom"/>
            <w:hideMark/>
          </w:tcPr>
          <w:p w14:paraId="39948D61" w14:textId="77777777" w:rsidR="00941FCB" w:rsidRPr="00360C9C" w:rsidRDefault="00941FCB" w:rsidP="00941FCB">
            <w:pPr>
              <w:spacing w:before="0" w:after="0" w:line="240" w:lineRule="auto"/>
              <w:rPr>
                <w:rFonts w:eastAsia="Times New Roman" w:cs="Open Sans"/>
                <w:color w:val="000000"/>
                <w:sz w:val="18"/>
                <w:szCs w:val="18"/>
                <w:lang w:eastAsia="fr-FR"/>
              </w:rPr>
            </w:pPr>
            <w:r w:rsidRPr="00360C9C">
              <w:rPr>
                <w:rFonts w:eastAsia="Times New Roman" w:cs="Open Sans"/>
                <w:color w:val="000000"/>
                <w:sz w:val="18"/>
                <w:szCs w:val="18"/>
                <w:lang w:eastAsia="fr-FR"/>
              </w:rPr>
              <w:t>Renforcement des capacités des écogardes</w:t>
            </w:r>
          </w:p>
        </w:tc>
        <w:tc>
          <w:tcPr>
            <w:tcW w:w="688" w:type="dxa"/>
            <w:noWrap/>
            <w:vAlign w:val="bottom"/>
            <w:hideMark/>
          </w:tcPr>
          <w:p w14:paraId="13008B72" w14:textId="77777777" w:rsidR="00941FCB" w:rsidRPr="00360C9C" w:rsidRDefault="00941FCB" w:rsidP="00941FCB">
            <w:pPr>
              <w:spacing w:before="0" w:after="0" w:line="240" w:lineRule="auto"/>
              <w:rPr>
                <w:rFonts w:eastAsia="Times New Roman" w:cs="Open Sans"/>
                <w:color w:val="000000"/>
                <w:sz w:val="18"/>
                <w:szCs w:val="18"/>
                <w:lang w:eastAsia="fr-FR"/>
              </w:rPr>
            </w:pPr>
          </w:p>
        </w:tc>
        <w:tc>
          <w:tcPr>
            <w:tcW w:w="709" w:type="dxa"/>
            <w:noWrap/>
            <w:vAlign w:val="bottom"/>
            <w:hideMark/>
          </w:tcPr>
          <w:p w14:paraId="16F259A7" w14:textId="77777777" w:rsidR="00941FCB" w:rsidRPr="00360C9C" w:rsidRDefault="00941FCB" w:rsidP="00941FCB">
            <w:pPr>
              <w:spacing w:before="0" w:after="0" w:line="240" w:lineRule="auto"/>
              <w:rPr>
                <w:rFonts w:eastAsia="Times New Roman" w:cs="Open Sans"/>
                <w:sz w:val="18"/>
                <w:szCs w:val="18"/>
                <w:lang w:eastAsia="fr-FR"/>
              </w:rPr>
            </w:pPr>
          </w:p>
        </w:tc>
        <w:tc>
          <w:tcPr>
            <w:tcW w:w="567" w:type="dxa"/>
            <w:noWrap/>
            <w:vAlign w:val="bottom"/>
            <w:hideMark/>
          </w:tcPr>
          <w:p w14:paraId="6A6608D9" w14:textId="77777777" w:rsidR="00941FCB" w:rsidRPr="00360C9C" w:rsidRDefault="00941FCB" w:rsidP="00941FCB">
            <w:pPr>
              <w:spacing w:before="0" w:after="0" w:line="240" w:lineRule="auto"/>
              <w:rPr>
                <w:rFonts w:eastAsia="Times New Roman" w:cs="Open Sans"/>
                <w:sz w:val="18"/>
                <w:szCs w:val="18"/>
                <w:lang w:eastAsia="fr-FR"/>
              </w:rPr>
            </w:pPr>
          </w:p>
        </w:tc>
        <w:tc>
          <w:tcPr>
            <w:tcW w:w="449" w:type="dxa"/>
            <w:noWrap/>
            <w:vAlign w:val="bottom"/>
            <w:hideMark/>
          </w:tcPr>
          <w:p w14:paraId="676E5AF9" w14:textId="77777777" w:rsidR="00941FCB" w:rsidRPr="00360C9C" w:rsidRDefault="00941FCB" w:rsidP="00941FCB">
            <w:pPr>
              <w:spacing w:before="0" w:after="0" w:line="240" w:lineRule="auto"/>
              <w:rPr>
                <w:rFonts w:eastAsia="Times New Roman" w:cs="Open Sans"/>
                <w:sz w:val="18"/>
                <w:szCs w:val="18"/>
                <w:lang w:eastAsia="fr-FR"/>
              </w:rPr>
            </w:pPr>
          </w:p>
        </w:tc>
        <w:tc>
          <w:tcPr>
            <w:tcW w:w="449" w:type="dxa"/>
            <w:noWrap/>
            <w:vAlign w:val="bottom"/>
            <w:hideMark/>
          </w:tcPr>
          <w:p w14:paraId="0FA5031D" w14:textId="77777777" w:rsidR="00941FCB" w:rsidRPr="00360C9C" w:rsidRDefault="00941FCB" w:rsidP="00941FCB">
            <w:pPr>
              <w:spacing w:before="0" w:after="0" w:line="240" w:lineRule="auto"/>
              <w:rPr>
                <w:rFonts w:eastAsia="Times New Roman" w:cs="Open Sans"/>
                <w:sz w:val="18"/>
                <w:szCs w:val="18"/>
                <w:lang w:eastAsia="fr-FR"/>
              </w:rPr>
            </w:pPr>
          </w:p>
        </w:tc>
        <w:tc>
          <w:tcPr>
            <w:tcW w:w="520" w:type="dxa"/>
            <w:noWrap/>
            <w:vAlign w:val="bottom"/>
            <w:hideMark/>
          </w:tcPr>
          <w:p w14:paraId="48751E4A" w14:textId="77777777" w:rsidR="00941FCB" w:rsidRPr="00360C9C" w:rsidRDefault="00941FCB" w:rsidP="00941FCB">
            <w:pPr>
              <w:spacing w:before="0" w:after="0" w:line="240" w:lineRule="auto"/>
              <w:rPr>
                <w:rFonts w:eastAsia="Times New Roman" w:cs="Open Sans"/>
                <w:sz w:val="18"/>
                <w:szCs w:val="18"/>
                <w:lang w:eastAsia="fr-FR"/>
              </w:rPr>
            </w:pPr>
          </w:p>
        </w:tc>
        <w:tc>
          <w:tcPr>
            <w:tcW w:w="496" w:type="dxa"/>
            <w:noWrap/>
            <w:vAlign w:val="bottom"/>
            <w:hideMark/>
          </w:tcPr>
          <w:p w14:paraId="3F8F321E"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r w:rsidRPr="00360C9C">
              <w:rPr>
                <w:rFonts w:eastAsia="Times New Roman" w:cs="Open Sans"/>
                <w:color w:val="000000"/>
                <w:sz w:val="18"/>
                <w:szCs w:val="18"/>
                <w:lang w:eastAsia="fr-FR"/>
              </w:rPr>
              <w:t>25</w:t>
            </w:r>
          </w:p>
        </w:tc>
        <w:tc>
          <w:tcPr>
            <w:tcW w:w="496" w:type="dxa"/>
            <w:noWrap/>
            <w:vAlign w:val="bottom"/>
            <w:hideMark/>
          </w:tcPr>
          <w:p w14:paraId="738285E2" w14:textId="77777777" w:rsidR="00941FCB" w:rsidRPr="00360C9C" w:rsidRDefault="00941FCB" w:rsidP="00941FCB">
            <w:pPr>
              <w:spacing w:before="0" w:after="0" w:line="240" w:lineRule="auto"/>
              <w:jc w:val="right"/>
              <w:rPr>
                <w:rFonts w:eastAsia="Times New Roman" w:cs="Open Sans"/>
                <w:color w:val="000000"/>
                <w:sz w:val="18"/>
                <w:szCs w:val="18"/>
                <w:lang w:eastAsia="fr-FR"/>
              </w:rPr>
            </w:pPr>
          </w:p>
        </w:tc>
        <w:tc>
          <w:tcPr>
            <w:tcW w:w="662" w:type="dxa"/>
            <w:vAlign w:val="bottom"/>
          </w:tcPr>
          <w:p w14:paraId="600CBA00" w14:textId="0014189E" w:rsidR="00941FCB" w:rsidRPr="00360C9C" w:rsidRDefault="00941FCB" w:rsidP="00941FCB">
            <w:pPr>
              <w:spacing w:before="0" w:after="0" w:line="240" w:lineRule="auto"/>
              <w:jc w:val="right"/>
              <w:rPr>
                <w:rFonts w:eastAsia="Times New Roman" w:cs="Open Sans"/>
                <w:color w:val="000000"/>
                <w:sz w:val="18"/>
                <w:szCs w:val="18"/>
                <w:lang w:eastAsia="fr-FR"/>
              </w:rPr>
            </w:pPr>
            <w:r w:rsidRPr="00360C9C">
              <w:rPr>
                <w:rFonts w:eastAsia="Times New Roman" w:cs="Open Sans"/>
                <w:color w:val="000000"/>
                <w:sz w:val="18"/>
                <w:szCs w:val="18"/>
                <w:lang w:eastAsia="fr-FR"/>
              </w:rPr>
              <w:t>0</w:t>
            </w:r>
          </w:p>
        </w:tc>
        <w:tc>
          <w:tcPr>
            <w:tcW w:w="892" w:type="dxa"/>
            <w:noWrap/>
            <w:vAlign w:val="bottom"/>
          </w:tcPr>
          <w:p w14:paraId="715718E6" w14:textId="1332868A" w:rsidR="00941FCB" w:rsidRPr="00360C9C" w:rsidRDefault="00941FCB" w:rsidP="00941FCB">
            <w:pPr>
              <w:spacing w:before="0" w:after="0" w:line="240" w:lineRule="auto"/>
              <w:jc w:val="right"/>
              <w:rPr>
                <w:rFonts w:eastAsia="Times New Roman" w:cs="Open Sans"/>
                <w:color w:val="000000"/>
                <w:sz w:val="18"/>
                <w:szCs w:val="18"/>
                <w:lang w:eastAsia="fr-FR"/>
              </w:rPr>
            </w:pPr>
            <w:r>
              <w:rPr>
                <w:rFonts w:ascii="Aptos Narrow" w:hAnsi="Aptos Narrow"/>
                <w:color w:val="000000"/>
                <w:sz w:val="22"/>
              </w:rPr>
              <w:t>25</w:t>
            </w:r>
          </w:p>
        </w:tc>
      </w:tr>
      <w:tr w:rsidR="00941FCB" w:rsidRPr="00360C9C" w14:paraId="6D73355A" w14:textId="77777777" w:rsidTr="001E4B6B">
        <w:trPr>
          <w:trHeight w:val="288"/>
        </w:trPr>
        <w:tc>
          <w:tcPr>
            <w:tcW w:w="3848" w:type="dxa"/>
            <w:shd w:val="clear" w:color="auto" w:fill="FFFFFF" w:themeFill="background1"/>
            <w:noWrap/>
            <w:vAlign w:val="bottom"/>
            <w:hideMark/>
          </w:tcPr>
          <w:p w14:paraId="362999E2" w14:textId="77777777" w:rsidR="00941FCB" w:rsidRPr="00360C9C" w:rsidRDefault="00941FCB" w:rsidP="00941FCB">
            <w:pPr>
              <w:spacing w:before="0" w:after="0" w:line="240" w:lineRule="auto"/>
              <w:rPr>
                <w:rFonts w:eastAsia="Times New Roman" w:cs="Open Sans"/>
                <w:b/>
                <w:bCs/>
                <w:color w:val="000000"/>
                <w:sz w:val="18"/>
                <w:szCs w:val="18"/>
                <w:lang w:eastAsia="fr-FR"/>
              </w:rPr>
            </w:pPr>
            <w:r w:rsidRPr="00360C9C">
              <w:rPr>
                <w:rFonts w:eastAsia="Times New Roman" w:cs="Open Sans"/>
                <w:b/>
                <w:bCs/>
                <w:color w:val="000000"/>
                <w:sz w:val="18"/>
                <w:szCs w:val="18"/>
                <w:lang w:eastAsia="fr-FR"/>
              </w:rPr>
              <w:t>Total général</w:t>
            </w:r>
          </w:p>
        </w:tc>
        <w:tc>
          <w:tcPr>
            <w:tcW w:w="688" w:type="dxa"/>
            <w:shd w:val="clear" w:color="auto" w:fill="FFFFFF" w:themeFill="background1"/>
            <w:noWrap/>
            <w:vAlign w:val="bottom"/>
            <w:hideMark/>
          </w:tcPr>
          <w:p w14:paraId="75014B5D" w14:textId="77777777" w:rsidR="00941FCB" w:rsidRPr="00360C9C" w:rsidRDefault="00941FCB" w:rsidP="00941FCB">
            <w:pPr>
              <w:spacing w:before="0" w:after="0" w:line="240" w:lineRule="auto"/>
              <w:jc w:val="right"/>
              <w:rPr>
                <w:rFonts w:eastAsia="Times New Roman" w:cs="Open Sans"/>
                <w:b/>
                <w:bCs/>
                <w:color w:val="000000"/>
                <w:sz w:val="18"/>
                <w:szCs w:val="18"/>
                <w:lang w:eastAsia="fr-FR"/>
              </w:rPr>
            </w:pPr>
            <w:r w:rsidRPr="00360C9C">
              <w:rPr>
                <w:rFonts w:eastAsia="Times New Roman" w:cs="Open Sans"/>
                <w:b/>
                <w:bCs/>
                <w:color w:val="000000"/>
                <w:sz w:val="18"/>
                <w:szCs w:val="18"/>
                <w:lang w:eastAsia="fr-FR"/>
              </w:rPr>
              <w:t>5855</w:t>
            </w:r>
          </w:p>
        </w:tc>
        <w:tc>
          <w:tcPr>
            <w:tcW w:w="709" w:type="dxa"/>
            <w:shd w:val="clear" w:color="auto" w:fill="FFFFFF" w:themeFill="background1"/>
            <w:noWrap/>
            <w:vAlign w:val="bottom"/>
            <w:hideMark/>
          </w:tcPr>
          <w:p w14:paraId="4DB52DF0" w14:textId="77777777" w:rsidR="00941FCB" w:rsidRPr="00360C9C" w:rsidRDefault="00941FCB" w:rsidP="00941FCB">
            <w:pPr>
              <w:spacing w:before="0" w:after="0" w:line="240" w:lineRule="auto"/>
              <w:jc w:val="right"/>
              <w:rPr>
                <w:rFonts w:eastAsia="Times New Roman" w:cs="Open Sans"/>
                <w:b/>
                <w:bCs/>
                <w:color w:val="000000"/>
                <w:sz w:val="18"/>
                <w:szCs w:val="18"/>
                <w:lang w:eastAsia="fr-FR"/>
              </w:rPr>
            </w:pPr>
            <w:r w:rsidRPr="00360C9C">
              <w:rPr>
                <w:rFonts w:eastAsia="Times New Roman" w:cs="Open Sans"/>
                <w:b/>
                <w:bCs/>
                <w:color w:val="000000"/>
                <w:sz w:val="18"/>
                <w:szCs w:val="18"/>
                <w:lang w:eastAsia="fr-FR"/>
              </w:rPr>
              <w:t>3237</w:t>
            </w:r>
          </w:p>
        </w:tc>
        <w:tc>
          <w:tcPr>
            <w:tcW w:w="567" w:type="dxa"/>
            <w:shd w:val="clear" w:color="auto" w:fill="FFFFFF" w:themeFill="background1"/>
            <w:noWrap/>
            <w:vAlign w:val="bottom"/>
            <w:hideMark/>
          </w:tcPr>
          <w:p w14:paraId="3AB03378" w14:textId="77777777" w:rsidR="00941FCB" w:rsidRPr="00360C9C" w:rsidRDefault="00941FCB" w:rsidP="00941FCB">
            <w:pPr>
              <w:spacing w:before="0" w:after="0" w:line="240" w:lineRule="auto"/>
              <w:jc w:val="right"/>
              <w:rPr>
                <w:rFonts w:eastAsia="Times New Roman" w:cs="Open Sans"/>
                <w:b/>
                <w:bCs/>
                <w:color w:val="000000"/>
                <w:sz w:val="18"/>
                <w:szCs w:val="18"/>
                <w:lang w:eastAsia="fr-FR"/>
              </w:rPr>
            </w:pPr>
            <w:r w:rsidRPr="00360C9C">
              <w:rPr>
                <w:rFonts w:eastAsia="Times New Roman" w:cs="Open Sans"/>
                <w:b/>
                <w:bCs/>
                <w:color w:val="000000"/>
                <w:sz w:val="18"/>
                <w:szCs w:val="18"/>
                <w:lang w:eastAsia="fr-FR"/>
              </w:rPr>
              <w:t>315</w:t>
            </w:r>
          </w:p>
        </w:tc>
        <w:tc>
          <w:tcPr>
            <w:tcW w:w="449" w:type="dxa"/>
            <w:shd w:val="clear" w:color="auto" w:fill="FFFFFF" w:themeFill="background1"/>
            <w:noWrap/>
            <w:vAlign w:val="bottom"/>
            <w:hideMark/>
          </w:tcPr>
          <w:p w14:paraId="14B34FEC" w14:textId="77777777" w:rsidR="00941FCB" w:rsidRPr="00360C9C" w:rsidRDefault="00941FCB" w:rsidP="00941FCB">
            <w:pPr>
              <w:spacing w:before="0" w:after="0" w:line="240" w:lineRule="auto"/>
              <w:jc w:val="right"/>
              <w:rPr>
                <w:rFonts w:eastAsia="Times New Roman" w:cs="Open Sans"/>
                <w:b/>
                <w:bCs/>
                <w:color w:val="000000"/>
                <w:sz w:val="18"/>
                <w:szCs w:val="18"/>
                <w:lang w:eastAsia="fr-FR"/>
              </w:rPr>
            </w:pPr>
            <w:r w:rsidRPr="00360C9C">
              <w:rPr>
                <w:rFonts w:eastAsia="Times New Roman" w:cs="Open Sans"/>
                <w:b/>
                <w:bCs/>
                <w:color w:val="000000"/>
                <w:sz w:val="18"/>
                <w:szCs w:val="18"/>
                <w:lang w:eastAsia="fr-FR"/>
              </w:rPr>
              <w:t>245</w:t>
            </w:r>
          </w:p>
        </w:tc>
        <w:tc>
          <w:tcPr>
            <w:tcW w:w="449" w:type="dxa"/>
            <w:shd w:val="clear" w:color="auto" w:fill="FFFFFF" w:themeFill="background1"/>
            <w:noWrap/>
            <w:vAlign w:val="bottom"/>
            <w:hideMark/>
          </w:tcPr>
          <w:p w14:paraId="3E0DD598" w14:textId="77777777" w:rsidR="00941FCB" w:rsidRPr="00360C9C" w:rsidRDefault="00941FCB" w:rsidP="00941FCB">
            <w:pPr>
              <w:spacing w:before="0" w:after="0" w:line="240" w:lineRule="auto"/>
              <w:jc w:val="right"/>
              <w:rPr>
                <w:rFonts w:eastAsia="Times New Roman" w:cs="Open Sans"/>
                <w:b/>
                <w:bCs/>
                <w:color w:val="000000"/>
                <w:sz w:val="18"/>
                <w:szCs w:val="18"/>
                <w:lang w:eastAsia="fr-FR"/>
              </w:rPr>
            </w:pPr>
            <w:r w:rsidRPr="00360C9C">
              <w:rPr>
                <w:rFonts w:eastAsia="Times New Roman" w:cs="Open Sans"/>
                <w:b/>
                <w:bCs/>
                <w:color w:val="000000"/>
                <w:sz w:val="18"/>
                <w:szCs w:val="18"/>
                <w:lang w:eastAsia="fr-FR"/>
              </w:rPr>
              <w:t>189</w:t>
            </w:r>
          </w:p>
        </w:tc>
        <w:tc>
          <w:tcPr>
            <w:tcW w:w="520" w:type="dxa"/>
            <w:shd w:val="clear" w:color="auto" w:fill="FFFFFF" w:themeFill="background1"/>
            <w:noWrap/>
            <w:vAlign w:val="bottom"/>
            <w:hideMark/>
          </w:tcPr>
          <w:p w14:paraId="33C7FF49" w14:textId="77777777" w:rsidR="00941FCB" w:rsidRPr="00360C9C" w:rsidRDefault="00941FCB" w:rsidP="00941FCB">
            <w:pPr>
              <w:spacing w:before="0" w:after="0" w:line="240" w:lineRule="auto"/>
              <w:jc w:val="right"/>
              <w:rPr>
                <w:rFonts w:eastAsia="Times New Roman" w:cs="Open Sans"/>
                <w:b/>
                <w:bCs/>
                <w:color w:val="000000"/>
                <w:sz w:val="18"/>
                <w:szCs w:val="18"/>
                <w:lang w:eastAsia="fr-FR"/>
              </w:rPr>
            </w:pPr>
            <w:r w:rsidRPr="00360C9C">
              <w:rPr>
                <w:rFonts w:eastAsia="Times New Roman" w:cs="Open Sans"/>
                <w:b/>
                <w:bCs/>
                <w:color w:val="000000"/>
                <w:sz w:val="18"/>
                <w:szCs w:val="18"/>
                <w:lang w:eastAsia="fr-FR"/>
              </w:rPr>
              <w:t>180</w:t>
            </w:r>
          </w:p>
        </w:tc>
        <w:tc>
          <w:tcPr>
            <w:tcW w:w="496" w:type="dxa"/>
            <w:shd w:val="clear" w:color="auto" w:fill="FFFFFF" w:themeFill="background1"/>
            <w:noWrap/>
            <w:vAlign w:val="bottom"/>
            <w:hideMark/>
          </w:tcPr>
          <w:p w14:paraId="0B66EFB3" w14:textId="77777777" w:rsidR="00941FCB" w:rsidRPr="00360C9C" w:rsidRDefault="00941FCB" w:rsidP="00941FCB">
            <w:pPr>
              <w:spacing w:before="0" w:after="0" w:line="240" w:lineRule="auto"/>
              <w:jc w:val="right"/>
              <w:rPr>
                <w:rFonts w:eastAsia="Times New Roman" w:cs="Open Sans"/>
                <w:b/>
                <w:bCs/>
                <w:color w:val="000000"/>
                <w:sz w:val="18"/>
                <w:szCs w:val="18"/>
                <w:lang w:eastAsia="fr-FR"/>
              </w:rPr>
            </w:pPr>
            <w:r w:rsidRPr="00360C9C">
              <w:rPr>
                <w:rFonts w:eastAsia="Times New Roman" w:cs="Open Sans"/>
                <w:b/>
                <w:bCs/>
                <w:color w:val="000000"/>
                <w:sz w:val="18"/>
                <w:szCs w:val="18"/>
                <w:lang w:eastAsia="fr-FR"/>
              </w:rPr>
              <w:t>96</w:t>
            </w:r>
          </w:p>
        </w:tc>
        <w:tc>
          <w:tcPr>
            <w:tcW w:w="496" w:type="dxa"/>
            <w:shd w:val="clear" w:color="auto" w:fill="FFFFFF" w:themeFill="background1"/>
            <w:noWrap/>
            <w:vAlign w:val="bottom"/>
            <w:hideMark/>
          </w:tcPr>
          <w:p w14:paraId="07066665" w14:textId="77777777" w:rsidR="00941FCB" w:rsidRPr="00360C9C" w:rsidRDefault="00941FCB" w:rsidP="00941FCB">
            <w:pPr>
              <w:spacing w:before="0" w:after="0" w:line="240" w:lineRule="auto"/>
              <w:jc w:val="right"/>
              <w:rPr>
                <w:rFonts w:eastAsia="Times New Roman" w:cs="Open Sans"/>
                <w:b/>
                <w:bCs/>
                <w:color w:val="000000"/>
                <w:sz w:val="18"/>
                <w:szCs w:val="18"/>
                <w:lang w:eastAsia="fr-FR"/>
              </w:rPr>
            </w:pPr>
            <w:r w:rsidRPr="00360C9C">
              <w:rPr>
                <w:rFonts w:eastAsia="Times New Roman" w:cs="Open Sans"/>
                <w:b/>
                <w:bCs/>
                <w:color w:val="000000"/>
                <w:sz w:val="18"/>
                <w:szCs w:val="18"/>
                <w:lang w:eastAsia="fr-FR"/>
              </w:rPr>
              <w:t>76</w:t>
            </w:r>
          </w:p>
        </w:tc>
        <w:tc>
          <w:tcPr>
            <w:tcW w:w="662" w:type="dxa"/>
            <w:vAlign w:val="bottom"/>
          </w:tcPr>
          <w:p w14:paraId="7093D847" w14:textId="1E011727" w:rsidR="00941FCB" w:rsidRPr="00360C9C" w:rsidRDefault="00941FCB" w:rsidP="00941FCB">
            <w:pPr>
              <w:spacing w:before="0" w:after="0" w:line="240" w:lineRule="auto"/>
              <w:jc w:val="right"/>
              <w:rPr>
                <w:rFonts w:eastAsia="Times New Roman" w:cs="Open Sans"/>
                <w:b/>
                <w:bCs/>
                <w:color w:val="000000"/>
                <w:sz w:val="18"/>
                <w:szCs w:val="18"/>
                <w:lang w:eastAsia="fr-FR"/>
              </w:rPr>
            </w:pPr>
            <w:r w:rsidRPr="00360C9C">
              <w:rPr>
                <w:rFonts w:eastAsia="Times New Roman" w:cs="Open Sans"/>
                <w:b/>
                <w:bCs/>
                <w:color w:val="000000"/>
                <w:sz w:val="18"/>
                <w:szCs w:val="18"/>
                <w:lang w:eastAsia="fr-FR"/>
              </w:rPr>
              <w:t>288</w:t>
            </w:r>
          </w:p>
        </w:tc>
        <w:tc>
          <w:tcPr>
            <w:tcW w:w="892" w:type="dxa"/>
            <w:shd w:val="clear" w:color="auto" w:fill="FFFFFF" w:themeFill="background1"/>
            <w:noWrap/>
            <w:vAlign w:val="bottom"/>
          </w:tcPr>
          <w:p w14:paraId="1B92E54B" w14:textId="14601D06" w:rsidR="00941FCB" w:rsidRPr="00360C9C" w:rsidRDefault="00941FCB" w:rsidP="00941FCB">
            <w:pPr>
              <w:spacing w:before="0" w:after="0" w:line="240" w:lineRule="auto"/>
              <w:jc w:val="right"/>
              <w:rPr>
                <w:rFonts w:eastAsia="Times New Roman" w:cs="Open Sans"/>
                <w:b/>
                <w:bCs/>
                <w:color w:val="000000"/>
                <w:sz w:val="18"/>
                <w:szCs w:val="18"/>
                <w:lang w:eastAsia="fr-FR"/>
              </w:rPr>
            </w:pPr>
            <w:r>
              <w:rPr>
                <w:rFonts w:ascii="Aptos Narrow" w:hAnsi="Aptos Narrow"/>
                <w:b/>
                <w:bCs/>
                <w:color w:val="000000"/>
                <w:sz w:val="22"/>
              </w:rPr>
              <w:t>10631</w:t>
            </w:r>
          </w:p>
        </w:tc>
      </w:tr>
    </w:tbl>
    <w:p w14:paraId="77055997" w14:textId="77777777" w:rsidR="00360C9C" w:rsidRPr="007072F9" w:rsidRDefault="00360C9C" w:rsidP="007072F9"/>
    <w:p w14:paraId="753C562A" w14:textId="77777777" w:rsidR="000375E8" w:rsidRPr="000375E8" w:rsidRDefault="000375E8" w:rsidP="000375E8"/>
    <w:p w14:paraId="0DF2C81E" w14:textId="77777777" w:rsidR="000375E8" w:rsidRPr="000375E8" w:rsidRDefault="000375E8" w:rsidP="000375E8"/>
    <w:p w14:paraId="6842324A" w14:textId="77777777" w:rsidR="000375E8" w:rsidRPr="000375E8" w:rsidRDefault="000375E8" w:rsidP="000375E8"/>
    <w:p w14:paraId="6CAD8408" w14:textId="77777777" w:rsidR="0077494A" w:rsidRDefault="0077494A" w:rsidP="000375E8">
      <w:pPr>
        <w:sectPr w:rsidR="0077494A" w:rsidSect="005B2DBB">
          <w:pgSz w:w="11906" w:h="16838" w:code="9"/>
          <w:pgMar w:top="1440" w:right="1440" w:bottom="1440" w:left="1440" w:header="720" w:footer="720" w:gutter="0"/>
          <w:cols w:space="720"/>
          <w:docGrid w:linePitch="360"/>
        </w:sectPr>
      </w:pPr>
    </w:p>
    <w:p w14:paraId="16A09A3B" w14:textId="5D3955A3" w:rsidR="00812EA5" w:rsidRPr="00812EA5" w:rsidRDefault="00812EA5" w:rsidP="00812EA5">
      <w:pPr>
        <w:pStyle w:val="Heading2"/>
        <w:jc w:val="both"/>
        <w:rPr>
          <w:rFonts w:ascii="Open Sans" w:hAnsi="Open Sans"/>
          <w:color w:val="000099"/>
        </w:rPr>
      </w:pPr>
      <w:bookmarkStart w:id="63" w:name="_Toc216948990"/>
      <w:r w:rsidRPr="00812EA5">
        <w:rPr>
          <w:rFonts w:ascii="Open Sans" w:hAnsi="Open Sans"/>
          <w:color w:val="000099"/>
        </w:rPr>
        <w:lastRenderedPageBreak/>
        <w:t>Annex</w:t>
      </w:r>
      <w:r w:rsidR="00713975">
        <w:rPr>
          <w:rFonts w:ascii="Open Sans" w:hAnsi="Open Sans"/>
          <w:color w:val="000099"/>
        </w:rPr>
        <w:t>e</w:t>
      </w:r>
      <w:r w:rsidRPr="00812EA5">
        <w:rPr>
          <w:rFonts w:ascii="Open Sans" w:hAnsi="Open Sans"/>
          <w:color w:val="000099"/>
        </w:rPr>
        <w:t xml:space="preserve"> </w:t>
      </w:r>
      <w:r w:rsidR="00713975">
        <w:rPr>
          <w:rFonts w:ascii="Open Sans" w:hAnsi="Open Sans"/>
          <w:color w:val="000099"/>
        </w:rPr>
        <w:t>4</w:t>
      </w:r>
      <w:r w:rsidR="000375E8">
        <w:rPr>
          <w:rFonts w:ascii="Open Sans" w:hAnsi="Open Sans"/>
          <w:color w:val="000099"/>
        </w:rPr>
        <w:t xml:space="preserve"> </w:t>
      </w:r>
      <w:r w:rsidRPr="00812EA5">
        <w:rPr>
          <w:rFonts w:ascii="Open Sans" w:hAnsi="Open Sans"/>
          <w:color w:val="000099"/>
        </w:rPr>
        <w:t>: Matri</w:t>
      </w:r>
      <w:r w:rsidR="000375E8">
        <w:rPr>
          <w:rFonts w:ascii="Open Sans" w:hAnsi="Open Sans"/>
          <w:color w:val="000099"/>
        </w:rPr>
        <w:t>ce d’évaluation</w:t>
      </w:r>
      <w:bookmarkEnd w:id="63"/>
      <w:r w:rsidR="000375E8">
        <w:rPr>
          <w:rFonts w:ascii="Open Sans" w:hAnsi="Open Sans"/>
          <w:color w:val="000099"/>
        </w:rPr>
        <w:t xml:space="preserve"> </w:t>
      </w:r>
      <w:r w:rsidRPr="00812EA5">
        <w:rPr>
          <w:rFonts w:ascii="Open Sans" w:hAnsi="Open Sans"/>
          <w:color w:val="000099"/>
        </w:rPr>
        <w:t xml:space="preserve"> </w:t>
      </w:r>
    </w:p>
    <w:p w14:paraId="4EC92BC2" w14:textId="77777777" w:rsidR="00812EA5" w:rsidRDefault="00812EA5" w:rsidP="000375E8"/>
    <w:tbl>
      <w:tblPr>
        <w:tblStyle w:val="TableGrid"/>
        <w:tblW w:w="15055" w:type="dxa"/>
        <w:tblInd w:w="-572" w:type="dxa"/>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CellMar>
          <w:top w:w="57" w:type="dxa"/>
          <w:left w:w="57" w:type="dxa"/>
          <w:bottom w:w="57" w:type="dxa"/>
          <w:right w:w="57" w:type="dxa"/>
        </w:tblCellMar>
        <w:tblLook w:val="04A0" w:firstRow="1" w:lastRow="0" w:firstColumn="1" w:lastColumn="0" w:noHBand="0" w:noVBand="1"/>
      </w:tblPr>
      <w:tblGrid>
        <w:gridCol w:w="2357"/>
        <w:gridCol w:w="3187"/>
        <w:gridCol w:w="2389"/>
        <w:gridCol w:w="2234"/>
        <w:gridCol w:w="2489"/>
        <w:gridCol w:w="2399"/>
      </w:tblGrid>
      <w:tr w:rsidR="00713975" w:rsidRPr="00B2571D" w14:paraId="44FE404A" w14:textId="77777777" w:rsidTr="00B2571D">
        <w:trPr>
          <w:tblHeader/>
        </w:trPr>
        <w:tc>
          <w:tcPr>
            <w:tcW w:w="2405" w:type="dxa"/>
            <w:tcBorders>
              <w:right w:val="single" w:sz="4" w:space="0" w:color="FFFFFF" w:themeColor="background1"/>
            </w:tcBorders>
            <w:shd w:val="clear" w:color="auto" w:fill="000099"/>
            <w:vAlign w:val="center"/>
          </w:tcPr>
          <w:p w14:paraId="2CF96824" w14:textId="77777777" w:rsidR="00713975" w:rsidRPr="00B2571D" w:rsidRDefault="00713975" w:rsidP="00B2571D">
            <w:pPr>
              <w:spacing w:before="0" w:after="0"/>
              <w:jc w:val="center"/>
              <w:rPr>
                <w:rFonts w:cs="Open Sans"/>
                <w:b/>
                <w:bCs/>
                <w:sz w:val="18"/>
                <w:szCs w:val="18"/>
              </w:rPr>
            </w:pPr>
            <w:r w:rsidRPr="00B2571D">
              <w:rPr>
                <w:rFonts w:cs="Open Sans"/>
                <w:b/>
                <w:bCs/>
                <w:sz w:val="18"/>
                <w:szCs w:val="18"/>
              </w:rPr>
              <w:t>Questions clés</w:t>
            </w:r>
          </w:p>
        </w:tc>
        <w:tc>
          <w:tcPr>
            <w:tcW w:w="3265" w:type="dxa"/>
            <w:tcBorders>
              <w:left w:val="single" w:sz="4" w:space="0" w:color="FFFFFF" w:themeColor="background1"/>
              <w:right w:val="single" w:sz="4" w:space="0" w:color="FFFFFF" w:themeColor="background1"/>
            </w:tcBorders>
            <w:shd w:val="clear" w:color="auto" w:fill="000099"/>
            <w:vAlign w:val="center"/>
          </w:tcPr>
          <w:p w14:paraId="771CF109" w14:textId="77777777" w:rsidR="00713975" w:rsidRPr="00B2571D" w:rsidRDefault="00713975" w:rsidP="00B2571D">
            <w:pPr>
              <w:spacing w:before="0" w:after="0"/>
              <w:jc w:val="center"/>
              <w:rPr>
                <w:rFonts w:cs="Open Sans"/>
                <w:b/>
                <w:bCs/>
                <w:sz w:val="18"/>
                <w:szCs w:val="18"/>
              </w:rPr>
            </w:pPr>
            <w:r w:rsidRPr="00B2571D">
              <w:rPr>
                <w:rFonts w:cs="Open Sans"/>
                <w:b/>
                <w:bCs/>
                <w:sz w:val="18"/>
                <w:szCs w:val="18"/>
              </w:rPr>
              <w:t>Sous-questions</w:t>
            </w:r>
          </w:p>
        </w:tc>
        <w:tc>
          <w:tcPr>
            <w:tcW w:w="2410" w:type="dxa"/>
            <w:tcBorders>
              <w:left w:val="single" w:sz="4" w:space="0" w:color="FFFFFF" w:themeColor="background1"/>
              <w:right w:val="single" w:sz="4" w:space="0" w:color="FFFFFF" w:themeColor="background1"/>
            </w:tcBorders>
            <w:shd w:val="clear" w:color="auto" w:fill="000099"/>
            <w:vAlign w:val="center"/>
          </w:tcPr>
          <w:p w14:paraId="2C57DCCF" w14:textId="77777777" w:rsidR="00713975" w:rsidRPr="00B2571D" w:rsidRDefault="00713975" w:rsidP="00B2571D">
            <w:pPr>
              <w:spacing w:before="0" w:after="0"/>
              <w:jc w:val="center"/>
              <w:rPr>
                <w:rFonts w:cs="Open Sans"/>
                <w:b/>
                <w:bCs/>
                <w:sz w:val="18"/>
                <w:szCs w:val="18"/>
              </w:rPr>
            </w:pPr>
            <w:r w:rsidRPr="00B2571D">
              <w:rPr>
                <w:rFonts w:cs="Open Sans"/>
                <w:b/>
                <w:bCs/>
                <w:sz w:val="18"/>
                <w:szCs w:val="18"/>
              </w:rPr>
              <w:t>Sources de données</w:t>
            </w:r>
          </w:p>
        </w:tc>
        <w:tc>
          <w:tcPr>
            <w:tcW w:w="2268" w:type="dxa"/>
            <w:tcBorders>
              <w:left w:val="single" w:sz="4" w:space="0" w:color="FFFFFF" w:themeColor="background1"/>
              <w:right w:val="single" w:sz="4" w:space="0" w:color="FFFFFF" w:themeColor="background1"/>
            </w:tcBorders>
            <w:shd w:val="clear" w:color="auto" w:fill="000099"/>
            <w:vAlign w:val="center"/>
          </w:tcPr>
          <w:p w14:paraId="41BEB276" w14:textId="77777777" w:rsidR="00713975" w:rsidRPr="00B2571D" w:rsidRDefault="00713975" w:rsidP="00B2571D">
            <w:pPr>
              <w:spacing w:before="0" w:after="0"/>
              <w:jc w:val="center"/>
              <w:rPr>
                <w:rFonts w:cs="Open Sans"/>
                <w:b/>
                <w:bCs/>
                <w:sz w:val="18"/>
                <w:szCs w:val="18"/>
              </w:rPr>
            </w:pPr>
            <w:r w:rsidRPr="00B2571D">
              <w:rPr>
                <w:rFonts w:cs="Open Sans"/>
                <w:b/>
                <w:bCs/>
                <w:sz w:val="18"/>
                <w:szCs w:val="18"/>
              </w:rPr>
              <w:t>Méthodes / outils de collecte de données</w:t>
            </w:r>
          </w:p>
        </w:tc>
        <w:tc>
          <w:tcPr>
            <w:tcW w:w="2269" w:type="dxa"/>
            <w:tcBorders>
              <w:left w:val="single" w:sz="4" w:space="0" w:color="FFFFFF" w:themeColor="background1"/>
              <w:right w:val="single" w:sz="4" w:space="0" w:color="FFFFFF" w:themeColor="background1"/>
            </w:tcBorders>
            <w:shd w:val="clear" w:color="auto" w:fill="000099"/>
            <w:vAlign w:val="center"/>
          </w:tcPr>
          <w:p w14:paraId="4BD13AB9" w14:textId="77777777" w:rsidR="00713975" w:rsidRPr="00B2571D" w:rsidRDefault="00713975" w:rsidP="00B2571D">
            <w:pPr>
              <w:spacing w:before="0" w:after="0"/>
              <w:jc w:val="center"/>
              <w:rPr>
                <w:rFonts w:cs="Open Sans"/>
                <w:b/>
                <w:bCs/>
                <w:sz w:val="18"/>
                <w:szCs w:val="18"/>
              </w:rPr>
            </w:pPr>
            <w:r w:rsidRPr="00B2571D">
              <w:rPr>
                <w:rFonts w:cs="Open Sans"/>
                <w:b/>
                <w:bCs/>
                <w:sz w:val="18"/>
                <w:szCs w:val="18"/>
              </w:rPr>
              <w:t>Indicateurs</w:t>
            </w:r>
          </w:p>
        </w:tc>
        <w:tc>
          <w:tcPr>
            <w:tcW w:w="2438" w:type="dxa"/>
            <w:tcBorders>
              <w:left w:val="single" w:sz="4" w:space="0" w:color="FFFFFF" w:themeColor="background1"/>
            </w:tcBorders>
            <w:shd w:val="clear" w:color="auto" w:fill="000099"/>
            <w:vAlign w:val="center"/>
          </w:tcPr>
          <w:p w14:paraId="34C6AD97" w14:textId="77777777" w:rsidR="00713975" w:rsidRPr="00B2571D" w:rsidRDefault="00713975" w:rsidP="00B2571D">
            <w:pPr>
              <w:spacing w:before="0" w:after="0"/>
              <w:jc w:val="center"/>
              <w:rPr>
                <w:rFonts w:cs="Open Sans"/>
                <w:b/>
                <w:bCs/>
                <w:sz w:val="18"/>
                <w:szCs w:val="18"/>
              </w:rPr>
            </w:pPr>
            <w:r w:rsidRPr="00B2571D">
              <w:rPr>
                <w:rFonts w:cs="Open Sans"/>
                <w:b/>
                <w:bCs/>
                <w:sz w:val="18"/>
                <w:szCs w:val="18"/>
              </w:rPr>
              <w:t>Méthodes d’analyse de données</w:t>
            </w:r>
          </w:p>
        </w:tc>
      </w:tr>
      <w:tr w:rsidR="00713975" w:rsidRPr="00B2571D" w14:paraId="1FDF8BF4" w14:textId="77777777" w:rsidTr="00B2571D">
        <w:tc>
          <w:tcPr>
            <w:tcW w:w="15055" w:type="dxa"/>
            <w:gridSpan w:val="6"/>
            <w:shd w:val="clear" w:color="auto" w:fill="B4C6E7" w:themeFill="accent5" w:themeFillTint="66"/>
          </w:tcPr>
          <w:p w14:paraId="68F526D4" w14:textId="77777777" w:rsidR="00713975" w:rsidRPr="00B2571D" w:rsidRDefault="00713975" w:rsidP="00B2571D">
            <w:pPr>
              <w:spacing w:before="0" w:after="0"/>
              <w:rPr>
                <w:rFonts w:cs="Open Sans"/>
                <w:b/>
                <w:bCs/>
                <w:sz w:val="18"/>
                <w:szCs w:val="18"/>
              </w:rPr>
            </w:pPr>
            <w:r w:rsidRPr="00B2571D">
              <w:rPr>
                <w:rFonts w:cs="Open Sans"/>
                <w:b/>
                <w:bCs/>
                <w:sz w:val="18"/>
                <w:szCs w:val="18"/>
              </w:rPr>
              <w:t xml:space="preserve">Critère 1 : Pertinence </w:t>
            </w:r>
          </w:p>
        </w:tc>
      </w:tr>
      <w:tr w:rsidR="00713975" w:rsidRPr="00B2571D" w14:paraId="1B14C3B0" w14:textId="77777777" w:rsidTr="00B2571D">
        <w:tc>
          <w:tcPr>
            <w:tcW w:w="2405" w:type="dxa"/>
            <w:vAlign w:val="center"/>
          </w:tcPr>
          <w:p w14:paraId="5E08C98F" w14:textId="77777777" w:rsidR="00713975" w:rsidRPr="00B2571D" w:rsidRDefault="00713975" w:rsidP="008D2A15">
            <w:pPr>
              <w:rPr>
                <w:rFonts w:cs="Open Sans"/>
                <w:b/>
                <w:bCs/>
                <w:sz w:val="18"/>
                <w:szCs w:val="18"/>
              </w:rPr>
            </w:pPr>
            <w:r w:rsidRPr="00B2571D">
              <w:rPr>
                <w:rFonts w:cs="Open Sans"/>
                <w:sz w:val="18"/>
                <w:szCs w:val="18"/>
              </w:rPr>
              <w:t>1.1. Dans quelle mesure l'approche du projet Kibira sanctuaire de paix est-elle pertinente par rapport aux priorités des agendas mondiaux, notamment les ODD ?</w:t>
            </w:r>
          </w:p>
        </w:tc>
        <w:tc>
          <w:tcPr>
            <w:tcW w:w="3265" w:type="dxa"/>
            <w:vAlign w:val="center"/>
          </w:tcPr>
          <w:p w14:paraId="12295C7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Le projet contribue-t-il effectivement aux ODD 7, 13, 15, 16, 17, 5 ? </w:t>
            </w:r>
          </w:p>
          <w:p w14:paraId="57CC780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Les activités du projet s'alignent-elles avec les cibles spécifiques des ODD prioritaires ?</w:t>
            </w:r>
          </w:p>
          <w:p w14:paraId="5A256C9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 projet est-il aligné avec les priorités ODD nationales ?</w:t>
            </w:r>
          </w:p>
        </w:tc>
        <w:tc>
          <w:tcPr>
            <w:tcW w:w="2410" w:type="dxa"/>
            <w:vAlign w:val="center"/>
          </w:tcPr>
          <w:p w14:paraId="68C505E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Document du projet y compris cadre de résultat</w:t>
            </w:r>
          </w:p>
          <w:p w14:paraId="698119BB"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Stratégies ODD</w:t>
            </w:r>
          </w:p>
          <w:p w14:paraId="18C5037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Plan National de développement et priorités ODD</w:t>
            </w:r>
          </w:p>
          <w:p w14:paraId="5922884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Equipes UNCDF et PNUD </w:t>
            </w:r>
          </w:p>
        </w:tc>
        <w:tc>
          <w:tcPr>
            <w:tcW w:w="2268" w:type="dxa"/>
            <w:vAlign w:val="center"/>
          </w:tcPr>
          <w:p w14:paraId="1CD1FCE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documentaire ciblée</w:t>
            </w:r>
          </w:p>
          <w:p w14:paraId="3EE01B3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Entretiens avec équipes UNCDF et PNUD</w:t>
            </w:r>
          </w:p>
        </w:tc>
        <w:tc>
          <w:tcPr>
            <w:tcW w:w="2269" w:type="dxa"/>
            <w:vAlign w:val="center"/>
          </w:tcPr>
          <w:p w14:paraId="3680B2A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Référence aux ODD dans le document du projet </w:t>
            </w:r>
          </w:p>
          <w:p w14:paraId="025331FA"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≥50% des indicateurs du projet alignés avec les cibles ODD</w:t>
            </w:r>
          </w:p>
          <w:p w14:paraId="4CB0EDDB"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Alignement avec priorités ODD du Plan National</w:t>
            </w:r>
          </w:p>
        </w:tc>
        <w:tc>
          <w:tcPr>
            <w:tcW w:w="2438" w:type="dxa"/>
            <w:vAlign w:val="center"/>
          </w:tcPr>
          <w:p w14:paraId="3AA1C09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 contenu</w:t>
            </w:r>
          </w:p>
          <w:p w14:paraId="6A65CC5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Croisement systématique activités et indicateurs du projet vs cibles ODD </w:t>
            </w:r>
          </w:p>
          <w:p w14:paraId="5E5C6ED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 cohérence de la conception / priorités nationales ODD</w:t>
            </w:r>
          </w:p>
        </w:tc>
      </w:tr>
      <w:tr w:rsidR="00713975" w:rsidRPr="00B2571D" w14:paraId="1AE79405" w14:textId="77777777" w:rsidTr="00B2571D">
        <w:tc>
          <w:tcPr>
            <w:tcW w:w="2405" w:type="dxa"/>
            <w:vAlign w:val="center"/>
          </w:tcPr>
          <w:p w14:paraId="06A3F668" w14:textId="77777777" w:rsidR="00713975" w:rsidRPr="00B2571D" w:rsidRDefault="00713975" w:rsidP="008D2A15">
            <w:pPr>
              <w:rPr>
                <w:rFonts w:cs="Open Sans"/>
                <w:sz w:val="18"/>
                <w:szCs w:val="18"/>
              </w:rPr>
            </w:pPr>
            <w:r w:rsidRPr="00B2571D">
              <w:rPr>
                <w:rFonts w:cs="Open Sans"/>
                <w:sz w:val="18"/>
                <w:szCs w:val="18"/>
              </w:rPr>
              <w:t>1.2. Dans quelle mesure le projet est-il pertinent par rapport aux priorités gouvernementales burundaises ?</w:t>
            </w:r>
          </w:p>
        </w:tc>
        <w:tc>
          <w:tcPr>
            <w:tcW w:w="3265" w:type="dxa"/>
            <w:vAlign w:val="center"/>
          </w:tcPr>
          <w:p w14:paraId="5B30A17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 projet contribue-t-il à la vision Burundi émergente 2040 et pays développé en 2060 ?</w:t>
            </w:r>
          </w:p>
          <w:p w14:paraId="73B00A9B"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 projet s'aligne-t-il sur les priorités du Plan National de Développement 2018-2027 revu ?</w:t>
            </w:r>
          </w:p>
          <w:p w14:paraId="4393C01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L'approche du projet est-elle cohérente avec la Stratégie Nationale de Capitalisation de la paix ?</w:t>
            </w:r>
          </w:p>
          <w:p w14:paraId="163DF047"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Les composantes du projet répondent-elles aux priorités sectorielles (environnement, énergie, paix) ?</w:t>
            </w:r>
          </w:p>
          <w:p w14:paraId="6137A22B"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La conception du projet prend-elle en compte les cadres </w:t>
            </w:r>
            <w:r w:rsidRPr="00B2571D">
              <w:rPr>
                <w:rFonts w:cs="Open Sans"/>
                <w:sz w:val="18"/>
                <w:szCs w:val="18"/>
              </w:rPr>
              <w:lastRenderedPageBreak/>
              <w:t>institutionnels burundais existants ?</w:t>
            </w:r>
          </w:p>
        </w:tc>
        <w:tc>
          <w:tcPr>
            <w:tcW w:w="2410" w:type="dxa"/>
            <w:vAlign w:val="center"/>
          </w:tcPr>
          <w:p w14:paraId="2E55255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Document du projet</w:t>
            </w:r>
          </w:p>
          <w:p w14:paraId="138531C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Plan National de Développement Burundi 2018-2027</w:t>
            </w:r>
          </w:p>
          <w:p w14:paraId="77D440B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Stratégie Nationale de Capitalisation de la paix</w:t>
            </w:r>
          </w:p>
          <w:p w14:paraId="24C4868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Représentants de l’OBPE et des ministères environnement et énergie</w:t>
            </w:r>
          </w:p>
        </w:tc>
        <w:tc>
          <w:tcPr>
            <w:tcW w:w="2268" w:type="dxa"/>
            <w:vAlign w:val="center"/>
          </w:tcPr>
          <w:p w14:paraId="2268AF7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documentaire</w:t>
            </w:r>
          </w:p>
          <w:p w14:paraId="251F852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Entretiens institutionnels au niveau central</w:t>
            </w:r>
          </w:p>
          <w:p w14:paraId="4544E43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Entretiens avec les autorités locales </w:t>
            </w:r>
          </w:p>
        </w:tc>
        <w:tc>
          <w:tcPr>
            <w:tcW w:w="2269" w:type="dxa"/>
            <w:vAlign w:val="center"/>
          </w:tcPr>
          <w:p w14:paraId="7EF4F0A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≥70% des composantes alignées sur PND et stratégies sectorielles </w:t>
            </w:r>
          </w:p>
          <w:p w14:paraId="15C0C6C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Appropriation du projet par les ministères concernés </w:t>
            </w:r>
          </w:p>
          <w:p w14:paraId="1F969C3B"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Appropriation du projet par les autorités locales </w:t>
            </w:r>
          </w:p>
        </w:tc>
        <w:tc>
          <w:tcPr>
            <w:tcW w:w="2438" w:type="dxa"/>
            <w:vAlign w:val="center"/>
          </w:tcPr>
          <w:p w14:paraId="6FF4586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 concordance projet/stratégies nationales</w:t>
            </w:r>
          </w:p>
          <w:p w14:paraId="0BF0408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Analyse de la perception des acteurs institutionnels </w:t>
            </w:r>
          </w:p>
        </w:tc>
      </w:tr>
      <w:tr w:rsidR="00713975" w:rsidRPr="00B2571D" w14:paraId="44AC0577" w14:textId="77777777" w:rsidTr="00B2571D">
        <w:tc>
          <w:tcPr>
            <w:tcW w:w="2405" w:type="dxa"/>
            <w:vAlign w:val="center"/>
          </w:tcPr>
          <w:p w14:paraId="412640A9" w14:textId="77777777" w:rsidR="00713975" w:rsidRPr="00B2571D" w:rsidRDefault="00713975" w:rsidP="008D2A15">
            <w:pPr>
              <w:rPr>
                <w:rFonts w:cs="Open Sans"/>
                <w:sz w:val="18"/>
                <w:szCs w:val="18"/>
              </w:rPr>
            </w:pPr>
            <w:r w:rsidRPr="00B2571D">
              <w:rPr>
                <w:rFonts w:cs="Open Sans"/>
                <w:sz w:val="18"/>
                <w:szCs w:val="18"/>
              </w:rPr>
              <w:t>1.3. Dans quelle mesure le projet répond-il aux besoins des populations ciblées et est-il adapté au contexte local ?</w:t>
            </w:r>
          </w:p>
        </w:tc>
        <w:tc>
          <w:tcPr>
            <w:tcW w:w="3265" w:type="dxa"/>
            <w:vAlign w:val="center"/>
          </w:tcPr>
          <w:p w14:paraId="738B59C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Les besoins prioritaires des communautés locales ont-ils été correctement identifiés lors de la conception ?</w:t>
            </w:r>
          </w:p>
          <w:p w14:paraId="43FF0A1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 projet prend-il en compte les spécificités des populations vulnérables (</w:t>
            </w:r>
            <w:proofErr w:type="spellStart"/>
            <w:r w:rsidRPr="00B2571D">
              <w:rPr>
                <w:rFonts w:cs="Open Sans"/>
                <w:sz w:val="18"/>
                <w:szCs w:val="18"/>
              </w:rPr>
              <w:t>Batwa</w:t>
            </w:r>
            <w:proofErr w:type="spellEnd"/>
            <w:r w:rsidRPr="00B2571D">
              <w:rPr>
                <w:rFonts w:cs="Open Sans"/>
                <w:sz w:val="18"/>
                <w:szCs w:val="18"/>
              </w:rPr>
              <w:t>, femmes, jeunes, personnes handicapées, …) ?</w:t>
            </w:r>
          </w:p>
          <w:p w14:paraId="2A33119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L'approche du projet est-elle adaptée au contexte socio-culturel burundais ?</w:t>
            </w:r>
          </w:p>
          <w:p w14:paraId="043588C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Les stratégies du projet correspondent-elles aux capacités locales existantes ?</w:t>
            </w:r>
          </w:p>
        </w:tc>
        <w:tc>
          <w:tcPr>
            <w:tcW w:w="2410" w:type="dxa"/>
            <w:vAlign w:val="center"/>
          </w:tcPr>
          <w:p w14:paraId="14CDB887"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Document du projet</w:t>
            </w:r>
          </w:p>
          <w:p w14:paraId="332CD24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Baseline </w:t>
            </w:r>
            <w:proofErr w:type="spellStart"/>
            <w:r w:rsidRPr="00B2571D">
              <w:rPr>
                <w:rFonts w:cs="Open Sans"/>
                <w:sz w:val="18"/>
                <w:szCs w:val="18"/>
              </w:rPr>
              <w:t>study</w:t>
            </w:r>
            <w:proofErr w:type="spellEnd"/>
            <w:r w:rsidRPr="00B2571D">
              <w:rPr>
                <w:rFonts w:cs="Open Sans"/>
                <w:sz w:val="18"/>
                <w:szCs w:val="18"/>
              </w:rPr>
              <w:t xml:space="preserve"> élaborée par COH</w:t>
            </w:r>
          </w:p>
          <w:p w14:paraId="598BF9A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Rapports sur les activités communautaires</w:t>
            </w:r>
          </w:p>
          <w:p w14:paraId="69F68D2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Communautés bénéficiaires</w:t>
            </w:r>
          </w:p>
          <w:p w14:paraId="3291340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Leaders communautaires </w:t>
            </w:r>
          </w:p>
          <w:p w14:paraId="0785F937"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Autorités locales</w:t>
            </w:r>
          </w:p>
          <w:p w14:paraId="39B6727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Partenaires de mise en œuvre </w:t>
            </w:r>
          </w:p>
        </w:tc>
        <w:tc>
          <w:tcPr>
            <w:tcW w:w="2268" w:type="dxa"/>
            <w:vAlign w:val="center"/>
          </w:tcPr>
          <w:p w14:paraId="2751537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documentaire</w:t>
            </w:r>
          </w:p>
          <w:p w14:paraId="75FC8E3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Focus groups avec les communautés</w:t>
            </w:r>
          </w:p>
          <w:p w14:paraId="74E9C45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Entretiens avec les leaders communautaires et autorités locales </w:t>
            </w:r>
          </w:p>
          <w:p w14:paraId="471DA24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Entretiens avec les partenaires de mise en œuvre </w:t>
            </w:r>
          </w:p>
          <w:p w14:paraId="56E68C6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Observations directes </w:t>
            </w:r>
          </w:p>
        </w:tc>
        <w:tc>
          <w:tcPr>
            <w:tcW w:w="2269" w:type="dxa"/>
            <w:vAlign w:val="center"/>
          </w:tcPr>
          <w:p w14:paraId="65A6124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Taux de couverture des besoins : ≥50% des besoins sont couverts</w:t>
            </w:r>
          </w:p>
          <w:p w14:paraId="2F172D9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Respect des pratiques et normes locales</w:t>
            </w:r>
          </w:p>
          <w:p w14:paraId="273CDBD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Appropriation du projet par les bénéficiaires </w:t>
            </w:r>
          </w:p>
        </w:tc>
        <w:tc>
          <w:tcPr>
            <w:tcW w:w="2438" w:type="dxa"/>
            <w:vAlign w:val="center"/>
          </w:tcPr>
          <w:p w14:paraId="64CB773D" w14:textId="77777777" w:rsidR="00713975" w:rsidRPr="00B2571D" w:rsidRDefault="00713975" w:rsidP="008D2A15">
            <w:pPr>
              <w:rPr>
                <w:rFonts w:cs="Open Sans"/>
                <w:sz w:val="18"/>
                <w:szCs w:val="18"/>
              </w:rPr>
            </w:pPr>
            <w:r w:rsidRPr="00B2571D">
              <w:rPr>
                <w:rFonts w:cs="Open Sans"/>
                <w:sz w:val="18"/>
                <w:szCs w:val="18"/>
              </w:rPr>
              <w:t>Analyses comparatives :</w:t>
            </w:r>
          </w:p>
          <w:p w14:paraId="6CAA43B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Attentes et Besoins exprimés /actions du projet</w:t>
            </w:r>
          </w:p>
          <w:p w14:paraId="5AF4942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Approche du projet / contexte </w:t>
            </w:r>
          </w:p>
          <w:p w14:paraId="73E5745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Stratégies du projet / capacités locales </w:t>
            </w:r>
          </w:p>
        </w:tc>
      </w:tr>
      <w:tr w:rsidR="00713975" w:rsidRPr="00B2571D" w14:paraId="25395A2B" w14:textId="77777777" w:rsidTr="00B2571D">
        <w:tc>
          <w:tcPr>
            <w:tcW w:w="2405" w:type="dxa"/>
            <w:vAlign w:val="center"/>
          </w:tcPr>
          <w:p w14:paraId="165A8F5C" w14:textId="77777777" w:rsidR="00713975" w:rsidRPr="00B2571D" w:rsidRDefault="00713975" w:rsidP="008D2A15">
            <w:pPr>
              <w:rPr>
                <w:rFonts w:cs="Open Sans"/>
                <w:sz w:val="18"/>
                <w:szCs w:val="18"/>
              </w:rPr>
            </w:pPr>
            <w:r w:rsidRPr="00B2571D">
              <w:rPr>
                <w:rFonts w:cs="Open Sans"/>
                <w:sz w:val="18"/>
                <w:szCs w:val="18"/>
              </w:rPr>
              <w:t>1.4. Dans quelle mesure le projet traite-t-il les principaux facteurs de conflit et lacunes de consolidation de la paix ?</w:t>
            </w:r>
          </w:p>
        </w:tc>
        <w:tc>
          <w:tcPr>
            <w:tcW w:w="3265" w:type="dxa"/>
            <w:vAlign w:val="center"/>
          </w:tcPr>
          <w:p w14:paraId="2B3A69D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 projet aborde-t-il les causes profondes des conflits liés aux ressources naturelles ?</w:t>
            </w:r>
          </w:p>
          <w:p w14:paraId="7AFAC6B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L'approche du projet traite-t-elle efficacement les tensions entre conservation et besoins communautaires ?</w:t>
            </w:r>
          </w:p>
          <w:p w14:paraId="01A5B55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 projet répond-il aux lacunes identifiées en matière de consolidation de la paix dans la région ?</w:t>
            </w:r>
          </w:p>
        </w:tc>
        <w:tc>
          <w:tcPr>
            <w:tcW w:w="2410" w:type="dxa"/>
            <w:vAlign w:val="center"/>
          </w:tcPr>
          <w:p w14:paraId="4D29BAAB"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Document du projet</w:t>
            </w:r>
          </w:p>
          <w:p w14:paraId="54EB0E9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Données de monitoring (indicateurs paix)</w:t>
            </w:r>
          </w:p>
          <w:p w14:paraId="589B54FA"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Equipes UNCDF et PBF</w:t>
            </w:r>
          </w:p>
          <w:p w14:paraId="5A17D56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Communautés bénéficiaires </w:t>
            </w:r>
          </w:p>
          <w:p w14:paraId="5F62E7C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OBPE, autorités locales, leaders communautaires</w:t>
            </w:r>
          </w:p>
          <w:p w14:paraId="70626D7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Partenaires de mise en œuvre </w:t>
            </w:r>
          </w:p>
        </w:tc>
        <w:tc>
          <w:tcPr>
            <w:tcW w:w="2268" w:type="dxa"/>
            <w:vAlign w:val="center"/>
          </w:tcPr>
          <w:p w14:paraId="0B0E8CE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documentaire</w:t>
            </w:r>
          </w:p>
          <w:p w14:paraId="4841558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Cartographie des facteurs de tension actuels</w:t>
            </w:r>
          </w:p>
          <w:p w14:paraId="0D7A4E4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Entretiens avec OBPE, autorités locales, leaders communautaires, partenaires de mise en œuvre  </w:t>
            </w:r>
          </w:p>
          <w:p w14:paraId="2819721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Focus groups avec les populations bénéficiaires</w:t>
            </w:r>
          </w:p>
        </w:tc>
        <w:tc>
          <w:tcPr>
            <w:tcW w:w="2269" w:type="dxa"/>
            <w:vAlign w:val="center"/>
          </w:tcPr>
          <w:p w14:paraId="733A27E7"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Couverture des facteurs de conflit (≥70%)</w:t>
            </w:r>
          </w:p>
          <w:p w14:paraId="1919C36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Cohérence de la logique d’intervention </w:t>
            </w:r>
          </w:p>
        </w:tc>
        <w:tc>
          <w:tcPr>
            <w:tcW w:w="2438" w:type="dxa"/>
            <w:vAlign w:val="center"/>
          </w:tcPr>
          <w:p w14:paraId="0C6B05D7"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causale conflits-interventions-résultats</w:t>
            </w:r>
          </w:p>
          <w:p w14:paraId="00CBC96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comparative par rapport aux bonnes pratiques internationales</w:t>
            </w:r>
          </w:p>
          <w:p w14:paraId="24F9FBB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 la théorie du changement : Validation de la logique d'intervention</w:t>
            </w:r>
          </w:p>
        </w:tc>
      </w:tr>
      <w:tr w:rsidR="00713975" w:rsidRPr="00B2571D" w14:paraId="2119E972" w14:textId="77777777" w:rsidTr="00B2571D">
        <w:tc>
          <w:tcPr>
            <w:tcW w:w="2405" w:type="dxa"/>
            <w:vAlign w:val="center"/>
          </w:tcPr>
          <w:p w14:paraId="2444F0B0" w14:textId="77777777" w:rsidR="00713975" w:rsidRPr="00B2571D" w:rsidRDefault="00713975" w:rsidP="008D2A15">
            <w:pPr>
              <w:rPr>
                <w:rFonts w:cs="Open Sans"/>
                <w:sz w:val="18"/>
                <w:szCs w:val="18"/>
              </w:rPr>
            </w:pPr>
            <w:r w:rsidRPr="00B2571D">
              <w:rPr>
                <w:rFonts w:cs="Open Sans"/>
                <w:sz w:val="18"/>
                <w:szCs w:val="18"/>
              </w:rPr>
              <w:t>1.5. Dans quelle mesure la structure de mise en œuvre du projet est-elle</w:t>
            </w:r>
          </w:p>
          <w:p w14:paraId="03D24F98" w14:textId="77777777" w:rsidR="00713975" w:rsidRPr="00B2571D" w:rsidRDefault="00713975" w:rsidP="008D2A15">
            <w:pPr>
              <w:rPr>
                <w:rFonts w:cs="Open Sans"/>
                <w:sz w:val="18"/>
                <w:szCs w:val="18"/>
              </w:rPr>
            </w:pPr>
            <w:proofErr w:type="gramStart"/>
            <w:r w:rsidRPr="00B2571D">
              <w:rPr>
                <w:rFonts w:cs="Open Sans"/>
                <w:sz w:val="18"/>
                <w:szCs w:val="18"/>
              </w:rPr>
              <w:t>pertinente</w:t>
            </w:r>
            <w:proofErr w:type="gramEnd"/>
            <w:r w:rsidRPr="00B2571D">
              <w:rPr>
                <w:rFonts w:cs="Open Sans"/>
                <w:sz w:val="18"/>
                <w:szCs w:val="18"/>
              </w:rPr>
              <w:t xml:space="preserve"> et appropriée à la lumière des objectifs et du mandat</w:t>
            </w:r>
          </w:p>
          <w:p w14:paraId="3644262A" w14:textId="77777777" w:rsidR="00713975" w:rsidRPr="00B2571D" w:rsidRDefault="00713975" w:rsidP="008D2A15">
            <w:pPr>
              <w:rPr>
                <w:rFonts w:cs="Open Sans"/>
                <w:sz w:val="18"/>
                <w:szCs w:val="18"/>
              </w:rPr>
            </w:pPr>
            <w:proofErr w:type="gramStart"/>
            <w:r w:rsidRPr="00B2571D">
              <w:rPr>
                <w:rFonts w:cs="Open Sans"/>
                <w:sz w:val="18"/>
                <w:szCs w:val="18"/>
              </w:rPr>
              <w:t>plus</w:t>
            </w:r>
            <w:proofErr w:type="gramEnd"/>
            <w:r w:rsidRPr="00B2571D">
              <w:rPr>
                <w:rFonts w:cs="Open Sans"/>
                <w:sz w:val="18"/>
                <w:szCs w:val="18"/>
              </w:rPr>
              <w:t xml:space="preserve"> large du UNCDF ?</w:t>
            </w:r>
          </w:p>
        </w:tc>
        <w:tc>
          <w:tcPr>
            <w:tcW w:w="3265" w:type="dxa"/>
            <w:vAlign w:val="center"/>
          </w:tcPr>
          <w:p w14:paraId="6F78F45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 projet contribue-t-il aux priorités thématiques UNCDF (financement local, économies inclusives, économie verte) ?</w:t>
            </w:r>
          </w:p>
          <w:p w14:paraId="0E42459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L'approche de financement mixte s'aligne-t-elle sur la vision UNCDF de catalyseur de financements privés ?</w:t>
            </w:r>
          </w:p>
          <w:p w14:paraId="1F7443C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La stratégie de ciblage (pays et populations vulnérables) respecte-t-il le mandat UNCDF ?</w:t>
            </w:r>
          </w:p>
        </w:tc>
        <w:tc>
          <w:tcPr>
            <w:tcW w:w="2410" w:type="dxa"/>
            <w:vAlign w:val="center"/>
          </w:tcPr>
          <w:p w14:paraId="4A58797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Document de projet</w:t>
            </w:r>
          </w:p>
          <w:p w14:paraId="3F398E9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Cadre Stratégique UNCDF 2022-2025</w:t>
            </w:r>
          </w:p>
          <w:p w14:paraId="1E20436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Rapport annuel UNCDF</w:t>
            </w:r>
          </w:p>
          <w:p w14:paraId="56C756C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Equipe UNCDF</w:t>
            </w:r>
          </w:p>
        </w:tc>
        <w:tc>
          <w:tcPr>
            <w:tcW w:w="2268" w:type="dxa"/>
            <w:vAlign w:val="center"/>
          </w:tcPr>
          <w:p w14:paraId="38591A9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Analyse documentaire </w:t>
            </w:r>
          </w:p>
          <w:p w14:paraId="4D5EB85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Entretiens avec UNCDF</w:t>
            </w:r>
          </w:p>
        </w:tc>
        <w:tc>
          <w:tcPr>
            <w:tcW w:w="2269" w:type="dxa"/>
            <w:vAlign w:val="center"/>
          </w:tcPr>
          <w:p w14:paraId="45D31AD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Alignement avec les priorités du cadre stratégique </w:t>
            </w:r>
          </w:p>
          <w:p w14:paraId="4EB9117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Effet catalytique conforme aux attentes UNCDF</w:t>
            </w:r>
          </w:p>
          <w:p w14:paraId="2CDF723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Degré de pertinence du ciblage </w:t>
            </w:r>
          </w:p>
        </w:tc>
        <w:tc>
          <w:tcPr>
            <w:tcW w:w="2438" w:type="dxa"/>
            <w:vAlign w:val="center"/>
          </w:tcPr>
          <w:p w14:paraId="132CC6F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d'alignement stratégique</w:t>
            </w:r>
          </w:p>
          <w:p w14:paraId="37D9298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 contribution aux résultats globaux de l’UNCDF</w:t>
            </w:r>
          </w:p>
        </w:tc>
      </w:tr>
      <w:tr w:rsidR="00713975" w:rsidRPr="00B2571D" w14:paraId="1E8F46F4" w14:textId="77777777" w:rsidTr="00B2571D">
        <w:trPr>
          <w:trHeight w:val="3812"/>
        </w:trPr>
        <w:tc>
          <w:tcPr>
            <w:tcW w:w="2405" w:type="dxa"/>
            <w:vAlign w:val="center"/>
          </w:tcPr>
          <w:p w14:paraId="7A1D7B00" w14:textId="77777777" w:rsidR="00713975" w:rsidRPr="00B2571D" w:rsidRDefault="00713975" w:rsidP="008D2A15">
            <w:pPr>
              <w:rPr>
                <w:rFonts w:cs="Open Sans"/>
                <w:sz w:val="18"/>
                <w:szCs w:val="18"/>
              </w:rPr>
            </w:pPr>
            <w:r w:rsidRPr="00B2571D">
              <w:rPr>
                <w:rFonts w:cs="Open Sans"/>
                <w:sz w:val="18"/>
                <w:szCs w:val="18"/>
              </w:rPr>
              <w:t>1.6 Dans quelle mesure le projet intègre-t-il l'égalité des sexes, les droits de l'homme et l'inclusion des personnes handicapées dans sa conception et mise en œuvre ? Atteint-il les "clients du dernier kilomètre" ?</w:t>
            </w:r>
          </w:p>
        </w:tc>
        <w:tc>
          <w:tcPr>
            <w:tcW w:w="3265" w:type="dxa"/>
            <w:vAlign w:val="center"/>
          </w:tcPr>
          <w:p w14:paraId="58049ED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L'analyse de conflit et la théorie du changement intègrent-elles la dimension genre ?</w:t>
            </w:r>
          </w:p>
          <w:p w14:paraId="444F8BD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Les mécanismes de sauvegarde sociale et de gestion des plaintes ont-elles été prévues ?</w:t>
            </w:r>
          </w:p>
          <w:p w14:paraId="3AB4346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Les populations vulnérables (</w:t>
            </w:r>
            <w:proofErr w:type="spellStart"/>
            <w:r w:rsidRPr="00B2571D">
              <w:rPr>
                <w:rFonts w:cs="Open Sans"/>
                <w:sz w:val="18"/>
                <w:szCs w:val="18"/>
              </w:rPr>
              <w:t>Batwa</w:t>
            </w:r>
            <w:proofErr w:type="spellEnd"/>
            <w:r w:rsidRPr="00B2571D">
              <w:rPr>
                <w:rFonts w:cs="Open Sans"/>
                <w:sz w:val="18"/>
                <w:szCs w:val="18"/>
              </w:rPr>
              <w:t>, femmes, jeunes, handicapés) sont-elles effectivement ciblées et incluses sur le plan pratique ?</w:t>
            </w:r>
          </w:p>
          <w:p w14:paraId="2E4B654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Est-ce que le projet a prévu une budgétisation sensible au genre ?</w:t>
            </w:r>
          </w:p>
        </w:tc>
        <w:tc>
          <w:tcPr>
            <w:tcW w:w="2410" w:type="dxa"/>
            <w:vAlign w:val="center"/>
          </w:tcPr>
          <w:p w14:paraId="1D7A2DEA"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Document du projet</w:t>
            </w:r>
          </w:p>
          <w:p w14:paraId="734035E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Cadre de résultats : Indicateurs désagrégés par genre et vulnérabilité</w:t>
            </w:r>
          </w:p>
          <w:p w14:paraId="0161059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Rapports COH, AFEB et UNIPROBA</w:t>
            </w:r>
          </w:p>
          <w:p w14:paraId="021F179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Registres de plaintes/réclamations</w:t>
            </w:r>
          </w:p>
          <w:p w14:paraId="7DD8D11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Communautés bénéficiaires : Catégories vulnérables </w:t>
            </w:r>
          </w:p>
        </w:tc>
        <w:tc>
          <w:tcPr>
            <w:tcW w:w="2268" w:type="dxa"/>
            <w:vAlign w:val="center"/>
          </w:tcPr>
          <w:p w14:paraId="01DB92BA"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Focus Groups bénéficiaires  </w:t>
            </w:r>
          </w:p>
          <w:p w14:paraId="5F98A97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Entretiens avec partenaires (COH, AFEB et UNIPROBA)</w:t>
            </w:r>
          </w:p>
          <w:p w14:paraId="7EAAD19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Observations directes  </w:t>
            </w:r>
          </w:p>
        </w:tc>
        <w:tc>
          <w:tcPr>
            <w:tcW w:w="2269" w:type="dxa"/>
            <w:vAlign w:val="center"/>
          </w:tcPr>
          <w:p w14:paraId="7A36782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Participation féminine : ≥50%</w:t>
            </w:r>
          </w:p>
          <w:p w14:paraId="16AC26F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Budget genre </w:t>
            </w:r>
          </w:p>
          <w:p w14:paraId="655EBCF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Inclusion des </w:t>
            </w:r>
            <w:proofErr w:type="spellStart"/>
            <w:r w:rsidRPr="00B2571D">
              <w:rPr>
                <w:rFonts w:cs="Open Sans"/>
                <w:sz w:val="18"/>
                <w:szCs w:val="18"/>
              </w:rPr>
              <w:t>Batwa</w:t>
            </w:r>
            <w:proofErr w:type="spellEnd"/>
          </w:p>
          <w:p w14:paraId="7E856D7B"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Mécanisme de gestion plainte et de recours fonctionnel</w:t>
            </w:r>
          </w:p>
        </w:tc>
        <w:tc>
          <w:tcPr>
            <w:tcW w:w="2438" w:type="dxa"/>
            <w:vAlign w:val="center"/>
          </w:tcPr>
          <w:p w14:paraId="5FC608A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différenciée par genre</w:t>
            </w:r>
          </w:p>
          <w:p w14:paraId="4B461FEB"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Analyse d'inclusion des catégories vulnérables </w:t>
            </w:r>
          </w:p>
          <w:p w14:paraId="5C4357E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budgétaire</w:t>
            </w:r>
          </w:p>
        </w:tc>
      </w:tr>
      <w:tr w:rsidR="00713975" w:rsidRPr="00B2571D" w14:paraId="4F656A97" w14:textId="77777777" w:rsidTr="00B2571D">
        <w:trPr>
          <w:trHeight w:val="453"/>
        </w:trPr>
        <w:tc>
          <w:tcPr>
            <w:tcW w:w="15055" w:type="dxa"/>
            <w:gridSpan w:val="6"/>
            <w:shd w:val="clear" w:color="auto" w:fill="B4C6E7" w:themeFill="accent5" w:themeFillTint="66"/>
          </w:tcPr>
          <w:p w14:paraId="79A1CDE9" w14:textId="77777777" w:rsidR="00713975" w:rsidRPr="00B2571D" w:rsidRDefault="00713975" w:rsidP="008D2A15">
            <w:pPr>
              <w:rPr>
                <w:rFonts w:cs="Open Sans"/>
                <w:b/>
                <w:bCs/>
                <w:sz w:val="18"/>
                <w:szCs w:val="18"/>
              </w:rPr>
            </w:pPr>
            <w:r w:rsidRPr="00B2571D">
              <w:rPr>
                <w:rFonts w:cs="Open Sans"/>
                <w:b/>
                <w:bCs/>
                <w:sz w:val="18"/>
                <w:szCs w:val="18"/>
              </w:rPr>
              <w:lastRenderedPageBreak/>
              <w:t xml:space="preserve">Critère 2 : Cohérence  </w:t>
            </w:r>
          </w:p>
        </w:tc>
      </w:tr>
      <w:tr w:rsidR="00713975" w:rsidRPr="00B2571D" w14:paraId="484328C0" w14:textId="77777777" w:rsidTr="00B2571D">
        <w:tc>
          <w:tcPr>
            <w:tcW w:w="2405" w:type="dxa"/>
            <w:vAlign w:val="center"/>
          </w:tcPr>
          <w:p w14:paraId="00B701F2" w14:textId="77777777" w:rsidR="00713975" w:rsidRPr="00B2571D" w:rsidRDefault="00713975" w:rsidP="008D2A15">
            <w:pPr>
              <w:rPr>
                <w:rFonts w:cs="Open Sans"/>
                <w:b/>
                <w:bCs/>
                <w:sz w:val="18"/>
                <w:szCs w:val="18"/>
              </w:rPr>
            </w:pPr>
            <w:r w:rsidRPr="00B2571D">
              <w:rPr>
                <w:rFonts w:cs="Open Sans"/>
                <w:sz w:val="18"/>
                <w:szCs w:val="18"/>
              </w:rPr>
              <w:t>2.1. Quelle est la cohérence du projet par rapport aux objectifs fixés ?</w:t>
            </w:r>
          </w:p>
        </w:tc>
        <w:tc>
          <w:tcPr>
            <w:tcW w:w="3265" w:type="dxa"/>
            <w:vAlign w:val="center"/>
          </w:tcPr>
          <w:p w14:paraId="07D2414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La stratégie de mise en œuvre est-elle cohérente avec l'objectif global de paix durable ?</w:t>
            </w:r>
          </w:p>
          <w:p w14:paraId="281F52FB"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La théorie du changement articule-t-elle de manière logique les liens entre activités, résultats et impacts visés ?</w:t>
            </w:r>
          </w:p>
          <w:p w14:paraId="54BF34C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Les 5 hypothèses clés de la théorie du changement sont-elles valides et cohérentes entre elles ?</w:t>
            </w:r>
          </w:p>
          <w:p w14:paraId="465859F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 cadre de résultats (</w:t>
            </w:r>
            <w:proofErr w:type="spellStart"/>
            <w:r w:rsidRPr="00B2571D">
              <w:rPr>
                <w:rFonts w:cs="Open Sans"/>
                <w:sz w:val="18"/>
                <w:szCs w:val="18"/>
              </w:rPr>
              <w:t>outcomes</w:t>
            </w:r>
            <w:proofErr w:type="spellEnd"/>
            <w:r w:rsidRPr="00B2571D">
              <w:rPr>
                <w:rFonts w:cs="Open Sans"/>
                <w:sz w:val="18"/>
                <w:szCs w:val="18"/>
              </w:rPr>
              <w:t>/outputs) correspond-il logiquement aux objectifs déclarés ?</w:t>
            </w:r>
          </w:p>
        </w:tc>
        <w:tc>
          <w:tcPr>
            <w:tcW w:w="2410" w:type="dxa"/>
            <w:vAlign w:val="center"/>
          </w:tcPr>
          <w:p w14:paraId="4681678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Documents de projet ; Initial et Extension</w:t>
            </w:r>
          </w:p>
          <w:p w14:paraId="6D6C677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Rapports de progrès</w:t>
            </w:r>
          </w:p>
          <w:p w14:paraId="72CB76B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Cadre de résultats</w:t>
            </w:r>
          </w:p>
          <w:p w14:paraId="0295FC7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Equipe UNCDF</w:t>
            </w:r>
          </w:p>
        </w:tc>
        <w:tc>
          <w:tcPr>
            <w:tcW w:w="2268" w:type="dxa"/>
            <w:vAlign w:val="center"/>
          </w:tcPr>
          <w:p w14:paraId="4F02F45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documentaire</w:t>
            </w:r>
          </w:p>
          <w:p w14:paraId="3F646D4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Entretiens avec équipe UNCDF</w:t>
            </w:r>
          </w:p>
        </w:tc>
        <w:tc>
          <w:tcPr>
            <w:tcW w:w="2269" w:type="dxa"/>
            <w:vAlign w:val="center"/>
          </w:tcPr>
          <w:p w14:paraId="0AC1D63A"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Cohérence conceptuelle : Existence et pertinence des liens causaux</w:t>
            </w:r>
          </w:p>
          <w:p w14:paraId="49442BD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Validité des hypothèses </w:t>
            </w:r>
          </w:p>
          <w:p w14:paraId="5752967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Cohérence entre stratégie de mise en œuvre et objectifs </w:t>
            </w:r>
          </w:p>
        </w:tc>
        <w:tc>
          <w:tcPr>
            <w:tcW w:w="2438" w:type="dxa"/>
            <w:vAlign w:val="center"/>
          </w:tcPr>
          <w:p w14:paraId="1664533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 la chaîne de causalité</w:t>
            </w:r>
          </w:p>
          <w:p w14:paraId="21DA217B"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Vérification empirique des hypothèses de la théorie du changement</w:t>
            </w:r>
          </w:p>
        </w:tc>
      </w:tr>
      <w:tr w:rsidR="00713975" w:rsidRPr="00B2571D" w14:paraId="76DB00D7" w14:textId="77777777" w:rsidTr="00B2571D">
        <w:tc>
          <w:tcPr>
            <w:tcW w:w="2405" w:type="dxa"/>
            <w:vAlign w:val="center"/>
          </w:tcPr>
          <w:p w14:paraId="537F2903" w14:textId="77777777" w:rsidR="00713975" w:rsidRPr="00B2571D" w:rsidRDefault="00713975" w:rsidP="008D2A15">
            <w:pPr>
              <w:rPr>
                <w:rFonts w:cs="Open Sans"/>
                <w:sz w:val="18"/>
                <w:szCs w:val="18"/>
              </w:rPr>
            </w:pPr>
            <w:r w:rsidRPr="00B2571D">
              <w:rPr>
                <w:rFonts w:cs="Open Sans"/>
                <w:sz w:val="18"/>
                <w:szCs w:val="18"/>
              </w:rPr>
              <w:t>2.2. Cohérence externe : Dans quelle mesure l'approche est-elle complémentaire avec d'autres initiatives de paix dans le parc Kibira (y compris avec d’autres programmes de l’UNCDF et ceux d’autres agences de l’ONU) ?</w:t>
            </w:r>
          </w:p>
        </w:tc>
        <w:tc>
          <w:tcPr>
            <w:tcW w:w="3265" w:type="dxa"/>
            <w:vAlign w:val="center"/>
          </w:tcPr>
          <w:p w14:paraId="50553B1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 projet évite-t-il les duplications avec d'autres interventions de conservation/paix dans la région ?</w:t>
            </w:r>
          </w:p>
          <w:p w14:paraId="70C7F95A"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 projet s'intègre-t-il de manière complémentaire dans le Cadre de Coopération ONU-Burundi (UNSDCF) ?</w:t>
            </w:r>
          </w:p>
          <w:p w14:paraId="42B5ED67"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 projet capitalise-t-il sur la valeur ajoutée comparative des Nations Unies dans le pays ?</w:t>
            </w:r>
          </w:p>
          <w:p w14:paraId="58615E0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Les synergies avec d'autres programmes UNCDF et agences ONU sont-elles effectives ?</w:t>
            </w:r>
          </w:p>
        </w:tc>
        <w:tc>
          <w:tcPr>
            <w:tcW w:w="2410" w:type="dxa"/>
            <w:vAlign w:val="center"/>
          </w:tcPr>
          <w:p w14:paraId="2A6256E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Cadre UNSDCF Burundi</w:t>
            </w:r>
          </w:p>
          <w:p w14:paraId="19AC42D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Accords de collaboration avec d’autres projets / agences</w:t>
            </w:r>
          </w:p>
          <w:p w14:paraId="008C2B8A"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Rapports, PV de réunions de coordination entre agences ONU</w:t>
            </w:r>
          </w:p>
          <w:p w14:paraId="1C6EF7EB"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Equipes UNCDF, PNUD, PBF</w:t>
            </w:r>
          </w:p>
          <w:p w14:paraId="6829C15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Représentants autres initiatives </w:t>
            </w:r>
          </w:p>
        </w:tc>
        <w:tc>
          <w:tcPr>
            <w:tcW w:w="2268" w:type="dxa"/>
            <w:vAlign w:val="center"/>
          </w:tcPr>
          <w:p w14:paraId="24EB438B"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documentaire</w:t>
            </w:r>
          </w:p>
          <w:p w14:paraId="708B034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Entretiens avec équipes UNCDF, PNUD, PBF, Représentants autres initiatives</w:t>
            </w:r>
          </w:p>
        </w:tc>
        <w:tc>
          <w:tcPr>
            <w:tcW w:w="2269" w:type="dxa"/>
            <w:vAlign w:val="center"/>
          </w:tcPr>
          <w:p w14:paraId="200AE96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Chevauchement entre interventions </w:t>
            </w:r>
          </w:p>
          <w:p w14:paraId="5DA9106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Contribution aux </w:t>
            </w:r>
            <w:proofErr w:type="spellStart"/>
            <w:r w:rsidRPr="00B2571D">
              <w:rPr>
                <w:rFonts w:cs="Open Sans"/>
                <w:sz w:val="18"/>
                <w:szCs w:val="18"/>
              </w:rPr>
              <w:t>outcomes</w:t>
            </w:r>
            <w:proofErr w:type="spellEnd"/>
            <w:r w:rsidRPr="00B2571D">
              <w:rPr>
                <w:rFonts w:cs="Open Sans"/>
                <w:sz w:val="18"/>
                <w:szCs w:val="18"/>
              </w:rPr>
              <w:t xml:space="preserve"> prioritaires du Cadre UNSDCF</w:t>
            </w:r>
          </w:p>
          <w:p w14:paraId="39E7F0A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Mécanismes de coordination inter-agences </w:t>
            </w:r>
            <w:proofErr w:type="spellStart"/>
            <w:r w:rsidRPr="00B2571D">
              <w:rPr>
                <w:rFonts w:cs="Open Sans"/>
                <w:sz w:val="18"/>
                <w:szCs w:val="18"/>
              </w:rPr>
              <w:t>oéprationnels</w:t>
            </w:r>
            <w:proofErr w:type="spellEnd"/>
          </w:p>
        </w:tc>
        <w:tc>
          <w:tcPr>
            <w:tcW w:w="2438" w:type="dxa"/>
            <w:vAlign w:val="center"/>
          </w:tcPr>
          <w:p w14:paraId="1208F6D7"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Mapping des interventions similaires et analyse du positionnement du projet Kibira </w:t>
            </w:r>
          </w:p>
          <w:p w14:paraId="7CF24F5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 complémentarité avec autres programmes ONU</w:t>
            </w:r>
          </w:p>
        </w:tc>
      </w:tr>
      <w:tr w:rsidR="00713975" w:rsidRPr="00B2571D" w14:paraId="2141A6E4" w14:textId="77777777" w:rsidTr="00B2571D">
        <w:tc>
          <w:tcPr>
            <w:tcW w:w="2405" w:type="dxa"/>
            <w:vAlign w:val="center"/>
          </w:tcPr>
          <w:p w14:paraId="4ABC2D85" w14:textId="77777777" w:rsidR="00713975" w:rsidRPr="00B2571D" w:rsidRDefault="00713975" w:rsidP="008D2A15">
            <w:pPr>
              <w:rPr>
                <w:rFonts w:cs="Open Sans"/>
                <w:sz w:val="18"/>
                <w:szCs w:val="18"/>
              </w:rPr>
            </w:pPr>
            <w:r w:rsidRPr="00B2571D">
              <w:rPr>
                <w:rFonts w:cs="Open Sans"/>
                <w:sz w:val="18"/>
                <w:szCs w:val="18"/>
              </w:rPr>
              <w:lastRenderedPageBreak/>
              <w:t>2.3. Cohérence interne : Dans quelle mesure les différents axes de travail sont-ils cohérents et se renforcent-ils mutuellement pour soutenir l'objectif de l'intervention ? La théorie du changement articule-t-elle clairement les hypothèses expliquant l'approche du projet ? Cette théorie est-elle basée sur des</w:t>
            </w:r>
          </w:p>
          <w:p w14:paraId="302B1312" w14:textId="77777777" w:rsidR="00713975" w:rsidRPr="00B2571D" w:rsidRDefault="00713975" w:rsidP="008D2A15">
            <w:pPr>
              <w:rPr>
                <w:rFonts w:cs="Open Sans"/>
                <w:sz w:val="18"/>
                <w:szCs w:val="18"/>
              </w:rPr>
            </w:pPr>
            <w:proofErr w:type="gramStart"/>
            <w:r w:rsidRPr="00B2571D">
              <w:rPr>
                <w:rFonts w:cs="Open Sans"/>
                <w:sz w:val="18"/>
                <w:szCs w:val="18"/>
              </w:rPr>
              <w:t>preuves</w:t>
            </w:r>
            <w:proofErr w:type="gramEnd"/>
            <w:r w:rsidRPr="00B2571D">
              <w:rPr>
                <w:rFonts w:cs="Open Sans"/>
                <w:sz w:val="18"/>
                <w:szCs w:val="18"/>
              </w:rPr>
              <w:t xml:space="preserve"> ?</w:t>
            </w:r>
          </w:p>
        </w:tc>
        <w:tc>
          <w:tcPr>
            <w:tcW w:w="3265" w:type="dxa"/>
            <w:vAlign w:val="center"/>
          </w:tcPr>
          <w:p w14:paraId="7F87658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La logique séquentielle (Fondation Kibira </w:t>
            </w:r>
            <w:r w:rsidRPr="00B2571D">
              <w:rPr>
                <w:rFonts w:ascii="Arial" w:hAnsi="Arial" w:cs="Arial"/>
                <w:sz w:val="18"/>
                <w:szCs w:val="18"/>
              </w:rPr>
              <w:t>→</w:t>
            </w:r>
            <w:r w:rsidRPr="00B2571D">
              <w:rPr>
                <w:rFonts w:cs="Open Sans"/>
                <w:sz w:val="18"/>
                <w:szCs w:val="18"/>
              </w:rPr>
              <w:t xml:space="preserve"> Investissements PPP </w:t>
            </w:r>
            <w:r w:rsidRPr="00B2571D">
              <w:rPr>
                <w:rFonts w:ascii="Arial" w:hAnsi="Arial" w:cs="Arial"/>
                <w:sz w:val="18"/>
                <w:szCs w:val="18"/>
              </w:rPr>
              <w:t>→</w:t>
            </w:r>
            <w:r w:rsidRPr="00B2571D">
              <w:rPr>
                <w:rFonts w:cs="Open Sans"/>
                <w:sz w:val="18"/>
                <w:szCs w:val="18"/>
              </w:rPr>
              <w:t xml:space="preserve"> REDD+) fonctionne-t-elle comme prévu ?</w:t>
            </w:r>
          </w:p>
          <w:p w14:paraId="084E59D7"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Les revenus du PPP hydroélectrique financent-ils effectivement les activités de conservation et de paix ?</w:t>
            </w:r>
          </w:p>
          <w:p w14:paraId="40D93B5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L'engagement communautaire génère-t-il les bénéfices sociaux et économiques attendus pour réduire les conflits ?</w:t>
            </w:r>
          </w:p>
          <w:p w14:paraId="68C62EDA"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Les mécanismes de renforcement mutuel entre les 3 composantes sont-ils opérationnels et effectifs ?</w:t>
            </w:r>
          </w:p>
        </w:tc>
        <w:tc>
          <w:tcPr>
            <w:tcW w:w="2410" w:type="dxa"/>
            <w:vAlign w:val="center"/>
          </w:tcPr>
          <w:p w14:paraId="16004E8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Rapports de progrès et rapports financiers </w:t>
            </w:r>
          </w:p>
          <w:p w14:paraId="24D0F85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Documents de la Fondation Kibira</w:t>
            </w:r>
          </w:p>
          <w:p w14:paraId="7FD3178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Contrats et accords PPP</w:t>
            </w:r>
          </w:p>
          <w:p w14:paraId="6039DF7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Rapports d'activités communautaires</w:t>
            </w:r>
          </w:p>
          <w:p w14:paraId="273FDBF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Bénéficiaires </w:t>
            </w:r>
          </w:p>
          <w:p w14:paraId="57E72C0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Partenaires de mise en œuvre </w:t>
            </w:r>
          </w:p>
        </w:tc>
        <w:tc>
          <w:tcPr>
            <w:tcW w:w="2268" w:type="dxa"/>
            <w:vAlign w:val="center"/>
          </w:tcPr>
          <w:p w14:paraId="5A90444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Analyse documentaire </w:t>
            </w:r>
          </w:p>
          <w:p w14:paraId="6B986C2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Entretiens avec équipe UNCDF</w:t>
            </w:r>
          </w:p>
          <w:p w14:paraId="5179E08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Focus groups bénéficiaires </w:t>
            </w:r>
          </w:p>
          <w:p w14:paraId="4BA72BC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Entretiens avec partenaires de mise en œuvre </w:t>
            </w:r>
          </w:p>
          <w:p w14:paraId="674651F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Observations directes </w:t>
            </w:r>
          </w:p>
        </w:tc>
        <w:tc>
          <w:tcPr>
            <w:tcW w:w="2269" w:type="dxa"/>
            <w:vAlign w:val="center"/>
          </w:tcPr>
          <w:p w14:paraId="0FC4770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Enchaînement logique des axes du projet et synergies démontrées </w:t>
            </w:r>
          </w:p>
          <w:p w14:paraId="7F174E1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Effets catalytiques</w:t>
            </w:r>
          </w:p>
        </w:tc>
        <w:tc>
          <w:tcPr>
            <w:tcW w:w="2438" w:type="dxa"/>
            <w:vAlign w:val="center"/>
          </w:tcPr>
          <w:p w14:paraId="3C1C911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 causalité</w:t>
            </w:r>
          </w:p>
          <w:p w14:paraId="2EF60D9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Analyse financière </w:t>
            </w:r>
          </w:p>
          <w:p w14:paraId="30755B7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 renforcement mutuel : Identification des synergies et effets de levier entre composantes</w:t>
            </w:r>
          </w:p>
        </w:tc>
      </w:tr>
      <w:tr w:rsidR="00713975" w:rsidRPr="00B2571D" w14:paraId="5E23DE65" w14:textId="77777777" w:rsidTr="00B2571D">
        <w:tc>
          <w:tcPr>
            <w:tcW w:w="15055" w:type="dxa"/>
            <w:gridSpan w:val="6"/>
            <w:shd w:val="clear" w:color="auto" w:fill="B4C6E7" w:themeFill="accent5" w:themeFillTint="66"/>
          </w:tcPr>
          <w:p w14:paraId="6EAC2C14" w14:textId="77777777" w:rsidR="00713975" w:rsidRPr="00B2571D" w:rsidRDefault="00713975" w:rsidP="008D2A15">
            <w:pPr>
              <w:rPr>
                <w:rFonts w:cs="Open Sans"/>
                <w:b/>
                <w:bCs/>
                <w:sz w:val="18"/>
                <w:szCs w:val="18"/>
              </w:rPr>
            </w:pPr>
            <w:r w:rsidRPr="00B2571D">
              <w:rPr>
                <w:rFonts w:cs="Open Sans"/>
                <w:b/>
                <w:bCs/>
                <w:sz w:val="18"/>
                <w:szCs w:val="18"/>
              </w:rPr>
              <w:t xml:space="preserve">Critère 3 : Efficience  </w:t>
            </w:r>
          </w:p>
        </w:tc>
      </w:tr>
      <w:tr w:rsidR="00713975" w:rsidRPr="00B2571D" w14:paraId="3E5E525A" w14:textId="77777777" w:rsidTr="00B2571D">
        <w:tc>
          <w:tcPr>
            <w:tcW w:w="2405" w:type="dxa"/>
            <w:vAlign w:val="center"/>
          </w:tcPr>
          <w:p w14:paraId="2117AE85" w14:textId="77777777" w:rsidR="00713975" w:rsidRPr="00B2571D" w:rsidRDefault="00713975" w:rsidP="008D2A15">
            <w:pPr>
              <w:rPr>
                <w:rFonts w:cs="Open Sans"/>
                <w:sz w:val="18"/>
                <w:szCs w:val="18"/>
              </w:rPr>
            </w:pPr>
            <w:r w:rsidRPr="00B2571D">
              <w:rPr>
                <w:rFonts w:cs="Open Sans"/>
                <w:sz w:val="18"/>
                <w:szCs w:val="18"/>
              </w:rPr>
              <w:t>3.1 Dans quelle mesure le projet a-t-il produit les résultats escomptés à ce jour, notamment en termes de stratégie de mise en œuvre, d'allocation budgétaire et de rentabilité des activités ? Et le rapport qualité-prix ?</w:t>
            </w:r>
          </w:p>
        </w:tc>
        <w:tc>
          <w:tcPr>
            <w:tcW w:w="3265" w:type="dxa"/>
            <w:vAlign w:val="center"/>
          </w:tcPr>
          <w:p w14:paraId="248EF86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Dans quelle mesure les composantes du projet ont-elles été mises en œuvre selon la stratégie initialement prévue ? </w:t>
            </w:r>
          </w:p>
          <w:p w14:paraId="1BDBC02A"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Comment le budget du projet a-t-il été alloué entre les différentes composantes et activités ? </w:t>
            </w:r>
          </w:p>
          <w:p w14:paraId="5867C8B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Quel est le niveau d'exécution budgétaire par composante et par période ? </w:t>
            </w:r>
          </w:p>
          <w:p w14:paraId="208B52C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Le coût des activités est-il raisonnable ? </w:t>
            </w:r>
          </w:p>
        </w:tc>
        <w:tc>
          <w:tcPr>
            <w:tcW w:w="2410" w:type="dxa"/>
            <w:vAlign w:val="center"/>
          </w:tcPr>
          <w:p w14:paraId="1BF31DF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Rapports de progrès</w:t>
            </w:r>
          </w:p>
          <w:p w14:paraId="58D0803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Rapports financiers </w:t>
            </w:r>
          </w:p>
          <w:p w14:paraId="51D48E4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Rapports de mise en œuvre des partenaires</w:t>
            </w:r>
          </w:p>
          <w:p w14:paraId="62625B9B"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Equipe de gestion UNCDF</w:t>
            </w:r>
          </w:p>
          <w:p w14:paraId="72613D2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Partenaires de mise en œuvre </w:t>
            </w:r>
          </w:p>
        </w:tc>
        <w:tc>
          <w:tcPr>
            <w:tcW w:w="2268" w:type="dxa"/>
            <w:vAlign w:val="center"/>
          </w:tcPr>
          <w:p w14:paraId="1773AD9A"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documentaire</w:t>
            </w:r>
          </w:p>
          <w:p w14:paraId="4BD7BBD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Entretiens avec l’équipe de gestion et avec les partenaires de mise en œuvre </w:t>
            </w:r>
          </w:p>
          <w:p w14:paraId="2E4E319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Observations directes des réalisations</w:t>
            </w:r>
          </w:p>
        </w:tc>
        <w:tc>
          <w:tcPr>
            <w:tcW w:w="2269" w:type="dxa"/>
            <w:vAlign w:val="center"/>
          </w:tcPr>
          <w:p w14:paraId="08D0A1A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Taux d'exécution budgétaire global et par composante</w:t>
            </w:r>
          </w:p>
          <w:p w14:paraId="46D667E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Ratio coût/efficacité des principales activités</w:t>
            </w:r>
          </w:p>
          <w:p w14:paraId="2A5DA3E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Pourcentage du budget exécuté dans les délais prévus</w:t>
            </w:r>
          </w:p>
        </w:tc>
        <w:tc>
          <w:tcPr>
            <w:tcW w:w="2438" w:type="dxa"/>
            <w:vAlign w:val="center"/>
          </w:tcPr>
          <w:p w14:paraId="656670B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budgétaire (réalisés / prévu)</w:t>
            </w:r>
          </w:p>
          <w:p w14:paraId="26002B5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Analyse Coût / Efficacité </w:t>
            </w:r>
          </w:p>
          <w:p w14:paraId="6F8AE41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des corrélations entre allocations budgétaires et niveaux de réalisation des outputs</w:t>
            </w:r>
          </w:p>
        </w:tc>
      </w:tr>
      <w:tr w:rsidR="00713975" w:rsidRPr="00B2571D" w14:paraId="080BF12E" w14:textId="77777777" w:rsidTr="00B2571D">
        <w:tc>
          <w:tcPr>
            <w:tcW w:w="2405" w:type="dxa"/>
            <w:vAlign w:val="center"/>
          </w:tcPr>
          <w:p w14:paraId="438A1F7C" w14:textId="77777777" w:rsidR="00713975" w:rsidRPr="00B2571D" w:rsidRDefault="00713975" w:rsidP="008D2A15">
            <w:pPr>
              <w:rPr>
                <w:rFonts w:cs="Open Sans"/>
                <w:sz w:val="18"/>
                <w:szCs w:val="18"/>
              </w:rPr>
            </w:pPr>
            <w:r w:rsidRPr="00B2571D">
              <w:rPr>
                <w:rFonts w:cs="Open Sans"/>
                <w:sz w:val="18"/>
                <w:szCs w:val="18"/>
              </w:rPr>
              <w:lastRenderedPageBreak/>
              <w:t>3.2 Dans quelle mesure l'approche plus large du programme en matière de partenariats (avec d'autres interventions du UNCDF/des Nations Unies et des parties prenantes plus larges) et la stratégie de mise à l'échelle (modèle de maturité) fonctionnent-elles bien ? Y compris l'appropriation et la participation locales.</w:t>
            </w:r>
          </w:p>
        </w:tc>
        <w:tc>
          <w:tcPr>
            <w:tcW w:w="3265" w:type="dxa"/>
            <w:vAlign w:val="center"/>
          </w:tcPr>
          <w:p w14:paraId="24E6BB4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Dans quelle mesure les synergies avec d'autres programmes UNCDF / autres agences ONU au Burundi sont-elles exploitées ?</w:t>
            </w:r>
          </w:p>
          <w:p w14:paraId="42AA72F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 modèle de financement mixte fonctionne-t-il comme prévu ?</w:t>
            </w:r>
          </w:p>
          <w:p w14:paraId="2009837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Est-ce que les différentes parties prenantes locales / nationales ont été impliquées lors de la conception du projet ?</w:t>
            </w:r>
          </w:p>
          <w:p w14:paraId="2804366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Comment les communautés locales participent-elles à la gouvernance et à la mise en œuvre du projet ?</w:t>
            </w:r>
          </w:p>
          <w:p w14:paraId="44A7072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Quel est le niveau d'appropriation du projet par les partenaires gouvernementaux et locaux ?</w:t>
            </w:r>
          </w:p>
        </w:tc>
        <w:tc>
          <w:tcPr>
            <w:tcW w:w="2410" w:type="dxa"/>
            <w:vAlign w:val="center"/>
          </w:tcPr>
          <w:p w14:paraId="56CA037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Document du projet</w:t>
            </w:r>
          </w:p>
          <w:p w14:paraId="1EF3AAB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Rapports de progrès </w:t>
            </w:r>
          </w:p>
          <w:p w14:paraId="04E9416B"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Rapports des partenaires</w:t>
            </w:r>
          </w:p>
          <w:p w14:paraId="037F60EB"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Equipes de gestion UNCDF</w:t>
            </w:r>
          </w:p>
          <w:p w14:paraId="48B5CFF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Communautés bénéficiaires </w:t>
            </w:r>
          </w:p>
          <w:p w14:paraId="01F72FB7"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Autres parties prenantes nationales / locales </w:t>
            </w:r>
          </w:p>
        </w:tc>
        <w:tc>
          <w:tcPr>
            <w:tcW w:w="2268" w:type="dxa"/>
            <w:vAlign w:val="center"/>
          </w:tcPr>
          <w:p w14:paraId="02EE26D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documentaire</w:t>
            </w:r>
          </w:p>
          <w:p w14:paraId="055407A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Focus groups avec communautés bénéficiaires</w:t>
            </w:r>
          </w:p>
          <w:p w14:paraId="03B584F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Entretiens avec parties prenantes locales / nationales  </w:t>
            </w:r>
          </w:p>
        </w:tc>
        <w:tc>
          <w:tcPr>
            <w:tcW w:w="2269" w:type="dxa"/>
            <w:vAlign w:val="center"/>
          </w:tcPr>
          <w:p w14:paraId="65BA2BD7"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Nombre de synergies concrètes développées</w:t>
            </w:r>
          </w:p>
          <w:p w14:paraId="3230C7C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Niveau de participation effective des communautés et des autres parties prenantes</w:t>
            </w:r>
          </w:p>
          <w:p w14:paraId="146C203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de représentation des groupes vulnérables</w:t>
            </w:r>
          </w:p>
        </w:tc>
        <w:tc>
          <w:tcPr>
            <w:tcW w:w="2438" w:type="dxa"/>
            <w:vAlign w:val="center"/>
          </w:tcPr>
          <w:p w14:paraId="131D97E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Cartographie des synergies effectives vs potentielles</w:t>
            </w:r>
          </w:p>
          <w:p w14:paraId="715A622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des mécanismes de prise de décision et de leur inclusivité</w:t>
            </w:r>
          </w:p>
          <w:p w14:paraId="337419BB"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Évaluation participative de l'appropriation locale / nationale </w:t>
            </w:r>
          </w:p>
        </w:tc>
      </w:tr>
      <w:tr w:rsidR="00713975" w:rsidRPr="00B2571D" w14:paraId="28B33EFD" w14:textId="77777777" w:rsidTr="00B2571D">
        <w:tc>
          <w:tcPr>
            <w:tcW w:w="2405" w:type="dxa"/>
            <w:vAlign w:val="center"/>
          </w:tcPr>
          <w:p w14:paraId="4D3027CF" w14:textId="77777777" w:rsidR="00713975" w:rsidRPr="00B2571D" w:rsidRDefault="00713975" w:rsidP="008D2A15">
            <w:pPr>
              <w:rPr>
                <w:rFonts w:cs="Open Sans"/>
                <w:sz w:val="18"/>
                <w:szCs w:val="18"/>
              </w:rPr>
            </w:pPr>
            <w:r w:rsidRPr="00B2571D">
              <w:rPr>
                <w:rFonts w:cs="Open Sans"/>
                <w:sz w:val="18"/>
                <w:szCs w:val="18"/>
              </w:rPr>
              <w:t>3.3 Quelle est la qualité des résultats (produits) fournis à ce jour ?</w:t>
            </w:r>
          </w:p>
        </w:tc>
        <w:tc>
          <w:tcPr>
            <w:tcW w:w="3265" w:type="dxa"/>
            <w:vAlign w:val="center"/>
          </w:tcPr>
          <w:p w14:paraId="4B740F9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La Fondation Kibira créée répond-elle aux standards requis pour la cogestion d'aires protégées ? </w:t>
            </w:r>
          </w:p>
          <w:p w14:paraId="3E86A9B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Les livrables du projet hydroélectrique répondent aux exigences de qualité ? </w:t>
            </w:r>
          </w:p>
          <w:p w14:paraId="4F2A6CA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Les capacités des gardes forestiers renforcés correspondent-elles aux besoins opérationnels de protection du parc et de gestion des relations avec les populations ? </w:t>
            </w:r>
          </w:p>
          <w:p w14:paraId="29966CC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 xml:space="preserve">Les produits développés intègrent-ils effectivement les dimensions genre, jeunes, handicap et inclusion des </w:t>
            </w:r>
            <w:proofErr w:type="spellStart"/>
            <w:r w:rsidRPr="00B2571D">
              <w:rPr>
                <w:rFonts w:cs="Open Sans"/>
                <w:sz w:val="18"/>
                <w:szCs w:val="18"/>
              </w:rPr>
              <w:t>Batwa</w:t>
            </w:r>
            <w:proofErr w:type="spellEnd"/>
            <w:r w:rsidRPr="00B2571D">
              <w:rPr>
                <w:rFonts w:cs="Open Sans"/>
                <w:sz w:val="18"/>
                <w:szCs w:val="18"/>
              </w:rPr>
              <w:t xml:space="preserve"> ?</w:t>
            </w:r>
          </w:p>
        </w:tc>
        <w:tc>
          <w:tcPr>
            <w:tcW w:w="2410" w:type="dxa"/>
            <w:vAlign w:val="center"/>
          </w:tcPr>
          <w:p w14:paraId="0AD8C82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Rapports de progrès</w:t>
            </w:r>
          </w:p>
          <w:p w14:paraId="3983EF57"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Rapports de suivi des partenaires de mise en œuvre </w:t>
            </w:r>
          </w:p>
          <w:p w14:paraId="1581AEA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Livrables des principales activités du projet </w:t>
            </w:r>
          </w:p>
          <w:p w14:paraId="2B16128A"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Bénéficiaires : communautés, écogardes, institutionnels locaux et nationaux </w:t>
            </w:r>
          </w:p>
        </w:tc>
        <w:tc>
          <w:tcPr>
            <w:tcW w:w="2268" w:type="dxa"/>
            <w:vAlign w:val="center"/>
          </w:tcPr>
          <w:p w14:paraId="08D1F1C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documentaire</w:t>
            </w:r>
          </w:p>
          <w:p w14:paraId="793446B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Entretiens avec UNCDF et partenaires de mise en œuvre </w:t>
            </w:r>
          </w:p>
          <w:p w14:paraId="658AA16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Focus groups avec communautés bénéficiaires et avec écogardes </w:t>
            </w:r>
          </w:p>
          <w:p w14:paraId="125E665A"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Entretiens avec parties prenantes locales / nationales</w:t>
            </w:r>
          </w:p>
        </w:tc>
        <w:tc>
          <w:tcPr>
            <w:tcW w:w="2269" w:type="dxa"/>
            <w:vAlign w:val="center"/>
          </w:tcPr>
          <w:p w14:paraId="4A89492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Niveau de conformité technique des livrables </w:t>
            </w:r>
          </w:p>
          <w:p w14:paraId="0FC97CA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Taux de satisfaction des bénéficiaires </w:t>
            </w:r>
          </w:p>
          <w:p w14:paraId="3FBFA75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Niveau d'intégration des questions transversales dans les produits</w:t>
            </w:r>
          </w:p>
        </w:tc>
        <w:tc>
          <w:tcPr>
            <w:tcW w:w="2438" w:type="dxa"/>
            <w:vAlign w:val="center"/>
          </w:tcPr>
          <w:p w14:paraId="3683E04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Analyse de conformité des livrables </w:t>
            </w:r>
          </w:p>
          <w:p w14:paraId="7C3F6FD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Triangulation entre analyses de conformité et taux de satisfaction es bénéficiaires </w:t>
            </w:r>
          </w:p>
        </w:tc>
      </w:tr>
      <w:tr w:rsidR="00713975" w:rsidRPr="00B2571D" w14:paraId="0227A621" w14:textId="77777777" w:rsidTr="00B2571D">
        <w:tc>
          <w:tcPr>
            <w:tcW w:w="2405" w:type="dxa"/>
            <w:vAlign w:val="center"/>
          </w:tcPr>
          <w:p w14:paraId="7F843152" w14:textId="77777777" w:rsidR="00713975" w:rsidRPr="00B2571D" w:rsidRDefault="00713975" w:rsidP="008D2A15">
            <w:pPr>
              <w:rPr>
                <w:rFonts w:cs="Open Sans"/>
                <w:sz w:val="18"/>
                <w:szCs w:val="18"/>
              </w:rPr>
            </w:pPr>
            <w:r w:rsidRPr="00B2571D">
              <w:rPr>
                <w:rFonts w:cs="Open Sans"/>
                <w:sz w:val="18"/>
                <w:szCs w:val="18"/>
              </w:rPr>
              <w:t>3.4 Dans quelle mesure le système de suivi du programme est-il approprié pour suivre les résultats directs du programme et leur contribution plus large aux objectifs généraux ? Y compris le rapport coût-efficacité des méthodes de collecte de données.</w:t>
            </w:r>
          </w:p>
        </w:tc>
        <w:tc>
          <w:tcPr>
            <w:tcW w:w="3265" w:type="dxa"/>
            <w:vAlign w:val="center"/>
          </w:tcPr>
          <w:p w14:paraId="0D65069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 cadre de résultats et les indicateurs définis permettent-ils de mesurer les changements générés par le projet ?</w:t>
            </w:r>
          </w:p>
          <w:p w14:paraId="77BA5C4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Le système de suivi permet-il d’identifier les impacts non-intentionnels et les effets sur les groupes vulnérables ? </w:t>
            </w:r>
          </w:p>
          <w:p w14:paraId="43728A4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Les coûts de collecte et d'analyse des données sont-ils appropriés ? </w:t>
            </w:r>
          </w:p>
          <w:p w14:paraId="1C2E824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Les données collectées sont-elles effectivement utilisées pour la prise de décision et l'ajustement des stratégies ?</w:t>
            </w:r>
          </w:p>
        </w:tc>
        <w:tc>
          <w:tcPr>
            <w:tcW w:w="2410" w:type="dxa"/>
            <w:vAlign w:val="center"/>
          </w:tcPr>
          <w:p w14:paraId="3F49C7F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Cadre de résultats</w:t>
            </w:r>
          </w:p>
          <w:p w14:paraId="0C8A5D6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Rapports de monitoring</w:t>
            </w:r>
          </w:p>
          <w:p w14:paraId="332EE5A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Budgets dédiés aux activités de M&amp;E</w:t>
            </w:r>
          </w:p>
          <w:p w14:paraId="292C32D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Equipe de gestion UNCDF</w:t>
            </w:r>
          </w:p>
        </w:tc>
        <w:tc>
          <w:tcPr>
            <w:tcW w:w="2268" w:type="dxa"/>
            <w:vAlign w:val="center"/>
          </w:tcPr>
          <w:p w14:paraId="1FA67A4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documentaire</w:t>
            </w:r>
          </w:p>
          <w:p w14:paraId="50ACF2E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Entretiens avec l’équipe de gestion UNCDF</w:t>
            </w:r>
          </w:p>
        </w:tc>
        <w:tc>
          <w:tcPr>
            <w:tcW w:w="2269" w:type="dxa"/>
            <w:vAlign w:val="center"/>
          </w:tcPr>
          <w:p w14:paraId="15EF088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Pourcentage d'indicateurs régulièrement renseignés</w:t>
            </w:r>
          </w:p>
          <w:p w14:paraId="0E269B2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Couverture des questions transversales dans le système de suivi</w:t>
            </w:r>
          </w:p>
          <w:p w14:paraId="7A1BE46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Fréquence d'utilisation des données de suivi pour les prises de décisions</w:t>
            </w:r>
          </w:p>
        </w:tc>
        <w:tc>
          <w:tcPr>
            <w:tcW w:w="2438" w:type="dxa"/>
            <w:vAlign w:val="center"/>
          </w:tcPr>
          <w:p w14:paraId="1B1692E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Évaluation des indicateurs selon les critères SMART</w:t>
            </w:r>
          </w:p>
          <w:p w14:paraId="4C0E33A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coût-efficacité des différentes méthodes de collecte</w:t>
            </w:r>
          </w:p>
          <w:p w14:paraId="57E187E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 la fiabilité des données collectées</w:t>
            </w:r>
          </w:p>
        </w:tc>
      </w:tr>
      <w:tr w:rsidR="00713975" w:rsidRPr="00B2571D" w14:paraId="4E1280BE" w14:textId="77777777" w:rsidTr="00B2571D">
        <w:tc>
          <w:tcPr>
            <w:tcW w:w="2405" w:type="dxa"/>
            <w:vAlign w:val="center"/>
          </w:tcPr>
          <w:p w14:paraId="461CE11B" w14:textId="77777777" w:rsidR="00713975" w:rsidRPr="00B2571D" w:rsidRDefault="00713975" w:rsidP="008D2A15">
            <w:pPr>
              <w:rPr>
                <w:rFonts w:cs="Open Sans"/>
                <w:sz w:val="18"/>
                <w:szCs w:val="18"/>
              </w:rPr>
            </w:pPr>
            <w:r w:rsidRPr="00B2571D">
              <w:rPr>
                <w:rFonts w:cs="Open Sans"/>
                <w:sz w:val="18"/>
                <w:szCs w:val="18"/>
              </w:rPr>
              <w:t>3.5 Dans quelle mesure le programme est-il bien géré et gouverné, grâce à la participation et à la contribution de partenaires clés tels que les principaux donateurs et les homologues gouvernementaux au niveau national ?</w:t>
            </w:r>
          </w:p>
        </w:tc>
        <w:tc>
          <w:tcPr>
            <w:tcW w:w="3265" w:type="dxa"/>
            <w:vAlign w:val="center"/>
          </w:tcPr>
          <w:p w14:paraId="5CF4AD97"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 Comité de pilotage fonctionne-t-il efficacement ?</w:t>
            </w:r>
          </w:p>
          <w:p w14:paraId="31B4501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Comment les rôles et responsabilités entre l'UNCDF, les partenaires de mise en œuvre et les institutions publiques sont-ils clarifiés et respectés ? </w:t>
            </w:r>
          </w:p>
          <w:p w14:paraId="6D71AB8B"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Le projet dispose-t-il de mécanismes adéquats de gestion des risques et de résolution des conflits ? </w:t>
            </w:r>
          </w:p>
          <w:p w14:paraId="3CCED2E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Les prises de décision sont-elles suffisamment rapides ?</w:t>
            </w:r>
          </w:p>
        </w:tc>
        <w:tc>
          <w:tcPr>
            <w:tcW w:w="2410" w:type="dxa"/>
            <w:vAlign w:val="center"/>
          </w:tcPr>
          <w:p w14:paraId="657CE46B"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Rapports de progrès</w:t>
            </w:r>
          </w:p>
          <w:p w14:paraId="0353BF2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Documents comité de pilotage : Termes de référence, PV, …</w:t>
            </w:r>
          </w:p>
          <w:p w14:paraId="3EDA072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Registres des risques et des actions de mitigation</w:t>
            </w:r>
          </w:p>
          <w:p w14:paraId="4D521D6B"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Donateurs</w:t>
            </w:r>
          </w:p>
          <w:p w14:paraId="623F7B1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Parties prenantes nationales   </w:t>
            </w:r>
          </w:p>
        </w:tc>
        <w:tc>
          <w:tcPr>
            <w:tcW w:w="2268" w:type="dxa"/>
            <w:vAlign w:val="center"/>
          </w:tcPr>
          <w:p w14:paraId="38613C47"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Analyse documentaire </w:t>
            </w:r>
          </w:p>
          <w:p w14:paraId="0552485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Entretiens avec Equipes UNCDF, PBF, NIF</w:t>
            </w:r>
          </w:p>
          <w:p w14:paraId="40AEBFB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Entretiens avec ministères </w:t>
            </w:r>
          </w:p>
        </w:tc>
        <w:tc>
          <w:tcPr>
            <w:tcW w:w="2269" w:type="dxa"/>
            <w:vAlign w:val="center"/>
          </w:tcPr>
          <w:p w14:paraId="0AFDEEE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Nombre de réunions du COPIL</w:t>
            </w:r>
          </w:p>
          <w:p w14:paraId="4AC3E85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Taux de participation des membres aux réunions COPIL</w:t>
            </w:r>
          </w:p>
          <w:p w14:paraId="58B44CA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 des décisions du COPIL effectivement mises en œuvre </w:t>
            </w:r>
          </w:p>
          <w:p w14:paraId="17EEA69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Taux de satisfaction des partenaires sur la gouvernance du projet</w:t>
            </w:r>
          </w:p>
        </w:tc>
        <w:tc>
          <w:tcPr>
            <w:tcW w:w="2438" w:type="dxa"/>
            <w:vAlign w:val="center"/>
          </w:tcPr>
          <w:p w14:paraId="3979167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Analyse de fonctionnement effectif du COPIL </w:t>
            </w:r>
          </w:p>
          <w:p w14:paraId="755EBA0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Analyse de satisfaction des partenaires </w:t>
            </w:r>
          </w:p>
        </w:tc>
      </w:tr>
      <w:tr w:rsidR="00713975" w:rsidRPr="00B2571D" w14:paraId="4E85230A" w14:textId="77777777" w:rsidTr="00B2571D">
        <w:tc>
          <w:tcPr>
            <w:tcW w:w="2405" w:type="dxa"/>
            <w:vAlign w:val="center"/>
          </w:tcPr>
          <w:p w14:paraId="36E1E4D9" w14:textId="77777777" w:rsidR="00713975" w:rsidRPr="00B2571D" w:rsidRDefault="00713975" w:rsidP="008D2A15">
            <w:pPr>
              <w:rPr>
                <w:rFonts w:cs="Open Sans"/>
                <w:sz w:val="18"/>
                <w:szCs w:val="18"/>
              </w:rPr>
            </w:pPr>
            <w:r w:rsidRPr="00B2571D">
              <w:rPr>
                <w:rFonts w:cs="Open Sans"/>
                <w:sz w:val="18"/>
                <w:szCs w:val="18"/>
              </w:rPr>
              <w:t>3.6 Dans quelle mesure les ressources (financières, temporelles, humaines) sont-elles allouées aux questions transversales, y compris le genre et l'intégration de la dimension de genre, les personnes handicapées, les jeunes et les approches sensibles aux conflits ?</w:t>
            </w:r>
          </w:p>
        </w:tc>
        <w:tc>
          <w:tcPr>
            <w:tcW w:w="3265" w:type="dxa"/>
            <w:vAlign w:val="center"/>
          </w:tcPr>
          <w:p w14:paraId="13151AE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Quel pourcentage du budget total est spécifiquement dédié aux interventions ciblant les femmes, les jeunes, les </w:t>
            </w:r>
            <w:proofErr w:type="spellStart"/>
            <w:r w:rsidRPr="00B2571D">
              <w:rPr>
                <w:rFonts w:cs="Open Sans"/>
                <w:sz w:val="18"/>
                <w:szCs w:val="18"/>
              </w:rPr>
              <w:t>Batwa</w:t>
            </w:r>
            <w:proofErr w:type="spellEnd"/>
            <w:r w:rsidRPr="00B2571D">
              <w:rPr>
                <w:rFonts w:cs="Open Sans"/>
                <w:sz w:val="18"/>
                <w:szCs w:val="18"/>
              </w:rPr>
              <w:t xml:space="preserve"> et les personnes handicapées ?</w:t>
            </w:r>
          </w:p>
          <w:p w14:paraId="2BB68B27"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Les approches sensibles au conflit sont-elles bien intégrées dans les activités ?</w:t>
            </w:r>
          </w:p>
          <w:p w14:paraId="1505329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Les résultats obtenus sur les questions transversales justifient-ils les ressources investies ?</w:t>
            </w:r>
          </w:p>
        </w:tc>
        <w:tc>
          <w:tcPr>
            <w:tcW w:w="2410" w:type="dxa"/>
            <w:vAlign w:val="center"/>
          </w:tcPr>
          <w:p w14:paraId="037248B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Budgets détaillés par activité avec marquage genre et inclusion</w:t>
            </w:r>
          </w:p>
          <w:p w14:paraId="525B312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Rapports de progrès </w:t>
            </w:r>
          </w:p>
          <w:p w14:paraId="0F7954E7"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Données de performance désagrégées par groupe cible</w:t>
            </w:r>
          </w:p>
          <w:p w14:paraId="3CBACA1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Equipe de gestion UNCDF</w:t>
            </w:r>
          </w:p>
          <w:p w14:paraId="64E748E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Groupes cibles </w:t>
            </w:r>
          </w:p>
        </w:tc>
        <w:tc>
          <w:tcPr>
            <w:tcW w:w="2268" w:type="dxa"/>
            <w:vAlign w:val="center"/>
          </w:tcPr>
          <w:p w14:paraId="17E434B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documentaire</w:t>
            </w:r>
          </w:p>
          <w:p w14:paraId="28C5FFF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Entretiens avec l'équipe projet</w:t>
            </w:r>
          </w:p>
          <w:p w14:paraId="4EF9207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Focus groups avec les communautés </w:t>
            </w:r>
          </w:p>
          <w:p w14:paraId="465E38A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Observations directes </w:t>
            </w:r>
          </w:p>
        </w:tc>
        <w:tc>
          <w:tcPr>
            <w:tcW w:w="2269" w:type="dxa"/>
            <w:vAlign w:val="center"/>
          </w:tcPr>
          <w:p w14:paraId="27AF97CA"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du budget total alloué aux activités genre</w:t>
            </w:r>
          </w:p>
          <w:p w14:paraId="165EDA4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Taux de participation effective des groupes vulnérables aux activités du projet</w:t>
            </w:r>
          </w:p>
          <w:p w14:paraId="4FE9A57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 de femmes leaders </w:t>
            </w:r>
            <w:proofErr w:type="spellStart"/>
            <w:r w:rsidRPr="00B2571D">
              <w:rPr>
                <w:rFonts w:cs="Open Sans"/>
                <w:sz w:val="18"/>
                <w:szCs w:val="18"/>
              </w:rPr>
              <w:t>des</w:t>
            </w:r>
            <w:proofErr w:type="spellEnd"/>
            <w:r w:rsidRPr="00B2571D">
              <w:rPr>
                <w:rFonts w:cs="Open Sans"/>
                <w:sz w:val="18"/>
                <w:szCs w:val="18"/>
              </w:rPr>
              <w:t xml:space="preserve"> les CPK </w:t>
            </w:r>
          </w:p>
        </w:tc>
        <w:tc>
          <w:tcPr>
            <w:tcW w:w="2438" w:type="dxa"/>
            <w:vAlign w:val="center"/>
          </w:tcPr>
          <w:p w14:paraId="517DE33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 l'allocation budgétaire</w:t>
            </w:r>
          </w:p>
          <w:p w14:paraId="6582305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comparative de la participation des différents groupes cibles</w:t>
            </w:r>
          </w:p>
        </w:tc>
      </w:tr>
      <w:tr w:rsidR="00713975" w:rsidRPr="00B2571D" w14:paraId="2DB59B2F" w14:textId="77777777" w:rsidTr="00B2571D">
        <w:trPr>
          <w:trHeight w:val="3712"/>
        </w:trPr>
        <w:tc>
          <w:tcPr>
            <w:tcW w:w="2405" w:type="dxa"/>
            <w:vAlign w:val="center"/>
          </w:tcPr>
          <w:p w14:paraId="649E21A1" w14:textId="77777777" w:rsidR="00713975" w:rsidRPr="00B2571D" w:rsidRDefault="00713975" w:rsidP="008D2A15">
            <w:pPr>
              <w:rPr>
                <w:rFonts w:cs="Open Sans"/>
                <w:sz w:val="18"/>
                <w:szCs w:val="18"/>
              </w:rPr>
            </w:pPr>
            <w:r w:rsidRPr="00B2571D">
              <w:rPr>
                <w:rFonts w:cs="Open Sans"/>
                <w:sz w:val="18"/>
                <w:szCs w:val="18"/>
              </w:rPr>
              <w:t>3.7 Dans quelle mesure le projet a-t-il collecté et utilisé des données pour surveiller (mitiger) les risques et résultats ? Comment les données mises à jour ont-elles été utilisées pour gérer le projet ?</w:t>
            </w:r>
          </w:p>
        </w:tc>
        <w:tc>
          <w:tcPr>
            <w:tcW w:w="3265" w:type="dxa"/>
            <w:vAlign w:val="center"/>
          </w:tcPr>
          <w:p w14:paraId="217D060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 système de gestion des risques identifie-t-il et suit-il efficacement les principaux risques du projet ?</w:t>
            </w:r>
          </w:p>
          <w:p w14:paraId="545C89D7"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 système de monitoring permet-il d'anticiper les problèmes et d'ajuster les stratégies en temps utile ?</w:t>
            </w:r>
          </w:p>
          <w:p w14:paraId="7D20D46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La fréquence de collecte et d'analyse des données est-elle adaptée aux besoins de pilotage du projet ?</w:t>
            </w:r>
          </w:p>
        </w:tc>
        <w:tc>
          <w:tcPr>
            <w:tcW w:w="2410" w:type="dxa"/>
            <w:vAlign w:val="center"/>
          </w:tcPr>
          <w:p w14:paraId="6F8117FB"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Registre des risques et matrices de mitigation</w:t>
            </w:r>
          </w:p>
          <w:p w14:paraId="4681EA9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Système de monitoring </w:t>
            </w:r>
          </w:p>
          <w:p w14:paraId="0111D78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Rapports de progrès </w:t>
            </w:r>
          </w:p>
          <w:p w14:paraId="24856D9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Equipe de gestion du projet </w:t>
            </w:r>
          </w:p>
        </w:tc>
        <w:tc>
          <w:tcPr>
            <w:tcW w:w="2268" w:type="dxa"/>
            <w:vAlign w:val="center"/>
          </w:tcPr>
          <w:p w14:paraId="2DCA321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documentaire</w:t>
            </w:r>
          </w:p>
          <w:p w14:paraId="40F17C5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Entretiens avec l'équipe projet</w:t>
            </w:r>
          </w:p>
        </w:tc>
        <w:tc>
          <w:tcPr>
            <w:tcW w:w="2269" w:type="dxa"/>
            <w:vAlign w:val="center"/>
          </w:tcPr>
          <w:p w14:paraId="0B3B996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 de risques majeurs identifiés disposant de mesures de mitigation </w:t>
            </w:r>
          </w:p>
          <w:p w14:paraId="08785EA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Fréquence de mise à jour des données de risques et de performances </w:t>
            </w:r>
          </w:p>
          <w:p w14:paraId="0CD417E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Actions correctives déclenchées grâce au système de monitoring </w:t>
            </w:r>
          </w:p>
        </w:tc>
        <w:tc>
          <w:tcPr>
            <w:tcW w:w="2438" w:type="dxa"/>
            <w:vAlign w:val="center"/>
          </w:tcPr>
          <w:p w14:paraId="3FA55CE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Évaluation de l'efficacité des boucles de rétroaction données-décisions-actions</w:t>
            </w:r>
          </w:p>
          <w:p w14:paraId="45E9999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 la gestion adaptative du projet</w:t>
            </w:r>
          </w:p>
        </w:tc>
      </w:tr>
      <w:tr w:rsidR="00713975" w:rsidRPr="00B2571D" w14:paraId="7D7615A6" w14:textId="77777777" w:rsidTr="00B2571D">
        <w:tc>
          <w:tcPr>
            <w:tcW w:w="15055" w:type="dxa"/>
            <w:gridSpan w:val="6"/>
            <w:shd w:val="clear" w:color="auto" w:fill="B4C6E7" w:themeFill="accent5" w:themeFillTint="66"/>
          </w:tcPr>
          <w:p w14:paraId="2B0F1A70" w14:textId="77777777" w:rsidR="00713975" w:rsidRPr="00B2571D" w:rsidRDefault="00713975" w:rsidP="008D2A15">
            <w:pPr>
              <w:rPr>
                <w:rFonts w:cs="Open Sans"/>
                <w:b/>
                <w:bCs/>
                <w:sz w:val="18"/>
                <w:szCs w:val="18"/>
              </w:rPr>
            </w:pPr>
            <w:r w:rsidRPr="00B2571D">
              <w:rPr>
                <w:rFonts w:cs="Open Sans"/>
                <w:b/>
                <w:bCs/>
                <w:sz w:val="18"/>
                <w:szCs w:val="18"/>
              </w:rPr>
              <w:lastRenderedPageBreak/>
              <w:t xml:space="preserve">Critère 4 : Efficacité  </w:t>
            </w:r>
          </w:p>
        </w:tc>
      </w:tr>
      <w:tr w:rsidR="00713975" w:rsidRPr="00B2571D" w14:paraId="60BC865B" w14:textId="77777777" w:rsidTr="00B2571D">
        <w:tc>
          <w:tcPr>
            <w:tcW w:w="2405" w:type="dxa"/>
            <w:vAlign w:val="center"/>
          </w:tcPr>
          <w:p w14:paraId="36296EC7" w14:textId="77777777" w:rsidR="00713975" w:rsidRPr="00B2571D" w:rsidRDefault="00713975" w:rsidP="008D2A15">
            <w:pPr>
              <w:rPr>
                <w:rFonts w:cs="Open Sans"/>
                <w:sz w:val="18"/>
                <w:szCs w:val="18"/>
              </w:rPr>
            </w:pPr>
            <w:r w:rsidRPr="00B2571D">
              <w:rPr>
                <w:rFonts w:cs="Open Sans"/>
                <w:sz w:val="18"/>
                <w:szCs w:val="18"/>
              </w:rPr>
              <w:t>4.1 Les capacités internes des bénéficiaires des fonds étaient-elles adéquates pour assurer une approche en cours de sensibilité aux conflits ?</w:t>
            </w:r>
          </w:p>
        </w:tc>
        <w:tc>
          <w:tcPr>
            <w:tcW w:w="3265" w:type="dxa"/>
            <w:vAlign w:val="center"/>
          </w:tcPr>
          <w:p w14:paraId="6E8B8A4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L'UNCDF dispose-t-il des compétences techniques et de l'expérience requise en consolidation de la paix ? </w:t>
            </w:r>
          </w:p>
          <w:p w14:paraId="7A45AD2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Les partenaires de mise en œuvre ont-ils les capacités pour intégrer les approches sensibles aux conflits ? </w:t>
            </w:r>
          </w:p>
          <w:p w14:paraId="5E106A5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Des formations spécifiques ont-ils été dispensés aux équipes sur l'analyse des conflits et la sensibilité aux conflits ?</w:t>
            </w:r>
          </w:p>
        </w:tc>
        <w:tc>
          <w:tcPr>
            <w:tcW w:w="2410" w:type="dxa"/>
            <w:vAlign w:val="center"/>
          </w:tcPr>
          <w:p w14:paraId="36CC55D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Rapports de progrès </w:t>
            </w:r>
          </w:p>
          <w:p w14:paraId="5806B2F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Rapports de suivi des partenaires </w:t>
            </w:r>
          </w:p>
          <w:p w14:paraId="140D542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Equipe de gestion UNCDF</w:t>
            </w:r>
          </w:p>
          <w:p w14:paraId="5E611CA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Partenaires de mise en œuvre</w:t>
            </w:r>
          </w:p>
          <w:p w14:paraId="4E95020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PBF </w:t>
            </w:r>
          </w:p>
        </w:tc>
        <w:tc>
          <w:tcPr>
            <w:tcW w:w="2268" w:type="dxa"/>
            <w:vAlign w:val="center"/>
          </w:tcPr>
          <w:p w14:paraId="457B3B0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documentaire</w:t>
            </w:r>
          </w:p>
          <w:p w14:paraId="2393704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Entretiens avec les équipes UNCDF et PBF</w:t>
            </w:r>
          </w:p>
          <w:p w14:paraId="6A462DC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Entretiens avec les partenaires de mise en œuvre  </w:t>
            </w:r>
          </w:p>
        </w:tc>
        <w:tc>
          <w:tcPr>
            <w:tcW w:w="2269" w:type="dxa"/>
            <w:vAlign w:val="center"/>
          </w:tcPr>
          <w:p w14:paraId="21560B2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Personnel formé sur l’approche sensible aux conflits </w:t>
            </w:r>
          </w:p>
          <w:p w14:paraId="7CF76A7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Adéquation compétences disponibles / requises </w:t>
            </w:r>
          </w:p>
        </w:tc>
        <w:tc>
          <w:tcPr>
            <w:tcW w:w="2438" w:type="dxa"/>
            <w:vAlign w:val="center"/>
          </w:tcPr>
          <w:p w14:paraId="3ABBCB5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Auto-évaluation des capacités </w:t>
            </w:r>
          </w:p>
          <w:p w14:paraId="5173C0E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Analyse comparative compétences disponibles / requises  </w:t>
            </w:r>
          </w:p>
        </w:tc>
      </w:tr>
      <w:tr w:rsidR="00713975" w:rsidRPr="00B2571D" w14:paraId="6459EF3F" w14:textId="77777777" w:rsidTr="00B2571D">
        <w:tc>
          <w:tcPr>
            <w:tcW w:w="2405" w:type="dxa"/>
            <w:vAlign w:val="center"/>
          </w:tcPr>
          <w:p w14:paraId="3B7B377C" w14:textId="77777777" w:rsidR="00713975" w:rsidRPr="00B2571D" w:rsidRDefault="00713975" w:rsidP="008D2A15">
            <w:pPr>
              <w:rPr>
                <w:rFonts w:cs="Open Sans"/>
                <w:sz w:val="18"/>
                <w:szCs w:val="18"/>
              </w:rPr>
            </w:pPr>
            <w:r w:rsidRPr="00B2571D">
              <w:rPr>
                <w:rFonts w:cs="Open Sans"/>
                <w:sz w:val="18"/>
                <w:szCs w:val="18"/>
              </w:rPr>
              <w:t>4.2 Le projet était-il opportun pour résoudre un facteur de conflit ou tirer parti d'une fenêtre d'opportunité spécifique ? Le financement du Fonds de Consolidation de la paix a-t-il été utilisé pour tirer parti des fenêtres d'opportunité politique de l'engagement ?</w:t>
            </w:r>
          </w:p>
        </w:tc>
        <w:tc>
          <w:tcPr>
            <w:tcW w:w="3265" w:type="dxa"/>
            <w:vAlign w:val="center"/>
          </w:tcPr>
          <w:p w14:paraId="010C758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Dans quelle mesure le projet répond-il aux facteurs spécifiques de conflit identifiés autour de la Kibira ? </w:t>
            </w:r>
          </w:p>
          <w:p w14:paraId="56048717"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Comment le projet a-t-il capitalisé sur la volonté politique du gouvernement burundais pour la conservation et la paix ? </w:t>
            </w:r>
          </w:p>
          <w:p w14:paraId="06BF642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Les éléments de contexte étaient-ils favorables au moment du lancement ? </w:t>
            </w:r>
          </w:p>
          <w:p w14:paraId="77723FE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 financement PBF a-t-il permis de saisir des opportunités qui n'auraient pas pu être exploitées autrement ?</w:t>
            </w:r>
          </w:p>
        </w:tc>
        <w:tc>
          <w:tcPr>
            <w:tcW w:w="2410" w:type="dxa"/>
            <w:vAlign w:val="center"/>
          </w:tcPr>
          <w:p w14:paraId="750B486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Analyses de contexte et de conflit au moment de la conception et du lancement du projet</w:t>
            </w:r>
          </w:p>
          <w:p w14:paraId="4CE67C0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Equipes UNCDF et PBF</w:t>
            </w:r>
          </w:p>
          <w:p w14:paraId="412FF65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Représentants ministères  </w:t>
            </w:r>
          </w:p>
        </w:tc>
        <w:tc>
          <w:tcPr>
            <w:tcW w:w="2268" w:type="dxa"/>
            <w:vAlign w:val="center"/>
          </w:tcPr>
          <w:p w14:paraId="68099E5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Analyse documentaire </w:t>
            </w:r>
          </w:p>
          <w:p w14:paraId="540BBDA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Entretiens avec les équipes UNCDF, PBF et représentants des ministères </w:t>
            </w:r>
          </w:p>
        </w:tc>
        <w:tc>
          <w:tcPr>
            <w:tcW w:w="2269" w:type="dxa"/>
            <w:vAlign w:val="center"/>
          </w:tcPr>
          <w:p w14:paraId="61769D6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Nombre d'initiatives gouvernementales parallèles lancées dans la même période</w:t>
            </w:r>
          </w:p>
          <w:p w14:paraId="1E81896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Évolution des indicateurs de paix dans la région Kibira</w:t>
            </w:r>
          </w:p>
          <w:p w14:paraId="6A81207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Nombre d'opportunités politiques concrètement saisies grâce au financement PBF</w:t>
            </w:r>
          </w:p>
        </w:tc>
        <w:tc>
          <w:tcPr>
            <w:tcW w:w="2438" w:type="dxa"/>
            <w:vAlign w:val="center"/>
          </w:tcPr>
          <w:p w14:paraId="76C74C3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chronologique des événements et identification des fenêtres d'opportunité</w:t>
            </w:r>
          </w:p>
          <w:p w14:paraId="56C3FC2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Évaluation contrefactuelle : qu'est-ce qui aurait été possible sans le financement PBF ?</w:t>
            </w:r>
          </w:p>
          <w:p w14:paraId="37AC342A"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Evaluation du timing optimal vs timing réel de mise en œuvre</w:t>
            </w:r>
          </w:p>
        </w:tc>
      </w:tr>
      <w:tr w:rsidR="00713975" w:rsidRPr="00B2571D" w14:paraId="47160142" w14:textId="77777777" w:rsidTr="00B2571D">
        <w:tc>
          <w:tcPr>
            <w:tcW w:w="2405" w:type="dxa"/>
            <w:vAlign w:val="center"/>
          </w:tcPr>
          <w:p w14:paraId="693C225E" w14:textId="77777777" w:rsidR="00713975" w:rsidRPr="00B2571D" w:rsidRDefault="00713975" w:rsidP="008D2A15">
            <w:pPr>
              <w:rPr>
                <w:rFonts w:cs="Open Sans"/>
                <w:sz w:val="18"/>
                <w:szCs w:val="18"/>
              </w:rPr>
            </w:pPr>
            <w:r w:rsidRPr="00B2571D">
              <w:rPr>
                <w:rFonts w:cs="Open Sans"/>
                <w:sz w:val="18"/>
                <w:szCs w:val="18"/>
              </w:rPr>
              <w:lastRenderedPageBreak/>
              <w:t>4.3 Dans quelle mesure les activités du projet ont-elles contribué à l'établissement d'un cadre commun pour une conservation durable sensible aux conflits entre le gouvernement, les communautés locales et le secteur privé ?</w:t>
            </w:r>
          </w:p>
        </w:tc>
        <w:tc>
          <w:tcPr>
            <w:tcW w:w="3265" w:type="dxa"/>
            <w:vAlign w:val="center"/>
          </w:tcPr>
          <w:p w14:paraId="42FF723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L'accord de cogestion entre l'OBPE et la Fondation Kibira constitue-t-il un cadre opérationnel pour la conservation sensible aux conflits ? </w:t>
            </w:r>
          </w:p>
          <w:p w14:paraId="5CCDDB2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Les mécanismes de dialogue et de résolution des conflits entre parties prenantes fonctionnent-ils efficacement ? </w:t>
            </w:r>
          </w:p>
          <w:p w14:paraId="605C8CC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Dans quelle mesure les approches développées prennent-elles en compte les causes sous-jacentes des conflits liés aux ressources naturelles ?</w:t>
            </w:r>
          </w:p>
        </w:tc>
        <w:tc>
          <w:tcPr>
            <w:tcW w:w="2410" w:type="dxa"/>
            <w:vAlign w:val="center"/>
          </w:tcPr>
          <w:p w14:paraId="5992926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Accords avec partenaires</w:t>
            </w:r>
          </w:p>
          <w:p w14:paraId="6708466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Rapports de progrès</w:t>
            </w:r>
          </w:p>
          <w:p w14:paraId="438198F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Rapports de suivi des partenaires </w:t>
            </w:r>
          </w:p>
          <w:p w14:paraId="5DD6E4E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PV réunions de la Fondation </w:t>
            </w:r>
          </w:p>
          <w:p w14:paraId="18180DD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Equipe de gestion UNCDF</w:t>
            </w:r>
          </w:p>
          <w:p w14:paraId="6DD8CDF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Partenaires de mise en œuvre : Fondation, </w:t>
            </w:r>
            <w:proofErr w:type="spellStart"/>
            <w:r w:rsidRPr="00B2571D">
              <w:rPr>
                <w:rFonts w:cs="Open Sans"/>
                <w:sz w:val="18"/>
                <w:szCs w:val="18"/>
              </w:rPr>
              <w:t>Hydroneo</w:t>
            </w:r>
            <w:proofErr w:type="spellEnd"/>
            <w:r w:rsidRPr="00B2571D">
              <w:rPr>
                <w:rFonts w:cs="Open Sans"/>
                <w:sz w:val="18"/>
                <w:szCs w:val="18"/>
              </w:rPr>
              <w:t xml:space="preserve">, </w:t>
            </w:r>
          </w:p>
          <w:p w14:paraId="3162988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Partenaires publics </w:t>
            </w:r>
          </w:p>
        </w:tc>
        <w:tc>
          <w:tcPr>
            <w:tcW w:w="2268" w:type="dxa"/>
            <w:vAlign w:val="center"/>
          </w:tcPr>
          <w:p w14:paraId="2E817EFB"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Analyse documentaire </w:t>
            </w:r>
          </w:p>
          <w:p w14:paraId="38F12F2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Entretien avec l’équipe de gestion du projet et les parties prenantes  </w:t>
            </w:r>
          </w:p>
        </w:tc>
        <w:tc>
          <w:tcPr>
            <w:tcW w:w="2269" w:type="dxa"/>
            <w:vAlign w:val="center"/>
          </w:tcPr>
          <w:p w14:paraId="17AB18C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Nombre de réunions multi-acteurs organisées et taux de participation de chaque catégorie</w:t>
            </w:r>
          </w:p>
          <w:p w14:paraId="19E25ED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Niveau d'appropriation du cadre par chaque catégorie d'acteurs</w:t>
            </w:r>
          </w:p>
        </w:tc>
        <w:tc>
          <w:tcPr>
            <w:tcW w:w="2438" w:type="dxa"/>
            <w:vAlign w:val="center"/>
          </w:tcPr>
          <w:p w14:paraId="1C5C273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Analyse institutionnelle du cadre multi-acteurs </w:t>
            </w:r>
          </w:p>
          <w:p w14:paraId="1658E75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 la contribution spécifique du projet à l'émergence du cadre commun</w:t>
            </w:r>
          </w:p>
          <w:p w14:paraId="6BAF81D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Analyse de la durabilité institutionnelle du cadre </w:t>
            </w:r>
          </w:p>
        </w:tc>
      </w:tr>
      <w:tr w:rsidR="00713975" w:rsidRPr="00B2571D" w14:paraId="05392D9C" w14:textId="77777777" w:rsidTr="00B2571D">
        <w:tc>
          <w:tcPr>
            <w:tcW w:w="2405" w:type="dxa"/>
            <w:vAlign w:val="center"/>
          </w:tcPr>
          <w:p w14:paraId="323B1220" w14:textId="77777777" w:rsidR="00713975" w:rsidRPr="00B2571D" w:rsidRDefault="00713975" w:rsidP="008D2A15">
            <w:pPr>
              <w:rPr>
                <w:rFonts w:cs="Open Sans"/>
                <w:sz w:val="18"/>
                <w:szCs w:val="18"/>
              </w:rPr>
            </w:pPr>
            <w:r w:rsidRPr="00B2571D">
              <w:rPr>
                <w:rFonts w:cs="Open Sans"/>
                <w:sz w:val="18"/>
                <w:szCs w:val="18"/>
              </w:rPr>
              <w:t>4.4 Dans quelle mesure les activités du projet ont-elles contribué à la formation, à l'équipement et au déploiement des écogardes sur la base de la consultation et de la participation de la communauté ?</w:t>
            </w:r>
          </w:p>
        </w:tc>
        <w:tc>
          <w:tcPr>
            <w:tcW w:w="3265" w:type="dxa"/>
            <w:vAlign w:val="center"/>
          </w:tcPr>
          <w:p w14:paraId="1F33249A"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Combien de gardes forestiers OBPE ont été formés, équipés et déployés grâce au projet ?</w:t>
            </w:r>
          </w:p>
          <w:p w14:paraId="080FECA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Les équipements fournis correspondent-ils aux besoins opérationnels ?</w:t>
            </w:r>
          </w:p>
          <w:p w14:paraId="65F6B22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Comment les communautés locales ont-elles été consultées dans la définition des besoins et modalités de déploiement des gardes ?</w:t>
            </w:r>
          </w:p>
        </w:tc>
        <w:tc>
          <w:tcPr>
            <w:tcW w:w="2410" w:type="dxa"/>
            <w:vAlign w:val="center"/>
          </w:tcPr>
          <w:p w14:paraId="441DB38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Rapports de progrès </w:t>
            </w:r>
          </w:p>
          <w:p w14:paraId="427CF35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Listes des gardes forestiers formés et des équipements fournis </w:t>
            </w:r>
          </w:p>
          <w:p w14:paraId="4E9064B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Livrables de la formation</w:t>
            </w:r>
          </w:p>
          <w:p w14:paraId="1475847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OBPE et écogardes</w:t>
            </w:r>
          </w:p>
          <w:p w14:paraId="7B67D95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Communautés </w:t>
            </w:r>
          </w:p>
        </w:tc>
        <w:tc>
          <w:tcPr>
            <w:tcW w:w="2268" w:type="dxa"/>
            <w:vAlign w:val="center"/>
          </w:tcPr>
          <w:p w14:paraId="5A08DD9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Analyse documentaire </w:t>
            </w:r>
          </w:p>
          <w:p w14:paraId="2129590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Entretiens avec OBPE</w:t>
            </w:r>
          </w:p>
          <w:p w14:paraId="4A480D7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Entretiens avec leaders communautaires </w:t>
            </w:r>
          </w:p>
          <w:p w14:paraId="493A995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Focus groups avec écogardes et communautés </w:t>
            </w:r>
          </w:p>
        </w:tc>
        <w:tc>
          <w:tcPr>
            <w:tcW w:w="2269" w:type="dxa"/>
            <w:vAlign w:val="center"/>
          </w:tcPr>
          <w:p w14:paraId="6818FD5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Nombre total de gardes forestiers formés et déployés</w:t>
            </w:r>
          </w:p>
          <w:p w14:paraId="21BBB39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Taux de satisfaction des gardes sur la formation reçue</w:t>
            </w:r>
          </w:p>
          <w:p w14:paraId="38E4AE0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 d'équipements opérationnels </w:t>
            </w:r>
          </w:p>
          <w:p w14:paraId="37F4E8A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Nombre de consultations communautaires organisées pour le déploiement</w:t>
            </w:r>
          </w:p>
        </w:tc>
        <w:tc>
          <w:tcPr>
            <w:tcW w:w="2438" w:type="dxa"/>
            <w:vAlign w:val="center"/>
          </w:tcPr>
          <w:p w14:paraId="498F468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Analyse de la chaîne de résultats formation + équipement </w:t>
            </w:r>
            <w:r w:rsidRPr="00B2571D">
              <w:rPr>
                <w:rFonts w:ascii="Arial" w:hAnsi="Arial" w:cs="Arial"/>
                <w:sz w:val="18"/>
                <w:szCs w:val="18"/>
              </w:rPr>
              <w:t>→</w:t>
            </w:r>
            <w:r w:rsidRPr="00B2571D">
              <w:rPr>
                <w:rFonts w:cs="Open Sans"/>
                <w:sz w:val="18"/>
                <w:szCs w:val="18"/>
              </w:rPr>
              <w:t xml:space="preserve"> déploiement </w:t>
            </w:r>
            <w:r w:rsidRPr="00B2571D">
              <w:rPr>
                <w:rFonts w:ascii="Arial" w:hAnsi="Arial" w:cs="Arial"/>
                <w:sz w:val="18"/>
                <w:szCs w:val="18"/>
              </w:rPr>
              <w:t>→</w:t>
            </w:r>
            <w:r w:rsidRPr="00B2571D">
              <w:rPr>
                <w:rFonts w:cs="Open Sans"/>
                <w:sz w:val="18"/>
                <w:szCs w:val="18"/>
              </w:rPr>
              <w:t xml:space="preserve"> performance</w:t>
            </w:r>
          </w:p>
          <w:p w14:paraId="1890C74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Évaluation de l'adéquation entre formation dispensée et besoins réels du terrain</w:t>
            </w:r>
          </w:p>
        </w:tc>
      </w:tr>
      <w:tr w:rsidR="00713975" w:rsidRPr="00B2571D" w14:paraId="609B3D1D" w14:textId="77777777" w:rsidTr="00B2571D">
        <w:tc>
          <w:tcPr>
            <w:tcW w:w="2405" w:type="dxa"/>
            <w:vAlign w:val="center"/>
          </w:tcPr>
          <w:p w14:paraId="7D976C18" w14:textId="77777777" w:rsidR="00713975" w:rsidRPr="00B2571D" w:rsidRDefault="00713975" w:rsidP="008D2A15">
            <w:pPr>
              <w:rPr>
                <w:rFonts w:cs="Open Sans"/>
                <w:sz w:val="18"/>
                <w:szCs w:val="18"/>
              </w:rPr>
            </w:pPr>
            <w:r w:rsidRPr="00B2571D">
              <w:rPr>
                <w:rFonts w:cs="Open Sans"/>
                <w:sz w:val="18"/>
                <w:szCs w:val="18"/>
              </w:rPr>
              <w:t xml:space="preserve">4.5 Dans quelle mesure les activités du projet ont-elles contribué à la </w:t>
            </w:r>
            <w:r w:rsidRPr="00B2571D">
              <w:rPr>
                <w:rFonts w:cs="Open Sans"/>
                <w:sz w:val="18"/>
                <w:szCs w:val="18"/>
              </w:rPr>
              <w:lastRenderedPageBreak/>
              <w:t>réalisation de la cohésion sociale à long terme, à la résilience et au développement de la communauté qui aident à prévenir et à désamorcer les conflits locaux et à améliorer la sécurité de la communauté ?</w:t>
            </w:r>
          </w:p>
        </w:tc>
        <w:tc>
          <w:tcPr>
            <w:tcW w:w="3265" w:type="dxa"/>
            <w:vAlign w:val="center"/>
          </w:tcPr>
          <w:p w14:paraId="351ADE4A"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 xml:space="preserve">Comment les activités du projet ont-elles renforcé les liens sociaux </w:t>
            </w:r>
            <w:r w:rsidRPr="00B2571D">
              <w:rPr>
                <w:rFonts w:cs="Open Sans"/>
                <w:sz w:val="18"/>
                <w:szCs w:val="18"/>
              </w:rPr>
              <w:lastRenderedPageBreak/>
              <w:t>entre les différents groupes communautaires ?</w:t>
            </w:r>
          </w:p>
          <w:p w14:paraId="62CE833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Les mécanismes traditionnels de résolution des conflits ont-ils été renforcés ou complétés par le projet ?</w:t>
            </w:r>
          </w:p>
          <w:p w14:paraId="278DAA8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Comment l'engagement des communautés dans la gouvernance de la Fondation Kibira contribue-t-il à la cohésion sociale ?</w:t>
            </w:r>
          </w:p>
          <w:p w14:paraId="00D2ED8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Les activités culturelles et de réconciliation ont-elles contribué à améliorer les relations intercommunautaires ?</w:t>
            </w:r>
          </w:p>
        </w:tc>
        <w:tc>
          <w:tcPr>
            <w:tcW w:w="2410" w:type="dxa"/>
            <w:vAlign w:val="center"/>
          </w:tcPr>
          <w:p w14:paraId="36F0407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Rapports de progrès</w:t>
            </w:r>
          </w:p>
          <w:p w14:paraId="39E70EC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Rapports de suivi des partenaires </w:t>
            </w:r>
          </w:p>
          <w:p w14:paraId="702F721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 xml:space="preserve">Livrables des activités </w:t>
            </w:r>
          </w:p>
          <w:p w14:paraId="6737B45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OBPE et autorités locales </w:t>
            </w:r>
          </w:p>
          <w:p w14:paraId="5F0F4AF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Leaders communautaires </w:t>
            </w:r>
          </w:p>
          <w:p w14:paraId="68BCF21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Communautés </w:t>
            </w:r>
          </w:p>
        </w:tc>
        <w:tc>
          <w:tcPr>
            <w:tcW w:w="2268" w:type="dxa"/>
            <w:vAlign w:val="center"/>
          </w:tcPr>
          <w:p w14:paraId="33A0A4A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 xml:space="preserve">Analyse documentaire </w:t>
            </w:r>
          </w:p>
          <w:p w14:paraId="34D8EF3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 xml:space="preserve">Entretiens avec partenaires de mise en œuvre </w:t>
            </w:r>
          </w:p>
          <w:p w14:paraId="015DB6F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Entretiens avec OBPE, autorités locales et Leaders communautaires</w:t>
            </w:r>
          </w:p>
          <w:p w14:paraId="0341257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Focus groups avec communautés </w:t>
            </w:r>
          </w:p>
        </w:tc>
        <w:tc>
          <w:tcPr>
            <w:tcW w:w="2269" w:type="dxa"/>
            <w:vAlign w:val="center"/>
          </w:tcPr>
          <w:p w14:paraId="7546B96A"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Nombre d'incidents/conflits intercommunautaires</w:t>
            </w:r>
          </w:p>
          <w:p w14:paraId="354420E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 de ménages ayant développé des AGR alternatives aux activités forestières illégales</w:t>
            </w:r>
          </w:p>
          <w:p w14:paraId="11AE7C0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Sentiment de sécurité communautaire</w:t>
            </w:r>
          </w:p>
        </w:tc>
        <w:tc>
          <w:tcPr>
            <w:tcW w:w="2438" w:type="dxa"/>
            <w:vAlign w:val="center"/>
          </w:tcPr>
          <w:p w14:paraId="6DDA0BE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 xml:space="preserve">Analyse de contribution du projet aux changements de </w:t>
            </w:r>
            <w:r w:rsidRPr="00B2571D">
              <w:rPr>
                <w:rFonts w:cs="Open Sans"/>
                <w:sz w:val="18"/>
                <w:szCs w:val="18"/>
              </w:rPr>
              <w:lastRenderedPageBreak/>
              <w:t>cohésion sociale observés</w:t>
            </w:r>
          </w:p>
          <w:p w14:paraId="6106E56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des liens causaux reliant conservation, développement économique et paix sociale</w:t>
            </w:r>
          </w:p>
        </w:tc>
      </w:tr>
      <w:tr w:rsidR="00713975" w:rsidRPr="00B2571D" w14:paraId="5C20A5B2" w14:textId="77777777" w:rsidTr="00B2571D">
        <w:tc>
          <w:tcPr>
            <w:tcW w:w="2405" w:type="dxa"/>
            <w:vAlign w:val="center"/>
          </w:tcPr>
          <w:p w14:paraId="3E84712E" w14:textId="77777777" w:rsidR="00713975" w:rsidRPr="00B2571D" w:rsidRDefault="00713975" w:rsidP="008D2A15">
            <w:pPr>
              <w:rPr>
                <w:rFonts w:cs="Open Sans"/>
                <w:sz w:val="18"/>
                <w:szCs w:val="18"/>
              </w:rPr>
            </w:pPr>
            <w:r w:rsidRPr="00B2571D">
              <w:rPr>
                <w:rFonts w:cs="Open Sans"/>
                <w:sz w:val="18"/>
                <w:szCs w:val="18"/>
              </w:rPr>
              <w:lastRenderedPageBreak/>
              <w:t>4.6 Dans quelle mesure les activités du projet ont-elles contribué à financer la durabilité par le biais d'un investissement d'ancrage dans l'énergie propre ?</w:t>
            </w:r>
          </w:p>
        </w:tc>
        <w:tc>
          <w:tcPr>
            <w:tcW w:w="3265" w:type="dxa"/>
            <w:vAlign w:val="center"/>
          </w:tcPr>
          <w:p w14:paraId="79F6BDE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L'investissement de 1,5 million USD dans le projet hydroélectrique de </w:t>
            </w:r>
            <w:proofErr w:type="spellStart"/>
            <w:r w:rsidRPr="00B2571D">
              <w:rPr>
                <w:rFonts w:cs="Open Sans"/>
                <w:sz w:val="18"/>
                <w:szCs w:val="18"/>
              </w:rPr>
              <w:t>Mpanda</w:t>
            </w:r>
            <w:proofErr w:type="spellEnd"/>
            <w:r w:rsidRPr="00B2571D">
              <w:rPr>
                <w:rFonts w:cs="Open Sans"/>
                <w:sz w:val="18"/>
                <w:szCs w:val="18"/>
              </w:rPr>
              <w:t xml:space="preserve"> a-t-il effectivement mobilisé les cofinancements privés et multilatéraux prévus ?</w:t>
            </w:r>
          </w:p>
          <w:p w14:paraId="09E0896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Comment les revenus générés par l'investissement énergétique contribuent-ils au financement de la conservation et de la paix ?</w:t>
            </w:r>
          </w:p>
          <w:p w14:paraId="06052F7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Le projet énergétique génère-t-il des </w:t>
            </w:r>
            <w:proofErr w:type="spellStart"/>
            <w:r w:rsidRPr="00B2571D">
              <w:rPr>
                <w:rFonts w:cs="Open Sans"/>
                <w:sz w:val="18"/>
                <w:szCs w:val="18"/>
              </w:rPr>
              <w:t>co</w:t>
            </w:r>
            <w:proofErr w:type="spellEnd"/>
            <w:r w:rsidRPr="00B2571D">
              <w:rPr>
                <w:rFonts w:cs="Open Sans"/>
                <w:sz w:val="18"/>
                <w:szCs w:val="18"/>
              </w:rPr>
              <w:t>-bénéfices locaux (emplois, accès à l'électricité) contribuant à la paix ?</w:t>
            </w:r>
          </w:p>
        </w:tc>
        <w:tc>
          <w:tcPr>
            <w:tcW w:w="2410" w:type="dxa"/>
            <w:vAlign w:val="center"/>
          </w:tcPr>
          <w:p w14:paraId="0FFB587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Rapport de progrès </w:t>
            </w:r>
          </w:p>
          <w:p w14:paraId="387D1AA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Documents sur le projet hydroélectrique </w:t>
            </w:r>
          </w:p>
          <w:p w14:paraId="3274619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Equipe UNCDF</w:t>
            </w:r>
          </w:p>
          <w:p w14:paraId="35CFDCE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proofErr w:type="spellStart"/>
            <w:r w:rsidRPr="00B2571D">
              <w:rPr>
                <w:rFonts w:cs="Open Sans"/>
                <w:sz w:val="18"/>
                <w:szCs w:val="18"/>
              </w:rPr>
              <w:t>Hydroneo</w:t>
            </w:r>
            <w:proofErr w:type="spellEnd"/>
          </w:p>
          <w:p w14:paraId="025A72F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Ministère de l’énergie  </w:t>
            </w:r>
          </w:p>
        </w:tc>
        <w:tc>
          <w:tcPr>
            <w:tcW w:w="2268" w:type="dxa"/>
            <w:vAlign w:val="center"/>
          </w:tcPr>
          <w:p w14:paraId="62F960E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Analyse documentaire </w:t>
            </w:r>
          </w:p>
          <w:p w14:paraId="1407120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Entretiens avec UNCDF, </w:t>
            </w:r>
            <w:proofErr w:type="spellStart"/>
            <w:r w:rsidRPr="00B2571D">
              <w:rPr>
                <w:rFonts w:cs="Open Sans"/>
                <w:sz w:val="18"/>
                <w:szCs w:val="18"/>
              </w:rPr>
              <w:t>Hydroneo</w:t>
            </w:r>
            <w:proofErr w:type="spellEnd"/>
            <w:r w:rsidRPr="00B2571D">
              <w:rPr>
                <w:rFonts w:cs="Open Sans"/>
                <w:sz w:val="18"/>
                <w:szCs w:val="18"/>
              </w:rPr>
              <w:t xml:space="preserve">, ministère de l’énergie </w:t>
            </w:r>
          </w:p>
        </w:tc>
        <w:tc>
          <w:tcPr>
            <w:tcW w:w="2269" w:type="dxa"/>
            <w:vAlign w:val="center"/>
          </w:tcPr>
          <w:p w14:paraId="6E4A6E8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Ratio de mobilisation : cofinancement mobilisé / investissement UNCDF initial</w:t>
            </w:r>
          </w:p>
          <w:p w14:paraId="38800E4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des revenus énergétiques affectés à la conservation</w:t>
            </w:r>
          </w:p>
          <w:p w14:paraId="23B0D22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de réduction de la dépendance aux financements externes pour la conservation</w:t>
            </w:r>
          </w:p>
        </w:tc>
        <w:tc>
          <w:tcPr>
            <w:tcW w:w="2438" w:type="dxa"/>
            <w:vAlign w:val="center"/>
          </w:tcPr>
          <w:p w14:paraId="5179D3AA"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 la chaîne de valeur du financement mixte et de ses performances</w:t>
            </w:r>
          </w:p>
          <w:p w14:paraId="49BA09E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Évaluation de l'effet catalytique de l'investissement initial</w:t>
            </w:r>
          </w:p>
          <w:p w14:paraId="0119F6E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Modélisation financière de la durabilité du mécanisme de financement</w:t>
            </w:r>
          </w:p>
        </w:tc>
      </w:tr>
      <w:tr w:rsidR="00713975" w:rsidRPr="00B2571D" w14:paraId="561487CE" w14:textId="77777777" w:rsidTr="00B2571D">
        <w:tc>
          <w:tcPr>
            <w:tcW w:w="2405" w:type="dxa"/>
            <w:vAlign w:val="center"/>
          </w:tcPr>
          <w:p w14:paraId="6B8191F4" w14:textId="77777777" w:rsidR="00713975" w:rsidRPr="00B2571D" w:rsidRDefault="00713975" w:rsidP="008D2A15">
            <w:pPr>
              <w:rPr>
                <w:rFonts w:cs="Open Sans"/>
                <w:sz w:val="18"/>
                <w:szCs w:val="18"/>
              </w:rPr>
            </w:pPr>
            <w:r w:rsidRPr="00B2571D">
              <w:rPr>
                <w:rFonts w:cs="Open Sans"/>
                <w:sz w:val="18"/>
                <w:szCs w:val="18"/>
              </w:rPr>
              <w:lastRenderedPageBreak/>
              <w:t xml:space="preserve">4.7 Dans quelle mesure les activités du projet ont-elles contribué à multiplier les objectifs de développement communautaire et les dividendes de la paix grâce à des prises de participation dans des entreprises locales offrant des </w:t>
            </w:r>
            <w:proofErr w:type="spellStart"/>
            <w:r w:rsidRPr="00B2571D">
              <w:rPr>
                <w:rFonts w:cs="Open Sans"/>
                <w:sz w:val="18"/>
                <w:szCs w:val="18"/>
              </w:rPr>
              <w:t>co</w:t>
            </w:r>
            <w:proofErr w:type="spellEnd"/>
            <w:r w:rsidRPr="00B2571D">
              <w:rPr>
                <w:rFonts w:cs="Open Sans"/>
                <w:sz w:val="18"/>
                <w:szCs w:val="18"/>
              </w:rPr>
              <w:t>-bénéfices aux communautés et créant les bases d'un sanctuaire de paix déployé par le biais de la facilité d'investissement REDD+ de Kibira ?</w:t>
            </w:r>
          </w:p>
        </w:tc>
        <w:tc>
          <w:tcPr>
            <w:tcW w:w="3265" w:type="dxa"/>
            <w:vAlign w:val="center"/>
          </w:tcPr>
          <w:p w14:paraId="64C91F5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Les investissements pilotes dans les entreprises locales (alternatives à l'exploitation forestière) ont-ils été effectivement réalisés ?</w:t>
            </w:r>
          </w:p>
          <w:p w14:paraId="12C46DC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Comment ces investissements contribuent-ils au développement économique local et à la réduction des pressions sur la forêt ?</w:t>
            </w:r>
          </w:p>
          <w:p w14:paraId="14B439F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Dans quelle mesure ces activités économiques renforcent-elles la cohésion sociale et les "dividendes de la paix" ?</w:t>
            </w:r>
          </w:p>
          <w:p w14:paraId="6120AE4B"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Les bases institutionnelles et financières du "sanctuaire de paix" sont-elles effectivement établies ?</w:t>
            </w:r>
          </w:p>
        </w:tc>
        <w:tc>
          <w:tcPr>
            <w:tcW w:w="2410" w:type="dxa"/>
            <w:vAlign w:val="center"/>
          </w:tcPr>
          <w:p w14:paraId="3DCB4CD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Rapports de progrès </w:t>
            </w:r>
          </w:p>
          <w:p w14:paraId="3B50770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Equipe UNCDF</w:t>
            </w:r>
          </w:p>
          <w:p w14:paraId="18F4137A"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Fondation Kibira </w:t>
            </w:r>
          </w:p>
        </w:tc>
        <w:tc>
          <w:tcPr>
            <w:tcW w:w="2268" w:type="dxa"/>
            <w:vAlign w:val="center"/>
          </w:tcPr>
          <w:p w14:paraId="669BFC6B"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documentaire</w:t>
            </w:r>
          </w:p>
          <w:p w14:paraId="092F918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Entretiens avec UNCDF et Fondation Kibira </w:t>
            </w:r>
          </w:p>
        </w:tc>
        <w:tc>
          <w:tcPr>
            <w:tcW w:w="2269" w:type="dxa"/>
            <w:vAlign w:val="center"/>
          </w:tcPr>
          <w:p w14:paraId="00EFB1A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Nombre d'entreprises locales ayant reçu des investissements du projet</w:t>
            </w:r>
          </w:p>
          <w:p w14:paraId="067F2EE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Montant total investi</w:t>
            </w:r>
          </w:p>
          <w:p w14:paraId="5838437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Nombre d'emplois créés</w:t>
            </w:r>
          </w:p>
          <w:p w14:paraId="0180295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Revenus carbone REDD+ générés et redistribués aux communautés</w:t>
            </w:r>
          </w:p>
        </w:tc>
        <w:tc>
          <w:tcPr>
            <w:tcW w:w="2438" w:type="dxa"/>
            <w:vAlign w:val="center"/>
          </w:tcPr>
          <w:p w14:paraId="2CBFB12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 la théorie du changement liant investissements locaux, développement économique et paix</w:t>
            </w:r>
          </w:p>
          <w:p w14:paraId="50FCBD6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Évaluation de l'impact économique et social des entreprises soutenues</w:t>
            </w:r>
          </w:p>
          <w:p w14:paraId="0AFAE44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Traçage des liens causaux entre activités économiques alternatives et réduction des conflits</w:t>
            </w:r>
          </w:p>
        </w:tc>
      </w:tr>
      <w:tr w:rsidR="00713975" w:rsidRPr="00B2571D" w14:paraId="3E8DBC8E" w14:textId="77777777" w:rsidTr="00B2571D">
        <w:trPr>
          <w:trHeight w:val="2985"/>
        </w:trPr>
        <w:tc>
          <w:tcPr>
            <w:tcW w:w="2405" w:type="dxa"/>
            <w:vAlign w:val="center"/>
          </w:tcPr>
          <w:p w14:paraId="6CAAC805" w14:textId="77777777" w:rsidR="00713975" w:rsidRPr="00B2571D" w:rsidRDefault="00713975" w:rsidP="008D2A15">
            <w:pPr>
              <w:rPr>
                <w:rFonts w:cs="Open Sans"/>
                <w:sz w:val="18"/>
                <w:szCs w:val="18"/>
              </w:rPr>
            </w:pPr>
            <w:r w:rsidRPr="00B2571D">
              <w:rPr>
                <w:rFonts w:cs="Open Sans"/>
                <w:sz w:val="18"/>
                <w:szCs w:val="18"/>
              </w:rPr>
              <w:t>4.8 Dans quelle mesure les activités du projet ont-elles atteint leurs objectifs et leurs résultats en ce qui concerne les femmes, les jeunes, les réfugiés, les personnes handicapées et les populations autochtones ?</w:t>
            </w:r>
          </w:p>
        </w:tc>
        <w:tc>
          <w:tcPr>
            <w:tcW w:w="3265" w:type="dxa"/>
            <w:vAlign w:val="center"/>
          </w:tcPr>
          <w:p w14:paraId="6EC84E0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Quels sont les objectifs fixés par le projet pour les groupes vulnérables ?</w:t>
            </w:r>
          </w:p>
          <w:p w14:paraId="1565E65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Est-ce que ces objectifs ont été atteints ? </w:t>
            </w:r>
          </w:p>
          <w:p w14:paraId="014361D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Quelles mesures ont été prises pour favoriser l’atteinte des résultats ?</w:t>
            </w:r>
          </w:p>
          <w:p w14:paraId="110C553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Quels facteurs expliquent la non- atteinte des résultats ? </w:t>
            </w:r>
          </w:p>
        </w:tc>
        <w:tc>
          <w:tcPr>
            <w:tcW w:w="2410" w:type="dxa"/>
            <w:vAlign w:val="center"/>
          </w:tcPr>
          <w:p w14:paraId="212DBAA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Rapports de progrès </w:t>
            </w:r>
          </w:p>
          <w:p w14:paraId="725D98C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Données désagrégées par catégorie vulnérable </w:t>
            </w:r>
          </w:p>
          <w:p w14:paraId="0BBBDEA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UNCDF et partenaires de mise en œuvre </w:t>
            </w:r>
          </w:p>
          <w:p w14:paraId="41599DB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Témoignages des bénéficiaires   </w:t>
            </w:r>
          </w:p>
        </w:tc>
        <w:tc>
          <w:tcPr>
            <w:tcW w:w="2268" w:type="dxa"/>
            <w:vAlign w:val="center"/>
          </w:tcPr>
          <w:p w14:paraId="260512C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documentaire</w:t>
            </w:r>
          </w:p>
          <w:p w14:paraId="2BAF5D0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Entretiens avec UNCDF et partenaires de mise en œuvre</w:t>
            </w:r>
          </w:p>
          <w:p w14:paraId="01918B0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Entretiens avec leaders communautaires </w:t>
            </w:r>
          </w:p>
          <w:p w14:paraId="478E393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Focus groups avec les communautés (y compris groupes vulnérables)</w:t>
            </w:r>
          </w:p>
        </w:tc>
        <w:tc>
          <w:tcPr>
            <w:tcW w:w="2269" w:type="dxa"/>
            <w:vAlign w:val="center"/>
          </w:tcPr>
          <w:p w14:paraId="3635F85B"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d’atteinte des objectifs pour les groupes vulnérables</w:t>
            </w:r>
          </w:p>
          <w:p w14:paraId="4F85864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 des objectifs atteints / total des objectifs fixés </w:t>
            </w:r>
          </w:p>
        </w:tc>
        <w:tc>
          <w:tcPr>
            <w:tcW w:w="2438" w:type="dxa"/>
            <w:vAlign w:val="center"/>
          </w:tcPr>
          <w:p w14:paraId="507D867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comparative objectifs fixés / réalisations</w:t>
            </w:r>
          </w:p>
          <w:p w14:paraId="7A9B9AC7"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 l'efficacité des mesures spécifiques d'inclusion par groupe</w:t>
            </w:r>
          </w:p>
        </w:tc>
      </w:tr>
      <w:tr w:rsidR="00713975" w:rsidRPr="00B2571D" w14:paraId="09D19F0D" w14:textId="77777777" w:rsidTr="00B2571D">
        <w:tc>
          <w:tcPr>
            <w:tcW w:w="15055" w:type="dxa"/>
            <w:gridSpan w:val="6"/>
            <w:shd w:val="clear" w:color="auto" w:fill="B4C6E7" w:themeFill="accent5" w:themeFillTint="66"/>
          </w:tcPr>
          <w:p w14:paraId="5E875B97" w14:textId="77777777" w:rsidR="00713975" w:rsidRPr="00B2571D" w:rsidRDefault="00713975" w:rsidP="008D2A15">
            <w:pPr>
              <w:rPr>
                <w:rFonts w:cs="Open Sans"/>
                <w:b/>
                <w:bCs/>
                <w:sz w:val="18"/>
                <w:szCs w:val="18"/>
              </w:rPr>
            </w:pPr>
            <w:r w:rsidRPr="00B2571D">
              <w:rPr>
                <w:rFonts w:cs="Open Sans"/>
                <w:b/>
                <w:bCs/>
                <w:sz w:val="18"/>
                <w:szCs w:val="18"/>
              </w:rPr>
              <w:lastRenderedPageBreak/>
              <w:t xml:space="preserve">Critère 5 : Impact  </w:t>
            </w:r>
          </w:p>
        </w:tc>
      </w:tr>
      <w:tr w:rsidR="00713975" w:rsidRPr="00B2571D" w14:paraId="54E00F80" w14:textId="77777777" w:rsidTr="00B2571D">
        <w:tc>
          <w:tcPr>
            <w:tcW w:w="2405" w:type="dxa"/>
            <w:vAlign w:val="center"/>
          </w:tcPr>
          <w:p w14:paraId="49CF7E7A" w14:textId="77777777" w:rsidR="00713975" w:rsidRPr="00B2571D" w:rsidRDefault="00713975" w:rsidP="008D2A15">
            <w:pPr>
              <w:rPr>
                <w:rFonts w:cs="Open Sans"/>
                <w:sz w:val="18"/>
                <w:szCs w:val="18"/>
              </w:rPr>
            </w:pPr>
            <w:r w:rsidRPr="00B2571D">
              <w:rPr>
                <w:rFonts w:cs="Open Sans"/>
                <w:sz w:val="18"/>
                <w:szCs w:val="18"/>
              </w:rPr>
              <w:t>5.1 Dans quelle mesure les résultats du projet ont-ils contribué ou sont-ils susceptibles de contribuer à traiter les facteurs interdépendants des conflits locaux et de la déforestation ?</w:t>
            </w:r>
          </w:p>
        </w:tc>
        <w:tc>
          <w:tcPr>
            <w:tcW w:w="3265" w:type="dxa"/>
            <w:vAlign w:val="center"/>
          </w:tcPr>
          <w:p w14:paraId="3833F67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Dans quelle mesure les activités du projet ont-elles réduit les tensions intercommunautaires liées à l'accès aux ressources forestières ?</w:t>
            </w:r>
          </w:p>
          <w:p w14:paraId="3C8345D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Les mécanismes de dialogue </w:t>
            </w:r>
            <w:proofErr w:type="spellStart"/>
            <w:r w:rsidRPr="00B2571D">
              <w:rPr>
                <w:rFonts w:cs="Open Sans"/>
                <w:sz w:val="18"/>
                <w:szCs w:val="18"/>
              </w:rPr>
              <w:t>multi-parties</w:t>
            </w:r>
            <w:proofErr w:type="spellEnd"/>
            <w:r w:rsidRPr="00B2571D">
              <w:rPr>
                <w:rFonts w:cs="Open Sans"/>
                <w:sz w:val="18"/>
                <w:szCs w:val="18"/>
              </w:rPr>
              <w:t xml:space="preserve"> prenantes développés permettent-ils de traiter efficacement les causes sous-jacentes des conflits ?</w:t>
            </w:r>
          </w:p>
          <w:p w14:paraId="131C1B2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Quels changements structurels durables ont été initiés dans la gestion des ressources naturelles en relation avec la consolidation de la paix ?</w:t>
            </w:r>
          </w:p>
        </w:tc>
        <w:tc>
          <w:tcPr>
            <w:tcW w:w="2410" w:type="dxa"/>
            <w:vAlign w:val="center"/>
          </w:tcPr>
          <w:p w14:paraId="384BA32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Rapports de progrès </w:t>
            </w:r>
          </w:p>
          <w:p w14:paraId="48BE06A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Documentation des mécanismes de résolution des conflits</w:t>
            </w:r>
          </w:p>
          <w:p w14:paraId="3D11EA1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Données sur les conflits </w:t>
            </w:r>
          </w:p>
          <w:p w14:paraId="734E61B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Témoignages de changement des parties prenantes locales</w:t>
            </w:r>
          </w:p>
        </w:tc>
        <w:tc>
          <w:tcPr>
            <w:tcW w:w="2268" w:type="dxa"/>
            <w:vAlign w:val="center"/>
          </w:tcPr>
          <w:p w14:paraId="2108E41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Analyse documentaire </w:t>
            </w:r>
          </w:p>
          <w:p w14:paraId="6D22D1AB"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Entretiens avec UNCDF, OBPE et partenaires de mise en œuvre </w:t>
            </w:r>
          </w:p>
          <w:p w14:paraId="6BD2775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Entretiens avec leaders communautaires </w:t>
            </w:r>
          </w:p>
          <w:p w14:paraId="043A40D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Focus groups avec les communautés</w:t>
            </w:r>
          </w:p>
          <w:p w14:paraId="49D757E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Collecte d'histoires de changement significatif (Most </w:t>
            </w:r>
            <w:proofErr w:type="spellStart"/>
            <w:r w:rsidRPr="00B2571D">
              <w:rPr>
                <w:rFonts w:cs="Open Sans"/>
                <w:sz w:val="18"/>
                <w:szCs w:val="18"/>
              </w:rPr>
              <w:t>Significant</w:t>
            </w:r>
            <w:proofErr w:type="spellEnd"/>
            <w:r w:rsidRPr="00B2571D">
              <w:rPr>
                <w:rFonts w:cs="Open Sans"/>
                <w:sz w:val="18"/>
                <w:szCs w:val="18"/>
              </w:rPr>
              <w:t xml:space="preserve"> Change)</w:t>
            </w:r>
          </w:p>
        </w:tc>
        <w:tc>
          <w:tcPr>
            <w:tcW w:w="2269" w:type="dxa"/>
            <w:vAlign w:val="center"/>
          </w:tcPr>
          <w:p w14:paraId="6553BE7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Évolution du taux de déforestation</w:t>
            </w:r>
          </w:p>
          <w:p w14:paraId="58BE9FA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Nombre de conflits liés aux ressources forestières résolus par les nouveaux mécanismes</w:t>
            </w:r>
          </w:p>
          <w:p w14:paraId="23FF2A3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Évolution du nombre d'incidents sécuritaires</w:t>
            </w:r>
          </w:p>
        </w:tc>
        <w:tc>
          <w:tcPr>
            <w:tcW w:w="2438" w:type="dxa"/>
            <w:vAlign w:val="center"/>
          </w:tcPr>
          <w:p w14:paraId="0F02B54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 contribution pour établir les liens causaux entre interventions du projet et changements observés</w:t>
            </w:r>
          </w:p>
          <w:p w14:paraId="75F13AF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des liens entre les facteurs interdépendants</w:t>
            </w:r>
          </w:p>
          <w:p w14:paraId="426FC4D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Triangulation des données quantitatives et qualitatives sur les changements structurels</w:t>
            </w:r>
          </w:p>
        </w:tc>
      </w:tr>
      <w:tr w:rsidR="00713975" w:rsidRPr="00B2571D" w14:paraId="1B93C7A9" w14:textId="77777777" w:rsidTr="00B2571D">
        <w:tc>
          <w:tcPr>
            <w:tcW w:w="2405" w:type="dxa"/>
            <w:vAlign w:val="center"/>
          </w:tcPr>
          <w:p w14:paraId="32BF8AB3" w14:textId="77777777" w:rsidR="00713975" w:rsidRPr="00B2571D" w:rsidRDefault="00713975" w:rsidP="008D2A15">
            <w:pPr>
              <w:rPr>
                <w:rFonts w:cs="Open Sans"/>
                <w:sz w:val="18"/>
                <w:szCs w:val="18"/>
              </w:rPr>
            </w:pPr>
            <w:r w:rsidRPr="00B2571D">
              <w:rPr>
                <w:rFonts w:cs="Open Sans"/>
                <w:sz w:val="18"/>
                <w:szCs w:val="18"/>
              </w:rPr>
              <w:t>5.2 Dans quelle mesure le projet a-t-il réussi à favoriser un consensus entre le gouvernement du Burundi, les acteurs locaux et les investisseurs privés concernant une vision à long terme pour la paix et la conservation dans la forêt de Kibira ?</w:t>
            </w:r>
          </w:p>
        </w:tc>
        <w:tc>
          <w:tcPr>
            <w:tcW w:w="3265" w:type="dxa"/>
            <w:vAlign w:val="center"/>
          </w:tcPr>
          <w:p w14:paraId="7938CFC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Un consensus effectif existe-t-il entre les différentes parties prenantes sur la vision à long terme du "sanctuaire de paix Kibira" ?</w:t>
            </w:r>
          </w:p>
          <w:p w14:paraId="13876AC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 consensus établi est-il suffisamment robuste pour perdurer au-delà du financement PBF ?</w:t>
            </w:r>
          </w:p>
        </w:tc>
        <w:tc>
          <w:tcPr>
            <w:tcW w:w="2410" w:type="dxa"/>
            <w:vAlign w:val="center"/>
          </w:tcPr>
          <w:p w14:paraId="4D17D60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Documents de vision stratégique</w:t>
            </w:r>
          </w:p>
          <w:p w14:paraId="267A381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PV des réunions entre parties prenantes </w:t>
            </w:r>
          </w:p>
          <w:p w14:paraId="39C7702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Parties prenantes </w:t>
            </w:r>
          </w:p>
        </w:tc>
        <w:tc>
          <w:tcPr>
            <w:tcW w:w="2268" w:type="dxa"/>
            <w:vAlign w:val="center"/>
          </w:tcPr>
          <w:p w14:paraId="332643D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documentaire</w:t>
            </w:r>
          </w:p>
          <w:p w14:paraId="5E044C8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Entretiens avec les représentants du gouvernement, les autorités locales, les leaders communautaires et le secteur privé  </w:t>
            </w:r>
          </w:p>
        </w:tc>
        <w:tc>
          <w:tcPr>
            <w:tcW w:w="2269" w:type="dxa"/>
            <w:vAlign w:val="center"/>
          </w:tcPr>
          <w:p w14:paraId="65F8488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Degré de convergence entre les visions exprimées par chaque catégorie d'acteurs</w:t>
            </w:r>
          </w:p>
          <w:p w14:paraId="010273E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Taux de satisfaction des parties prenantes sur le processus de construction du consensus</w:t>
            </w:r>
          </w:p>
        </w:tc>
        <w:tc>
          <w:tcPr>
            <w:tcW w:w="2438" w:type="dxa"/>
            <w:vAlign w:val="center"/>
          </w:tcPr>
          <w:p w14:paraId="562616A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des convergences et divergences des discours</w:t>
            </w:r>
          </w:p>
          <w:p w14:paraId="0E3ED59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Évaluation de la solidité du consensus face aux tensions ou changements contextuels</w:t>
            </w:r>
          </w:p>
        </w:tc>
      </w:tr>
      <w:tr w:rsidR="00713975" w:rsidRPr="00B2571D" w14:paraId="7ED48049" w14:textId="77777777" w:rsidTr="00B2571D">
        <w:tc>
          <w:tcPr>
            <w:tcW w:w="2405" w:type="dxa"/>
            <w:vAlign w:val="center"/>
          </w:tcPr>
          <w:p w14:paraId="0F5F69C7" w14:textId="77777777" w:rsidR="00713975" w:rsidRPr="00B2571D" w:rsidRDefault="00713975" w:rsidP="008D2A15">
            <w:pPr>
              <w:rPr>
                <w:rFonts w:cs="Open Sans"/>
                <w:sz w:val="18"/>
                <w:szCs w:val="18"/>
              </w:rPr>
            </w:pPr>
            <w:r w:rsidRPr="00B2571D">
              <w:rPr>
                <w:rFonts w:cs="Open Sans"/>
                <w:sz w:val="18"/>
                <w:szCs w:val="18"/>
              </w:rPr>
              <w:t>5.3 Dans quelle mesure les résultats du projet ont-</w:t>
            </w:r>
            <w:r w:rsidRPr="00B2571D">
              <w:rPr>
                <w:rFonts w:cs="Open Sans"/>
                <w:sz w:val="18"/>
                <w:szCs w:val="18"/>
              </w:rPr>
              <w:lastRenderedPageBreak/>
              <w:t>ils contribué ou sont-ils susceptibles de contribuer à l'amélioration des moyens de subsistance durables des communautés dans et autour de la forêt de Kibira grâce à l'exploitation durable des ressources forestières ?</w:t>
            </w:r>
          </w:p>
        </w:tc>
        <w:tc>
          <w:tcPr>
            <w:tcW w:w="3265" w:type="dxa"/>
            <w:vAlign w:val="center"/>
          </w:tcPr>
          <w:p w14:paraId="5A69A06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 xml:space="preserve">Les activités génératrices de revenus alternatives développées </w:t>
            </w:r>
            <w:r w:rsidRPr="00B2571D">
              <w:rPr>
                <w:rFonts w:cs="Open Sans"/>
                <w:sz w:val="18"/>
                <w:szCs w:val="18"/>
              </w:rPr>
              <w:lastRenderedPageBreak/>
              <w:t xml:space="preserve">sont-elles économiquement viables et durables ? </w:t>
            </w:r>
          </w:p>
          <w:p w14:paraId="213C6B1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Dans quelle mesure ces nouvelles activités ont-elles remplacé l'exploitation illégale des ressources forestières ? </w:t>
            </w:r>
          </w:p>
          <w:p w14:paraId="25E4FDA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Les revenus générés par ces activités permettent-ils une amélioration substantielle du niveau de vie des ménages ? </w:t>
            </w:r>
          </w:p>
          <w:p w14:paraId="5CE33D77"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Les mécanismes PSE, et REDD+ fonctionnent-ils effectivement ?</w:t>
            </w:r>
          </w:p>
        </w:tc>
        <w:tc>
          <w:tcPr>
            <w:tcW w:w="2410" w:type="dxa"/>
            <w:vAlign w:val="center"/>
          </w:tcPr>
          <w:p w14:paraId="14B9E39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Liste des bénéficiaires directs</w:t>
            </w:r>
          </w:p>
          <w:p w14:paraId="3A5DA84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Données sur l'évolution de l'exploitation illégale des ressources forestières</w:t>
            </w:r>
          </w:p>
          <w:p w14:paraId="360E302B"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Rapports sur les mécanismes de PSE et REDD+</w:t>
            </w:r>
          </w:p>
        </w:tc>
        <w:tc>
          <w:tcPr>
            <w:tcW w:w="2268" w:type="dxa"/>
            <w:vAlign w:val="center"/>
          </w:tcPr>
          <w:p w14:paraId="595AC32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 xml:space="preserve">Analyse documentaire </w:t>
            </w:r>
          </w:p>
          <w:p w14:paraId="09FE823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 xml:space="preserve">Entretiens avec partenaires de mise en œuvre </w:t>
            </w:r>
          </w:p>
          <w:p w14:paraId="03D6754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Entretiens avec leaders communautaires </w:t>
            </w:r>
          </w:p>
          <w:p w14:paraId="555D59CA"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Focus groups avec communautés </w:t>
            </w:r>
          </w:p>
          <w:p w14:paraId="794A7B0A"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Observations directes </w:t>
            </w:r>
          </w:p>
        </w:tc>
        <w:tc>
          <w:tcPr>
            <w:tcW w:w="2269" w:type="dxa"/>
            <w:vAlign w:val="center"/>
          </w:tcPr>
          <w:p w14:paraId="395F149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Nombre de bénéficiaires de nouvelles AGR</w:t>
            </w:r>
          </w:p>
          <w:p w14:paraId="0FA686C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Nombre de ménages ayant abandonné les activités d'exploitation illégale des ressources</w:t>
            </w:r>
          </w:p>
          <w:p w14:paraId="028C6B0A"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de bénéficiaires ayant amélioré leurs revenus grâce au projet</w:t>
            </w:r>
          </w:p>
          <w:p w14:paraId="5FF318B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Degré de viabilité des AGR</w:t>
            </w:r>
          </w:p>
        </w:tc>
        <w:tc>
          <w:tcPr>
            <w:tcW w:w="2438" w:type="dxa"/>
            <w:vAlign w:val="center"/>
          </w:tcPr>
          <w:p w14:paraId="0C07827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 xml:space="preserve">Analyse avant/après des conditions </w:t>
            </w:r>
            <w:r w:rsidRPr="00B2571D">
              <w:rPr>
                <w:rFonts w:cs="Open Sans"/>
                <w:sz w:val="18"/>
                <w:szCs w:val="18"/>
              </w:rPr>
              <w:lastRenderedPageBreak/>
              <w:t>socioéconomiques des ménages</w:t>
            </w:r>
          </w:p>
          <w:p w14:paraId="1724EE3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Evaluation de la viabilité des AGR</w:t>
            </w:r>
          </w:p>
        </w:tc>
      </w:tr>
      <w:tr w:rsidR="00713975" w:rsidRPr="00B2571D" w14:paraId="6DE2E91C" w14:textId="77777777" w:rsidTr="00B2571D">
        <w:tc>
          <w:tcPr>
            <w:tcW w:w="2405" w:type="dxa"/>
            <w:vAlign w:val="center"/>
          </w:tcPr>
          <w:p w14:paraId="394A6077" w14:textId="77777777" w:rsidR="00713975" w:rsidRPr="00B2571D" w:rsidRDefault="00713975" w:rsidP="008D2A15">
            <w:pPr>
              <w:rPr>
                <w:rFonts w:cs="Open Sans"/>
                <w:sz w:val="18"/>
                <w:szCs w:val="18"/>
              </w:rPr>
            </w:pPr>
            <w:r w:rsidRPr="00B2571D">
              <w:rPr>
                <w:rFonts w:cs="Open Sans"/>
                <w:sz w:val="18"/>
                <w:szCs w:val="18"/>
              </w:rPr>
              <w:lastRenderedPageBreak/>
              <w:t>5.4 Dans quelle mesure le projet a-t-il développé des modèles générateurs de revenus pour assurer des moyens de subsistance durables et le déploiement d'investissements d'ancrage dans l'énergie propre pour aider à répondre aux besoins financiers et de développement à long terme ?</w:t>
            </w:r>
          </w:p>
        </w:tc>
        <w:tc>
          <w:tcPr>
            <w:tcW w:w="3265" w:type="dxa"/>
            <w:vAlign w:val="center"/>
          </w:tcPr>
          <w:p w14:paraId="75637717"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Les modèles économiques développés (investissement hydroélectrique, facilité REDD+, entreprises locales) sont-ils financièrement durables ?</w:t>
            </w:r>
          </w:p>
          <w:p w14:paraId="03DCA09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Les mécanismes de financement mixte établis permettent-ils l'autonomie financière progressive des interventions ?</w:t>
            </w:r>
          </w:p>
          <w:p w14:paraId="4209CF2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Les revenus générés sont-ils suffisants pour répondre aux besoins de développement identifiés ?</w:t>
            </w:r>
          </w:p>
        </w:tc>
        <w:tc>
          <w:tcPr>
            <w:tcW w:w="2410" w:type="dxa"/>
            <w:vAlign w:val="center"/>
          </w:tcPr>
          <w:p w14:paraId="0D5C95D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Modèles financiers et projections de revenus des différents instruments développés</w:t>
            </w:r>
          </w:p>
          <w:p w14:paraId="33EBF81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Rapports financiers sur les revenus effectivement générés par les investissements</w:t>
            </w:r>
          </w:p>
          <w:p w14:paraId="7E999F0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UNCDF</w:t>
            </w:r>
          </w:p>
          <w:p w14:paraId="66761E5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Fondation</w:t>
            </w:r>
          </w:p>
          <w:p w14:paraId="5C75D66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Partenaires privés</w:t>
            </w:r>
          </w:p>
        </w:tc>
        <w:tc>
          <w:tcPr>
            <w:tcW w:w="2268" w:type="dxa"/>
            <w:vAlign w:val="center"/>
          </w:tcPr>
          <w:p w14:paraId="2FAE0F9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documentaire</w:t>
            </w:r>
          </w:p>
          <w:p w14:paraId="439A0C1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Entretiens avec UNCDF, Fondation, partenaires privés</w:t>
            </w:r>
          </w:p>
        </w:tc>
        <w:tc>
          <w:tcPr>
            <w:tcW w:w="2269" w:type="dxa"/>
            <w:vAlign w:val="center"/>
          </w:tcPr>
          <w:p w14:paraId="07CDE90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Montant des revenus annuels générés par les modèles économiques</w:t>
            </w:r>
          </w:p>
          <w:p w14:paraId="017281C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Retours sur investissement des instruments</w:t>
            </w:r>
          </w:p>
          <w:p w14:paraId="20E8570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Pourcentage d'autofinancement atteint vs dépendance aux financements externes</w:t>
            </w:r>
          </w:p>
        </w:tc>
        <w:tc>
          <w:tcPr>
            <w:tcW w:w="2438" w:type="dxa"/>
            <w:vAlign w:val="center"/>
          </w:tcPr>
          <w:p w14:paraId="0C605F5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Modélisation financière de la viabilité à long terme des mécanismes développés</w:t>
            </w:r>
          </w:p>
          <w:p w14:paraId="6835AAB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 sensibilité des modèles économiques aux variations de contexte</w:t>
            </w:r>
          </w:p>
        </w:tc>
      </w:tr>
      <w:tr w:rsidR="00713975" w:rsidRPr="00B2571D" w14:paraId="2A376D5C" w14:textId="77777777" w:rsidTr="00B2571D">
        <w:tc>
          <w:tcPr>
            <w:tcW w:w="2405" w:type="dxa"/>
            <w:vAlign w:val="center"/>
          </w:tcPr>
          <w:p w14:paraId="3515C95D" w14:textId="77777777" w:rsidR="00713975" w:rsidRPr="00B2571D" w:rsidRDefault="00713975" w:rsidP="008D2A15">
            <w:pPr>
              <w:rPr>
                <w:rFonts w:cs="Open Sans"/>
                <w:sz w:val="18"/>
                <w:szCs w:val="18"/>
              </w:rPr>
            </w:pPr>
            <w:r w:rsidRPr="00B2571D">
              <w:rPr>
                <w:rFonts w:cs="Open Sans"/>
                <w:sz w:val="18"/>
                <w:szCs w:val="18"/>
              </w:rPr>
              <w:t xml:space="preserve">5.5 Dans quelle mesure les résultats du programme ont-ils contribué ou sont-ils </w:t>
            </w:r>
            <w:r w:rsidRPr="00B2571D">
              <w:rPr>
                <w:rFonts w:cs="Open Sans"/>
                <w:sz w:val="18"/>
                <w:szCs w:val="18"/>
              </w:rPr>
              <w:lastRenderedPageBreak/>
              <w:t>susceptibles de contribuer à la création d'un environnement favorable à une paix durable dans le parc national de la Kibira par le déploiement d'une stratégie combinée et séquencée de protection, d'investissement et de REDD+ ?</w:t>
            </w:r>
          </w:p>
        </w:tc>
        <w:tc>
          <w:tcPr>
            <w:tcW w:w="3265" w:type="dxa"/>
            <w:vAlign w:val="center"/>
          </w:tcPr>
          <w:p w14:paraId="1FDAC7B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 xml:space="preserve">La logique séquentielle théorisée (protection </w:t>
            </w:r>
            <w:r w:rsidRPr="00B2571D">
              <w:rPr>
                <w:rFonts w:ascii="Arial" w:hAnsi="Arial" w:cs="Arial"/>
                <w:sz w:val="18"/>
                <w:szCs w:val="18"/>
              </w:rPr>
              <w:t>→</w:t>
            </w:r>
            <w:r w:rsidRPr="00B2571D">
              <w:rPr>
                <w:rFonts w:cs="Open Sans"/>
                <w:sz w:val="18"/>
                <w:szCs w:val="18"/>
              </w:rPr>
              <w:t xml:space="preserve"> investissement </w:t>
            </w:r>
            <w:r w:rsidRPr="00B2571D">
              <w:rPr>
                <w:rFonts w:ascii="Arial" w:hAnsi="Arial" w:cs="Arial"/>
                <w:sz w:val="18"/>
                <w:szCs w:val="18"/>
              </w:rPr>
              <w:t>→</w:t>
            </w:r>
            <w:r w:rsidRPr="00B2571D">
              <w:rPr>
                <w:rFonts w:cs="Open Sans"/>
                <w:sz w:val="18"/>
                <w:szCs w:val="18"/>
              </w:rPr>
              <w:t xml:space="preserve"> REDD+) fonctionne-t-elle comme prévu dans la pratique ?</w:t>
            </w:r>
          </w:p>
          <w:p w14:paraId="272D2DB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Les conditions préalables à une paix durable (gouvernance inclusive, opportunités économiques, gestion durable des ressources) sont-elles réunies ?</w:t>
            </w:r>
          </w:p>
          <w:p w14:paraId="0B3EDA9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Dans quelle mesure l'approche intégrée du projet a-t-elle transformé les dynamiques de conflit dans le </w:t>
            </w:r>
            <w:proofErr w:type="gramStart"/>
            <w:r w:rsidRPr="00B2571D">
              <w:rPr>
                <w:rFonts w:cs="Open Sans"/>
                <w:sz w:val="18"/>
                <w:szCs w:val="18"/>
              </w:rPr>
              <w:t>parc?</w:t>
            </w:r>
            <w:proofErr w:type="gramEnd"/>
          </w:p>
        </w:tc>
        <w:tc>
          <w:tcPr>
            <w:tcW w:w="2410" w:type="dxa"/>
            <w:vAlign w:val="center"/>
          </w:tcPr>
          <w:p w14:paraId="0553721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Indicateurs sur les perceptions de paix et sécurité</w:t>
            </w:r>
          </w:p>
          <w:p w14:paraId="6D4BF95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OBPE, autorités locales, leaders communautaires</w:t>
            </w:r>
          </w:p>
          <w:p w14:paraId="16AAB3B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Communautés </w:t>
            </w:r>
          </w:p>
        </w:tc>
        <w:tc>
          <w:tcPr>
            <w:tcW w:w="2268" w:type="dxa"/>
            <w:vAlign w:val="center"/>
          </w:tcPr>
          <w:p w14:paraId="2DBE27D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Analyse documentaire</w:t>
            </w:r>
          </w:p>
          <w:p w14:paraId="730A1B5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Entretiens avec OBPE, partenaires de mise en œuvre, autorités </w:t>
            </w:r>
            <w:r w:rsidRPr="00B2571D">
              <w:rPr>
                <w:rFonts w:cs="Open Sans"/>
                <w:sz w:val="18"/>
                <w:szCs w:val="18"/>
              </w:rPr>
              <w:lastRenderedPageBreak/>
              <w:t>locales, leaders communautaires</w:t>
            </w:r>
          </w:p>
          <w:p w14:paraId="65C7F56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 Focus groups avec communautés </w:t>
            </w:r>
          </w:p>
          <w:p w14:paraId="431F5D8B" w14:textId="77777777" w:rsidR="00713975" w:rsidRPr="00B2571D" w:rsidRDefault="00713975" w:rsidP="008D2A15">
            <w:pPr>
              <w:rPr>
                <w:rFonts w:cs="Open Sans"/>
                <w:sz w:val="18"/>
                <w:szCs w:val="18"/>
              </w:rPr>
            </w:pPr>
          </w:p>
        </w:tc>
        <w:tc>
          <w:tcPr>
            <w:tcW w:w="2269" w:type="dxa"/>
            <w:vAlign w:val="center"/>
          </w:tcPr>
          <w:p w14:paraId="25547C8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 xml:space="preserve">Nombre d'incidents de sécurité </w:t>
            </w:r>
          </w:p>
          <w:p w14:paraId="353946F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Perceptions de paix durable par les communautés locales</w:t>
            </w:r>
          </w:p>
          <w:p w14:paraId="716547DA"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Mécanismes de paix fonctionnels</w:t>
            </w:r>
          </w:p>
          <w:p w14:paraId="55825E4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p>
        </w:tc>
        <w:tc>
          <w:tcPr>
            <w:tcW w:w="2438" w:type="dxa"/>
            <w:vAlign w:val="center"/>
          </w:tcPr>
          <w:p w14:paraId="0567627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Analyse de la théorie du changement et de sa validation dans la pratique</w:t>
            </w:r>
          </w:p>
          <w:p w14:paraId="6A38800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proofErr w:type="gramStart"/>
            <w:r w:rsidRPr="00B2571D">
              <w:rPr>
                <w:rFonts w:cs="Open Sans"/>
                <w:sz w:val="18"/>
                <w:szCs w:val="18"/>
              </w:rPr>
              <w:lastRenderedPageBreak/>
              <w:t>es</w:t>
            </w:r>
            <w:proofErr w:type="gramEnd"/>
            <w:r w:rsidRPr="00B2571D">
              <w:rPr>
                <w:rFonts w:cs="Open Sans"/>
                <w:sz w:val="18"/>
                <w:szCs w:val="18"/>
              </w:rPr>
              <w:t xml:space="preserve"> interactions entre les trois piliers (protection, investissement, REDD+)</w:t>
            </w:r>
          </w:p>
          <w:p w14:paraId="1494C43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 contribution du projet aux changements d'environnement de paix observés</w:t>
            </w:r>
          </w:p>
        </w:tc>
      </w:tr>
      <w:tr w:rsidR="00713975" w:rsidRPr="00B2571D" w14:paraId="3CB3B167" w14:textId="77777777" w:rsidTr="00B2571D">
        <w:tc>
          <w:tcPr>
            <w:tcW w:w="2405" w:type="dxa"/>
            <w:vAlign w:val="center"/>
          </w:tcPr>
          <w:p w14:paraId="2B6B28EE" w14:textId="77777777" w:rsidR="00713975" w:rsidRPr="00B2571D" w:rsidRDefault="00713975" w:rsidP="008D2A15">
            <w:pPr>
              <w:rPr>
                <w:rFonts w:cs="Open Sans"/>
                <w:sz w:val="18"/>
                <w:szCs w:val="18"/>
              </w:rPr>
            </w:pPr>
            <w:r w:rsidRPr="00B2571D">
              <w:rPr>
                <w:rFonts w:cs="Open Sans"/>
                <w:sz w:val="18"/>
                <w:szCs w:val="18"/>
              </w:rPr>
              <w:lastRenderedPageBreak/>
              <w:t>5.6 Dans quelle mesure les résultats du programme contribuent-ils à modifier les attitudes et les comportements à l'égard des droits de l'homme et de l'égalité entre les hommes et les femmes, du handicap et des personnes les plus vulnérables ?</w:t>
            </w:r>
          </w:p>
        </w:tc>
        <w:tc>
          <w:tcPr>
            <w:tcW w:w="3265" w:type="dxa"/>
            <w:vAlign w:val="center"/>
          </w:tcPr>
          <w:p w14:paraId="490E096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Les mécanismes de participation développés (Fondation, CPK) ont-ils effectivement renforcé l'inclusion des groupes vulnérables ? </w:t>
            </w:r>
          </w:p>
          <w:p w14:paraId="3A8A9CB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Comment le projet a-t-il contribué à déconstruire les stéréotypes et discriminations existants ?</w:t>
            </w:r>
          </w:p>
          <w:p w14:paraId="72A9EC9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Dans quelle mesure les attitudes envers les </w:t>
            </w:r>
            <w:proofErr w:type="spellStart"/>
            <w:r w:rsidRPr="00B2571D">
              <w:rPr>
                <w:rFonts w:cs="Open Sans"/>
                <w:sz w:val="18"/>
                <w:szCs w:val="18"/>
              </w:rPr>
              <w:t>Batwa</w:t>
            </w:r>
            <w:proofErr w:type="spellEnd"/>
            <w:r w:rsidRPr="00B2571D">
              <w:rPr>
                <w:rFonts w:cs="Open Sans"/>
                <w:sz w:val="18"/>
                <w:szCs w:val="18"/>
              </w:rPr>
              <w:t xml:space="preserve"> ont-elles évolué grâce aux activités du projet ?</w:t>
            </w:r>
          </w:p>
        </w:tc>
        <w:tc>
          <w:tcPr>
            <w:tcW w:w="2410" w:type="dxa"/>
            <w:vAlign w:val="center"/>
          </w:tcPr>
          <w:p w14:paraId="7BE6693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Rapports de progrès</w:t>
            </w:r>
          </w:p>
          <w:p w14:paraId="515E853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Rapports de suivi des partenaires </w:t>
            </w:r>
          </w:p>
          <w:p w14:paraId="322A92E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Groupes vulnérables</w:t>
            </w:r>
          </w:p>
        </w:tc>
        <w:tc>
          <w:tcPr>
            <w:tcW w:w="2268" w:type="dxa"/>
            <w:vAlign w:val="center"/>
          </w:tcPr>
          <w:p w14:paraId="2651CF8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documentaire</w:t>
            </w:r>
          </w:p>
          <w:p w14:paraId="2B9254D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Entretiens avec les partenaires de mise en œuvre et les leaders communautaires</w:t>
            </w:r>
          </w:p>
          <w:p w14:paraId="27CC9E4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Focus groups avec les communautés, y compris les groupes vulnérables </w:t>
            </w:r>
          </w:p>
          <w:p w14:paraId="6FE2020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Observations directes </w:t>
            </w:r>
          </w:p>
        </w:tc>
        <w:tc>
          <w:tcPr>
            <w:tcW w:w="2269" w:type="dxa"/>
            <w:vAlign w:val="center"/>
          </w:tcPr>
          <w:p w14:paraId="4C73E13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Taux de participation effective des groupes vulnérables à la Fondation et aux CPK</w:t>
            </w:r>
          </w:p>
          <w:p w14:paraId="1494CB3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Niveau de perception de l’inclusion par les groupes vulnérables</w:t>
            </w:r>
          </w:p>
          <w:p w14:paraId="2B43A4B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Nombre de violations / discriminations rapportées </w:t>
            </w:r>
          </w:p>
        </w:tc>
        <w:tc>
          <w:tcPr>
            <w:tcW w:w="2438" w:type="dxa"/>
            <w:vAlign w:val="center"/>
          </w:tcPr>
          <w:p w14:paraId="5D13B84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Analyse comparative avant/après des attitudes et comportements </w:t>
            </w:r>
          </w:p>
          <w:p w14:paraId="58908E6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des mécanismes causaux reliant activités du projet et changements d'attitudes</w:t>
            </w:r>
          </w:p>
        </w:tc>
      </w:tr>
      <w:tr w:rsidR="00713975" w:rsidRPr="00B2571D" w14:paraId="4F9EEC34" w14:textId="77777777" w:rsidTr="00B2571D">
        <w:tc>
          <w:tcPr>
            <w:tcW w:w="2405" w:type="dxa"/>
            <w:vAlign w:val="center"/>
          </w:tcPr>
          <w:p w14:paraId="54A987CB" w14:textId="77777777" w:rsidR="00713975" w:rsidRPr="00B2571D" w:rsidRDefault="00713975" w:rsidP="008D2A15">
            <w:pPr>
              <w:rPr>
                <w:rFonts w:cs="Open Sans"/>
                <w:sz w:val="18"/>
                <w:szCs w:val="18"/>
              </w:rPr>
            </w:pPr>
            <w:r w:rsidRPr="00B2571D">
              <w:rPr>
                <w:rFonts w:cs="Open Sans"/>
                <w:sz w:val="18"/>
                <w:szCs w:val="18"/>
              </w:rPr>
              <w:t xml:space="preserve">5.7 Le projet a-t-il été un catalyseur sur le plan financier et/ou programmatique ? Le financement du projet a-t-il été utilisé pour élargir d'autres travaux de consolidation de la paix et/ou a-t-il aidé à créer des </w:t>
            </w:r>
            <w:r w:rsidRPr="00B2571D">
              <w:rPr>
                <w:rFonts w:cs="Open Sans"/>
                <w:sz w:val="18"/>
                <w:szCs w:val="18"/>
              </w:rPr>
              <w:lastRenderedPageBreak/>
              <w:t>plateformes plus larges pour la consolidation de la paix ?</w:t>
            </w:r>
          </w:p>
        </w:tc>
        <w:tc>
          <w:tcPr>
            <w:tcW w:w="3265" w:type="dxa"/>
            <w:vAlign w:val="center"/>
          </w:tcPr>
          <w:p w14:paraId="06CB6C9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Dans quelle mesure le financement du projet a-t-il mobilisé des cofinancements additionnels (publics et privés) ?</w:t>
            </w:r>
          </w:p>
          <w:p w14:paraId="45126BC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 projet a-t-il inspiré / facilité le développement d'autres initiatives de consolidation de la paix au Burundi ou dans la région ?</w:t>
            </w:r>
          </w:p>
          <w:p w14:paraId="6EBE43C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Le projet a-t-il contribué à renforcer les plateformes nationales ou régionales de consolidation de la paix ?</w:t>
            </w:r>
          </w:p>
        </w:tc>
        <w:tc>
          <w:tcPr>
            <w:tcW w:w="2410" w:type="dxa"/>
            <w:vAlign w:val="center"/>
          </w:tcPr>
          <w:p w14:paraId="143A2A5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Documentation des cofinancements mobilisés directement ou indirectement par le projet</w:t>
            </w:r>
          </w:p>
          <w:p w14:paraId="1678175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Correspondances et accords avec d'autres bailleurs et programmes</w:t>
            </w:r>
          </w:p>
          <w:p w14:paraId="182336A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 xml:space="preserve">UNCDF, PBF et institutions nationales </w:t>
            </w:r>
          </w:p>
        </w:tc>
        <w:tc>
          <w:tcPr>
            <w:tcW w:w="2268" w:type="dxa"/>
            <w:vAlign w:val="center"/>
          </w:tcPr>
          <w:p w14:paraId="19F3547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Analyse documentaire</w:t>
            </w:r>
          </w:p>
          <w:p w14:paraId="26FB555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Entretiens avec UNCDF et PBF</w:t>
            </w:r>
          </w:p>
          <w:p w14:paraId="130669E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Entretiens avec le ministère de l’environnement</w:t>
            </w:r>
          </w:p>
          <w:p w14:paraId="7818FD8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Entretiens avec les partenaires techniques et financiers </w:t>
            </w:r>
          </w:p>
        </w:tc>
        <w:tc>
          <w:tcPr>
            <w:tcW w:w="2269" w:type="dxa"/>
            <w:vAlign w:val="center"/>
          </w:tcPr>
          <w:p w14:paraId="71C342F7"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Ratio de mobilisation financière</w:t>
            </w:r>
          </w:p>
          <w:p w14:paraId="6AECE19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Nombre d'initiatives de consolidation de la paix inspirées par les approches du projet</w:t>
            </w:r>
          </w:p>
          <w:p w14:paraId="1C97FC7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Nombre de politiques/stratégies nationales influencées </w:t>
            </w:r>
            <w:r w:rsidRPr="00B2571D">
              <w:rPr>
                <w:rFonts w:cs="Open Sans"/>
                <w:sz w:val="18"/>
                <w:szCs w:val="18"/>
              </w:rPr>
              <w:lastRenderedPageBreak/>
              <w:t>par les innovations du projet</w:t>
            </w:r>
          </w:p>
        </w:tc>
        <w:tc>
          <w:tcPr>
            <w:tcW w:w="2438" w:type="dxa"/>
            <w:vAlign w:val="center"/>
          </w:tcPr>
          <w:p w14:paraId="0DBCE5C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Analyse de la chaîne de valeur de l'effet catalytique</w:t>
            </w:r>
          </w:p>
          <w:p w14:paraId="22C8C66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Évaluation de la contribution vs attribution dans les changements catalysés</w:t>
            </w:r>
          </w:p>
          <w:p w14:paraId="0B6F806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Analyse de la diffusion et de l'appropriation des innovations développées</w:t>
            </w:r>
          </w:p>
        </w:tc>
      </w:tr>
      <w:tr w:rsidR="00713975" w:rsidRPr="00B2571D" w14:paraId="6E937123" w14:textId="77777777" w:rsidTr="00B2571D">
        <w:tc>
          <w:tcPr>
            <w:tcW w:w="15055" w:type="dxa"/>
            <w:gridSpan w:val="6"/>
            <w:shd w:val="clear" w:color="auto" w:fill="B4C6E7" w:themeFill="accent5" w:themeFillTint="66"/>
          </w:tcPr>
          <w:p w14:paraId="1ED8647A" w14:textId="77777777" w:rsidR="00713975" w:rsidRPr="00B2571D" w:rsidRDefault="00713975" w:rsidP="008D2A15">
            <w:pPr>
              <w:rPr>
                <w:rFonts w:cs="Open Sans"/>
                <w:b/>
                <w:bCs/>
                <w:sz w:val="18"/>
                <w:szCs w:val="18"/>
              </w:rPr>
            </w:pPr>
            <w:r w:rsidRPr="00B2571D">
              <w:rPr>
                <w:rFonts w:cs="Open Sans"/>
                <w:b/>
                <w:bCs/>
                <w:sz w:val="18"/>
                <w:szCs w:val="18"/>
              </w:rPr>
              <w:lastRenderedPageBreak/>
              <w:t xml:space="preserve">Critère 6 : Durabilité   </w:t>
            </w:r>
          </w:p>
        </w:tc>
      </w:tr>
      <w:tr w:rsidR="00713975" w:rsidRPr="00B2571D" w14:paraId="22D48F12" w14:textId="77777777" w:rsidTr="00B2571D">
        <w:tc>
          <w:tcPr>
            <w:tcW w:w="2405" w:type="dxa"/>
            <w:vAlign w:val="center"/>
          </w:tcPr>
          <w:p w14:paraId="29683D3C" w14:textId="77777777" w:rsidR="00713975" w:rsidRPr="00B2571D" w:rsidRDefault="00713975" w:rsidP="008D2A15">
            <w:pPr>
              <w:rPr>
                <w:rFonts w:cs="Open Sans"/>
                <w:sz w:val="18"/>
                <w:szCs w:val="18"/>
              </w:rPr>
            </w:pPr>
            <w:r w:rsidRPr="00B2571D">
              <w:rPr>
                <w:rFonts w:cs="Open Sans"/>
                <w:sz w:val="18"/>
                <w:szCs w:val="18"/>
              </w:rPr>
              <w:t>6.1 Dans quelle mesure les changements dans les facteurs interdépendants des conflits locaux et de la déforestation et de dégradation forestière (cohésion sociale, gouvernance locale et conservation de la forêt) sont-ils susceptibles de se poursuivre dans le temps ?</w:t>
            </w:r>
          </w:p>
        </w:tc>
        <w:tc>
          <w:tcPr>
            <w:tcW w:w="3265" w:type="dxa"/>
            <w:vAlign w:val="center"/>
          </w:tcPr>
          <w:p w14:paraId="1F01E17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Les mécanismes créés (Fondation Kibira, CPK) ont-elles la capacité institutionnelle et financière de maintenir leurs activités après la fin du projet ?</w:t>
            </w:r>
          </w:p>
          <w:p w14:paraId="263374B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Dans quelle mesure les communautés se </w:t>
            </w:r>
            <w:proofErr w:type="gramStart"/>
            <w:r w:rsidRPr="00B2571D">
              <w:rPr>
                <w:rFonts w:cs="Open Sans"/>
                <w:sz w:val="18"/>
                <w:szCs w:val="18"/>
              </w:rPr>
              <w:t>sont-elles</w:t>
            </w:r>
            <w:proofErr w:type="gramEnd"/>
            <w:r w:rsidRPr="00B2571D">
              <w:rPr>
                <w:rFonts w:cs="Open Sans"/>
                <w:sz w:val="18"/>
                <w:szCs w:val="18"/>
              </w:rPr>
              <w:t xml:space="preserve"> appropriées les nouveaux mécanismes de </w:t>
            </w:r>
            <w:proofErr w:type="gramStart"/>
            <w:r w:rsidRPr="00B2571D">
              <w:rPr>
                <w:rFonts w:cs="Open Sans"/>
                <w:sz w:val="18"/>
                <w:szCs w:val="18"/>
              </w:rPr>
              <w:t>gouvernance?</w:t>
            </w:r>
            <w:proofErr w:type="gramEnd"/>
          </w:p>
          <w:p w14:paraId="1F105157"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Les changements observés dans les comportements et attitudes vis-à-vis de la conservation sont-ils durables ?</w:t>
            </w:r>
          </w:p>
          <w:p w14:paraId="500D426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Les facteurs externes (politique, économique, climatique) qui pourraient fragiliser les acquis du projet sont-ils anticipés et gérés ?</w:t>
            </w:r>
          </w:p>
        </w:tc>
        <w:tc>
          <w:tcPr>
            <w:tcW w:w="2410" w:type="dxa"/>
            <w:vAlign w:val="center"/>
          </w:tcPr>
          <w:p w14:paraId="27BA6F4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Documents sur la Fondation et les CPK</w:t>
            </w:r>
          </w:p>
          <w:p w14:paraId="364B86D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Autorités locales </w:t>
            </w:r>
          </w:p>
          <w:p w14:paraId="0A8047EA"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Leaders communautaires</w:t>
            </w:r>
          </w:p>
          <w:p w14:paraId="765387C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Communautés </w:t>
            </w:r>
          </w:p>
        </w:tc>
        <w:tc>
          <w:tcPr>
            <w:tcW w:w="2268" w:type="dxa"/>
            <w:vAlign w:val="center"/>
          </w:tcPr>
          <w:p w14:paraId="7D8C470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documentaire</w:t>
            </w:r>
          </w:p>
          <w:p w14:paraId="098E269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Entretiens avec les partenaires de mise en œuvre, la Fondation Kibira et les leaders communautaires</w:t>
            </w:r>
          </w:p>
          <w:p w14:paraId="2D6A841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Focus groups avec les membres CPK </w:t>
            </w:r>
          </w:p>
          <w:p w14:paraId="6A59F9A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Focus groups avec les communautés</w:t>
            </w:r>
          </w:p>
        </w:tc>
        <w:tc>
          <w:tcPr>
            <w:tcW w:w="2269" w:type="dxa"/>
            <w:vAlign w:val="center"/>
          </w:tcPr>
          <w:p w14:paraId="18CCA98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Niveau de fonctionnement de la Fondation et des CPK (réunions, </w:t>
            </w:r>
            <w:proofErr w:type="gramStart"/>
            <w:r w:rsidRPr="00B2571D">
              <w:rPr>
                <w:rFonts w:cs="Open Sans"/>
                <w:sz w:val="18"/>
                <w:szCs w:val="18"/>
              </w:rPr>
              <w:t>décisions,…</w:t>
            </w:r>
            <w:proofErr w:type="gramEnd"/>
            <w:r w:rsidRPr="00B2571D">
              <w:rPr>
                <w:rFonts w:cs="Open Sans"/>
                <w:sz w:val="18"/>
                <w:szCs w:val="18"/>
              </w:rPr>
              <w:t>)</w:t>
            </w:r>
          </w:p>
          <w:p w14:paraId="7E90A30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Taux d'appropriation communautaire des innovations</w:t>
            </w:r>
          </w:p>
          <w:p w14:paraId="0DCABDC7"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Facteurs de risque pour la durabilité</w:t>
            </w:r>
          </w:p>
        </w:tc>
        <w:tc>
          <w:tcPr>
            <w:tcW w:w="2438" w:type="dxa"/>
            <w:vAlign w:val="center"/>
          </w:tcPr>
          <w:p w14:paraId="35DF2F5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 la théorie du changement à long terme</w:t>
            </w:r>
          </w:p>
          <w:p w14:paraId="4E290C3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 la durabilité institutionnelle et financière des mécanismes</w:t>
            </w:r>
          </w:p>
          <w:p w14:paraId="17C605A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des conditions minimales nécessaires pour maintenir les acquis</w:t>
            </w:r>
          </w:p>
        </w:tc>
      </w:tr>
      <w:tr w:rsidR="00713975" w:rsidRPr="00B2571D" w14:paraId="6A73A23C" w14:textId="77777777" w:rsidTr="00B2571D">
        <w:tc>
          <w:tcPr>
            <w:tcW w:w="2405" w:type="dxa"/>
            <w:vAlign w:val="center"/>
          </w:tcPr>
          <w:p w14:paraId="4F817B7B" w14:textId="77777777" w:rsidR="00713975" w:rsidRPr="00B2571D" w:rsidRDefault="00713975" w:rsidP="008D2A15">
            <w:pPr>
              <w:rPr>
                <w:rFonts w:cs="Open Sans"/>
                <w:sz w:val="18"/>
                <w:szCs w:val="18"/>
              </w:rPr>
            </w:pPr>
            <w:r w:rsidRPr="00B2571D">
              <w:rPr>
                <w:rFonts w:cs="Open Sans"/>
                <w:sz w:val="18"/>
                <w:szCs w:val="18"/>
              </w:rPr>
              <w:t xml:space="preserve">6.2 Dans quelle mesure les changements dans les facteurs structurels de conflit et de recrutement pour des activités illégales ou violentes dans et </w:t>
            </w:r>
            <w:r w:rsidRPr="00B2571D">
              <w:rPr>
                <w:rFonts w:cs="Open Sans"/>
                <w:sz w:val="18"/>
                <w:szCs w:val="18"/>
              </w:rPr>
              <w:lastRenderedPageBreak/>
              <w:t>autour de la forêt de Kibira (par l'accès à des moyens de subsistance durables) sont-ils susceptibles de se poursuivre dans le temps ?</w:t>
            </w:r>
          </w:p>
        </w:tc>
        <w:tc>
          <w:tcPr>
            <w:tcW w:w="3265" w:type="dxa"/>
            <w:vAlign w:val="center"/>
          </w:tcPr>
          <w:p w14:paraId="356B04A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Les activités génératrices de revenus développées sont-elles économiquement viables ?</w:t>
            </w:r>
          </w:p>
          <w:p w14:paraId="659DAAB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Les alternatives économiques créées sont-elles suffisamment attractives pour dissuader </w:t>
            </w:r>
            <w:r w:rsidRPr="00B2571D">
              <w:rPr>
                <w:rFonts w:cs="Open Sans"/>
                <w:sz w:val="18"/>
                <w:szCs w:val="18"/>
              </w:rPr>
              <w:lastRenderedPageBreak/>
              <w:t>durablement le retour aux activités illégales ?</w:t>
            </w:r>
          </w:p>
          <w:p w14:paraId="6CAB35F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Les bénéficiaires ont-ils la capacité d'adapter leurs activités aux changements de contexte ?</w:t>
            </w:r>
          </w:p>
        </w:tc>
        <w:tc>
          <w:tcPr>
            <w:tcW w:w="2410" w:type="dxa"/>
            <w:vAlign w:val="center"/>
          </w:tcPr>
          <w:p w14:paraId="7F4194B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 xml:space="preserve">Données sur les AGR </w:t>
            </w:r>
          </w:p>
          <w:p w14:paraId="11F286C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Partenaires de mise en œuvre</w:t>
            </w:r>
          </w:p>
          <w:p w14:paraId="202820A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Bénéficiaires d’AGR</w:t>
            </w:r>
          </w:p>
        </w:tc>
        <w:tc>
          <w:tcPr>
            <w:tcW w:w="2268" w:type="dxa"/>
            <w:vAlign w:val="center"/>
          </w:tcPr>
          <w:p w14:paraId="3E78B92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Analyse documentaire </w:t>
            </w:r>
          </w:p>
          <w:p w14:paraId="3862C50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Entretiens avec les partenaires de mise en œuvre </w:t>
            </w:r>
          </w:p>
          <w:p w14:paraId="402DBDE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Focus groups avec les bénéficiaires </w:t>
            </w:r>
          </w:p>
        </w:tc>
        <w:tc>
          <w:tcPr>
            <w:tcW w:w="2269" w:type="dxa"/>
            <w:vAlign w:val="center"/>
          </w:tcPr>
          <w:p w14:paraId="35DAA29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Évolution des revenus moyens des bénéficiaires à moyen terme</w:t>
            </w:r>
          </w:p>
          <w:p w14:paraId="1F9BDDE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Taux d’AGR viables </w:t>
            </w:r>
          </w:p>
        </w:tc>
        <w:tc>
          <w:tcPr>
            <w:tcW w:w="2438" w:type="dxa"/>
            <w:vAlign w:val="center"/>
          </w:tcPr>
          <w:p w14:paraId="399DEF5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 l'évolution des moyens de subsistance</w:t>
            </w:r>
          </w:p>
          <w:p w14:paraId="7AF2D9E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économique de la viabilité des AGR</w:t>
            </w:r>
          </w:p>
          <w:p w14:paraId="519F61B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Évaluation de la capacité d'adaptation des bénéficiaires aux changements</w:t>
            </w:r>
          </w:p>
        </w:tc>
      </w:tr>
      <w:tr w:rsidR="00713975" w:rsidRPr="00B2571D" w14:paraId="0C08536B" w14:textId="77777777" w:rsidTr="00B2571D">
        <w:tc>
          <w:tcPr>
            <w:tcW w:w="2405" w:type="dxa"/>
            <w:vAlign w:val="center"/>
          </w:tcPr>
          <w:p w14:paraId="7123B6F4" w14:textId="77777777" w:rsidR="00713975" w:rsidRPr="00B2571D" w:rsidRDefault="00713975" w:rsidP="008D2A15">
            <w:pPr>
              <w:rPr>
                <w:rFonts w:cs="Open Sans"/>
                <w:sz w:val="18"/>
                <w:szCs w:val="18"/>
              </w:rPr>
            </w:pPr>
            <w:r w:rsidRPr="00B2571D">
              <w:rPr>
                <w:rFonts w:cs="Open Sans"/>
                <w:sz w:val="18"/>
                <w:szCs w:val="18"/>
              </w:rPr>
              <w:lastRenderedPageBreak/>
              <w:t>6.3 Dans quelle mesure les changements de l'environnement favorable à une paix durable dans le parc national de la Kibira sont-ils susceptibles de se poursuivre dans le temps ?</w:t>
            </w:r>
          </w:p>
        </w:tc>
        <w:tc>
          <w:tcPr>
            <w:tcW w:w="3265" w:type="dxa"/>
            <w:vAlign w:val="center"/>
          </w:tcPr>
          <w:p w14:paraId="022EA2B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Les facteurs structurels de paix (justice, équité, inclusion, opportunités) ont-ils été suffisamment renforcés pour être durables ? </w:t>
            </w:r>
          </w:p>
          <w:p w14:paraId="5224BB2A"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Les mécanismes de prévention et de résolution des conflits établis peuvent-ils fonctionner de manière autonome ?</w:t>
            </w:r>
          </w:p>
          <w:p w14:paraId="662D2A0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Les acteurs locaux maintiennent-ils leur engagement pour la paix et la conservation ?</w:t>
            </w:r>
          </w:p>
          <w:p w14:paraId="6DB325D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La culture de paix développée au niveau communautaire est-elle suffisamment ancrée pour résister aux tensions futures ?</w:t>
            </w:r>
          </w:p>
        </w:tc>
        <w:tc>
          <w:tcPr>
            <w:tcW w:w="2410" w:type="dxa"/>
            <w:vAlign w:val="center"/>
          </w:tcPr>
          <w:p w14:paraId="0CC073C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Indicateurs sur la paix </w:t>
            </w:r>
          </w:p>
          <w:p w14:paraId="4E25F00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Partenaires de mise en œuvre </w:t>
            </w:r>
          </w:p>
          <w:p w14:paraId="2075535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Acteurs institutionnels et acteurs locaux </w:t>
            </w:r>
          </w:p>
          <w:p w14:paraId="500B2FE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Communautés </w:t>
            </w:r>
          </w:p>
        </w:tc>
        <w:tc>
          <w:tcPr>
            <w:tcW w:w="2268" w:type="dxa"/>
            <w:vAlign w:val="center"/>
          </w:tcPr>
          <w:p w14:paraId="5839C86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Analyse documentaire </w:t>
            </w:r>
          </w:p>
          <w:p w14:paraId="3BCABBB7"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Entretiens avec les partenaires de mise en œuvre </w:t>
            </w:r>
          </w:p>
          <w:p w14:paraId="6B90253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Entretiens avec les acteurs institutionnels et les acteurs locaux </w:t>
            </w:r>
          </w:p>
          <w:p w14:paraId="13F0584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Focus groups Communautés</w:t>
            </w:r>
          </w:p>
        </w:tc>
        <w:tc>
          <w:tcPr>
            <w:tcW w:w="2269" w:type="dxa"/>
            <w:vAlign w:val="center"/>
          </w:tcPr>
          <w:p w14:paraId="067705D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Nombre de conflits résolus de manière pacifique via les mécanismes établis</w:t>
            </w:r>
          </w:p>
          <w:p w14:paraId="1F27DA7B"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Pourcentage de la population exprimant confiance dans la durabilité de la paix</w:t>
            </w:r>
          </w:p>
        </w:tc>
        <w:tc>
          <w:tcPr>
            <w:tcW w:w="2438" w:type="dxa"/>
            <w:vAlign w:val="center"/>
          </w:tcPr>
          <w:p w14:paraId="56F55E3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des facteurs de résilience vs vulnérabilité de l'environnement de paix</w:t>
            </w:r>
          </w:p>
          <w:p w14:paraId="1E2BA93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prospective des menaces potentielles à la paix durable</w:t>
            </w:r>
          </w:p>
        </w:tc>
      </w:tr>
      <w:tr w:rsidR="00713975" w:rsidRPr="00B2571D" w14:paraId="1E0CD53B" w14:textId="77777777" w:rsidTr="00B2571D">
        <w:tc>
          <w:tcPr>
            <w:tcW w:w="2405" w:type="dxa"/>
            <w:vAlign w:val="center"/>
          </w:tcPr>
          <w:p w14:paraId="3674E393" w14:textId="77777777" w:rsidR="00713975" w:rsidRPr="00B2571D" w:rsidRDefault="00713975" w:rsidP="008D2A15">
            <w:pPr>
              <w:rPr>
                <w:rFonts w:cs="Open Sans"/>
                <w:sz w:val="18"/>
                <w:szCs w:val="18"/>
              </w:rPr>
            </w:pPr>
            <w:r w:rsidRPr="00B2571D">
              <w:rPr>
                <w:rFonts w:cs="Open Sans"/>
                <w:sz w:val="18"/>
                <w:szCs w:val="18"/>
              </w:rPr>
              <w:t xml:space="preserve">6.4 Dans quelle mesure les modalités de mise en œuvre du projet (PPP et PSE) sont-elles susceptibles de se </w:t>
            </w:r>
            <w:r w:rsidRPr="00B2571D">
              <w:rPr>
                <w:rFonts w:cs="Open Sans"/>
                <w:sz w:val="18"/>
                <w:szCs w:val="18"/>
              </w:rPr>
              <w:lastRenderedPageBreak/>
              <w:t>poursuivre après la fin de l'intervention ?</w:t>
            </w:r>
          </w:p>
        </w:tc>
        <w:tc>
          <w:tcPr>
            <w:tcW w:w="3265" w:type="dxa"/>
            <w:vAlign w:val="center"/>
          </w:tcPr>
          <w:p w14:paraId="3D4B3E9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 xml:space="preserve">Le partenariat public-privé avec </w:t>
            </w:r>
            <w:proofErr w:type="spellStart"/>
            <w:r w:rsidRPr="00B2571D">
              <w:rPr>
                <w:rFonts w:cs="Open Sans"/>
                <w:sz w:val="18"/>
                <w:szCs w:val="18"/>
              </w:rPr>
              <w:t>Hydroneo</w:t>
            </w:r>
            <w:proofErr w:type="spellEnd"/>
            <w:r w:rsidRPr="00B2571D">
              <w:rPr>
                <w:rFonts w:cs="Open Sans"/>
                <w:sz w:val="18"/>
                <w:szCs w:val="18"/>
              </w:rPr>
              <w:t xml:space="preserve"> est-il contractuellement et financièrement viable à long terme ? </w:t>
            </w:r>
          </w:p>
          <w:p w14:paraId="0AAE006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 xml:space="preserve">Les mécanismes PSE peuvent-ils générer des revenus durables pour financer la conservation ? </w:t>
            </w:r>
          </w:p>
          <w:p w14:paraId="505324F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Le partenaire privé maintient-il leur engagement au-delà des incitations initiales du projet ? </w:t>
            </w:r>
          </w:p>
          <w:p w14:paraId="20BD3F7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Les capacités institutionnelles de gestion des PPP et PSE sont-elles suffisamment développées localement ?</w:t>
            </w:r>
          </w:p>
        </w:tc>
        <w:tc>
          <w:tcPr>
            <w:tcW w:w="2410" w:type="dxa"/>
            <w:vAlign w:val="center"/>
          </w:tcPr>
          <w:p w14:paraId="1738931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 xml:space="preserve">Contrats et accords de partenariat avec </w:t>
            </w:r>
            <w:proofErr w:type="spellStart"/>
            <w:r w:rsidRPr="00B2571D">
              <w:rPr>
                <w:rFonts w:cs="Open Sans"/>
                <w:sz w:val="18"/>
                <w:szCs w:val="18"/>
              </w:rPr>
              <w:t>Hydroneo</w:t>
            </w:r>
            <w:proofErr w:type="spellEnd"/>
          </w:p>
          <w:p w14:paraId="7070CC6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Données sur les des mécanismes PPP et PSE</w:t>
            </w:r>
          </w:p>
          <w:p w14:paraId="325E517A"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proofErr w:type="spellStart"/>
            <w:r w:rsidRPr="00B2571D">
              <w:rPr>
                <w:rFonts w:cs="Open Sans"/>
                <w:sz w:val="18"/>
                <w:szCs w:val="18"/>
              </w:rPr>
              <w:t>Hydroneo</w:t>
            </w:r>
            <w:proofErr w:type="spellEnd"/>
            <w:r w:rsidRPr="00B2571D">
              <w:rPr>
                <w:rFonts w:cs="Open Sans"/>
                <w:sz w:val="18"/>
                <w:szCs w:val="18"/>
              </w:rPr>
              <w:t xml:space="preserve">, Fondation </w:t>
            </w:r>
          </w:p>
          <w:p w14:paraId="676888D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 xml:space="preserve">Ministères  </w:t>
            </w:r>
          </w:p>
        </w:tc>
        <w:tc>
          <w:tcPr>
            <w:tcW w:w="2268" w:type="dxa"/>
            <w:vAlign w:val="center"/>
          </w:tcPr>
          <w:p w14:paraId="3057746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 xml:space="preserve">Analyse documentaire </w:t>
            </w:r>
          </w:p>
          <w:p w14:paraId="261A7A40"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Entretiens avec </w:t>
            </w:r>
            <w:proofErr w:type="spellStart"/>
            <w:r w:rsidRPr="00B2571D">
              <w:rPr>
                <w:rFonts w:cs="Open Sans"/>
                <w:sz w:val="18"/>
                <w:szCs w:val="18"/>
              </w:rPr>
              <w:t>Hydroneo</w:t>
            </w:r>
            <w:proofErr w:type="spellEnd"/>
            <w:r w:rsidRPr="00B2571D">
              <w:rPr>
                <w:rFonts w:cs="Open Sans"/>
                <w:sz w:val="18"/>
                <w:szCs w:val="18"/>
              </w:rPr>
              <w:t>, Fondation, Ministères</w:t>
            </w:r>
          </w:p>
        </w:tc>
        <w:tc>
          <w:tcPr>
            <w:tcW w:w="2269" w:type="dxa"/>
            <w:vAlign w:val="center"/>
          </w:tcPr>
          <w:p w14:paraId="60D0BE5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Taux de rentabilité projeté des investissements PPP et PSE</w:t>
            </w:r>
          </w:p>
          <w:p w14:paraId="4324032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Montant des revenus PSE générés de manière autonome</w:t>
            </w:r>
          </w:p>
        </w:tc>
        <w:tc>
          <w:tcPr>
            <w:tcW w:w="2438" w:type="dxa"/>
            <w:vAlign w:val="center"/>
          </w:tcPr>
          <w:p w14:paraId="579AA5D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Analyse de la viabilité financière des mécanismes PPP/PSE</w:t>
            </w:r>
          </w:p>
          <w:p w14:paraId="62D8464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Analyse des risques et des stratégies </w:t>
            </w:r>
            <w:r w:rsidRPr="00B2571D">
              <w:rPr>
                <w:rFonts w:cs="Open Sans"/>
                <w:sz w:val="18"/>
                <w:szCs w:val="18"/>
              </w:rPr>
              <w:lastRenderedPageBreak/>
              <w:t>d'atténuation pour la durabilité</w:t>
            </w:r>
          </w:p>
        </w:tc>
      </w:tr>
      <w:tr w:rsidR="00713975" w:rsidRPr="00B2571D" w14:paraId="7011CA18" w14:textId="77777777" w:rsidTr="00B2571D">
        <w:tc>
          <w:tcPr>
            <w:tcW w:w="2405" w:type="dxa"/>
            <w:vAlign w:val="center"/>
          </w:tcPr>
          <w:p w14:paraId="6D5CFE30" w14:textId="77777777" w:rsidR="00713975" w:rsidRPr="00B2571D" w:rsidRDefault="00713975" w:rsidP="008D2A15">
            <w:pPr>
              <w:rPr>
                <w:rFonts w:cs="Open Sans"/>
                <w:sz w:val="18"/>
                <w:szCs w:val="18"/>
              </w:rPr>
            </w:pPr>
            <w:r w:rsidRPr="00B2571D">
              <w:rPr>
                <w:rFonts w:cs="Open Sans"/>
                <w:sz w:val="18"/>
                <w:szCs w:val="18"/>
              </w:rPr>
              <w:lastRenderedPageBreak/>
              <w:t>6.5 Dans quelle mesure la conception du programme inclut-elle une stratégie de sortie appropriée pour soutenir les changements positifs dans les domaines des ressources humaines et du genre, des personnes handicapées, des jeunes et des personnes les plus vulnérables (LNOB) après la fin de l'intervention ?</w:t>
            </w:r>
          </w:p>
        </w:tc>
        <w:tc>
          <w:tcPr>
            <w:tcW w:w="3265" w:type="dxa"/>
            <w:vAlign w:val="center"/>
          </w:tcPr>
          <w:p w14:paraId="23907BC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Une stratégie de sortie explicite a-t-elle été conçue et mise en œuvre pour maintenir les acquis en faveur des groupes vulnérables ?</w:t>
            </w:r>
          </w:p>
          <w:p w14:paraId="78E8B94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Les mécanismes d'inclusion développés sont-ils institutionnalisés pour perdurer ?</w:t>
            </w:r>
          </w:p>
          <w:p w14:paraId="1319105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Comment les institutions locales ont-elles intégré de manière durable l'approche "Ne laisser personne de côté" ?</w:t>
            </w:r>
          </w:p>
        </w:tc>
        <w:tc>
          <w:tcPr>
            <w:tcW w:w="2410" w:type="dxa"/>
            <w:vAlign w:val="center"/>
          </w:tcPr>
          <w:p w14:paraId="4395C0E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Document du projet ; </w:t>
            </w:r>
          </w:p>
          <w:p w14:paraId="63159D07"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Stratégie de sortie spécifique aux groupes vulnérables</w:t>
            </w:r>
          </w:p>
          <w:p w14:paraId="4F360A3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Acteurs institutionnels </w:t>
            </w:r>
          </w:p>
          <w:p w14:paraId="673265F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Leaders communautaires</w:t>
            </w:r>
          </w:p>
          <w:p w14:paraId="137EEFA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Groupes vulnérables </w:t>
            </w:r>
          </w:p>
        </w:tc>
        <w:tc>
          <w:tcPr>
            <w:tcW w:w="2268" w:type="dxa"/>
            <w:vAlign w:val="center"/>
          </w:tcPr>
          <w:p w14:paraId="07BDA11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documentaire</w:t>
            </w:r>
          </w:p>
          <w:p w14:paraId="10DA59C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Entretiens avec institutions publiques, acteurs locaux, leaders communautaires</w:t>
            </w:r>
          </w:p>
          <w:p w14:paraId="23B41B3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Focus groups avec communautés / groupes vulnérables </w:t>
            </w:r>
          </w:p>
        </w:tc>
        <w:tc>
          <w:tcPr>
            <w:tcW w:w="2269" w:type="dxa"/>
            <w:vAlign w:val="center"/>
          </w:tcPr>
          <w:p w14:paraId="4F85C01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Existence d'une stratégie de sortie explicite pour chaque groupe vulnérable</w:t>
            </w:r>
          </w:p>
          <w:p w14:paraId="5927E0EA"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Nombre de mécanismes d'inclusion institutionnalisés</w:t>
            </w:r>
          </w:p>
          <w:p w14:paraId="69EC5CA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Nombre d'institutions ayant formellement adopté l'approche LNOB</w:t>
            </w:r>
          </w:p>
        </w:tc>
        <w:tc>
          <w:tcPr>
            <w:tcW w:w="2438" w:type="dxa"/>
            <w:vAlign w:val="center"/>
          </w:tcPr>
          <w:p w14:paraId="2BAC59BA"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Analyse de la pertinence de la stratégie de sortie </w:t>
            </w:r>
          </w:p>
          <w:p w14:paraId="0DFAF83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Evaluation de la durabilité institutionnelle des mécanismes d'inclusion</w:t>
            </w:r>
          </w:p>
        </w:tc>
      </w:tr>
      <w:tr w:rsidR="00713975" w:rsidRPr="00B2571D" w14:paraId="38CB9B13" w14:textId="77777777" w:rsidTr="00B2571D">
        <w:tc>
          <w:tcPr>
            <w:tcW w:w="2405" w:type="dxa"/>
            <w:vAlign w:val="center"/>
          </w:tcPr>
          <w:p w14:paraId="7582F2AD" w14:textId="77777777" w:rsidR="00713975" w:rsidRPr="00B2571D" w:rsidRDefault="00713975" w:rsidP="008D2A15">
            <w:pPr>
              <w:rPr>
                <w:rFonts w:cs="Open Sans"/>
                <w:sz w:val="18"/>
                <w:szCs w:val="18"/>
              </w:rPr>
            </w:pPr>
            <w:r w:rsidRPr="00B2571D">
              <w:rPr>
                <w:rFonts w:cs="Open Sans"/>
                <w:sz w:val="18"/>
                <w:szCs w:val="18"/>
              </w:rPr>
              <w:t xml:space="preserve">6.6 Comment le projet a-t-il amélioré et contribué au développement des capacités nationales afin d'assurer la pertinence </w:t>
            </w:r>
            <w:r w:rsidRPr="00B2571D">
              <w:rPr>
                <w:rFonts w:cs="Open Sans"/>
                <w:sz w:val="18"/>
                <w:szCs w:val="18"/>
              </w:rPr>
              <w:lastRenderedPageBreak/>
              <w:t>des efforts et des avantages ?</w:t>
            </w:r>
          </w:p>
        </w:tc>
        <w:tc>
          <w:tcPr>
            <w:tcW w:w="3265" w:type="dxa"/>
            <w:vAlign w:val="center"/>
          </w:tcPr>
          <w:p w14:paraId="3BA4CFB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Dans quelle mesure les capacités techniques et institutionnelles de l'OBPE et des ministères de l’environnement et de l’énergie ont-elles été durablement renforcées ?</w:t>
            </w:r>
          </w:p>
          <w:p w14:paraId="3CC12C2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Dans quelle mesure le projet a-t-il contribué à l'émergence d'une expertise nationale en approches intégrées paix-environnement ?</w:t>
            </w:r>
          </w:p>
        </w:tc>
        <w:tc>
          <w:tcPr>
            <w:tcW w:w="2410" w:type="dxa"/>
            <w:vAlign w:val="center"/>
          </w:tcPr>
          <w:p w14:paraId="59C755AA"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 xml:space="preserve">Documents sur les formations dispensées </w:t>
            </w:r>
          </w:p>
          <w:p w14:paraId="4F2E4CD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Témoignages des responsables institutionnels sur l'évolution des capacités</w:t>
            </w:r>
          </w:p>
        </w:tc>
        <w:tc>
          <w:tcPr>
            <w:tcW w:w="2268" w:type="dxa"/>
            <w:vAlign w:val="center"/>
          </w:tcPr>
          <w:p w14:paraId="3E47F95A"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documentaire</w:t>
            </w:r>
          </w:p>
          <w:p w14:paraId="6A35D29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Entretiens approfondis avec les responsables institutionnels</w:t>
            </w:r>
          </w:p>
        </w:tc>
        <w:tc>
          <w:tcPr>
            <w:tcW w:w="2269" w:type="dxa"/>
            <w:vAlign w:val="center"/>
          </w:tcPr>
          <w:p w14:paraId="2DDC4C4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de personnes formées encore actives dans leurs institutions</w:t>
            </w:r>
          </w:p>
          <w:p w14:paraId="7767622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des personnes formées ayant amélioré leurs capacités</w:t>
            </w:r>
          </w:p>
          <w:p w14:paraId="542DB05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Nombre d'initiatives autonomes lancées par les institutions grâce aux nouvelles capacités</w:t>
            </w:r>
          </w:p>
        </w:tc>
        <w:tc>
          <w:tcPr>
            <w:tcW w:w="2438" w:type="dxa"/>
            <w:vAlign w:val="center"/>
          </w:tcPr>
          <w:p w14:paraId="77D2AD6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Analyse avant/après des capacités institutionnelles</w:t>
            </w:r>
          </w:p>
          <w:p w14:paraId="68524FC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 contribution au développement de l'expertise nationale</w:t>
            </w:r>
          </w:p>
        </w:tc>
      </w:tr>
      <w:tr w:rsidR="00713975" w:rsidRPr="00B2571D" w14:paraId="360D4E6F" w14:textId="77777777" w:rsidTr="00B2571D">
        <w:tc>
          <w:tcPr>
            <w:tcW w:w="2405" w:type="dxa"/>
            <w:vAlign w:val="center"/>
          </w:tcPr>
          <w:p w14:paraId="7609058F" w14:textId="77777777" w:rsidR="00713975" w:rsidRPr="00B2571D" w:rsidRDefault="00713975" w:rsidP="008D2A15">
            <w:pPr>
              <w:rPr>
                <w:rFonts w:cs="Open Sans"/>
                <w:sz w:val="18"/>
                <w:szCs w:val="18"/>
              </w:rPr>
            </w:pPr>
            <w:r w:rsidRPr="00B2571D">
              <w:rPr>
                <w:rFonts w:cs="Open Sans"/>
                <w:sz w:val="18"/>
                <w:szCs w:val="18"/>
              </w:rPr>
              <w:t>6.7 À quel point le gouvernement et les autres parties prenantes sont-ils engagés à soutenir les résultats de l'appui du PBF et à poursuivre les initiatives ?</w:t>
            </w:r>
          </w:p>
        </w:tc>
        <w:tc>
          <w:tcPr>
            <w:tcW w:w="3265" w:type="dxa"/>
            <w:vAlign w:val="center"/>
          </w:tcPr>
          <w:p w14:paraId="53274119"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Quels engagements formels (budgétaires, politiques, institutionnels) le gouvernement burundais a-t-il pris pour maintenir les acquis du projet ?</w:t>
            </w:r>
          </w:p>
          <w:p w14:paraId="23F9498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Dans quelle mesure les partenaires techniques et financiers manifestent-ils leur intention de poursuivre l'appui aux initiatives développées ? </w:t>
            </w:r>
          </w:p>
          <w:p w14:paraId="2D878E8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Les CPK et la Fondation Kibira ont-ils la volonté et les moyens de maintenir leur engagement ?</w:t>
            </w:r>
          </w:p>
          <w:p w14:paraId="44737E8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Existe-t-il des mécanismes institutionnels garantissant la continuité de l'engagement </w:t>
            </w:r>
            <w:proofErr w:type="spellStart"/>
            <w:r w:rsidRPr="00B2571D">
              <w:rPr>
                <w:rFonts w:cs="Open Sans"/>
                <w:sz w:val="18"/>
                <w:szCs w:val="18"/>
              </w:rPr>
              <w:t>multi-parties</w:t>
            </w:r>
            <w:proofErr w:type="spellEnd"/>
            <w:r w:rsidRPr="00B2571D">
              <w:rPr>
                <w:rFonts w:cs="Open Sans"/>
                <w:sz w:val="18"/>
                <w:szCs w:val="18"/>
              </w:rPr>
              <w:t xml:space="preserve"> prenantes ?</w:t>
            </w:r>
          </w:p>
        </w:tc>
        <w:tc>
          <w:tcPr>
            <w:tcW w:w="2410" w:type="dxa"/>
            <w:vAlign w:val="center"/>
          </w:tcPr>
          <w:p w14:paraId="1DC9BE5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Déclarations et engagements officiels du gouvernement</w:t>
            </w:r>
          </w:p>
          <w:p w14:paraId="5F97B30C"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Témoignages des parties prenantes sur leur engagement futur</w:t>
            </w:r>
          </w:p>
        </w:tc>
        <w:tc>
          <w:tcPr>
            <w:tcW w:w="2268" w:type="dxa"/>
            <w:vAlign w:val="center"/>
          </w:tcPr>
          <w:p w14:paraId="59BCA9FA"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documentaire</w:t>
            </w:r>
          </w:p>
          <w:p w14:paraId="35D1B4C3"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Entretiens avec ministères, autorités locales, Fondation Kibira, secteur privé</w:t>
            </w:r>
          </w:p>
          <w:p w14:paraId="4910679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Entretiens avec PTF </w:t>
            </w:r>
          </w:p>
          <w:p w14:paraId="1563FCE1"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Focus groups avec CPK</w:t>
            </w:r>
          </w:p>
        </w:tc>
        <w:tc>
          <w:tcPr>
            <w:tcW w:w="2269" w:type="dxa"/>
            <w:vAlign w:val="center"/>
          </w:tcPr>
          <w:p w14:paraId="37E90D78"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Allocations budgétaires nationales pour poursuivre les initiatives</w:t>
            </w:r>
          </w:p>
          <w:p w14:paraId="02B6843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Pourcentage d’acteurs ayant confirmé leur intention de poursuivre l'appui</w:t>
            </w:r>
          </w:p>
        </w:tc>
        <w:tc>
          <w:tcPr>
            <w:tcW w:w="2438" w:type="dxa"/>
            <w:vAlign w:val="center"/>
          </w:tcPr>
          <w:p w14:paraId="2EFC1B9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des intérêts et motivations de chaque partie prenante</w:t>
            </w:r>
          </w:p>
          <w:p w14:paraId="18BB13E7"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 la crédibilité et de la portée des engagements pris</w:t>
            </w:r>
          </w:p>
          <w:p w14:paraId="5BF7373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 l'évolution de l'engagement des parties prenantes dans le temps</w:t>
            </w:r>
          </w:p>
        </w:tc>
      </w:tr>
      <w:tr w:rsidR="00713975" w:rsidRPr="00B2571D" w14:paraId="3F54E383" w14:textId="77777777" w:rsidTr="00B2571D">
        <w:tc>
          <w:tcPr>
            <w:tcW w:w="2405" w:type="dxa"/>
            <w:vAlign w:val="center"/>
          </w:tcPr>
          <w:p w14:paraId="3786C6ED" w14:textId="77777777" w:rsidR="00713975" w:rsidRPr="00B2571D" w:rsidRDefault="00713975" w:rsidP="008D2A15">
            <w:pPr>
              <w:rPr>
                <w:rFonts w:cs="Open Sans"/>
                <w:sz w:val="18"/>
                <w:szCs w:val="18"/>
              </w:rPr>
            </w:pPr>
            <w:r w:rsidRPr="00B2571D">
              <w:rPr>
                <w:rFonts w:cs="Open Sans"/>
                <w:sz w:val="18"/>
                <w:szCs w:val="18"/>
              </w:rPr>
              <w:t>6.8 Dans quelle mesure l'approche du projet était-elle nouvelle ou innovante ? Peut-on tirer des leçons pour éclairer des approches similaires ailleurs ?</w:t>
            </w:r>
          </w:p>
        </w:tc>
        <w:tc>
          <w:tcPr>
            <w:tcW w:w="3265" w:type="dxa"/>
            <w:vAlign w:val="center"/>
          </w:tcPr>
          <w:p w14:paraId="488A3A5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Quels éléments de l'approche du projet constituent des innovations par rapport aux pratiques standards de l'UNCDF et du PBF ? </w:t>
            </w:r>
          </w:p>
          <w:p w14:paraId="79EC863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Dans quelle mesure le modèle de financement mixte séquencé (Fondation </w:t>
            </w:r>
            <w:r w:rsidRPr="00B2571D">
              <w:rPr>
                <w:rFonts w:ascii="Arial" w:hAnsi="Arial" w:cs="Arial"/>
                <w:sz w:val="18"/>
                <w:szCs w:val="18"/>
              </w:rPr>
              <w:t>→</w:t>
            </w:r>
            <w:r w:rsidRPr="00B2571D">
              <w:rPr>
                <w:rFonts w:cs="Open Sans"/>
                <w:sz w:val="18"/>
                <w:szCs w:val="18"/>
              </w:rPr>
              <w:t xml:space="preserve"> PPP </w:t>
            </w:r>
            <w:r w:rsidRPr="00B2571D">
              <w:rPr>
                <w:rFonts w:ascii="Arial" w:hAnsi="Arial" w:cs="Arial"/>
                <w:sz w:val="18"/>
                <w:szCs w:val="18"/>
              </w:rPr>
              <w:t>→</w:t>
            </w:r>
            <w:r w:rsidRPr="00B2571D">
              <w:rPr>
                <w:rFonts w:cs="Open Sans"/>
                <w:sz w:val="18"/>
                <w:szCs w:val="18"/>
              </w:rPr>
              <w:t xml:space="preserve"> REDD+) est-il transférable à d'autres contextes ? </w:t>
            </w:r>
          </w:p>
          <w:p w14:paraId="01E72802"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 xml:space="preserve">Comment l'expérience de cogestion des aires protégées avec une fondation locale peut-elle inspirer d'autres régions / pays ? </w:t>
            </w:r>
          </w:p>
          <w:p w14:paraId="1BF697CA"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Quelles leçons spécifiques peuvent être tirées pour améliorer les futures interventions de consolidation de la paix par l'environnement ? </w:t>
            </w:r>
          </w:p>
          <w:p w14:paraId="5E29E9AA"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Dans quelle mesure les innovations développées influencent-elles déjà les politiques et pratiques dans la région ou au niveau international ?</w:t>
            </w:r>
          </w:p>
        </w:tc>
        <w:tc>
          <w:tcPr>
            <w:tcW w:w="2410" w:type="dxa"/>
            <w:vAlign w:val="center"/>
          </w:tcPr>
          <w:p w14:paraId="08F601F7"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lastRenderedPageBreak/>
              <w:t>Document du projet,</w:t>
            </w:r>
          </w:p>
          <w:p w14:paraId="60B6271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Rapports de progrès </w:t>
            </w:r>
          </w:p>
          <w:p w14:paraId="47066656"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Rapports de suivi des partenaires de mise en œuvre </w:t>
            </w:r>
          </w:p>
          <w:p w14:paraId="5B90C7E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UNCDF, PBF, partenaires</w:t>
            </w:r>
          </w:p>
        </w:tc>
        <w:tc>
          <w:tcPr>
            <w:tcW w:w="2268" w:type="dxa"/>
            <w:vAlign w:val="center"/>
          </w:tcPr>
          <w:p w14:paraId="5C52FBBB"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documentaire</w:t>
            </w:r>
          </w:p>
          <w:p w14:paraId="769021F4"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Entretiens avec UNCDF et PBF</w:t>
            </w:r>
          </w:p>
          <w:p w14:paraId="1273727F"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 xml:space="preserve">Entretiens avec PTF </w:t>
            </w:r>
          </w:p>
        </w:tc>
        <w:tc>
          <w:tcPr>
            <w:tcW w:w="2269" w:type="dxa"/>
            <w:vAlign w:val="center"/>
          </w:tcPr>
          <w:p w14:paraId="71FC387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Nombre d'innovations spécifiques identifiées</w:t>
            </w:r>
          </w:p>
          <w:p w14:paraId="7410291D"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Nombre de politiques ou stratégies nationales/internationales influencées</w:t>
            </w:r>
          </w:p>
        </w:tc>
        <w:tc>
          <w:tcPr>
            <w:tcW w:w="2438" w:type="dxa"/>
            <w:vAlign w:val="center"/>
          </w:tcPr>
          <w:p w14:paraId="2B063ABE"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Évaluation de l'originalité et de la pertinence des innovations</w:t>
            </w:r>
          </w:p>
          <w:p w14:paraId="29085295" w14:textId="77777777" w:rsidR="00713975" w:rsidRPr="00B2571D" w:rsidRDefault="00713975" w:rsidP="00357CD2">
            <w:pPr>
              <w:pStyle w:val="ListParagraph"/>
              <w:numPr>
                <w:ilvl w:val="0"/>
                <w:numId w:val="29"/>
              </w:numPr>
              <w:spacing w:before="0" w:after="0" w:line="264" w:lineRule="auto"/>
              <w:ind w:left="172" w:hanging="172"/>
              <w:rPr>
                <w:rFonts w:cs="Open Sans"/>
                <w:sz w:val="18"/>
                <w:szCs w:val="18"/>
              </w:rPr>
            </w:pPr>
            <w:r w:rsidRPr="00B2571D">
              <w:rPr>
                <w:rFonts w:cs="Open Sans"/>
                <w:sz w:val="18"/>
                <w:szCs w:val="18"/>
              </w:rPr>
              <w:t>Analyse de l'influence du projet sur l'évolution des pratiques sectorielles</w:t>
            </w:r>
          </w:p>
        </w:tc>
      </w:tr>
    </w:tbl>
    <w:p w14:paraId="43EE6DDC" w14:textId="77777777" w:rsidR="00713975" w:rsidRDefault="00713975" w:rsidP="000375E8"/>
    <w:p w14:paraId="51FE33FF" w14:textId="77777777" w:rsidR="00713975" w:rsidRDefault="00713975" w:rsidP="000375E8"/>
    <w:p w14:paraId="2E22E8A3" w14:textId="77777777" w:rsidR="00713975" w:rsidRDefault="00713975" w:rsidP="000375E8"/>
    <w:p w14:paraId="11E5F689" w14:textId="77777777" w:rsidR="00713975" w:rsidRDefault="00713975" w:rsidP="000375E8"/>
    <w:p w14:paraId="57AF1AAB" w14:textId="77777777" w:rsidR="0077494A" w:rsidRDefault="0077494A" w:rsidP="000375E8">
      <w:pPr>
        <w:sectPr w:rsidR="0077494A" w:rsidSect="0077494A">
          <w:pgSz w:w="16838" w:h="11906" w:orient="landscape" w:code="9"/>
          <w:pgMar w:top="1440" w:right="1440" w:bottom="1440" w:left="1440" w:header="720" w:footer="720" w:gutter="0"/>
          <w:cols w:space="720"/>
          <w:docGrid w:linePitch="360"/>
        </w:sectPr>
      </w:pPr>
    </w:p>
    <w:p w14:paraId="3F404D3E" w14:textId="49322A13" w:rsidR="003E62D9" w:rsidRDefault="003E62D9" w:rsidP="000375E8">
      <w:pPr>
        <w:pStyle w:val="Heading2"/>
        <w:jc w:val="both"/>
        <w:rPr>
          <w:rFonts w:ascii="Open Sans" w:hAnsi="Open Sans"/>
          <w:color w:val="000099"/>
        </w:rPr>
      </w:pPr>
      <w:bookmarkStart w:id="64" w:name="_Toc216948991"/>
      <w:r w:rsidRPr="000375E8">
        <w:rPr>
          <w:rFonts w:ascii="Open Sans" w:hAnsi="Open Sans"/>
          <w:color w:val="000099"/>
        </w:rPr>
        <w:lastRenderedPageBreak/>
        <w:t>Annex</w:t>
      </w:r>
      <w:r w:rsidR="003663CE">
        <w:rPr>
          <w:rFonts w:ascii="Open Sans" w:hAnsi="Open Sans"/>
          <w:color w:val="000099"/>
        </w:rPr>
        <w:t>e</w:t>
      </w:r>
      <w:r w:rsidRPr="000375E8">
        <w:rPr>
          <w:rFonts w:ascii="Open Sans" w:hAnsi="Open Sans"/>
          <w:color w:val="000099"/>
        </w:rPr>
        <w:t xml:space="preserve"> </w:t>
      </w:r>
      <w:r w:rsidR="003663CE">
        <w:rPr>
          <w:rFonts w:ascii="Open Sans" w:hAnsi="Open Sans"/>
          <w:color w:val="000099"/>
        </w:rPr>
        <w:t>5</w:t>
      </w:r>
      <w:r w:rsidR="000375E8" w:rsidRPr="000375E8">
        <w:rPr>
          <w:rFonts w:ascii="Open Sans" w:hAnsi="Open Sans"/>
          <w:color w:val="000099"/>
        </w:rPr>
        <w:t xml:space="preserve"> </w:t>
      </w:r>
      <w:r w:rsidRPr="000375E8">
        <w:rPr>
          <w:rFonts w:ascii="Open Sans" w:hAnsi="Open Sans"/>
          <w:color w:val="000099"/>
        </w:rPr>
        <w:t>: List</w:t>
      </w:r>
      <w:r w:rsidR="000375E8" w:rsidRPr="000375E8">
        <w:rPr>
          <w:rFonts w:ascii="Open Sans" w:hAnsi="Open Sans"/>
          <w:color w:val="000099"/>
        </w:rPr>
        <w:t>e</w:t>
      </w:r>
      <w:r w:rsidRPr="000375E8">
        <w:rPr>
          <w:rFonts w:ascii="Open Sans" w:hAnsi="Open Sans"/>
          <w:color w:val="000099"/>
        </w:rPr>
        <w:t xml:space="preserve"> </w:t>
      </w:r>
      <w:r w:rsidR="000375E8" w:rsidRPr="000375E8">
        <w:rPr>
          <w:rFonts w:ascii="Open Sans" w:hAnsi="Open Sans"/>
          <w:color w:val="000099"/>
        </w:rPr>
        <w:t>des personnes r</w:t>
      </w:r>
      <w:r w:rsidR="000375E8">
        <w:rPr>
          <w:rFonts w:ascii="Open Sans" w:hAnsi="Open Sans"/>
          <w:color w:val="000099"/>
        </w:rPr>
        <w:t>encontrées</w:t>
      </w:r>
      <w:bookmarkEnd w:id="64"/>
    </w:p>
    <w:p w14:paraId="508AEC6A" w14:textId="77777777" w:rsidR="000375E8" w:rsidRDefault="000375E8" w:rsidP="000375E8"/>
    <w:tbl>
      <w:tblPr>
        <w:tblStyle w:val="TableGrid"/>
        <w:tblW w:w="0" w:type="auto"/>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Look w:val="04A0" w:firstRow="1" w:lastRow="0" w:firstColumn="1" w:lastColumn="0" w:noHBand="0" w:noVBand="1"/>
      </w:tblPr>
      <w:tblGrid>
        <w:gridCol w:w="3256"/>
        <w:gridCol w:w="5670"/>
      </w:tblGrid>
      <w:tr w:rsidR="00E11AB3" w:rsidRPr="007B79AE" w14:paraId="7986AB53" w14:textId="77777777" w:rsidTr="00C373D3">
        <w:trPr>
          <w:trHeight w:val="397"/>
        </w:trPr>
        <w:tc>
          <w:tcPr>
            <w:tcW w:w="3256" w:type="dxa"/>
            <w:tcBorders>
              <w:right w:val="single" w:sz="4" w:space="0" w:color="FFFFFF" w:themeColor="background1"/>
            </w:tcBorders>
            <w:shd w:val="clear" w:color="auto" w:fill="000099"/>
            <w:vAlign w:val="center"/>
          </w:tcPr>
          <w:p w14:paraId="2D7CB17D" w14:textId="77777777" w:rsidR="00E11AB3" w:rsidRPr="007B79AE" w:rsidRDefault="00E11AB3" w:rsidP="008D2A15">
            <w:pPr>
              <w:jc w:val="center"/>
              <w:rPr>
                <w:b/>
                <w:bCs/>
              </w:rPr>
            </w:pPr>
            <w:r w:rsidRPr="007B79AE">
              <w:rPr>
                <w:b/>
                <w:bCs/>
              </w:rPr>
              <w:t xml:space="preserve">Organisme  </w:t>
            </w:r>
          </w:p>
        </w:tc>
        <w:tc>
          <w:tcPr>
            <w:tcW w:w="5670" w:type="dxa"/>
            <w:tcBorders>
              <w:left w:val="single" w:sz="4" w:space="0" w:color="FFFFFF" w:themeColor="background1"/>
            </w:tcBorders>
            <w:shd w:val="clear" w:color="auto" w:fill="000099"/>
            <w:vAlign w:val="center"/>
          </w:tcPr>
          <w:p w14:paraId="23B1DD62" w14:textId="77777777" w:rsidR="00E11AB3" w:rsidRPr="007B79AE" w:rsidRDefault="00E11AB3" w:rsidP="008D2A15">
            <w:pPr>
              <w:jc w:val="center"/>
              <w:rPr>
                <w:b/>
                <w:bCs/>
              </w:rPr>
            </w:pPr>
            <w:r>
              <w:rPr>
                <w:b/>
                <w:bCs/>
              </w:rPr>
              <w:t xml:space="preserve">Personne rencontrée </w:t>
            </w:r>
          </w:p>
        </w:tc>
      </w:tr>
      <w:tr w:rsidR="00E11AB3" w:rsidRPr="003A4ED8" w14:paraId="30BA6D56" w14:textId="77777777" w:rsidTr="00C373D3">
        <w:trPr>
          <w:trHeight w:val="397"/>
        </w:trPr>
        <w:tc>
          <w:tcPr>
            <w:tcW w:w="3256" w:type="dxa"/>
            <w:vAlign w:val="center"/>
          </w:tcPr>
          <w:p w14:paraId="3E678E3B" w14:textId="77777777" w:rsidR="00E11AB3" w:rsidRPr="00E11AB3" w:rsidRDefault="00E11AB3" w:rsidP="00E11AB3">
            <w:pPr>
              <w:rPr>
                <w:szCs w:val="18"/>
              </w:rPr>
            </w:pPr>
            <w:r w:rsidRPr="00E11AB3">
              <w:rPr>
                <w:szCs w:val="18"/>
              </w:rPr>
              <w:t>Unité d’évaluation UNCDF</w:t>
            </w:r>
          </w:p>
        </w:tc>
        <w:tc>
          <w:tcPr>
            <w:tcW w:w="5670" w:type="dxa"/>
            <w:vAlign w:val="center"/>
          </w:tcPr>
          <w:p w14:paraId="25C849AC" w14:textId="77777777" w:rsidR="00E11AB3" w:rsidRDefault="00E11AB3" w:rsidP="00357CD2">
            <w:pPr>
              <w:pStyle w:val="ListParagraph"/>
              <w:numPr>
                <w:ilvl w:val="0"/>
                <w:numId w:val="17"/>
              </w:numPr>
              <w:spacing w:before="0" w:after="0" w:line="264" w:lineRule="auto"/>
              <w:ind w:left="172" w:hanging="172"/>
              <w:rPr>
                <w:szCs w:val="18"/>
              </w:rPr>
            </w:pPr>
            <w:r w:rsidRPr="00E11AB3">
              <w:rPr>
                <w:szCs w:val="18"/>
              </w:rPr>
              <w:t xml:space="preserve">M. Nurettin Cemil Gokpinar </w:t>
            </w:r>
          </w:p>
          <w:p w14:paraId="7E3AE9A3" w14:textId="4B3E2DBE" w:rsidR="00062522" w:rsidRPr="00E11AB3" w:rsidRDefault="005A611B" w:rsidP="00357CD2">
            <w:pPr>
              <w:pStyle w:val="ListParagraph"/>
              <w:numPr>
                <w:ilvl w:val="0"/>
                <w:numId w:val="17"/>
              </w:numPr>
              <w:spacing w:before="0" w:after="0" w:line="264" w:lineRule="auto"/>
              <w:ind w:left="172" w:hanging="172"/>
              <w:rPr>
                <w:szCs w:val="18"/>
              </w:rPr>
            </w:pPr>
            <w:r>
              <w:rPr>
                <w:szCs w:val="18"/>
              </w:rPr>
              <w:t xml:space="preserve">M. </w:t>
            </w:r>
            <w:r w:rsidRPr="005A611B">
              <w:rPr>
                <w:szCs w:val="18"/>
              </w:rPr>
              <w:t>Eduardo Gustale</w:t>
            </w:r>
          </w:p>
          <w:p w14:paraId="0FBF15F7" w14:textId="77777777" w:rsidR="00E11AB3" w:rsidRPr="00E11AB3" w:rsidRDefault="00E11AB3" w:rsidP="00357CD2">
            <w:pPr>
              <w:pStyle w:val="ListParagraph"/>
              <w:numPr>
                <w:ilvl w:val="0"/>
                <w:numId w:val="17"/>
              </w:numPr>
              <w:spacing w:before="0" w:after="0" w:line="264" w:lineRule="auto"/>
              <w:ind w:left="172" w:hanging="172"/>
              <w:rPr>
                <w:szCs w:val="18"/>
              </w:rPr>
            </w:pPr>
            <w:r w:rsidRPr="00E11AB3">
              <w:rPr>
                <w:szCs w:val="18"/>
              </w:rPr>
              <w:t xml:space="preserve">Mme Marianna Gindin </w:t>
            </w:r>
          </w:p>
        </w:tc>
      </w:tr>
      <w:tr w:rsidR="00E11AB3" w:rsidRPr="003A4ED8" w14:paraId="4843C2F8" w14:textId="77777777" w:rsidTr="00C373D3">
        <w:trPr>
          <w:trHeight w:val="397"/>
        </w:trPr>
        <w:tc>
          <w:tcPr>
            <w:tcW w:w="3256" w:type="dxa"/>
            <w:vAlign w:val="center"/>
          </w:tcPr>
          <w:p w14:paraId="7B015674" w14:textId="49EB0205" w:rsidR="00E11AB3" w:rsidRPr="00E11AB3" w:rsidRDefault="00E11AB3" w:rsidP="00E11AB3">
            <w:pPr>
              <w:rPr>
                <w:szCs w:val="18"/>
              </w:rPr>
            </w:pPr>
            <w:r w:rsidRPr="00E11AB3">
              <w:rPr>
                <w:szCs w:val="18"/>
              </w:rPr>
              <w:t xml:space="preserve">UNCDF </w:t>
            </w:r>
          </w:p>
        </w:tc>
        <w:tc>
          <w:tcPr>
            <w:tcW w:w="5670" w:type="dxa"/>
            <w:vAlign w:val="center"/>
          </w:tcPr>
          <w:p w14:paraId="0013C10D" w14:textId="77777777" w:rsidR="00E11AB3" w:rsidRDefault="00E11AB3" w:rsidP="00357CD2">
            <w:pPr>
              <w:pStyle w:val="ListParagraph"/>
              <w:numPr>
                <w:ilvl w:val="0"/>
                <w:numId w:val="17"/>
              </w:numPr>
              <w:spacing w:before="0" w:after="0" w:line="264" w:lineRule="auto"/>
              <w:ind w:left="172" w:hanging="172"/>
              <w:rPr>
                <w:szCs w:val="18"/>
              </w:rPr>
            </w:pPr>
            <w:r w:rsidRPr="00E11AB3">
              <w:rPr>
                <w:szCs w:val="18"/>
              </w:rPr>
              <w:t>M. Theo Way</w:t>
            </w:r>
          </w:p>
          <w:p w14:paraId="6D7E47D6" w14:textId="77777777" w:rsidR="005A611B" w:rsidRDefault="005A611B" w:rsidP="00357CD2">
            <w:pPr>
              <w:pStyle w:val="ListParagraph"/>
              <w:numPr>
                <w:ilvl w:val="0"/>
                <w:numId w:val="17"/>
              </w:numPr>
              <w:spacing w:before="0" w:after="0" w:line="264" w:lineRule="auto"/>
              <w:ind w:left="172" w:hanging="172"/>
              <w:rPr>
                <w:szCs w:val="18"/>
              </w:rPr>
            </w:pPr>
            <w:r w:rsidRPr="00E11AB3">
              <w:rPr>
                <w:szCs w:val="18"/>
              </w:rPr>
              <w:t>Mme Valeria Cerza</w:t>
            </w:r>
          </w:p>
          <w:p w14:paraId="3E439797" w14:textId="77777777" w:rsidR="005A611B" w:rsidRDefault="00564A97" w:rsidP="00357CD2">
            <w:pPr>
              <w:pStyle w:val="ListParagraph"/>
              <w:numPr>
                <w:ilvl w:val="0"/>
                <w:numId w:val="17"/>
              </w:numPr>
              <w:spacing w:before="0" w:after="0" w:line="264" w:lineRule="auto"/>
              <w:ind w:left="172" w:hanging="172"/>
              <w:rPr>
                <w:szCs w:val="18"/>
              </w:rPr>
            </w:pPr>
            <w:r>
              <w:rPr>
                <w:szCs w:val="18"/>
              </w:rPr>
              <w:t xml:space="preserve">Mme </w:t>
            </w:r>
            <w:r w:rsidRPr="00564A97">
              <w:rPr>
                <w:szCs w:val="18"/>
              </w:rPr>
              <w:t>Kawtar Zerouali</w:t>
            </w:r>
          </w:p>
          <w:p w14:paraId="3079B5E4" w14:textId="18C377BB" w:rsidR="00564A97" w:rsidRPr="005A611B" w:rsidRDefault="00564A97" w:rsidP="00357CD2">
            <w:pPr>
              <w:pStyle w:val="ListParagraph"/>
              <w:numPr>
                <w:ilvl w:val="0"/>
                <w:numId w:val="17"/>
              </w:numPr>
              <w:spacing w:before="0" w:after="0" w:line="264" w:lineRule="auto"/>
              <w:ind w:left="172" w:hanging="172"/>
              <w:rPr>
                <w:szCs w:val="18"/>
              </w:rPr>
            </w:pPr>
            <w:r>
              <w:rPr>
                <w:szCs w:val="18"/>
              </w:rPr>
              <w:t xml:space="preserve">M. </w:t>
            </w:r>
            <w:r w:rsidRPr="00564A97">
              <w:rPr>
                <w:szCs w:val="18"/>
              </w:rPr>
              <w:t>Pierre Bardoux</w:t>
            </w:r>
          </w:p>
        </w:tc>
      </w:tr>
      <w:tr w:rsidR="000A762D" w:rsidRPr="003A4ED8" w14:paraId="3903C9E9" w14:textId="77777777" w:rsidTr="00C373D3">
        <w:trPr>
          <w:trHeight w:val="397"/>
        </w:trPr>
        <w:tc>
          <w:tcPr>
            <w:tcW w:w="3256" w:type="dxa"/>
            <w:vAlign w:val="center"/>
          </w:tcPr>
          <w:p w14:paraId="05F45CE7" w14:textId="11B3849A" w:rsidR="000A762D" w:rsidRPr="00E11AB3" w:rsidRDefault="006A1427" w:rsidP="00E11AB3">
            <w:pPr>
              <w:rPr>
                <w:szCs w:val="18"/>
              </w:rPr>
            </w:pPr>
            <w:r>
              <w:rPr>
                <w:szCs w:val="18"/>
              </w:rPr>
              <w:t xml:space="preserve">PBF </w:t>
            </w:r>
          </w:p>
        </w:tc>
        <w:tc>
          <w:tcPr>
            <w:tcW w:w="5670" w:type="dxa"/>
            <w:vAlign w:val="center"/>
          </w:tcPr>
          <w:p w14:paraId="7F69C0E0" w14:textId="77777777" w:rsidR="000A762D" w:rsidRDefault="006A1427" w:rsidP="00357CD2">
            <w:pPr>
              <w:pStyle w:val="ListParagraph"/>
              <w:numPr>
                <w:ilvl w:val="0"/>
                <w:numId w:val="17"/>
              </w:numPr>
              <w:spacing w:before="0" w:after="0" w:line="264" w:lineRule="auto"/>
              <w:ind w:left="172" w:hanging="172"/>
              <w:rPr>
                <w:szCs w:val="18"/>
              </w:rPr>
            </w:pPr>
            <w:r>
              <w:rPr>
                <w:szCs w:val="18"/>
              </w:rPr>
              <w:t xml:space="preserve">M. </w:t>
            </w:r>
            <w:r w:rsidRPr="006A1427">
              <w:rPr>
                <w:szCs w:val="18"/>
              </w:rPr>
              <w:t>Frederick Lamy</w:t>
            </w:r>
          </w:p>
          <w:p w14:paraId="0A9CB621" w14:textId="614C5B02" w:rsidR="006A1427" w:rsidRPr="00E11AB3" w:rsidRDefault="006A1427" w:rsidP="00357CD2">
            <w:pPr>
              <w:pStyle w:val="ListParagraph"/>
              <w:numPr>
                <w:ilvl w:val="0"/>
                <w:numId w:val="17"/>
              </w:numPr>
              <w:spacing w:before="0" w:after="0" w:line="264" w:lineRule="auto"/>
              <w:ind w:left="172" w:hanging="172"/>
              <w:rPr>
                <w:szCs w:val="18"/>
              </w:rPr>
            </w:pPr>
            <w:r>
              <w:rPr>
                <w:szCs w:val="18"/>
              </w:rPr>
              <w:t xml:space="preserve">M. </w:t>
            </w:r>
            <w:r w:rsidRPr="006A1427">
              <w:rPr>
                <w:szCs w:val="18"/>
              </w:rPr>
              <w:t>Patrice Nijebariko</w:t>
            </w:r>
          </w:p>
        </w:tc>
      </w:tr>
      <w:tr w:rsidR="000A762D" w:rsidRPr="003A4ED8" w14:paraId="14999BC1" w14:textId="77777777" w:rsidTr="00C373D3">
        <w:trPr>
          <w:trHeight w:val="397"/>
        </w:trPr>
        <w:tc>
          <w:tcPr>
            <w:tcW w:w="3256" w:type="dxa"/>
            <w:vAlign w:val="center"/>
          </w:tcPr>
          <w:p w14:paraId="5FB6CA82" w14:textId="37C9D54A" w:rsidR="000A762D" w:rsidRPr="00E11AB3" w:rsidRDefault="00C373D3" w:rsidP="00E11AB3">
            <w:pPr>
              <w:rPr>
                <w:szCs w:val="18"/>
              </w:rPr>
            </w:pPr>
            <w:r>
              <w:rPr>
                <w:szCs w:val="18"/>
              </w:rPr>
              <w:t>PBSO</w:t>
            </w:r>
          </w:p>
        </w:tc>
        <w:tc>
          <w:tcPr>
            <w:tcW w:w="5670" w:type="dxa"/>
            <w:vAlign w:val="center"/>
          </w:tcPr>
          <w:p w14:paraId="0283C7EE" w14:textId="10B7BABC" w:rsidR="00C373D3" w:rsidRPr="00C373D3" w:rsidRDefault="00C373D3" w:rsidP="00357CD2">
            <w:pPr>
              <w:pStyle w:val="ListParagraph"/>
              <w:numPr>
                <w:ilvl w:val="0"/>
                <w:numId w:val="17"/>
              </w:numPr>
              <w:spacing w:before="0" w:after="0" w:line="264" w:lineRule="auto"/>
              <w:ind w:left="172" w:hanging="172"/>
              <w:rPr>
                <w:szCs w:val="18"/>
              </w:rPr>
            </w:pPr>
            <w:r>
              <w:rPr>
                <w:szCs w:val="18"/>
              </w:rPr>
              <w:t>Mme Sara Lo</w:t>
            </w:r>
          </w:p>
        </w:tc>
      </w:tr>
      <w:tr w:rsidR="00C373D3" w:rsidRPr="003A4ED8" w14:paraId="3CA59F6A" w14:textId="77777777" w:rsidTr="00C373D3">
        <w:trPr>
          <w:trHeight w:val="397"/>
        </w:trPr>
        <w:tc>
          <w:tcPr>
            <w:tcW w:w="3256" w:type="dxa"/>
            <w:vAlign w:val="center"/>
          </w:tcPr>
          <w:p w14:paraId="74D1E30F" w14:textId="21DF5B7A" w:rsidR="00C373D3" w:rsidRDefault="00C373D3" w:rsidP="00E11AB3">
            <w:pPr>
              <w:rPr>
                <w:szCs w:val="18"/>
              </w:rPr>
            </w:pPr>
            <w:r>
              <w:rPr>
                <w:szCs w:val="18"/>
              </w:rPr>
              <w:t>PNUD</w:t>
            </w:r>
          </w:p>
        </w:tc>
        <w:tc>
          <w:tcPr>
            <w:tcW w:w="5670" w:type="dxa"/>
            <w:vAlign w:val="center"/>
          </w:tcPr>
          <w:p w14:paraId="3300B17C" w14:textId="7FBDB319" w:rsidR="00C373D3" w:rsidRDefault="00C373D3" w:rsidP="00357CD2">
            <w:pPr>
              <w:pStyle w:val="ListParagraph"/>
              <w:numPr>
                <w:ilvl w:val="0"/>
                <w:numId w:val="17"/>
              </w:numPr>
              <w:spacing w:before="0" w:after="0" w:line="264" w:lineRule="auto"/>
              <w:ind w:left="172" w:hanging="172"/>
              <w:rPr>
                <w:szCs w:val="18"/>
              </w:rPr>
            </w:pPr>
            <w:r>
              <w:rPr>
                <w:szCs w:val="18"/>
              </w:rPr>
              <w:t xml:space="preserve">M. </w:t>
            </w:r>
            <w:r w:rsidRPr="0036759C">
              <w:t>Jonas Mfouatie</w:t>
            </w:r>
          </w:p>
        </w:tc>
      </w:tr>
      <w:tr w:rsidR="00C373D3" w:rsidRPr="003A4ED8" w14:paraId="468E2051" w14:textId="77777777" w:rsidTr="00C373D3">
        <w:trPr>
          <w:trHeight w:val="397"/>
        </w:trPr>
        <w:tc>
          <w:tcPr>
            <w:tcW w:w="3256" w:type="dxa"/>
            <w:vAlign w:val="center"/>
          </w:tcPr>
          <w:p w14:paraId="46AA44F6" w14:textId="23F4B60F" w:rsidR="00C373D3" w:rsidRDefault="00C373D3" w:rsidP="00E11AB3">
            <w:pPr>
              <w:rPr>
                <w:szCs w:val="18"/>
              </w:rPr>
            </w:pPr>
            <w:r>
              <w:rPr>
                <w:szCs w:val="18"/>
              </w:rPr>
              <w:t>OBPE</w:t>
            </w:r>
          </w:p>
        </w:tc>
        <w:tc>
          <w:tcPr>
            <w:tcW w:w="5670" w:type="dxa"/>
            <w:vAlign w:val="center"/>
          </w:tcPr>
          <w:p w14:paraId="24CC3324" w14:textId="53074ABE" w:rsidR="00C373D3" w:rsidRPr="00C373D3" w:rsidRDefault="00C373D3" w:rsidP="00357CD2">
            <w:pPr>
              <w:pStyle w:val="ListParagraph"/>
              <w:numPr>
                <w:ilvl w:val="0"/>
                <w:numId w:val="17"/>
              </w:numPr>
              <w:spacing w:before="0" w:after="0" w:line="264" w:lineRule="auto"/>
              <w:ind w:left="172" w:hanging="172"/>
              <w:rPr>
                <w:szCs w:val="18"/>
              </w:rPr>
            </w:pPr>
            <w:r>
              <w:t xml:space="preserve">M. </w:t>
            </w:r>
            <w:r w:rsidRPr="00176615">
              <w:t>Hatungimana Berchmans</w:t>
            </w:r>
            <w:r>
              <w:t xml:space="preserve"> (DG)</w:t>
            </w:r>
          </w:p>
          <w:p w14:paraId="1C9AFFD2" w14:textId="578A08AE" w:rsidR="00C373D3" w:rsidRPr="00C373D3" w:rsidRDefault="00C373D3" w:rsidP="00357CD2">
            <w:pPr>
              <w:pStyle w:val="ListParagraph"/>
              <w:numPr>
                <w:ilvl w:val="0"/>
                <w:numId w:val="17"/>
              </w:numPr>
              <w:spacing w:before="0" w:after="0" w:line="264" w:lineRule="auto"/>
              <w:ind w:left="172" w:hanging="172"/>
              <w:rPr>
                <w:szCs w:val="18"/>
              </w:rPr>
            </w:pPr>
            <w:r>
              <w:t xml:space="preserve">M. </w:t>
            </w:r>
            <w:r w:rsidRPr="00176615">
              <w:t>Abel Nteziryayo</w:t>
            </w:r>
            <w:r>
              <w:t xml:space="preserve"> (Directeur du parc</w:t>
            </w:r>
            <w:r w:rsidR="000D3FBB">
              <w:t xml:space="preserve"> de la Kib</w:t>
            </w:r>
            <w:r w:rsidR="00DD2021">
              <w:t>ira</w:t>
            </w:r>
            <w:r>
              <w:t>)</w:t>
            </w:r>
          </w:p>
          <w:p w14:paraId="0D24599A" w14:textId="42987708" w:rsidR="00C373D3" w:rsidRDefault="00C373D3" w:rsidP="00357CD2">
            <w:pPr>
              <w:pStyle w:val="ListParagraph"/>
              <w:numPr>
                <w:ilvl w:val="0"/>
                <w:numId w:val="17"/>
              </w:numPr>
              <w:spacing w:before="0" w:after="0" w:line="264" w:lineRule="auto"/>
              <w:ind w:left="172" w:hanging="172"/>
              <w:rPr>
                <w:szCs w:val="18"/>
              </w:rPr>
            </w:pPr>
            <w:r>
              <w:rPr>
                <w:szCs w:val="18"/>
              </w:rPr>
              <w:t>M. J</w:t>
            </w:r>
            <w:r w:rsidRPr="00C373D3">
              <w:rPr>
                <w:szCs w:val="18"/>
              </w:rPr>
              <w:t>anvier murengerantwari</w:t>
            </w:r>
            <w:r>
              <w:rPr>
                <w:szCs w:val="18"/>
              </w:rPr>
              <w:t xml:space="preserve"> (Conseiller)</w:t>
            </w:r>
          </w:p>
        </w:tc>
      </w:tr>
      <w:tr w:rsidR="00C373D3" w:rsidRPr="00C373D3" w14:paraId="7B8F50F0" w14:textId="77777777" w:rsidTr="00C373D3">
        <w:trPr>
          <w:trHeight w:val="397"/>
        </w:trPr>
        <w:tc>
          <w:tcPr>
            <w:tcW w:w="3256" w:type="dxa"/>
            <w:vAlign w:val="center"/>
          </w:tcPr>
          <w:p w14:paraId="60F8C1EE" w14:textId="6AD8FF7D" w:rsidR="00C373D3" w:rsidRDefault="00C373D3" w:rsidP="00E11AB3">
            <w:pPr>
              <w:rPr>
                <w:szCs w:val="18"/>
              </w:rPr>
            </w:pPr>
            <w:r>
              <w:rPr>
                <w:szCs w:val="18"/>
              </w:rPr>
              <w:t>Ministère de l’énergie</w:t>
            </w:r>
          </w:p>
        </w:tc>
        <w:tc>
          <w:tcPr>
            <w:tcW w:w="5670" w:type="dxa"/>
            <w:vAlign w:val="center"/>
          </w:tcPr>
          <w:p w14:paraId="4234B84E" w14:textId="4E9BE091" w:rsidR="00C373D3" w:rsidRPr="00C373D3" w:rsidRDefault="00C373D3" w:rsidP="00357CD2">
            <w:pPr>
              <w:pStyle w:val="ListParagraph"/>
              <w:numPr>
                <w:ilvl w:val="0"/>
                <w:numId w:val="17"/>
              </w:numPr>
              <w:spacing w:before="0" w:after="0" w:line="264" w:lineRule="auto"/>
              <w:ind w:left="172" w:hanging="172"/>
            </w:pPr>
            <w:r w:rsidRPr="00C373D3">
              <w:t>M. Ciza Willy (Directeur des</w:t>
            </w:r>
            <w:r>
              <w:t xml:space="preserve"> énergies renouvelables</w:t>
            </w:r>
          </w:p>
        </w:tc>
      </w:tr>
      <w:tr w:rsidR="00C373D3" w:rsidRPr="003A4ED8" w14:paraId="31A42555" w14:textId="77777777" w:rsidTr="00C373D3">
        <w:trPr>
          <w:trHeight w:val="397"/>
        </w:trPr>
        <w:tc>
          <w:tcPr>
            <w:tcW w:w="3256" w:type="dxa"/>
            <w:vAlign w:val="center"/>
          </w:tcPr>
          <w:p w14:paraId="74C71638" w14:textId="20EEE51C" w:rsidR="00C373D3" w:rsidRDefault="00C373D3" w:rsidP="00E11AB3">
            <w:pPr>
              <w:rPr>
                <w:szCs w:val="18"/>
              </w:rPr>
            </w:pPr>
            <w:r>
              <w:rPr>
                <w:szCs w:val="18"/>
              </w:rPr>
              <w:t>Fondation Kibira</w:t>
            </w:r>
          </w:p>
        </w:tc>
        <w:tc>
          <w:tcPr>
            <w:tcW w:w="5670" w:type="dxa"/>
            <w:vAlign w:val="center"/>
          </w:tcPr>
          <w:p w14:paraId="08D90E30" w14:textId="051840DD" w:rsidR="00F07FCB" w:rsidRDefault="00056FAC" w:rsidP="00357CD2">
            <w:pPr>
              <w:pStyle w:val="ListParagraph"/>
              <w:numPr>
                <w:ilvl w:val="0"/>
                <w:numId w:val="17"/>
              </w:numPr>
              <w:spacing w:before="0" w:after="0" w:line="264" w:lineRule="auto"/>
              <w:ind w:left="172" w:hanging="172"/>
              <w:rPr>
                <w:szCs w:val="18"/>
              </w:rPr>
            </w:pPr>
            <w:r>
              <w:rPr>
                <w:szCs w:val="18"/>
              </w:rPr>
              <w:t>M. Jadot</w:t>
            </w:r>
          </w:p>
          <w:p w14:paraId="54372B5D" w14:textId="77777777" w:rsidR="00C373D3" w:rsidRPr="00056FAC" w:rsidRDefault="00F07FCB" w:rsidP="00357CD2">
            <w:pPr>
              <w:pStyle w:val="ListParagraph"/>
              <w:numPr>
                <w:ilvl w:val="0"/>
                <w:numId w:val="17"/>
              </w:numPr>
              <w:spacing w:before="0" w:after="0" w:line="264" w:lineRule="auto"/>
              <w:ind w:left="172" w:hanging="172"/>
              <w:rPr>
                <w:szCs w:val="18"/>
              </w:rPr>
            </w:pPr>
            <w:r>
              <w:rPr>
                <w:szCs w:val="18"/>
              </w:rPr>
              <w:t xml:space="preserve">M. </w:t>
            </w:r>
            <w:r w:rsidRPr="00940DE2">
              <w:t>Delphin Kaze</w:t>
            </w:r>
          </w:p>
          <w:p w14:paraId="14AC50CB" w14:textId="0E7D0387" w:rsidR="00056FAC" w:rsidRPr="009F0482" w:rsidRDefault="00056FAC" w:rsidP="00357CD2">
            <w:pPr>
              <w:pStyle w:val="ListParagraph"/>
              <w:numPr>
                <w:ilvl w:val="0"/>
                <w:numId w:val="17"/>
              </w:numPr>
              <w:spacing w:before="0" w:after="0" w:line="264" w:lineRule="auto"/>
              <w:ind w:left="172" w:hanging="172"/>
              <w:rPr>
                <w:szCs w:val="18"/>
              </w:rPr>
            </w:pPr>
            <w:r>
              <w:rPr>
                <w:szCs w:val="18"/>
              </w:rPr>
              <w:t xml:space="preserve">M. Christophe </w:t>
            </w:r>
          </w:p>
        </w:tc>
      </w:tr>
      <w:tr w:rsidR="00DE3996" w:rsidRPr="003A4ED8" w14:paraId="53397A3A" w14:textId="77777777" w:rsidTr="00C373D3">
        <w:trPr>
          <w:trHeight w:val="397"/>
        </w:trPr>
        <w:tc>
          <w:tcPr>
            <w:tcW w:w="3256" w:type="dxa"/>
            <w:vAlign w:val="center"/>
          </w:tcPr>
          <w:p w14:paraId="37C2EEFF" w14:textId="008D8F46" w:rsidR="00DE3996" w:rsidRDefault="00DE3996" w:rsidP="00E11AB3">
            <w:pPr>
              <w:rPr>
                <w:szCs w:val="18"/>
              </w:rPr>
            </w:pPr>
            <w:r>
              <w:rPr>
                <w:szCs w:val="18"/>
              </w:rPr>
              <w:t>COH</w:t>
            </w:r>
          </w:p>
        </w:tc>
        <w:tc>
          <w:tcPr>
            <w:tcW w:w="5670" w:type="dxa"/>
            <w:vAlign w:val="center"/>
          </w:tcPr>
          <w:p w14:paraId="1A27E972" w14:textId="7B9279FC" w:rsidR="00DE3996" w:rsidRPr="00DE3996" w:rsidRDefault="00DE3996" w:rsidP="00357CD2">
            <w:pPr>
              <w:pStyle w:val="ListParagraph"/>
              <w:numPr>
                <w:ilvl w:val="0"/>
                <w:numId w:val="17"/>
              </w:numPr>
              <w:spacing w:before="0" w:after="0" w:line="264" w:lineRule="auto"/>
              <w:ind w:left="172" w:hanging="172"/>
              <w:rPr>
                <w:szCs w:val="18"/>
              </w:rPr>
            </w:pPr>
            <w:r>
              <w:t xml:space="preserve">M. </w:t>
            </w:r>
            <w:r w:rsidRPr="00914E5C">
              <w:t>Claude Nikondeha</w:t>
            </w:r>
          </w:p>
          <w:p w14:paraId="62488C34" w14:textId="6CFD1015" w:rsidR="00DE3996" w:rsidRPr="00056FAC" w:rsidRDefault="00DE3996" w:rsidP="00357CD2">
            <w:pPr>
              <w:pStyle w:val="ListParagraph"/>
              <w:numPr>
                <w:ilvl w:val="0"/>
                <w:numId w:val="17"/>
              </w:numPr>
              <w:spacing w:before="0" w:after="0" w:line="264" w:lineRule="auto"/>
              <w:ind w:left="172" w:hanging="172"/>
              <w:rPr>
                <w:szCs w:val="18"/>
              </w:rPr>
            </w:pPr>
            <w:r>
              <w:t xml:space="preserve">M. </w:t>
            </w:r>
            <w:proofErr w:type="spellStart"/>
            <w:r w:rsidRPr="00914E5C">
              <w:t>Cypren</w:t>
            </w:r>
            <w:proofErr w:type="spellEnd"/>
            <w:r w:rsidRPr="00914E5C">
              <w:t xml:space="preserve"> Ndikumana</w:t>
            </w:r>
          </w:p>
          <w:p w14:paraId="4C577BE9" w14:textId="435EDEC1" w:rsidR="00056FAC" w:rsidRDefault="00056FAC" w:rsidP="00357CD2">
            <w:pPr>
              <w:pStyle w:val="ListParagraph"/>
              <w:numPr>
                <w:ilvl w:val="0"/>
                <w:numId w:val="17"/>
              </w:numPr>
              <w:spacing w:before="0" w:after="0" w:line="264" w:lineRule="auto"/>
              <w:ind w:left="172" w:hanging="172"/>
              <w:rPr>
                <w:szCs w:val="18"/>
              </w:rPr>
            </w:pPr>
            <w:r>
              <w:rPr>
                <w:szCs w:val="18"/>
              </w:rPr>
              <w:t xml:space="preserve">M. Etienne </w:t>
            </w:r>
          </w:p>
        </w:tc>
      </w:tr>
      <w:tr w:rsidR="0028215B" w:rsidRPr="003A4ED8" w14:paraId="66774B0D" w14:textId="77777777" w:rsidTr="00C373D3">
        <w:trPr>
          <w:trHeight w:val="397"/>
        </w:trPr>
        <w:tc>
          <w:tcPr>
            <w:tcW w:w="3256" w:type="dxa"/>
            <w:vAlign w:val="center"/>
          </w:tcPr>
          <w:p w14:paraId="4A5CC7D1" w14:textId="0ADEF212" w:rsidR="0028215B" w:rsidRDefault="0028215B" w:rsidP="00E11AB3">
            <w:pPr>
              <w:rPr>
                <w:szCs w:val="18"/>
              </w:rPr>
            </w:pPr>
            <w:r>
              <w:rPr>
                <w:szCs w:val="18"/>
              </w:rPr>
              <w:t>UNIPROBA</w:t>
            </w:r>
          </w:p>
        </w:tc>
        <w:tc>
          <w:tcPr>
            <w:tcW w:w="5670" w:type="dxa"/>
            <w:vAlign w:val="center"/>
          </w:tcPr>
          <w:p w14:paraId="646A8B85" w14:textId="2254FDFB" w:rsidR="0028215B" w:rsidRDefault="0028215B" w:rsidP="00357CD2">
            <w:pPr>
              <w:pStyle w:val="ListParagraph"/>
              <w:numPr>
                <w:ilvl w:val="0"/>
                <w:numId w:val="17"/>
              </w:numPr>
              <w:spacing w:before="0" w:after="0" w:line="264" w:lineRule="auto"/>
              <w:ind w:left="172" w:hanging="172"/>
            </w:pPr>
            <w:r>
              <w:t xml:space="preserve">M. </w:t>
            </w:r>
            <w:r w:rsidRPr="00CB0458">
              <w:t>Bienvenu Rwantabana</w:t>
            </w:r>
          </w:p>
        </w:tc>
      </w:tr>
      <w:tr w:rsidR="0028215B" w:rsidRPr="003A4ED8" w14:paraId="36E5A1F8" w14:textId="77777777" w:rsidTr="00C373D3">
        <w:trPr>
          <w:trHeight w:val="397"/>
        </w:trPr>
        <w:tc>
          <w:tcPr>
            <w:tcW w:w="3256" w:type="dxa"/>
            <w:vAlign w:val="center"/>
          </w:tcPr>
          <w:p w14:paraId="3A83F26E" w14:textId="39EAD78B" w:rsidR="0028215B" w:rsidRDefault="0028215B" w:rsidP="00E11AB3">
            <w:pPr>
              <w:rPr>
                <w:szCs w:val="18"/>
              </w:rPr>
            </w:pPr>
            <w:r>
              <w:rPr>
                <w:szCs w:val="18"/>
              </w:rPr>
              <w:t>ABN</w:t>
            </w:r>
          </w:p>
        </w:tc>
        <w:tc>
          <w:tcPr>
            <w:tcW w:w="5670" w:type="dxa"/>
            <w:vAlign w:val="center"/>
          </w:tcPr>
          <w:p w14:paraId="72F833BC" w14:textId="6EE441FF" w:rsidR="0028215B" w:rsidRDefault="0028215B" w:rsidP="00357CD2">
            <w:pPr>
              <w:pStyle w:val="ListParagraph"/>
              <w:numPr>
                <w:ilvl w:val="0"/>
                <w:numId w:val="17"/>
              </w:numPr>
              <w:spacing w:before="0" w:after="0" w:line="264" w:lineRule="auto"/>
              <w:ind w:left="172" w:hanging="172"/>
            </w:pPr>
            <w:r>
              <w:t xml:space="preserve">M. </w:t>
            </w:r>
            <w:r w:rsidRPr="00CB0458">
              <w:t>Joseph Bizimungu</w:t>
            </w:r>
          </w:p>
        </w:tc>
      </w:tr>
      <w:tr w:rsidR="0028215B" w:rsidRPr="003A4ED8" w14:paraId="0DFAD0CD" w14:textId="77777777" w:rsidTr="00C373D3">
        <w:trPr>
          <w:trHeight w:val="397"/>
        </w:trPr>
        <w:tc>
          <w:tcPr>
            <w:tcW w:w="3256" w:type="dxa"/>
            <w:vAlign w:val="center"/>
          </w:tcPr>
          <w:p w14:paraId="072B43E7" w14:textId="42290FE3" w:rsidR="0028215B" w:rsidRDefault="0028215B" w:rsidP="00E11AB3">
            <w:pPr>
              <w:rPr>
                <w:szCs w:val="18"/>
              </w:rPr>
            </w:pPr>
            <w:r>
              <w:rPr>
                <w:szCs w:val="18"/>
              </w:rPr>
              <w:t>KIOKA</w:t>
            </w:r>
          </w:p>
        </w:tc>
        <w:tc>
          <w:tcPr>
            <w:tcW w:w="5670" w:type="dxa"/>
            <w:vAlign w:val="center"/>
          </w:tcPr>
          <w:p w14:paraId="21D89C8F" w14:textId="4B90F5E2" w:rsidR="0028215B" w:rsidRDefault="0028215B" w:rsidP="00357CD2">
            <w:pPr>
              <w:pStyle w:val="ListParagraph"/>
              <w:numPr>
                <w:ilvl w:val="0"/>
                <w:numId w:val="17"/>
              </w:numPr>
              <w:spacing w:before="0" w:after="0" w:line="264" w:lineRule="auto"/>
              <w:ind w:left="172" w:hanging="172"/>
            </w:pPr>
            <w:r>
              <w:t xml:space="preserve">M. </w:t>
            </w:r>
            <w:r w:rsidRPr="00CB0458">
              <w:t xml:space="preserve">Sidi </w:t>
            </w:r>
            <w:proofErr w:type="spellStart"/>
            <w:r w:rsidRPr="00CB0458">
              <w:t>Icizanye</w:t>
            </w:r>
            <w:proofErr w:type="spellEnd"/>
          </w:p>
        </w:tc>
      </w:tr>
      <w:tr w:rsidR="0028215B" w:rsidRPr="003A4ED8" w14:paraId="615D4DA8" w14:textId="77777777" w:rsidTr="00C373D3">
        <w:trPr>
          <w:trHeight w:val="397"/>
        </w:trPr>
        <w:tc>
          <w:tcPr>
            <w:tcW w:w="3256" w:type="dxa"/>
            <w:vAlign w:val="center"/>
          </w:tcPr>
          <w:p w14:paraId="1C0D7166" w14:textId="68526DC3" w:rsidR="0028215B" w:rsidRDefault="0028215B" w:rsidP="00E11AB3">
            <w:pPr>
              <w:rPr>
                <w:szCs w:val="18"/>
              </w:rPr>
            </w:pPr>
            <w:r>
              <w:rPr>
                <w:szCs w:val="18"/>
              </w:rPr>
              <w:t>3C</w:t>
            </w:r>
          </w:p>
        </w:tc>
        <w:tc>
          <w:tcPr>
            <w:tcW w:w="5670" w:type="dxa"/>
            <w:vAlign w:val="center"/>
          </w:tcPr>
          <w:p w14:paraId="4AC4221B" w14:textId="3D49BFC3" w:rsidR="0028215B" w:rsidRDefault="0028215B" w:rsidP="00357CD2">
            <w:pPr>
              <w:pStyle w:val="ListParagraph"/>
              <w:numPr>
                <w:ilvl w:val="0"/>
                <w:numId w:val="17"/>
              </w:numPr>
              <w:spacing w:before="0" w:after="0" w:line="264" w:lineRule="auto"/>
              <w:ind w:left="172" w:hanging="172"/>
            </w:pPr>
            <w:r w:rsidRPr="000255C9">
              <w:t>Nzigiyimpa Léonidas</w:t>
            </w:r>
          </w:p>
        </w:tc>
      </w:tr>
      <w:tr w:rsidR="00437DC0" w:rsidRPr="003A4ED8" w14:paraId="7804517F" w14:textId="77777777" w:rsidTr="00C373D3">
        <w:trPr>
          <w:trHeight w:val="397"/>
        </w:trPr>
        <w:tc>
          <w:tcPr>
            <w:tcW w:w="3256" w:type="dxa"/>
            <w:vAlign w:val="center"/>
          </w:tcPr>
          <w:p w14:paraId="217B5CE5" w14:textId="3E14BC87" w:rsidR="00437DC0" w:rsidRDefault="00437DC0" w:rsidP="00E11AB3">
            <w:pPr>
              <w:rPr>
                <w:szCs w:val="18"/>
              </w:rPr>
            </w:pPr>
            <w:proofErr w:type="spellStart"/>
            <w:r>
              <w:rPr>
                <w:szCs w:val="18"/>
              </w:rPr>
              <w:t>Hydroneo</w:t>
            </w:r>
            <w:proofErr w:type="spellEnd"/>
          </w:p>
        </w:tc>
        <w:tc>
          <w:tcPr>
            <w:tcW w:w="5670" w:type="dxa"/>
            <w:vAlign w:val="center"/>
          </w:tcPr>
          <w:p w14:paraId="4418AC6F" w14:textId="690A8567" w:rsidR="00437DC0" w:rsidRDefault="00437DC0" w:rsidP="00357CD2">
            <w:pPr>
              <w:pStyle w:val="ListParagraph"/>
              <w:numPr>
                <w:ilvl w:val="0"/>
                <w:numId w:val="17"/>
              </w:numPr>
              <w:spacing w:before="0" w:after="0" w:line="264" w:lineRule="auto"/>
              <w:ind w:left="172" w:hanging="172"/>
            </w:pPr>
            <w:r>
              <w:t xml:space="preserve">M. </w:t>
            </w:r>
            <w:r w:rsidRPr="000255C9">
              <w:t>Jérémie L</w:t>
            </w:r>
            <w:r w:rsidR="0048698D">
              <w:t xml:space="preserve">avastre </w:t>
            </w:r>
          </w:p>
          <w:p w14:paraId="7D962D69" w14:textId="77777777" w:rsidR="00437DC0" w:rsidRDefault="00437DC0" w:rsidP="00357CD2">
            <w:pPr>
              <w:pStyle w:val="ListParagraph"/>
              <w:numPr>
                <w:ilvl w:val="0"/>
                <w:numId w:val="17"/>
              </w:numPr>
              <w:spacing w:before="0" w:after="0" w:line="264" w:lineRule="auto"/>
              <w:ind w:left="172" w:hanging="172"/>
            </w:pPr>
            <w:r>
              <w:t xml:space="preserve">M. Salvador </w:t>
            </w:r>
          </w:p>
          <w:p w14:paraId="14A77A1C" w14:textId="5A547311" w:rsidR="00333439" w:rsidRDefault="00333439" w:rsidP="00357CD2">
            <w:pPr>
              <w:pStyle w:val="ListParagraph"/>
              <w:numPr>
                <w:ilvl w:val="0"/>
                <w:numId w:val="17"/>
              </w:numPr>
              <w:spacing w:before="0" w:after="0" w:line="264" w:lineRule="auto"/>
              <w:ind w:left="172" w:hanging="172"/>
            </w:pPr>
            <w:r>
              <w:t xml:space="preserve">Mme Snela </w:t>
            </w:r>
          </w:p>
        </w:tc>
      </w:tr>
      <w:tr w:rsidR="003919E4" w:rsidRPr="003A4ED8" w14:paraId="059185E8" w14:textId="77777777" w:rsidTr="00C373D3">
        <w:trPr>
          <w:trHeight w:val="397"/>
        </w:trPr>
        <w:tc>
          <w:tcPr>
            <w:tcW w:w="3256" w:type="dxa"/>
            <w:vAlign w:val="center"/>
          </w:tcPr>
          <w:p w14:paraId="009A881E" w14:textId="3940D495" w:rsidR="003919E4" w:rsidRDefault="003919E4" w:rsidP="00E11AB3">
            <w:pPr>
              <w:rPr>
                <w:szCs w:val="18"/>
              </w:rPr>
            </w:pPr>
            <w:r>
              <w:rPr>
                <w:szCs w:val="18"/>
              </w:rPr>
              <w:t>ENABEL</w:t>
            </w:r>
          </w:p>
        </w:tc>
        <w:tc>
          <w:tcPr>
            <w:tcW w:w="5670" w:type="dxa"/>
            <w:vAlign w:val="center"/>
          </w:tcPr>
          <w:p w14:paraId="43649AC0" w14:textId="5CB3A519" w:rsidR="003919E4" w:rsidRDefault="0048698D" w:rsidP="00357CD2">
            <w:pPr>
              <w:pStyle w:val="ListParagraph"/>
              <w:numPr>
                <w:ilvl w:val="0"/>
                <w:numId w:val="17"/>
              </w:numPr>
              <w:spacing w:before="0" w:after="0" w:line="264" w:lineRule="auto"/>
              <w:ind w:left="172" w:hanging="172"/>
            </w:pPr>
            <w:r>
              <w:t xml:space="preserve">M. </w:t>
            </w:r>
            <w:r w:rsidRPr="0048698D">
              <w:t>Philippe D</w:t>
            </w:r>
            <w:r>
              <w:t>e</w:t>
            </w:r>
            <w:r w:rsidRPr="0048698D">
              <w:t xml:space="preserve"> R</w:t>
            </w:r>
            <w:r>
              <w:t xml:space="preserve">oissart </w:t>
            </w:r>
          </w:p>
        </w:tc>
      </w:tr>
    </w:tbl>
    <w:p w14:paraId="367823E1" w14:textId="77777777" w:rsidR="0077494A" w:rsidRDefault="0077494A" w:rsidP="000375E8"/>
    <w:p w14:paraId="6985025C" w14:textId="70952ED3" w:rsidR="0077494A" w:rsidRDefault="0077494A">
      <w:pPr>
        <w:spacing w:before="0" w:after="160"/>
      </w:pPr>
      <w:r>
        <w:br w:type="page"/>
      </w:r>
    </w:p>
    <w:p w14:paraId="20E0272E" w14:textId="7847A38F" w:rsidR="003E62D9" w:rsidRDefault="003E62D9" w:rsidP="000375E8">
      <w:pPr>
        <w:pStyle w:val="Heading2"/>
        <w:jc w:val="both"/>
        <w:rPr>
          <w:rFonts w:ascii="Open Sans" w:hAnsi="Open Sans"/>
          <w:color w:val="000099"/>
        </w:rPr>
      </w:pPr>
      <w:bookmarkStart w:id="65" w:name="_Toc216948992"/>
      <w:r w:rsidRPr="000375E8">
        <w:rPr>
          <w:rFonts w:ascii="Open Sans" w:hAnsi="Open Sans"/>
          <w:color w:val="000099"/>
        </w:rPr>
        <w:lastRenderedPageBreak/>
        <w:t>Annex</w:t>
      </w:r>
      <w:r w:rsidR="000375E8">
        <w:rPr>
          <w:rFonts w:ascii="Open Sans" w:hAnsi="Open Sans"/>
          <w:color w:val="000099"/>
        </w:rPr>
        <w:t xml:space="preserve">e </w:t>
      </w:r>
      <w:r w:rsidR="003663CE">
        <w:rPr>
          <w:rFonts w:ascii="Open Sans" w:hAnsi="Open Sans"/>
          <w:color w:val="000099"/>
        </w:rPr>
        <w:t>6</w:t>
      </w:r>
      <w:r w:rsidR="000375E8">
        <w:rPr>
          <w:rFonts w:ascii="Open Sans" w:hAnsi="Open Sans"/>
          <w:color w:val="000099"/>
        </w:rPr>
        <w:t xml:space="preserve"> </w:t>
      </w:r>
      <w:r w:rsidRPr="000375E8">
        <w:rPr>
          <w:rFonts w:ascii="Open Sans" w:hAnsi="Open Sans"/>
          <w:color w:val="000099"/>
        </w:rPr>
        <w:t xml:space="preserve">: </w:t>
      </w:r>
      <w:r w:rsidR="000375E8">
        <w:rPr>
          <w:rFonts w:ascii="Open Sans" w:hAnsi="Open Sans"/>
          <w:color w:val="000099"/>
        </w:rPr>
        <w:t>principaux documents consultés</w:t>
      </w:r>
      <w:bookmarkEnd w:id="65"/>
      <w:r w:rsidR="000375E8">
        <w:rPr>
          <w:rFonts w:ascii="Open Sans" w:hAnsi="Open Sans"/>
          <w:color w:val="000099"/>
        </w:rPr>
        <w:t xml:space="preserve"> </w:t>
      </w:r>
    </w:p>
    <w:p w14:paraId="2D030929" w14:textId="77777777" w:rsidR="000375E8" w:rsidRDefault="000375E8" w:rsidP="000375E8"/>
    <w:tbl>
      <w:tblPr>
        <w:tblStyle w:val="TableGrid"/>
        <w:tblW w:w="0" w:type="auto"/>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Look w:val="04A0" w:firstRow="1" w:lastRow="0" w:firstColumn="1" w:lastColumn="0" w:noHBand="0" w:noVBand="1"/>
      </w:tblPr>
      <w:tblGrid>
        <w:gridCol w:w="2405"/>
        <w:gridCol w:w="6521"/>
      </w:tblGrid>
      <w:tr w:rsidR="00383220" w:rsidRPr="007B79AE" w14:paraId="70E7F8A5" w14:textId="77777777" w:rsidTr="007D2025">
        <w:trPr>
          <w:trHeight w:val="397"/>
        </w:trPr>
        <w:tc>
          <w:tcPr>
            <w:tcW w:w="2405" w:type="dxa"/>
            <w:tcBorders>
              <w:right w:val="single" w:sz="4" w:space="0" w:color="FFFFFF" w:themeColor="background1"/>
            </w:tcBorders>
            <w:shd w:val="clear" w:color="auto" w:fill="000099"/>
            <w:vAlign w:val="center"/>
          </w:tcPr>
          <w:p w14:paraId="3A5D56D2" w14:textId="77777777" w:rsidR="00383220" w:rsidRPr="00383220" w:rsidRDefault="00383220" w:rsidP="008D2A15">
            <w:pPr>
              <w:jc w:val="center"/>
              <w:rPr>
                <w:b/>
                <w:bCs/>
                <w:szCs w:val="20"/>
              </w:rPr>
            </w:pPr>
            <w:r w:rsidRPr="00383220">
              <w:rPr>
                <w:b/>
                <w:bCs/>
                <w:szCs w:val="20"/>
              </w:rPr>
              <w:t xml:space="preserve">Catégorie  </w:t>
            </w:r>
          </w:p>
        </w:tc>
        <w:tc>
          <w:tcPr>
            <w:tcW w:w="6521" w:type="dxa"/>
            <w:tcBorders>
              <w:left w:val="single" w:sz="4" w:space="0" w:color="FFFFFF" w:themeColor="background1"/>
            </w:tcBorders>
            <w:shd w:val="clear" w:color="auto" w:fill="000099"/>
            <w:vAlign w:val="center"/>
          </w:tcPr>
          <w:p w14:paraId="29D87AB3" w14:textId="77777777" w:rsidR="00383220" w:rsidRPr="00383220" w:rsidRDefault="00383220" w:rsidP="008D2A15">
            <w:pPr>
              <w:jc w:val="center"/>
              <w:rPr>
                <w:b/>
                <w:bCs/>
                <w:szCs w:val="20"/>
              </w:rPr>
            </w:pPr>
            <w:r w:rsidRPr="00383220">
              <w:rPr>
                <w:b/>
                <w:bCs/>
                <w:szCs w:val="20"/>
              </w:rPr>
              <w:t>Document consulté</w:t>
            </w:r>
          </w:p>
        </w:tc>
      </w:tr>
      <w:tr w:rsidR="00383220" w:rsidRPr="0003574E" w14:paraId="4E634BB7" w14:textId="77777777" w:rsidTr="007D2025">
        <w:trPr>
          <w:trHeight w:val="397"/>
        </w:trPr>
        <w:tc>
          <w:tcPr>
            <w:tcW w:w="2405" w:type="dxa"/>
            <w:vAlign w:val="center"/>
          </w:tcPr>
          <w:p w14:paraId="0E3AC70F" w14:textId="77777777" w:rsidR="00383220" w:rsidRPr="00383220" w:rsidRDefault="00383220" w:rsidP="008D2A15">
            <w:pPr>
              <w:jc w:val="center"/>
              <w:rPr>
                <w:szCs w:val="20"/>
              </w:rPr>
            </w:pPr>
            <w:r w:rsidRPr="00383220">
              <w:rPr>
                <w:szCs w:val="20"/>
              </w:rPr>
              <w:t>Documentation sur le projet et l’évolution de la conception</w:t>
            </w:r>
          </w:p>
        </w:tc>
        <w:tc>
          <w:tcPr>
            <w:tcW w:w="6521" w:type="dxa"/>
            <w:vAlign w:val="center"/>
          </w:tcPr>
          <w:p w14:paraId="7FF33A53" w14:textId="77777777" w:rsidR="00383220" w:rsidRPr="00383220" w:rsidRDefault="00383220" w:rsidP="00357CD2">
            <w:pPr>
              <w:pStyle w:val="ListParagraph"/>
              <w:numPr>
                <w:ilvl w:val="0"/>
                <w:numId w:val="17"/>
              </w:numPr>
              <w:spacing w:before="0" w:after="0" w:line="264" w:lineRule="auto"/>
              <w:ind w:left="172" w:hanging="172"/>
              <w:rPr>
                <w:szCs w:val="20"/>
              </w:rPr>
            </w:pPr>
            <w:r w:rsidRPr="00383220">
              <w:rPr>
                <w:szCs w:val="20"/>
              </w:rPr>
              <w:t xml:space="preserve">Document de projet initial, </w:t>
            </w:r>
          </w:p>
          <w:p w14:paraId="311184FA" w14:textId="77777777" w:rsidR="00383220" w:rsidRPr="00383220" w:rsidRDefault="00383220" w:rsidP="00357CD2">
            <w:pPr>
              <w:pStyle w:val="ListParagraph"/>
              <w:numPr>
                <w:ilvl w:val="0"/>
                <w:numId w:val="17"/>
              </w:numPr>
              <w:spacing w:before="0" w:after="0" w:line="264" w:lineRule="auto"/>
              <w:ind w:left="172" w:hanging="172"/>
              <w:rPr>
                <w:szCs w:val="20"/>
              </w:rPr>
            </w:pPr>
            <w:r w:rsidRPr="00383220">
              <w:rPr>
                <w:szCs w:val="20"/>
              </w:rPr>
              <w:t>Document d’extension du projet (NCE Août 2024)</w:t>
            </w:r>
          </w:p>
          <w:p w14:paraId="08274A5C" w14:textId="77777777" w:rsidR="00383220" w:rsidRPr="00383220" w:rsidRDefault="00383220" w:rsidP="00357CD2">
            <w:pPr>
              <w:pStyle w:val="ListParagraph"/>
              <w:numPr>
                <w:ilvl w:val="0"/>
                <w:numId w:val="17"/>
              </w:numPr>
              <w:spacing w:before="0" w:after="0" w:line="264" w:lineRule="auto"/>
              <w:ind w:left="172" w:hanging="172"/>
              <w:rPr>
                <w:szCs w:val="20"/>
              </w:rPr>
            </w:pPr>
            <w:r w:rsidRPr="00383220">
              <w:rPr>
                <w:szCs w:val="20"/>
              </w:rPr>
              <w:t>Plan de travail annuel 2025</w:t>
            </w:r>
          </w:p>
          <w:p w14:paraId="665C4F3C" w14:textId="77777777" w:rsidR="00383220" w:rsidRPr="00383220" w:rsidRDefault="00383220" w:rsidP="00357CD2">
            <w:pPr>
              <w:pStyle w:val="ListParagraph"/>
              <w:numPr>
                <w:ilvl w:val="0"/>
                <w:numId w:val="17"/>
              </w:numPr>
              <w:spacing w:before="0" w:after="0" w:line="264" w:lineRule="auto"/>
              <w:ind w:left="172" w:hanging="172"/>
              <w:rPr>
                <w:szCs w:val="20"/>
              </w:rPr>
            </w:pPr>
            <w:r w:rsidRPr="00383220">
              <w:rPr>
                <w:szCs w:val="20"/>
              </w:rPr>
              <w:t>Fichier Excel de monitoring (Baseline + cible 2025)</w:t>
            </w:r>
          </w:p>
          <w:p w14:paraId="7E58AA41" w14:textId="77777777" w:rsidR="00383220" w:rsidRPr="00383220" w:rsidRDefault="00383220" w:rsidP="00357CD2">
            <w:pPr>
              <w:pStyle w:val="ListParagraph"/>
              <w:numPr>
                <w:ilvl w:val="0"/>
                <w:numId w:val="17"/>
              </w:numPr>
              <w:spacing w:before="0" w:after="0" w:line="264" w:lineRule="auto"/>
              <w:ind w:left="172" w:hanging="172"/>
              <w:rPr>
                <w:szCs w:val="20"/>
              </w:rPr>
            </w:pPr>
            <w:r w:rsidRPr="00383220">
              <w:rPr>
                <w:szCs w:val="20"/>
              </w:rPr>
              <w:t xml:space="preserve">Correspondances avec PBF  </w:t>
            </w:r>
          </w:p>
          <w:p w14:paraId="2A886A50" w14:textId="77777777" w:rsidR="00383220" w:rsidRPr="00383220" w:rsidRDefault="00383220" w:rsidP="00357CD2">
            <w:pPr>
              <w:pStyle w:val="ListParagraph"/>
              <w:numPr>
                <w:ilvl w:val="0"/>
                <w:numId w:val="17"/>
              </w:numPr>
              <w:spacing w:before="0" w:after="0" w:line="264" w:lineRule="auto"/>
              <w:ind w:left="172" w:hanging="172"/>
              <w:rPr>
                <w:szCs w:val="20"/>
              </w:rPr>
            </w:pPr>
            <w:proofErr w:type="spellStart"/>
            <w:r w:rsidRPr="00383220">
              <w:rPr>
                <w:szCs w:val="20"/>
              </w:rPr>
              <w:t>TdR</w:t>
            </w:r>
            <w:proofErr w:type="spellEnd"/>
            <w:r w:rsidRPr="00383220">
              <w:rPr>
                <w:szCs w:val="20"/>
              </w:rPr>
              <w:t xml:space="preserve"> du comité de pilotage du projet </w:t>
            </w:r>
          </w:p>
        </w:tc>
      </w:tr>
      <w:tr w:rsidR="00383220" w:rsidRPr="003A4ED8" w14:paraId="2EF99949" w14:textId="77777777" w:rsidTr="007D2025">
        <w:trPr>
          <w:trHeight w:val="397"/>
        </w:trPr>
        <w:tc>
          <w:tcPr>
            <w:tcW w:w="2405" w:type="dxa"/>
            <w:vAlign w:val="center"/>
          </w:tcPr>
          <w:p w14:paraId="525C7E5A" w14:textId="77777777" w:rsidR="00383220" w:rsidRPr="00383220" w:rsidRDefault="00383220" w:rsidP="008D2A15">
            <w:pPr>
              <w:jc w:val="center"/>
              <w:rPr>
                <w:szCs w:val="20"/>
              </w:rPr>
            </w:pPr>
            <w:r w:rsidRPr="00383220">
              <w:rPr>
                <w:szCs w:val="20"/>
              </w:rPr>
              <w:t>Rapports de suivi et données de performance</w:t>
            </w:r>
          </w:p>
        </w:tc>
        <w:tc>
          <w:tcPr>
            <w:tcW w:w="6521" w:type="dxa"/>
            <w:vAlign w:val="center"/>
          </w:tcPr>
          <w:p w14:paraId="4168187D" w14:textId="77777777" w:rsidR="00383220" w:rsidRPr="00383220" w:rsidRDefault="00383220" w:rsidP="00357CD2">
            <w:pPr>
              <w:pStyle w:val="ListParagraph"/>
              <w:numPr>
                <w:ilvl w:val="0"/>
                <w:numId w:val="17"/>
              </w:numPr>
              <w:spacing w:before="0" w:after="0" w:line="264" w:lineRule="auto"/>
              <w:ind w:left="172" w:hanging="172"/>
              <w:rPr>
                <w:szCs w:val="20"/>
              </w:rPr>
            </w:pPr>
            <w:r w:rsidRPr="00383220">
              <w:rPr>
                <w:szCs w:val="20"/>
              </w:rPr>
              <w:t>Rapports de progrès : Octobre 2022 ; Juin et Novembre 2024 ; Juin 2025</w:t>
            </w:r>
          </w:p>
          <w:p w14:paraId="51804C6D" w14:textId="77777777" w:rsidR="00383220" w:rsidRPr="00383220" w:rsidRDefault="00383220" w:rsidP="00357CD2">
            <w:pPr>
              <w:pStyle w:val="ListParagraph"/>
              <w:numPr>
                <w:ilvl w:val="0"/>
                <w:numId w:val="17"/>
              </w:numPr>
              <w:spacing w:before="0" w:after="0" w:line="264" w:lineRule="auto"/>
              <w:ind w:left="172" w:hanging="172"/>
              <w:rPr>
                <w:szCs w:val="20"/>
              </w:rPr>
            </w:pPr>
            <w:r w:rsidRPr="00383220">
              <w:rPr>
                <w:szCs w:val="20"/>
              </w:rPr>
              <w:t>Rapport Pays PBF Burundi 2023</w:t>
            </w:r>
          </w:p>
          <w:p w14:paraId="4200C358" w14:textId="77777777" w:rsidR="00383220" w:rsidRPr="00383220" w:rsidRDefault="00383220" w:rsidP="00357CD2">
            <w:pPr>
              <w:pStyle w:val="ListParagraph"/>
              <w:numPr>
                <w:ilvl w:val="0"/>
                <w:numId w:val="17"/>
              </w:numPr>
              <w:spacing w:before="0" w:after="0" w:line="264" w:lineRule="auto"/>
              <w:ind w:left="172" w:hanging="172"/>
              <w:rPr>
                <w:szCs w:val="20"/>
              </w:rPr>
            </w:pPr>
            <w:r w:rsidRPr="00383220">
              <w:rPr>
                <w:szCs w:val="20"/>
              </w:rPr>
              <w:t>Rapport financier juin 2024</w:t>
            </w:r>
          </w:p>
          <w:p w14:paraId="3252E754" w14:textId="77777777" w:rsidR="00383220" w:rsidRPr="00383220" w:rsidRDefault="00383220" w:rsidP="00357CD2">
            <w:pPr>
              <w:pStyle w:val="ListParagraph"/>
              <w:numPr>
                <w:ilvl w:val="0"/>
                <w:numId w:val="17"/>
              </w:numPr>
              <w:spacing w:before="0" w:after="0" w:line="264" w:lineRule="auto"/>
              <w:ind w:left="172" w:hanging="172"/>
              <w:rPr>
                <w:szCs w:val="20"/>
              </w:rPr>
            </w:pPr>
            <w:r w:rsidRPr="00383220">
              <w:rPr>
                <w:szCs w:val="20"/>
              </w:rPr>
              <w:t xml:space="preserve">Budget révisé par activité et par catégorie </w:t>
            </w:r>
          </w:p>
          <w:p w14:paraId="31814B9F" w14:textId="77777777" w:rsidR="00383220" w:rsidRPr="00383220" w:rsidRDefault="00383220" w:rsidP="00357CD2">
            <w:pPr>
              <w:pStyle w:val="ListParagraph"/>
              <w:numPr>
                <w:ilvl w:val="0"/>
                <w:numId w:val="17"/>
              </w:numPr>
              <w:spacing w:before="0" w:after="0" w:line="264" w:lineRule="auto"/>
              <w:ind w:left="172" w:hanging="172"/>
              <w:rPr>
                <w:szCs w:val="20"/>
              </w:rPr>
            </w:pPr>
            <w:r w:rsidRPr="00383220">
              <w:rPr>
                <w:szCs w:val="20"/>
              </w:rPr>
              <w:t xml:space="preserve">Plan des RH du projet </w:t>
            </w:r>
          </w:p>
          <w:p w14:paraId="483EDEE4" w14:textId="77777777" w:rsidR="00383220" w:rsidRPr="00383220" w:rsidRDefault="00383220" w:rsidP="00357CD2">
            <w:pPr>
              <w:pStyle w:val="ListParagraph"/>
              <w:numPr>
                <w:ilvl w:val="0"/>
                <w:numId w:val="17"/>
              </w:numPr>
              <w:spacing w:before="0" w:after="0" w:line="264" w:lineRule="auto"/>
              <w:ind w:left="172" w:hanging="172"/>
              <w:rPr>
                <w:szCs w:val="20"/>
              </w:rPr>
            </w:pPr>
            <w:r w:rsidRPr="00383220">
              <w:rPr>
                <w:szCs w:val="20"/>
              </w:rPr>
              <w:t>PV réunion UNCDF et parties prenantes (janvier 2025)</w:t>
            </w:r>
          </w:p>
        </w:tc>
      </w:tr>
      <w:tr w:rsidR="00383220" w:rsidRPr="00FC7E08" w14:paraId="417249B6" w14:textId="77777777" w:rsidTr="007D2025">
        <w:trPr>
          <w:trHeight w:val="397"/>
        </w:trPr>
        <w:tc>
          <w:tcPr>
            <w:tcW w:w="2405" w:type="dxa"/>
            <w:vAlign w:val="center"/>
          </w:tcPr>
          <w:p w14:paraId="387A51CC" w14:textId="77777777" w:rsidR="00383220" w:rsidRPr="00383220" w:rsidRDefault="00383220" w:rsidP="008D2A15">
            <w:pPr>
              <w:jc w:val="center"/>
              <w:rPr>
                <w:szCs w:val="20"/>
              </w:rPr>
            </w:pPr>
            <w:r w:rsidRPr="00383220">
              <w:rPr>
                <w:szCs w:val="20"/>
              </w:rPr>
              <w:t>Documents et livrables produits dans le cadre de la mise en œuvre du projet </w:t>
            </w:r>
          </w:p>
        </w:tc>
        <w:tc>
          <w:tcPr>
            <w:tcW w:w="6521" w:type="dxa"/>
            <w:vAlign w:val="center"/>
          </w:tcPr>
          <w:p w14:paraId="47A0D580" w14:textId="77777777" w:rsidR="00383220" w:rsidRPr="00383220" w:rsidRDefault="00383220" w:rsidP="00357CD2">
            <w:pPr>
              <w:pStyle w:val="ListParagraph"/>
              <w:numPr>
                <w:ilvl w:val="0"/>
                <w:numId w:val="17"/>
              </w:numPr>
              <w:spacing w:before="0" w:after="0" w:line="264" w:lineRule="auto"/>
              <w:ind w:left="172" w:hanging="172"/>
              <w:rPr>
                <w:szCs w:val="20"/>
              </w:rPr>
            </w:pPr>
            <w:r w:rsidRPr="00383220">
              <w:rPr>
                <w:szCs w:val="20"/>
              </w:rPr>
              <w:t>Accord de partenariat UNCDF – Ministère l’énergie</w:t>
            </w:r>
          </w:p>
          <w:p w14:paraId="002B79E7" w14:textId="77777777" w:rsidR="00383220" w:rsidRPr="00383220" w:rsidRDefault="00383220" w:rsidP="00357CD2">
            <w:pPr>
              <w:pStyle w:val="ListParagraph"/>
              <w:numPr>
                <w:ilvl w:val="0"/>
                <w:numId w:val="17"/>
              </w:numPr>
              <w:spacing w:before="0" w:after="0" w:line="264" w:lineRule="auto"/>
              <w:ind w:left="172" w:hanging="172"/>
              <w:rPr>
                <w:szCs w:val="20"/>
              </w:rPr>
            </w:pPr>
            <w:r w:rsidRPr="00383220">
              <w:rPr>
                <w:szCs w:val="20"/>
              </w:rPr>
              <w:t xml:space="preserve">Accords </w:t>
            </w:r>
            <w:proofErr w:type="spellStart"/>
            <w:r w:rsidRPr="00383220">
              <w:rPr>
                <w:szCs w:val="20"/>
              </w:rPr>
              <w:t>Hydroneo</w:t>
            </w:r>
            <w:proofErr w:type="spellEnd"/>
            <w:r w:rsidRPr="00383220">
              <w:rPr>
                <w:szCs w:val="20"/>
              </w:rPr>
              <w:t xml:space="preserve"> – Fondation </w:t>
            </w:r>
            <w:proofErr w:type="spellStart"/>
            <w:r w:rsidRPr="00383220">
              <w:rPr>
                <w:szCs w:val="20"/>
              </w:rPr>
              <w:t>Kibira</w:t>
            </w:r>
            <w:proofErr w:type="spellEnd"/>
            <w:r w:rsidRPr="00383220">
              <w:rPr>
                <w:szCs w:val="20"/>
              </w:rPr>
              <w:t xml:space="preserve"> et </w:t>
            </w:r>
            <w:proofErr w:type="spellStart"/>
            <w:r w:rsidRPr="00383220">
              <w:rPr>
                <w:szCs w:val="20"/>
              </w:rPr>
              <w:t>Hydroneo</w:t>
            </w:r>
            <w:proofErr w:type="spellEnd"/>
            <w:r w:rsidRPr="00383220">
              <w:rPr>
                <w:szCs w:val="20"/>
              </w:rPr>
              <w:t xml:space="preserve"> – Ministère de l’énergie </w:t>
            </w:r>
          </w:p>
          <w:p w14:paraId="1EF043B3" w14:textId="77777777" w:rsidR="00383220" w:rsidRPr="00383220" w:rsidRDefault="00383220" w:rsidP="00357CD2">
            <w:pPr>
              <w:pStyle w:val="ListParagraph"/>
              <w:numPr>
                <w:ilvl w:val="0"/>
                <w:numId w:val="17"/>
              </w:numPr>
              <w:spacing w:before="0" w:after="0" w:line="264" w:lineRule="auto"/>
              <w:ind w:left="172" w:hanging="172"/>
              <w:rPr>
                <w:szCs w:val="20"/>
              </w:rPr>
            </w:pPr>
            <w:r w:rsidRPr="00383220">
              <w:rPr>
                <w:szCs w:val="20"/>
              </w:rPr>
              <w:t xml:space="preserve">Note de cadrage méthodologique pour la mise en œuvre des activités du projet par COH et ses partenaires </w:t>
            </w:r>
          </w:p>
          <w:p w14:paraId="0261E706" w14:textId="77777777" w:rsidR="00383220" w:rsidRPr="00383220" w:rsidRDefault="00383220" w:rsidP="00357CD2">
            <w:pPr>
              <w:pStyle w:val="ListParagraph"/>
              <w:numPr>
                <w:ilvl w:val="0"/>
                <w:numId w:val="17"/>
              </w:numPr>
              <w:spacing w:before="0" w:after="0" w:line="264" w:lineRule="auto"/>
              <w:ind w:left="172" w:hanging="172"/>
              <w:rPr>
                <w:szCs w:val="20"/>
              </w:rPr>
            </w:pPr>
            <w:r w:rsidRPr="00383220">
              <w:rPr>
                <w:szCs w:val="20"/>
              </w:rPr>
              <w:t>Documents de suivi et rapports sur la mise en œuvre des activités par COH et ses partenaires UNIPROBA, AFEB, ABN, KIOKA</w:t>
            </w:r>
          </w:p>
          <w:p w14:paraId="00E88D80" w14:textId="77777777" w:rsidR="00383220" w:rsidRPr="00383220" w:rsidRDefault="00383220" w:rsidP="00357CD2">
            <w:pPr>
              <w:pStyle w:val="ListParagraph"/>
              <w:numPr>
                <w:ilvl w:val="0"/>
                <w:numId w:val="17"/>
              </w:numPr>
              <w:spacing w:before="0" w:after="0" w:line="264" w:lineRule="auto"/>
              <w:ind w:left="172" w:hanging="172"/>
              <w:rPr>
                <w:szCs w:val="20"/>
              </w:rPr>
            </w:pPr>
            <w:r w:rsidRPr="00383220">
              <w:rPr>
                <w:szCs w:val="20"/>
              </w:rPr>
              <w:t xml:space="preserve">Livrables de la Fondation Kibira </w:t>
            </w:r>
          </w:p>
          <w:p w14:paraId="74892371" w14:textId="77777777" w:rsidR="00383220" w:rsidRPr="00383220" w:rsidRDefault="00383220" w:rsidP="00357CD2">
            <w:pPr>
              <w:pStyle w:val="ListParagraph"/>
              <w:numPr>
                <w:ilvl w:val="0"/>
                <w:numId w:val="17"/>
              </w:numPr>
              <w:spacing w:before="0" w:after="0" w:line="264" w:lineRule="auto"/>
              <w:ind w:left="172" w:hanging="172"/>
              <w:rPr>
                <w:szCs w:val="20"/>
              </w:rPr>
            </w:pPr>
            <w:r w:rsidRPr="00383220">
              <w:rPr>
                <w:szCs w:val="20"/>
              </w:rPr>
              <w:t xml:space="preserve">Documents et livrables </w:t>
            </w:r>
            <w:proofErr w:type="spellStart"/>
            <w:r w:rsidRPr="00383220">
              <w:rPr>
                <w:szCs w:val="20"/>
              </w:rPr>
              <w:t>Hydroneo</w:t>
            </w:r>
            <w:proofErr w:type="spellEnd"/>
            <w:r w:rsidRPr="00383220">
              <w:rPr>
                <w:szCs w:val="20"/>
              </w:rPr>
              <w:t> </w:t>
            </w:r>
          </w:p>
          <w:p w14:paraId="4C21A2E0" w14:textId="77777777" w:rsidR="00383220" w:rsidRPr="00383220" w:rsidRDefault="00383220" w:rsidP="00357CD2">
            <w:pPr>
              <w:pStyle w:val="ListParagraph"/>
              <w:numPr>
                <w:ilvl w:val="0"/>
                <w:numId w:val="17"/>
              </w:numPr>
              <w:spacing w:before="0" w:after="0" w:line="264" w:lineRule="auto"/>
              <w:ind w:left="172" w:hanging="172"/>
              <w:rPr>
                <w:szCs w:val="20"/>
              </w:rPr>
            </w:pPr>
            <w:r w:rsidRPr="00383220">
              <w:rPr>
                <w:szCs w:val="20"/>
              </w:rPr>
              <w:t>Livrables 3C</w:t>
            </w:r>
          </w:p>
        </w:tc>
      </w:tr>
      <w:tr w:rsidR="00383220" w14:paraId="59541B4F" w14:textId="77777777" w:rsidTr="007D2025">
        <w:trPr>
          <w:trHeight w:val="397"/>
        </w:trPr>
        <w:tc>
          <w:tcPr>
            <w:tcW w:w="2405" w:type="dxa"/>
            <w:vAlign w:val="center"/>
          </w:tcPr>
          <w:p w14:paraId="588298E4" w14:textId="77777777" w:rsidR="00383220" w:rsidRPr="00383220" w:rsidRDefault="00383220" w:rsidP="008D2A15">
            <w:pPr>
              <w:jc w:val="center"/>
              <w:rPr>
                <w:szCs w:val="20"/>
              </w:rPr>
            </w:pPr>
            <w:r w:rsidRPr="00383220">
              <w:rPr>
                <w:szCs w:val="20"/>
              </w:rPr>
              <w:t>Données sur les parties prenantes et bénéficiaires </w:t>
            </w:r>
          </w:p>
        </w:tc>
        <w:tc>
          <w:tcPr>
            <w:tcW w:w="6521" w:type="dxa"/>
            <w:vAlign w:val="center"/>
          </w:tcPr>
          <w:p w14:paraId="25305180" w14:textId="77777777" w:rsidR="00383220" w:rsidRPr="00383220" w:rsidRDefault="00383220" w:rsidP="00357CD2">
            <w:pPr>
              <w:pStyle w:val="ListParagraph"/>
              <w:numPr>
                <w:ilvl w:val="0"/>
                <w:numId w:val="17"/>
              </w:numPr>
              <w:spacing w:before="0" w:after="0" w:line="264" w:lineRule="auto"/>
              <w:ind w:left="172" w:hanging="172"/>
              <w:rPr>
                <w:szCs w:val="20"/>
              </w:rPr>
            </w:pPr>
            <w:r w:rsidRPr="00383220">
              <w:rPr>
                <w:szCs w:val="20"/>
              </w:rPr>
              <w:t xml:space="preserve">Liste et contacts des parties prenantes </w:t>
            </w:r>
          </w:p>
          <w:p w14:paraId="49B359D7" w14:textId="77777777" w:rsidR="00383220" w:rsidRPr="00383220" w:rsidRDefault="00383220" w:rsidP="00357CD2">
            <w:pPr>
              <w:pStyle w:val="ListParagraph"/>
              <w:numPr>
                <w:ilvl w:val="0"/>
                <w:numId w:val="17"/>
              </w:numPr>
              <w:spacing w:before="0" w:after="0" w:line="264" w:lineRule="auto"/>
              <w:ind w:left="172" w:hanging="172"/>
              <w:rPr>
                <w:szCs w:val="20"/>
              </w:rPr>
            </w:pPr>
            <w:r w:rsidRPr="00383220">
              <w:rPr>
                <w:szCs w:val="20"/>
              </w:rPr>
              <w:t xml:space="preserve">Liste des bénéficiaires directs par type d’appui, genre et ethnie </w:t>
            </w:r>
          </w:p>
          <w:p w14:paraId="008A6BBE" w14:textId="77777777" w:rsidR="00383220" w:rsidRPr="00383220" w:rsidRDefault="00383220" w:rsidP="00357CD2">
            <w:pPr>
              <w:pStyle w:val="ListParagraph"/>
              <w:numPr>
                <w:ilvl w:val="0"/>
                <w:numId w:val="17"/>
              </w:numPr>
              <w:spacing w:before="0" w:after="0" w:line="264" w:lineRule="auto"/>
              <w:ind w:left="172" w:hanging="172"/>
              <w:rPr>
                <w:szCs w:val="20"/>
              </w:rPr>
            </w:pPr>
            <w:r w:rsidRPr="00383220">
              <w:rPr>
                <w:szCs w:val="20"/>
              </w:rPr>
              <w:t xml:space="preserve">Répartition des bénéficiaires par type d’appui et par région avec désagrégation par Genre et ethnie </w:t>
            </w:r>
          </w:p>
        </w:tc>
      </w:tr>
      <w:tr w:rsidR="00383220" w14:paraId="6D38FE53" w14:textId="77777777" w:rsidTr="007D2025">
        <w:trPr>
          <w:trHeight w:val="397"/>
        </w:trPr>
        <w:tc>
          <w:tcPr>
            <w:tcW w:w="2405" w:type="dxa"/>
            <w:vAlign w:val="center"/>
          </w:tcPr>
          <w:p w14:paraId="0AA883E4" w14:textId="77777777" w:rsidR="00383220" w:rsidRPr="00383220" w:rsidRDefault="00383220" w:rsidP="008D2A15">
            <w:pPr>
              <w:jc w:val="center"/>
              <w:rPr>
                <w:szCs w:val="20"/>
              </w:rPr>
            </w:pPr>
            <w:r w:rsidRPr="00383220">
              <w:rPr>
                <w:szCs w:val="20"/>
              </w:rPr>
              <w:t>Documents d’évaluation</w:t>
            </w:r>
          </w:p>
        </w:tc>
        <w:tc>
          <w:tcPr>
            <w:tcW w:w="6521" w:type="dxa"/>
            <w:vAlign w:val="center"/>
          </w:tcPr>
          <w:p w14:paraId="7DD866C4" w14:textId="77777777" w:rsidR="00383220" w:rsidRPr="00383220" w:rsidRDefault="00383220" w:rsidP="00357CD2">
            <w:pPr>
              <w:pStyle w:val="ListParagraph"/>
              <w:numPr>
                <w:ilvl w:val="0"/>
                <w:numId w:val="17"/>
              </w:numPr>
              <w:spacing w:before="0" w:after="0" w:line="264" w:lineRule="auto"/>
              <w:ind w:left="172" w:hanging="172"/>
              <w:rPr>
                <w:szCs w:val="20"/>
              </w:rPr>
            </w:pPr>
            <w:r w:rsidRPr="00383220">
              <w:rPr>
                <w:szCs w:val="20"/>
              </w:rPr>
              <w:t xml:space="preserve">Guide UNCDF d’évaluation de projet </w:t>
            </w:r>
          </w:p>
          <w:p w14:paraId="71EB5C18" w14:textId="77777777" w:rsidR="00383220" w:rsidRPr="00383220" w:rsidRDefault="00383220" w:rsidP="00357CD2">
            <w:pPr>
              <w:pStyle w:val="ListParagraph"/>
              <w:numPr>
                <w:ilvl w:val="0"/>
                <w:numId w:val="17"/>
              </w:numPr>
              <w:spacing w:before="0" w:after="0" w:line="264" w:lineRule="auto"/>
              <w:ind w:left="172" w:hanging="172"/>
              <w:rPr>
                <w:szCs w:val="20"/>
              </w:rPr>
            </w:pPr>
            <w:r w:rsidRPr="00383220">
              <w:rPr>
                <w:szCs w:val="20"/>
              </w:rPr>
              <w:t xml:space="preserve">Process d’évaluation SOP </w:t>
            </w:r>
          </w:p>
        </w:tc>
      </w:tr>
      <w:tr w:rsidR="00383220" w:rsidRPr="003C439B" w14:paraId="0E80647D" w14:textId="77777777" w:rsidTr="007D2025">
        <w:trPr>
          <w:trHeight w:val="397"/>
        </w:trPr>
        <w:tc>
          <w:tcPr>
            <w:tcW w:w="2405" w:type="dxa"/>
            <w:vAlign w:val="center"/>
          </w:tcPr>
          <w:p w14:paraId="3E81AEDD" w14:textId="77777777" w:rsidR="00383220" w:rsidRPr="00383220" w:rsidRDefault="00383220" w:rsidP="008D2A15">
            <w:pPr>
              <w:jc w:val="center"/>
              <w:rPr>
                <w:szCs w:val="20"/>
              </w:rPr>
            </w:pPr>
            <w:r w:rsidRPr="00383220">
              <w:rPr>
                <w:szCs w:val="20"/>
              </w:rPr>
              <w:t xml:space="preserve">Documents de communication </w:t>
            </w:r>
          </w:p>
        </w:tc>
        <w:tc>
          <w:tcPr>
            <w:tcW w:w="6521" w:type="dxa"/>
            <w:vAlign w:val="center"/>
          </w:tcPr>
          <w:p w14:paraId="101E1FBE" w14:textId="77777777" w:rsidR="00383220" w:rsidRPr="00383220" w:rsidRDefault="00383220" w:rsidP="00357CD2">
            <w:pPr>
              <w:pStyle w:val="ListParagraph"/>
              <w:numPr>
                <w:ilvl w:val="0"/>
                <w:numId w:val="17"/>
              </w:numPr>
              <w:spacing w:before="0" w:after="0" w:line="264" w:lineRule="auto"/>
              <w:ind w:left="172" w:hanging="172"/>
              <w:rPr>
                <w:szCs w:val="20"/>
              </w:rPr>
            </w:pPr>
            <w:r w:rsidRPr="00383220">
              <w:rPr>
                <w:szCs w:val="20"/>
              </w:rPr>
              <w:t xml:space="preserve">Project Brief Juin 2025 </w:t>
            </w:r>
          </w:p>
          <w:p w14:paraId="6EB46C20" w14:textId="77777777" w:rsidR="00383220" w:rsidRPr="00383220" w:rsidRDefault="00383220" w:rsidP="00357CD2">
            <w:pPr>
              <w:pStyle w:val="ListParagraph"/>
              <w:numPr>
                <w:ilvl w:val="0"/>
                <w:numId w:val="17"/>
              </w:numPr>
              <w:spacing w:before="0" w:after="0" w:line="264" w:lineRule="auto"/>
              <w:ind w:left="172" w:hanging="172"/>
              <w:rPr>
                <w:szCs w:val="20"/>
              </w:rPr>
            </w:pPr>
            <w:r w:rsidRPr="00383220">
              <w:rPr>
                <w:szCs w:val="20"/>
              </w:rPr>
              <w:t xml:space="preserve">Document de présentation des projets Kibira au Burundi et </w:t>
            </w:r>
            <w:proofErr w:type="spellStart"/>
            <w:r w:rsidRPr="00383220">
              <w:rPr>
                <w:szCs w:val="20"/>
              </w:rPr>
              <w:t>Kahuzi</w:t>
            </w:r>
            <w:proofErr w:type="spellEnd"/>
            <w:r w:rsidRPr="00383220">
              <w:rPr>
                <w:szCs w:val="20"/>
              </w:rPr>
              <w:t xml:space="preserve"> Biega en RDC</w:t>
            </w:r>
          </w:p>
          <w:p w14:paraId="1AA4F8FE" w14:textId="77777777" w:rsidR="00383220" w:rsidRPr="00383220" w:rsidRDefault="00383220" w:rsidP="00357CD2">
            <w:pPr>
              <w:pStyle w:val="ListParagraph"/>
              <w:numPr>
                <w:ilvl w:val="0"/>
                <w:numId w:val="17"/>
              </w:numPr>
              <w:spacing w:before="0" w:after="0" w:line="264" w:lineRule="auto"/>
              <w:ind w:left="172" w:hanging="172"/>
              <w:rPr>
                <w:szCs w:val="20"/>
              </w:rPr>
            </w:pPr>
            <w:r w:rsidRPr="00383220">
              <w:rPr>
                <w:szCs w:val="20"/>
              </w:rPr>
              <w:t xml:space="preserve">Document de présentation du projet actualisé </w:t>
            </w:r>
          </w:p>
          <w:p w14:paraId="45F0FB5E" w14:textId="77777777" w:rsidR="00383220" w:rsidRPr="00383220" w:rsidRDefault="00383220" w:rsidP="00357CD2">
            <w:pPr>
              <w:pStyle w:val="ListParagraph"/>
              <w:numPr>
                <w:ilvl w:val="0"/>
                <w:numId w:val="17"/>
              </w:numPr>
              <w:spacing w:before="0" w:after="0" w:line="264" w:lineRule="auto"/>
              <w:ind w:left="172" w:hanging="172"/>
              <w:rPr>
                <w:szCs w:val="20"/>
              </w:rPr>
            </w:pPr>
            <w:r w:rsidRPr="00383220">
              <w:rPr>
                <w:szCs w:val="20"/>
              </w:rPr>
              <w:t>Rapport de visite UNCDF au Burundi et Rwanda</w:t>
            </w:r>
          </w:p>
          <w:p w14:paraId="48E82FD9" w14:textId="77777777" w:rsidR="00383220" w:rsidRPr="00383220" w:rsidRDefault="00383220" w:rsidP="00357CD2">
            <w:pPr>
              <w:pStyle w:val="ListParagraph"/>
              <w:numPr>
                <w:ilvl w:val="0"/>
                <w:numId w:val="17"/>
              </w:numPr>
              <w:spacing w:before="0" w:after="0" w:line="264" w:lineRule="auto"/>
              <w:ind w:left="172" w:hanging="172"/>
              <w:rPr>
                <w:szCs w:val="20"/>
              </w:rPr>
            </w:pPr>
            <w:r w:rsidRPr="00383220">
              <w:rPr>
                <w:szCs w:val="20"/>
              </w:rPr>
              <w:t xml:space="preserve">Photos et vidéos </w:t>
            </w:r>
          </w:p>
        </w:tc>
      </w:tr>
    </w:tbl>
    <w:p w14:paraId="087BE661" w14:textId="77777777" w:rsidR="003E62D9" w:rsidRPr="000375E8" w:rsidRDefault="003E62D9" w:rsidP="00AF5E84"/>
    <w:p w14:paraId="7BDAAD57" w14:textId="77777777" w:rsidR="003E62D9" w:rsidRPr="000375E8" w:rsidRDefault="003E62D9">
      <w:pPr>
        <w:spacing w:before="0" w:after="160"/>
        <w:rPr>
          <w:rFonts w:eastAsiaTheme="majorEastAsia" w:cstheme="majorBidi"/>
          <w:b/>
          <w:caps/>
          <w:color w:val="000099"/>
          <w:sz w:val="22"/>
          <w:szCs w:val="26"/>
        </w:rPr>
      </w:pPr>
      <w:r w:rsidRPr="000375E8">
        <w:rPr>
          <w:color w:val="000099"/>
        </w:rPr>
        <w:br w:type="page"/>
      </w:r>
    </w:p>
    <w:p w14:paraId="43CC16FF" w14:textId="2C4F5E20" w:rsidR="003E62D9" w:rsidRPr="003E62D9" w:rsidRDefault="003E62D9" w:rsidP="003E62D9">
      <w:pPr>
        <w:pStyle w:val="Heading2"/>
        <w:jc w:val="both"/>
        <w:rPr>
          <w:rFonts w:ascii="Open Sans" w:hAnsi="Open Sans"/>
          <w:color w:val="000099"/>
        </w:rPr>
      </w:pPr>
      <w:bookmarkStart w:id="66" w:name="_Toc216948993"/>
      <w:r w:rsidRPr="003E62D9">
        <w:rPr>
          <w:rFonts w:ascii="Open Sans" w:hAnsi="Open Sans"/>
          <w:color w:val="000099"/>
        </w:rPr>
        <w:lastRenderedPageBreak/>
        <w:t>Annexe 7 : Etudes de cas</w:t>
      </w:r>
      <w:bookmarkEnd w:id="66"/>
    </w:p>
    <w:p w14:paraId="4691007A" w14:textId="77777777" w:rsidR="003E62D9" w:rsidRPr="003E62D9" w:rsidRDefault="003E62D9" w:rsidP="00AF5E84"/>
    <w:p w14:paraId="3BA0196E" w14:textId="5983B3EA" w:rsidR="003E62D9" w:rsidRPr="00FC3E61" w:rsidRDefault="003E62D9" w:rsidP="00AF5E84">
      <w:pPr>
        <w:rPr>
          <w:b/>
          <w:bCs/>
          <w:color w:val="000099"/>
          <w:sz w:val="22"/>
          <w:szCs w:val="24"/>
        </w:rPr>
      </w:pPr>
      <w:r w:rsidRPr="00FC3E61">
        <w:rPr>
          <w:b/>
          <w:bCs/>
          <w:color w:val="000099"/>
          <w:sz w:val="22"/>
          <w:szCs w:val="24"/>
        </w:rPr>
        <w:t xml:space="preserve">Etude de cas 1 : Effet catalytique du financement mixte : Le projet hydroélectrique de </w:t>
      </w:r>
      <w:proofErr w:type="spellStart"/>
      <w:r w:rsidRPr="00FC3E61">
        <w:rPr>
          <w:b/>
          <w:bCs/>
          <w:color w:val="000099"/>
          <w:sz w:val="22"/>
          <w:szCs w:val="24"/>
        </w:rPr>
        <w:t>Mpanda</w:t>
      </w:r>
      <w:proofErr w:type="spellEnd"/>
      <w:r w:rsidRPr="00FC3E61">
        <w:rPr>
          <w:b/>
          <w:bCs/>
          <w:color w:val="000099"/>
          <w:sz w:val="22"/>
          <w:szCs w:val="24"/>
        </w:rPr>
        <w:t xml:space="preserve"> comme modèle de mobilisation de l'investissement privé pour la consolidation de la paix</w:t>
      </w:r>
    </w:p>
    <w:p w14:paraId="46AB189E" w14:textId="77777777" w:rsidR="00AF5E84" w:rsidRPr="001326E3" w:rsidRDefault="00AF5E84" w:rsidP="00AF5E84">
      <w:pPr>
        <w:rPr>
          <w:sz w:val="10"/>
          <w:szCs w:val="10"/>
        </w:rPr>
      </w:pPr>
    </w:p>
    <w:p w14:paraId="505BC593" w14:textId="6EB3BBE3" w:rsidR="00FC3E61" w:rsidRPr="00FC3E61" w:rsidRDefault="00FC3E61" w:rsidP="00FC3E61">
      <w:pPr>
        <w:spacing w:line="240" w:lineRule="auto"/>
        <w:jc w:val="both"/>
        <w:rPr>
          <w:b/>
          <w:bCs/>
          <w:color w:val="000099"/>
        </w:rPr>
      </w:pPr>
      <w:r w:rsidRPr="00FC3E61">
        <w:rPr>
          <w:b/>
          <w:bCs/>
          <w:color w:val="000099"/>
        </w:rPr>
        <w:t xml:space="preserve">1. </w:t>
      </w:r>
      <w:r>
        <w:rPr>
          <w:b/>
          <w:bCs/>
          <w:color w:val="000099"/>
        </w:rPr>
        <w:t>Introduction</w:t>
      </w:r>
    </w:p>
    <w:p w14:paraId="6BB77636" w14:textId="12606AF8" w:rsidR="00FC3E61" w:rsidRPr="00FC3E61" w:rsidRDefault="008818FC" w:rsidP="00FC3E61">
      <w:pPr>
        <w:spacing w:line="240" w:lineRule="auto"/>
        <w:jc w:val="both"/>
      </w:pPr>
      <w:r w:rsidRPr="00FC3E61">
        <w:t>Cette étude illustre une innovation en financement mixte appliquée à la consolidation de la paix en contexte post-conflit avec enjeux environnementaux critiques.</w:t>
      </w:r>
      <w:r>
        <w:t xml:space="preserve"> Elle</w:t>
      </w:r>
      <w:r w:rsidR="00FC3E61" w:rsidRPr="00FC3E61">
        <w:t xml:space="preserve"> documente comment un investissement public concessionnel stratégique de 1,5 million USD du Peace</w:t>
      </w:r>
      <w:r w:rsidR="000716E7">
        <w:t xml:space="preserve"> B</w:t>
      </w:r>
      <w:r w:rsidR="00FC3E61" w:rsidRPr="00FC3E61">
        <w:t xml:space="preserve">uilding Fund a transformé un projet hydroélectrique abandonné en </w:t>
      </w:r>
      <w:r w:rsidR="000716E7">
        <w:t xml:space="preserve">une </w:t>
      </w:r>
      <w:r w:rsidR="00FC3E61" w:rsidRPr="00FC3E61">
        <w:t xml:space="preserve">opportunité bancable, </w:t>
      </w:r>
      <w:r w:rsidR="00F316C5">
        <w:t>c</w:t>
      </w:r>
      <w:r w:rsidR="00F316C5" w:rsidRPr="00F316C5">
        <w:t xml:space="preserve">réant les conditions d'une mobilisation potentielle de plus de 40 millions USD d'investissements (ratio de levier potentiel </w:t>
      </w:r>
      <w:proofErr w:type="gramStart"/>
      <w:r w:rsidR="00F316C5" w:rsidRPr="00F316C5">
        <w:t>1:</w:t>
      </w:r>
      <w:proofErr w:type="gramEnd"/>
      <w:r w:rsidR="00F316C5" w:rsidRPr="00F316C5">
        <w:t>27) et jetant les bases d'une contribution substantielle à la consolidation de la paix, à la conservation environnementale et au développement énergétique</w:t>
      </w:r>
      <w:r w:rsidR="00FC3E61" w:rsidRPr="00FC3E61">
        <w:t>.</w:t>
      </w:r>
      <w:r>
        <w:t xml:space="preserve"> </w:t>
      </w:r>
      <w:r w:rsidR="00E5623F" w:rsidRPr="00E5623F">
        <w:t xml:space="preserve">Trois messages clés émergent : le financement mixte stratégiquement déployé peut créer les conditions d'un effet de levier exceptionnel (ratio potentiel 1:27), le </w:t>
      </w:r>
      <w:proofErr w:type="spellStart"/>
      <w:r w:rsidR="00E5623F" w:rsidRPr="00E5623F">
        <w:t>dérisquage</w:t>
      </w:r>
      <w:proofErr w:type="spellEnd"/>
      <w:r w:rsidR="00E5623F" w:rsidRPr="00E5623F">
        <w:t xml:space="preserve"> d'investissements privés en contextes fragiles nécessite une approche intégrée (due diligence</w:t>
      </w:r>
      <w:r w:rsidR="00E5623F">
        <w:t>,</w:t>
      </w:r>
      <w:r w:rsidR="00E5623F" w:rsidRPr="00E5623F">
        <w:t xml:space="preserve"> interventions communautaires</w:t>
      </w:r>
      <w:r w:rsidR="00E5623F">
        <w:t>,</w:t>
      </w:r>
      <w:r w:rsidR="00E5623F" w:rsidRPr="00E5623F">
        <w:t xml:space="preserve"> gouvernance solide), et la transformation de projets abandonnés en opportunités bancables est possible mais nécessite du temps, de la flexibilité et une vision dépassant les cycles </w:t>
      </w:r>
      <w:r w:rsidR="00E5623F">
        <w:t xml:space="preserve">de projets </w:t>
      </w:r>
      <w:r w:rsidR="00E5623F" w:rsidRPr="00E5623F">
        <w:t xml:space="preserve">standards de </w:t>
      </w:r>
      <w:r w:rsidR="00E5623F">
        <w:t>trois</w:t>
      </w:r>
      <w:r w:rsidR="00E5623F" w:rsidRPr="00E5623F">
        <w:t xml:space="preserve"> ans</w:t>
      </w:r>
      <w:r w:rsidR="00FC3E61" w:rsidRPr="00FC3E61">
        <w:t xml:space="preserve">. </w:t>
      </w:r>
    </w:p>
    <w:p w14:paraId="156D4AFA" w14:textId="77777777" w:rsidR="00FC3E61" w:rsidRPr="00017379" w:rsidRDefault="00FC3E61" w:rsidP="00FC3E61">
      <w:pPr>
        <w:spacing w:line="240" w:lineRule="auto"/>
        <w:jc w:val="both"/>
        <w:rPr>
          <w:b/>
          <w:bCs/>
          <w:sz w:val="10"/>
          <w:szCs w:val="10"/>
        </w:rPr>
      </w:pPr>
    </w:p>
    <w:p w14:paraId="1F0AF1D6" w14:textId="12E091FB" w:rsidR="00FC3E61" w:rsidRPr="00FC3E61" w:rsidRDefault="00FC3E61" w:rsidP="00FC3E61">
      <w:pPr>
        <w:spacing w:line="240" w:lineRule="auto"/>
        <w:jc w:val="both"/>
        <w:rPr>
          <w:b/>
          <w:bCs/>
          <w:color w:val="000099"/>
        </w:rPr>
      </w:pPr>
      <w:r w:rsidRPr="00FC3E61">
        <w:rPr>
          <w:b/>
          <w:bCs/>
          <w:color w:val="000099"/>
        </w:rPr>
        <w:t xml:space="preserve">2. </w:t>
      </w:r>
      <w:r>
        <w:rPr>
          <w:b/>
          <w:bCs/>
          <w:color w:val="000099"/>
        </w:rPr>
        <w:t>La situation initiale</w:t>
      </w:r>
      <w:r w:rsidR="004638C1">
        <w:rPr>
          <w:b/>
          <w:bCs/>
          <w:color w:val="000099"/>
        </w:rPr>
        <w:t xml:space="preserve"> et stratégie de transformation </w:t>
      </w:r>
    </w:p>
    <w:p w14:paraId="1C63CCDE" w14:textId="77777777" w:rsidR="000919E9" w:rsidRPr="000919E9" w:rsidRDefault="00FC3E61" w:rsidP="000919E9">
      <w:pPr>
        <w:spacing w:line="240" w:lineRule="auto"/>
        <w:jc w:val="both"/>
      </w:pPr>
      <w:r w:rsidRPr="00FC3E61">
        <w:t xml:space="preserve">Le projet hydroélectrique de </w:t>
      </w:r>
      <w:proofErr w:type="spellStart"/>
      <w:r w:rsidRPr="00FC3E61">
        <w:t>Mpanda</w:t>
      </w:r>
      <w:proofErr w:type="spellEnd"/>
      <w:r w:rsidRPr="00FC3E61">
        <w:t xml:space="preserve"> (10,2 MW), initié </w:t>
      </w:r>
      <w:r w:rsidR="008818FC">
        <w:t xml:space="preserve">par l’Etat </w:t>
      </w:r>
      <w:r w:rsidRPr="00FC3E61">
        <w:t>en 20</w:t>
      </w:r>
      <w:r w:rsidR="008818FC">
        <w:t>07</w:t>
      </w:r>
      <w:r w:rsidRPr="00FC3E61">
        <w:t xml:space="preserve"> puis abandonné</w:t>
      </w:r>
      <w:r w:rsidR="008818FC">
        <w:t xml:space="preserve"> en 2017</w:t>
      </w:r>
      <w:r w:rsidRPr="00FC3E61">
        <w:t xml:space="preserve">, laissait des infrastructures partiellement construites à l'abandon. </w:t>
      </w:r>
      <w:r w:rsidR="000919E9" w:rsidRPr="000919E9">
        <w:t>Le Burundi faisait face à un déficit énergétique chronique tandis que le Parc National de la Kibira subissait une pression croissante sans mécanisme de financement durable pour la conservation. Les défis incluaient la perception de risque élevé par les investisseurs, les incertitudes environnementales et sociales, l'absence de gouvernance convergente, et la complexité du montage PPP en contexte fragile.</w:t>
      </w:r>
    </w:p>
    <w:p w14:paraId="3BB71F84" w14:textId="3C66BD1B" w:rsidR="000919E9" w:rsidRPr="000919E9" w:rsidRDefault="000919E9" w:rsidP="000919E9">
      <w:pPr>
        <w:spacing w:line="240" w:lineRule="auto"/>
        <w:jc w:val="both"/>
      </w:pPr>
      <w:r w:rsidRPr="000919E9">
        <w:t xml:space="preserve">Le projet </w:t>
      </w:r>
      <w:r w:rsidR="00C96728">
        <w:t xml:space="preserve">« Kibira Sanctuaire de Paix » </w:t>
      </w:r>
      <w:r w:rsidRPr="000919E9">
        <w:t xml:space="preserve">a octroyé une subvention de 1,5 M$ à </w:t>
      </w:r>
      <w:proofErr w:type="spellStart"/>
      <w:r w:rsidRPr="000919E9">
        <w:t>Hydroneo</w:t>
      </w:r>
      <w:proofErr w:type="spellEnd"/>
      <w:r w:rsidRPr="000919E9">
        <w:t>, l'entreprise ayant signé un accord PPP avec l'État burundais pour construire et exploiter la centrale pendant 25 ans. Cette subvention a financé les études environnementales et sociales</w:t>
      </w:r>
      <w:r w:rsidR="00C96728">
        <w:t xml:space="preserve"> </w:t>
      </w:r>
      <w:r w:rsidRPr="000919E9">
        <w:t xml:space="preserve">et les travaux prioritaires de </w:t>
      </w:r>
      <w:proofErr w:type="spellStart"/>
      <w:r w:rsidRPr="000919E9">
        <w:t>dérisquage</w:t>
      </w:r>
      <w:proofErr w:type="spellEnd"/>
      <w:r w:rsidRPr="000919E9">
        <w:t xml:space="preserve"> : stabilisation des sols, canalisations d'eau pluviales, remblais de ravins, routes d'accès. En parallèle, le projet a mené la sensibilisation et le développement communautaire, établi la Fondation Kibira comme interface multi-acteurs, négocié le mécanisme PSE (150 k$/an sur 10 ans), et facilité l'accès au financement commercial.</w:t>
      </w:r>
    </w:p>
    <w:p w14:paraId="4F30F098" w14:textId="77777777" w:rsidR="003206DC" w:rsidRDefault="000919E9" w:rsidP="003206DC">
      <w:pPr>
        <w:spacing w:after="0" w:line="240" w:lineRule="auto"/>
        <w:jc w:val="both"/>
      </w:pPr>
      <w:r w:rsidRPr="000919E9">
        <w:t xml:space="preserve">Les résultats démontrent une transformation significative : </w:t>
      </w:r>
    </w:p>
    <w:p w14:paraId="28E510AC" w14:textId="77777777" w:rsidR="002170B1" w:rsidRDefault="003206DC" w:rsidP="00357CD2">
      <w:pPr>
        <w:pStyle w:val="ListParagraph"/>
        <w:numPr>
          <w:ilvl w:val="0"/>
          <w:numId w:val="16"/>
        </w:numPr>
        <w:spacing w:before="0" w:line="240" w:lineRule="auto"/>
        <w:ind w:left="357" w:hanging="357"/>
        <w:jc w:val="both"/>
      </w:pPr>
      <w:r>
        <w:t>L</w:t>
      </w:r>
      <w:r w:rsidR="000919E9" w:rsidRPr="000919E9">
        <w:t xml:space="preserve">e projet abandonné est devenu bancable avec </w:t>
      </w:r>
      <w:r w:rsidR="00C96728">
        <w:t>le</w:t>
      </w:r>
      <w:r w:rsidR="000919E9" w:rsidRPr="000919E9">
        <w:t xml:space="preserve"> lancement des travaux en 2024. </w:t>
      </w:r>
    </w:p>
    <w:p w14:paraId="57832BC3" w14:textId="77777777" w:rsidR="002170B1" w:rsidRDefault="000919E9" w:rsidP="00357CD2">
      <w:pPr>
        <w:pStyle w:val="ListParagraph"/>
        <w:numPr>
          <w:ilvl w:val="0"/>
          <w:numId w:val="16"/>
        </w:numPr>
        <w:spacing w:before="0" w:line="240" w:lineRule="auto"/>
        <w:ind w:left="357" w:hanging="357"/>
        <w:jc w:val="both"/>
      </w:pPr>
      <w:r w:rsidRPr="000919E9">
        <w:t xml:space="preserve">Le potentiel de levier est exceptionnel (ratio </w:t>
      </w:r>
      <w:proofErr w:type="gramStart"/>
      <w:r w:rsidRPr="000919E9">
        <w:t>1:</w:t>
      </w:r>
      <w:proofErr w:type="gramEnd"/>
      <w:r w:rsidRPr="000919E9">
        <w:t xml:space="preserve">27), bien qu'à la date de l'évaluation </w:t>
      </w:r>
      <w:proofErr w:type="spellStart"/>
      <w:r w:rsidRPr="000919E9">
        <w:t>Hydroneo</w:t>
      </w:r>
      <w:proofErr w:type="spellEnd"/>
      <w:r w:rsidRPr="000919E9">
        <w:t xml:space="preserve"> n'ait pas encore finalisé la mobilisation des financements. </w:t>
      </w:r>
    </w:p>
    <w:p w14:paraId="5A83AA1F" w14:textId="77777777" w:rsidR="002170B1" w:rsidRDefault="000919E9" w:rsidP="00357CD2">
      <w:pPr>
        <w:pStyle w:val="ListParagraph"/>
        <w:numPr>
          <w:ilvl w:val="0"/>
          <w:numId w:val="16"/>
        </w:numPr>
        <w:spacing w:before="0" w:line="240" w:lineRule="auto"/>
        <w:ind w:left="357" w:hanging="357"/>
        <w:jc w:val="both"/>
      </w:pPr>
      <w:r w:rsidRPr="000919E9">
        <w:t xml:space="preserve">La phase préparatoire a créé 150 emplois directs, </w:t>
      </w:r>
      <w:r w:rsidR="003206DC">
        <w:t xml:space="preserve">ce qui a permis d’améliorer </w:t>
      </w:r>
      <w:r w:rsidRPr="000919E9">
        <w:t xml:space="preserve">la situation </w:t>
      </w:r>
      <w:r w:rsidR="003206DC">
        <w:t xml:space="preserve">économique </w:t>
      </w:r>
      <w:r w:rsidRPr="000919E9">
        <w:t xml:space="preserve">de nombreux ménages à </w:t>
      </w:r>
      <w:proofErr w:type="spellStart"/>
      <w:r w:rsidRPr="000919E9">
        <w:t>Muyebe</w:t>
      </w:r>
      <w:proofErr w:type="spellEnd"/>
      <w:r w:rsidRPr="000919E9">
        <w:t xml:space="preserve">. </w:t>
      </w:r>
    </w:p>
    <w:p w14:paraId="2847702B" w14:textId="77777777" w:rsidR="002170B1" w:rsidRDefault="000919E9" w:rsidP="00357CD2">
      <w:pPr>
        <w:pStyle w:val="ListParagraph"/>
        <w:numPr>
          <w:ilvl w:val="0"/>
          <w:numId w:val="16"/>
        </w:numPr>
        <w:spacing w:before="0" w:line="240" w:lineRule="auto"/>
        <w:ind w:left="357" w:hanging="357"/>
        <w:jc w:val="both"/>
      </w:pPr>
      <w:r w:rsidRPr="000919E9">
        <w:t xml:space="preserve">Les perceptions communautaires sont passées d'hostiles à favorables. </w:t>
      </w:r>
    </w:p>
    <w:p w14:paraId="3701E97A" w14:textId="77777777" w:rsidR="002170B1" w:rsidRDefault="000919E9" w:rsidP="00357CD2">
      <w:pPr>
        <w:pStyle w:val="ListParagraph"/>
        <w:numPr>
          <w:ilvl w:val="0"/>
          <w:numId w:val="16"/>
        </w:numPr>
        <w:spacing w:before="0" w:line="240" w:lineRule="auto"/>
        <w:ind w:left="357" w:hanging="357"/>
        <w:jc w:val="both"/>
      </w:pPr>
      <w:r w:rsidRPr="000919E9">
        <w:t xml:space="preserve">Le PSE formellement établi garantit un financement futur pour la Fondation. </w:t>
      </w:r>
    </w:p>
    <w:p w14:paraId="7B40CDA3" w14:textId="55E79B71" w:rsidR="000919E9" w:rsidRPr="000919E9" w:rsidRDefault="000919E9" w:rsidP="002170B1">
      <w:pPr>
        <w:spacing w:before="0" w:line="240" w:lineRule="auto"/>
        <w:jc w:val="both"/>
      </w:pPr>
      <w:r w:rsidRPr="000919E9">
        <w:t xml:space="preserve">Cependant, la production énergétique, les emplois d'exploitation et la mobilisation effective des </w:t>
      </w:r>
      <w:r w:rsidR="002170B1">
        <w:t>financements</w:t>
      </w:r>
      <w:r w:rsidRPr="000919E9">
        <w:t xml:space="preserve"> demeurent à concrétiser après la clôture du projet.</w:t>
      </w:r>
    </w:p>
    <w:p w14:paraId="37C02CBE" w14:textId="77777777" w:rsidR="00EC4D4A" w:rsidRDefault="00EC4D4A" w:rsidP="00FC3E61">
      <w:pPr>
        <w:spacing w:line="240" w:lineRule="auto"/>
        <w:jc w:val="both"/>
      </w:pPr>
    </w:p>
    <w:p w14:paraId="376156DA" w14:textId="2820B081" w:rsidR="000919E9" w:rsidRPr="000919E9" w:rsidRDefault="000919E9" w:rsidP="000919E9">
      <w:pPr>
        <w:spacing w:line="240" w:lineRule="auto"/>
        <w:jc w:val="both"/>
        <w:rPr>
          <w:b/>
          <w:bCs/>
          <w:color w:val="000099"/>
        </w:rPr>
      </w:pPr>
      <w:r w:rsidRPr="000919E9">
        <w:rPr>
          <w:b/>
          <w:bCs/>
          <w:color w:val="000099"/>
        </w:rPr>
        <w:lastRenderedPageBreak/>
        <w:t xml:space="preserve">3. </w:t>
      </w:r>
      <w:r w:rsidR="00BA3C03">
        <w:rPr>
          <w:b/>
          <w:bCs/>
          <w:color w:val="000099"/>
        </w:rPr>
        <w:t>Analyse</w:t>
      </w:r>
    </w:p>
    <w:p w14:paraId="2C4DBEC4" w14:textId="464CEB88" w:rsidR="000919E9" w:rsidRPr="000919E9" w:rsidRDefault="000919E9" w:rsidP="000919E9">
      <w:pPr>
        <w:spacing w:line="240" w:lineRule="auto"/>
        <w:jc w:val="both"/>
      </w:pPr>
      <w:r w:rsidRPr="000919E9">
        <w:t xml:space="preserve">Cette expérience démontre que le financement mixte peut transformer des projets perçus comme trop risqués en opportunités bancables attractives, créant les conditions d'un effet de levier exceptionnel. La réalisation complète reste à confirmer, mais la transformation opérée valide le modèle de convergence entre intérêts économiques, conservation et paix. Les implications potentielles à long terme incluent : contribution énergétique de 10,2 MW (7% capacité nationale), </w:t>
      </w:r>
      <w:r w:rsidR="00EC4D4A">
        <w:t xml:space="preserve">création </w:t>
      </w:r>
      <w:r w:rsidRPr="000919E9">
        <w:t xml:space="preserve">d'emplois </w:t>
      </w:r>
      <w:r w:rsidR="00EC4D4A">
        <w:t>pour la construction et l’</w:t>
      </w:r>
      <w:r w:rsidRPr="000919E9">
        <w:t xml:space="preserve">exploitation, financement </w:t>
      </w:r>
      <w:r w:rsidR="00EC4D4A">
        <w:t xml:space="preserve">de la </w:t>
      </w:r>
      <w:r w:rsidRPr="000919E9">
        <w:t>conservation (PSE 1,5 M$ sur 10 ans)</w:t>
      </w:r>
      <w:r w:rsidR="00EC4D4A">
        <w:t xml:space="preserve"> et</w:t>
      </w:r>
      <w:r w:rsidRPr="000919E9">
        <w:t xml:space="preserve"> réduction </w:t>
      </w:r>
      <w:r w:rsidR="00EC4D4A">
        <w:t xml:space="preserve">des conflits. </w:t>
      </w:r>
    </w:p>
    <w:p w14:paraId="60ACE805" w14:textId="77777777" w:rsidR="00792378" w:rsidRDefault="000919E9" w:rsidP="000919E9">
      <w:pPr>
        <w:spacing w:line="240" w:lineRule="auto"/>
        <w:jc w:val="both"/>
      </w:pPr>
      <w:r w:rsidRPr="000919E9">
        <w:t xml:space="preserve">La durabilité conditionnelle dépend de la finalisation de la mobilisation des financements et de la mise en production. Les vulnérabilités incluent le risque que les financements ne se concrétisent pas entièrement, la dépendance à </w:t>
      </w:r>
      <w:proofErr w:type="spellStart"/>
      <w:r w:rsidRPr="000919E9">
        <w:t>Hydroneo</w:t>
      </w:r>
      <w:proofErr w:type="spellEnd"/>
      <w:r w:rsidRPr="000919E9">
        <w:t xml:space="preserve">, et les risques climatiques/politiques/réglementaires. Les facteurs clés de succès </w:t>
      </w:r>
      <w:r w:rsidR="005A4F40">
        <w:t>incluent</w:t>
      </w:r>
      <w:r w:rsidRPr="000919E9">
        <w:t xml:space="preserve"> : vision long terme, flexibilité, approche intégrée de </w:t>
      </w:r>
      <w:proofErr w:type="spellStart"/>
      <w:r w:rsidRPr="000919E9">
        <w:t>dérisquage</w:t>
      </w:r>
      <w:proofErr w:type="spellEnd"/>
      <w:r w:rsidRPr="000919E9">
        <w:t xml:space="preserve"> (techniques + sociales), qualité du partenaire privé, appui gouvernemental, et rôle catalytique </w:t>
      </w:r>
      <w:r w:rsidR="005A4F40">
        <w:t>de l’</w:t>
      </w:r>
      <w:r w:rsidRPr="000919E9">
        <w:t xml:space="preserve">UNCDF. </w:t>
      </w:r>
    </w:p>
    <w:p w14:paraId="3D9C2950" w14:textId="6CE67895" w:rsidR="000919E9" w:rsidRPr="000919E9" w:rsidRDefault="000919E9" w:rsidP="000919E9">
      <w:pPr>
        <w:spacing w:line="240" w:lineRule="auto"/>
        <w:jc w:val="both"/>
      </w:pPr>
      <w:r w:rsidRPr="000919E9">
        <w:t>L'attribution est partagée : le PBF a contribué directement via la subvention 1,5 M$ (</w:t>
      </w:r>
      <w:proofErr w:type="spellStart"/>
      <w:r w:rsidRPr="000919E9">
        <w:t>dérisquage</w:t>
      </w:r>
      <w:proofErr w:type="spellEnd"/>
      <w:r w:rsidRPr="000919E9">
        <w:t>, EIES), les interventions communautaires, et la structuration PSE. Les partenaires ont apporté l'engagement contractuel PPP (</w:t>
      </w:r>
      <w:proofErr w:type="spellStart"/>
      <w:r w:rsidRPr="000919E9">
        <w:t>Hydroneo</w:t>
      </w:r>
      <w:proofErr w:type="spellEnd"/>
      <w:r w:rsidRPr="000919E9">
        <w:t>), le cadre réglementaire (Gouvernement), et le processus de financement (institutions financières).</w:t>
      </w:r>
    </w:p>
    <w:p w14:paraId="16967DA5" w14:textId="77777777" w:rsidR="00C72801" w:rsidRPr="00220245" w:rsidRDefault="00C72801" w:rsidP="000919E9">
      <w:pPr>
        <w:spacing w:line="240" w:lineRule="auto"/>
        <w:jc w:val="both"/>
        <w:rPr>
          <w:b/>
          <w:bCs/>
          <w:color w:val="000099"/>
          <w:sz w:val="10"/>
          <w:szCs w:val="10"/>
        </w:rPr>
      </w:pPr>
    </w:p>
    <w:p w14:paraId="647E3737" w14:textId="18A9B7D7" w:rsidR="000919E9" w:rsidRPr="000919E9" w:rsidRDefault="000919E9" w:rsidP="000919E9">
      <w:pPr>
        <w:spacing w:line="240" w:lineRule="auto"/>
        <w:jc w:val="both"/>
        <w:rPr>
          <w:b/>
          <w:bCs/>
          <w:color w:val="000099"/>
        </w:rPr>
      </w:pPr>
      <w:r w:rsidRPr="000919E9">
        <w:rPr>
          <w:b/>
          <w:bCs/>
          <w:color w:val="000099"/>
        </w:rPr>
        <w:t xml:space="preserve">4. </w:t>
      </w:r>
      <w:r w:rsidR="00BA3C03">
        <w:rPr>
          <w:b/>
          <w:bCs/>
          <w:color w:val="000099"/>
        </w:rPr>
        <w:t>E</w:t>
      </w:r>
      <w:r w:rsidR="00BA3C03" w:rsidRPr="000919E9">
        <w:rPr>
          <w:b/>
          <w:bCs/>
          <w:color w:val="000099"/>
        </w:rPr>
        <w:t>nseignements et recommandations</w:t>
      </w:r>
    </w:p>
    <w:p w14:paraId="606E7AF7" w14:textId="4587CC86" w:rsidR="00F95359" w:rsidRDefault="00DE682D" w:rsidP="000919E9">
      <w:pPr>
        <w:spacing w:line="240" w:lineRule="auto"/>
        <w:jc w:val="both"/>
      </w:pPr>
      <w:r>
        <w:t xml:space="preserve">Principaux </w:t>
      </w:r>
      <w:r w:rsidR="000919E9" w:rsidRPr="000919E9">
        <w:t>enseignements</w:t>
      </w:r>
      <w:r>
        <w:t xml:space="preserve"> </w:t>
      </w:r>
      <w:r w:rsidR="000919E9" w:rsidRPr="000919E9">
        <w:t xml:space="preserve">: </w:t>
      </w:r>
    </w:p>
    <w:p w14:paraId="6F991B92" w14:textId="212EAC10" w:rsidR="00F95359" w:rsidRDefault="000919E9" w:rsidP="00357CD2">
      <w:pPr>
        <w:numPr>
          <w:ilvl w:val="0"/>
          <w:numId w:val="30"/>
        </w:numPr>
        <w:spacing w:before="0" w:after="0" w:line="240" w:lineRule="auto"/>
        <w:ind w:left="714" w:hanging="357"/>
        <w:jc w:val="both"/>
      </w:pPr>
      <w:r w:rsidRPr="000919E9">
        <w:t xml:space="preserve">Le financement mixte peut transformer des projets abandonnés en opportunités bancables, mais la </w:t>
      </w:r>
      <w:proofErr w:type="spellStart"/>
      <w:r w:rsidRPr="000919E9">
        <w:t>bancabilité</w:t>
      </w:r>
      <w:proofErr w:type="spellEnd"/>
      <w:r w:rsidRPr="000919E9">
        <w:t xml:space="preserve"> ne garantit pas la mobilisation automatique et rapide des financements commerciaux. </w:t>
      </w:r>
    </w:p>
    <w:p w14:paraId="6E2B1046" w14:textId="7E4F47E7" w:rsidR="00F95359" w:rsidRDefault="000919E9" w:rsidP="00357CD2">
      <w:pPr>
        <w:numPr>
          <w:ilvl w:val="0"/>
          <w:numId w:val="30"/>
        </w:numPr>
        <w:spacing w:before="0" w:after="0" w:line="240" w:lineRule="auto"/>
        <w:ind w:left="714" w:hanging="357"/>
        <w:jc w:val="both"/>
      </w:pPr>
      <w:r w:rsidRPr="000919E9">
        <w:t xml:space="preserve">Le </w:t>
      </w:r>
      <w:proofErr w:type="spellStart"/>
      <w:r w:rsidRPr="000919E9">
        <w:t>dérisquage</w:t>
      </w:r>
      <w:proofErr w:type="spellEnd"/>
      <w:r w:rsidRPr="000919E9">
        <w:t xml:space="preserve"> multidimensionnel (travaux techniques + études EIES + interventions sociales + gouvernance) réduit progressivement l'incertitude mais ne supprime pas tous les risques. </w:t>
      </w:r>
    </w:p>
    <w:p w14:paraId="299EB464" w14:textId="193BE46B" w:rsidR="00F95359" w:rsidRDefault="000919E9" w:rsidP="00357CD2">
      <w:pPr>
        <w:numPr>
          <w:ilvl w:val="0"/>
          <w:numId w:val="30"/>
        </w:numPr>
        <w:spacing w:before="0" w:after="0" w:line="240" w:lineRule="auto"/>
        <w:ind w:left="714" w:hanging="357"/>
        <w:jc w:val="both"/>
      </w:pPr>
      <w:r w:rsidRPr="000919E9">
        <w:t xml:space="preserve">Les mécanismes PSE créent une convergence durable mais leur efficacité dépend de la mise en production effective. </w:t>
      </w:r>
    </w:p>
    <w:p w14:paraId="38318F4A" w14:textId="388E9157" w:rsidR="00F95359" w:rsidRDefault="000919E9" w:rsidP="00357CD2">
      <w:pPr>
        <w:numPr>
          <w:ilvl w:val="0"/>
          <w:numId w:val="30"/>
        </w:numPr>
        <w:spacing w:before="0" w:after="0" w:line="240" w:lineRule="auto"/>
        <w:ind w:left="714" w:hanging="357"/>
        <w:jc w:val="both"/>
      </w:pPr>
      <w:r w:rsidRPr="000919E9">
        <w:t xml:space="preserve">L'acceptation communautaire est constructible par la sensibilisation, les emplois (même en phase préparatoire) et la participation à la gouvernance. </w:t>
      </w:r>
    </w:p>
    <w:p w14:paraId="648CFDAF" w14:textId="2A3F1006" w:rsidR="00F95359" w:rsidRDefault="000919E9" w:rsidP="00357CD2">
      <w:pPr>
        <w:numPr>
          <w:ilvl w:val="0"/>
          <w:numId w:val="30"/>
        </w:numPr>
        <w:spacing w:before="0" w:after="0" w:line="240" w:lineRule="auto"/>
        <w:ind w:left="714" w:hanging="357"/>
        <w:jc w:val="both"/>
      </w:pPr>
      <w:r w:rsidRPr="000919E9">
        <w:t xml:space="preserve">La transformation complète peut prendre 6-8 ans ou plus, dépassant largement les cycles standards. </w:t>
      </w:r>
    </w:p>
    <w:p w14:paraId="59193403" w14:textId="3640E910" w:rsidR="000919E9" w:rsidRPr="000919E9" w:rsidRDefault="000919E9" w:rsidP="00357CD2">
      <w:pPr>
        <w:numPr>
          <w:ilvl w:val="0"/>
          <w:numId w:val="30"/>
        </w:numPr>
        <w:spacing w:before="0" w:after="0" w:line="240" w:lineRule="auto"/>
        <w:ind w:left="714" w:hanging="357"/>
        <w:jc w:val="both"/>
      </w:pPr>
      <w:r w:rsidRPr="000919E9">
        <w:t>La qualité du partenaire privé est déterminante, mais même avec un partenaire sérieux, la mobilisation des financements peut prendre plus de temps que prévu.</w:t>
      </w:r>
    </w:p>
    <w:p w14:paraId="729BAD6F" w14:textId="77777777" w:rsidR="00F95359" w:rsidRDefault="00F95359" w:rsidP="00F95359">
      <w:pPr>
        <w:spacing w:before="0" w:after="0" w:line="240" w:lineRule="auto"/>
        <w:jc w:val="both"/>
      </w:pPr>
    </w:p>
    <w:p w14:paraId="1217DA9F" w14:textId="5C267C39" w:rsidR="00F95359" w:rsidRDefault="00DE682D" w:rsidP="00F95359">
      <w:pPr>
        <w:spacing w:before="0" w:after="0" w:line="240" w:lineRule="auto"/>
        <w:jc w:val="both"/>
      </w:pPr>
      <w:r>
        <w:t>R</w:t>
      </w:r>
      <w:r w:rsidR="000919E9" w:rsidRPr="000919E9">
        <w:t>ecommandations pratiques</w:t>
      </w:r>
      <w:r>
        <w:t xml:space="preserve"> </w:t>
      </w:r>
      <w:r w:rsidR="000919E9" w:rsidRPr="000919E9">
        <w:t xml:space="preserve">: </w:t>
      </w:r>
    </w:p>
    <w:p w14:paraId="378ED7E2" w14:textId="77777777" w:rsidR="00F95359" w:rsidRDefault="00F95359" w:rsidP="00357CD2">
      <w:pPr>
        <w:numPr>
          <w:ilvl w:val="0"/>
          <w:numId w:val="30"/>
        </w:numPr>
        <w:spacing w:before="0" w:after="0" w:line="240" w:lineRule="auto"/>
        <w:ind w:left="714" w:hanging="357"/>
        <w:jc w:val="both"/>
      </w:pPr>
      <w:r>
        <w:t>I</w:t>
      </w:r>
      <w:r w:rsidR="000919E9" w:rsidRPr="000919E9">
        <w:t xml:space="preserve">dentifier des projets abandonnés avec potentiel technique avéré, </w:t>
      </w:r>
    </w:p>
    <w:p w14:paraId="3CF44E95" w14:textId="77777777" w:rsidR="00F95359" w:rsidRDefault="00F95359" w:rsidP="00357CD2">
      <w:pPr>
        <w:numPr>
          <w:ilvl w:val="0"/>
          <w:numId w:val="30"/>
        </w:numPr>
        <w:spacing w:before="0" w:after="0" w:line="240" w:lineRule="auto"/>
        <w:ind w:left="714" w:hanging="357"/>
        <w:jc w:val="both"/>
      </w:pPr>
      <w:r>
        <w:t>I</w:t>
      </w:r>
      <w:r w:rsidR="000919E9" w:rsidRPr="000919E9">
        <w:t xml:space="preserve">nvestir suffisamment dans le </w:t>
      </w:r>
      <w:proofErr w:type="spellStart"/>
      <w:r w:rsidR="000919E9" w:rsidRPr="000919E9">
        <w:t>dérisquage</w:t>
      </w:r>
      <w:proofErr w:type="spellEnd"/>
      <w:r w:rsidR="000919E9" w:rsidRPr="000919E9">
        <w:t xml:space="preserve"> complet, </w:t>
      </w:r>
    </w:p>
    <w:p w14:paraId="24D99E47" w14:textId="2DE846E7" w:rsidR="00F95359" w:rsidRDefault="00F95359" w:rsidP="00357CD2">
      <w:pPr>
        <w:numPr>
          <w:ilvl w:val="0"/>
          <w:numId w:val="30"/>
        </w:numPr>
        <w:spacing w:before="0" w:after="0" w:line="240" w:lineRule="auto"/>
        <w:ind w:left="714" w:hanging="357"/>
        <w:jc w:val="both"/>
      </w:pPr>
      <w:r>
        <w:t>C</w:t>
      </w:r>
      <w:r w:rsidR="000919E9" w:rsidRPr="000919E9">
        <w:t xml:space="preserve">ibler des partenaires privés avec </w:t>
      </w:r>
      <w:r>
        <w:t>expérience avérée</w:t>
      </w:r>
      <w:r w:rsidR="000919E9" w:rsidRPr="000919E9">
        <w:t xml:space="preserve">, </w:t>
      </w:r>
    </w:p>
    <w:p w14:paraId="7DB136BA" w14:textId="77777777" w:rsidR="00F95359" w:rsidRDefault="00F95359" w:rsidP="00357CD2">
      <w:pPr>
        <w:numPr>
          <w:ilvl w:val="0"/>
          <w:numId w:val="30"/>
        </w:numPr>
        <w:spacing w:before="0" w:after="0" w:line="240" w:lineRule="auto"/>
        <w:ind w:left="714" w:hanging="357"/>
        <w:jc w:val="both"/>
      </w:pPr>
      <w:r>
        <w:t>P</w:t>
      </w:r>
      <w:r w:rsidR="000919E9" w:rsidRPr="000919E9">
        <w:t xml:space="preserve">révoir des budgets et délais réalistes </w:t>
      </w:r>
    </w:p>
    <w:p w14:paraId="5A3EE797" w14:textId="77777777" w:rsidR="00F95359" w:rsidRDefault="00F95359" w:rsidP="00357CD2">
      <w:pPr>
        <w:numPr>
          <w:ilvl w:val="0"/>
          <w:numId w:val="30"/>
        </w:numPr>
        <w:spacing w:before="0" w:after="0" w:line="240" w:lineRule="auto"/>
        <w:ind w:left="714" w:hanging="357"/>
        <w:jc w:val="both"/>
      </w:pPr>
      <w:r>
        <w:t>P</w:t>
      </w:r>
      <w:r w:rsidR="000919E9" w:rsidRPr="000919E9">
        <w:t xml:space="preserve">révoir des mécanismes de continuité au-delà du cycle initial pour accompagner la maturation complète, </w:t>
      </w:r>
    </w:p>
    <w:p w14:paraId="36ED3AAC" w14:textId="6617AEF5" w:rsidR="000919E9" w:rsidRPr="000919E9" w:rsidRDefault="00F95359" w:rsidP="00357CD2">
      <w:pPr>
        <w:numPr>
          <w:ilvl w:val="0"/>
          <w:numId w:val="30"/>
        </w:numPr>
        <w:spacing w:before="0" w:after="0" w:line="240" w:lineRule="auto"/>
        <w:ind w:left="714" w:hanging="357"/>
        <w:jc w:val="both"/>
      </w:pPr>
      <w:r>
        <w:t>C</w:t>
      </w:r>
      <w:r w:rsidR="000919E9" w:rsidRPr="000919E9">
        <w:t>oupler les investissements productifs avec des mécanismes de financement durable pour la conservation et la paix.</w:t>
      </w:r>
    </w:p>
    <w:p w14:paraId="25554738" w14:textId="77777777" w:rsidR="000919E9" w:rsidRDefault="000919E9" w:rsidP="00FC3E61">
      <w:pPr>
        <w:spacing w:line="240" w:lineRule="auto"/>
        <w:jc w:val="both"/>
      </w:pPr>
    </w:p>
    <w:p w14:paraId="6EBC22DB" w14:textId="0430FC09" w:rsidR="00BA3C03" w:rsidRPr="00BA3C03" w:rsidRDefault="00CC2C21" w:rsidP="00966FD8">
      <w:pPr>
        <w:tabs>
          <w:tab w:val="num" w:pos="360"/>
        </w:tabs>
        <w:rPr>
          <w:b/>
          <w:bCs/>
          <w:color w:val="000099"/>
          <w:sz w:val="22"/>
          <w:szCs w:val="24"/>
        </w:rPr>
      </w:pPr>
      <w:r>
        <w:rPr>
          <w:b/>
          <w:bCs/>
          <w:color w:val="000099"/>
          <w:sz w:val="22"/>
          <w:szCs w:val="24"/>
        </w:rPr>
        <w:lastRenderedPageBreak/>
        <w:t>E</w:t>
      </w:r>
      <w:r w:rsidRPr="00BA3C03">
        <w:rPr>
          <w:b/>
          <w:bCs/>
          <w:color w:val="000099"/>
          <w:sz w:val="22"/>
          <w:szCs w:val="24"/>
        </w:rPr>
        <w:t xml:space="preserve">tude de cas 2 : </w:t>
      </w:r>
      <w:r w:rsidR="00966FD8">
        <w:rPr>
          <w:b/>
          <w:bCs/>
          <w:color w:val="000099"/>
          <w:sz w:val="22"/>
          <w:szCs w:val="24"/>
        </w:rPr>
        <w:t>Le</w:t>
      </w:r>
      <w:r w:rsidRPr="00BA3C03">
        <w:rPr>
          <w:b/>
          <w:bCs/>
          <w:color w:val="000099"/>
          <w:sz w:val="22"/>
          <w:szCs w:val="24"/>
        </w:rPr>
        <w:t xml:space="preserve"> mécanisme de paiement pour services écosystémiques (</w:t>
      </w:r>
      <w:r>
        <w:rPr>
          <w:b/>
          <w:bCs/>
          <w:color w:val="000099"/>
          <w:sz w:val="22"/>
          <w:szCs w:val="24"/>
        </w:rPr>
        <w:t>PSE</w:t>
      </w:r>
      <w:r w:rsidRPr="00BA3C03">
        <w:rPr>
          <w:b/>
          <w:bCs/>
          <w:color w:val="000099"/>
          <w:sz w:val="22"/>
          <w:szCs w:val="24"/>
        </w:rPr>
        <w:t>)</w:t>
      </w:r>
      <w:r w:rsidR="00966FD8">
        <w:rPr>
          <w:b/>
          <w:bCs/>
          <w:color w:val="000099"/>
          <w:sz w:val="22"/>
          <w:szCs w:val="24"/>
        </w:rPr>
        <w:t xml:space="preserve"> : </w:t>
      </w:r>
      <w:r w:rsidR="00BA3C03" w:rsidRPr="00BA3C03">
        <w:rPr>
          <w:b/>
          <w:bCs/>
          <w:color w:val="000099"/>
          <w:sz w:val="22"/>
          <w:szCs w:val="24"/>
        </w:rPr>
        <w:t>Un mécanisme PSE de 1,5 M$ sur 10 ans pour financer durablement la protection du Parc National de la Kibira</w:t>
      </w:r>
    </w:p>
    <w:p w14:paraId="7BA065E8" w14:textId="77777777" w:rsidR="008D5A6D" w:rsidRDefault="008D5A6D" w:rsidP="00BA3C03">
      <w:pPr>
        <w:spacing w:line="240" w:lineRule="auto"/>
        <w:jc w:val="both"/>
        <w:rPr>
          <w:b/>
          <w:bCs/>
          <w:color w:val="000099"/>
        </w:rPr>
      </w:pPr>
    </w:p>
    <w:p w14:paraId="42920EC4" w14:textId="2C6B4EB5" w:rsidR="00BA3C03" w:rsidRPr="00BA3C03" w:rsidRDefault="00BA3C03" w:rsidP="00BA3C03">
      <w:pPr>
        <w:spacing w:line="240" w:lineRule="auto"/>
        <w:jc w:val="both"/>
        <w:rPr>
          <w:b/>
          <w:bCs/>
          <w:color w:val="000099"/>
        </w:rPr>
      </w:pPr>
      <w:r w:rsidRPr="00BA3C03">
        <w:rPr>
          <w:b/>
          <w:bCs/>
          <w:color w:val="000099"/>
        </w:rPr>
        <w:t xml:space="preserve">1. </w:t>
      </w:r>
      <w:r w:rsidR="008D5A6D">
        <w:rPr>
          <w:b/>
          <w:bCs/>
          <w:color w:val="000099"/>
        </w:rPr>
        <w:t xml:space="preserve">Introduction </w:t>
      </w:r>
    </w:p>
    <w:p w14:paraId="784D3B8F" w14:textId="799A132E" w:rsidR="00BA3C03" w:rsidRPr="00BA3C03" w:rsidRDefault="002717CB" w:rsidP="00BA3C03">
      <w:pPr>
        <w:spacing w:line="240" w:lineRule="auto"/>
        <w:jc w:val="both"/>
      </w:pPr>
      <w:r w:rsidRPr="00BA3C03">
        <w:t>Cette étude illustre une innovation en financement de la conservation appliquée à un contexte post-conflit avec enjeux de développement énergétique.</w:t>
      </w:r>
      <w:r>
        <w:t xml:space="preserve"> Elle</w:t>
      </w:r>
      <w:r w:rsidR="00BA3C03" w:rsidRPr="00BA3C03">
        <w:t xml:space="preserve"> documente la conception et la mise en place d'un mécanisme innovant de Paiement pour Services Écosystémiques (PSE) par lequel </w:t>
      </w:r>
      <w:proofErr w:type="spellStart"/>
      <w:r w:rsidR="00BA3C03" w:rsidRPr="00BA3C03">
        <w:t>Hydroneo</w:t>
      </w:r>
      <w:proofErr w:type="spellEnd"/>
      <w:r w:rsidR="00BA3C03" w:rsidRPr="00BA3C03">
        <w:t xml:space="preserve">, l'entreprise privée exploitant le projet hydroélectrique de </w:t>
      </w:r>
      <w:proofErr w:type="spellStart"/>
      <w:r w:rsidR="00BA3C03" w:rsidRPr="00BA3C03">
        <w:t>Mpanda</w:t>
      </w:r>
      <w:proofErr w:type="spellEnd"/>
      <w:r w:rsidR="00BA3C03" w:rsidRPr="00BA3C03">
        <w:t xml:space="preserve">, s'engage contractuellement à verser 150 000 USD par an pendant 10 ans (1,5 million USD au total) à la Fondation Kibira pour financer durablement les activités de conservation du Parc National de la Kibira. Ce mécanisme crée une convergence durable entre les intérêts économiques du secteur privé et les objectifs de conservation environnementale et de consolidation de la paix. Trois messages clés émergent : les mécanismes PSE peuvent créer des sources de financement prévisibles et durables pour la conservation dans des contextes où le financement public est structurellement insuffisant, la convergence entre intérêts économiques et conservation renforce la durabilité mutuelle des deux objectifs, et la structuration contractuelle rigoureuse est essentielle pour transformer une intention en engagement juridiquement contraignant et opérationnellement effectif. </w:t>
      </w:r>
    </w:p>
    <w:p w14:paraId="45F2CC4B" w14:textId="744C218B" w:rsidR="00BA3C03" w:rsidRPr="00BA3C03" w:rsidRDefault="00BA3C03" w:rsidP="00BA3C03">
      <w:pPr>
        <w:spacing w:line="240" w:lineRule="auto"/>
        <w:jc w:val="both"/>
        <w:rPr>
          <w:sz w:val="10"/>
          <w:szCs w:val="10"/>
        </w:rPr>
      </w:pPr>
    </w:p>
    <w:p w14:paraId="0E943017" w14:textId="4DA5FF9E" w:rsidR="00BA3C03" w:rsidRPr="00BA3C03" w:rsidRDefault="00BA3C03" w:rsidP="00BA3C03">
      <w:pPr>
        <w:spacing w:line="240" w:lineRule="auto"/>
        <w:jc w:val="both"/>
        <w:rPr>
          <w:b/>
          <w:bCs/>
          <w:color w:val="000099"/>
        </w:rPr>
      </w:pPr>
      <w:r w:rsidRPr="00BA3C03">
        <w:rPr>
          <w:b/>
          <w:bCs/>
          <w:color w:val="000099"/>
        </w:rPr>
        <w:t xml:space="preserve">2. </w:t>
      </w:r>
      <w:r w:rsidR="008D5A6D">
        <w:rPr>
          <w:b/>
          <w:bCs/>
          <w:color w:val="000099"/>
        </w:rPr>
        <w:t>S</w:t>
      </w:r>
      <w:r w:rsidR="008D5A6D" w:rsidRPr="00BA3C03">
        <w:rPr>
          <w:b/>
          <w:bCs/>
          <w:color w:val="000099"/>
        </w:rPr>
        <w:t>ituation initiale et stratégie de transformation</w:t>
      </w:r>
    </w:p>
    <w:p w14:paraId="6605A9D6" w14:textId="377B21AA" w:rsidR="00BA3C03" w:rsidRPr="00BA3C03" w:rsidRDefault="00BA3C03" w:rsidP="00BA3C03">
      <w:pPr>
        <w:spacing w:line="240" w:lineRule="auto"/>
        <w:jc w:val="both"/>
      </w:pPr>
      <w:r w:rsidRPr="00BA3C03">
        <w:t xml:space="preserve">Le Parc National de la Kibira, avec ses 40 000 hectares de forêt tropicale d'altitude, joue un rôle écologique critique mais faisait face à un sous-financement chronique : budget de l'OBPE largement insuffisant pour les besoins opérationnels (patrouilles, équipements, salaires écogardes), absence de mécanismes de financement innovants, et </w:t>
      </w:r>
      <w:r w:rsidR="002940AA">
        <w:t xml:space="preserve">forte </w:t>
      </w:r>
      <w:r w:rsidRPr="00BA3C03">
        <w:t xml:space="preserve">dépendance à des sources externes imprévisibles. Le projet hydroélectrique de </w:t>
      </w:r>
      <w:proofErr w:type="spellStart"/>
      <w:r w:rsidRPr="00BA3C03">
        <w:t>Mpanda</w:t>
      </w:r>
      <w:proofErr w:type="spellEnd"/>
      <w:r w:rsidRPr="00BA3C03">
        <w:t>, situé en aval, dépend directement de la qualité du bassin versant pour éviter l'envasement prématuré des infrastructures. Cette interdépendance objective créait les conditions d'un mécanisme gagnant-gagnant.</w:t>
      </w:r>
    </w:p>
    <w:p w14:paraId="02515B86" w14:textId="77777777" w:rsidR="00BA3C03" w:rsidRPr="00BA3C03" w:rsidRDefault="00BA3C03" w:rsidP="00BA3C03">
      <w:pPr>
        <w:spacing w:line="240" w:lineRule="auto"/>
        <w:jc w:val="both"/>
      </w:pPr>
      <w:r w:rsidRPr="00BA3C03">
        <w:t xml:space="preserve">La stratégie a consisté à négocier et structurer un accord PSE formalisant cette convergence d'intérêts entre </w:t>
      </w:r>
      <w:proofErr w:type="spellStart"/>
      <w:r w:rsidRPr="00BA3C03">
        <w:t>Hydroneo</w:t>
      </w:r>
      <w:proofErr w:type="spellEnd"/>
      <w:r w:rsidRPr="00BA3C03">
        <w:t xml:space="preserve"> (bénéficiaire des services écosystémiques du bassin versant), la Fondation Kibira (gestionnaire des activités de conservation de l'ensemble du parc bénéficiant des paiements), et l'OBPE (autorité de conservation). Les discussions ont porté sur le montant (150 k$/an), la durée (10 ans), les modalités de versement annuel, et les mécanismes de monitoring.</w:t>
      </w:r>
    </w:p>
    <w:p w14:paraId="0630E2EC" w14:textId="34F5D335" w:rsidR="00BA3C03" w:rsidRPr="00BA3C03" w:rsidRDefault="00BA3C03" w:rsidP="00BA3C03">
      <w:pPr>
        <w:spacing w:line="240" w:lineRule="auto"/>
        <w:jc w:val="both"/>
      </w:pPr>
      <w:r w:rsidRPr="00BA3C03">
        <w:t xml:space="preserve">Les résultats sont significatifs : accord PSE formellement signé et juridiquement contraignant, financement prévisible de 1,5 M$ sur 10 ans, convergence formalisée entre intérêts économiques et conservation, premier mécanisme PSE lié à un projet d'infrastructure au Burundi, et renforcement de la légitimité de la Fondation. </w:t>
      </w:r>
      <w:r w:rsidR="00AC6F77" w:rsidRPr="00AC6F77">
        <w:t xml:space="preserve">Le mécanisme est déjà opérationnel avec un premier versement effectif de 70 000 USD déjà réalisé, un engagement de versement de 230 000 USD supplémentaires d'ici fin 2025, et un plan de travail chiffré convenu et arrêté pour 2025 formalisant les activités à financer et leurs coûts. </w:t>
      </w:r>
    </w:p>
    <w:p w14:paraId="042E2F8E" w14:textId="77777777" w:rsidR="00AC6F77" w:rsidRPr="00FC7948" w:rsidRDefault="00AC6F77" w:rsidP="00BA3C03">
      <w:pPr>
        <w:spacing w:line="240" w:lineRule="auto"/>
        <w:jc w:val="both"/>
        <w:rPr>
          <w:b/>
          <w:bCs/>
          <w:sz w:val="10"/>
          <w:szCs w:val="10"/>
        </w:rPr>
      </w:pPr>
    </w:p>
    <w:p w14:paraId="310D0B1C" w14:textId="567E8751" w:rsidR="00BA3C03" w:rsidRPr="00BA3C03" w:rsidRDefault="00BA3C03" w:rsidP="00BA3C03">
      <w:pPr>
        <w:spacing w:line="240" w:lineRule="auto"/>
        <w:jc w:val="both"/>
        <w:rPr>
          <w:b/>
          <w:bCs/>
          <w:color w:val="000099"/>
        </w:rPr>
      </w:pPr>
      <w:r w:rsidRPr="00BA3C03">
        <w:rPr>
          <w:b/>
          <w:bCs/>
          <w:color w:val="000099"/>
        </w:rPr>
        <w:t>3. A</w:t>
      </w:r>
      <w:r w:rsidR="00AC6F77">
        <w:rPr>
          <w:b/>
          <w:bCs/>
          <w:color w:val="000099"/>
        </w:rPr>
        <w:t xml:space="preserve">nalyse </w:t>
      </w:r>
    </w:p>
    <w:p w14:paraId="5C6FFB89" w14:textId="656BF853" w:rsidR="00BA3C03" w:rsidRPr="00BA3C03" w:rsidRDefault="00BA3C03" w:rsidP="00BA3C03">
      <w:pPr>
        <w:spacing w:line="240" w:lineRule="auto"/>
        <w:jc w:val="both"/>
      </w:pPr>
      <w:r w:rsidRPr="00BA3C03">
        <w:t xml:space="preserve">Cette expérience démontre que les mécanismes PSE peuvent transformer l'équation économique de la conservation en créant des sources de financement durables ancrées dans des intérêts économiques concrets. </w:t>
      </w:r>
      <w:r w:rsidR="00A36F75" w:rsidRPr="00A36F75">
        <w:t xml:space="preserve">L'opérationnalisation du mécanisme (70 k$ déjà versés, 230 k$ à venir d'ici </w:t>
      </w:r>
      <w:r w:rsidR="00A36F75" w:rsidRPr="00A36F75">
        <w:lastRenderedPageBreak/>
        <w:t xml:space="preserve">fin 2025, plan de travail 2025 formalisé) valide la faisabilité et le sérieux de l'approche, dépassant le stade de l'intention pour devenir un financement effectif. </w:t>
      </w:r>
      <w:r w:rsidRPr="00BA3C03">
        <w:t xml:space="preserve">La convergence crée une durabilité mutuelle : </w:t>
      </w:r>
      <w:proofErr w:type="spellStart"/>
      <w:r w:rsidRPr="00BA3C03">
        <w:t>Hydroneo</w:t>
      </w:r>
      <w:proofErr w:type="spellEnd"/>
      <w:r w:rsidRPr="00BA3C03">
        <w:t xml:space="preserve"> a un intérêt économique direct à financer la conservation du parc (protection du bassin versant </w:t>
      </w:r>
      <w:r w:rsidR="00A36F75">
        <w:t>et du site de la centrale électrique</w:t>
      </w:r>
      <w:r w:rsidRPr="00BA3C03">
        <w:t>), tandis que la Fondation bénéficie d'un financement prévisible pour ses activités de conservation de l'ensemble du parc.</w:t>
      </w:r>
    </w:p>
    <w:p w14:paraId="4F11AE78" w14:textId="054C4C86" w:rsidR="00BA3C03" w:rsidRPr="00BA3C03" w:rsidRDefault="00BA3C03" w:rsidP="00BA3C03">
      <w:pPr>
        <w:spacing w:line="240" w:lineRule="auto"/>
        <w:jc w:val="both"/>
      </w:pPr>
      <w:r w:rsidRPr="00BA3C03">
        <w:t xml:space="preserve">Les implications à long terme incluent : </w:t>
      </w:r>
      <w:r w:rsidR="00DB0588">
        <w:t xml:space="preserve">la </w:t>
      </w:r>
      <w:r w:rsidRPr="00BA3C03">
        <w:t xml:space="preserve">transformation de la base financière de la conservation avec 1,5 M$ sur 10 ans, </w:t>
      </w:r>
      <w:r w:rsidR="00DB0588">
        <w:t xml:space="preserve">la </w:t>
      </w:r>
      <w:r w:rsidRPr="00BA3C03">
        <w:t xml:space="preserve">réduction de la dépendance aux financements externes ponctuels, </w:t>
      </w:r>
      <w:r w:rsidR="00DB0588">
        <w:t xml:space="preserve">la </w:t>
      </w:r>
      <w:r w:rsidRPr="00BA3C03">
        <w:t xml:space="preserve">création d'un modèle PSE réplicable pour d'autres projets d'infrastructure, et </w:t>
      </w:r>
      <w:r w:rsidR="00DB0588">
        <w:t xml:space="preserve">le </w:t>
      </w:r>
      <w:r w:rsidRPr="00BA3C03">
        <w:t xml:space="preserve">renforcement de l'autonomie institutionnelle de la Fondation. La durabilité présente des forces (sécurisation contractuelle sur 10 ans, convergence objective d'intérêts, montant </w:t>
      </w:r>
      <w:r w:rsidR="00DB0588">
        <w:t>assez important</w:t>
      </w:r>
      <w:r w:rsidRPr="00BA3C03">
        <w:t xml:space="preserve">) et des vulnérabilités (concentration du risque sur </w:t>
      </w:r>
      <w:proofErr w:type="spellStart"/>
      <w:r w:rsidRPr="00BA3C03">
        <w:t>Hydroneo</w:t>
      </w:r>
      <w:proofErr w:type="spellEnd"/>
      <w:r w:rsidRPr="00BA3C03">
        <w:t>, dépendance à la viabilité du projet hydroélectrique, défis du monitoring objectif de la performance).</w:t>
      </w:r>
    </w:p>
    <w:p w14:paraId="0D638147" w14:textId="77777777" w:rsidR="00EC5FEF" w:rsidRDefault="00BA3C03" w:rsidP="00BA3C03">
      <w:pPr>
        <w:spacing w:line="240" w:lineRule="auto"/>
        <w:jc w:val="both"/>
      </w:pPr>
      <w:r w:rsidRPr="00BA3C03">
        <w:t xml:space="preserve">Les facteurs clés de succès incluent : </w:t>
      </w:r>
      <w:r w:rsidR="00EC5FEF">
        <w:t>La r</w:t>
      </w:r>
      <w:r w:rsidRPr="00BA3C03">
        <w:t xml:space="preserve">econnaissance de l'interdépendance objective entre viabilité économique et services écosystémiques, </w:t>
      </w:r>
      <w:r w:rsidR="00EC5FEF">
        <w:t xml:space="preserve">la </w:t>
      </w:r>
      <w:r w:rsidRPr="00BA3C03">
        <w:t xml:space="preserve">structuration contractuelle rigoureuse, </w:t>
      </w:r>
      <w:r w:rsidR="00EC5FEF">
        <w:t xml:space="preserve">le </w:t>
      </w:r>
      <w:r w:rsidRPr="00BA3C03">
        <w:t xml:space="preserve">calibrage approprié du montant, </w:t>
      </w:r>
      <w:r w:rsidR="00EC5FEF">
        <w:t xml:space="preserve">la </w:t>
      </w:r>
      <w:r w:rsidRPr="00BA3C03">
        <w:t xml:space="preserve">durée suffisante (10 ans), et </w:t>
      </w:r>
      <w:r w:rsidR="00EC5FEF">
        <w:t xml:space="preserve">le </w:t>
      </w:r>
      <w:r w:rsidRPr="00BA3C03">
        <w:t xml:space="preserve">rôle de la Fondation comme interface crédible. </w:t>
      </w:r>
    </w:p>
    <w:p w14:paraId="745EFEC4" w14:textId="5CBAC530" w:rsidR="00BA3C03" w:rsidRPr="00BA3C03" w:rsidRDefault="00BA3C03" w:rsidP="00BA3C03">
      <w:pPr>
        <w:spacing w:line="240" w:lineRule="auto"/>
        <w:jc w:val="both"/>
      </w:pPr>
      <w:r w:rsidRPr="00BA3C03">
        <w:t xml:space="preserve">L'attribution est partagée : </w:t>
      </w:r>
      <w:r w:rsidR="00EC5FEF">
        <w:t>L</w:t>
      </w:r>
      <w:r w:rsidRPr="00BA3C03">
        <w:t xml:space="preserve">e </w:t>
      </w:r>
      <w:r w:rsidR="00EC5FEF">
        <w:t>projet PBF</w:t>
      </w:r>
      <w:r w:rsidRPr="00BA3C03">
        <w:t xml:space="preserve"> a facilité les négociations, apporté l'expertise technique en PSE, et accompagné la formalisation contractuelle</w:t>
      </w:r>
      <w:r w:rsidR="00DB0588">
        <w:t>, alors que l</w:t>
      </w:r>
      <w:r w:rsidRPr="00BA3C03">
        <w:t>es partenaires ont apporté l'engagement financier (</w:t>
      </w:r>
      <w:proofErr w:type="spellStart"/>
      <w:r w:rsidRPr="00BA3C03">
        <w:t>Hydroneo</w:t>
      </w:r>
      <w:proofErr w:type="spellEnd"/>
      <w:r w:rsidRPr="00BA3C03">
        <w:t xml:space="preserve"> 1,5 M$), l'acceptation des responsabilités (Fondation), la validation de l'approche (OBPE), et le cadre réglementaire (Gouvernement).</w:t>
      </w:r>
    </w:p>
    <w:p w14:paraId="7B60A8D9" w14:textId="2F428AC2" w:rsidR="00BA3C03" w:rsidRPr="00BA3C03" w:rsidRDefault="00BA3C03" w:rsidP="00BA3C03">
      <w:pPr>
        <w:spacing w:line="240" w:lineRule="auto"/>
        <w:jc w:val="both"/>
        <w:rPr>
          <w:sz w:val="10"/>
          <w:szCs w:val="10"/>
        </w:rPr>
      </w:pPr>
    </w:p>
    <w:p w14:paraId="463A9294" w14:textId="1B05637A" w:rsidR="00BA3C03" w:rsidRPr="00BA3C03" w:rsidRDefault="00DB0588" w:rsidP="00BA3C03">
      <w:pPr>
        <w:spacing w:line="240" w:lineRule="auto"/>
        <w:jc w:val="both"/>
        <w:rPr>
          <w:b/>
          <w:bCs/>
          <w:color w:val="000099"/>
        </w:rPr>
      </w:pPr>
      <w:r w:rsidRPr="00BA3C03">
        <w:rPr>
          <w:b/>
          <w:bCs/>
          <w:color w:val="000099"/>
        </w:rPr>
        <w:t xml:space="preserve">4. </w:t>
      </w:r>
      <w:r>
        <w:rPr>
          <w:b/>
          <w:bCs/>
          <w:color w:val="000099"/>
        </w:rPr>
        <w:t>E</w:t>
      </w:r>
      <w:r w:rsidRPr="00BA3C03">
        <w:rPr>
          <w:b/>
          <w:bCs/>
          <w:color w:val="000099"/>
        </w:rPr>
        <w:t>nseignements et recommandations</w:t>
      </w:r>
    </w:p>
    <w:p w14:paraId="50161A72" w14:textId="63D61F12" w:rsidR="00BA3C03" w:rsidRPr="00BA3C03" w:rsidRDefault="00DB0588" w:rsidP="00DB0588">
      <w:pPr>
        <w:spacing w:before="60" w:after="60" w:line="240" w:lineRule="auto"/>
        <w:jc w:val="both"/>
      </w:pPr>
      <w:r>
        <w:t>P</w:t>
      </w:r>
      <w:r w:rsidRPr="00BA3C03">
        <w:t xml:space="preserve">rincipaux </w:t>
      </w:r>
      <w:r w:rsidR="00BA3C03" w:rsidRPr="00BA3C03">
        <w:t>enseignements</w:t>
      </w:r>
      <w:r>
        <w:t xml:space="preserve"> </w:t>
      </w:r>
      <w:r w:rsidR="00BA3C03" w:rsidRPr="00BA3C03">
        <w:t>:</w:t>
      </w:r>
    </w:p>
    <w:p w14:paraId="7B0169B7" w14:textId="77777777" w:rsidR="00BA3C03" w:rsidRPr="00BA3C03" w:rsidRDefault="00BA3C03" w:rsidP="00357CD2">
      <w:pPr>
        <w:numPr>
          <w:ilvl w:val="0"/>
          <w:numId w:val="30"/>
        </w:numPr>
        <w:spacing w:before="0" w:after="0" w:line="240" w:lineRule="auto"/>
        <w:ind w:left="714" w:hanging="357"/>
        <w:jc w:val="both"/>
      </w:pPr>
      <w:r w:rsidRPr="00BA3C03">
        <w:t>Les mécanismes PSE sont viables pour financer la conservation mais nécessitent une interdépendance objective entre service écosystémique et intérêt économique du payeur.</w:t>
      </w:r>
    </w:p>
    <w:p w14:paraId="704AA3A0" w14:textId="77777777" w:rsidR="00BA3C03" w:rsidRPr="00BA3C03" w:rsidRDefault="00BA3C03" w:rsidP="00357CD2">
      <w:pPr>
        <w:numPr>
          <w:ilvl w:val="0"/>
          <w:numId w:val="30"/>
        </w:numPr>
        <w:spacing w:before="0" w:after="0" w:line="240" w:lineRule="auto"/>
        <w:ind w:left="714" w:hanging="357"/>
        <w:jc w:val="both"/>
      </w:pPr>
      <w:r w:rsidRPr="00BA3C03">
        <w:t>La structuration contractuelle rigoureuse est essentielle pour transformer une intention en engagement juridiquement contraignant.</w:t>
      </w:r>
    </w:p>
    <w:p w14:paraId="7A7430A7" w14:textId="20442DE5" w:rsidR="00BA3C03" w:rsidRPr="00BA3C03" w:rsidRDefault="00BA3C03" w:rsidP="00357CD2">
      <w:pPr>
        <w:numPr>
          <w:ilvl w:val="0"/>
          <w:numId w:val="30"/>
        </w:numPr>
        <w:spacing w:before="0" w:after="0" w:line="240" w:lineRule="auto"/>
        <w:ind w:left="714" w:hanging="357"/>
        <w:jc w:val="both"/>
      </w:pPr>
      <w:r w:rsidRPr="00BA3C03">
        <w:t>Le calibrage du montant est critique : substantiel pour créer une différence mais pas créant une dépendance totale.</w:t>
      </w:r>
    </w:p>
    <w:p w14:paraId="567B64BD" w14:textId="77777777" w:rsidR="00BA3C03" w:rsidRPr="00BA3C03" w:rsidRDefault="00BA3C03" w:rsidP="00357CD2">
      <w:pPr>
        <w:numPr>
          <w:ilvl w:val="0"/>
          <w:numId w:val="30"/>
        </w:numPr>
        <w:spacing w:before="0" w:after="0" w:line="240" w:lineRule="auto"/>
        <w:ind w:left="714" w:hanging="357"/>
        <w:jc w:val="both"/>
      </w:pPr>
      <w:r w:rsidRPr="00BA3C03">
        <w:t>Les mécanismes de monitoring et de conditionnalité sont complexes, nécessitant des indicateurs clairs et un système de suivi indépendant.</w:t>
      </w:r>
    </w:p>
    <w:p w14:paraId="56D47A0E" w14:textId="77777777" w:rsidR="00BA3C03" w:rsidRPr="00BA3C03" w:rsidRDefault="00BA3C03" w:rsidP="00357CD2">
      <w:pPr>
        <w:numPr>
          <w:ilvl w:val="0"/>
          <w:numId w:val="30"/>
        </w:numPr>
        <w:spacing w:before="0" w:after="0" w:line="240" w:lineRule="auto"/>
        <w:ind w:left="714" w:hanging="357"/>
        <w:jc w:val="both"/>
      </w:pPr>
      <w:r w:rsidRPr="00BA3C03">
        <w:t>La diversification des sources PSE réduit la vulnérabilité. Dépendre d'un seul payeur crée une concentration de risque.</w:t>
      </w:r>
    </w:p>
    <w:p w14:paraId="305B4B4C" w14:textId="77777777" w:rsidR="00BA3C03" w:rsidRPr="00BA3C03" w:rsidRDefault="00BA3C03" w:rsidP="00DB0588">
      <w:pPr>
        <w:spacing w:before="60" w:after="60" w:line="240" w:lineRule="auto"/>
        <w:jc w:val="both"/>
      </w:pPr>
      <w:r w:rsidRPr="00BA3C03">
        <w:t>Recommandations pratiques :</w:t>
      </w:r>
    </w:p>
    <w:p w14:paraId="39645EC7" w14:textId="4E1F7101" w:rsidR="00BA3C03" w:rsidRPr="00BA3C03" w:rsidRDefault="00BA3C03" w:rsidP="00357CD2">
      <w:pPr>
        <w:numPr>
          <w:ilvl w:val="0"/>
          <w:numId w:val="30"/>
        </w:numPr>
        <w:spacing w:before="0" w:after="0" w:line="240" w:lineRule="auto"/>
        <w:ind w:left="714" w:hanging="357"/>
        <w:jc w:val="both"/>
      </w:pPr>
      <w:r w:rsidRPr="00BA3C03">
        <w:t xml:space="preserve">Identifier des situations où services écosystémiques créent de la valeur économique mesurable pour </w:t>
      </w:r>
      <w:r w:rsidR="00FC7948">
        <w:t xml:space="preserve">les </w:t>
      </w:r>
      <w:r w:rsidRPr="00BA3C03">
        <w:t>acteurs privés (eau, énergie, tourisme, agriculture)</w:t>
      </w:r>
    </w:p>
    <w:p w14:paraId="5A94CCA9" w14:textId="77777777" w:rsidR="00BA3C03" w:rsidRPr="00BA3C03" w:rsidRDefault="00BA3C03" w:rsidP="00357CD2">
      <w:pPr>
        <w:numPr>
          <w:ilvl w:val="0"/>
          <w:numId w:val="30"/>
        </w:numPr>
        <w:spacing w:before="0" w:after="0" w:line="240" w:lineRule="auto"/>
        <w:ind w:left="714" w:hanging="357"/>
        <w:jc w:val="both"/>
      </w:pPr>
      <w:r w:rsidRPr="00BA3C03">
        <w:t xml:space="preserve">Documenter rigoureusement le lien causal service écosystémique </w:t>
      </w:r>
      <w:r w:rsidRPr="00BA3C03">
        <w:rPr>
          <w:rFonts w:ascii="Arial" w:hAnsi="Arial" w:cs="Arial"/>
        </w:rPr>
        <w:t>→</w:t>
      </w:r>
      <w:r w:rsidRPr="00BA3C03">
        <w:t xml:space="preserve"> b</w:t>
      </w:r>
      <w:r w:rsidRPr="00BA3C03">
        <w:rPr>
          <w:rFonts w:cs="Open Sans"/>
        </w:rPr>
        <w:t>é</w:t>
      </w:r>
      <w:r w:rsidRPr="00BA3C03">
        <w:t>n</w:t>
      </w:r>
      <w:r w:rsidRPr="00BA3C03">
        <w:rPr>
          <w:rFonts w:cs="Open Sans"/>
        </w:rPr>
        <w:t>é</w:t>
      </w:r>
      <w:r w:rsidRPr="00BA3C03">
        <w:t xml:space="preserve">fice </w:t>
      </w:r>
      <w:r w:rsidRPr="00BA3C03">
        <w:rPr>
          <w:rFonts w:cs="Open Sans"/>
        </w:rPr>
        <w:t>é</w:t>
      </w:r>
      <w:r w:rsidRPr="00BA3C03">
        <w:t>conomique</w:t>
      </w:r>
    </w:p>
    <w:p w14:paraId="197C5D78" w14:textId="77777777" w:rsidR="00BA3C03" w:rsidRPr="00BA3C03" w:rsidRDefault="00BA3C03" w:rsidP="00357CD2">
      <w:pPr>
        <w:numPr>
          <w:ilvl w:val="0"/>
          <w:numId w:val="30"/>
        </w:numPr>
        <w:spacing w:before="0" w:after="0" w:line="240" w:lineRule="auto"/>
        <w:ind w:left="714" w:hanging="357"/>
        <w:jc w:val="both"/>
      </w:pPr>
      <w:r w:rsidRPr="00BA3C03">
        <w:t>Structurer contractuellement avec expertise juridique, incluant obligations détaillées, modalités, conditionnalités, durée suffisante (minimum 5-10 ans)</w:t>
      </w:r>
    </w:p>
    <w:p w14:paraId="531A718D" w14:textId="77777777" w:rsidR="00BA3C03" w:rsidRPr="00BA3C03" w:rsidRDefault="00BA3C03" w:rsidP="00357CD2">
      <w:pPr>
        <w:numPr>
          <w:ilvl w:val="0"/>
          <w:numId w:val="30"/>
        </w:numPr>
        <w:spacing w:before="0" w:after="0" w:line="240" w:lineRule="auto"/>
        <w:ind w:left="714" w:hanging="357"/>
        <w:jc w:val="both"/>
      </w:pPr>
      <w:r w:rsidRPr="00BA3C03">
        <w:t>Calibrer le montant pour qu'il soit substantiel (20-40% besoins) mais pas créant dépendance totale</w:t>
      </w:r>
    </w:p>
    <w:p w14:paraId="38830777" w14:textId="7A4BB0C6" w:rsidR="00BA3C03" w:rsidRPr="00BA3C03" w:rsidRDefault="00BA3C03" w:rsidP="00357CD2">
      <w:pPr>
        <w:numPr>
          <w:ilvl w:val="0"/>
          <w:numId w:val="30"/>
        </w:numPr>
        <w:spacing w:before="0" w:after="0" w:line="240" w:lineRule="auto"/>
        <w:ind w:left="714" w:hanging="357"/>
        <w:jc w:val="both"/>
      </w:pPr>
      <w:r w:rsidRPr="00BA3C03">
        <w:t xml:space="preserve">Établir </w:t>
      </w:r>
      <w:r w:rsidR="00FC7948">
        <w:t xml:space="preserve">des </w:t>
      </w:r>
      <w:r w:rsidRPr="00BA3C03">
        <w:t xml:space="preserve">mécanismes </w:t>
      </w:r>
      <w:r w:rsidR="00FC7948">
        <w:t xml:space="preserve">de </w:t>
      </w:r>
      <w:r w:rsidRPr="00BA3C03">
        <w:t xml:space="preserve">monitoring avec indicateurs mesurables acceptés par toutes </w:t>
      </w:r>
      <w:r w:rsidR="00FC7948">
        <w:t xml:space="preserve">les </w:t>
      </w:r>
      <w:r w:rsidRPr="00BA3C03">
        <w:t>parties</w:t>
      </w:r>
    </w:p>
    <w:p w14:paraId="5366624F" w14:textId="78657A47" w:rsidR="00BA3C03" w:rsidRPr="00BA3C03" w:rsidRDefault="00BA3C03" w:rsidP="00357CD2">
      <w:pPr>
        <w:numPr>
          <w:ilvl w:val="0"/>
          <w:numId w:val="30"/>
        </w:numPr>
        <w:spacing w:before="0" w:after="0" w:line="240" w:lineRule="auto"/>
        <w:ind w:left="714" w:hanging="357"/>
        <w:jc w:val="both"/>
      </w:pPr>
      <w:r w:rsidRPr="00BA3C03">
        <w:t xml:space="preserve">Prévoir </w:t>
      </w:r>
      <w:r w:rsidR="00FC7948">
        <w:t xml:space="preserve">un </w:t>
      </w:r>
      <w:r w:rsidRPr="00BA3C03">
        <w:t xml:space="preserve">mécanisme de révision périodique permettant </w:t>
      </w:r>
      <w:r w:rsidR="00FC7948">
        <w:t xml:space="preserve">des </w:t>
      </w:r>
      <w:r w:rsidRPr="00BA3C03">
        <w:t>ajustements</w:t>
      </w:r>
    </w:p>
    <w:p w14:paraId="19D6624B" w14:textId="0BAA2CA9" w:rsidR="00BA3C03" w:rsidRPr="00BA3C03" w:rsidRDefault="00BA3C03" w:rsidP="00357CD2">
      <w:pPr>
        <w:numPr>
          <w:ilvl w:val="0"/>
          <w:numId w:val="30"/>
        </w:numPr>
        <w:spacing w:before="0" w:after="0" w:line="240" w:lineRule="auto"/>
        <w:ind w:left="714" w:hanging="357"/>
        <w:jc w:val="both"/>
      </w:pPr>
      <w:r w:rsidRPr="00BA3C03">
        <w:t xml:space="preserve">Coupler PSE avec </w:t>
      </w:r>
      <w:r w:rsidR="00FC7948">
        <w:t>d’</w:t>
      </w:r>
      <w:r w:rsidRPr="00BA3C03">
        <w:t xml:space="preserve">autres sources financement (budgets publics, bailleurs, revenus propres) pour assurer </w:t>
      </w:r>
      <w:r w:rsidR="00FC7948">
        <w:t xml:space="preserve">la </w:t>
      </w:r>
      <w:r w:rsidRPr="00BA3C03">
        <w:t>résilience</w:t>
      </w:r>
    </w:p>
    <w:p w14:paraId="0F0C403C" w14:textId="77777777" w:rsidR="000919E9" w:rsidRDefault="000919E9" w:rsidP="00FC3E61">
      <w:pPr>
        <w:spacing w:line="240" w:lineRule="auto"/>
        <w:jc w:val="both"/>
      </w:pPr>
    </w:p>
    <w:p w14:paraId="5D5F6064" w14:textId="6A8CDF3F" w:rsidR="00CF2042" w:rsidRPr="00CF2042" w:rsidRDefault="00CF2042" w:rsidP="00CF2042">
      <w:pPr>
        <w:tabs>
          <w:tab w:val="num" w:pos="360"/>
        </w:tabs>
        <w:rPr>
          <w:b/>
          <w:bCs/>
          <w:color w:val="000099"/>
          <w:sz w:val="22"/>
          <w:szCs w:val="24"/>
        </w:rPr>
      </w:pPr>
      <w:r>
        <w:rPr>
          <w:b/>
          <w:bCs/>
          <w:color w:val="000099"/>
          <w:sz w:val="22"/>
          <w:szCs w:val="24"/>
        </w:rPr>
        <w:lastRenderedPageBreak/>
        <w:t>E</w:t>
      </w:r>
      <w:r w:rsidRPr="00CF2042">
        <w:rPr>
          <w:b/>
          <w:bCs/>
          <w:color w:val="000099"/>
          <w:sz w:val="22"/>
          <w:szCs w:val="24"/>
        </w:rPr>
        <w:t xml:space="preserve">tude de cas 3 : la création de la fondation </w:t>
      </w:r>
      <w:r w:rsidR="003671E2">
        <w:rPr>
          <w:b/>
          <w:bCs/>
          <w:color w:val="000099"/>
          <w:sz w:val="22"/>
          <w:szCs w:val="24"/>
        </w:rPr>
        <w:t>K</w:t>
      </w:r>
      <w:r w:rsidRPr="00CF2042">
        <w:rPr>
          <w:b/>
          <w:bCs/>
          <w:color w:val="000099"/>
          <w:sz w:val="22"/>
          <w:szCs w:val="24"/>
        </w:rPr>
        <w:t>ibira comme instrument de gouvernance locale</w:t>
      </w:r>
    </w:p>
    <w:p w14:paraId="1AEC897C" w14:textId="77777777" w:rsidR="00CF2042" w:rsidRDefault="00CF2042" w:rsidP="00CF2042">
      <w:pPr>
        <w:spacing w:line="240" w:lineRule="auto"/>
        <w:jc w:val="both"/>
        <w:rPr>
          <w:b/>
          <w:bCs/>
        </w:rPr>
      </w:pPr>
    </w:p>
    <w:p w14:paraId="7117F162" w14:textId="604F12B9" w:rsidR="00CF2042" w:rsidRPr="00CF2042" w:rsidRDefault="00CF2042" w:rsidP="00CF2042">
      <w:pPr>
        <w:spacing w:line="240" w:lineRule="auto"/>
        <w:jc w:val="both"/>
        <w:rPr>
          <w:b/>
          <w:bCs/>
          <w:color w:val="000099"/>
        </w:rPr>
      </w:pPr>
      <w:r w:rsidRPr="00CF2042">
        <w:rPr>
          <w:b/>
          <w:bCs/>
          <w:color w:val="000099"/>
        </w:rPr>
        <w:t xml:space="preserve">1. </w:t>
      </w:r>
      <w:r>
        <w:rPr>
          <w:b/>
          <w:bCs/>
          <w:color w:val="000099"/>
        </w:rPr>
        <w:t>I</w:t>
      </w:r>
      <w:r w:rsidRPr="00CF2042">
        <w:rPr>
          <w:b/>
          <w:bCs/>
          <w:color w:val="000099"/>
        </w:rPr>
        <w:t>ntroduction</w:t>
      </w:r>
    </w:p>
    <w:p w14:paraId="3E943430" w14:textId="77777777" w:rsidR="00CF2042" w:rsidRPr="00CF2042" w:rsidRDefault="00CF2042" w:rsidP="00CF2042">
      <w:pPr>
        <w:spacing w:line="240" w:lineRule="auto"/>
        <w:jc w:val="both"/>
      </w:pPr>
      <w:r w:rsidRPr="00CF2042">
        <w:t>Cette étude de cas documente la création et l'opérationnalisation de la Fondation Kibira comme premier mécanisme de cogestion participative d'une aire protégée au Burundi, transformant un modèle de gestion étatique exclusive par l'OBPE vers une gouvernance partagée impliquant les communautés riveraines, les autorités de conservation, les collectivités locales et le secteur privé. Cette innovation institutionnelle majeure constitue un changement de paradigme dans la gouvernance des aires protégées burundaises, reconnaissant que la conservation durable nécessite l'appropriation et la participation active de toutes les parties prenantes. Trois messages clés émergent : la transformation vers une cogestion participative est possible mais nécessite un accompagnement intensif de long terme pour construire la confiance entre l'État et les acteurs non-étatiques, la légitimité juridique formelle (statut légal, accord de cogestion) est essentielle pour conférer autorité et pérennité, et des capacités institutionnelles robustes constituent une condition sine qua non pour que la structure puisse effectivement remplir son mandat. Cette étude illustre une innovation en gouvernance des ressources naturelles appliquée à un contexte post-conflit.</w:t>
      </w:r>
    </w:p>
    <w:p w14:paraId="56A2EB61" w14:textId="624D3B06" w:rsidR="00CF2042" w:rsidRPr="00220245" w:rsidRDefault="00771F53" w:rsidP="00CF2042">
      <w:pPr>
        <w:spacing w:line="240" w:lineRule="auto"/>
        <w:jc w:val="both"/>
        <w:rPr>
          <w:sz w:val="10"/>
          <w:szCs w:val="10"/>
        </w:rPr>
      </w:pPr>
      <w:r w:rsidRPr="00220245">
        <w:rPr>
          <w:sz w:val="10"/>
          <w:szCs w:val="10"/>
        </w:rPr>
        <w:t xml:space="preserve"> </w:t>
      </w:r>
    </w:p>
    <w:p w14:paraId="432CCF31" w14:textId="7E373099" w:rsidR="00CF2042" w:rsidRPr="00CF2042" w:rsidRDefault="00771F53" w:rsidP="00CF2042">
      <w:pPr>
        <w:spacing w:line="240" w:lineRule="auto"/>
        <w:jc w:val="both"/>
        <w:rPr>
          <w:b/>
          <w:bCs/>
          <w:color w:val="000099"/>
        </w:rPr>
      </w:pPr>
      <w:r w:rsidRPr="00CF2042">
        <w:rPr>
          <w:b/>
          <w:bCs/>
          <w:color w:val="000099"/>
        </w:rPr>
        <w:t xml:space="preserve">2. </w:t>
      </w:r>
      <w:r>
        <w:rPr>
          <w:b/>
          <w:bCs/>
          <w:color w:val="000099"/>
        </w:rPr>
        <w:t>S</w:t>
      </w:r>
      <w:r w:rsidRPr="00CF2042">
        <w:rPr>
          <w:b/>
          <w:bCs/>
          <w:color w:val="000099"/>
        </w:rPr>
        <w:t>ituation initiale et stratégie de transformation</w:t>
      </w:r>
    </w:p>
    <w:p w14:paraId="2915544F" w14:textId="77777777" w:rsidR="00CF2042" w:rsidRPr="00CF2042" w:rsidRDefault="00CF2042" w:rsidP="00CF2042">
      <w:pPr>
        <w:spacing w:line="240" w:lineRule="auto"/>
        <w:jc w:val="both"/>
      </w:pPr>
      <w:r w:rsidRPr="00CF2042">
        <w:t>Le Parc National de la Kibira était géré exclusivement par l'OBPE selon un modèle "forteresse" excluant les communautés des décisions et des bénéfices. Ce modèle générait des tensions structurelles : conflits récurrents communautés-écogardes, exploitation illégale persistante par des populations sans alternatives, absence de légitimité sociale de la conservation, et absence de mécanismes de dialogue constructif.</w:t>
      </w:r>
    </w:p>
    <w:p w14:paraId="32501572" w14:textId="77777777" w:rsidR="00CF2042" w:rsidRPr="00CF2042" w:rsidRDefault="00CF2042" w:rsidP="00CF2042">
      <w:pPr>
        <w:spacing w:line="240" w:lineRule="auto"/>
        <w:jc w:val="both"/>
      </w:pPr>
      <w:r w:rsidRPr="00CF2042">
        <w:t>La stratégie a consisté à créer une structure de gouvernance partagée via consultations élargies avec toutes les parties prenantes, négociation d'un accord de cogestion avec l'OBPE formalisant le partage d'autorité, création juridique de la Fondation avec statut légal, gouvernance inclusive avec représentation équitable, et accompagnement par le COH comme facilitateur neutre.</w:t>
      </w:r>
    </w:p>
    <w:p w14:paraId="4553797A" w14:textId="31A2916E" w:rsidR="00CF2042" w:rsidRPr="00CF2042" w:rsidRDefault="00CF2042" w:rsidP="00CF2042">
      <w:pPr>
        <w:spacing w:line="240" w:lineRule="auto"/>
        <w:jc w:val="both"/>
      </w:pPr>
      <w:r w:rsidRPr="00CF2042">
        <w:t xml:space="preserve">Les résultats démontrent une transformation significative : </w:t>
      </w:r>
      <w:r w:rsidR="00F81463">
        <w:t>C</w:t>
      </w:r>
      <w:r w:rsidRPr="00CF2042">
        <w:t>réation juridique formelle de la Fondation, signature d'accord de cogestion avec l'OBPE, gouvernance inclusive opérationnelle, et amélioration des relations communautés-autorités. Cependant, des défis persistent : besoins critiques de renforcement de capacités (personnel insuffisant, compétences limitées), absence de texte légal formel pérennisant définitivement le statut, dépendance financière aux sources externes, et construction progressive de confiance OBPE-Fondation nécessitant encore accompagnement.</w:t>
      </w:r>
    </w:p>
    <w:p w14:paraId="2E68069A" w14:textId="72C36A01" w:rsidR="00CF2042" w:rsidRPr="00220245" w:rsidRDefault="00771F53" w:rsidP="00CF2042">
      <w:pPr>
        <w:spacing w:line="240" w:lineRule="auto"/>
        <w:jc w:val="both"/>
        <w:rPr>
          <w:sz w:val="10"/>
          <w:szCs w:val="10"/>
        </w:rPr>
      </w:pPr>
      <w:r w:rsidRPr="00220245">
        <w:rPr>
          <w:sz w:val="10"/>
          <w:szCs w:val="10"/>
        </w:rPr>
        <w:t xml:space="preserve"> </w:t>
      </w:r>
    </w:p>
    <w:p w14:paraId="67D20E25" w14:textId="01CF72EB" w:rsidR="00CF2042" w:rsidRPr="00CF2042" w:rsidRDefault="00771F53" w:rsidP="00CF2042">
      <w:pPr>
        <w:spacing w:line="240" w:lineRule="auto"/>
        <w:jc w:val="both"/>
        <w:rPr>
          <w:b/>
          <w:bCs/>
          <w:color w:val="000099"/>
        </w:rPr>
      </w:pPr>
      <w:r w:rsidRPr="00CF2042">
        <w:rPr>
          <w:b/>
          <w:bCs/>
          <w:color w:val="000099"/>
        </w:rPr>
        <w:t xml:space="preserve">3. </w:t>
      </w:r>
      <w:r>
        <w:rPr>
          <w:b/>
          <w:bCs/>
          <w:color w:val="000099"/>
        </w:rPr>
        <w:t>A</w:t>
      </w:r>
      <w:r w:rsidRPr="00CF2042">
        <w:rPr>
          <w:b/>
          <w:bCs/>
          <w:color w:val="000099"/>
        </w:rPr>
        <w:t>nalyse</w:t>
      </w:r>
    </w:p>
    <w:p w14:paraId="0075973C" w14:textId="77777777" w:rsidR="00CF2042" w:rsidRPr="00CF2042" w:rsidRDefault="00CF2042" w:rsidP="00CF2042">
      <w:pPr>
        <w:spacing w:line="240" w:lineRule="auto"/>
        <w:jc w:val="both"/>
      </w:pPr>
      <w:r w:rsidRPr="00CF2042">
        <w:t>Cette expérience démontre que la transformation vers une cogestion participative est faisable, même dans des contextes post-conflit avec tensions historiques fortes, lorsqu'elle est structurée autour de principes clairs (transparence, inclusion, équité) et bénéficie d'une légitimité juridique formelle et d'un accompagnement externe.</w:t>
      </w:r>
    </w:p>
    <w:p w14:paraId="3A377A97" w14:textId="77777777" w:rsidR="00CF2042" w:rsidRPr="00CF2042" w:rsidRDefault="00CF2042" w:rsidP="00CF2042">
      <w:pPr>
        <w:spacing w:line="240" w:lineRule="auto"/>
        <w:jc w:val="both"/>
      </w:pPr>
      <w:r w:rsidRPr="00CF2042">
        <w:t xml:space="preserve">Les implications à long terme incluent : transformation du paradigme de gouvernance des aires protégées au Burundi avec potentiel de réplication, amélioration de la légitimité sociale de la conservation, réduction des conflits structurels via le dialogue institutionnalisé, renforcement de l'efficacité par la mobilisation de l'intelligence locale, et contribution à la consolidation de la paix. </w:t>
      </w:r>
      <w:r w:rsidRPr="00CF2042">
        <w:lastRenderedPageBreak/>
        <w:t>La durabilité présente des forces (légitimité juridique, gouvernance inclusive, financement PSE) et des vulnérabilités (capacités insuffisantes, absence de pérennisation réglementaire, dépendance financière, confiance OBPE-Fondation fragile).</w:t>
      </w:r>
    </w:p>
    <w:p w14:paraId="7AA0D422" w14:textId="77777777" w:rsidR="000F76A9" w:rsidRDefault="00CF2042" w:rsidP="00CF2042">
      <w:pPr>
        <w:spacing w:line="240" w:lineRule="auto"/>
        <w:jc w:val="both"/>
      </w:pPr>
      <w:r w:rsidRPr="00CF2042">
        <w:t xml:space="preserve">Les facteurs clés de succès incluent : volonté politique d'expérimenter l'approche participative, processus de consultation élargie créant appropriation, accompagnement intensif </w:t>
      </w:r>
      <w:r w:rsidR="000F76A9">
        <w:t xml:space="preserve">par </w:t>
      </w:r>
      <w:r w:rsidRPr="00CF2042">
        <w:t xml:space="preserve">COH, structuration juridique formelle, gouvernance inclusive effective, et financement PSE créant </w:t>
      </w:r>
      <w:r w:rsidR="000F76A9">
        <w:t xml:space="preserve">une </w:t>
      </w:r>
      <w:r w:rsidRPr="00CF2042">
        <w:t xml:space="preserve">autonomie partielle. </w:t>
      </w:r>
    </w:p>
    <w:p w14:paraId="7D66C99F" w14:textId="6EE8B56E" w:rsidR="00CF2042" w:rsidRPr="00CF2042" w:rsidRDefault="00CF2042" w:rsidP="00CF2042">
      <w:pPr>
        <w:spacing w:line="240" w:lineRule="auto"/>
        <w:jc w:val="both"/>
      </w:pPr>
      <w:r w:rsidRPr="00CF2042">
        <w:t xml:space="preserve">L'attribution est partagée : le PBF a financé le processus de création et apporté l'expertise technique et juridique. Les partenaires </w:t>
      </w:r>
      <w:r w:rsidR="000F76A9">
        <w:t xml:space="preserve">qui </w:t>
      </w:r>
      <w:r w:rsidRPr="00CF2042">
        <w:t xml:space="preserve">ont </w:t>
      </w:r>
      <w:r w:rsidR="000F76A9">
        <w:t xml:space="preserve">également </w:t>
      </w:r>
      <w:r w:rsidRPr="00CF2042">
        <w:t xml:space="preserve">contribué </w:t>
      </w:r>
      <w:r w:rsidR="000F76A9">
        <w:t xml:space="preserve">à cette activité sont </w:t>
      </w:r>
      <w:r w:rsidRPr="00CF2042">
        <w:t>: COH (facilitation intensive), OBPE (acceptation de partager l'autorité), communautés (engagement), et Gouvernement (validation).</w:t>
      </w:r>
    </w:p>
    <w:p w14:paraId="6B51CB1A" w14:textId="71172BD1" w:rsidR="00CF2042" w:rsidRPr="00220245" w:rsidRDefault="00771F53" w:rsidP="00CF2042">
      <w:pPr>
        <w:spacing w:line="240" w:lineRule="auto"/>
        <w:jc w:val="both"/>
        <w:rPr>
          <w:sz w:val="10"/>
          <w:szCs w:val="10"/>
        </w:rPr>
      </w:pPr>
      <w:r w:rsidRPr="00220245">
        <w:rPr>
          <w:sz w:val="10"/>
          <w:szCs w:val="10"/>
        </w:rPr>
        <w:t xml:space="preserve"> </w:t>
      </w:r>
    </w:p>
    <w:p w14:paraId="3BE9857A" w14:textId="5BC049BA" w:rsidR="00CF2042" w:rsidRPr="00CF2042" w:rsidRDefault="00771F53" w:rsidP="00CF2042">
      <w:pPr>
        <w:spacing w:line="240" w:lineRule="auto"/>
        <w:jc w:val="both"/>
        <w:rPr>
          <w:b/>
          <w:bCs/>
          <w:color w:val="000099"/>
        </w:rPr>
      </w:pPr>
      <w:r w:rsidRPr="00CF2042">
        <w:rPr>
          <w:b/>
          <w:bCs/>
          <w:color w:val="000099"/>
        </w:rPr>
        <w:t xml:space="preserve">4. </w:t>
      </w:r>
      <w:r>
        <w:rPr>
          <w:b/>
          <w:bCs/>
          <w:color w:val="000099"/>
        </w:rPr>
        <w:t>E</w:t>
      </w:r>
      <w:r w:rsidRPr="00CF2042">
        <w:rPr>
          <w:b/>
          <w:bCs/>
          <w:color w:val="000099"/>
        </w:rPr>
        <w:t>nseignements et recommandations</w:t>
      </w:r>
    </w:p>
    <w:p w14:paraId="08B27BDB" w14:textId="33887361" w:rsidR="00CF2042" w:rsidRPr="00CF2042" w:rsidRDefault="00771F53" w:rsidP="00CF2042">
      <w:pPr>
        <w:spacing w:line="240" w:lineRule="auto"/>
        <w:jc w:val="both"/>
      </w:pPr>
      <w:r w:rsidRPr="00771F53">
        <w:t>P</w:t>
      </w:r>
      <w:r w:rsidRPr="00CF2042">
        <w:t xml:space="preserve">rincipaux </w:t>
      </w:r>
      <w:r w:rsidR="00CF2042" w:rsidRPr="00CF2042">
        <w:t>enseignements</w:t>
      </w:r>
      <w:r>
        <w:t xml:space="preserve"> </w:t>
      </w:r>
      <w:r w:rsidR="00CF2042" w:rsidRPr="00CF2042">
        <w:t>:</w:t>
      </w:r>
    </w:p>
    <w:p w14:paraId="42462E91" w14:textId="77777777" w:rsidR="00CF2042" w:rsidRPr="00CF2042" w:rsidRDefault="00CF2042" w:rsidP="00357CD2">
      <w:pPr>
        <w:numPr>
          <w:ilvl w:val="0"/>
          <w:numId w:val="31"/>
        </w:numPr>
        <w:spacing w:before="0" w:after="0" w:line="240" w:lineRule="auto"/>
        <w:ind w:left="714" w:hanging="357"/>
        <w:jc w:val="both"/>
      </w:pPr>
      <w:r w:rsidRPr="00CF2042">
        <w:t>La transformation vers la cogestion nécessite un accompagnement intensif de long terme (3-5 ans) par un facilitateur neutre construisant progressivement la confiance entre l'État et les acteurs non-étatiques.</w:t>
      </w:r>
    </w:p>
    <w:p w14:paraId="19753863" w14:textId="77777777" w:rsidR="00CF2042" w:rsidRPr="00CF2042" w:rsidRDefault="00CF2042" w:rsidP="00357CD2">
      <w:pPr>
        <w:numPr>
          <w:ilvl w:val="0"/>
          <w:numId w:val="31"/>
        </w:numPr>
        <w:spacing w:before="0" w:after="0" w:line="240" w:lineRule="auto"/>
        <w:ind w:left="714" w:hanging="357"/>
        <w:jc w:val="both"/>
      </w:pPr>
      <w:r w:rsidRPr="00CF2042">
        <w:t>La légitimité juridique formelle est essentielle. Le statut légal et l'accord de cogestion confèrent autorité et crédibilité. L'absence de texte réglementaire supérieur demeure une vulnérabilité.</w:t>
      </w:r>
    </w:p>
    <w:p w14:paraId="4100DAEC" w14:textId="77777777" w:rsidR="00CF2042" w:rsidRPr="00CF2042" w:rsidRDefault="00CF2042" w:rsidP="00357CD2">
      <w:pPr>
        <w:numPr>
          <w:ilvl w:val="0"/>
          <w:numId w:val="31"/>
        </w:numPr>
        <w:spacing w:before="0" w:after="0" w:line="240" w:lineRule="auto"/>
        <w:ind w:left="714" w:hanging="357"/>
        <w:jc w:val="both"/>
      </w:pPr>
      <w:r w:rsidRPr="00CF2042">
        <w:t>La gouvernance inclusive doit être effective, pas symbolique. La représentation équitable et la capacité à influencer réellement les décisions sont critiques.</w:t>
      </w:r>
    </w:p>
    <w:p w14:paraId="58DB68F9" w14:textId="77777777" w:rsidR="00CF2042" w:rsidRPr="00CF2042" w:rsidRDefault="00CF2042" w:rsidP="00357CD2">
      <w:pPr>
        <w:numPr>
          <w:ilvl w:val="0"/>
          <w:numId w:val="31"/>
        </w:numPr>
        <w:spacing w:before="0" w:after="0" w:line="240" w:lineRule="auto"/>
        <w:ind w:left="714" w:hanging="357"/>
        <w:jc w:val="both"/>
      </w:pPr>
      <w:r w:rsidRPr="00CF2042">
        <w:t>Les capacités institutionnelles robustes (personnel qualifié, compétences, ressources financières) constituent une condition sine qua non.</w:t>
      </w:r>
    </w:p>
    <w:p w14:paraId="7456FF1B" w14:textId="77777777" w:rsidR="00CF2042" w:rsidRPr="00CF2042" w:rsidRDefault="00CF2042" w:rsidP="00357CD2">
      <w:pPr>
        <w:numPr>
          <w:ilvl w:val="0"/>
          <w:numId w:val="31"/>
        </w:numPr>
        <w:spacing w:before="0" w:after="0" w:line="240" w:lineRule="auto"/>
        <w:ind w:left="714" w:hanging="357"/>
        <w:jc w:val="both"/>
      </w:pPr>
      <w:r w:rsidRPr="00CF2042">
        <w:t>L'acceptation par l'État de partager l'autorité représente un changement culturel profond nécessitant temps, patience et résultats tangibles.</w:t>
      </w:r>
    </w:p>
    <w:p w14:paraId="4885A92B" w14:textId="4373AB6C" w:rsidR="00CF2042" w:rsidRPr="00CF2042" w:rsidRDefault="00CF2042" w:rsidP="00357CD2">
      <w:pPr>
        <w:numPr>
          <w:ilvl w:val="0"/>
          <w:numId w:val="31"/>
        </w:numPr>
        <w:spacing w:before="0" w:after="0" w:line="240" w:lineRule="auto"/>
        <w:ind w:left="714" w:hanging="357"/>
        <w:jc w:val="both"/>
      </w:pPr>
      <w:r w:rsidRPr="00CF2042">
        <w:t xml:space="preserve">L'autonomie financière partielle renforce </w:t>
      </w:r>
      <w:r w:rsidR="00004B78">
        <w:t xml:space="preserve">la </w:t>
      </w:r>
      <w:r w:rsidRPr="00CF2042">
        <w:t xml:space="preserve">légitimité et </w:t>
      </w:r>
      <w:r w:rsidR="00004B78">
        <w:t xml:space="preserve">la </w:t>
      </w:r>
      <w:r w:rsidRPr="00CF2042">
        <w:t>durabilité. Disposer de sources propres plutôt que dépendre uniquement de transferts renforce la crédibilité.</w:t>
      </w:r>
    </w:p>
    <w:p w14:paraId="4AB7A1EC" w14:textId="77777777" w:rsidR="00CF2042" w:rsidRPr="00CF2042" w:rsidRDefault="00CF2042" w:rsidP="00CF2042">
      <w:pPr>
        <w:spacing w:line="240" w:lineRule="auto"/>
        <w:jc w:val="both"/>
      </w:pPr>
      <w:r w:rsidRPr="00CF2042">
        <w:t>Recommandations pratiques :</w:t>
      </w:r>
    </w:p>
    <w:p w14:paraId="01CBC9A2" w14:textId="448EC290" w:rsidR="00CF2042" w:rsidRPr="00CF2042" w:rsidRDefault="00CF2042" w:rsidP="00357CD2">
      <w:pPr>
        <w:numPr>
          <w:ilvl w:val="0"/>
          <w:numId w:val="31"/>
        </w:numPr>
        <w:spacing w:before="0" w:after="0" w:line="240" w:lineRule="auto"/>
        <w:ind w:left="714" w:hanging="357"/>
        <w:jc w:val="both"/>
      </w:pPr>
      <w:r w:rsidRPr="00CF2042">
        <w:t xml:space="preserve">Investir dans le processus de consultation et </w:t>
      </w:r>
      <w:proofErr w:type="spellStart"/>
      <w:r w:rsidRPr="00CF2042">
        <w:t>co-conception</w:t>
      </w:r>
      <w:proofErr w:type="spellEnd"/>
      <w:r w:rsidRPr="00CF2042">
        <w:t xml:space="preserve"> (6-12 mois) impliquant toutes </w:t>
      </w:r>
      <w:r w:rsidR="00B22A60">
        <w:t xml:space="preserve">les </w:t>
      </w:r>
      <w:r w:rsidRPr="00CF2042">
        <w:t>parties prenantes</w:t>
      </w:r>
    </w:p>
    <w:p w14:paraId="0202F8BD" w14:textId="2C5708D8" w:rsidR="00CF2042" w:rsidRPr="00CF2042" w:rsidRDefault="00CF2042" w:rsidP="00357CD2">
      <w:pPr>
        <w:numPr>
          <w:ilvl w:val="0"/>
          <w:numId w:val="31"/>
        </w:numPr>
        <w:spacing w:before="0" w:after="0" w:line="240" w:lineRule="auto"/>
        <w:ind w:left="714" w:hanging="357"/>
        <w:jc w:val="both"/>
      </w:pPr>
      <w:r w:rsidRPr="00CF2042">
        <w:t xml:space="preserve">Structurer juridiquement </w:t>
      </w:r>
      <w:r w:rsidR="00B22A60">
        <w:t xml:space="preserve">l’entité à créer </w:t>
      </w:r>
      <w:r w:rsidRPr="00CF2042">
        <w:t xml:space="preserve">avec </w:t>
      </w:r>
      <w:r w:rsidR="00B22A60">
        <w:t xml:space="preserve">l’appui d’une </w:t>
      </w:r>
      <w:r w:rsidRPr="00CF2042">
        <w:t xml:space="preserve">expertise appropriée et sécuriser la pérennisation par </w:t>
      </w:r>
      <w:r w:rsidR="00B22A60">
        <w:t xml:space="preserve">un </w:t>
      </w:r>
      <w:r w:rsidRPr="00CF2042">
        <w:t>texte légal supérieur (décret/loi)</w:t>
      </w:r>
    </w:p>
    <w:p w14:paraId="470D1692" w14:textId="2CDB18B4" w:rsidR="00CF2042" w:rsidRPr="00CF2042" w:rsidRDefault="00CF2042" w:rsidP="00357CD2">
      <w:pPr>
        <w:numPr>
          <w:ilvl w:val="0"/>
          <w:numId w:val="31"/>
        </w:numPr>
        <w:spacing w:before="0" w:after="0" w:line="240" w:lineRule="auto"/>
        <w:ind w:left="714" w:hanging="357"/>
        <w:jc w:val="both"/>
      </w:pPr>
      <w:r w:rsidRPr="00CF2042">
        <w:t xml:space="preserve">Prévoir </w:t>
      </w:r>
      <w:r w:rsidR="00B22A60">
        <w:t xml:space="preserve">un </w:t>
      </w:r>
      <w:r w:rsidRPr="00CF2042">
        <w:t xml:space="preserve">accompagnement externe intensif (3-5 ans) pour faciliter </w:t>
      </w:r>
      <w:r w:rsidR="00B22A60">
        <w:t xml:space="preserve">la </w:t>
      </w:r>
      <w:r w:rsidRPr="00CF2042">
        <w:t xml:space="preserve">construction de </w:t>
      </w:r>
      <w:r w:rsidR="00B22A60">
        <w:t xml:space="preserve">la </w:t>
      </w:r>
      <w:r w:rsidRPr="00CF2042">
        <w:t>confiance</w:t>
      </w:r>
      <w:r w:rsidR="00B22A60">
        <w:t xml:space="preserve"> avec les acteurs publics </w:t>
      </w:r>
    </w:p>
    <w:p w14:paraId="5C27BA72" w14:textId="109D1161" w:rsidR="00CF2042" w:rsidRPr="00CF2042" w:rsidRDefault="00CF2042" w:rsidP="00357CD2">
      <w:pPr>
        <w:numPr>
          <w:ilvl w:val="0"/>
          <w:numId w:val="31"/>
        </w:numPr>
        <w:spacing w:before="0" w:after="0" w:line="240" w:lineRule="auto"/>
        <w:ind w:left="714" w:hanging="357"/>
        <w:jc w:val="both"/>
      </w:pPr>
      <w:r w:rsidRPr="00CF2042">
        <w:t xml:space="preserve">Investir massivement dans </w:t>
      </w:r>
      <w:r w:rsidR="00B22A60">
        <w:t xml:space="preserve">le </w:t>
      </w:r>
      <w:r w:rsidRPr="00CF2042">
        <w:t>renforcement de capacités dès le départ (recrutement, formations, systèmes de gestion)</w:t>
      </w:r>
    </w:p>
    <w:p w14:paraId="7B2890AF" w14:textId="3B8D7453" w:rsidR="00CF2042" w:rsidRPr="00CF2042" w:rsidRDefault="00CF2042" w:rsidP="00357CD2">
      <w:pPr>
        <w:numPr>
          <w:ilvl w:val="0"/>
          <w:numId w:val="31"/>
        </w:numPr>
        <w:spacing w:before="0" w:after="0" w:line="240" w:lineRule="auto"/>
        <w:ind w:left="714" w:hanging="357"/>
        <w:jc w:val="both"/>
      </w:pPr>
      <w:r w:rsidRPr="00CF2042">
        <w:t xml:space="preserve">Développer </w:t>
      </w:r>
      <w:r w:rsidR="00B22A60">
        <w:t xml:space="preserve">une </w:t>
      </w:r>
      <w:r w:rsidRPr="00CF2042">
        <w:t>stratégie de mobilisation de ressources diversifiée (PSE, budgets publics, bailleurs, revenus propres)</w:t>
      </w:r>
    </w:p>
    <w:p w14:paraId="5E4391A4" w14:textId="693DC8D7" w:rsidR="00CF2042" w:rsidRPr="00CF2042" w:rsidRDefault="00CF2042" w:rsidP="00357CD2">
      <w:pPr>
        <w:numPr>
          <w:ilvl w:val="0"/>
          <w:numId w:val="31"/>
        </w:numPr>
        <w:spacing w:before="0" w:after="0" w:line="240" w:lineRule="auto"/>
        <w:ind w:left="714" w:hanging="357"/>
        <w:jc w:val="both"/>
      </w:pPr>
      <w:r w:rsidRPr="00CF2042">
        <w:t xml:space="preserve">Établir </w:t>
      </w:r>
      <w:r w:rsidR="00B22A60">
        <w:t xml:space="preserve">des </w:t>
      </w:r>
      <w:r w:rsidRPr="00CF2042">
        <w:t xml:space="preserve">mécanismes transparents de </w:t>
      </w:r>
      <w:proofErr w:type="spellStart"/>
      <w:r w:rsidRPr="00CF2042">
        <w:t>reporting</w:t>
      </w:r>
      <w:proofErr w:type="spellEnd"/>
      <w:r w:rsidRPr="00CF2042">
        <w:t xml:space="preserve"> et </w:t>
      </w:r>
      <w:r w:rsidR="00B22A60">
        <w:t xml:space="preserve">de </w:t>
      </w:r>
      <w:r w:rsidRPr="00CF2042">
        <w:t>redevabilité envers toutes parties prenantes</w:t>
      </w:r>
    </w:p>
    <w:bookmarkEnd w:id="38"/>
    <w:p w14:paraId="23FE128E" w14:textId="77777777" w:rsidR="004307B4" w:rsidRPr="00925FBE" w:rsidRDefault="00912F33" w:rsidP="00BE29A7">
      <w:pPr>
        <w:jc w:val="both"/>
        <w:rPr>
          <w:rFonts w:eastAsia="Times New Roman" w:cs="Open Sans"/>
          <w:b/>
          <w:bCs/>
          <w:color w:val="0074AC"/>
          <w:kern w:val="28"/>
          <w:sz w:val="48"/>
          <w:szCs w:val="48"/>
          <w14:cntxtAlts/>
        </w:rPr>
      </w:pPr>
      <w:r w:rsidRPr="00925FBE">
        <w:br w:type="page"/>
      </w:r>
    </w:p>
    <w:p w14:paraId="651AA774" w14:textId="77777777" w:rsidR="00761FB2" w:rsidRPr="00925FBE" w:rsidRDefault="00761FB2" w:rsidP="00BE29A7">
      <w:pPr>
        <w:jc w:val="both"/>
        <w:rPr>
          <w:rFonts w:cs="Open Sans"/>
        </w:rPr>
        <w:sectPr w:rsidR="00761FB2" w:rsidRPr="00925FBE" w:rsidSect="005B2DBB">
          <w:pgSz w:w="11906" w:h="16838" w:code="9"/>
          <w:pgMar w:top="1440" w:right="1440" w:bottom="1440" w:left="1440" w:header="720" w:footer="720" w:gutter="0"/>
          <w:cols w:space="720"/>
          <w:docGrid w:linePitch="360"/>
        </w:sectPr>
      </w:pPr>
    </w:p>
    <w:p w14:paraId="4A96ED20" w14:textId="77777777" w:rsidR="00744F3B" w:rsidRPr="00925FBE" w:rsidRDefault="00744F3B" w:rsidP="00BE29A7">
      <w:pPr>
        <w:widowControl w:val="0"/>
        <w:jc w:val="both"/>
        <w:rPr>
          <w:rFonts w:cs="Open Sans"/>
          <w:b/>
          <w:bCs/>
          <w:color w:val="0074AC"/>
        </w:rPr>
      </w:pPr>
    </w:p>
    <w:p w14:paraId="1B13B241" w14:textId="77777777" w:rsidR="00744F3B" w:rsidRPr="00925FBE" w:rsidRDefault="00744F3B" w:rsidP="00BE29A7">
      <w:pPr>
        <w:widowControl w:val="0"/>
        <w:jc w:val="both"/>
        <w:rPr>
          <w:rFonts w:cs="Open Sans"/>
          <w:b/>
          <w:bCs/>
          <w:color w:val="0074AC"/>
        </w:rPr>
      </w:pPr>
    </w:p>
    <w:p w14:paraId="5DAA21FB" w14:textId="77777777" w:rsidR="00744F3B" w:rsidRPr="00925FBE" w:rsidRDefault="00744F3B" w:rsidP="00BE29A7">
      <w:pPr>
        <w:widowControl w:val="0"/>
        <w:jc w:val="both"/>
        <w:rPr>
          <w:rFonts w:cs="Open Sans"/>
          <w:b/>
          <w:bCs/>
          <w:color w:val="0074AC"/>
        </w:rPr>
      </w:pPr>
    </w:p>
    <w:p w14:paraId="62E68721" w14:textId="77777777" w:rsidR="00744F3B" w:rsidRPr="00925FBE" w:rsidRDefault="00744F3B" w:rsidP="00BE29A7">
      <w:pPr>
        <w:widowControl w:val="0"/>
        <w:jc w:val="both"/>
        <w:rPr>
          <w:rFonts w:cs="Open Sans"/>
          <w:b/>
          <w:bCs/>
          <w:color w:val="0074AC"/>
        </w:rPr>
      </w:pPr>
    </w:p>
    <w:p w14:paraId="40DADAE0" w14:textId="77777777" w:rsidR="00744F3B" w:rsidRPr="00925FBE" w:rsidRDefault="00744F3B" w:rsidP="00BE29A7">
      <w:pPr>
        <w:widowControl w:val="0"/>
        <w:jc w:val="both"/>
        <w:rPr>
          <w:rFonts w:cs="Open Sans"/>
          <w:b/>
          <w:bCs/>
          <w:color w:val="0074AC"/>
        </w:rPr>
      </w:pPr>
    </w:p>
    <w:p w14:paraId="270B8DB5" w14:textId="77777777" w:rsidR="00744F3B" w:rsidRPr="00925FBE" w:rsidRDefault="00744F3B" w:rsidP="00BE29A7">
      <w:pPr>
        <w:widowControl w:val="0"/>
        <w:jc w:val="both"/>
        <w:rPr>
          <w:rFonts w:cs="Open Sans"/>
          <w:b/>
          <w:bCs/>
          <w:color w:val="0074AC"/>
        </w:rPr>
      </w:pPr>
    </w:p>
    <w:p w14:paraId="0148136D" w14:textId="77777777" w:rsidR="00744F3B" w:rsidRPr="00925FBE" w:rsidRDefault="00744F3B" w:rsidP="00BE29A7">
      <w:pPr>
        <w:widowControl w:val="0"/>
        <w:jc w:val="both"/>
        <w:rPr>
          <w:rFonts w:cs="Open Sans"/>
          <w:b/>
          <w:bCs/>
          <w:color w:val="0074AC"/>
        </w:rPr>
      </w:pPr>
    </w:p>
    <w:p w14:paraId="451DF8B1" w14:textId="77777777" w:rsidR="00744F3B" w:rsidRPr="00925FBE" w:rsidRDefault="00744F3B" w:rsidP="00BE29A7">
      <w:pPr>
        <w:widowControl w:val="0"/>
        <w:jc w:val="both"/>
        <w:rPr>
          <w:rFonts w:cs="Open Sans"/>
          <w:b/>
          <w:bCs/>
          <w:color w:val="0074AC"/>
        </w:rPr>
      </w:pPr>
    </w:p>
    <w:p w14:paraId="29DA6BB4" w14:textId="77777777" w:rsidR="00744F3B" w:rsidRPr="00925FBE" w:rsidRDefault="00744F3B" w:rsidP="00BE29A7">
      <w:pPr>
        <w:widowControl w:val="0"/>
        <w:jc w:val="both"/>
        <w:rPr>
          <w:rFonts w:cs="Open Sans"/>
          <w:b/>
          <w:bCs/>
          <w:color w:val="0074AC"/>
        </w:rPr>
      </w:pPr>
    </w:p>
    <w:p w14:paraId="3B62AFAF" w14:textId="77777777" w:rsidR="00744F3B" w:rsidRPr="00925FBE" w:rsidRDefault="00744F3B" w:rsidP="00BE29A7">
      <w:pPr>
        <w:widowControl w:val="0"/>
        <w:jc w:val="both"/>
        <w:rPr>
          <w:rFonts w:cs="Open Sans"/>
          <w:b/>
          <w:bCs/>
          <w:color w:val="0074AC"/>
        </w:rPr>
      </w:pPr>
    </w:p>
    <w:p w14:paraId="53FA9780" w14:textId="77777777" w:rsidR="00744F3B" w:rsidRPr="00925FBE" w:rsidRDefault="00744F3B" w:rsidP="00BE29A7">
      <w:pPr>
        <w:widowControl w:val="0"/>
        <w:jc w:val="both"/>
        <w:rPr>
          <w:rFonts w:cs="Open Sans"/>
          <w:b/>
          <w:bCs/>
          <w:color w:val="0074AC"/>
        </w:rPr>
      </w:pPr>
    </w:p>
    <w:p w14:paraId="4F92FBEA" w14:textId="77777777" w:rsidR="00744F3B" w:rsidRPr="00925FBE" w:rsidRDefault="00744F3B" w:rsidP="00BE29A7">
      <w:pPr>
        <w:widowControl w:val="0"/>
        <w:jc w:val="both"/>
        <w:rPr>
          <w:rFonts w:cs="Open Sans"/>
          <w:b/>
          <w:bCs/>
          <w:color w:val="0074AC"/>
        </w:rPr>
      </w:pPr>
    </w:p>
    <w:p w14:paraId="54D727DC" w14:textId="77777777" w:rsidR="00744F3B" w:rsidRPr="00925FBE" w:rsidRDefault="00744F3B" w:rsidP="00BE29A7">
      <w:pPr>
        <w:widowControl w:val="0"/>
        <w:jc w:val="both"/>
        <w:rPr>
          <w:rFonts w:cs="Open Sans"/>
          <w:b/>
          <w:bCs/>
          <w:color w:val="0074AC"/>
        </w:rPr>
      </w:pPr>
    </w:p>
    <w:p w14:paraId="5D20F352" w14:textId="77777777" w:rsidR="00744F3B" w:rsidRPr="00925FBE" w:rsidRDefault="00744F3B" w:rsidP="00BE29A7">
      <w:pPr>
        <w:widowControl w:val="0"/>
        <w:jc w:val="both"/>
        <w:rPr>
          <w:rFonts w:cs="Open Sans"/>
          <w:b/>
          <w:bCs/>
          <w:color w:val="0074AC"/>
        </w:rPr>
      </w:pPr>
    </w:p>
    <w:p w14:paraId="542366CE" w14:textId="77777777" w:rsidR="00744F3B" w:rsidRPr="00925FBE" w:rsidRDefault="00744F3B" w:rsidP="00BE29A7">
      <w:pPr>
        <w:widowControl w:val="0"/>
        <w:jc w:val="both"/>
        <w:rPr>
          <w:rFonts w:cs="Open Sans"/>
          <w:b/>
          <w:bCs/>
          <w:color w:val="0074AC"/>
        </w:rPr>
      </w:pPr>
    </w:p>
    <w:p w14:paraId="6D2BDAC1" w14:textId="77777777" w:rsidR="00744F3B" w:rsidRPr="00925FBE" w:rsidRDefault="00744F3B" w:rsidP="00BE29A7">
      <w:pPr>
        <w:widowControl w:val="0"/>
        <w:jc w:val="both"/>
        <w:rPr>
          <w:rFonts w:cs="Open Sans"/>
          <w:b/>
          <w:bCs/>
          <w:color w:val="0074AC"/>
        </w:rPr>
      </w:pPr>
    </w:p>
    <w:p w14:paraId="467409DC" w14:textId="77777777" w:rsidR="00744F3B" w:rsidRPr="00925FBE" w:rsidRDefault="00744F3B" w:rsidP="00BE29A7">
      <w:pPr>
        <w:widowControl w:val="0"/>
        <w:jc w:val="both"/>
        <w:rPr>
          <w:rFonts w:cs="Open Sans"/>
          <w:b/>
          <w:bCs/>
          <w:color w:val="0074AC"/>
        </w:rPr>
      </w:pPr>
    </w:p>
    <w:p w14:paraId="6CAB1E8D" w14:textId="77777777" w:rsidR="00744F3B" w:rsidRPr="00925FBE" w:rsidRDefault="00744F3B" w:rsidP="00BE29A7">
      <w:pPr>
        <w:widowControl w:val="0"/>
        <w:jc w:val="both"/>
        <w:rPr>
          <w:rFonts w:cs="Open Sans"/>
          <w:b/>
          <w:bCs/>
          <w:color w:val="0074AC"/>
        </w:rPr>
      </w:pPr>
    </w:p>
    <w:p w14:paraId="7BBFFB0F" w14:textId="77777777" w:rsidR="00744F3B" w:rsidRPr="00925FBE" w:rsidRDefault="00744F3B" w:rsidP="00BE29A7">
      <w:pPr>
        <w:widowControl w:val="0"/>
        <w:jc w:val="both"/>
        <w:rPr>
          <w:rFonts w:cs="Open Sans"/>
          <w:b/>
          <w:bCs/>
          <w:color w:val="0074AC"/>
        </w:rPr>
      </w:pPr>
    </w:p>
    <w:p w14:paraId="0F0F67C3" w14:textId="77777777" w:rsidR="00744F3B" w:rsidRPr="00925FBE" w:rsidRDefault="00744F3B" w:rsidP="00BE29A7">
      <w:pPr>
        <w:widowControl w:val="0"/>
        <w:jc w:val="both"/>
        <w:rPr>
          <w:rFonts w:cs="Open Sans"/>
          <w:b/>
          <w:bCs/>
          <w:color w:val="0074AC"/>
        </w:rPr>
      </w:pPr>
    </w:p>
    <w:p w14:paraId="5D0C5A50" w14:textId="77777777" w:rsidR="00744F3B" w:rsidRPr="00925FBE" w:rsidRDefault="00744F3B" w:rsidP="00BE29A7">
      <w:pPr>
        <w:widowControl w:val="0"/>
        <w:jc w:val="both"/>
        <w:rPr>
          <w:rFonts w:cs="Open Sans"/>
          <w:b/>
          <w:bCs/>
          <w:color w:val="0074AC"/>
        </w:rPr>
      </w:pPr>
    </w:p>
    <w:p w14:paraId="3DF18AED" w14:textId="77777777" w:rsidR="00744F3B" w:rsidRPr="00925FBE" w:rsidRDefault="00744F3B" w:rsidP="00BE29A7">
      <w:pPr>
        <w:widowControl w:val="0"/>
        <w:jc w:val="both"/>
        <w:rPr>
          <w:rFonts w:cs="Open Sans"/>
          <w:b/>
          <w:bCs/>
          <w:color w:val="0074AC"/>
        </w:rPr>
      </w:pPr>
    </w:p>
    <w:p w14:paraId="766B7418" w14:textId="77777777" w:rsidR="00744F3B" w:rsidRPr="00925FBE" w:rsidRDefault="00744F3B" w:rsidP="00BE29A7">
      <w:pPr>
        <w:widowControl w:val="0"/>
        <w:jc w:val="both"/>
        <w:rPr>
          <w:rFonts w:cs="Open Sans"/>
          <w:b/>
          <w:bCs/>
          <w:color w:val="0074AC"/>
        </w:rPr>
      </w:pPr>
    </w:p>
    <w:p w14:paraId="1351C04C" w14:textId="77777777" w:rsidR="00744F3B" w:rsidRPr="00925FBE" w:rsidRDefault="00744F3B" w:rsidP="00BE29A7">
      <w:pPr>
        <w:widowControl w:val="0"/>
        <w:jc w:val="both"/>
        <w:rPr>
          <w:rFonts w:cs="Open Sans"/>
          <w:b/>
          <w:bCs/>
          <w:color w:val="0074AC"/>
        </w:rPr>
      </w:pPr>
    </w:p>
    <w:p w14:paraId="424AD596" w14:textId="77777777" w:rsidR="00761FB2" w:rsidRPr="00776702" w:rsidRDefault="006B1C65" w:rsidP="00BE29A7">
      <w:pPr>
        <w:jc w:val="both"/>
        <w:rPr>
          <w:rFonts w:cs="Open Sans"/>
        </w:rPr>
      </w:pPr>
      <w:r w:rsidRPr="00925FBE">
        <w:rPr>
          <w:rFonts w:cs="Open Sans"/>
          <w:noProof/>
          <w:sz w:val="24"/>
          <w:szCs w:val="24"/>
          <w:lang w:eastAsia="es-ES_tradnl"/>
        </w:rPr>
        <mc:AlternateContent>
          <mc:Choice Requires="wps">
            <w:drawing>
              <wp:anchor distT="0" distB="0" distL="114300" distR="114300" simplePos="0" relativeHeight="251658244" behindDoc="0" locked="0" layoutInCell="1" allowOverlap="1" wp14:anchorId="152A1C0D" wp14:editId="00D107A6">
                <wp:simplePos x="0" y="0"/>
                <wp:positionH relativeFrom="column">
                  <wp:posOffset>-48861</wp:posOffset>
                </wp:positionH>
                <wp:positionV relativeFrom="paragraph">
                  <wp:posOffset>323055</wp:posOffset>
                </wp:positionV>
                <wp:extent cx="3386295" cy="2813002"/>
                <wp:effectExtent l="0" t="0" r="5080" b="698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6295" cy="2813002"/>
                        </a:xfrm>
                        <a:prstGeom prst="rect">
                          <a:avLst/>
                        </a:prstGeom>
                        <a:noFill/>
                        <a:ln>
                          <a:noFill/>
                        </a:ln>
                        <a:effectLst/>
                        <a:extLst>
                          <a:ext uri="{909E8E84-426E-40dd-AFC4-6F175D3DCCD1}">
                            <a14:hiddenFill xmlns:pic="http://schemas.openxmlformats.org/drawingml/2006/picture" xmlns:ma14="http://schemas.microsoft.com/office/mac/drawingml/2011/main"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solidFill>
                                <a:srgbClr val="5B9BD5"/>
                              </a:solidFill>
                            </a14:hiddenFill>
                          </a:ext>
                          <a:ext uri="{91240B29-F687-4f45-9708-019B960494DF}">
                            <a14:hiddenLine xmlns:pic="http://schemas.openxmlformats.org/drawingml/2006/picture" xmlns:ma14="http://schemas.microsoft.com/office/mac/drawingml/2011/main"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25400">
                              <a:solidFill>
                                <a:schemeClr val="dk1">
                                  <a:lumMod val="0"/>
                                  <a:lumOff val="0"/>
                                </a:schemeClr>
                              </a:solidFill>
                              <a:miter lim="800000"/>
                              <a:headEnd/>
                              <a:tailEnd/>
                            </a14:hiddenLine>
                          </a:ext>
                          <a:ext uri="{AF507438-7753-43e0-B8FC-AC1667EBCBE1}">
                            <a14:hiddenEffects xmlns:pic="http://schemas.openxmlformats.org/drawingml/2006/picture" xmlns:ma14="http://schemas.microsoft.com/office/mac/drawingml/2011/main"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14:hiddenEffects>
                          </a:ext>
                        </a:extLst>
                      </wps:spPr>
                      <wps:txbx>
                        <w:txbxContent>
                          <w:p w14:paraId="10594FA3" w14:textId="77777777" w:rsidR="00303178" w:rsidRPr="000F11CE" w:rsidRDefault="00303178" w:rsidP="006B1C65">
                            <w:pPr>
                              <w:spacing w:after="0" w:line="240" w:lineRule="auto"/>
                              <w:rPr>
                                <w:rFonts w:cs="Open Sans"/>
                                <w:b/>
                                <w:color w:val="3333CC"/>
                                <w:highlight w:val="yellow"/>
                                <w:lang w:val="en-US"/>
                              </w:rPr>
                            </w:pPr>
                            <w:r w:rsidRPr="000F11CE">
                              <w:rPr>
                                <w:rFonts w:cs="Open Sans"/>
                                <w:b/>
                                <w:color w:val="3333CC"/>
                                <w:highlight w:val="yellow"/>
                                <w:lang w:val="en-US"/>
                              </w:rPr>
                              <w:t>UNCDF Evaluation Unit</w:t>
                            </w:r>
                          </w:p>
                          <w:p w14:paraId="4D50CAD9" w14:textId="77777777" w:rsidR="00303178" w:rsidRPr="000F11CE" w:rsidRDefault="00303178" w:rsidP="006B1C65">
                            <w:pPr>
                              <w:widowControl w:val="0"/>
                              <w:rPr>
                                <w:rFonts w:cs="Open Sans"/>
                                <w:b/>
                                <w:color w:val="3333CC"/>
                                <w:lang w:val="en-US"/>
                              </w:rPr>
                            </w:pPr>
                            <w:hyperlink r:id="rId22" w:history="1">
                              <w:r w:rsidRPr="000F11CE">
                                <w:rPr>
                                  <w:rStyle w:val="Hyperlink"/>
                                  <w:rFonts w:cs="Open Sans"/>
                                  <w:b/>
                                  <w:lang w:val="en-US"/>
                                </w:rPr>
                                <w:t>www.uncdf.org</w:t>
                              </w:r>
                            </w:hyperlink>
                          </w:p>
                          <w:p w14:paraId="2F82CE3C" w14:textId="77777777" w:rsidR="00303178" w:rsidRPr="000F11CE" w:rsidRDefault="00303178" w:rsidP="006B1C65">
                            <w:pPr>
                              <w:widowControl w:val="0"/>
                              <w:rPr>
                                <w:rFonts w:cs="Open Sans"/>
                                <w:b/>
                                <w:bCs/>
                                <w:color w:val="3333CC"/>
                                <w:lang w:val="en-US"/>
                              </w:rPr>
                            </w:pPr>
                          </w:p>
                          <w:p w14:paraId="482EA0C0" w14:textId="77777777" w:rsidR="00303178" w:rsidRPr="000F11CE" w:rsidRDefault="00303178" w:rsidP="006B1C65">
                            <w:pPr>
                              <w:widowControl w:val="0"/>
                              <w:rPr>
                                <w:rFonts w:cs="Open Sans"/>
                                <w:b/>
                                <w:bCs/>
                                <w:color w:val="3333CC"/>
                                <w:lang w:val="en-US"/>
                              </w:rPr>
                            </w:pPr>
                          </w:p>
                          <w:p w14:paraId="3FD9AE22" w14:textId="77777777" w:rsidR="00303178" w:rsidRPr="000F11CE" w:rsidRDefault="00303178" w:rsidP="006B1C65">
                            <w:pPr>
                              <w:pStyle w:val="Address"/>
                              <w:widowControl w:val="0"/>
                              <w:rPr>
                                <w:color w:val="3333CC"/>
                                <w:lang w:val="en-US"/>
                                <w14:ligatures w14:val="none"/>
                              </w:rPr>
                            </w:pPr>
                          </w:p>
                          <w:p w14:paraId="1CFA13AA" w14:textId="77777777" w:rsidR="00303178" w:rsidRPr="000F11CE" w:rsidRDefault="00303178" w:rsidP="006B1C65">
                            <w:pPr>
                              <w:pStyle w:val="Address"/>
                              <w:widowControl w:val="0"/>
                              <w:rPr>
                                <w:b/>
                                <w:color w:val="3333CC"/>
                                <w:lang w:val="en-US"/>
                                <w14:ligatures w14:val="none"/>
                              </w:rPr>
                            </w:pPr>
                            <w:r w:rsidRPr="000F11CE">
                              <w:rPr>
                                <w:b/>
                                <w:color w:val="3333CC"/>
                                <w:lang w:val="en-US"/>
                                <w14:ligatures w14:val="none"/>
                              </w:rPr>
                              <w:t>United Nations Capital Development Fund (UNCDF)</w:t>
                            </w:r>
                          </w:p>
                          <w:p w14:paraId="40D114E8" w14:textId="77777777" w:rsidR="00303178" w:rsidRPr="000F11CE" w:rsidRDefault="00303178" w:rsidP="004562FC">
                            <w:pPr>
                              <w:spacing w:before="0" w:after="0" w:line="240" w:lineRule="auto"/>
                              <w:rPr>
                                <w:rFonts w:eastAsia="Times New Roman" w:cs="Arial"/>
                                <w:sz w:val="16"/>
                                <w:szCs w:val="16"/>
                                <w:shd w:val="clear" w:color="auto" w:fill="FAF9F8"/>
                                <w:lang w:val="en-US" w:eastAsia="zh-CN"/>
                              </w:rPr>
                            </w:pPr>
                            <w:r w:rsidRPr="000F11CE">
                              <w:rPr>
                                <w:rFonts w:eastAsia="Times New Roman" w:cs="Arial"/>
                                <w:sz w:val="16"/>
                                <w:szCs w:val="16"/>
                                <w:shd w:val="clear" w:color="auto" w:fill="FAF9F8"/>
                                <w:lang w:val="en-US" w:eastAsia="zh-CN"/>
                              </w:rPr>
                              <w:t>Two UN Plaza - 26th Floor</w:t>
                            </w:r>
                          </w:p>
                          <w:p w14:paraId="301BF24E" w14:textId="77777777" w:rsidR="00303178" w:rsidRPr="000F11CE" w:rsidRDefault="00303178" w:rsidP="004562FC">
                            <w:pPr>
                              <w:spacing w:before="0" w:after="0" w:line="240" w:lineRule="auto"/>
                              <w:rPr>
                                <w:rFonts w:eastAsia="Times New Roman" w:cs="Arial"/>
                                <w:sz w:val="16"/>
                                <w:szCs w:val="16"/>
                                <w:shd w:val="clear" w:color="auto" w:fill="FAF9F8"/>
                                <w:lang w:val="en-US" w:eastAsia="zh-CN"/>
                              </w:rPr>
                            </w:pPr>
                            <w:r w:rsidRPr="000F11CE">
                              <w:rPr>
                                <w:rFonts w:eastAsia="Times New Roman" w:cs="Arial"/>
                                <w:sz w:val="16"/>
                                <w:szCs w:val="16"/>
                                <w:shd w:val="clear" w:color="auto" w:fill="FAF9F8"/>
                                <w:lang w:val="en-US" w:eastAsia="zh-CN"/>
                              </w:rPr>
                              <w:t>New York 10017 - United States of America</w:t>
                            </w:r>
                          </w:p>
                          <w:p w14:paraId="3B2B7500" w14:textId="77777777" w:rsidR="00303178" w:rsidRPr="000F11CE" w:rsidRDefault="00303178" w:rsidP="004562FC">
                            <w:pPr>
                              <w:spacing w:before="0" w:after="0" w:line="240" w:lineRule="auto"/>
                              <w:rPr>
                                <w:rFonts w:eastAsia="Times New Roman" w:cs="Arial"/>
                                <w:sz w:val="16"/>
                                <w:szCs w:val="16"/>
                                <w:shd w:val="clear" w:color="auto" w:fill="FAF9F8"/>
                                <w:lang w:val="en-US" w:eastAsia="zh-CN"/>
                              </w:rPr>
                            </w:pPr>
                          </w:p>
                          <w:p w14:paraId="0D34529A" w14:textId="77777777" w:rsidR="00303178" w:rsidRPr="000F11CE" w:rsidRDefault="00303178" w:rsidP="004562FC">
                            <w:pPr>
                              <w:spacing w:before="0" w:after="0" w:line="240" w:lineRule="auto"/>
                              <w:rPr>
                                <w:rFonts w:eastAsia="Times New Roman" w:cs="Arial"/>
                                <w:sz w:val="16"/>
                                <w:szCs w:val="16"/>
                                <w:shd w:val="clear" w:color="auto" w:fill="FAF9F8"/>
                                <w:lang w:val="en-US" w:eastAsia="zh-CN"/>
                              </w:rPr>
                            </w:pPr>
                            <w:r w:rsidRPr="000F11CE">
                              <w:rPr>
                                <w:rFonts w:eastAsia="Times New Roman" w:cs="Arial"/>
                                <w:sz w:val="16"/>
                                <w:szCs w:val="16"/>
                                <w:shd w:val="clear" w:color="auto" w:fill="FAF9F8"/>
                                <w:lang w:val="en-US" w:eastAsia="zh-CN"/>
                              </w:rPr>
                              <w:t>+1 212 906 6565</w:t>
                            </w:r>
                          </w:p>
                          <w:p w14:paraId="2B518A01" w14:textId="77777777" w:rsidR="00303178" w:rsidRPr="000F11CE" w:rsidRDefault="00303178" w:rsidP="004562FC">
                            <w:pPr>
                              <w:spacing w:before="0" w:after="0" w:line="240" w:lineRule="auto"/>
                              <w:rPr>
                                <w:rFonts w:eastAsia="Times New Roman" w:cs="Arial"/>
                                <w:sz w:val="16"/>
                                <w:szCs w:val="16"/>
                                <w:shd w:val="clear" w:color="auto" w:fill="FAF9F8"/>
                                <w:lang w:val="en-US" w:eastAsia="zh-CN"/>
                              </w:rPr>
                            </w:pPr>
                          </w:p>
                          <w:p w14:paraId="72281AB5" w14:textId="77777777" w:rsidR="00303178" w:rsidRPr="000F11CE" w:rsidRDefault="00303178" w:rsidP="004562FC">
                            <w:pPr>
                              <w:spacing w:before="0" w:after="0" w:line="240" w:lineRule="auto"/>
                              <w:rPr>
                                <w:rFonts w:eastAsia="Times New Roman" w:cs="Arial"/>
                                <w:sz w:val="16"/>
                                <w:szCs w:val="16"/>
                                <w:shd w:val="clear" w:color="auto" w:fill="FAF9F8"/>
                                <w:lang w:val="en-US" w:eastAsia="zh-CN"/>
                              </w:rPr>
                            </w:pPr>
                            <w:r w:rsidRPr="000F11CE">
                              <w:rPr>
                                <w:rFonts w:eastAsia="Times New Roman" w:cs="Arial"/>
                                <w:sz w:val="16"/>
                                <w:szCs w:val="16"/>
                                <w:shd w:val="clear" w:color="auto" w:fill="FAF9F8"/>
                                <w:lang w:val="en-US" w:eastAsia="zh-CN"/>
                              </w:rPr>
                              <w:t>info@uncdf.org</w:t>
                            </w:r>
                          </w:p>
                          <w:p w14:paraId="07958380" w14:textId="77777777" w:rsidR="00303178" w:rsidRPr="000F11CE" w:rsidRDefault="00303178" w:rsidP="004562FC">
                            <w:pPr>
                              <w:spacing w:before="0" w:after="0" w:line="240" w:lineRule="auto"/>
                              <w:rPr>
                                <w:rFonts w:eastAsia="Times New Roman" w:cs="Arial"/>
                                <w:sz w:val="16"/>
                                <w:szCs w:val="16"/>
                                <w:shd w:val="clear" w:color="auto" w:fill="FAF9F8"/>
                                <w:lang w:val="en-US" w:eastAsia="zh-CN"/>
                              </w:rPr>
                            </w:pPr>
                          </w:p>
                          <w:p w14:paraId="0DE26ECA" w14:textId="77777777" w:rsidR="00303178" w:rsidRPr="000F11CE" w:rsidRDefault="00303178" w:rsidP="004562FC">
                            <w:pPr>
                              <w:spacing w:before="0" w:after="0" w:line="240" w:lineRule="auto"/>
                              <w:rPr>
                                <w:rFonts w:eastAsia="Times New Roman" w:cs="Times New Roman"/>
                                <w:sz w:val="24"/>
                                <w:szCs w:val="24"/>
                                <w:lang w:val="en-US" w:eastAsia="zh-CN"/>
                              </w:rPr>
                            </w:pPr>
                            <w:r w:rsidRPr="000F11CE">
                              <w:rPr>
                                <w:rFonts w:eastAsia="Times New Roman" w:cs="Arial"/>
                                <w:sz w:val="16"/>
                                <w:szCs w:val="16"/>
                                <w:shd w:val="clear" w:color="auto" w:fill="FAF9F8"/>
                                <w:lang w:val="en-US" w:eastAsia="zh-CN"/>
                              </w:rPr>
                              <w:t>www.uncdf.org /uncdf</w:t>
                            </w:r>
                          </w:p>
                          <w:p w14:paraId="42C0F215" w14:textId="77777777" w:rsidR="00303178" w:rsidRPr="000F11CE" w:rsidRDefault="00303178" w:rsidP="004562FC">
                            <w:pPr>
                              <w:pStyle w:val="Address"/>
                              <w:widowControl w:val="0"/>
                              <w:rPr>
                                <w:b/>
                                <w:color w:val="3333CC"/>
                                <w:lang w:val="en-US"/>
                                <w14:ligatures w14:val="none"/>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2A1C0D" id="Text Box 41" o:spid="_x0000_s1029" type="#_x0000_t202" style="position:absolute;left:0;text-align:left;margin-left:-3.85pt;margin-top:25.45pt;width:266.65pt;height:22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" filled="f" stroked="f">
                <v:textbox inset="2.88pt,2.88pt,2.88pt,2.88pt">
                  <w:txbxContent>
                    <w:p w14:paraId="10594FA3" w14:textId="77777777" w:rsidR="00303178" w:rsidRPr="000F11CE" w:rsidRDefault="00303178" w:rsidP="006B1C65">
                      <w:pPr>
                        <w:spacing w:after="0" w:line="240" w:lineRule="auto"/>
                        <w:rPr>
                          <w:rFonts w:cs="Open Sans"/>
                          <w:b/>
                          <w:color w:val="3333CC"/>
                          <w:highlight w:val="yellow"/>
                          <w:lang w:val="en-US"/>
                        </w:rPr>
                      </w:pPr>
                      <w:r w:rsidRPr="000F11CE">
                        <w:rPr>
                          <w:rFonts w:cs="Open Sans"/>
                          <w:b/>
                          <w:color w:val="3333CC"/>
                          <w:highlight w:val="yellow"/>
                          <w:lang w:val="en-US"/>
                        </w:rPr>
                        <w:t>UNCDF Evaluation Unit</w:t>
                      </w:r>
                    </w:p>
                    <w:p w14:paraId="4D50CAD9" w14:textId="77777777" w:rsidR="00303178" w:rsidRPr="000F11CE" w:rsidRDefault="00303178" w:rsidP="006B1C65">
                      <w:pPr>
                        <w:widowControl w:val="0"/>
                        <w:rPr>
                          <w:rFonts w:cs="Open Sans"/>
                          <w:b/>
                          <w:color w:val="3333CC"/>
                          <w:lang w:val="en-US"/>
                        </w:rPr>
                      </w:pPr>
                      <w:hyperlink r:id="rId23" w:history="1">
                        <w:r w:rsidRPr="000F11CE">
                          <w:rPr>
                            <w:rStyle w:val="Hyperlink"/>
                            <w:rFonts w:cs="Open Sans"/>
                            <w:b/>
                            <w:lang w:val="en-US"/>
                          </w:rPr>
                          <w:t>www.uncdf.org</w:t>
                        </w:r>
                      </w:hyperlink>
                    </w:p>
                    <w:p w14:paraId="2F82CE3C" w14:textId="77777777" w:rsidR="00303178" w:rsidRPr="000F11CE" w:rsidRDefault="00303178" w:rsidP="006B1C65">
                      <w:pPr>
                        <w:widowControl w:val="0"/>
                        <w:rPr>
                          <w:rFonts w:cs="Open Sans"/>
                          <w:b/>
                          <w:bCs/>
                          <w:color w:val="3333CC"/>
                          <w:lang w:val="en-US"/>
                        </w:rPr>
                      </w:pPr>
                    </w:p>
                    <w:p w14:paraId="482EA0C0" w14:textId="77777777" w:rsidR="00303178" w:rsidRPr="000F11CE" w:rsidRDefault="00303178" w:rsidP="006B1C65">
                      <w:pPr>
                        <w:widowControl w:val="0"/>
                        <w:rPr>
                          <w:rFonts w:cs="Open Sans"/>
                          <w:b/>
                          <w:bCs/>
                          <w:color w:val="3333CC"/>
                          <w:lang w:val="en-US"/>
                        </w:rPr>
                      </w:pPr>
                    </w:p>
                    <w:p w14:paraId="3FD9AE22" w14:textId="77777777" w:rsidR="00303178" w:rsidRPr="000F11CE" w:rsidRDefault="00303178" w:rsidP="006B1C65">
                      <w:pPr>
                        <w:pStyle w:val="Address"/>
                        <w:widowControl w:val="0"/>
                        <w:rPr>
                          <w:color w:val="3333CC"/>
                          <w:lang w:val="en-US"/>
                          <w14:ligatures w14:val="none"/>
                        </w:rPr>
                      </w:pPr>
                    </w:p>
                    <w:p w14:paraId="1CFA13AA" w14:textId="77777777" w:rsidR="00303178" w:rsidRPr="000F11CE" w:rsidRDefault="00303178" w:rsidP="006B1C65">
                      <w:pPr>
                        <w:pStyle w:val="Address"/>
                        <w:widowControl w:val="0"/>
                        <w:rPr>
                          <w:b/>
                          <w:color w:val="3333CC"/>
                          <w:lang w:val="en-US"/>
                          <w14:ligatures w14:val="none"/>
                        </w:rPr>
                      </w:pPr>
                      <w:r w:rsidRPr="000F11CE">
                        <w:rPr>
                          <w:b/>
                          <w:color w:val="3333CC"/>
                          <w:lang w:val="en-US"/>
                          <w14:ligatures w14:val="none"/>
                        </w:rPr>
                        <w:t>United Nations Capital Development Fund (UNCDF)</w:t>
                      </w:r>
                    </w:p>
                    <w:p w14:paraId="40D114E8" w14:textId="77777777" w:rsidR="00303178" w:rsidRPr="000F11CE" w:rsidRDefault="00303178" w:rsidP="004562FC">
                      <w:pPr>
                        <w:spacing w:before="0" w:after="0" w:line="240" w:lineRule="auto"/>
                        <w:rPr>
                          <w:rFonts w:eastAsia="Times New Roman" w:cs="Arial"/>
                          <w:sz w:val="16"/>
                          <w:szCs w:val="16"/>
                          <w:shd w:val="clear" w:color="auto" w:fill="FAF9F8"/>
                          <w:lang w:val="en-US" w:eastAsia="zh-CN"/>
                        </w:rPr>
                      </w:pPr>
                      <w:r w:rsidRPr="000F11CE">
                        <w:rPr>
                          <w:rFonts w:eastAsia="Times New Roman" w:cs="Arial"/>
                          <w:sz w:val="16"/>
                          <w:szCs w:val="16"/>
                          <w:shd w:val="clear" w:color="auto" w:fill="FAF9F8"/>
                          <w:lang w:val="en-US" w:eastAsia="zh-CN"/>
                        </w:rPr>
                        <w:t>Two UN Plaza - 26th Floor</w:t>
                      </w:r>
                    </w:p>
                    <w:p w14:paraId="301BF24E" w14:textId="77777777" w:rsidR="00303178" w:rsidRPr="000F11CE" w:rsidRDefault="00303178" w:rsidP="004562FC">
                      <w:pPr>
                        <w:spacing w:before="0" w:after="0" w:line="240" w:lineRule="auto"/>
                        <w:rPr>
                          <w:rFonts w:eastAsia="Times New Roman" w:cs="Arial"/>
                          <w:sz w:val="16"/>
                          <w:szCs w:val="16"/>
                          <w:shd w:val="clear" w:color="auto" w:fill="FAF9F8"/>
                          <w:lang w:val="en-US" w:eastAsia="zh-CN"/>
                        </w:rPr>
                      </w:pPr>
                      <w:r w:rsidRPr="000F11CE">
                        <w:rPr>
                          <w:rFonts w:eastAsia="Times New Roman" w:cs="Arial"/>
                          <w:sz w:val="16"/>
                          <w:szCs w:val="16"/>
                          <w:shd w:val="clear" w:color="auto" w:fill="FAF9F8"/>
                          <w:lang w:val="en-US" w:eastAsia="zh-CN"/>
                        </w:rPr>
                        <w:t>New York 10017 - United States of America</w:t>
                      </w:r>
                    </w:p>
                    <w:p w14:paraId="3B2B7500" w14:textId="77777777" w:rsidR="00303178" w:rsidRPr="000F11CE" w:rsidRDefault="00303178" w:rsidP="004562FC">
                      <w:pPr>
                        <w:spacing w:before="0" w:after="0" w:line="240" w:lineRule="auto"/>
                        <w:rPr>
                          <w:rFonts w:eastAsia="Times New Roman" w:cs="Arial"/>
                          <w:sz w:val="16"/>
                          <w:szCs w:val="16"/>
                          <w:shd w:val="clear" w:color="auto" w:fill="FAF9F8"/>
                          <w:lang w:val="en-US" w:eastAsia="zh-CN"/>
                        </w:rPr>
                      </w:pPr>
                    </w:p>
                    <w:p w14:paraId="0D34529A" w14:textId="77777777" w:rsidR="00303178" w:rsidRPr="000F11CE" w:rsidRDefault="00303178" w:rsidP="004562FC">
                      <w:pPr>
                        <w:spacing w:before="0" w:after="0" w:line="240" w:lineRule="auto"/>
                        <w:rPr>
                          <w:rFonts w:eastAsia="Times New Roman" w:cs="Arial"/>
                          <w:sz w:val="16"/>
                          <w:szCs w:val="16"/>
                          <w:shd w:val="clear" w:color="auto" w:fill="FAF9F8"/>
                          <w:lang w:val="en-US" w:eastAsia="zh-CN"/>
                        </w:rPr>
                      </w:pPr>
                      <w:r w:rsidRPr="000F11CE">
                        <w:rPr>
                          <w:rFonts w:eastAsia="Times New Roman" w:cs="Arial"/>
                          <w:sz w:val="16"/>
                          <w:szCs w:val="16"/>
                          <w:shd w:val="clear" w:color="auto" w:fill="FAF9F8"/>
                          <w:lang w:val="en-US" w:eastAsia="zh-CN"/>
                        </w:rPr>
                        <w:t>+1 212 906 6565</w:t>
                      </w:r>
                    </w:p>
                    <w:p w14:paraId="2B518A01" w14:textId="77777777" w:rsidR="00303178" w:rsidRPr="000F11CE" w:rsidRDefault="00303178" w:rsidP="004562FC">
                      <w:pPr>
                        <w:spacing w:before="0" w:after="0" w:line="240" w:lineRule="auto"/>
                        <w:rPr>
                          <w:rFonts w:eastAsia="Times New Roman" w:cs="Arial"/>
                          <w:sz w:val="16"/>
                          <w:szCs w:val="16"/>
                          <w:shd w:val="clear" w:color="auto" w:fill="FAF9F8"/>
                          <w:lang w:val="en-US" w:eastAsia="zh-CN"/>
                        </w:rPr>
                      </w:pPr>
                    </w:p>
                    <w:p w14:paraId="72281AB5" w14:textId="77777777" w:rsidR="00303178" w:rsidRPr="000F11CE" w:rsidRDefault="00303178" w:rsidP="004562FC">
                      <w:pPr>
                        <w:spacing w:before="0" w:after="0" w:line="240" w:lineRule="auto"/>
                        <w:rPr>
                          <w:rFonts w:eastAsia="Times New Roman" w:cs="Arial"/>
                          <w:sz w:val="16"/>
                          <w:szCs w:val="16"/>
                          <w:shd w:val="clear" w:color="auto" w:fill="FAF9F8"/>
                          <w:lang w:val="en-US" w:eastAsia="zh-CN"/>
                        </w:rPr>
                      </w:pPr>
                      <w:r w:rsidRPr="000F11CE">
                        <w:rPr>
                          <w:rFonts w:eastAsia="Times New Roman" w:cs="Arial"/>
                          <w:sz w:val="16"/>
                          <w:szCs w:val="16"/>
                          <w:shd w:val="clear" w:color="auto" w:fill="FAF9F8"/>
                          <w:lang w:val="en-US" w:eastAsia="zh-CN"/>
                        </w:rPr>
                        <w:t>info@uncdf.org</w:t>
                      </w:r>
                    </w:p>
                    <w:p w14:paraId="07958380" w14:textId="77777777" w:rsidR="00303178" w:rsidRPr="000F11CE" w:rsidRDefault="00303178" w:rsidP="004562FC">
                      <w:pPr>
                        <w:spacing w:before="0" w:after="0" w:line="240" w:lineRule="auto"/>
                        <w:rPr>
                          <w:rFonts w:eastAsia="Times New Roman" w:cs="Arial"/>
                          <w:sz w:val="16"/>
                          <w:szCs w:val="16"/>
                          <w:shd w:val="clear" w:color="auto" w:fill="FAF9F8"/>
                          <w:lang w:val="en-US" w:eastAsia="zh-CN"/>
                        </w:rPr>
                      </w:pPr>
                    </w:p>
                    <w:p w14:paraId="0DE26ECA" w14:textId="77777777" w:rsidR="00303178" w:rsidRPr="000F11CE" w:rsidRDefault="00303178" w:rsidP="004562FC">
                      <w:pPr>
                        <w:spacing w:before="0" w:after="0" w:line="240" w:lineRule="auto"/>
                        <w:rPr>
                          <w:rFonts w:eastAsia="Times New Roman" w:cs="Times New Roman"/>
                          <w:sz w:val="24"/>
                          <w:szCs w:val="24"/>
                          <w:lang w:val="en-US" w:eastAsia="zh-CN"/>
                        </w:rPr>
                      </w:pPr>
                      <w:r w:rsidRPr="000F11CE">
                        <w:rPr>
                          <w:rFonts w:eastAsia="Times New Roman" w:cs="Arial"/>
                          <w:sz w:val="16"/>
                          <w:szCs w:val="16"/>
                          <w:shd w:val="clear" w:color="auto" w:fill="FAF9F8"/>
                          <w:lang w:val="en-US" w:eastAsia="zh-CN"/>
                        </w:rPr>
                        <w:t>www.uncdf.org /uncdf</w:t>
                      </w:r>
                    </w:p>
                    <w:p w14:paraId="42C0F215" w14:textId="77777777" w:rsidR="00303178" w:rsidRPr="000F11CE" w:rsidRDefault="00303178" w:rsidP="004562FC">
                      <w:pPr>
                        <w:pStyle w:val="Address"/>
                        <w:widowControl w:val="0"/>
                        <w:rPr>
                          <w:b/>
                          <w:color w:val="3333CC"/>
                          <w:lang w:val="en-US"/>
                          <w14:ligatures w14:val="none"/>
                        </w:rPr>
                      </w:pPr>
                    </w:p>
                  </w:txbxContent>
                </v:textbox>
              </v:shape>
            </w:pict>
          </mc:Fallback>
        </mc:AlternateContent>
      </w:r>
    </w:p>
    <w:sectPr w:rsidR="00761FB2" w:rsidRPr="00776702" w:rsidSect="000615FB">
      <w:footerReference w:type="default" r:id="rId24"/>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0D5E5" w14:textId="77777777" w:rsidR="001E5345" w:rsidRPr="00925FBE" w:rsidRDefault="001E5345" w:rsidP="00D347EC">
      <w:pPr>
        <w:spacing w:after="0" w:line="240" w:lineRule="auto"/>
      </w:pPr>
      <w:r w:rsidRPr="00925FBE">
        <w:separator/>
      </w:r>
    </w:p>
  </w:endnote>
  <w:endnote w:type="continuationSeparator" w:id="0">
    <w:p w14:paraId="6EE4853F" w14:textId="77777777" w:rsidR="001E5345" w:rsidRPr="00925FBE" w:rsidRDefault="001E5345" w:rsidP="00D347EC">
      <w:pPr>
        <w:spacing w:after="0" w:line="240" w:lineRule="auto"/>
      </w:pPr>
      <w:r w:rsidRPr="00925FBE">
        <w:continuationSeparator/>
      </w:r>
    </w:p>
  </w:endnote>
  <w:endnote w:type="continuationNotice" w:id="1">
    <w:p w14:paraId="49C5DC3D" w14:textId="77777777" w:rsidR="001E5345" w:rsidRPr="00925FBE" w:rsidRDefault="001E534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Museo Sans 500">
    <w:altName w:val="Arial"/>
    <w:panose1 w:val="00000000000000000000"/>
    <w:charset w:val="4D"/>
    <w:family w:val="auto"/>
    <w:notTrueType/>
    <w:pitch w:val="variable"/>
    <w:sig w:usb0="A00000AF" w:usb1="4000004A" w:usb2="00000000" w:usb3="00000000" w:csb0="00000093" w:csb1="00000000"/>
  </w:font>
  <w:font w:name="Open Sans ExtraBold">
    <w:charset w:val="00"/>
    <w:family w:val="swiss"/>
    <w:pitch w:val="variable"/>
    <w:sig w:usb0="E00002EF" w:usb1="4000205B" w:usb2="00000028"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AC9A1" w14:textId="77777777" w:rsidR="00303178" w:rsidRPr="00925FBE" w:rsidRDefault="00303178" w:rsidP="00990470">
    <w:pPr>
      <w:pStyle w:val="Footer"/>
      <w:framePr w:wrap="around" w:vAnchor="text" w:hAnchor="margin" w:xAlign="right" w:y="1"/>
      <w:rPr>
        <w:rStyle w:val="PageNumber"/>
      </w:rPr>
    </w:pPr>
    <w:r w:rsidRPr="00925FBE">
      <w:rPr>
        <w:rStyle w:val="PageNumber"/>
      </w:rPr>
      <w:fldChar w:fldCharType="begin"/>
    </w:r>
    <w:r w:rsidRPr="00925FBE">
      <w:rPr>
        <w:rStyle w:val="PageNumber"/>
      </w:rPr>
      <w:instrText xml:space="preserve">PAGE  </w:instrText>
    </w:r>
    <w:r w:rsidRPr="00925FBE">
      <w:rPr>
        <w:rStyle w:val="PageNumber"/>
      </w:rPr>
      <w:fldChar w:fldCharType="end"/>
    </w:r>
  </w:p>
  <w:p w14:paraId="7FF60984" w14:textId="77777777" w:rsidR="00303178" w:rsidRPr="00925FBE" w:rsidRDefault="00303178" w:rsidP="001A49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F4B1C" w14:textId="395D6ED8" w:rsidR="00303178" w:rsidRPr="00925FBE" w:rsidRDefault="00334D1E" w:rsidP="00DB3C9B">
    <w:pPr>
      <w:pStyle w:val="Footer"/>
      <w:rPr>
        <w:rFonts w:cs="Open Sans"/>
        <w:b/>
        <w:color w:val="000099"/>
        <w:sz w:val="18"/>
        <w:szCs w:val="18"/>
      </w:rPr>
    </w:pPr>
    <w:r>
      <w:rPr>
        <w:rFonts w:cs="Open Sans"/>
        <w:b/>
        <w:color w:val="000099"/>
        <w:sz w:val="18"/>
        <w:szCs w:val="18"/>
      </w:rPr>
      <w:t>Décembre</w:t>
    </w:r>
    <w:r w:rsidRPr="00925FBE">
      <w:rPr>
        <w:rFonts w:cs="Open Sans"/>
        <w:b/>
        <w:color w:val="000099"/>
        <w:sz w:val="18"/>
        <w:szCs w:val="18"/>
      </w:rPr>
      <w:t xml:space="preserve"> </w:t>
    </w:r>
    <w:r w:rsidR="00DB3C9B" w:rsidRPr="00925FBE">
      <w:rPr>
        <w:rFonts w:cs="Open Sans"/>
        <w:b/>
        <w:color w:val="000099"/>
        <w:sz w:val="18"/>
        <w:szCs w:val="18"/>
      </w:rPr>
      <w:t xml:space="preserve">2025 – Evaluation finale du projet </w:t>
    </w:r>
    <w:proofErr w:type="spellStart"/>
    <w:r w:rsidR="00DB3C9B" w:rsidRPr="00925FBE">
      <w:rPr>
        <w:rFonts w:cs="Open Sans"/>
        <w:b/>
        <w:color w:val="000099"/>
        <w:sz w:val="18"/>
        <w:szCs w:val="18"/>
      </w:rPr>
      <w:t>Kibira</w:t>
    </w:r>
    <w:proofErr w:type="spellEnd"/>
    <w:r w:rsidR="00DB3C9B" w:rsidRPr="00925FBE">
      <w:rPr>
        <w:rFonts w:cs="Open Sans"/>
        <w:b/>
        <w:color w:val="000099"/>
        <w:sz w:val="18"/>
        <w:szCs w:val="18"/>
      </w:rPr>
      <w:t xml:space="preserve"> </w:t>
    </w:r>
    <w:r w:rsidR="001D23A5">
      <w:rPr>
        <w:rFonts w:cs="Open Sans"/>
        <w:b/>
        <w:color w:val="000099"/>
        <w:sz w:val="18"/>
        <w:szCs w:val="18"/>
      </w:rPr>
      <w:t>s</w:t>
    </w:r>
    <w:r w:rsidR="00DB3C9B" w:rsidRPr="00925FBE">
      <w:rPr>
        <w:rFonts w:cs="Open Sans"/>
        <w:b/>
        <w:color w:val="000099"/>
        <w:sz w:val="18"/>
        <w:szCs w:val="18"/>
      </w:rPr>
      <w:t>anctuaire de paix</w:t>
    </w:r>
    <w:r w:rsidR="00303178" w:rsidRPr="00925FBE">
      <w:rPr>
        <w:rFonts w:cs="Open Sans"/>
        <w:b/>
        <w:color w:val="000099"/>
        <w:sz w:val="18"/>
        <w:szCs w:val="18"/>
      </w:rPr>
      <w:tab/>
    </w:r>
    <w:r w:rsidR="00303178" w:rsidRPr="00925FBE">
      <w:rPr>
        <w:rFonts w:cs="Open Sans"/>
        <w:b/>
        <w:color w:val="000099"/>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3CC3D" w14:textId="50723114" w:rsidR="00303178" w:rsidRPr="00925FBE" w:rsidRDefault="00334D1E" w:rsidP="00D621B4">
    <w:pPr>
      <w:pStyle w:val="Footer"/>
      <w:rPr>
        <w:rFonts w:ascii="Museo Sans 500" w:hAnsi="Museo Sans 500" w:cs="Open Sans"/>
        <w:b/>
        <w:color w:val="000099"/>
        <w:sz w:val="16"/>
        <w:szCs w:val="16"/>
      </w:rPr>
    </w:pPr>
    <w:r>
      <w:rPr>
        <w:rFonts w:cs="Open Sans"/>
        <w:b/>
        <w:color w:val="000099"/>
        <w:sz w:val="18"/>
        <w:szCs w:val="18"/>
      </w:rPr>
      <w:t>Décembre</w:t>
    </w:r>
    <w:r w:rsidRPr="00925FBE">
      <w:rPr>
        <w:rFonts w:cs="Open Sans"/>
        <w:b/>
        <w:color w:val="000099"/>
        <w:sz w:val="18"/>
        <w:szCs w:val="18"/>
      </w:rPr>
      <w:t xml:space="preserve"> </w:t>
    </w:r>
    <w:r w:rsidR="00D621B4" w:rsidRPr="00925FBE">
      <w:rPr>
        <w:rFonts w:cs="Open Sans"/>
        <w:b/>
        <w:color w:val="000099"/>
        <w:sz w:val="18"/>
        <w:szCs w:val="18"/>
      </w:rPr>
      <w:t xml:space="preserve">2025 – Evaluation finale du projet </w:t>
    </w:r>
    <w:proofErr w:type="spellStart"/>
    <w:r w:rsidR="00D621B4" w:rsidRPr="00925FBE">
      <w:rPr>
        <w:rFonts w:cs="Open Sans"/>
        <w:b/>
        <w:color w:val="000099"/>
        <w:sz w:val="18"/>
        <w:szCs w:val="18"/>
      </w:rPr>
      <w:t>Kibira</w:t>
    </w:r>
    <w:proofErr w:type="spellEnd"/>
    <w:r w:rsidR="00D621B4" w:rsidRPr="00925FBE">
      <w:rPr>
        <w:rFonts w:cs="Open Sans"/>
        <w:b/>
        <w:color w:val="000099"/>
        <w:sz w:val="18"/>
        <w:szCs w:val="18"/>
      </w:rPr>
      <w:t xml:space="preserve"> </w:t>
    </w:r>
    <w:r w:rsidR="001D23A5">
      <w:rPr>
        <w:rFonts w:cs="Open Sans"/>
        <w:b/>
        <w:color w:val="000099"/>
        <w:sz w:val="18"/>
        <w:szCs w:val="18"/>
      </w:rPr>
      <w:t>s</w:t>
    </w:r>
    <w:r w:rsidR="00D621B4" w:rsidRPr="00925FBE">
      <w:rPr>
        <w:rFonts w:cs="Open Sans"/>
        <w:b/>
        <w:color w:val="000099"/>
        <w:sz w:val="18"/>
        <w:szCs w:val="18"/>
      </w:rPr>
      <w:t>anctuaire de paix</w:t>
    </w:r>
    <w:r w:rsidR="00303178" w:rsidRPr="00925FBE">
      <w:rPr>
        <w:rFonts w:ascii="Museo Sans 500" w:hAnsi="Museo Sans 500" w:cs="Open Sans"/>
        <w:b/>
        <w:color w:val="000099"/>
        <w:sz w:val="16"/>
        <w:szCs w:val="16"/>
      </w:rPr>
      <w:tab/>
    </w:r>
    <w:r w:rsidR="00303178" w:rsidRPr="00925FBE">
      <w:rPr>
        <w:rFonts w:ascii="Museo Sans 500" w:hAnsi="Museo Sans 500" w:cs="Open Sans"/>
        <w:b/>
        <w:color w:val="000099"/>
        <w:sz w:val="16"/>
        <w:szCs w:val="16"/>
      </w:rPr>
      <w:tab/>
    </w:r>
    <w:sdt>
      <w:sdtPr>
        <w:rPr>
          <w:rFonts w:ascii="Museo Sans 500" w:hAnsi="Museo Sans 500" w:cs="Open Sans"/>
          <w:b/>
          <w:color w:val="000099"/>
          <w:sz w:val="16"/>
          <w:szCs w:val="16"/>
        </w:rPr>
        <w:id w:val="-1685964162"/>
        <w:docPartObj>
          <w:docPartGallery w:val="Page Numbers (Bottom of Page)"/>
          <w:docPartUnique/>
        </w:docPartObj>
      </w:sdtPr>
      <w:sdtContent>
        <w:r w:rsidR="00303178" w:rsidRPr="00925FBE">
          <w:rPr>
            <w:rFonts w:ascii="Museo Sans 500" w:hAnsi="Museo Sans 500" w:cs="Open Sans"/>
            <w:color w:val="000099"/>
            <w:sz w:val="16"/>
            <w:szCs w:val="16"/>
          </w:rPr>
          <w:fldChar w:fldCharType="begin"/>
        </w:r>
        <w:r w:rsidR="00303178" w:rsidRPr="00925FBE">
          <w:rPr>
            <w:rFonts w:ascii="Museo Sans 500" w:hAnsi="Museo Sans 500" w:cs="Open Sans"/>
            <w:color w:val="000099"/>
            <w:sz w:val="16"/>
            <w:szCs w:val="16"/>
          </w:rPr>
          <w:instrText xml:space="preserve"> PAGE   \* MERGEFORMAT </w:instrText>
        </w:r>
        <w:r w:rsidR="00303178" w:rsidRPr="00925FBE">
          <w:rPr>
            <w:rFonts w:ascii="Museo Sans 500" w:hAnsi="Museo Sans 500" w:cs="Open Sans"/>
            <w:color w:val="000099"/>
            <w:sz w:val="16"/>
            <w:szCs w:val="16"/>
          </w:rPr>
          <w:fldChar w:fldCharType="separate"/>
        </w:r>
        <w:r w:rsidR="00B20C66" w:rsidRPr="00925FBE">
          <w:rPr>
            <w:rFonts w:ascii="Museo Sans 500" w:hAnsi="Museo Sans 500" w:cs="Open Sans"/>
            <w:color w:val="000099"/>
            <w:sz w:val="16"/>
            <w:szCs w:val="16"/>
          </w:rPr>
          <w:t>i</w:t>
        </w:r>
        <w:r w:rsidR="00303178" w:rsidRPr="00925FBE">
          <w:rPr>
            <w:rFonts w:ascii="Museo Sans 500" w:hAnsi="Museo Sans 500" w:cs="Open Sans"/>
            <w:color w:val="000099"/>
            <w:sz w:val="16"/>
            <w:szCs w:val="16"/>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8FB32" w14:textId="77777777" w:rsidR="00303178" w:rsidRPr="00925FBE" w:rsidRDefault="00303178" w:rsidP="00990470">
    <w:pPr>
      <w:pStyle w:val="Footer"/>
      <w:framePr w:wrap="around" w:vAnchor="text" w:hAnchor="margin" w:xAlign="right" w:y="1"/>
      <w:rPr>
        <w:rStyle w:val="PageNumber"/>
        <w:rFonts w:ascii="Museo Sans 500" w:hAnsi="Museo Sans 500"/>
        <w:b/>
        <w:color w:val="000099"/>
        <w:sz w:val="18"/>
        <w:szCs w:val="18"/>
      </w:rPr>
    </w:pPr>
    <w:r w:rsidRPr="00925FBE">
      <w:rPr>
        <w:rStyle w:val="PageNumber"/>
        <w:rFonts w:ascii="Museo Sans 500" w:hAnsi="Museo Sans 500"/>
        <w:b/>
        <w:color w:val="000099"/>
        <w:sz w:val="18"/>
        <w:szCs w:val="18"/>
      </w:rPr>
      <w:fldChar w:fldCharType="begin"/>
    </w:r>
    <w:r w:rsidRPr="00925FBE">
      <w:rPr>
        <w:rStyle w:val="PageNumber"/>
        <w:rFonts w:ascii="Museo Sans 500" w:hAnsi="Museo Sans 500"/>
        <w:b/>
        <w:color w:val="000099"/>
        <w:sz w:val="18"/>
        <w:szCs w:val="18"/>
      </w:rPr>
      <w:instrText xml:space="preserve">PAGE  </w:instrText>
    </w:r>
    <w:r w:rsidRPr="00925FBE">
      <w:rPr>
        <w:rStyle w:val="PageNumber"/>
        <w:rFonts w:ascii="Museo Sans 500" w:hAnsi="Museo Sans 500"/>
        <w:b/>
        <w:color w:val="000099"/>
        <w:sz w:val="18"/>
        <w:szCs w:val="18"/>
      </w:rPr>
      <w:fldChar w:fldCharType="separate"/>
    </w:r>
    <w:r w:rsidR="00B20C66" w:rsidRPr="00925FBE">
      <w:rPr>
        <w:rStyle w:val="PageNumber"/>
        <w:rFonts w:ascii="Museo Sans 500" w:hAnsi="Museo Sans 500"/>
        <w:b/>
        <w:color w:val="000099"/>
        <w:sz w:val="18"/>
        <w:szCs w:val="18"/>
      </w:rPr>
      <w:t>2</w:t>
    </w:r>
    <w:r w:rsidRPr="00925FBE">
      <w:rPr>
        <w:rStyle w:val="PageNumber"/>
        <w:rFonts w:ascii="Museo Sans 500" w:hAnsi="Museo Sans 500"/>
        <w:b/>
        <w:color w:val="000099"/>
        <w:sz w:val="18"/>
        <w:szCs w:val="18"/>
      </w:rPr>
      <w:fldChar w:fldCharType="end"/>
    </w:r>
  </w:p>
  <w:p w14:paraId="52096EA7" w14:textId="35913276" w:rsidR="00303178" w:rsidRPr="00925FBE" w:rsidRDefault="00334D1E" w:rsidP="001A49C1">
    <w:pPr>
      <w:pStyle w:val="Footer"/>
      <w:tabs>
        <w:tab w:val="clear" w:pos="4680"/>
        <w:tab w:val="left" w:pos="142"/>
      </w:tabs>
      <w:ind w:right="360"/>
      <w:rPr>
        <w:rFonts w:ascii="Museo Sans 500" w:hAnsi="Museo Sans 500" w:cs="Open Sans"/>
        <w:b/>
        <w:color w:val="000099"/>
        <w:sz w:val="18"/>
        <w:szCs w:val="18"/>
      </w:rPr>
    </w:pPr>
    <w:r>
      <w:rPr>
        <w:rFonts w:cs="Open Sans"/>
        <w:b/>
        <w:color w:val="000099"/>
        <w:sz w:val="18"/>
        <w:szCs w:val="18"/>
      </w:rPr>
      <w:t>Décembre</w:t>
    </w:r>
    <w:r w:rsidRPr="00925FBE">
      <w:rPr>
        <w:rFonts w:cs="Open Sans"/>
        <w:b/>
        <w:color w:val="000099"/>
        <w:sz w:val="18"/>
        <w:szCs w:val="18"/>
      </w:rPr>
      <w:t xml:space="preserve"> </w:t>
    </w:r>
    <w:r w:rsidR="00CF7E9B" w:rsidRPr="00925FBE">
      <w:rPr>
        <w:rFonts w:cs="Open Sans"/>
        <w:b/>
        <w:color w:val="000099"/>
        <w:sz w:val="18"/>
        <w:szCs w:val="18"/>
      </w:rPr>
      <w:t xml:space="preserve">2025 – Evaluation finale du projet </w:t>
    </w:r>
    <w:proofErr w:type="spellStart"/>
    <w:r w:rsidR="00CF7E9B" w:rsidRPr="00925FBE">
      <w:rPr>
        <w:rFonts w:cs="Open Sans"/>
        <w:b/>
        <w:color w:val="000099"/>
        <w:sz w:val="18"/>
        <w:szCs w:val="18"/>
      </w:rPr>
      <w:t>Kibira</w:t>
    </w:r>
    <w:proofErr w:type="spellEnd"/>
    <w:r w:rsidR="00CF7E9B" w:rsidRPr="00925FBE">
      <w:rPr>
        <w:rFonts w:cs="Open Sans"/>
        <w:b/>
        <w:color w:val="000099"/>
        <w:sz w:val="18"/>
        <w:szCs w:val="18"/>
      </w:rPr>
      <w:t xml:space="preserve"> </w:t>
    </w:r>
    <w:r w:rsidR="001D23A5">
      <w:rPr>
        <w:rFonts w:cs="Open Sans"/>
        <w:b/>
        <w:color w:val="000099"/>
        <w:sz w:val="18"/>
        <w:szCs w:val="18"/>
      </w:rPr>
      <w:t>s</w:t>
    </w:r>
    <w:r w:rsidR="00CF7E9B" w:rsidRPr="00925FBE">
      <w:rPr>
        <w:rFonts w:cs="Open Sans"/>
        <w:b/>
        <w:color w:val="000099"/>
        <w:sz w:val="18"/>
        <w:szCs w:val="18"/>
      </w:rPr>
      <w:t>anctuaire de paix</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5DB32" w14:textId="77777777" w:rsidR="00303178" w:rsidRPr="00925FBE" w:rsidRDefault="00303178" w:rsidP="00662F17">
    <w:pPr>
      <w:pStyle w:val="Footer"/>
      <w:jc w:val="right"/>
      <w:rPr>
        <w:rFonts w:cs="Open Sans"/>
        <w:b/>
        <w:color w:val="0074A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63728" w14:textId="77777777" w:rsidR="001E5345" w:rsidRPr="00925FBE" w:rsidRDefault="001E5345" w:rsidP="00D347EC">
      <w:pPr>
        <w:spacing w:after="0" w:line="240" w:lineRule="auto"/>
      </w:pPr>
      <w:r w:rsidRPr="00925FBE">
        <w:separator/>
      </w:r>
    </w:p>
  </w:footnote>
  <w:footnote w:type="continuationSeparator" w:id="0">
    <w:p w14:paraId="0A2553D2" w14:textId="77777777" w:rsidR="001E5345" w:rsidRPr="00925FBE" w:rsidRDefault="001E5345" w:rsidP="00D347EC">
      <w:pPr>
        <w:spacing w:after="0" w:line="240" w:lineRule="auto"/>
      </w:pPr>
      <w:r w:rsidRPr="00925FBE">
        <w:continuationSeparator/>
      </w:r>
    </w:p>
  </w:footnote>
  <w:footnote w:type="continuationNotice" w:id="1">
    <w:p w14:paraId="7CBF68C4" w14:textId="77777777" w:rsidR="001E5345" w:rsidRPr="00925FBE" w:rsidRDefault="001E5345">
      <w:pPr>
        <w:spacing w:before="0" w:after="0" w:line="240" w:lineRule="auto"/>
      </w:pPr>
    </w:p>
  </w:footnote>
  <w:footnote w:id="2">
    <w:p w14:paraId="6D99D763" w14:textId="0F0EFEE9" w:rsidR="008E07BA" w:rsidRPr="00925FBE" w:rsidRDefault="008E07BA" w:rsidP="005D0703">
      <w:pPr>
        <w:pStyle w:val="FootnoteText"/>
      </w:pPr>
      <w:r w:rsidRPr="00925FBE">
        <w:rPr>
          <w:rStyle w:val="FootnoteReference"/>
        </w:rPr>
        <w:footnoteRef/>
      </w:r>
      <w:r w:rsidRPr="00925FBE">
        <w:t xml:space="preserve"> </w:t>
      </w:r>
      <w:r w:rsidR="008614D7" w:rsidRPr="00925FBE">
        <w:rPr>
          <w:sz w:val="18"/>
          <w:szCs w:val="14"/>
        </w:rPr>
        <w:t>Il s'agit de l'entité qui assume la responsabilité globale de la mise en œuvre du projet (attribution), de l'utilisation efficace des ressources et de la réalisation des produits conformément au document de projet signé et au plan de travail.</w:t>
      </w:r>
    </w:p>
  </w:footnote>
  <w:footnote w:id="3">
    <w:p w14:paraId="15D8876F" w14:textId="7B5B621B" w:rsidR="0022068E" w:rsidRPr="0022068E" w:rsidRDefault="0022068E">
      <w:pPr>
        <w:pStyle w:val="FootnoteText"/>
      </w:pPr>
      <w:r>
        <w:rPr>
          <w:rStyle w:val="FootnoteReference"/>
        </w:rPr>
        <w:footnoteRef/>
      </w:r>
      <w:r w:rsidRPr="0022068E">
        <w:t xml:space="preserve"> Voir répartition des bénéficiaires par r</w:t>
      </w:r>
      <w:r>
        <w:t>é</w:t>
      </w:r>
      <w:r w:rsidRPr="0022068E">
        <w:t xml:space="preserve">gion </w:t>
      </w:r>
      <w:r>
        <w:t>et par activité en annexe</w:t>
      </w:r>
    </w:p>
  </w:footnote>
  <w:footnote w:id="4">
    <w:p w14:paraId="7A0BDAB5" w14:textId="3297088A" w:rsidR="009E0BBD" w:rsidRPr="009E0BBD" w:rsidRDefault="009E0BBD">
      <w:pPr>
        <w:pStyle w:val="FootnoteText"/>
      </w:pPr>
      <w:r>
        <w:rPr>
          <w:rStyle w:val="FootnoteReference"/>
        </w:rPr>
        <w:footnoteRef/>
      </w:r>
      <w:r w:rsidRPr="009E0BBD">
        <w:t xml:space="preserve"> Voir répartition détaillée des b</w:t>
      </w:r>
      <w:r>
        <w:t>énéficiaires en annexe.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15C59A4"/>
    <w:multiLevelType w:val="hybridMultilevel"/>
    <w:tmpl w:val="41721DE6"/>
    <w:lvl w:ilvl="0" w:tplc="836ADA90">
      <w:start w:val="1"/>
      <w:numFmt w:val="bullet"/>
      <w:lvlText w:val="-"/>
      <w:lvlJc w:val="left"/>
      <w:pPr>
        <w:ind w:left="360" w:hanging="360"/>
      </w:pPr>
      <w:rPr>
        <w:rFonts w:ascii="Calibri" w:hAnsi="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10011C9A"/>
    <w:multiLevelType w:val="multilevel"/>
    <w:tmpl w:val="D630ACC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165865C5"/>
    <w:multiLevelType w:val="multilevel"/>
    <w:tmpl w:val="F62E09A8"/>
    <w:lvl w:ilvl="0">
      <w:start w:val="1"/>
      <w:numFmt w:val="bullet"/>
      <w:lvlText w:val="-"/>
      <w:lvlJc w:val="left"/>
      <w:pPr>
        <w:tabs>
          <w:tab w:val="num" w:pos="720"/>
        </w:tabs>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795B05"/>
    <w:multiLevelType w:val="hybridMultilevel"/>
    <w:tmpl w:val="AF061012"/>
    <w:lvl w:ilvl="0" w:tplc="024A1AE4">
      <w:start w:val="1"/>
      <w:numFmt w:val="bullet"/>
      <w:lvlText w:val=""/>
      <w:lvlJc w:val="left"/>
      <w:pPr>
        <w:ind w:left="360" w:hanging="360"/>
      </w:pPr>
      <w:rPr>
        <w:rFonts w:ascii="Symbol" w:hAnsi="Symbol" w:hint="default"/>
        <w:color w:val="000099"/>
        <w:sz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C871E4C"/>
    <w:multiLevelType w:val="hybridMultilevel"/>
    <w:tmpl w:val="92960A0C"/>
    <w:lvl w:ilvl="0" w:tplc="2D6025D4">
      <w:start w:val="1"/>
      <w:numFmt w:val="bullet"/>
      <w:pStyle w:val="Bullets"/>
      <w:lvlText w:val=""/>
      <w:lvlJc w:val="left"/>
      <w:pPr>
        <w:ind w:left="992" w:hanging="425"/>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C2362F"/>
    <w:multiLevelType w:val="hybridMultilevel"/>
    <w:tmpl w:val="EC1EBAB4"/>
    <w:lvl w:ilvl="0" w:tplc="024A1AE4">
      <w:start w:val="1"/>
      <w:numFmt w:val="bullet"/>
      <w:lvlText w:val=""/>
      <w:lvlJc w:val="left"/>
      <w:pPr>
        <w:ind w:left="360" w:hanging="360"/>
      </w:pPr>
      <w:rPr>
        <w:rFonts w:ascii="Symbol" w:hAnsi="Symbol" w:hint="default"/>
        <w:color w:val="000099"/>
        <w:sz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21D801A1"/>
    <w:multiLevelType w:val="multilevel"/>
    <w:tmpl w:val="1DEEB968"/>
    <w:lvl w:ilvl="0">
      <w:start w:val="1"/>
      <w:numFmt w:val="bullet"/>
      <w:lvlText w:val=""/>
      <w:lvlJc w:val="left"/>
      <w:pPr>
        <w:tabs>
          <w:tab w:val="num" w:pos="360"/>
        </w:tabs>
        <w:ind w:left="360" w:hanging="360"/>
      </w:pPr>
      <w:rPr>
        <w:rFonts w:ascii="Symbol" w:hAnsi="Symbol" w:hint="default"/>
        <w:color w:val="000099"/>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5346E9A"/>
    <w:multiLevelType w:val="multilevel"/>
    <w:tmpl w:val="55B469B0"/>
    <w:lvl w:ilvl="0">
      <w:start w:val="1"/>
      <w:numFmt w:val="decimal"/>
      <w:pStyle w:val="Heading1"/>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2AB17A9B"/>
    <w:multiLevelType w:val="multilevel"/>
    <w:tmpl w:val="0409001D"/>
    <w:styleLink w:val="Styledelistecentral"/>
    <w:lvl w:ilvl="0">
      <w:start w:val="1"/>
      <w:numFmt w:val="bullet"/>
      <w:lvlText w:val=""/>
      <w:lvlJc w:val="left"/>
      <w:pPr>
        <w:ind w:left="360" w:hanging="360"/>
      </w:pPr>
      <w:rPr>
        <w:rFonts w:ascii="Wingdings 2" w:hAnsi="Wingdings 2" w:hint="default"/>
        <w:color w:val="ED7D31" w:themeColor="accent2"/>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B4A6308"/>
    <w:multiLevelType w:val="hybridMultilevel"/>
    <w:tmpl w:val="D8942CF2"/>
    <w:lvl w:ilvl="0" w:tplc="56043D80">
      <w:start w:val="1"/>
      <w:numFmt w:val="bullet"/>
      <w:lvlText w:val=""/>
      <w:lvlJc w:val="left"/>
      <w:pPr>
        <w:ind w:left="360" w:hanging="360"/>
      </w:pPr>
      <w:rPr>
        <w:rFonts w:ascii="Symbol" w:hAnsi="Symbol" w:hint="default"/>
        <w:color w:val="auto"/>
        <w:sz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2D5C7119"/>
    <w:multiLevelType w:val="hybridMultilevel"/>
    <w:tmpl w:val="2E12E7CA"/>
    <w:lvl w:ilvl="0" w:tplc="836ADA9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2C32AAD"/>
    <w:multiLevelType w:val="hybridMultilevel"/>
    <w:tmpl w:val="6074A9AE"/>
    <w:lvl w:ilvl="0" w:tplc="3D203F26">
      <w:start w:val="1"/>
      <w:numFmt w:val="bullet"/>
      <w:pStyle w:val="Tabellenaufzhlg2"/>
      <w:lvlText w:val="-"/>
      <w:lvlJc w:val="left"/>
      <w:pPr>
        <w:tabs>
          <w:tab w:val="num" w:pos="360"/>
        </w:tabs>
        <w:ind w:left="360" w:hanging="360"/>
      </w:pPr>
      <w:rPr>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525768"/>
    <w:multiLevelType w:val="hybridMultilevel"/>
    <w:tmpl w:val="03CC2672"/>
    <w:lvl w:ilvl="0" w:tplc="810ADC14">
      <w:start w:val="1"/>
      <w:numFmt w:val="bullet"/>
      <w:pStyle w:val="Descriptionoftasks"/>
      <w:lvlText w:val=""/>
      <w:lvlJc w:val="left"/>
      <w:pPr>
        <w:tabs>
          <w:tab w:val="num" w:pos="360"/>
        </w:tabs>
        <w:ind w:left="288" w:hanging="288"/>
      </w:pPr>
      <w:rPr>
        <w:rFonts w:ascii="Symbol" w:hAnsi="Symbol" w:cs="Times New Roman" w:hint="default"/>
        <w:color w:val="000000"/>
        <w:sz w:val="18"/>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6B37F4"/>
    <w:multiLevelType w:val="hybridMultilevel"/>
    <w:tmpl w:val="CE926A0E"/>
    <w:lvl w:ilvl="0" w:tplc="0720D900">
      <w:start w:val="1"/>
      <w:numFmt w:val="decimal"/>
      <w:pStyle w:val="OEVtext"/>
      <w:lvlText w:val="%1."/>
      <w:lvlJc w:val="left"/>
      <w:pPr>
        <w:ind w:left="0" w:firstLine="0"/>
      </w:pPr>
      <w:rPr>
        <w:b w:val="0"/>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43C46C43"/>
    <w:multiLevelType w:val="multilevel"/>
    <w:tmpl w:val="3496B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2149CC"/>
    <w:multiLevelType w:val="hybridMultilevel"/>
    <w:tmpl w:val="C6D8D2E2"/>
    <w:lvl w:ilvl="0" w:tplc="B86CAA0E">
      <w:start w:val="1"/>
      <w:numFmt w:val="bullet"/>
      <w:lvlText w:val=""/>
      <w:lvlJc w:val="left"/>
      <w:pPr>
        <w:ind w:left="360" w:hanging="360"/>
      </w:pPr>
      <w:rPr>
        <w:rFonts w:ascii="Symbol" w:hAnsi="Symbol" w:hint="default"/>
        <w:sz w:val="16"/>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4C8603BA"/>
    <w:multiLevelType w:val="hybridMultilevel"/>
    <w:tmpl w:val="6854DADE"/>
    <w:lvl w:ilvl="0" w:tplc="56043D80">
      <w:start w:val="1"/>
      <w:numFmt w:val="bullet"/>
      <w:lvlText w:val=""/>
      <w:lvlJc w:val="left"/>
      <w:pPr>
        <w:ind w:left="360" w:hanging="360"/>
      </w:pPr>
      <w:rPr>
        <w:rFonts w:ascii="Symbol" w:hAnsi="Symbol" w:hint="default"/>
        <w:color w:val="auto"/>
        <w:sz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4D265E09"/>
    <w:multiLevelType w:val="hybridMultilevel"/>
    <w:tmpl w:val="E82C9644"/>
    <w:lvl w:ilvl="0" w:tplc="C0F038AE">
      <w:start w:val="8110"/>
      <w:numFmt w:val="bullet"/>
      <w:lvlText w:val="-"/>
      <w:lvlJc w:val="left"/>
      <w:pPr>
        <w:tabs>
          <w:tab w:val="num" w:pos="720"/>
        </w:tabs>
        <w:ind w:left="720" w:hanging="360"/>
      </w:pPr>
      <w:rPr>
        <w:rFonts w:ascii="Times New Roman" w:eastAsia="Times New Roman" w:hAnsi="Times New Roman" w:cs="Times New Roman" w:hint="default"/>
      </w:rPr>
    </w:lvl>
    <w:lvl w:ilvl="1" w:tplc="040C0005">
      <w:start w:val="1"/>
      <w:numFmt w:val="bullet"/>
      <w:lvlText w:val=""/>
      <w:lvlJc w:val="left"/>
      <w:pPr>
        <w:tabs>
          <w:tab w:val="num" w:pos="1440"/>
        </w:tabs>
        <w:ind w:left="1440" w:hanging="360"/>
      </w:pPr>
      <w:rPr>
        <w:rFonts w:ascii="Wingdings" w:hAnsi="Wingdings" w:hint="default"/>
      </w:rPr>
    </w:lvl>
    <w:lvl w:ilvl="2" w:tplc="561CF594">
      <w:start w:val="1"/>
      <w:numFmt w:val="bullet"/>
      <w:pStyle w:val="Nomdesocit"/>
      <w:lvlText w:val=""/>
      <w:lvlJc w:val="left"/>
      <w:pPr>
        <w:tabs>
          <w:tab w:val="num" w:pos="1191"/>
        </w:tabs>
        <w:ind w:left="1191" w:hanging="57"/>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7147D0"/>
    <w:multiLevelType w:val="multilevel"/>
    <w:tmpl w:val="C024E114"/>
    <w:lvl w:ilvl="0">
      <w:start w:val="1"/>
      <w:numFmt w:val="bullet"/>
      <w:lvlText w:val=""/>
      <w:lvlJc w:val="left"/>
      <w:pPr>
        <w:tabs>
          <w:tab w:val="num" w:pos="360"/>
        </w:tabs>
        <w:ind w:left="360" w:hanging="360"/>
      </w:pPr>
      <w:rPr>
        <w:rFonts w:ascii="Symbol" w:hAnsi="Symbol" w:hint="default"/>
        <w:color w:val="000099"/>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550C6A9D"/>
    <w:multiLevelType w:val="hybridMultilevel"/>
    <w:tmpl w:val="AC98B5D4"/>
    <w:lvl w:ilvl="0" w:tplc="836ADA90">
      <w:start w:val="1"/>
      <w:numFmt w:val="bullet"/>
      <w:lvlText w:val="-"/>
      <w:lvlJc w:val="left"/>
      <w:pPr>
        <w:ind w:left="360" w:hanging="360"/>
      </w:pPr>
      <w:rPr>
        <w:rFonts w:ascii="Calibri" w:hAnsi="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55DE783D"/>
    <w:multiLevelType w:val="multilevel"/>
    <w:tmpl w:val="1F7097A2"/>
    <w:lvl w:ilvl="0">
      <w:start w:val="1"/>
      <w:numFmt w:val="decimal"/>
      <w:pStyle w:val="bulletsundersub-sub-sub-chap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8224686"/>
    <w:multiLevelType w:val="multilevel"/>
    <w:tmpl w:val="73C48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A24F75"/>
    <w:multiLevelType w:val="multilevel"/>
    <w:tmpl w:val="A4DAF0BC"/>
    <w:lvl w:ilvl="0">
      <w:start w:val="1"/>
      <w:numFmt w:val="bullet"/>
      <w:lvlText w:val="-"/>
      <w:lvlJc w:val="left"/>
      <w:pPr>
        <w:tabs>
          <w:tab w:val="num" w:pos="720"/>
        </w:tabs>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966410"/>
    <w:multiLevelType w:val="multilevel"/>
    <w:tmpl w:val="178E0852"/>
    <w:lvl w:ilvl="0">
      <w:start w:val="1"/>
      <w:numFmt w:val="bullet"/>
      <w:lvlText w:val=""/>
      <w:lvlJc w:val="left"/>
      <w:pPr>
        <w:tabs>
          <w:tab w:val="num" w:pos="360"/>
        </w:tabs>
        <w:ind w:left="360" w:hanging="360"/>
      </w:pPr>
      <w:rPr>
        <w:rFonts w:ascii="Symbol" w:hAnsi="Symbol" w:hint="default"/>
        <w:color w:val="auto"/>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6E3003D7"/>
    <w:multiLevelType w:val="multilevel"/>
    <w:tmpl w:val="178E0852"/>
    <w:lvl w:ilvl="0">
      <w:start w:val="1"/>
      <w:numFmt w:val="bullet"/>
      <w:lvlText w:val=""/>
      <w:lvlJc w:val="left"/>
      <w:pPr>
        <w:tabs>
          <w:tab w:val="num" w:pos="360"/>
        </w:tabs>
        <w:ind w:left="360" w:hanging="360"/>
      </w:pPr>
      <w:rPr>
        <w:rFonts w:ascii="Symbol" w:hAnsi="Symbol" w:hint="default"/>
        <w:color w:val="auto"/>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7F6356BF"/>
    <w:multiLevelType w:val="hybridMultilevel"/>
    <w:tmpl w:val="5EB8565A"/>
    <w:lvl w:ilvl="0" w:tplc="4AECAA7E">
      <w:start w:val="1"/>
      <w:numFmt w:val="bullet"/>
      <w:pStyle w:val="Einzug1"/>
      <w:lvlText w:val=""/>
      <w:lvlJc w:val="left"/>
      <w:pPr>
        <w:tabs>
          <w:tab w:val="num" w:pos="360"/>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339190357">
    <w:abstractNumId w:val="8"/>
  </w:num>
  <w:num w:numId="2" w16cid:durableId="15943900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1171685">
    <w:abstractNumId w:val="18"/>
  </w:num>
  <w:num w:numId="4" w16cid:durableId="525605558">
    <w:abstractNumId w:val="20"/>
  </w:num>
  <w:num w:numId="5" w16cid:durableId="2071952166">
    <w:abstractNumId w:val="5"/>
  </w:num>
  <w:num w:numId="6" w16cid:durableId="95487477">
    <w:abstractNumId w:val="13"/>
  </w:num>
  <w:num w:numId="7" w16cid:durableId="350843342">
    <w:abstractNumId w:val="21"/>
  </w:num>
  <w:num w:numId="8" w16cid:durableId="1925340269">
    <w:abstractNumId w:val="6"/>
  </w:num>
  <w:num w:numId="9" w16cid:durableId="1929922377">
    <w:abstractNumId w:val="29"/>
  </w:num>
  <w:num w:numId="10" w16cid:durableId="712775280">
    <w:abstractNumId w:val="28"/>
  </w:num>
  <w:num w:numId="11" w16cid:durableId="671834630">
    <w:abstractNumId w:val="7"/>
  </w:num>
  <w:num w:numId="12" w16cid:durableId="87967043">
    <w:abstractNumId w:val="27"/>
  </w:num>
  <w:num w:numId="13" w16cid:durableId="1647469561">
    <w:abstractNumId w:val="9"/>
  </w:num>
  <w:num w:numId="14" w16cid:durableId="708799995">
    <w:abstractNumId w:val="10"/>
  </w:num>
  <w:num w:numId="15" w16cid:durableId="803618471">
    <w:abstractNumId w:val="23"/>
  </w:num>
  <w:num w:numId="16" w16cid:durableId="561063194">
    <w:abstractNumId w:val="4"/>
  </w:num>
  <w:num w:numId="17" w16cid:durableId="1928803301">
    <w:abstractNumId w:val="24"/>
  </w:num>
  <w:num w:numId="18" w16cid:durableId="2122987166">
    <w:abstractNumId w:val="12"/>
  </w:num>
  <w:num w:numId="19" w16cid:durableId="778716033">
    <w:abstractNumId w:val="14"/>
  </w:num>
  <w:num w:numId="20" w16cid:durableId="183711655">
    <w:abstractNumId w:val="3"/>
  </w:num>
  <w:num w:numId="21" w16cid:durableId="641471352">
    <w:abstractNumId w:val="2"/>
  </w:num>
  <w:num w:numId="22" w16cid:durableId="491802425">
    <w:abstractNumId w:val="1"/>
  </w:num>
  <w:num w:numId="23" w16cid:durableId="1476986927">
    <w:abstractNumId w:val="0"/>
  </w:num>
  <w:num w:numId="24" w16cid:durableId="1008948335">
    <w:abstractNumId w:val="22"/>
  </w:num>
  <w:num w:numId="25" w16cid:durableId="1788616723">
    <w:abstractNumId w:val="30"/>
  </w:num>
  <w:num w:numId="26" w16cid:durableId="1735397394">
    <w:abstractNumId w:val="16"/>
  </w:num>
  <w:num w:numId="27" w16cid:durableId="1240673262">
    <w:abstractNumId w:val="17"/>
  </w:num>
  <w:num w:numId="28" w16cid:durableId="1334644873">
    <w:abstractNumId w:val="25"/>
  </w:num>
  <w:num w:numId="29" w16cid:durableId="944380828">
    <w:abstractNumId w:val="15"/>
  </w:num>
  <w:num w:numId="30" w16cid:durableId="1324160685">
    <w:abstractNumId w:val="19"/>
  </w:num>
  <w:num w:numId="31" w16cid:durableId="1097872887">
    <w:abstractNumId w:val="2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BE" w:vendorID="64" w:dllVersion="4096" w:nlCheck="1" w:checkStyle="0"/>
  <w:activeWritingStyle w:appName="MSWord" w:lang="fr-FR" w:vendorID="64" w:dllVersion="4096" w:nlCheck="1" w:checkStyle="0"/>
  <w:activeWritingStyle w:appName="MSWord" w:lang="es-ES" w:vendorID="64" w:dllVersion="4096" w:nlCheck="1" w:checkStyle="0"/>
  <w:proofState w:spelling="clean" w:grammar="clean"/>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zMzeyNDCxMDY1MrNU0lEKTi0uzszPAymwqAUAO+c/DSwAAAA="/>
  </w:docVars>
  <w:rsids>
    <w:rsidRoot w:val="00D347EC"/>
    <w:rsid w:val="000007C5"/>
    <w:rsid w:val="00000BDB"/>
    <w:rsid w:val="00002705"/>
    <w:rsid w:val="00002A3F"/>
    <w:rsid w:val="00003403"/>
    <w:rsid w:val="00003F80"/>
    <w:rsid w:val="00003F8F"/>
    <w:rsid w:val="000040A4"/>
    <w:rsid w:val="000048A5"/>
    <w:rsid w:val="00004B78"/>
    <w:rsid w:val="00005E4E"/>
    <w:rsid w:val="00007178"/>
    <w:rsid w:val="0000773B"/>
    <w:rsid w:val="00007C74"/>
    <w:rsid w:val="0001251D"/>
    <w:rsid w:val="000125AC"/>
    <w:rsid w:val="00013FCF"/>
    <w:rsid w:val="00016779"/>
    <w:rsid w:val="00017379"/>
    <w:rsid w:val="00017EE4"/>
    <w:rsid w:val="000204AA"/>
    <w:rsid w:val="000244D7"/>
    <w:rsid w:val="00025BDE"/>
    <w:rsid w:val="0002761E"/>
    <w:rsid w:val="000317AD"/>
    <w:rsid w:val="0003335F"/>
    <w:rsid w:val="00035242"/>
    <w:rsid w:val="00035305"/>
    <w:rsid w:val="000357BC"/>
    <w:rsid w:val="0003669A"/>
    <w:rsid w:val="00036975"/>
    <w:rsid w:val="000375E8"/>
    <w:rsid w:val="00037CA5"/>
    <w:rsid w:val="00040247"/>
    <w:rsid w:val="00041995"/>
    <w:rsid w:val="00042747"/>
    <w:rsid w:val="00045EBC"/>
    <w:rsid w:val="00047F49"/>
    <w:rsid w:val="00053061"/>
    <w:rsid w:val="00053971"/>
    <w:rsid w:val="00054DBC"/>
    <w:rsid w:val="00055639"/>
    <w:rsid w:val="000566E0"/>
    <w:rsid w:val="00056FAC"/>
    <w:rsid w:val="00057FDA"/>
    <w:rsid w:val="00060BCA"/>
    <w:rsid w:val="00061228"/>
    <w:rsid w:val="000615FB"/>
    <w:rsid w:val="00061930"/>
    <w:rsid w:val="00062421"/>
    <w:rsid w:val="00062522"/>
    <w:rsid w:val="0006380B"/>
    <w:rsid w:val="0006635C"/>
    <w:rsid w:val="00070DA5"/>
    <w:rsid w:val="000716E7"/>
    <w:rsid w:val="00073BE0"/>
    <w:rsid w:val="0007689E"/>
    <w:rsid w:val="000775F2"/>
    <w:rsid w:val="0007773E"/>
    <w:rsid w:val="00077F88"/>
    <w:rsid w:val="00081760"/>
    <w:rsid w:val="00081E20"/>
    <w:rsid w:val="0008421F"/>
    <w:rsid w:val="00084A72"/>
    <w:rsid w:val="000858C7"/>
    <w:rsid w:val="00085D94"/>
    <w:rsid w:val="0008654D"/>
    <w:rsid w:val="00086C42"/>
    <w:rsid w:val="000873BF"/>
    <w:rsid w:val="00087750"/>
    <w:rsid w:val="00087B50"/>
    <w:rsid w:val="00090EC1"/>
    <w:rsid w:val="00091424"/>
    <w:rsid w:val="000919E9"/>
    <w:rsid w:val="00092AD3"/>
    <w:rsid w:val="00092E8A"/>
    <w:rsid w:val="00096B17"/>
    <w:rsid w:val="0009713E"/>
    <w:rsid w:val="00097BDF"/>
    <w:rsid w:val="000A01E5"/>
    <w:rsid w:val="000A1720"/>
    <w:rsid w:val="000A5A84"/>
    <w:rsid w:val="000A6A71"/>
    <w:rsid w:val="000A724A"/>
    <w:rsid w:val="000A762D"/>
    <w:rsid w:val="000B26CA"/>
    <w:rsid w:val="000B364E"/>
    <w:rsid w:val="000B5C96"/>
    <w:rsid w:val="000C1D24"/>
    <w:rsid w:val="000C3BAB"/>
    <w:rsid w:val="000C776A"/>
    <w:rsid w:val="000D05C6"/>
    <w:rsid w:val="000D3FBB"/>
    <w:rsid w:val="000D4374"/>
    <w:rsid w:val="000D4CE0"/>
    <w:rsid w:val="000D4EA8"/>
    <w:rsid w:val="000D77A5"/>
    <w:rsid w:val="000E2E08"/>
    <w:rsid w:val="000E342C"/>
    <w:rsid w:val="000E3FDB"/>
    <w:rsid w:val="000E45DC"/>
    <w:rsid w:val="000E52C4"/>
    <w:rsid w:val="000E576D"/>
    <w:rsid w:val="000E65E1"/>
    <w:rsid w:val="000E7B0C"/>
    <w:rsid w:val="000F06EC"/>
    <w:rsid w:val="000F0C36"/>
    <w:rsid w:val="000F11CE"/>
    <w:rsid w:val="000F2C76"/>
    <w:rsid w:val="000F39A4"/>
    <w:rsid w:val="000F4246"/>
    <w:rsid w:val="000F63ED"/>
    <w:rsid w:val="000F6F3A"/>
    <w:rsid w:val="000F76A9"/>
    <w:rsid w:val="000F7753"/>
    <w:rsid w:val="001000DC"/>
    <w:rsid w:val="0010319F"/>
    <w:rsid w:val="00105078"/>
    <w:rsid w:val="0010742C"/>
    <w:rsid w:val="001076A8"/>
    <w:rsid w:val="00107C8D"/>
    <w:rsid w:val="00110B57"/>
    <w:rsid w:val="00110EF5"/>
    <w:rsid w:val="00111DB1"/>
    <w:rsid w:val="00115F8A"/>
    <w:rsid w:val="00116015"/>
    <w:rsid w:val="00116533"/>
    <w:rsid w:val="00117757"/>
    <w:rsid w:val="00120451"/>
    <w:rsid w:val="0012297D"/>
    <w:rsid w:val="001230A2"/>
    <w:rsid w:val="0012374E"/>
    <w:rsid w:val="001251DF"/>
    <w:rsid w:val="001258B6"/>
    <w:rsid w:val="001258C1"/>
    <w:rsid w:val="00127161"/>
    <w:rsid w:val="0013057A"/>
    <w:rsid w:val="0013182B"/>
    <w:rsid w:val="0013250A"/>
    <w:rsid w:val="001326E3"/>
    <w:rsid w:val="001338C3"/>
    <w:rsid w:val="00133D06"/>
    <w:rsid w:val="00134700"/>
    <w:rsid w:val="00134D0B"/>
    <w:rsid w:val="00136E56"/>
    <w:rsid w:val="00140F1C"/>
    <w:rsid w:val="00143C44"/>
    <w:rsid w:val="0014410D"/>
    <w:rsid w:val="0014441B"/>
    <w:rsid w:val="00146BDD"/>
    <w:rsid w:val="0014761F"/>
    <w:rsid w:val="001507DF"/>
    <w:rsid w:val="00151B00"/>
    <w:rsid w:val="001529C7"/>
    <w:rsid w:val="00152D01"/>
    <w:rsid w:val="00154617"/>
    <w:rsid w:val="00157E9D"/>
    <w:rsid w:val="0016029C"/>
    <w:rsid w:val="00160C2D"/>
    <w:rsid w:val="00162C22"/>
    <w:rsid w:val="00165806"/>
    <w:rsid w:val="00166742"/>
    <w:rsid w:val="001712F7"/>
    <w:rsid w:val="001719A4"/>
    <w:rsid w:val="00171A18"/>
    <w:rsid w:val="00171C33"/>
    <w:rsid w:val="001748E2"/>
    <w:rsid w:val="001764AB"/>
    <w:rsid w:val="001768F3"/>
    <w:rsid w:val="0018001D"/>
    <w:rsid w:val="0018223A"/>
    <w:rsid w:val="001827F6"/>
    <w:rsid w:val="00185DC6"/>
    <w:rsid w:val="001860A7"/>
    <w:rsid w:val="00186659"/>
    <w:rsid w:val="001868D4"/>
    <w:rsid w:val="00186BDA"/>
    <w:rsid w:val="00186DF7"/>
    <w:rsid w:val="00187393"/>
    <w:rsid w:val="001915A9"/>
    <w:rsid w:val="0019489C"/>
    <w:rsid w:val="00197236"/>
    <w:rsid w:val="00197ED8"/>
    <w:rsid w:val="001A0B37"/>
    <w:rsid w:val="001A49C1"/>
    <w:rsid w:val="001A5734"/>
    <w:rsid w:val="001A5E21"/>
    <w:rsid w:val="001A7328"/>
    <w:rsid w:val="001A79B2"/>
    <w:rsid w:val="001B0281"/>
    <w:rsid w:val="001B1644"/>
    <w:rsid w:val="001B1756"/>
    <w:rsid w:val="001B3A4B"/>
    <w:rsid w:val="001B3D70"/>
    <w:rsid w:val="001B4D42"/>
    <w:rsid w:val="001B5045"/>
    <w:rsid w:val="001B5348"/>
    <w:rsid w:val="001B53D6"/>
    <w:rsid w:val="001B587C"/>
    <w:rsid w:val="001B6026"/>
    <w:rsid w:val="001B671C"/>
    <w:rsid w:val="001B6E26"/>
    <w:rsid w:val="001B7E53"/>
    <w:rsid w:val="001B7F91"/>
    <w:rsid w:val="001C03D8"/>
    <w:rsid w:val="001C03F3"/>
    <w:rsid w:val="001C07CA"/>
    <w:rsid w:val="001C1AF4"/>
    <w:rsid w:val="001C322C"/>
    <w:rsid w:val="001C3E08"/>
    <w:rsid w:val="001C3E12"/>
    <w:rsid w:val="001C4E18"/>
    <w:rsid w:val="001D02F2"/>
    <w:rsid w:val="001D0F5A"/>
    <w:rsid w:val="001D0F8C"/>
    <w:rsid w:val="001D15CC"/>
    <w:rsid w:val="001D23A5"/>
    <w:rsid w:val="001D26A9"/>
    <w:rsid w:val="001D308E"/>
    <w:rsid w:val="001D3E14"/>
    <w:rsid w:val="001D4656"/>
    <w:rsid w:val="001E05DD"/>
    <w:rsid w:val="001E0B9D"/>
    <w:rsid w:val="001E0F45"/>
    <w:rsid w:val="001E4B6B"/>
    <w:rsid w:val="001E5345"/>
    <w:rsid w:val="001E65DA"/>
    <w:rsid w:val="001E6923"/>
    <w:rsid w:val="001F0124"/>
    <w:rsid w:val="001F0FDD"/>
    <w:rsid w:val="001F123E"/>
    <w:rsid w:val="001F230C"/>
    <w:rsid w:val="001F2514"/>
    <w:rsid w:val="001F2EC4"/>
    <w:rsid w:val="001F397B"/>
    <w:rsid w:val="001F3B06"/>
    <w:rsid w:val="001F41F4"/>
    <w:rsid w:val="001F4AD7"/>
    <w:rsid w:val="001F62FC"/>
    <w:rsid w:val="001F650C"/>
    <w:rsid w:val="001F65C9"/>
    <w:rsid w:val="001F77C7"/>
    <w:rsid w:val="00201318"/>
    <w:rsid w:val="00201B21"/>
    <w:rsid w:val="00202863"/>
    <w:rsid w:val="002036F3"/>
    <w:rsid w:val="00205ABE"/>
    <w:rsid w:val="00207259"/>
    <w:rsid w:val="00207A07"/>
    <w:rsid w:val="00211D86"/>
    <w:rsid w:val="002158F0"/>
    <w:rsid w:val="002166AD"/>
    <w:rsid w:val="00216BB5"/>
    <w:rsid w:val="002170B1"/>
    <w:rsid w:val="00217455"/>
    <w:rsid w:val="00217F56"/>
    <w:rsid w:val="00220245"/>
    <w:rsid w:val="0022068E"/>
    <w:rsid w:val="002206F4"/>
    <w:rsid w:val="00220A6A"/>
    <w:rsid w:val="002220AB"/>
    <w:rsid w:val="00222D51"/>
    <w:rsid w:val="00222FE7"/>
    <w:rsid w:val="00223818"/>
    <w:rsid w:val="00224046"/>
    <w:rsid w:val="0023079C"/>
    <w:rsid w:val="002315B9"/>
    <w:rsid w:val="002376C6"/>
    <w:rsid w:val="002432C8"/>
    <w:rsid w:val="00244DE4"/>
    <w:rsid w:val="00246769"/>
    <w:rsid w:val="00246A6C"/>
    <w:rsid w:val="00246B3D"/>
    <w:rsid w:val="00246D08"/>
    <w:rsid w:val="002470FB"/>
    <w:rsid w:val="00247953"/>
    <w:rsid w:val="0025227D"/>
    <w:rsid w:val="00252C18"/>
    <w:rsid w:val="00253346"/>
    <w:rsid w:val="00253D95"/>
    <w:rsid w:val="002540B0"/>
    <w:rsid w:val="002543B1"/>
    <w:rsid w:val="00254540"/>
    <w:rsid w:val="002545E8"/>
    <w:rsid w:val="00254D5C"/>
    <w:rsid w:val="002550C8"/>
    <w:rsid w:val="00255986"/>
    <w:rsid w:val="00256DD0"/>
    <w:rsid w:val="00261E5D"/>
    <w:rsid w:val="00262C3B"/>
    <w:rsid w:val="00262F41"/>
    <w:rsid w:val="00263999"/>
    <w:rsid w:val="0026408F"/>
    <w:rsid w:val="0026561C"/>
    <w:rsid w:val="002704EB"/>
    <w:rsid w:val="002717CB"/>
    <w:rsid w:val="00272C4C"/>
    <w:rsid w:val="00273773"/>
    <w:rsid w:val="0027494B"/>
    <w:rsid w:val="002753CF"/>
    <w:rsid w:val="00275D68"/>
    <w:rsid w:val="00277828"/>
    <w:rsid w:val="00277C2E"/>
    <w:rsid w:val="00281301"/>
    <w:rsid w:val="00281C21"/>
    <w:rsid w:val="0028215B"/>
    <w:rsid w:val="00282366"/>
    <w:rsid w:val="00282949"/>
    <w:rsid w:val="00284355"/>
    <w:rsid w:val="00284831"/>
    <w:rsid w:val="00284DBB"/>
    <w:rsid w:val="00286ED9"/>
    <w:rsid w:val="0029064C"/>
    <w:rsid w:val="002912E7"/>
    <w:rsid w:val="002925CD"/>
    <w:rsid w:val="00292BE4"/>
    <w:rsid w:val="00292C0D"/>
    <w:rsid w:val="00292F6C"/>
    <w:rsid w:val="002930EF"/>
    <w:rsid w:val="002936E7"/>
    <w:rsid w:val="002940AA"/>
    <w:rsid w:val="0029615F"/>
    <w:rsid w:val="002A1A65"/>
    <w:rsid w:val="002A1C7C"/>
    <w:rsid w:val="002A2399"/>
    <w:rsid w:val="002A52BB"/>
    <w:rsid w:val="002A595F"/>
    <w:rsid w:val="002A6C5D"/>
    <w:rsid w:val="002A6D2B"/>
    <w:rsid w:val="002A7567"/>
    <w:rsid w:val="002B0FC4"/>
    <w:rsid w:val="002B1B18"/>
    <w:rsid w:val="002B39F7"/>
    <w:rsid w:val="002B54EB"/>
    <w:rsid w:val="002B5569"/>
    <w:rsid w:val="002B67B3"/>
    <w:rsid w:val="002C3E19"/>
    <w:rsid w:val="002C6417"/>
    <w:rsid w:val="002D3407"/>
    <w:rsid w:val="002D38FB"/>
    <w:rsid w:val="002D561A"/>
    <w:rsid w:val="002D7160"/>
    <w:rsid w:val="002E1A21"/>
    <w:rsid w:val="002E3835"/>
    <w:rsid w:val="002E3A7B"/>
    <w:rsid w:val="002E47C3"/>
    <w:rsid w:val="002E4A70"/>
    <w:rsid w:val="002E64C3"/>
    <w:rsid w:val="002E7A4D"/>
    <w:rsid w:val="002F0328"/>
    <w:rsid w:val="002F03D3"/>
    <w:rsid w:val="002F04F2"/>
    <w:rsid w:val="002F0BF5"/>
    <w:rsid w:val="002F3355"/>
    <w:rsid w:val="002F36E5"/>
    <w:rsid w:val="002F4936"/>
    <w:rsid w:val="002F540B"/>
    <w:rsid w:val="002F61D9"/>
    <w:rsid w:val="002F6797"/>
    <w:rsid w:val="003021DD"/>
    <w:rsid w:val="00303178"/>
    <w:rsid w:val="003044CF"/>
    <w:rsid w:val="00305EE0"/>
    <w:rsid w:val="00306E82"/>
    <w:rsid w:val="00310888"/>
    <w:rsid w:val="003137D3"/>
    <w:rsid w:val="003145E7"/>
    <w:rsid w:val="003161ED"/>
    <w:rsid w:val="00316DEA"/>
    <w:rsid w:val="00316DFF"/>
    <w:rsid w:val="00320563"/>
    <w:rsid w:val="003206DC"/>
    <w:rsid w:val="0032099A"/>
    <w:rsid w:val="00323EF2"/>
    <w:rsid w:val="003249A1"/>
    <w:rsid w:val="00324A84"/>
    <w:rsid w:val="00324F54"/>
    <w:rsid w:val="003254C4"/>
    <w:rsid w:val="00325839"/>
    <w:rsid w:val="003269A4"/>
    <w:rsid w:val="00330774"/>
    <w:rsid w:val="00331D34"/>
    <w:rsid w:val="0033285D"/>
    <w:rsid w:val="00333439"/>
    <w:rsid w:val="003337A8"/>
    <w:rsid w:val="00334A16"/>
    <w:rsid w:val="00334D1E"/>
    <w:rsid w:val="00335978"/>
    <w:rsid w:val="00336067"/>
    <w:rsid w:val="0033680F"/>
    <w:rsid w:val="003372D7"/>
    <w:rsid w:val="00337C2B"/>
    <w:rsid w:val="00337CFB"/>
    <w:rsid w:val="003418AF"/>
    <w:rsid w:val="00343E6E"/>
    <w:rsid w:val="003448EE"/>
    <w:rsid w:val="00344BE7"/>
    <w:rsid w:val="00347700"/>
    <w:rsid w:val="00347CA9"/>
    <w:rsid w:val="00351802"/>
    <w:rsid w:val="003519B7"/>
    <w:rsid w:val="00351A22"/>
    <w:rsid w:val="00355FCF"/>
    <w:rsid w:val="003562B5"/>
    <w:rsid w:val="00356FE0"/>
    <w:rsid w:val="00357CD2"/>
    <w:rsid w:val="00360C9C"/>
    <w:rsid w:val="00361A6E"/>
    <w:rsid w:val="003623D7"/>
    <w:rsid w:val="00363339"/>
    <w:rsid w:val="003633C6"/>
    <w:rsid w:val="0036377C"/>
    <w:rsid w:val="0036391A"/>
    <w:rsid w:val="0036399E"/>
    <w:rsid w:val="00363E40"/>
    <w:rsid w:val="003650FB"/>
    <w:rsid w:val="00365240"/>
    <w:rsid w:val="0036622D"/>
    <w:rsid w:val="0036626E"/>
    <w:rsid w:val="003663CE"/>
    <w:rsid w:val="003665AC"/>
    <w:rsid w:val="003671E2"/>
    <w:rsid w:val="00370915"/>
    <w:rsid w:val="00371358"/>
    <w:rsid w:val="00372DCE"/>
    <w:rsid w:val="00373815"/>
    <w:rsid w:val="00374DF5"/>
    <w:rsid w:val="00375B13"/>
    <w:rsid w:val="003764D0"/>
    <w:rsid w:val="003803E0"/>
    <w:rsid w:val="003813E3"/>
    <w:rsid w:val="00383220"/>
    <w:rsid w:val="00385CFA"/>
    <w:rsid w:val="0038731E"/>
    <w:rsid w:val="003873BB"/>
    <w:rsid w:val="003919E4"/>
    <w:rsid w:val="00392E04"/>
    <w:rsid w:val="00392FAE"/>
    <w:rsid w:val="003937A7"/>
    <w:rsid w:val="00393D53"/>
    <w:rsid w:val="00394C04"/>
    <w:rsid w:val="0039565D"/>
    <w:rsid w:val="00396B8C"/>
    <w:rsid w:val="00396D13"/>
    <w:rsid w:val="003977EF"/>
    <w:rsid w:val="00397D20"/>
    <w:rsid w:val="003A1769"/>
    <w:rsid w:val="003A2DEF"/>
    <w:rsid w:val="003A45A1"/>
    <w:rsid w:val="003A490A"/>
    <w:rsid w:val="003A635D"/>
    <w:rsid w:val="003A68B5"/>
    <w:rsid w:val="003B1CC7"/>
    <w:rsid w:val="003B2360"/>
    <w:rsid w:val="003B312E"/>
    <w:rsid w:val="003B45A6"/>
    <w:rsid w:val="003B7961"/>
    <w:rsid w:val="003C3C9A"/>
    <w:rsid w:val="003C4803"/>
    <w:rsid w:val="003C54E7"/>
    <w:rsid w:val="003C56DE"/>
    <w:rsid w:val="003C61B2"/>
    <w:rsid w:val="003C7656"/>
    <w:rsid w:val="003C791B"/>
    <w:rsid w:val="003D107D"/>
    <w:rsid w:val="003D3C8F"/>
    <w:rsid w:val="003D4103"/>
    <w:rsid w:val="003D5983"/>
    <w:rsid w:val="003D61A9"/>
    <w:rsid w:val="003D78A7"/>
    <w:rsid w:val="003E0AB4"/>
    <w:rsid w:val="003E175A"/>
    <w:rsid w:val="003E5769"/>
    <w:rsid w:val="003E62D9"/>
    <w:rsid w:val="003E6781"/>
    <w:rsid w:val="003F3791"/>
    <w:rsid w:val="003F40C3"/>
    <w:rsid w:val="003F4F80"/>
    <w:rsid w:val="0040000C"/>
    <w:rsid w:val="004002B8"/>
    <w:rsid w:val="00402F03"/>
    <w:rsid w:val="00403735"/>
    <w:rsid w:val="004046C8"/>
    <w:rsid w:val="004049BE"/>
    <w:rsid w:val="0040662F"/>
    <w:rsid w:val="004073F6"/>
    <w:rsid w:val="00411381"/>
    <w:rsid w:val="00414F91"/>
    <w:rsid w:val="004157C5"/>
    <w:rsid w:val="004163C0"/>
    <w:rsid w:val="00421023"/>
    <w:rsid w:val="004213F8"/>
    <w:rsid w:val="00421D32"/>
    <w:rsid w:val="00421EFC"/>
    <w:rsid w:val="00423FE2"/>
    <w:rsid w:val="0042632C"/>
    <w:rsid w:val="00426F72"/>
    <w:rsid w:val="00427801"/>
    <w:rsid w:val="004307B4"/>
    <w:rsid w:val="00430C50"/>
    <w:rsid w:val="00431422"/>
    <w:rsid w:val="00431E2D"/>
    <w:rsid w:val="00432CD7"/>
    <w:rsid w:val="00433030"/>
    <w:rsid w:val="004336F6"/>
    <w:rsid w:val="00433A91"/>
    <w:rsid w:val="00434325"/>
    <w:rsid w:val="004375AF"/>
    <w:rsid w:val="00437DC0"/>
    <w:rsid w:val="00440BEF"/>
    <w:rsid w:val="0044154E"/>
    <w:rsid w:val="00441B0C"/>
    <w:rsid w:val="004513ED"/>
    <w:rsid w:val="00451A1E"/>
    <w:rsid w:val="00452573"/>
    <w:rsid w:val="004540D1"/>
    <w:rsid w:val="004562FC"/>
    <w:rsid w:val="00456CD9"/>
    <w:rsid w:val="004578DD"/>
    <w:rsid w:val="0046262A"/>
    <w:rsid w:val="004638C1"/>
    <w:rsid w:val="004657E0"/>
    <w:rsid w:val="00466363"/>
    <w:rsid w:val="00466702"/>
    <w:rsid w:val="00467DB6"/>
    <w:rsid w:val="004730EC"/>
    <w:rsid w:val="0047440B"/>
    <w:rsid w:val="00474C4F"/>
    <w:rsid w:val="004759E1"/>
    <w:rsid w:val="004777A7"/>
    <w:rsid w:val="00477A2D"/>
    <w:rsid w:val="00477F9E"/>
    <w:rsid w:val="004804F0"/>
    <w:rsid w:val="00482C55"/>
    <w:rsid w:val="00483022"/>
    <w:rsid w:val="0048698D"/>
    <w:rsid w:val="00490171"/>
    <w:rsid w:val="00490A73"/>
    <w:rsid w:val="00490EC4"/>
    <w:rsid w:val="0049103B"/>
    <w:rsid w:val="00491C7E"/>
    <w:rsid w:val="00493AFC"/>
    <w:rsid w:val="00493DBC"/>
    <w:rsid w:val="00494008"/>
    <w:rsid w:val="00494053"/>
    <w:rsid w:val="00496E68"/>
    <w:rsid w:val="004A15B8"/>
    <w:rsid w:val="004A3D73"/>
    <w:rsid w:val="004A6D61"/>
    <w:rsid w:val="004A6E65"/>
    <w:rsid w:val="004B0370"/>
    <w:rsid w:val="004B0E4B"/>
    <w:rsid w:val="004B2897"/>
    <w:rsid w:val="004B3812"/>
    <w:rsid w:val="004B5AB4"/>
    <w:rsid w:val="004B6C46"/>
    <w:rsid w:val="004B6ED6"/>
    <w:rsid w:val="004B74E2"/>
    <w:rsid w:val="004C09CE"/>
    <w:rsid w:val="004C0F93"/>
    <w:rsid w:val="004C2756"/>
    <w:rsid w:val="004C3889"/>
    <w:rsid w:val="004C4A24"/>
    <w:rsid w:val="004C4E82"/>
    <w:rsid w:val="004C5E56"/>
    <w:rsid w:val="004D063A"/>
    <w:rsid w:val="004D1D4B"/>
    <w:rsid w:val="004D34F1"/>
    <w:rsid w:val="004D5336"/>
    <w:rsid w:val="004D6BEC"/>
    <w:rsid w:val="004D7DCE"/>
    <w:rsid w:val="004E25FB"/>
    <w:rsid w:val="004E26E2"/>
    <w:rsid w:val="004E312D"/>
    <w:rsid w:val="004E4008"/>
    <w:rsid w:val="004E54B2"/>
    <w:rsid w:val="004E5DB0"/>
    <w:rsid w:val="004E64A2"/>
    <w:rsid w:val="004F05FA"/>
    <w:rsid w:val="004F5DC3"/>
    <w:rsid w:val="004F7CB2"/>
    <w:rsid w:val="00501463"/>
    <w:rsid w:val="005056E3"/>
    <w:rsid w:val="005059EB"/>
    <w:rsid w:val="00506BF6"/>
    <w:rsid w:val="0050706D"/>
    <w:rsid w:val="00507E59"/>
    <w:rsid w:val="00510F27"/>
    <w:rsid w:val="0051175A"/>
    <w:rsid w:val="00512EB7"/>
    <w:rsid w:val="005134D0"/>
    <w:rsid w:val="005144EC"/>
    <w:rsid w:val="00515238"/>
    <w:rsid w:val="005171EE"/>
    <w:rsid w:val="00517BF3"/>
    <w:rsid w:val="00521E84"/>
    <w:rsid w:val="00522634"/>
    <w:rsid w:val="005228E1"/>
    <w:rsid w:val="00522E4D"/>
    <w:rsid w:val="005250B6"/>
    <w:rsid w:val="005258EB"/>
    <w:rsid w:val="005302C7"/>
    <w:rsid w:val="00531048"/>
    <w:rsid w:val="005312D3"/>
    <w:rsid w:val="00532423"/>
    <w:rsid w:val="005327B2"/>
    <w:rsid w:val="0053301E"/>
    <w:rsid w:val="005342E1"/>
    <w:rsid w:val="0053490A"/>
    <w:rsid w:val="005363EA"/>
    <w:rsid w:val="005368ED"/>
    <w:rsid w:val="00537883"/>
    <w:rsid w:val="00541318"/>
    <w:rsid w:val="00542C90"/>
    <w:rsid w:val="00543B80"/>
    <w:rsid w:val="0054575E"/>
    <w:rsid w:val="0054622B"/>
    <w:rsid w:val="00546BAB"/>
    <w:rsid w:val="00546BB9"/>
    <w:rsid w:val="00546E04"/>
    <w:rsid w:val="00550430"/>
    <w:rsid w:val="005519F5"/>
    <w:rsid w:val="005534E8"/>
    <w:rsid w:val="0056027A"/>
    <w:rsid w:val="00560977"/>
    <w:rsid w:val="00561FE8"/>
    <w:rsid w:val="005626A6"/>
    <w:rsid w:val="00562A0C"/>
    <w:rsid w:val="00563739"/>
    <w:rsid w:val="00563CC7"/>
    <w:rsid w:val="00563EDB"/>
    <w:rsid w:val="00564A97"/>
    <w:rsid w:val="00564BD5"/>
    <w:rsid w:val="005667EE"/>
    <w:rsid w:val="005679BD"/>
    <w:rsid w:val="005723EE"/>
    <w:rsid w:val="00572811"/>
    <w:rsid w:val="00573898"/>
    <w:rsid w:val="00575B78"/>
    <w:rsid w:val="0058048B"/>
    <w:rsid w:val="005804B6"/>
    <w:rsid w:val="005823F0"/>
    <w:rsid w:val="005831A8"/>
    <w:rsid w:val="00583342"/>
    <w:rsid w:val="00584B2F"/>
    <w:rsid w:val="0058647A"/>
    <w:rsid w:val="005876B5"/>
    <w:rsid w:val="005921C8"/>
    <w:rsid w:val="005925D7"/>
    <w:rsid w:val="00592DD7"/>
    <w:rsid w:val="005937FA"/>
    <w:rsid w:val="00594A7C"/>
    <w:rsid w:val="00595EFF"/>
    <w:rsid w:val="00597B2F"/>
    <w:rsid w:val="005A0627"/>
    <w:rsid w:val="005A1301"/>
    <w:rsid w:val="005A2174"/>
    <w:rsid w:val="005A2C4B"/>
    <w:rsid w:val="005A339A"/>
    <w:rsid w:val="005A3E3B"/>
    <w:rsid w:val="005A40A1"/>
    <w:rsid w:val="005A4540"/>
    <w:rsid w:val="005A4F40"/>
    <w:rsid w:val="005A611B"/>
    <w:rsid w:val="005B0D03"/>
    <w:rsid w:val="005B14C4"/>
    <w:rsid w:val="005B2886"/>
    <w:rsid w:val="005B2AEE"/>
    <w:rsid w:val="005B2DBB"/>
    <w:rsid w:val="005B3473"/>
    <w:rsid w:val="005B7335"/>
    <w:rsid w:val="005B7E69"/>
    <w:rsid w:val="005B7FC6"/>
    <w:rsid w:val="005C0446"/>
    <w:rsid w:val="005C0FE9"/>
    <w:rsid w:val="005C22CC"/>
    <w:rsid w:val="005C2B5B"/>
    <w:rsid w:val="005C2E7D"/>
    <w:rsid w:val="005C3D57"/>
    <w:rsid w:val="005C5565"/>
    <w:rsid w:val="005C7997"/>
    <w:rsid w:val="005D0703"/>
    <w:rsid w:val="005D14B2"/>
    <w:rsid w:val="005D2C58"/>
    <w:rsid w:val="005D2CC7"/>
    <w:rsid w:val="005D4885"/>
    <w:rsid w:val="005D67B6"/>
    <w:rsid w:val="005D6BEE"/>
    <w:rsid w:val="005D78E6"/>
    <w:rsid w:val="005E204F"/>
    <w:rsid w:val="005E2DB6"/>
    <w:rsid w:val="005E3BEB"/>
    <w:rsid w:val="005E3E72"/>
    <w:rsid w:val="005E4B48"/>
    <w:rsid w:val="005E4C7A"/>
    <w:rsid w:val="005E4EAA"/>
    <w:rsid w:val="005E57F2"/>
    <w:rsid w:val="005E69FD"/>
    <w:rsid w:val="005E6D67"/>
    <w:rsid w:val="005E7524"/>
    <w:rsid w:val="005E798B"/>
    <w:rsid w:val="005F001F"/>
    <w:rsid w:val="005F0261"/>
    <w:rsid w:val="005F173B"/>
    <w:rsid w:val="005F2F33"/>
    <w:rsid w:val="005F3C24"/>
    <w:rsid w:val="005F3E04"/>
    <w:rsid w:val="005F43EF"/>
    <w:rsid w:val="005F4C9E"/>
    <w:rsid w:val="005F5524"/>
    <w:rsid w:val="005F622F"/>
    <w:rsid w:val="0060195D"/>
    <w:rsid w:val="00603502"/>
    <w:rsid w:val="0060415B"/>
    <w:rsid w:val="00604279"/>
    <w:rsid w:val="00604E4E"/>
    <w:rsid w:val="0060507C"/>
    <w:rsid w:val="00611182"/>
    <w:rsid w:val="00611B94"/>
    <w:rsid w:val="006122F6"/>
    <w:rsid w:val="00612C12"/>
    <w:rsid w:val="00613085"/>
    <w:rsid w:val="00613098"/>
    <w:rsid w:val="00614A12"/>
    <w:rsid w:val="00615327"/>
    <w:rsid w:val="00617AAA"/>
    <w:rsid w:val="00625667"/>
    <w:rsid w:val="00625A0B"/>
    <w:rsid w:val="00625AE0"/>
    <w:rsid w:val="0062653C"/>
    <w:rsid w:val="00630B62"/>
    <w:rsid w:val="006310C3"/>
    <w:rsid w:val="00632DD0"/>
    <w:rsid w:val="00633CEB"/>
    <w:rsid w:val="00634CA8"/>
    <w:rsid w:val="0063602E"/>
    <w:rsid w:val="00637168"/>
    <w:rsid w:val="0063786B"/>
    <w:rsid w:val="00637926"/>
    <w:rsid w:val="00640C1C"/>
    <w:rsid w:val="00640FFA"/>
    <w:rsid w:val="006425A3"/>
    <w:rsid w:val="00643301"/>
    <w:rsid w:val="00643ACE"/>
    <w:rsid w:val="0064517B"/>
    <w:rsid w:val="00645664"/>
    <w:rsid w:val="00645822"/>
    <w:rsid w:val="00645C76"/>
    <w:rsid w:val="0065102A"/>
    <w:rsid w:val="00651322"/>
    <w:rsid w:val="00651E18"/>
    <w:rsid w:val="0065362E"/>
    <w:rsid w:val="00656770"/>
    <w:rsid w:val="0065702E"/>
    <w:rsid w:val="00657D13"/>
    <w:rsid w:val="00660C9A"/>
    <w:rsid w:val="00662F17"/>
    <w:rsid w:val="00666906"/>
    <w:rsid w:val="00671597"/>
    <w:rsid w:val="00671960"/>
    <w:rsid w:val="00675A28"/>
    <w:rsid w:val="006778EE"/>
    <w:rsid w:val="00680686"/>
    <w:rsid w:val="006834FB"/>
    <w:rsid w:val="00683A58"/>
    <w:rsid w:val="00683B54"/>
    <w:rsid w:val="00683F56"/>
    <w:rsid w:val="006846B4"/>
    <w:rsid w:val="0068559E"/>
    <w:rsid w:val="00687A2D"/>
    <w:rsid w:val="00691060"/>
    <w:rsid w:val="006916AA"/>
    <w:rsid w:val="006924F5"/>
    <w:rsid w:val="00694280"/>
    <w:rsid w:val="00695477"/>
    <w:rsid w:val="006956C8"/>
    <w:rsid w:val="00695916"/>
    <w:rsid w:val="006A1427"/>
    <w:rsid w:val="006A172E"/>
    <w:rsid w:val="006A1CD6"/>
    <w:rsid w:val="006A2129"/>
    <w:rsid w:val="006A248F"/>
    <w:rsid w:val="006A24DE"/>
    <w:rsid w:val="006A29B8"/>
    <w:rsid w:val="006A3DF6"/>
    <w:rsid w:val="006A4F77"/>
    <w:rsid w:val="006A5018"/>
    <w:rsid w:val="006A71DB"/>
    <w:rsid w:val="006A7499"/>
    <w:rsid w:val="006A7D01"/>
    <w:rsid w:val="006B0204"/>
    <w:rsid w:val="006B10E2"/>
    <w:rsid w:val="006B1C65"/>
    <w:rsid w:val="006B7F5B"/>
    <w:rsid w:val="006C2833"/>
    <w:rsid w:val="006C2C61"/>
    <w:rsid w:val="006C5F30"/>
    <w:rsid w:val="006D0062"/>
    <w:rsid w:val="006D079A"/>
    <w:rsid w:val="006D1440"/>
    <w:rsid w:val="006D6029"/>
    <w:rsid w:val="006D6FD2"/>
    <w:rsid w:val="006E0183"/>
    <w:rsid w:val="006E0BE5"/>
    <w:rsid w:val="006E5790"/>
    <w:rsid w:val="006E7B2C"/>
    <w:rsid w:val="006F06EC"/>
    <w:rsid w:val="006F148B"/>
    <w:rsid w:val="006F1D6A"/>
    <w:rsid w:val="006F2B16"/>
    <w:rsid w:val="006F3BAF"/>
    <w:rsid w:val="0070119E"/>
    <w:rsid w:val="007014A4"/>
    <w:rsid w:val="0070321D"/>
    <w:rsid w:val="00703BF9"/>
    <w:rsid w:val="00706652"/>
    <w:rsid w:val="00706B42"/>
    <w:rsid w:val="00706E06"/>
    <w:rsid w:val="00706E6B"/>
    <w:rsid w:val="007072F9"/>
    <w:rsid w:val="007077DD"/>
    <w:rsid w:val="0071255C"/>
    <w:rsid w:val="0071297B"/>
    <w:rsid w:val="007137A8"/>
    <w:rsid w:val="00713975"/>
    <w:rsid w:val="007157FC"/>
    <w:rsid w:val="0072153A"/>
    <w:rsid w:val="007225C0"/>
    <w:rsid w:val="007225DD"/>
    <w:rsid w:val="00725722"/>
    <w:rsid w:val="00731FD6"/>
    <w:rsid w:val="007326D4"/>
    <w:rsid w:val="00732A2C"/>
    <w:rsid w:val="00732EF8"/>
    <w:rsid w:val="00733621"/>
    <w:rsid w:val="00733F2D"/>
    <w:rsid w:val="00736288"/>
    <w:rsid w:val="00736967"/>
    <w:rsid w:val="007375FE"/>
    <w:rsid w:val="00744F3B"/>
    <w:rsid w:val="00745517"/>
    <w:rsid w:val="00745E55"/>
    <w:rsid w:val="00746207"/>
    <w:rsid w:val="00750CD6"/>
    <w:rsid w:val="00751138"/>
    <w:rsid w:val="0075211C"/>
    <w:rsid w:val="007523F6"/>
    <w:rsid w:val="00753017"/>
    <w:rsid w:val="00753498"/>
    <w:rsid w:val="00754264"/>
    <w:rsid w:val="0075452F"/>
    <w:rsid w:val="007546E6"/>
    <w:rsid w:val="00754A76"/>
    <w:rsid w:val="0075541B"/>
    <w:rsid w:val="00755881"/>
    <w:rsid w:val="007577B2"/>
    <w:rsid w:val="00760FBB"/>
    <w:rsid w:val="0076109D"/>
    <w:rsid w:val="00761FB2"/>
    <w:rsid w:val="0076221E"/>
    <w:rsid w:val="007650FF"/>
    <w:rsid w:val="007662DD"/>
    <w:rsid w:val="00766853"/>
    <w:rsid w:val="007668E3"/>
    <w:rsid w:val="00767F14"/>
    <w:rsid w:val="00770CE1"/>
    <w:rsid w:val="0077114B"/>
    <w:rsid w:val="007717B9"/>
    <w:rsid w:val="00771F53"/>
    <w:rsid w:val="0077494A"/>
    <w:rsid w:val="00774B5F"/>
    <w:rsid w:val="00775FC7"/>
    <w:rsid w:val="007762E0"/>
    <w:rsid w:val="00776702"/>
    <w:rsid w:val="007768C4"/>
    <w:rsid w:val="00777864"/>
    <w:rsid w:val="00782957"/>
    <w:rsid w:val="00782AC8"/>
    <w:rsid w:val="0078585A"/>
    <w:rsid w:val="00787AF3"/>
    <w:rsid w:val="00787CBA"/>
    <w:rsid w:val="00791ABF"/>
    <w:rsid w:val="00791D2E"/>
    <w:rsid w:val="00792378"/>
    <w:rsid w:val="007934E2"/>
    <w:rsid w:val="00793B46"/>
    <w:rsid w:val="00794F43"/>
    <w:rsid w:val="00795723"/>
    <w:rsid w:val="00795D39"/>
    <w:rsid w:val="007978DA"/>
    <w:rsid w:val="007A0A85"/>
    <w:rsid w:val="007A1471"/>
    <w:rsid w:val="007A1BC4"/>
    <w:rsid w:val="007A2655"/>
    <w:rsid w:val="007A443B"/>
    <w:rsid w:val="007A5D31"/>
    <w:rsid w:val="007B07A1"/>
    <w:rsid w:val="007B1C12"/>
    <w:rsid w:val="007B1EB5"/>
    <w:rsid w:val="007B2A06"/>
    <w:rsid w:val="007B4974"/>
    <w:rsid w:val="007B59EC"/>
    <w:rsid w:val="007B79B0"/>
    <w:rsid w:val="007C14C6"/>
    <w:rsid w:val="007C215C"/>
    <w:rsid w:val="007C265F"/>
    <w:rsid w:val="007C3039"/>
    <w:rsid w:val="007C33B4"/>
    <w:rsid w:val="007C3CAA"/>
    <w:rsid w:val="007C42C3"/>
    <w:rsid w:val="007C62F4"/>
    <w:rsid w:val="007D15D5"/>
    <w:rsid w:val="007D2025"/>
    <w:rsid w:val="007D2C0C"/>
    <w:rsid w:val="007D4485"/>
    <w:rsid w:val="007D4910"/>
    <w:rsid w:val="007D6D9F"/>
    <w:rsid w:val="007D78CC"/>
    <w:rsid w:val="007E184A"/>
    <w:rsid w:val="007E1B3B"/>
    <w:rsid w:val="007E2E45"/>
    <w:rsid w:val="007E6CF2"/>
    <w:rsid w:val="007E700B"/>
    <w:rsid w:val="007E70BF"/>
    <w:rsid w:val="007F0C56"/>
    <w:rsid w:val="007F302F"/>
    <w:rsid w:val="007F4BCF"/>
    <w:rsid w:val="007F51EE"/>
    <w:rsid w:val="007F6995"/>
    <w:rsid w:val="007F7010"/>
    <w:rsid w:val="008015CD"/>
    <w:rsid w:val="00802051"/>
    <w:rsid w:val="00803130"/>
    <w:rsid w:val="0080358F"/>
    <w:rsid w:val="00805165"/>
    <w:rsid w:val="00806BE6"/>
    <w:rsid w:val="00810653"/>
    <w:rsid w:val="00811AF5"/>
    <w:rsid w:val="008121F6"/>
    <w:rsid w:val="00812877"/>
    <w:rsid w:val="00812EA5"/>
    <w:rsid w:val="00815797"/>
    <w:rsid w:val="00815DCA"/>
    <w:rsid w:val="00817F34"/>
    <w:rsid w:val="00820014"/>
    <w:rsid w:val="008219C0"/>
    <w:rsid w:val="00822BA7"/>
    <w:rsid w:val="00822FEF"/>
    <w:rsid w:val="0082353A"/>
    <w:rsid w:val="00823D0B"/>
    <w:rsid w:val="008241E8"/>
    <w:rsid w:val="008247A3"/>
    <w:rsid w:val="00824E81"/>
    <w:rsid w:val="00825411"/>
    <w:rsid w:val="00826EE9"/>
    <w:rsid w:val="00831837"/>
    <w:rsid w:val="00831B36"/>
    <w:rsid w:val="00832B91"/>
    <w:rsid w:val="00832C7E"/>
    <w:rsid w:val="00833DD7"/>
    <w:rsid w:val="008347AC"/>
    <w:rsid w:val="008365A5"/>
    <w:rsid w:val="00836811"/>
    <w:rsid w:val="008368CA"/>
    <w:rsid w:val="00836C1E"/>
    <w:rsid w:val="00837AA1"/>
    <w:rsid w:val="00837BE9"/>
    <w:rsid w:val="00840D55"/>
    <w:rsid w:val="008428B6"/>
    <w:rsid w:val="00842B1F"/>
    <w:rsid w:val="00846DE3"/>
    <w:rsid w:val="00846F1D"/>
    <w:rsid w:val="00847C55"/>
    <w:rsid w:val="00847FD1"/>
    <w:rsid w:val="0085194F"/>
    <w:rsid w:val="00851D46"/>
    <w:rsid w:val="0085327C"/>
    <w:rsid w:val="008536A8"/>
    <w:rsid w:val="00853B9A"/>
    <w:rsid w:val="00854338"/>
    <w:rsid w:val="00855F76"/>
    <w:rsid w:val="00856425"/>
    <w:rsid w:val="008614D7"/>
    <w:rsid w:val="00861CFB"/>
    <w:rsid w:val="00863317"/>
    <w:rsid w:val="00864096"/>
    <w:rsid w:val="008642FB"/>
    <w:rsid w:val="00865712"/>
    <w:rsid w:val="0086740D"/>
    <w:rsid w:val="00870223"/>
    <w:rsid w:val="0087067B"/>
    <w:rsid w:val="008716F9"/>
    <w:rsid w:val="00871E56"/>
    <w:rsid w:val="00873EBF"/>
    <w:rsid w:val="00874066"/>
    <w:rsid w:val="008741F6"/>
    <w:rsid w:val="00875FC6"/>
    <w:rsid w:val="00877311"/>
    <w:rsid w:val="00877587"/>
    <w:rsid w:val="008818FC"/>
    <w:rsid w:val="008836CB"/>
    <w:rsid w:val="008855FC"/>
    <w:rsid w:val="00887C79"/>
    <w:rsid w:val="00890240"/>
    <w:rsid w:val="00890C6A"/>
    <w:rsid w:val="0089161D"/>
    <w:rsid w:val="0089463D"/>
    <w:rsid w:val="008949D3"/>
    <w:rsid w:val="00895BB8"/>
    <w:rsid w:val="00895FB8"/>
    <w:rsid w:val="008960BE"/>
    <w:rsid w:val="008968AD"/>
    <w:rsid w:val="00897C69"/>
    <w:rsid w:val="00897CB1"/>
    <w:rsid w:val="008A038E"/>
    <w:rsid w:val="008A04A9"/>
    <w:rsid w:val="008A111B"/>
    <w:rsid w:val="008A134B"/>
    <w:rsid w:val="008A27FD"/>
    <w:rsid w:val="008A299E"/>
    <w:rsid w:val="008A29D0"/>
    <w:rsid w:val="008A2A33"/>
    <w:rsid w:val="008A37CF"/>
    <w:rsid w:val="008A41C1"/>
    <w:rsid w:val="008A5C56"/>
    <w:rsid w:val="008B18E4"/>
    <w:rsid w:val="008B1F80"/>
    <w:rsid w:val="008B364D"/>
    <w:rsid w:val="008B5E53"/>
    <w:rsid w:val="008B61DF"/>
    <w:rsid w:val="008B77C9"/>
    <w:rsid w:val="008B7BE9"/>
    <w:rsid w:val="008C05F4"/>
    <w:rsid w:val="008C15B2"/>
    <w:rsid w:val="008C18D3"/>
    <w:rsid w:val="008C1DE4"/>
    <w:rsid w:val="008C2AD5"/>
    <w:rsid w:val="008C35C0"/>
    <w:rsid w:val="008C5FFD"/>
    <w:rsid w:val="008D19A9"/>
    <w:rsid w:val="008D1B7C"/>
    <w:rsid w:val="008D5A6D"/>
    <w:rsid w:val="008D7508"/>
    <w:rsid w:val="008E01EC"/>
    <w:rsid w:val="008E07BA"/>
    <w:rsid w:val="008E0915"/>
    <w:rsid w:val="008E3629"/>
    <w:rsid w:val="008E3ACC"/>
    <w:rsid w:val="008E3DD1"/>
    <w:rsid w:val="008E5771"/>
    <w:rsid w:val="008E6BCC"/>
    <w:rsid w:val="008E708B"/>
    <w:rsid w:val="008E779E"/>
    <w:rsid w:val="008F07B9"/>
    <w:rsid w:val="008F255D"/>
    <w:rsid w:val="008F25B4"/>
    <w:rsid w:val="008F335D"/>
    <w:rsid w:val="008F5E81"/>
    <w:rsid w:val="008F6075"/>
    <w:rsid w:val="008F7616"/>
    <w:rsid w:val="00902FA6"/>
    <w:rsid w:val="00904CA4"/>
    <w:rsid w:val="00905BB8"/>
    <w:rsid w:val="00905C1F"/>
    <w:rsid w:val="00907BBD"/>
    <w:rsid w:val="00911230"/>
    <w:rsid w:val="00912F33"/>
    <w:rsid w:val="00913EBB"/>
    <w:rsid w:val="00914329"/>
    <w:rsid w:val="00914A1A"/>
    <w:rsid w:val="00915DD1"/>
    <w:rsid w:val="00916DE4"/>
    <w:rsid w:val="009214E8"/>
    <w:rsid w:val="00921A5C"/>
    <w:rsid w:val="0092364A"/>
    <w:rsid w:val="00924B64"/>
    <w:rsid w:val="00925FBE"/>
    <w:rsid w:val="00927F1E"/>
    <w:rsid w:val="00927FD9"/>
    <w:rsid w:val="009302C2"/>
    <w:rsid w:val="00931A21"/>
    <w:rsid w:val="00931B50"/>
    <w:rsid w:val="009325FF"/>
    <w:rsid w:val="00932A72"/>
    <w:rsid w:val="00932EF4"/>
    <w:rsid w:val="0093532B"/>
    <w:rsid w:val="00935D81"/>
    <w:rsid w:val="00936F64"/>
    <w:rsid w:val="00937101"/>
    <w:rsid w:val="009375E3"/>
    <w:rsid w:val="009404A4"/>
    <w:rsid w:val="00940A78"/>
    <w:rsid w:val="00941FCB"/>
    <w:rsid w:val="0094432B"/>
    <w:rsid w:val="00944BE5"/>
    <w:rsid w:val="00950D70"/>
    <w:rsid w:val="00951756"/>
    <w:rsid w:val="00952B53"/>
    <w:rsid w:val="00955910"/>
    <w:rsid w:val="00955AF5"/>
    <w:rsid w:val="00956E15"/>
    <w:rsid w:val="0096077D"/>
    <w:rsid w:val="00960E31"/>
    <w:rsid w:val="009610AC"/>
    <w:rsid w:val="00962D39"/>
    <w:rsid w:val="0096336F"/>
    <w:rsid w:val="009639B5"/>
    <w:rsid w:val="00966646"/>
    <w:rsid w:val="00966FD8"/>
    <w:rsid w:val="00967734"/>
    <w:rsid w:val="009677B6"/>
    <w:rsid w:val="00970DB5"/>
    <w:rsid w:val="0097232A"/>
    <w:rsid w:val="00973289"/>
    <w:rsid w:val="0097435C"/>
    <w:rsid w:val="00976348"/>
    <w:rsid w:val="0098022E"/>
    <w:rsid w:val="009813D7"/>
    <w:rsid w:val="0098286C"/>
    <w:rsid w:val="009858EC"/>
    <w:rsid w:val="00986BC6"/>
    <w:rsid w:val="0099012C"/>
    <w:rsid w:val="00990470"/>
    <w:rsid w:val="0099180A"/>
    <w:rsid w:val="00993044"/>
    <w:rsid w:val="0099553F"/>
    <w:rsid w:val="00995946"/>
    <w:rsid w:val="00995F6E"/>
    <w:rsid w:val="00996493"/>
    <w:rsid w:val="00996A57"/>
    <w:rsid w:val="00996B7C"/>
    <w:rsid w:val="00997E87"/>
    <w:rsid w:val="009A1C6B"/>
    <w:rsid w:val="009A3FAE"/>
    <w:rsid w:val="009A5D63"/>
    <w:rsid w:val="009A64C5"/>
    <w:rsid w:val="009A65F1"/>
    <w:rsid w:val="009A761F"/>
    <w:rsid w:val="009A76FA"/>
    <w:rsid w:val="009B00DA"/>
    <w:rsid w:val="009B04FF"/>
    <w:rsid w:val="009B05E0"/>
    <w:rsid w:val="009B1402"/>
    <w:rsid w:val="009B2706"/>
    <w:rsid w:val="009B3292"/>
    <w:rsid w:val="009B4885"/>
    <w:rsid w:val="009B5A21"/>
    <w:rsid w:val="009B5D46"/>
    <w:rsid w:val="009C43F0"/>
    <w:rsid w:val="009C50EC"/>
    <w:rsid w:val="009C55C9"/>
    <w:rsid w:val="009C56E8"/>
    <w:rsid w:val="009C6030"/>
    <w:rsid w:val="009C779E"/>
    <w:rsid w:val="009C7802"/>
    <w:rsid w:val="009C7AAD"/>
    <w:rsid w:val="009D45D2"/>
    <w:rsid w:val="009D5267"/>
    <w:rsid w:val="009D61D8"/>
    <w:rsid w:val="009D6CC3"/>
    <w:rsid w:val="009D786F"/>
    <w:rsid w:val="009E0B84"/>
    <w:rsid w:val="009E0BBD"/>
    <w:rsid w:val="009E1536"/>
    <w:rsid w:val="009E4B82"/>
    <w:rsid w:val="009E51E2"/>
    <w:rsid w:val="009E52E0"/>
    <w:rsid w:val="009E5372"/>
    <w:rsid w:val="009E659A"/>
    <w:rsid w:val="009E6FA3"/>
    <w:rsid w:val="009F0482"/>
    <w:rsid w:val="009F08C2"/>
    <w:rsid w:val="009F0A06"/>
    <w:rsid w:val="009F1A69"/>
    <w:rsid w:val="009F1F4E"/>
    <w:rsid w:val="009F3818"/>
    <w:rsid w:val="009F3AA7"/>
    <w:rsid w:val="009F4700"/>
    <w:rsid w:val="009F49E5"/>
    <w:rsid w:val="00A0056F"/>
    <w:rsid w:val="00A008EE"/>
    <w:rsid w:val="00A02D96"/>
    <w:rsid w:val="00A043F1"/>
    <w:rsid w:val="00A045A5"/>
    <w:rsid w:val="00A06812"/>
    <w:rsid w:val="00A10071"/>
    <w:rsid w:val="00A16BD6"/>
    <w:rsid w:val="00A1767E"/>
    <w:rsid w:val="00A17EA4"/>
    <w:rsid w:val="00A21978"/>
    <w:rsid w:val="00A21D6D"/>
    <w:rsid w:val="00A221CC"/>
    <w:rsid w:val="00A25943"/>
    <w:rsid w:val="00A2697A"/>
    <w:rsid w:val="00A272D2"/>
    <w:rsid w:val="00A34FFA"/>
    <w:rsid w:val="00A35100"/>
    <w:rsid w:val="00A3596D"/>
    <w:rsid w:val="00A36F75"/>
    <w:rsid w:val="00A37317"/>
    <w:rsid w:val="00A377C7"/>
    <w:rsid w:val="00A37B59"/>
    <w:rsid w:val="00A43052"/>
    <w:rsid w:val="00A45BEE"/>
    <w:rsid w:val="00A4612A"/>
    <w:rsid w:val="00A46EB7"/>
    <w:rsid w:val="00A47225"/>
    <w:rsid w:val="00A50BC1"/>
    <w:rsid w:val="00A514A3"/>
    <w:rsid w:val="00A521A2"/>
    <w:rsid w:val="00A5273D"/>
    <w:rsid w:val="00A52C06"/>
    <w:rsid w:val="00A541D4"/>
    <w:rsid w:val="00A5794C"/>
    <w:rsid w:val="00A61D4F"/>
    <w:rsid w:val="00A61E4C"/>
    <w:rsid w:val="00A632A0"/>
    <w:rsid w:val="00A75244"/>
    <w:rsid w:val="00A75588"/>
    <w:rsid w:val="00A75CA7"/>
    <w:rsid w:val="00A804A2"/>
    <w:rsid w:val="00A81E24"/>
    <w:rsid w:val="00A8483F"/>
    <w:rsid w:val="00A856AD"/>
    <w:rsid w:val="00A9008F"/>
    <w:rsid w:val="00A902FD"/>
    <w:rsid w:val="00A925E4"/>
    <w:rsid w:val="00A93953"/>
    <w:rsid w:val="00A96A96"/>
    <w:rsid w:val="00A9720A"/>
    <w:rsid w:val="00A9727B"/>
    <w:rsid w:val="00A97431"/>
    <w:rsid w:val="00A97CA7"/>
    <w:rsid w:val="00A97FE2"/>
    <w:rsid w:val="00AA4578"/>
    <w:rsid w:val="00AA4C7A"/>
    <w:rsid w:val="00AB0F57"/>
    <w:rsid w:val="00AB1EFA"/>
    <w:rsid w:val="00AB3050"/>
    <w:rsid w:val="00AB367F"/>
    <w:rsid w:val="00AB7676"/>
    <w:rsid w:val="00AC0A52"/>
    <w:rsid w:val="00AC20DE"/>
    <w:rsid w:val="00AC3BD8"/>
    <w:rsid w:val="00AC5004"/>
    <w:rsid w:val="00AC6937"/>
    <w:rsid w:val="00AC6F77"/>
    <w:rsid w:val="00AD02AD"/>
    <w:rsid w:val="00AD054E"/>
    <w:rsid w:val="00AD08BF"/>
    <w:rsid w:val="00AD14AB"/>
    <w:rsid w:val="00AD1690"/>
    <w:rsid w:val="00AD174B"/>
    <w:rsid w:val="00AD2C54"/>
    <w:rsid w:val="00AD365C"/>
    <w:rsid w:val="00AD420C"/>
    <w:rsid w:val="00AD454B"/>
    <w:rsid w:val="00AD4A74"/>
    <w:rsid w:val="00AE18BE"/>
    <w:rsid w:val="00AE1B33"/>
    <w:rsid w:val="00AE3C5B"/>
    <w:rsid w:val="00AE4974"/>
    <w:rsid w:val="00AE5110"/>
    <w:rsid w:val="00AE51EC"/>
    <w:rsid w:val="00AE6A57"/>
    <w:rsid w:val="00AE7A52"/>
    <w:rsid w:val="00AF0902"/>
    <w:rsid w:val="00AF1367"/>
    <w:rsid w:val="00AF5E84"/>
    <w:rsid w:val="00AF5F3C"/>
    <w:rsid w:val="00AF6818"/>
    <w:rsid w:val="00AF74C2"/>
    <w:rsid w:val="00B00155"/>
    <w:rsid w:val="00B008BA"/>
    <w:rsid w:val="00B02689"/>
    <w:rsid w:val="00B030FA"/>
    <w:rsid w:val="00B0710A"/>
    <w:rsid w:val="00B07B1F"/>
    <w:rsid w:val="00B11FAE"/>
    <w:rsid w:val="00B1200A"/>
    <w:rsid w:val="00B12322"/>
    <w:rsid w:val="00B12F15"/>
    <w:rsid w:val="00B13E4D"/>
    <w:rsid w:val="00B13FE1"/>
    <w:rsid w:val="00B144B4"/>
    <w:rsid w:val="00B1486C"/>
    <w:rsid w:val="00B16B52"/>
    <w:rsid w:val="00B17B88"/>
    <w:rsid w:val="00B20C66"/>
    <w:rsid w:val="00B20D82"/>
    <w:rsid w:val="00B21E30"/>
    <w:rsid w:val="00B2246C"/>
    <w:rsid w:val="00B2269F"/>
    <w:rsid w:val="00B22A60"/>
    <w:rsid w:val="00B2571D"/>
    <w:rsid w:val="00B26D9A"/>
    <w:rsid w:val="00B30836"/>
    <w:rsid w:val="00B33D45"/>
    <w:rsid w:val="00B341DE"/>
    <w:rsid w:val="00B34438"/>
    <w:rsid w:val="00B36749"/>
    <w:rsid w:val="00B36C46"/>
    <w:rsid w:val="00B4103C"/>
    <w:rsid w:val="00B42C3E"/>
    <w:rsid w:val="00B4309F"/>
    <w:rsid w:val="00B45A33"/>
    <w:rsid w:val="00B51285"/>
    <w:rsid w:val="00B51380"/>
    <w:rsid w:val="00B53579"/>
    <w:rsid w:val="00B53818"/>
    <w:rsid w:val="00B53F2A"/>
    <w:rsid w:val="00B55739"/>
    <w:rsid w:val="00B56096"/>
    <w:rsid w:val="00B5666F"/>
    <w:rsid w:val="00B572EF"/>
    <w:rsid w:val="00B572FB"/>
    <w:rsid w:val="00B57710"/>
    <w:rsid w:val="00B602CB"/>
    <w:rsid w:val="00B61298"/>
    <w:rsid w:val="00B633C6"/>
    <w:rsid w:val="00B64D81"/>
    <w:rsid w:val="00B72C66"/>
    <w:rsid w:val="00B737CD"/>
    <w:rsid w:val="00B746AB"/>
    <w:rsid w:val="00B770E0"/>
    <w:rsid w:val="00B77834"/>
    <w:rsid w:val="00B77D48"/>
    <w:rsid w:val="00B77D4A"/>
    <w:rsid w:val="00B81FCF"/>
    <w:rsid w:val="00B84D8D"/>
    <w:rsid w:val="00B8534B"/>
    <w:rsid w:val="00B85E0F"/>
    <w:rsid w:val="00B85F42"/>
    <w:rsid w:val="00B871EA"/>
    <w:rsid w:val="00B87F3F"/>
    <w:rsid w:val="00B91B7F"/>
    <w:rsid w:val="00B926A2"/>
    <w:rsid w:val="00B92956"/>
    <w:rsid w:val="00B9363D"/>
    <w:rsid w:val="00B94F5C"/>
    <w:rsid w:val="00B9560E"/>
    <w:rsid w:val="00B96A18"/>
    <w:rsid w:val="00B97EFD"/>
    <w:rsid w:val="00BA09E8"/>
    <w:rsid w:val="00BA1155"/>
    <w:rsid w:val="00BA1AB7"/>
    <w:rsid w:val="00BA3C03"/>
    <w:rsid w:val="00BA4235"/>
    <w:rsid w:val="00BA4412"/>
    <w:rsid w:val="00BA4C4A"/>
    <w:rsid w:val="00BA505C"/>
    <w:rsid w:val="00BA7C39"/>
    <w:rsid w:val="00BB028F"/>
    <w:rsid w:val="00BB02A5"/>
    <w:rsid w:val="00BB03AD"/>
    <w:rsid w:val="00BB4199"/>
    <w:rsid w:val="00BB452C"/>
    <w:rsid w:val="00BB5255"/>
    <w:rsid w:val="00BB5665"/>
    <w:rsid w:val="00BB7373"/>
    <w:rsid w:val="00BC01DA"/>
    <w:rsid w:val="00BC028A"/>
    <w:rsid w:val="00BC1F6B"/>
    <w:rsid w:val="00BC3303"/>
    <w:rsid w:val="00BC4309"/>
    <w:rsid w:val="00BC4399"/>
    <w:rsid w:val="00BC523A"/>
    <w:rsid w:val="00BC5260"/>
    <w:rsid w:val="00BC5CF9"/>
    <w:rsid w:val="00BC670B"/>
    <w:rsid w:val="00BC7833"/>
    <w:rsid w:val="00BD00A9"/>
    <w:rsid w:val="00BD1538"/>
    <w:rsid w:val="00BD3B13"/>
    <w:rsid w:val="00BD43FE"/>
    <w:rsid w:val="00BD4874"/>
    <w:rsid w:val="00BD5189"/>
    <w:rsid w:val="00BD51F6"/>
    <w:rsid w:val="00BD5BB3"/>
    <w:rsid w:val="00BD68EF"/>
    <w:rsid w:val="00BE00D5"/>
    <w:rsid w:val="00BE2107"/>
    <w:rsid w:val="00BE29A7"/>
    <w:rsid w:val="00BE5147"/>
    <w:rsid w:val="00BF0C3E"/>
    <w:rsid w:val="00BF1757"/>
    <w:rsid w:val="00BF1E2C"/>
    <w:rsid w:val="00BF28E8"/>
    <w:rsid w:val="00BF2DAA"/>
    <w:rsid w:val="00BF32FC"/>
    <w:rsid w:val="00BF55D6"/>
    <w:rsid w:val="00BF568D"/>
    <w:rsid w:val="00BF74A7"/>
    <w:rsid w:val="00BF77AA"/>
    <w:rsid w:val="00C002CC"/>
    <w:rsid w:val="00C02B66"/>
    <w:rsid w:val="00C06279"/>
    <w:rsid w:val="00C0653C"/>
    <w:rsid w:val="00C11CAD"/>
    <w:rsid w:val="00C126AC"/>
    <w:rsid w:val="00C151E2"/>
    <w:rsid w:val="00C155BE"/>
    <w:rsid w:val="00C161D6"/>
    <w:rsid w:val="00C22199"/>
    <w:rsid w:val="00C2227B"/>
    <w:rsid w:val="00C2230F"/>
    <w:rsid w:val="00C2373A"/>
    <w:rsid w:val="00C241EA"/>
    <w:rsid w:val="00C254C3"/>
    <w:rsid w:val="00C259EF"/>
    <w:rsid w:val="00C26516"/>
    <w:rsid w:val="00C308EE"/>
    <w:rsid w:val="00C326D5"/>
    <w:rsid w:val="00C32AA9"/>
    <w:rsid w:val="00C33BCA"/>
    <w:rsid w:val="00C35D7C"/>
    <w:rsid w:val="00C364BD"/>
    <w:rsid w:val="00C36A86"/>
    <w:rsid w:val="00C373D3"/>
    <w:rsid w:val="00C3746B"/>
    <w:rsid w:val="00C37AE8"/>
    <w:rsid w:val="00C401AE"/>
    <w:rsid w:val="00C40873"/>
    <w:rsid w:val="00C40974"/>
    <w:rsid w:val="00C40C01"/>
    <w:rsid w:val="00C40F03"/>
    <w:rsid w:val="00C4123E"/>
    <w:rsid w:val="00C420C1"/>
    <w:rsid w:val="00C431B0"/>
    <w:rsid w:val="00C43599"/>
    <w:rsid w:val="00C466D2"/>
    <w:rsid w:val="00C46B1F"/>
    <w:rsid w:val="00C46FD2"/>
    <w:rsid w:val="00C47B11"/>
    <w:rsid w:val="00C502DD"/>
    <w:rsid w:val="00C5155A"/>
    <w:rsid w:val="00C517AB"/>
    <w:rsid w:val="00C51FFF"/>
    <w:rsid w:val="00C5309D"/>
    <w:rsid w:val="00C53955"/>
    <w:rsid w:val="00C53E34"/>
    <w:rsid w:val="00C5499B"/>
    <w:rsid w:val="00C57531"/>
    <w:rsid w:val="00C575CA"/>
    <w:rsid w:val="00C57841"/>
    <w:rsid w:val="00C57F84"/>
    <w:rsid w:val="00C62C75"/>
    <w:rsid w:val="00C63512"/>
    <w:rsid w:val="00C67111"/>
    <w:rsid w:val="00C701F5"/>
    <w:rsid w:val="00C70C43"/>
    <w:rsid w:val="00C71BD5"/>
    <w:rsid w:val="00C7274D"/>
    <w:rsid w:val="00C72801"/>
    <w:rsid w:val="00C72B70"/>
    <w:rsid w:val="00C72E8D"/>
    <w:rsid w:val="00C73CD8"/>
    <w:rsid w:val="00C75276"/>
    <w:rsid w:val="00C76F1E"/>
    <w:rsid w:val="00C800A3"/>
    <w:rsid w:val="00C807FA"/>
    <w:rsid w:val="00C80D5A"/>
    <w:rsid w:val="00C81504"/>
    <w:rsid w:val="00C8354C"/>
    <w:rsid w:val="00C83820"/>
    <w:rsid w:val="00C83A6B"/>
    <w:rsid w:val="00C858D1"/>
    <w:rsid w:val="00C86E8E"/>
    <w:rsid w:val="00C871C1"/>
    <w:rsid w:val="00C875C5"/>
    <w:rsid w:val="00C90D10"/>
    <w:rsid w:val="00C9152C"/>
    <w:rsid w:val="00C93183"/>
    <w:rsid w:val="00C94585"/>
    <w:rsid w:val="00C95A1A"/>
    <w:rsid w:val="00C96728"/>
    <w:rsid w:val="00CA1B62"/>
    <w:rsid w:val="00CA2CBB"/>
    <w:rsid w:val="00CA359C"/>
    <w:rsid w:val="00CA36C1"/>
    <w:rsid w:val="00CA6179"/>
    <w:rsid w:val="00CA6329"/>
    <w:rsid w:val="00CA68FF"/>
    <w:rsid w:val="00CB012C"/>
    <w:rsid w:val="00CB0D1E"/>
    <w:rsid w:val="00CB475F"/>
    <w:rsid w:val="00CB6D3A"/>
    <w:rsid w:val="00CC1B6F"/>
    <w:rsid w:val="00CC2C21"/>
    <w:rsid w:val="00CC2C57"/>
    <w:rsid w:val="00CC35F0"/>
    <w:rsid w:val="00CC49E4"/>
    <w:rsid w:val="00CC4E91"/>
    <w:rsid w:val="00CC509D"/>
    <w:rsid w:val="00CC5240"/>
    <w:rsid w:val="00CC5258"/>
    <w:rsid w:val="00CC536B"/>
    <w:rsid w:val="00CC680A"/>
    <w:rsid w:val="00CC69AE"/>
    <w:rsid w:val="00CC7A08"/>
    <w:rsid w:val="00CD0B7E"/>
    <w:rsid w:val="00CD1630"/>
    <w:rsid w:val="00CE213B"/>
    <w:rsid w:val="00CE36CA"/>
    <w:rsid w:val="00CE53CB"/>
    <w:rsid w:val="00CF0E45"/>
    <w:rsid w:val="00CF2042"/>
    <w:rsid w:val="00CF3BC4"/>
    <w:rsid w:val="00CF4447"/>
    <w:rsid w:val="00CF5148"/>
    <w:rsid w:val="00CF666D"/>
    <w:rsid w:val="00CF6B49"/>
    <w:rsid w:val="00CF7589"/>
    <w:rsid w:val="00CF77AE"/>
    <w:rsid w:val="00CF7E9B"/>
    <w:rsid w:val="00D00A52"/>
    <w:rsid w:val="00D01A3F"/>
    <w:rsid w:val="00D01B42"/>
    <w:rsid w:val="00D0344A"/>
    <w:rsid w:val="00D06876"/>
    <w:rsid w:val="00D06AED"/>
    <w:rsid w:val="00D06FD5"/>
    <w:rsid w:val="00D1290C"/>
    <w:rsid w:val="00D12DDF"/>
    <w:rsid w:val="00D138EE"/>
    <w:rsid w:val="00D14116"/>
    <w:rsid w:val="00D147FD"/>
    <w:rsid w:val="00D165ED"/>
    <w:rsid w:val="00D20626"/>
    <w:rsid w:val="00D21280"/>
    <w:rsid w:val="00D239D6"/>
    <w:rsid w:val="00D23AED"/>
    <w:rsid w:val="00D23F04"/>
    <w:rsid w:val="00D23F08"/>
    <w:rsid w:val="00D25B3A"/>
    <w:rsid w:val="00D25E9B"/>
    <w:rsid w:val="00D27837"/>
    <w:rsid w:val="00D27D6B"/>
    <w:rsid w:val="00D305C3"/>
    <w:rsid w:val="00D3071C"/>
    <w:rsid w:val="00D312CF"/>
    <w:rsid w:val="00D33E3C"/>
    <w:rsid w:val="00D33EBD"/>
    <w:rsid w:val="00D347EC"/>
    <w:rsid w:val="00D34CEC"/>
    <w:rsid w:val="00D35351"/>
    <w:rsid w:val="00D356D9"/>
    <w:rsid w:val="00D370B7"/>
    <w:rsid w:val="00D40246"/>
    <w:rsid w:val="00D4084E"/>
    <w:rsid w:val="00D408D9"/>
    <w:rsid w:val="00D4237D"/>
    <w:rsid w:val="00D43BDD"/>
    <w:rsid w:val="00D44685"/>
    <w:rsid w:val="00D45DBF"/>
    <w:rsid w:val="00D47A73"/>
    <w:rsid w:val="00D47FD4"/>
    <w:rsid w:val="00D50C95"/>
    <w:rsid w:val="00D542D8"/>
    <w:rsid w:val="00D549CF"/>
    <w:rsid w:val="00D556A0"/>
    <w:rsid w:val="00D565EE"/>
    <w:rsid w:val="00D605C2"/>
    <w:rsid w:val="00D61233"/>
    <w:rsid w:val="00D621B4"/>
    <w:rsid w:val="00D67B69"/>
    <w:rsid w:val="00D70FD8"/>
    <w:rsid w:val="00D7155E"/>
    <w:rsid w:val="00D717F5"/>
    <w:rsid w:val="00D725C8"/>
    <w:rsid w:val="00D8277F"/>
    <w:rsid w:val="00D833D7"/>
    <w:rsid w:val="00D8485C"/>
    <w:rsid w:val="00D85747"/>
    <w:rsid w:val="00D874F4"/>
    <w:rsid w:val="00D877B8"/>
    <w:rsid w:val="00D92A81"/>
    <w:rsid w:val="00D950CE"/>
    <w:rsid w:val="00D96954"/>
    <w:rsid w:val="00D97D5F"/>
    <w:rsid w:val="00D97FD9"/>
    <w:rsid w:val="00DA1C05"/>
    <w:rsid w:val="00DA1EE9"/>
    <w:rsid w:val="00DA1FBF"/>
    <w:rsid w:val="00DA3E4D"/>
    <w:rsid w:val="00DA5017"/>
    <w:rsid w:val="00DA5476"/>
    <w:rsid w:val="00DA5828"/>
    <w:rsid w:val="00DA77E2"/>
    <w:rsid w:val="00DB02C1"/>
    <w:rsid w:val="00DB0588"/>
    <w:rsid w:val="00DB12DF"/>
    <w:rsid w:val="00DB301B"/>
    <w:rsid w:val="00DB3C9B"/>
    <w:rsid w:val="00DB3D2D"/>
    <w:rsid w:val="00DB4B3F"/>
    <w:rsid w:val="00DB4BE8"/>
    <w:rsid w:val="00DB4C46"/>
    <w:rsid w:val="00DB5FA9"/>
    <w:rsid w:val="00DB7104"/>
    <w:rsid w:val="00DC1C42"/>
    <w:rsid w:val="00DC1E4D"/>
    <w:rsid w:val="00DC3238"/>
    <w:rsid w:val="00DC3E26"/>
    <w:rsid w:val="00DC527A"/>
    <w:rsid w:val="00DC7A12"/>
    <w:rsid w:val="00DD033D"/>
    <w:rsid w:val="00DD07EE"/>
    <w:rsid w:val="00DD13B2"/>
    <w:rsid w:val="00DD1DA7"/>
    <w:rsid w:val="00DD2021"/>
    <w:rsid w:val="00DD33EC"/>
    <w:rsid w:val="00DD34B5"/>
    <w:rsid w:val="00DD455E"/>
    <w:rsid w:val="00DD518E"/>
    <w:rsid w:val="00DD55A1"/>
    <w:rsid w:val="00DD6371"/>
    <w:rsid w:val="00DD7392"/>
    <w:rsid w:val="00DE09C3"/>
    <w:rsid w:val="00DE2E0B"/>
    <w:rsid w:val="00DE3996"/>
    <w:rsid w:val="00DE450A"/>
    <w:rsid w:val="00DE48E6"/>
    <w:rsid w:val="00DE606D"/>
    <w:rsid w:val="00DE682D"/>
    <w:rsid w:val="00DE7480"/>
    <w:rsid w:val="00DE78E1"/>
    <w:rsid w:val="00DE7AE7"/>
    <w:rsid w:val="00DF0428"/>
    <w:rsid w:val="00DF0A1D"/>
    <w:rsid w:val="00DF0D9D"/>
    <w:rsid w:val="00DF0E9C"/>
    <w:rsid w:val="00DF4F4B"/>
    <w:rsid w:val="00DF743E"/>
    <w:rsid w:val="00E00B16"/>
    <w:rsid w:val="00E0186B"/>
    <w:rsid w:val="00E051D4"/>
    <w:rsid w:val="00E067FD"/>
    <w:rsid w:val="00E0759A"/>
    <w:rsid w:val="00E112B9"/>
    <w:rsid w:val="00E11909"/>
    <w:rsid w:val="00E11AB3"/>
    <w:rsid w:val="00E12941"/>
    <w:rsid w:val="00E12F59"/>
    <w:rsid w:val="00E13055"/>
    <w:rsid w:val="00E14BEF"/>
    <w:rsid w:val="00E15078"/>
    <w:rsid w:val="00E23D0D"/>
    <w:rsid w:val="00E24F0D"/>
    <w:rsid w:val="00E3079E"/>
    <w:rsid w:val="00E309B9"/>
    <w:rsid w:val="00E34C3A"/>
    <w:rsid w:val="00E37208"/>
    <w:rsid w:val="00E40858"/>
    <w:rsid w:val="00E41571"/>
    <w:rsid w:val="00E41ACC"/>
    <w:rsid w:val="00E43940"/>
    <w:rsid w:val="00E44422"/>
    <w:rsid w:val="00E459AD"/>
    <w:rsid w:val="00E4703E"/>
    <w:rsid w:val="00E47F45"/>
    <w:rsid w:val="00E51152"/>
    <w:rsid w:val="00E512B9"/>
    <w:rsid w:val="00E534EF"/>
    <w:rsid w:val="00E55FF5"/>
    <w:rsid w:val="00E5623F"/>
    <w:rsid w:val="00E5719A"/>
    <w:rsid w:val="00E602D3"/>
    <w:rsid w:val="00E606C3"/>
    <w:rsid w:val="00E60B0E"/>
    <w:rsid w:val="00E63127"/>
    <w:rsid w:val="00E634CE"/>
    <w:rsid w:val="00E63AFD"/>
    <w:rsid w:val="00E651B0"/>
    <w:rsid w:val="00E7026C"/>
    <w:rsid w:val="00E7038C"/>
    <w:rsid w:val="00E74403"/>
    <w:rsid w:val="00E75EF7"/>
    <w:rsid w:val="00E7601B"/>
    <w:rsid w:val="00E81034"/>
    <w:rsid w:val="00E820C6"/>
    <w:rsid w:val="00E8331E"/>
    <w:rsid w:val="00E83706"/>
    <w:rsid w:val="00E83F09"/>
    <w:rsid w:val="00E87D17"/>
    <w:rsid w:val="00E90E6B"/>
    <w:rsid w:val="00E90FBD"/>
    <w:rsid w:val="00E92FA2"/>
    <w:rsid w:val="00E941B3"/>
    <w:rsid w:val="00E94B00"/>
    <w:rsid w:val="00E96AC0"/>
    <w:rsid w:val="00E974FA"/>
    <w:rsid w:val="00E97B13"/>
    <w:rsid w:val="00EA15D1"/>
    <w:rsid w:val="00EA24EA"/>
    <w:rsid w:val="00EA2988"/>
    <w:rsid w:val="00EA2A9F"/>
    <w:rsid w:val="00EA521C"/>
    <w:rsid w:val="00EA640A"/>
    <w:rsid w:val="00EA720D"/>
    <w:rsid w:val="00EA73E4"/>
    <w:rsid w:val="00EA79CA"/>
    <w:rsid w:val="00EA7BCA"/>
    <w:rsid w:val="00EB0748"/>
    <w:rsid w:val="00EB0B19"/>
    <w:rsid w:val="00EB154A"/>
    <w:rsid w:val="00EB270E"/>
    <w:rsid w:val="00EB2C77"/>
    <w:rsid w:val="00EB31B3"/>
    <w:rsid w:val="00EB783D"/>
    <w:rsid w:val="00EB7D20"/>
    <w:rsid w:val="00EC0650"/>
    <w:rsid w:val="00EC31C2"/>
    <w:rsid w:val="00EC3D40"/>
    <w:rsid w:val="00EC4D4A"/>
    <w:rsid w:val="00EC4D99"/>
    <w:rsid w:val="00EC5F4B"/>
    <w:rsid w:val="00EC5FEF"/>
    <w:rsid w:val="00EC72F0"/>
    <w:rsid w:val="00ED1509"/>
    <w:rsid w:val="00ED16E5"/>
    <w:rsid w:val="00ED1C40"/>
    <w:rsid w:val="00ED25E1"/>
    <w:rsid w:val="00ED2EAF"/>
    <w:rsid w:val="00ED3A14"/>
    <w:rsid w:val="00EE06DF"/>
    <w:rsid w:val="00EE2338"/>
    <w:rsid w:val="00EE27D5"/>
    <w:rsid w:val="00EE7C44"/>
    <w:rsid w:val="00EF0EE8"/>
    <w:rsid w:val="00EF3C90"/>
    <w:rsid w:val="00EF5C51"/>
    <w:rsid w:val="00EF616B"/>
    <w:rsid w:val="00EF7C29"/>
    <w:rsid w:val="00F00A65"/>
    <w:rsid w:val="00F01E52"/>
    <w:rsid w:val="00F040B6"/>
    <w:rsid w:val="00F04135"/>
    <w:rsid w:val="00F04B15"/>
    <w:rsid w:val="00F04C21"/>
    <w:rsid w:val="00F06246"/>
    <w:rsid w:val="00F06C3A"/>
    <w:rsid w:val="00F07182"/>
    <w:rsid w:val="00F07350"/>
    <w:rsid w:val="00F07E5D"/>
    <w:rsid w:val="00F07FCB"/>
    <w:rsid w:val="00F12971"/>
    <w:rsid w:val="00F14495"/>
    <w:rsid w:val="00F16AED"/>
    <w:rsid w:val="00F219CD"/>
    <w:rsid w:val="00F25DD6"/>
    <w:rsid w:val="00F263E2"/>
    <w:rsid w:val="00F26E5B"/>
    <w:rsid w:val="00F308D5"/>
    <w:rsid w:val="00F316C5"/>
    <w:rsid w:val="00F31FCC"/>
    <w:rsid w:val="00F34B1C"/>
    <w:rsid w:val="00F40311"/>
    <w:rsid w:val="00F41294"/>
    <w:rsid w:val="00F41FCF"/>
    <w:rsid w:val="00F4223E"/>
    <w:rsid w:val="00F42D28"/>
    <w:rsid w:val="00F43C3C"/>
    <w:rsid w:val="00F4475E"/>
    <w:rsid w:val="00F44DA9"/>
    <w:rsid w:val="00F44DF0"/>
    <w:rsid w:val="00F47180"/>
    <w:rsid w:val="00F52B3F"/>
    <w:rsid w:val="00F53E3F"/>
    <w:rsid w:val="00F540CE"/>
    <w:rsid w:val="00F55BA4"/>
    <w:rsid w:val="00F56128"/>
    <w:rsid w:val="00F60CD9"/>
    <w:rsid w:val="00F60D7B"/>
    <w:rsid w:val="00F61189"/>
    <w:rsid w:val="00F6348C"/>
    <w:rsid w:val="00F65A6B"/>
    <w:rsid w:val="00F663EB"/>
    <w:rsid w:val="00F671DA"/>
    <w:rsid w:val="00F716E3"/>
    <w:rsid w:val="00F71D22"/>
    <w:rsid w:val="00F734A8"/>
    <w:rsid w:val="00F757A4"/>
    <w:rsid w:val="00F80BBC"/>
    <w:rsid w:val="00F81463"/>
    <w:rsid w:val="00F819C4"/>
    <w:rsid w:val="00F820D0"/>
    <w:rsid w:val="00F84DB9"/>
    <w:rsid w:val="00F8514A"/>
    <w:rsid w:val="00F87CE3"/>
    <w:rsid w:val="00F87EB7"/>
    <w:rsid w:val="00F90664"/>
    <w:rsid w:val="00F908C5"/>
    <w:rsid w:val="00F90A86"/>
    <w:rsid w:val="00F91FCA"/>
    <w:rsid w:val="00F95359"/>
    <w:rsid w:val="00F9591B"/>
    <w:rsid w:val="00F97752"/>
    <w:rsid w:val="00FA1AD7"/>
    <w:rsid w:val="00FA31A7"/>
    <w:rsid w:val="00FA55F1"/>
    <w:rsid w:val="00FA638C"/>
    <w:rsid w:val="00FA6686"/>
    <w:rsid w:val="00FA6FC9"/>
    <w:rsid w:val="00FA7908"/>
    <w:rsid w:val="00FA7D49"/>
    <w:rsid w:val="00FB1B4F"/>
    <w:rsid w:val="00FB3A24"/>
    <w:rsid w:val="00FB48CE"/>
    <w:rsid w:val="00FB5F87"/>
    <w:rsid w:val="00FB6782"/>
    <w:rsid w:val="00FB76E2"/>
    <w:rsid w:val="00FC0391"/>
    <w:rsid w:val="00FC23B5"/>
    <w:rsid w:val="00FC2EA5"/>
    <w:rsid w:val="00FC2FE4"/>
    <w:rsid w:val="00FC3E61"/>
    <w:rsid w:val="00FC462E"/>
    <w:rsid w:val="00FC5823"/>
    <w:rsid w:val="00FC5CA9"/>
    <w:rsid w:val="00FC7948"/>
    <w:rsid w:val="00FC7C35"/>
    <w:rsid w:val="00FD0229"/>
    <w:rsid w:val="00FD0E50"/>
    <w:rsid w:val="00FD1020"/>
    <w:rsid w:val="00FD7BC3"/>
    <w:rsid w:val="00FE16B6"/>
    <w:rsid w:val="00FE252E"/>
    <w:rsid w:val="00FE2E7F"/>
    <w:rsid w:val="00FE3728"/>
    <w:rsid w:val="00FE4424"/>
    <w:rsid w:val="00FE66C2"/>
    <w:rsid w:val="00FE7BD4"/>
    <w:rsid w:val="00FF115B"/>
    <w:rsid w:val="00FF38E0"/>
    <w:rsid w:val="027D1835"/>
    <w:rsid w:val="0418E896"/>
    <w:rsid w:val="05001629"/>
    <w:rsid w:val="05CE0989"/>
    <w:rsid w:val="08AEE2E2"/>
    <w:rsid w:val="0A3FA756"/>
    <w:rsid w:val="0B07C38C"/>
    <w:rsid w:val="0B68B5E6"/>
    <w:rsid w:val="0C2D654F"/>
    <w:rsid w:val="0CCA5E27"/>
    <w:rsid w:val="0E662E88"/>
    <w:rsid w:val="0F157946"/>
    <w:rsid w:val="0F548298"/>
    <w:rsid w:val="10C78180"/>
    <w:rsid w:val="127A13A2"/>
    <w:rsid w:val="14948F7D"/>
    <w:rsid w:val="1625645C"/>
    <w:rsid w:val="19E44D81"/>
    <w:rsid w:val="1D781ED1"/>
    <w:rsid w:val="1DCE1EA3"/>
    <w:rsid w:val="1F3AC673"/>
    <w:rsid w:val="20CB1D7D"/>
    <w:rsid w:val="2105BF65"/>
    <w:rsid w:val="224B8FF4"/>
    <w:rsid w:val="23E76055"/>
    <w:rsid w:val="25D93088"/>
    <w:rsid w:val="25E1D56C"/>
    <w:rsid w:val="261CF887"/>
    <w:rsid w:val="268F51BD"/>
    <w:rsid w:val="27616906"/>
    <w:rsid w:val="277500E9"/>
    <w:rsid w:val="2A04943D"/>
    <w:rsid w:val="2E48E042"/>
    <w:rsid w:val="2F8012CE"/>
    <w:rsid w:val="306C5B5F"/>
    <w:rsid w:val="315FAB2E"/>
    <w:rsid w:val="34F2FB6C"/>
    <w:rsid w:val="36C08414"/>
    <w:rsid w:val="38095B8D"/>
    <w:rsid w:val="392EE29A"/>
    <w:rsid w:val="3BA77C02"/>
    <w:rsid w:val="3C7B22CA"/>
    <w:rsid w:val="3DEF51A1"/>
    <w:rsid w:val="3F4F31DF"/>
    <w:rsid w:val="3FEFBDC4"/>
    <w:rsid w:val="41BB769B"/>
    <w:rsid w:val="420336BB"/>
    <w:rsid w:val="43A704B3"/>
    <w:rsid w:val="43B116D4"/>
    <w:rsid w:val="457E9F7C"/>
    <w:rsid w:val="45D9A1A8"/>
    <w:rsid w:val="462FC3D7"/>
    <w:rsid w:val="46BEA230"/>
    <w:rsid w:val="4718DC56"/>
    <w:rsid w:val="48DCEBC8"/>
    <w:rsid w:val="497E36F5"/>
    <w:rsid w:val="4BE02D08"/>
    <w:rsid w:val="4FAFBEF9"/>
    <w:rsid w:val="4FDEE78A"/>
    <w:rsid w:val="515824BA"/>
    <w:rsid w:val="519E1AE8"/>
    <w:rsid w:val="51A12969"/>
    <w:rsid w:val="5315971A"/>
    <w:rsid w:val="54C5FDB5"/>
    <w:rsid w:val="599AED0A"/>
    <w:rsid w:val="5A22C2A8"/>
    <w:rsid w:val="5DEE24FE"/>
    <w:rsid w:val="5E612879"/>
    <w:rsid w:val="6169A0AA"/>
    <w:rsid w:val="6628F72A"/>
    <w:rsid w:val="67C204C6"/>
    <w:rsid w:val="67E5778E"/>
    <w:rsid w:val="68B26545"/>
    <w:rsid w:val="6A2BC45C"/>
    <w:rsid w:val="6D106BC1"/>
    <w:rsid w:val="6DF5903D"/>
    <w:rsid w:val="6E262F78"/>
    <w:rsid w:val="6E66C8CA"/>
    <w:rsid w:val="6ED854F8"/>
    <w:rsid w:val="7158AD83"/>
    <w:rsid w:val="72C26CDA"/>
    <w:rsid w:val="74CD656A"/>
    <w:rsid w:val="77D9A5FC"/>
    <w:rsid w:val="78C9A08E"/>
    <w:rsid w:val="7B2C2375"/>
    <w:rsid w:val="7C014150"/>
    <w:rsid w:val="7F38E212"/>
    <w:rsid w:val="7FBA9D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529E82"/>
  <w15:docId w15:val="{5B6DD9DA-E059-435C-8727-06E5BC37A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42"/>
    <w:lsdException w:name="Medium Shading 2 Accent 2" w:uiPriority="64"/>
    <w:lsdException w:name="Medium List 1 Accent 2" w:uiPriority="65"/>
    <w:lsdException w:name="Medium List 2 Accent 2" w:uiPriority="66"/>
    <w:lsdException w:name="Medium Grid 1 Accent 2" w:uiPriority="42"/>
    <w:lsdException w:name="Medium Grid 2 Accent 2" w:uiPriority="42"/>
    <w:lsdException w:name="Medium Grid 3 Accent 2" w:uiPriority="42"/>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6C5F30"/>
    <w:pPr>
      <w:spacing w:before="120" w:after="120"/>
    </w:pPr>
    <w:rPr>
      <w:rFonts w:ascii="Open Sans" w:hAnsi="Open Sans"/>
      <w:sz w:val="20"/>
      <w:lang w:val="fr-FR"/>
    </w:rPr>
  </w:style>
  <w:style w:type="paragraph" w:styleId="Heading1">
    <w:name w:val="heading 1"/>
    <w:aliases w:val="num.                          1"/>
    <w:basedOn w:val="Title"/>
    <w:next w:val="Normal"/>
    <w:link w:val="Heading1Char"/>
    <w:autoRedefine/>
    <w:qFormat/>
    <w:rsid w:val="00776702"/>
    <w:pPr>
      <w:widowControl w:val="0"/>
      <w:numPr>
        <w:numId w:val="2"/>
      </w:numPr>
      <w:spacing w:line="240" w:lineRule="auto"/>
      <w:outlineLvl w:val="0"/>
    </w:pPr>
    <w:rPr>
      <w:rFonts w:ascii="Museo Sans 500" w:hAnsi="Museo Sans 500"/>
      <w:color w:val="000099"/>
      <w14:ligatures w14:val="none"/>
    </w:rPr>
  </w:style>
  <w:style w:type="paragraph" w:styleId="Heading2">
    <w:name w:val="heading 2"/>
    <w:aliases w:val="numm,num.                                               2 Car,num.                                               2 Car Car Car,num.                                               2,Titre 21,numm1 Car Car Car Car,numm1 Car Car Car"/>
    <w:basedOn w:val="Normal"/>
    <w:next w:val="Normal"/>
    <w:link w:val="Heading2Char"/>
    <w:unhideWhenUsed/>
    <w:qFormat/>
    <w:rsid w:val="00902FA6"/>
    <w:pPr>
      <w:keepNext/>
      <w:keepLines/>
      <w:spacing w:before="240" w:line="240" w:lineRule="auto"/>
      <w:outlineLvl w:val="1"/>
    </w:pPr>
    <w:rPr>
      <w:rFonts w:ascii="Open Sans ExtraBold" w:eastAsiaTheme="majorEastAsia" w:hAnsi="Open Sans ExtraBold" w:cstheme="majorBidi"/>
      <w:b/>
      <w:caps/>
      <w:color w:val="0074AC"/>
      <w:sz w:val="22"/>
      <w:szCs w:val="26"/>
    </w:rPr>
  </w:style>
  <w:style w:type="paragraph" w:styleId="Heading3">
    <w:name w:val="heading 3"/>
    <w:aliases w:val="Car Car,Car Car Car Car Car Car,Car,Car Car Car Car Car Car Car Car Car Car Car Car,Car Car Car Car Car Car Car Car,Car Car Car Car Car Car Car Car Car Car Car Car Car Car Car Car, Car,Car Car Car Car Car Car Car Car Car Car Car"/>
    <w:basedOn w:val="Normal"/>
    <w:next w:val="Normal"/>
    <w:link w:val="Heading3Char"/>
    <w:unhideWhenUsed/>
    <w:qFormat/>
    <w:rsid w:val="000D4374"/>
    <w:pPr>
      <w:keepNext/>
      <w:keepLines/>
      <w:spacing w:line="240" w:lineRule="auto"/>
      <w:outlineLvl w:val="2"/>
    </w:pPr>
    <w:rPr>
      <w:rFonts w:eastAsiaTheme="majorEastAsia" w:cstheme="majorBidi"/>
      <w:b/>
      <w:i/>
      <w:color w:val="0074AC"/>
      <w:sz w:val="22"/>
      <w:szCs w:val="24"/>
    </w:rPr>
  </w:style>
  <w:style w:type="paragraph" w:styleId="Heading4">
    <w:name w:val="heading 4"/>
    <w:basedOn w:val="Normal"/>
    <w:next w:val="Normal"/>
    <w:link w:val="Heading4Char"/>
    <w:uiPriority w:val="9"/>
    <w:unhideWhenUsed/>
    <w:qFormat/>
    <w:rsid w:val="00713975"/>
    <w:pPr>
      <w:spacing w:before="240" w:after="0" w:line="264" w:lineRule="auto"/>
      <w:jc w:val="both"/>
      <w:outlineLvl w:val="3"/>
    </w:pPr>
    <w:rPr>
      <w:rFonts w:asciiTheme="minorHAnsi" w:hAnsiTheme="minorHAnsi" w:cs="Times New Roman"/>
      <w:caps/>
      <w:spacing w:val="14"/>
      <w:kern w:val="24"/>
      <w:sz w:val="22"/>
      <w:lang w:eastAsia="fr-FR"/>
      <w14:ligatures w14:val="standardContextual"/>
    </w:rPr>
  </w:style>
  <w:style w:type="paragraph" w:styleId="Heading5">
    <w:name w:val="heading 5"/>
    <w:basedOn w:val="Normal"/>
    <w:next w:val="Normal"/>
    <w:link w:val="Heading5Char"/>
    <w:uiPriority w:val="9"/>
    <w:semiHidden/>
    <w:unhideWhenUsed/>
    <w:qFormat/>
    <w:rsid w:val="00713975"/>
    <w:pPr>
      <w:spacing w:before="200" w:after="0" w:line="264" w:lineRule="auto"/>
      <w:jc w:val="both"/>
      <w:outlineLvl w:val="4"/>
    </w:pPr>
    <w:rPr>
      <w:rFonts w:asciiTheme="minorHAnsi" w:hAnsiTheme="minorHAnsi" w:cs="Times New Roman"/>
      <w:b/>
      <w:color w:val="44546A" w:themeColor="text2"/>
      <w:spacing w:val="10"/>
      <w:kern w:val="24"/>
      <w:sz w:val="24"/>
      <w:szCs w:val="26"/>
      <w:lang w:eastAsia="fr-FR"/>
      <w14:ligatures w14:val="standardContextual"/>
    </w:rPr>
  </w:style>
  <w:style w:type="paragraph" w:styleId="Heading6">
    <w:name w:val="heading 6"/>
    <w:basedOn w:val="Normal"/>
    <w:next w:val="Normal"/>
    <w:link w:val="Heading6Char"/>
    <w:unhideWhenUsed/>
    <w:qFormat/>
    <w:rsid w:val="00713975"/>
    <w:pPr>
      <w:spacing w:before="0" w:after="0" w:line="264" w:lineRule="auto"/>
      <w:jc w:val="both"/>
      <w:outlineLvl w:val="5"/>
    </w:pPr>
    <w:rPr>
      <w:rFonts w:asciiTheme="minorHAnsi" w:hAnsiTheme="minorHAnsi" w:cs="Times New Roman"/>
      <w:b/>
      <w:color w:val="ED7D31" w:themeColor="accent2"/>
      <w:spacing w:val="10"/>
      <w:kern w:val="24"/>
      <w:sz w:val="24"/>
      <w:lang w:eastAsia="fr-FR"/>
      <w14:ligatures w14:val="standardContextual"/>
    </w:rPr>
  </w:style>
  <w:style w:type="paragraph" w:styleId="Heading7">
    <w:name w:val="heading 7"/>
    <w:basedOn w:val="Normal"/>
    <w:next w:val="Normal"/>
    <w:link w:val="Heading7Char"/>
    <w:unhideWhenUsed/>
    <w:qFormat/>
    <w:rsid w:val="00713975"/>
    <w:pPr>
      <w:spacing w:before="0" w:after="0" w:line="264" w:lineRule="auto"/>
      <w:jc w:val="both"/>
      <w:outlineLvl w:val="6"/>
    </w:pPr>
    <w:rPr>
      <w:rFonts w:asciiTheme="minorHAnsi" w:hAnsiTheme="minorHAnsi" w:cs="Times New Roman"/>
      <w:smallCaps/>
      <w:color w:val="000000" w:themeColor="text1"/>
      <w:spacing w:val="10"/>
      <w:kern w:val="24"/>
      <w:sz w:val="24"/>
      <w:lang w:eastAsia="fr-FR"/>
      <w14:ligatures w14:val="standardContextual"/>
    </w:rPr>
  </w:style>
  <w:style w:type="paragraph" w:styleId="Heading8">
    <w:name w:val="heading 8"/>
    <w:basedOn w:val="Normal"/>
    <w:next w:val="Normal"/>
    <w:link w:val="Heading8Char"/>
    <w:unhideWhenUsed/>
    <w:qFormat/>
    <w:rsid w:val="00713975"/>
    <w:pPr>
      <w:spacing w:before="0" w:after="0" w:line="264" w:lineRule="auto"/>
      <w:jc w:val="both"/>
      <w:outlineLvl w:val="7"/>
    </w:pPr>
    <w:rPr>
      <w:rFonts w:asciiTheme="minorHAnsi" w:hAnsiTheme="minorHAnsi" w:cs="Times New Roman"/>
      <w:b/>
      <w:i/>
      <w:color w:val="5B9BD5" w:themeColor="accent1"/>
      <w:spacing w:val="10"/>
      <w:kern w:val="24"/>
      <w:sz w:val="24"/>
      <w:lang w:eastAsia="fr-FR"/>
      <w14:ligatures w14:val="standardContextual"/>
    </w:rPr>
  </w:style>
  <w:style w:type="paragraph" w:styleId="Heading9">
    <w:name w:val="heading 9"/>
    <w:basedOn w:val="Normal"/>
    <w:next w:val="Normal"/>
    <w:link w:val="Heading9Char"/>
    <w:unhideWhenUsed/>
    <w:qFormat/>
    <w:rsid w:val="00713975"/>
    <w:pPr>
      <w:spacing w:before="0" w:after="0" w:line="264" w:lineRule="auto"/>
      <w:jc w:val="both"/>
      <w:outlineLvl w:val="8"/>
    </w:pPr>
    <w:rPr>
      <w:rFonts w:asciiTheme="minorHAnsi" w:hAnsiTheme="minorHAnsi" w:cs="Times New Roman"/>
      <w:b/>
      <w:caps/>
      <w:color w:val="A5A5A5" w:themeColor="accent3"/>
      <w:spacing w:val="40"/>
      <w:kern w:val="24"/>
      <w:lang w:eastAsia="fr-FR"/>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En-tête PFE,En-tête client"/>
    <w:basedOn w:val="Normal"/>
    <w:link w:val="HeaderChar"/>
    <w:uiPriority w:val="99"/>
    <w:unhideWhenUsed/>
    <w:rsid w:val="00D347EC"/>
    <w:pPr>
      <w:tabs>
        <w:tab w:val="center" w:pos="4680"/>
        <w:tab w:val="right" w:pos="9360"/>
      </w:tabs>
      <w:spacing w:after="0" w:line="240" w:lineRule="auto"/>
    </w:pPr>
  </w:style>
  <w:style w:type="character" w:customStyle="1" w:styleId="HeaderChar">
    <w:name w:val="Header Char"/>
    <w:aliases w:val="En-tête PFE Char,En-tête client Char"/>
    <w:basedOn w:val="DefaultParagraphFont"/>
    <w:link w:val="Header"/>
    <w:uiPriority w:val="99"/>
    <w:rsid w:val="00D347EC"/>
    <w:rPr>
      <w:rFonts w:ascii="Open Sans" w:hAnsi="Open Sans"/>
      <w:sz w:val="20"/>
      <w:lang w:val="en-GB"/>
    </w:rPr>
  </w:style>
  <w:style w:type="paragraph" w:styleId="Footer">
    <w:name w:val="footer"/>
    <w:basedOn w:val="Normal"/>
    <w:link w:val="FooterChar"/>
    <w:uiPriority w:val="99"/>
    <w:unhideWhenUsed/>
    <w:rsid w:val="00D347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47EC"/>
  </w:style>
  <w:style w:type="paragraph" w:customStyle="1" w:styleId="CoverTitle">
    <w:name w:val="Cover Title"/>
    <w:basedOn w:val="Normal"/>
    <w:rsid w:val="00D347EC"/>
    <w:pPr>
      <w:spacing w:after="0" w:line="580" w:lineRule="exact"/>
    </w:pPr>
    <w:rPr>
      <w:rFonts w:eastAsia="Times New Roman" w:cs="Open Sans"/>
      <w:b/>
      <w:bCs/>
      <w:color w:val="0074AC"/>
      <w:kern w:val="28"/>
      <w:sz w:val="52"/>
      <w:szCs w:val="52"/>
      <w14:ligatures w14:val="standard"/>
      <w14:cntxtAlts/>
    </w:rPr>
  </w:style>
  <w:style w:type="paragraph" w:styleId="Subtitle">
    <w:name w:val="Subtitle"/>
    <w:basedOn w:val="Normal"/>
    <w:link w:val="SubtitleChar"/>
    <w:uiPriority w:val="11"/>
    <w:qFormat/>
    <w:rsid w:val="00D347EC"/>
    <w:pPr>
      <w:spacing w:line="560" w:lineRule="exact"/>
    </w:pPr>
    <w:rPr>
      <w:rFonts w:eastAsia="Times New Roman" w:cs="Open Sans"/>
      <w:color w:val="0074AC"/>
      <w:kern w:val="28"/>
      <w:sz w:val="48"/>
      <w:szCs w:val="48"/>
      <w14:ligatures w14:val="standard"/>
      <w14:cntxtAlts/>
    </w:rPr>
  </w:style>
  <w:style w:type="character" w:customStyle="1" w:styleId="SubtitleChar">
    <w:name w:val="Subtitle Char"/>
    <w:basedOn w:val="DefaultParagraphFont"/>
    <w:link w:val="Subtitle"/>
    <w:uiPriority w:val="11"/>
    <w:rsid w:val="00D347EC"/>
    <w:rPr>
      <w:rFonts w:ascii="Open Sans" w:eastAsia="Times New Roman" w:hAnsi="Open Sans" w:cs="Open Sans"/>
      <w:color w:val="000000"/>
      <w:kern w:val="28"/>
      <w:sz w:val="48"/>
      <w:szCs w:val="48"/>
      <w14:ligatures w14:val="standard"/>
      <w14:cntxtAlts/>
    </w:rPr>
  </w:style>
  <w:style w:type="paragraph" w:styleId="Date">
    <w:name w:val="Date"/>
    <w:basedOn w:val="Normal"/>
    <w:link w:val="DateChar"/>
    <w:uiPriority w:val="99"/>
    <w:semiHidden/>
    <w:unhideWhenUsed/>
    <w:rsid w:val="00D347EC"/>
    <w:pPr>
      <w:spacing w:after="0" w:line="280" w:lineRule="exact"/>
      <w:jc w:val="right"/>
    </w:pPr>
    <w:rPr>
      <w:rFonts w:eastAsia="Times New Roman" w:cs="Open Sans"/>
      <w:b/>
      <w:bCs/>
      <w:color w:val="0074AC"/>
      <w:kern w:val="28"/>
      <w:sz w:val="24"/>
      <w:szCs w:val="24"/>
      <w14:ligatures w14:val="standard"/>
      <w14:cntxtAlts/>
    </w:rPr>
  </w:style>
  <w:style w:type="character" w:customStyle="1" w:styleId="DateChar">
    <w:name w:val="Date Char"/>
    <w:basedOn w:val="DefaultParagraphFont"/>
    <w:link w:val="Date"/>
    <w:uiPriority w:val="99"/>
    <w:semiHidden/>
    <w:rsid w:val="00D347EC"/>
    <w:rPr>
      <w:rFonts w:ascii="Open Sans" w:eastAsia="Times New Roman" w:hAnsi="Open Sans" w:cs="Open Sans"/>
      <w:b/>
      <w:bCs/>
      <w:color w:val="000000"/>
      <w:kern w:val="28"/>
      <w:sz w:val="24"/>
      <w:szCs w:val="24"/>
      <w14:ligatures w14:val="standard"/>
      <w14:cntxtAlts/>
    </w:rPr>
  </w:style>
  <w:style w:type="paragraph" w:styleId="Title">
    <w:name w:val="Title"/>
    <w:basedOn w:val="Normal"/>
    <w:link w:val="TitleChar"/>
    <w:qFormat/>
    <w:rsid w:val="00133D06"/>
    <w:pPr>
      <w:spacing w:line="560" w:lineRule="exact"/>
    </w:pPr>
    <w:rPr>
      <w:rFonts w:eastAsia="Times New Roman" w:cs="Open Sans"/>
      <w:b/>
      <w:bCs/>
      <w:color w:val="0074AC"/>
      <w:kern w:val="28"/>
      <w:sz w:val="48"/>
      <w:szCs w:val="48"/>
      <w14:ligatures w14:val="standard"/>
      <w14:cntxtAlts/>
    </w:rPr>
  </w:style>
  <w:style w:type="character" w:customStyle="1" w:styleId="TitleChar">
    <w:name w:val="Title Char"/>
    <w:basedOn w:val="DefaultParagraphFont"/>
    <w:link w:val="Title"/>
    <w:rsid w:val="00133D06"/>
    <w:rPr>
      <w:rFonts w:ascii="Open Sans" w:eastAsia="Times New Roman" w:hAnsi="Open Sans" w:cs="Open Sans"/>
      <w:b/>
      <w:bCs/>
      <w:color w:val="000000"/>
      <w:kern w:val="28"/>
      <w:sz w:val="48"/>
      <w:szCs w:val="48"/>
      <w14:ligatures w14:val="standard"/>
      <w14:cntxtAlts/>
    </w:rPr>
  </w:style>
  <w:style w:type="paragraph" w:customStyle="1" w:styleId="Text">
    <w:name w:val="Text"/>
    <w:basedOn w:val="Normal"/>
    <w:rsid w:val="00FC5823"/>
    <w:pPr>
      <w:spacing w:line="260" w:lineRule="exact"/>
    </w:pPr>
    <w:rPr>
      <w:rFonts w:eastAsia="Times New Roman" w:cs="Open Sans"/>
      <w:color w:val="000000"/>
      <w:kern w:val="28"/>
      <w:sz w:val="18"/>
      <w:szCs w:val="18"/>
      <w14:ligatures w14:val="standard"/>
      <w14:cntxtAlts/>
    </w:rPr>
  </w:style>
  <w:style w:type="paragraph" w:customStyle="1" w:styleId="RunningText">
    <w:name w:val="Running Text"/>
    <w:basedOn w:val="Normal"/>
    <w:rsid w:val="00FC5823"/>
    <w:pPr>
      <w:spacing w:after="0" w:line="200" w:lineRule="exact"/>
    </w:pPr>
    <w:rPr>
      <w:rFonts w:eastAsia="Times New Roman" w:cs="Open Sans"/>
      <w:b/>
      <w:bCs/>
      <w:color w:val="0074AC"/>
      <w:kern w:val="28"/>
      <w:sz w:val="16"/>
      <w:szCs w:val="16"/>
      <w14:ligatures w14:val="standard"/>
      <w14:cntxtAlts/>
    </w:rPr>
  </w:style>
  <w:style w:type="paragraph" w:customStyle="1" w:styleId="Note">
    <w:name w:val="Note"/>
    <w:basedOn w:val="Normal"/>
    <w:rsid w:val="00FE3728"/>
    <w:pPr>
      <w:spacing w:after="60" w:line="180" w:lineRule="exact"/>
      <w:jc w:val="both"/>
    </w:pPr>
    <w:rPr>
      <w:rFonts w:eastAsia="Times New Roman" w:cs="Open Sans"/>
      <w:color w:val="000000"/>
      <w:kern w:val="28"/>
      <w:sz w:val="13"/>
      <w:szCs w:val="13"/>
      <w14:ligatures w14:val="standard"/>
      <w14:cntxtAlts/>
    </w:rPr>
  </w:style>
  <w:style w:type="paragraph" w:customStyle="1" w:styleId="TableTitle">
    <w:name w:val="Table Title"/>
    <w:basedOn w:val="Normal"/>
    <w:rsid w:val="00FE3728"/>
    <w:pPr>
      <w:spacing w:after="100" w:line="240" w:lineRule="exact"/>
    </w:pPr>
    <w:rPr>
      <w:rFonts w:eastAsia="Times New Roman" w:cs="Open Sans"/>
      <w:b/>
      <w:bCs/>
      <w:caps/>
      <w:color w:val="0074AC"/>
      <w:kern w:val="28"/>
      <w14:ligatures w14:val="standard"/>
      <w14:cntxtAlts/>
    </w:rPr>
  </w:style>
  <w:style w:type="character" w:customStyle="1" w:styleId="Heading2Char">
    <w:name w:val="Heading 2 Char"/>
    <w:aliases w:val="numm Char,num.                                               2 Car Char,num.                                               2 Car Car Car Char,num.                                               2 Char,Titre 21 Char,numm1 Car Car Car Char"/>
    <w:basedOn w:val="DefaultParagraphFont"/>
    <w:link w:val="Heading2"/>
    <w:rsid w:val="00902FA6"/>
    <w:rPr>
      <w:rFonts w:ascii="Open Sans ExtraBold" w:eastAsiaTheme="majorEastAsia" w:hAnsi="Open Sans ExtraBold" w:cstheme="majorBidi"/>
      <w:b/>
      <w:caps/>
      <w:color w:val="0074AC"/>
      <w:szCs w:val="26"/>
      <w:lang w:val="en-GB"/>
    </w:rPr>
  </w:style>
  <w:style w:type="paragraph" w:styleId="Caption">
    <w:name w:val="caption"/>
    <w:basedOn w:val="Normal"/>
    <w:next w:val="Normal"/>
    <w:uiPriority w:val="35"/>
    <w:unhideWhenUsed/>
    <w:qFormat/>
    <w:rsid w:val="00A61E4C"/>
    <w:pPr>
      <w:spacing w:after="240" w:line="240" w:lineRule="auto"/>
    </w:pPr>
    <w:rPr>
      <w:b/>
      <w:iCs/>
      <w:color w:val="0074AC"/>
      <w:sz w:val="18"/>
      <w:szCs w:val="18"/>
    </w:rPr>
  </w:style>
  <w:style w:type="character" w:customStyle="1" w:styleId="Heading1Char">
    <w:name w:val="Heading 1 Char"/>
    <w:aliases w:val="num.                          1 Char"/>
    <w:basedOn w:val="DefaultParagraphFont"/>
    <w:link w:val="Heading1"/>
    <w:rsid w:val="00776702"/>
    <w:rPr>
      <w:rFonts w:ascii="Museo Sans 500" w:eastAsia="Times New Roman" w:hAnsi="Museo Sans 500" w:cs="Open Sans"/>
      <w:b/>
      <w:bCs/>
      <w:color w:val="000099"/>
      <w:kern w:val="28"/>
      <w:sz w:val="48"/>
      <w:szCs w:val="48"/>
      <w:lang w:val="fr-FR"/>
      <w14:cntxtAlts/>
    </w:rPr>
  </w:style>
  <w:style w:type="paragraph" w:styleId="TOCHeading">
    <w:name w:val="TOC Heading"/>
    <w:basedOn w:val="Heading1"/>
    <w:next w:val="Normal"/>
    <w:uiPriority w:val="39"/>
    <w:unhideWhenUsed/>
    <w:qFormat/>
    <w:rsid w:val="00662F17"/>
    <w:pPr>
      <w:numPr>
        <w:numId w:val="0"/>
      </w:numPr>
      <w:outlineLvl w:val="9"/>
    </w:pPr>
  </w:style>
  <w:style w:type="paragraph" w:styleId="TOC2">
    <w:name w:val="toc 2"/>
    <w:basedOn w:val="Normal"/>
    <w:next w:val="Normal"/>
    <w:autoRedefine/>
    <w:uiPriority w:val="39"/>
    <w:unhideWhenUsed/>
    <w:rsid w:val="001A49C1"/>
    <w:pPr>
      <w:tabs>
        <w:tab w:val="right" w:leader="dot" w:pos="9016"/>
      </w:tabs>
      <w:spacing w:line="240" w:lineRule="auto"/>
      <w:ind w:left="450"/>
    </w:pPr>
    <w:rPr>
      <w:rFonts w:eastAsiaTheme="minorEastAsia" w:cs="Times New Roman"/>
    </w:rPr>
  </w:style>
  <w:style w:type="paragraph" w:styleId="TOC1">
    <w:name w:val="toc 1"/>
    <w:basedOn w:val="Normal"/>
    <w:next w:val="Normal"/>
    <w:autoRedefine/>
    <w:uiPriority w:val="39"/>
    <w:unhideWhenUsed/>
    <w:rsid w:val="0062653C"/>
    <w:pPr>
      <w:tabs>
        <w:tab w:val="left" w:pos="440"/>
        <w:tab w:val="right" w:leader="dot" w:pos="9016"/>
      </w:tabs>
      <w:spacing w:after="0" w:line="240" w:lineRule="auto"/>
    </w:pPr>
    <w:rPr>
      <w:rFonts w:asciiTheme="minorHAnsi" w:eastAsiaTheme="minorEastAsia" w:hAnsiTheme="minorHAnsi" w:cstheme="minorHAnsi"/>
      <w:i/>
      <w:noProof/>
      <w:color w:val="000099"/>
    </w:rPr>
  </w:style>
  <w:style w:type="paragraph" w:styleId="TOC3">
    <w:name w:val="toc 3"/>
    <w:basedOn w:val="Normal"/>
    <w:next w:val="Normal"/>
    <w:autoRedefine/>
    <w:uiPriority w:val="39"/>
    <w:unhideWhenUsed/>
    <w:qFormat/>
    <w:rsid w:val="00662F17"/>
    <w:pPr>
      <w:spacing w:after="100"/>
      <w:ind w:left="440"/>
    </w:pPr>
    <w:rPr>
      <w:rFonts w:eastAsiaTheme="minorEastAsia" w:cs="Times New Roman"/>
    </w:rPr>
  </w:style>
  <w:style w:type="character" w:styleId="Hyperlink">
    <w:name w:val="Hyperlink"/>
    <w:basedOn w:val="DefaultParagraphFont"/>
    <w:uiPriority w:val="99"/>
    <w:unhideWhenUsed/>
    <w:rsid w:val="00662F17"/>
    <w:rPr>
      <w:color w:val="0563C1" w:themeColor="hyperlink"/>
      <w:u w:val="single"/>
    </w:rPr>
  </w:style>
  <w:style w:type="character" w:customStyle="1" w:styleId="Heading3Char">
    <w:name w:val="Heading 3 Char"/>
    <w:aliases w:val="Car Car Char,Car Car Car Car Car Car Char,Car Char,Car Car Car Car Car Car Car Car Car Car Car Car Char,Car Car Car Car Car Car Car Car Char,Car Car Car Car Car Car Car Car Car Car Car Car Car Car Car Car Char, Car Char"/>
    <w:basedOn w:val="DefaultParagraphFont"/>
    <w:link w:val="Heading3"/>
    <w:rsid w:val="000D4374"/>
    <w:rPr>
      <w:rFonts w:ascii="Open Sans" w:eastAsiaTheme="majorEastAsia" w:hAnsi="Open Sans" w:cstheme="majorBidi"/>
      <w:b/>
      <w:i/>
      <w:color w:val="0074AC"/>
      <w:szCs w:val="24"/>
      <w:lang w:val="en-GB"/>
    </w:rPr>
  </w:style>
  <w:style w:type="table" w:styleId="TableGrid">
    <w:name w:val="Table Grid"/>
    <w:basedOn w:val="TableNormal"/>
    <w:uiPriority w:val="59"/>
    <w:rsid w:val="00430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rsid w:val="00761FB2"/>
    <w:pPr>
      <w:spacing w:after="0" w:line="285" w:lineRule="auto"/>
    </w:pPr>
    <w:rPr>
      <w:rFonts w:eastAsia="Times New Roman" w:cs="Open Sans"/>
      <w:color w:val="0074AC"/>
      <w:kern w:val="28"/>
      <w:szCs w:val="20"/>
      <w14:ligatures w14:val="standard"/>
      <w14:cntxtAlts/>
    </w:rPr>
  </w:style>
  <w:style w:type="paragraph" w:styleId="NoSpacing">
    <w:name w:val="No Spacing"/>
    <w:aliases w:val="Numebred"/>
    <w:autoRedefine/>
    <w:uiPriority w:val="99"/>
    <w:qFormat/>
    <w:rsid w:val="0006635C"/>
    <w:pPr>
      <w:spacing w:before="120" w:after="120" w:line="240" w:lineRule="auto"/>
      <w:jc w:val="both"/>
    </w:pPr>
    <w:rPr>
      <w:rFonts w:ascii="Open Sans" w:hAnsi="Open Sans"/>
      <w:b/>
      <w:bCs/>
      <w:color w:val="000099"/>
      <w:sz w:val="20"/>
      <w:szCs w:val="20"/>
    </w:rPr>
  </w:style>
  <w:style w:type="paragraph" w:styleId="FootnoteText">
    <w:name w:val="footnote text"/>
    <w:aliases w:val="single space,FOOTNOTES,fn,Footnote Text Char Char Char Char,Footnote Text Char Char Char,footnote text,ADB,Footnote Text Char Char Char Char Char,Footnote Text Char Char1,Footnote Text Char Char Char Char Char Char Char,Fußnotentextf"/>
    <w:basedOn w:val="Normal"/>
    <w:link w:val="FootnoteTextChar"/>
    <w:autoRedefine/>
    <w:unhideWhenUsed/>
    <w:qFormat/>
    <w:rsid w:val="005D0703"/>
    <w:pPr>
      <w:spacing w:before="0" w:after="0" w:line="240" w:lineRule="auto"/>
    </w:pPr>
    <w:rPr>
      <w:rFonts w:cstheme="minorHAnsi"/>
      <w:bCs/>
      <w:szCs w:val="16"/>
    </w:rPr>
  </w:style>
  <w:style w:type="character" w:customStyle="1" w:styleId="FootnoteTextChar">
    <w:name w:val="Footnote Text Char"/>
    <w:aliases w:val="single space Char,FOOTNOTES Char,fn Char,Footnote Text Char Char Char Char Char1,Footnote Text Char Char Char Char1,footnote text Char,ADB Char,Footnote Text Char Char Char Char Char Char,Footnote Text Char Char1 Char"/>
    <w:basedOn w:val="DefaultParagraphFont"/>
    <w:link w:val="FootnoteText"/>
    <w:rsid w:val="005D0703"/>
    <w:rPr>
      <w:rFonts w:ascii="Open Sans" w:hAnsi="Open Sans" w:cstheme="minorHAnsi"/>
      <w:bCs/>
      <w:sz w:val="20"/>
      <w:szCs w:val="16"/>
      <w:lang w:val="en-GB"/>
    </w:rPr>
  </w:style>
  <w:style w:type="character" w:styleId="FootnoteReference">
    <w:name w:val="footnote reference"/>
    <w:aliases w:val="de nota al pie,Ref,Normal + Font:9 Point,Superscript 3 Point Times,ftref,BVI fnr,16 Point,Superscript 6 Point,Footnote Reference Number,Footnote Reference_LVL6,Footnote Reference_LVL61,Footnote Reference_LVL62"/>
    <w:basedOn w:val="DefaultParagraphFont"/>
    <w:link w:val="BVIfnrCharCharChar1CharCharCharCharCharCharChar1CharCharChar1Char"/>
    <w:unhideWhenUsed/>
    <w:qFormat/>
    <w:rsid w:val="00085D94"/>
    <w:rPr>
      <w:rFonts w:ascii="Open Sans" w:hAnsi="Open Sans"/>
      <w:sz w:val="20"/>
      <w:vertAlign w:val="superscript"/>
    </w:rPr>
  </w:style>
  <w:style w:type="paragraph" w:styleId="ListParagraph">
    <w:name w:val="List Paragraph"/>
    <w:aliases w:val="Paragraph,MCHIP_list paragraph,Recommendation,SUN numbered para.,Premier,Paragraphe de liste1,List Paragraph (numbered (a)),References,normal,List Paragraph1,Normal2,Normal3,Normal4,Normal5,Normal6,Normal7,Bullet List,FooterText,b1"/>
    <w:basedOn w:val="Normal"/>
    <w:link w:val="ListParagraphChar"/>
    <w:qFormat/>
    <w:rsid w:val="00B633C6"/>
    <w:pPr>
      <w:ind w:left="720"/>
      <w:contextualSpacing/>
    </w:pPr>
  </w:style>
  <w:style w:type="character" w:customStyle="1" w:styleId="ListParagraphChar">
    <w:name w:val="List Paragraph Char"/>
    <w:aliases w:val="Paragraph Char,MCHIP_list paragraph Char,Recommendation Char,SUN numbered para. Char,Premier Char,Paragraphe de liste1 Char,List Paragraph (numbered (a)) Char,References Char,normal Char,List Paragraph1 Char,Normal2 Char,Normal3 Char"/>
    <w:basedOn w:val="DefaultParagraphFont"/>
    <w:link w:val="ListParagraph"/>
    <w:uiPriority w:val="34"/>
    <w:qFormat/>
    <w:locked/>
    <w:rsid w:val="00787AF3"/>
    <w:rPr>
      <w:rFonts w:ascii="Open Sans" w:hAnsi="Open Sans"/>
      <w:sz w:val="20"/>
      <w:lang w:val="en-GB"/>
    </w:rPr>
  </w:style>
  <w:style w:type="paragraph" w:customStyle="1" w:styleId="NormalNumbered">
    <w:name w:val="Normal Numbered"/>
    <w:basedOn w:val="Normal"/>
    <w:link w:val="NormalNumberedChar"/>
    <w:qFormat/>
    <w:rsid w:val="00B45A33"/>
    <w:pPr>
      <w:spacing w:line="240" w:lineRule="auto"/>
      <w:jc w:val="both"/>
    </w:pPr>
    <w:rPr>
      <w:rFonts w:eastAsia="Times New Roman" w:cs="Times New Roman"/>
      <w:sz w:val="18"/>
      <w:szCs w:val="20"/>
      <w:lang w:eastAsia="en-GB"/>
    </w:rPr>
  </w:style>
  <w:style w:type="character" w:customStyle="1" w:styleId="NormalNumberedChar">
    <w:name w:val="Normal Numbered Char"/>
    <w:basedOn w:val="DefaultParagraphFont"/>
    <w:link w:val="NormalNumbered"/>
    <w:rsid w:val="00B45A33"/>
    <w:rPr>
      <w:rFonts w:ascii="Open Sans" w:eastAsia="Times New Roman" w:hAnsi="Open Sans" w:cs="Times New Roman"/>
      <w:sz w:val="18"/>
      <w:szCs w:val="20"/>
      <w:lang w:val="en-GB" w:eastAsia="en-GB"/>
    </w:rPr>
  </w:style>
  <w:style w:type="paragraph" w:styleId="CommentText">
    <w:name w:val="annotation text"/>
    <w:basedOn w:val="Normal"/>
    <w:link w:val="CommentTextChar"/>
    <w:uiPriority w:val="99"/>
    <w:unhideWhenUsed/>
    <w:rsid w:val="00E459AD"/>
    <w:pPr>
      <w:spacing w:line="240" w:lineRule="auto"/>
    </w:pPr>
    <w:rPr>
      <w:szCs w:val="20"/>
    </w:rPr>
  </w:style>
  <w:style w:type="character" w:customStyle="1" w:styleId="CommentTextChar">
    <w:name w:val="Comment Text Char"/>
    <w:basedOn w:val="DefaultParagraphFont"/>
    <w:link w:val="CommentText"/>
    <w:uiPriority w:val="99"/>
    <w:rsid w:val="00E459AD"/>
    <w:rPr>
      <w:rFonts w:ascii="Open Sans" w:hAnsi="Open Sans"/>
      <w:sz w:val="20"/>
      <w:szCs w:val="20"/>
      <w:lang w:val="en-GB"/>
    </w:rPr>
  </w:style>
  <w:style w:type="paragraph" w:styleId="CommentSubject">
    <w:name w:val="annotation subject"/>
    <w:basedOn w:val="CommentText"/>
    <w:next w:val="CommentText"/>
    <w:link w:val="CommentSubjectChar"/>
    <w:uiPriority w:val="99"/>
    <w:semiHidden/>
    <w:unhideWhenUsed/>
    <w:rsid w:val="00E459AD"/>
    <w:pPr>
      <w:spacing w:before="0" w:after="200"/>
    </w:pPr>
    <w:rPr>
      <w:rFonts w:ascii="Calibri" w:eastAsia="Times New Roman" w:hAnsi="Calibri" w:cs="Times New Roman"/>
      <w:b/>
      <w:bCs/>
    </w:rPr>
  </w:style>
  <w:style w:type="character" w:customStyle="1" w:styleId="CommentSubjectChar">
    <w:name w:val="Comment Subject Char"/>
    <w:basedOn w:val="CommentTextChar"/>
    <w:link w:val="CommentSubject"/>
    <w:uiPriority w:val="99"/>
    <w:semiHidden/>
    <w:rsid w:val="00E459AD"/>
    <w:rPr>
      <w:rFonts w:ascii="Calibri" w:eastAsia="Times New Roman" w:hAnsi="Calibri" w:cs="Times New Roman"/>
      <w:b/>
      <w:bCs/>
      <w:sz w:val="20"/>
      <w:szCs w:val="20"/>
      <w:lang w:val="en-GB"/>
    </w:rPr>
  </w:style>
  <w:style w:type="character" w:customStyle="1" w:styleId="NormalNumberedCarattere">
    <w:name w:val="Normal Numbered Carattere"/>
    <w:basedOn w:val="DefaultParagraphFont"/>
    <w:rsid w:val="00B45A33"/>
    <w:rPr>
      <w:rFonts w:ascii="Arial" w:eastAsia="Times New Roman" w:hAnsi="Arial" w:cs="Times New Roman"/>
      <w:szCs w:val="20"/>
      <w:lang w:eastAsia="en-GB"/>
    </w:rPr>
  </w:style>
  <w:style w:type="character" w:customStyle="1" w:styleId="StyleArialNarrow">
    <w:name w:val="Style Arial Narrow"/>
    <w:rsid w:val="00003403"/>
    <w:rPr>
      <w:rFonts w:ascii="Arial Narrow" w:hAnsi="Arial Narrow" w:cs="Times New Roman"/>
    </w:rPr>
  </w:style>
  <w:style w:type="paragraph" w:styleId="TableofFigures">
    <w:name w:val="table of figures"/>
    <w:basedOn w:val="Normal"/>
    <w:next w:val="Normal"/>
    <w:uiPriority w:val="99"/>
    <w:unhideWhenUsed/>
    <w:rsid w:val="00A9008F"/>
    <w:pPr>
      <w:spacing w:after="0"/>
    </w:pPr>
  </w:style>
  <w:style w:type="paragraph" w:styleId="BalloonText">
    <w:name w:val="Balloon Text"/>
    <w:basedOn w:val="Normal"/>
    <w:link w:val="BalloonTextChar"/>
    <w:uiPriority w:val="99"/>
    <w:semiHidden/>
    <w:unhideWhenUsed/>
    <w:rsid w:val="005C22C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22CC"/>
    <w:rPr>
      <w:rFonts w:ascii="Segoe UI" w:hAnsi="Segoe UI" w:cs="Segoe UI"/>
      <w:sz w:val="18"/>
      <w:szCs w:val="18"/>
      <w:lang w:val="en-GB"/>
    </w:rPr>
  </w:style>
  <w:style w:type="character" w:styleId="CommentReference">
    <w:name w:val="annotation reference"/>
    <w:basedOn w:val="DefaultParagraphFont"/>
    <w:uiPriority w:val="99"/>
    <w:semiHidden/>
    <w:unhideWhenUsed/>
    <w:rsid w:val="005C22CC"/>
    <w:rPr>
      <w:sz w:val="16"/>
      <w:szCs w:val="16"/>
    </w:rPr>
  </w:style>
  <w:style w:type="paragraph" w:styleId="Revision">
    <w:name w:val="Revision"/>
    <w:hidden/>
    <w:uiPriority w:val="99"/>
    <w:semiHidden/>
    <w:rsid w:val="00543B80"/>
    <w:pPr>
      <w:spacing w:after="0" w:line="240" w:lineRule="auto"/>
    </w:pPr>
    <w:rPr>
      <w:rFonts w:ascii="Open Sans" w:hAnsi="Open Sans"/>
      <w:sz w:val="20"/>
      <w:lang w:val="en-GB"/>
    </w:rPr>
  </w:style>
  <w:style w:type="paragraph" w:customStyle="1" w:styleId="Bullets">
    <w:name w:val="Bullets"/>
    <w:basedOn w:val="ListParagraph"/>
    <w:qFormat/>
    <w:rsid w:val="009404A4"/>
    <w:pPr>
      <w:numPr>
        <w:numId w:val="1"/>
      </w:numPr>
      <w:tabs>
        <w:tab w:val="num" w:pos="360"/>
      </w:tabs>
      <w:spacing w:before="0" w:line="240" w:lineRule="auto"/>
      <w:contextualSpacing w:val="0"/>
      <w:jc w:val="both"/>
    </w:pPr>
    <w:rPr>
      <w:rFonts w:eastAsia="Batang" w:cstheme="majorBidi"/>
    </w:rPr>
  </w:style>
  <w:style w:type="paragraph" w:customStyle="1" w:styleId="OEVtext">
    <w:name w:val="OEV text"/>
    <w:basedOn w:val="Normal"/>
    <w:autoRedefine/>
    <w:qFormat/>
    <w:rsid w:val="002F4936"/>
    <w:pPr>
      <w:numPr>
        <w:numId w:val="3"/>
      </w:numPr>
      <w:spacing w:line="240" w:lineRule="auto"/>
    </w:pPr>
    <w:rPr>
      <w:rFonts w:eastAsia="Times New Roman" w:cs="Open Sans"/>
      <w:bCs/>
      <w:color w:val="000000"/>
      <w:kern w:val="28"/>
      <w:szCs w:val="18"/>
      <w:lang w:val="en-US" w:eastAsia="en-GB"/>
      <w14:cntxtAlts/>
    </w:rPr>
  </w:style>
  <w:style w:type="paragraph" w:customStyle="1" w:styleId="BVIfnrCharCharChar1CharCharCharCharCharCharChar1CharCharChar1Char">
    <w:name w:val="BVI fnr (文字) (文字) Char (文字) Char Char1 Char Char Char Char Char Char Char1 Char Char Char1 Char"/>
    <w:aliases w:val="BVI fnr (文字) (文字) Char (文字) Char Char1 Char Char Char Char Char Char Char1 Char Char Char Char Char Char1 Char Char"/>
    <w:basedOn w:val="Normal"/>
    <w:link w:val="FootnoteReference"/>
    <w:uiPriority w:val="99"/>
    <w:rsid w:val="009325FF"/>
    <w:pPr>
      <w:spacing w:before="0" w:after="160" w:line="240" w:lineRule="exact"/>
    </w:pPr>
    <w:rPr>
      <w:vertAlign w:val="superscript"/>
      <w:lang w:val="en-US"/>
    </w:rPr>
  </w:style>
  <w:style w:type="character" w:customStyle="1" w:styleId="apple-converted-space">
    <w:name w:val="apple-converted-space"/>
    <w:basedOn w:val="DefaultParagraphFont"/>
    <w:rsid w:val="003448EE"/>
  </w:style>
  <w:style w:type="character" w:styleId="Emphasis">
    <w:name w:val="Emphasis"/>
    <w:basedOn w:val="DefaultParagraphFont"/>
    <w:uiPriority w:val="20"/>
    <w:qFormat/>
    <w:rsid w:val="003448EE"/>
    <w:rPr>
      <w:i/>
      <w:iCs/>
    </w:rPr>
  </w:style>
  <w:style w:type="character" w:styleId="Strong">
    <w:name w:val="Strong"/>
    <w:basedOn w:val="DefaultParagraphFont"/>
    <w:uiPriority w:val="22"/>
    <w:qFormat/>
    <w:rsid w:val="003448EE"/>
    <w:rPr>
      <w:b/>
      <w:bCs/>
    </w:rPr>
  </w:style>
  <w:style w:type="character" w:customStyle="1" w:styleId="highlight">
    <w:name w:val="highlight"/>
    <w:basedOn w:val="DefaultParagraphFont"/>
    <w:rsid w:val="00B56096"/>
  </w:style>
  <w:style w:type="character" w:styleId="PageNumber">
    <w:name w:val="page number"/>
    <w:basedOn w:val="DefaultParagraphFont"/>
    <w:uiPriority w:val="99"/>
    <w:semiHidden/>
    <w:unhideWhenUsed/>
    <w:rsid w:val="001A49C1"/>
  </w:style>
  <w:style w:type="character" w:customStyle="1" w:styleId="UnresolvedMention1">
    <w:name w:val="Unresolved Mention1"/>
    <w:basedOn w:val="DefaultParagraphFont"/>
    <w:uiPriority w:val="99"/>
    <w:semiHidden/>
    <w:unhideWhenUsed/>
    <w:rsid w:val="007B07A1"/>
    <w:rPr>
      <w:color w:val="605E5C"/>
      <w:shd w:val="clear" w:color="auto" w:fill="E1DFDD"/>
    </w:rPr>
  </w:style>
  <w:style w:type="character" w:styleId="FollowedHyperlink">
    <w:name w:val="FollowedHyperlink"/>
    <w:basedOn w:val="DefaultParagraphFont"/>
    <w:uiPriority w:val="99"/>
    <w:semiHidden/>
    <w:unhideWhenUsed/>
    <w:rsid w:val="002F4936"/>
    <w:rPr>
      <w:color w:val="954F72" w:themeColor="followedHyperlink"/>
      <w:u w:val="single"/>
    </w:rPr>
  </w:style>
  <w:style w:type="character" w:customStyle="1" w:styleId="markedcontent">
    <w:name w:val="markedcontent"/>
    <w:basedOn w:val="DefaultParagraphFont"/>
    <w:rsid w:val="00262F41"/>
  </w:style>
  <w:style w:type="paragraph" w:customStyle="1" w:styleId="Default">
    <w:name w:val="Default"/>
    <w:rsid w:val="008A04A9"/>
    <w:pPr>
      <w:autoSpaceDE w:val="0"/>
      <w:autoSpaceDN w:val="0"/>
      <w:adjustRightInd w:val="0"/>
      <w:spacing w:after="0" w:line="240" w:lineRule="auto"/>
    </w:pPr>
    <w:rPr>
      <w:rFonts w:ascii="Calibri" w:hAnsi="Calibri" w:cs="Calibri"/>
      <w:color w:val="000000"/>
      <w:sz w:val="24"/>
      <w:szCs w:val="24"/>
      <w:lang w:val="fr-FR"/>
    </w:rPr>
  </w:style>
  <w:style w:type="character" w:styleId="UnresolvedMention">
    <w:name w:val="Unresolved Mention"/>
    <w:basedOn w:val="DefaultParagraphFont"/>
    <w:uiPriority w:val="99"/>
    <w:rsid w:val="00753498"/>
    <w:rPr>
      <w:color w:val="605E5C"/>
      <w:shd w:val="clear" w:color="auto" w:fill="E1DFDD"/>
    </w:rPr>
  </w:style>
  <w:style w:type="table" w:customStyle="1" w:styleId="Grilledutableau1">
    <w:name w:val="Grille du tableau1"/>
    <w:basedOn w:val="TableNormal"/>
    <w:next w:val="TableGrid"/>
    <w:uiPriority w:val="59"/>
    <w:rsid w:val="003269A4"/>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9C56E8"/>
    <w:pPr>
      <w:spacing w:before="0"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9C56E8"/>
    <w:rPr>
      <w:rFonts w:ascii="Consolas" w:hAnsi="Consolas"/>
      <w:sz w:val="20"/>
      <w:szCs w:val="20"/>
      <w:lang w:val="fr-FR"/>
    </w:rPr>
  </w:style>
  <w:style w:type="character" w:customStyle="1" w:styleId="Heading4Char">
    <w:name w:val="Heading 4 Char"/>
    <w:basedOn w:val="DefaultParagraphFont"/>
    <w:link w:val="Heading4"/>
    <w:uiPriority w:val="9"/>
    <w:rsid w:val="00713975"/>
    <w:rPr>
      <w:rFonts w:cs="Times New Roman"/>
      <w:caps/>
      <w:spacing w:val="14"/>
      <w:kern w:val="24"/>
      <w:lang w:val="fr-FR" w:eastAsia="fr-FR"/>
      <w14:ligatures w14:val="standardContextual"/>
    </w:rPr>
  </w:style>
  <w:style w:type="character" w:customStyle="1" w:styleId="Heading5Char">
    <w:name w:val="Heading 5 Char"/>
    <w:basedOn w:val="DefaultParagraphFont"/>
    <w:link w:val="Heading5"/>
    <w:uiPriority w:val="9"/>
    <w:semiHidden/>
    <w:rsid w:val="00713975"/>
    <w:rPr>
      <w:rFonts w:cs="Times New Roman"/>
      <w:b/>
      <w:color w:val="44546A" w:themeColor="text2"/>
      <w:spacing w:val="10"/>
      <w:kern w:val="24"/>
      <w:sz w:val="24"/>
      <w:szCs w:val="26"/>
      <w:lang w:val="fr-FR" w:eastAsia="fr-FR"/>
      <w14:ligatures w14:val="standardContextual"/>
    </w:rPr>
  </w:style>
  <w:style w:type="character" w:customStyle="1" w:styleId="Heading6Char">
    <w:name w:val="Heading 6 Char"/>
    <w:basedOn w:val="DefaultParagraphFont"/>
    <w:link w:val="Heading6"/>
    <w:rsid w:val="00713975"/>
    <w:rPr>
      <w:rFonts w:cs="Times New Roman"/>
      <w:b/>
      <w:color w:val="ED7D31" w:themeColor="accent2"/>
      <w:spacing w:val="10"/>
      <w:kern w:val="24"/>
      <w:sz w:val="24"/>
      <w:lang w:val="fr-FR" w:eastAsia="fr-FR"/>
      <w14:ligatures w14:val="standardContextual"/>
    </w:rPr>
  </w:style>
  <w:style w:type="character" w:customStyle="1" w:styleId="Heading7Char">
    <w:name w:val="Heading 7 Char"/>
    <w:basedOn w:val="DefaultParagraphFont"/>
    <w:link w:val="Heading7"/>
    <w:rsid w:val="00713975"/>
    <w:rPr>
      <w:rFonts w:cs="Times New Roman"/>
      <w:smallCaps/>
      <w:color w:val="000000" w:themeColor="text1"/>
      <w:spacing w:val="10"/>
      <w:kern w:val="24"/>
      <w:sz w:val="24"/>
      <w:lang w:val="fr-FR" w:eastAsia="fr-FR"/>
      <w14:ligatures w14:val="standardContextual"/>
    </w:rPr>
  </w:style>
  <w:style w:type="character" w:customStyle="1" w:styleId="Heading8Char">
    <w:name w:val="Heading 8 Char"/>
    <w:basedOn w:val="DefaultParagraphFont"/>
    <w:link w:val="Heading8"/>
    <w:rsid w:val="00713975"/>
    <w:rPr>
      <w:rFonts w:cs="Times New Roman"/>
      <w:b/>
      <w:i/>
      <w:color w:val="5B9BD5" w:themeColor="accent1"/>
      <w:spacing w:val="10"/>
      <w:kern w:val="24"/>
      <w:sz w:val="24"/>
      <w:lang w:val="fr-FR" w:eastAsia="fr-FR"/>
      <w14:ligatures w14:val="standardContextual"/>
    </w:rPr>
  </w:style>
  <w:style w:type="character" w:customStyle="1" w:styleId="Heading9Char">
    <w:name w:val="Heading 9 Char"/>
    <w:basedOn w:val="DefaultParagraphFont"/>
    <w:link w:val="Heading9"/>
    <w:rsid w:val="00713975"/>
    <w:rPr>
      <w:rFonts w:cs="Times New Roman"/>
      <w:b/>
      <w:caps/>
      <w:color w:val="A5A5A5" w:themeColor="accent3"/>
      <w:spacing w:val="40"/>
      <w:kern w:val="24"/>
      <w:sz w:val="20"/>
      <w:lang w:val="fr-FR" w:eastAsia="fr-FR"/>
      <w14:ligatures w14:val="standardContextual"/>
    </w:rPr>
  </w:style>
  <w:style w:type="paragraph" w:styleId="IntenseQuote">
    <w:name w:val="Intense Quote"/>
    <w:basedOn w:val="Normal"/>
    <w:link w:val="IntenseQuoteChar"/>
    <w:uiPriority w:val="30"/>
    <w:qFormat/>
    <w:rsid w:val="00713975"/>
    <w:pPr>
      <w:pBdr>
        <w:top w:val="double" w:sz="12" w:space="10" w:color="ED7D31" w:themeColor="accent2"/>
        <w:left w:val="double" w:sz="12" w:space="10" w:color="ED7D31" w:themeColor="accent2"/>
        <w:bottom w:val="double" w:sz="12" w:space="10" w:color="ED7D31" w:themeColor="accent2"/>
        <w:right w:val="double" w:sz="12" w:space="10" w:color="ED7D31" w:themeColor="accent2"/>
      </w:pBdr>
      <w:shd w:val="clear" w:color="auto" w:fill="FFFFFF" w:themeFill="background1"/>
      <w:spacing w:before="300" w:after="300" w:line="264" w:lineRule="auto"/>
      <w:ind w:left="720" w:right="720"/>
      <w:contextualSpacing/>
      <w:jc w:val="both"/>
    </w:pPr>
    <w:rPr>
      <w:rFonts w:asciiTheme="minorHAnsi" w:hAnsiTheme="minorHAnsi" w:cs="Times New Roman"/>
      <w:b/>
      <w:color w:val="ED7D31" w:themeColor="accent2"/>
      <w:kern w:val="24"/>
      <w:sz w:val="24"/>
      <w:lang w:eastAsia="fr-FR"/>
      <w14:ligatures w14:val="standardContextual"/>
    </w:rPr>
  </w:style>
  <w:style w:type="character" w:customStyle="1" w:styleId="IntenseQuoteChar">
    <w:name w:val="Intense Quote Char"/>
    <w:basedOn w:val="DefaultParagraphFont"/>
    <w:link w:val="IntenseQuote"/>
    <w:uiPriority w:val="30"/>
    <w:rsid w:val="00713975"/>
    <w:rPr>
      <w:rFonts w:cs="Times New Roman"/>
      <w:b/>
      <w:color w:val="ED7D31" w:themeColor="accent2"/>
      <w:kern w:val="24"/>
      <w:sz w:val="24"/>
      <w:shd w:val="clear" w:color="auto" w:fill="FFFFFF" w:themeFill="background1"/>
      <w:lang w:val="fr-FR" w:eastAsia="fr-FR"/>
      <w14:ligatures w14:val="standardContextual"/>
    </w:rPr>
  </w:style>
  <w:style w:type="character" w:styleId="BookTitle">
    <w:name w:val="Book Title"/>
    <w:basedOn w:val="DefaultParagraphFont"/>
    <w:uiPriority w:val="33"/>
    <w:qFormat/>
    <w:rsid w:val="00713975"/>
    <w:rPr>
      <w:rFonts w:asciiTheme="minorHAnsi" w:hAnsiTheme="minorHAnsi" w:cs="Times New Roman"/>
      <w:i/>
      <w:color w:val="44546A" w:themeColor="text2"/>
      <w:sz w:val="23"/>
      <w:szCs w:val="23"/>
    </w:rPr>
  </w:style>
  <w:style w:type="character" w:styleId="IntenseEmphasis">
    <w:name w:val="Intense Emphasis"/>
    <w:basedOn w:val="DefaultParagraphFont"/>
    <w:uiPriority w:val="21"/>
    <w:qFormat/>
    <w:rsid w:val="00713975"/>
    <w:rPr>
      <w:rFonts w:asciiTheme="minorHAnsi" w:hAnsiTheme="minorHAnsi"/>
      <w:b/>
      <w:dstrike w:val="0"/>
      <w:color w:val="ED7D31" w:themeColor="accent2"/>
      <w:spacing w:val="10"/>
      <w:w w:val="100"/>
      <w:kern w:val="0"/>
      <w:position w:val="0"/>
      <w:sz w:val="23"/>
      <w:vertAlign w:val="baseline"/>
    </w:rPr>
  </w:style>
  <w:style w:type="character" w:styleId="IntenseReference">
    <w:name w:val="Intense Reference"/>
    <w:basedOn w:val="DefaultParagraphFont"/>
    <w:uiPriority w:val="32"/>
    <w:qFormat/>
    <w:rsid w:val="00713975"/>
    <w:rPr>
      <w:rFonts w:asciiTheme="minorHAnsi" w:hAnsiTheme="minorHAnsi"/>
      <w:b/>
      <w:caps/>
      <w:color w:val="5B9BD5" w:themeColor="accent1"/>
      <w:spacing w:val="10"/>
      <w:w w:val="100"/>
      <w:position w:val="0"/>
      <w:sz w:val="20"/>
      <w:szCs w:val="20"/>
      <w:u w:val="single" w:color="5B9BD5" w:themeColor="accent1"/>
      <w:bdr w:val="none" w:sz="0" w:space="0" w:color="auto"/>
    </w:rPr>
  </w:style>
  <w:style w:type="paragraph" w:styleId="List">
    <w:name w:val="List"/>
    <w:basedOn w:val="Normal"/>
    <w:uiPriority w:val="99"/>
    <w:semiHidden/>
    <w:unhideWhenUsed/>
    <w:rsid w:val="00713975"/>
    <w:pPr>
      <w:spacing w:before="0" w:after="0" w:line="264" w:lineRule="auto"/>
      <w:ind w:left="360" w:hanging="360"/>
      <w:jc w:val="both"/>
    </w:pPr>
    <w:rPr>
      <w:rFonts w:asciiTheme="minorHAnsi" w:hAnsiTheme="minorHAnsi" w:cs="Times New Roman"/>
      <w:kern w:val="24"/>
      <w:sz w:val="24"/>
      <w:lang w:eastAsia="fr-FR"/>
      <w14:ligatures w14:val="standardContextual"/>
    </w:rPr>
  </w:style>
  <w:style w:type="paragraph" w:styleId="List2">
    <w:name w:val="List 2"/>
    <w:basedOn w:val="Normal"/>
    <w:uiPriority w:val="99"/>
    <w:semiHidden/>
    <w:unhideWhenUsed/>
    <w:rsid w:val="00713975"/>
    <w:pPr>
      <w:spacing w:before="0" w:after="0" w:line="264" w:lineRule="auto"/>
      <w:ind w:left="720" w:hanging="360"/>
      <w:jc w:val="both"/>
    </w:pPr>
    <w:rPr>
      <w:rFonts w:asciiTheme="minorHAnsi" w:hAnsiTheme="minorHAnsi" w:cs="Times New Roman"/>
      <w:kern w:val="24"/>
      <w:sz w:val="24"/>
      <w:lang w:eastAsia="fr-FR"/>
      <w14:ligatures w14:val="standardContextual"/>
    </w:rPr>
  </w:style>
  <w:style w:type="paragraph" w:styleId="ListBullet">
    <w:name w:val="List Bullet"/>
    <w:basedOn w:val="Normal"/>
    <w:uiPriority w:val="36"/>
    <w:unhideWhenUsed/>
    <w:qFormat/>
    <w:rsid w:val="00713975"/>
    <w:pPr>
      <w:numPr>
        <w:numId w:val="19"/>
      </w:numPr>
      <w:spacing w:before="0" w:after="0" w:line="264" w:lineRule="auto"/>
      <w:ind w:left="0" w:firstLine="0"/>
      <w:jc w:val="both"/>
    </w:pPr>
    <w:rPr>
      <w:rFonts w:asciiTheme="minorHAnsi" w:hAnsiTheme="minorHAnsi" w:cs="Times New Roman"/>
      <w:kern w:val="24"/>
      <w:sz w:val="24"/>
      <w:lang w:eastAsia="fr-FR"/>
      <w14:ligatures w14:val="standardContextual"/>
    </w:rPr>
  </w:style>
  <w:style w:type="paragraph" w:styleId="ListBullet2">
    <w:name w:val="List Bullet 2"/>
    <w:basedOn w:val="Normal"/>
    <w:uiPriority w:val="36"/>
    <w:unhideWhenUsed/>
    <w:qFormat/>
    <w:rsid w:val="00713975"/>
    <w:pPr>
      <w:numPr>
        <w:numId w:val="20"/>
      </w:numPr>
      <w:spacing w:before="0" w:after="0" w:line="264" w:lineRule="auto"/>
      <w:ind w:left="0" w:firstLine="0"/>
      <w:jc w:val="both"/>
    </w:pPr>
    <w:rPr>
      <w:rFonts w:asciiTheme="minorHAnsi" w:hAnsiTheme="minorHAnsi" w:cs="Times New Roman"/>
      <w:color w:val="5B9BD5" w:themeColor="accent1"/>
      <w:kern w:val="24"/>
      <w:sz w:val="24"/>
      <w:lang w:eastAsia="fr-FR"/>
      <w14:ligatures w14:val="standardContextual"/>
    </w:rPr>
  </w:style>
  <w:style w:type="paragraph" w:styleId="ListBullet3">
    <w:name w:val="List Bullet 3"/>
    <w:basedOn w:val="Normal"/>
    <w:uiPriority w:val="36"/>
    <w:unhideWhenUsed/>
    <w:qFormat/>
    <w:rsid w:val="00713975"/>
    <w:pPr>
      <w:numPr>
        <w:numId w:val="21"/>
      </w:numPr>
      <w:spacing w:before="0" w:after="0" w:line="264" w:lineRule="auto"/>
      <w:ind w:left="0" w:firstLine="0"/>
      <w:jc w:val="both"/>
    </w:pPr>
    <w:rPr>
      <w:rFonts w:asciiTheme="minorHAnsi" w:hAnsiTheme="minorHAnsi" w:cs="Times New Roman"/>
      <w:color w:val="ED7D31" w:themeColor="accent2"/>
      <w:kern w:val="24"/>
      <w:sz w:val="24"/>
      <w:lang w:eastAsia="fr-FR"/>
      <w14:ligatures w14:val="standardContextual"/>
    </w:rPr>
  </w:style>
  <w:style w:type="paragraph" w:styleId="ListBullet4">
    <w:name w:val="List Bullet 4"/>
    <w:basedOn w:val="Normal"/>
    <w:uiPriority w:val="36"/>
    <w:unhideWhenUsed/>
    <w:qFormat/>
    <w:rsid w:val="00713975"/>
    <w:pPr>
      <w:numPr>
        <w:numId w:val="22"/>
      </w:numPr>
      <w:spacing w:before="0" w:after="0" w:line="264" w:lineRule="auto"/>
      <w:ind w:left="0" w:firstLine="0"/>
      <w:jc w:val="both"/>
    </w:pPr>
    <w:rPr>
      <w:rFonts w:asciiTheme="minorHAnsi" w:hAnsiTheme="minorHAnsi" w:cs="Times New Roman"/>
      <w:caps/>
      <w:spacing w:val="4"/>
      <w:kern w:val="24"/>
      <w:sz w:val="24"/>
      <w:lang w:eastAsia="fr-FR"/>
      <w14:ligatures w14:val="standardContextual"/>
    </w:rPr>
  </w:style>
  <w:style w:type="paragraph" w:styleId="ListBullet5">
    <w:name w:val="List Bullet 5"/>
    <w:basedOn w:val="Normal"/>
    <w:uiPriority w:val="36"/>
    <w:unhideWhenUsed/>
    <w:qFormat/>
    <w:rsid w:val="00713975"/>
    <w:pPr>
      <w:numPr>
        <w:numId w:val="23"/>
      </w:numPr>
      <w:spacing w:before="0" w:after="0" w:line="264" w:lineRule="auto"/>
      <w:ind w:left="0" w:firstLine="0"/>
      <w:jc w:val="both"/>
    </w:pPr>
    <w:rPr>
      <w:rFonts w:asciiTheme="minorHAnsi" w:hAnsiTheme="minorHAnsi" w:cs="Times New Roman"/>
      <w:kern w:val="24"/>
      <w:sz w:val="24"/>
      <w:lang w:eastAsia="fr-FR"/>
      <w14:ligatures w14:val="standardContextual"/>
    </w:rPr>
  </w:style>
  <w:style w:type="numbering" w:customStyle="1" w:styleId="Styledelistecentral">
    <w:name w:val="Style de liste central"/>
    <w:uiPriority w:val="99"/>
    <w:rsid w:val="00713975"/>
    <w:pPr>
      <w:numPr>
        <w:numId w:val="18"/>
      </w:numPr>
    </w:pPr>
  </w:style>
  <w:style w:type="character" w:styleId="PlaceholderText">
    <w:name w:val="Placeholder Text"/>
    <w:basedOn w:val="DefaultParagraphFont"/>
    <w:uiPriority w:val="99"/>
    <w:unhideWhenUsed/>
    <w:rsid w:val="00713975"/>
    <w:rPr>
      <w:color w:val="808080"/>
    </w:rPr>
  </w:style>
  <w:style w:type="paragraph" w:styleId="Quote">
    <w:name w:val="Quote"/>
    <w:basedOn w:val="Normal"/>
    <w:link w:val="QuoteChar"/>
    <w:uiPriority w:val="29"/>
    <w:qFormat/>
    <w:rsid w:val="00713975"/>
    <w:pPr>
      <w:spacing w:before="0" w:after="0" w:line="264" w:lineRule="auto"/>
      <w:jc w:val="both"/>
    </w:pPr>
    <w:rPr>
      <w:rFonts w:asciiTheme="minorHAnsi" w:hAnsiTheme="minorHAnsi" w:cs="Times New Roman"/>
      <w:i/>
      <w:smallCaps/>
      <w:color w:val="44546A" w:themeColor="text2"/>
      <w:spacing w:val="6"/>
      <w:kern w:val="24"/>
      <w:sz w:val="24"/>
      <w:lang w:eastAsia="fr-FR"/>
      <w14:ligatures w14:val="standardContextual"/>
    </w:rPr>
  </w:style>
  <w:style w:type="character" w:customStyle="1" w:styleId="QuoteChar">
    <w:name w:val="Quote Char"/>
    <w:basedOn w:val="DefaultParagraphFont"/>
    <w:link w:val="Quote"/>
    <w:uiPriority w:val="29"/>
    <w:rsid w:val="00713975"/>
    <w:rPr>
      <w:rFonts w:cs="Times New Roman"/>
      <w:i/>
      <w:smallCaps/>
      <w:color w:val="44546A" w:themeColor="text2"/>
      <w:spacing w:val="6"/>
      <w:kern w:val="24"/>
      <w:sz w:val="24"/>
      <w:lang w:val="fr-FR" w:eastAsia="fr-FR"/>
      <w14:ligatures w14:val="standardContextual"/>
    </w:rPr>
  </w:style>
  <w:style w:type="character" w:styleId="SubtleEmphasis">
    <w:name w:val="Subtle Emphasis"/>
    <w:basedOn w:val="DefaultParagraphFont"/>
    <w:uiPriority w:val="19"/>
    <w:qFormat/>
    <w:rsid w:val="00713975"/>
    <w:rPr>
      <w:rFonts w:asciiTheme="minorHAnsi" w:hAnsiTheme="minorHAnsi"/>
      <w:i/>
      <w:sz w:val="23"/>
    </w:rPr>
  </w:style>
  <w:style w:type="character" w:styleId="SubtleReference">
    <w:name w:val="Subtle Reference"/>
    <w:basedOn w:val="DefaultParagraphFont"/>
    <w:uiPriority w:val="31"/>
    <w:qFormat/>
    <w:rsid w:val="00713975"/>
    <w:rPr>
      <w:rFonts w:asciiTheme="minorHAnsi" w:hAnsiTheme="minorHAnsi"/>
      <w:b/>
      <w:i/>
      <w:color w:val="44546A" w:themeColor="text2"/>
      <w:sz w:val="23"/>
    </w:rPr>
  </w:style>
  <w:style w:type="paragraph" w:styleId="TableofAuthorities">
    <w:name w:val="table of authorities"/>
    <w:basedOn w:val="Normal"/>
    <w:next w:val="Normal"/>
    <w:uiPriority w:val="99"/>
    <w:semiHidden/>
    <w:unhideWhenUsed/>
    <w:rsid w:val="00713975"/>
    <w:pPr>
      <w:spacing w:before="0" w:after="0" w:line="264" w:lineRule="auto"/>
      <w:ind w:left="220" w:hanging="220"/>
      <w:jc w:val="both"/>
    </w:pPr>
    <w:rPr>
      <w:rFonts w:asciiTheme="minorHAnsi" w:hAnsiTheme="minorHAnsi" w:cs="Times New Roman"/>
      <w:kern w:val="24"/>
      <w:sz w:val="24"/>
      <w:lang w:eastAsia="fr-FR"/>
      <w14:ligatures w14:val="standardContextual"/>
    </w:rPr>
  </w:style>
  <w:style w:type="paragraph" w:styleId="TOC4">
    <w:name w:val="toc 4"/>
    <w:basedOn w:val="Normal"/>
    <w:next w:val="Normal"/>
    <w:autoRedefine/>
    <w:uiPriority w:val="99"/>
    <w:semiHidden/>
    <w:unhideWhenUsed/>
    <w:qFormat/>
    <w:rsid w:val="00713975"/>
    <w:pPr>
      <w:tabs>
        <w:tab w:val="right" w:leader="dot" w:pos="8630"/>
      </w:tabs>
      <w:spacing w:before="0" w:after="40" w:line="240" w:lineRule="auto"/>
      <w:ind w:left="432"/>
      <w:jc w:val="both"/>
    </w:pPr>
    <w:rPr>
      <w:rFonts w:asciiTheme="minorHAnsi" w:hAnsiTheme="minorHAnsi" w:cs="Times New Roman"/>
      <w:kern w:val="24"/>
      <w:sz w:val="24"/>
      <w:lang w:eastAsia="fr-FR"/>
      <w14:ligatures w14:val="standardContextual"/>
    </w:rPr>
  </w:style>
  <w:style w:type="paragraph" w:styleId="TOC5">
    <w:name w:val="toc 5"/>
    <w:basedOn w:val="Normal"/>
    <w:next w:val="Normal"/>
    <w:autoRedefine/>
    <w:uiPriority w:val="99"/>
    <w:semiHidden/>
    <w:unhideWhenUsed/>
    <w:qFormat/>
    <w:rsid w:val="00713975"/>
    <w:pPr>
      <w:tabs>
        <w:tab w:val="right" w:leader="dot" w:pos="8630"/>
      </w:tabs>
      <w:spacing w:before="0" w:after="40" w:line="240" w:lineRule="auto"/>
      <w:ind w:left="576"/>
      <w:jc w:val="both"/>
    </w:pPr>
    <w:rPr>
      <w:rFonts w:asciiTheme="minorHAnsi" w:hAnsiTheme="minorHAnsi" w:cs="Times New Roman"/>
      <w:kern w:val="24"/>
      <w:sz w:val="24"/>
      <w:lang w:eastAsia="fr-FR"/>
      <w14:ligatures w14:val="standardContextual"/>
    </w:rPr>
  </w:style>
  <w:style w:type="paragraph" w:styleId="TOC6">
    <w:name w:val="toc 6"/>
    <w:basedOn w:val="Normal"/>
    <w:next w:val="Normal"/>
    <w:autoRedefine/>
    <w:uiPriority w:val="99"/>
    <w:semiHidden/>
    <w:unhideWhenUsed/>
    <w:qFormat/>
    <w:rsid w:val="00713975"/>
    <w:pPr>
      <w:tabs>
        <w:tab w:val="right" w:leader="dot" w:pos="8630"/>
      </w:tabs>
      <w:spacing w:before="0" w:after="40" w:line="240" w:lineRule="auto"/>
      <w:ind w:left="720"/>
      <w:jc w:val="both"/>
    </w:pPr>
    <w:rPr>
      <w:rFonts w:asciiTheme="minorHAnsi" w:hAnsiTheme="minorHAnsi" w:cs="Times New Roman"/>
      <w:kern w:val="24"/>
      <w:sz w:val="24"/>
      <w:lang w:eastAsia="fr-FR"/>
      <w14:ligatures w14:val="standardContextual"/>
    </w:rPr>
  </w:style>
  <w:style w:type="paragraph" w:styleId="TOC7">
    <w:name w:val="toc 7"/>
    <w:basedOn w:val="Normal"/>
    <w:next w:val="Normal"/>
    <w:autoRedefine/>
    <w:uiPriority w:val="99"/>
    <w:semiHidden/>
    <w:unhideWhenUsed/>
    <w:qFormat/>
    <w:rsid w:val="00713975"/>
    <w:pPr>
      <w:tabs>
        <w:tab w:val="right" w:leader="dot" w:pos="8630"/>
      </w:tabs>
      <w:spacing w:before="0" w:after="40" w:line="240" w:lineRule="auto"/>
      <w:ind w:left="864"/>
      <w:jc w:val="both"/>
    </w:pPr>
    <w:rPr>
      <w:rFonts w:asciiTheme="minorHAnsi" w:hAnsiTheme="minorHAnsi" w:cs="Times New Roman"/>
      <w:kern w:val="24"/>
      <w:sz w:val="24"/>
      <w:lang w:eastAsia="fr-FR"/>
      <w14:ligatures w14:val="standardContextual"/>
    </w:rPr>
  </w:style>
  <w:style w:type="paragraph" w:styleId="TOC8">
    <w:name w:val="toc 8"/>
    <w:basedOn w:val="Normal"/>
    <w:next w:val="Normal"/>
    <w:autoRedefine/>
    <w:uiPriority w:val="99"/>
    <w:semiHidden/>
    <w:unhideWhenUsed/>
    <w:qFormat/>
    <w:rsid w:val="00713975"/>
    <w:pPr>
      <w:tabs>
        <w:tab w:val="right" w:leader="dot" w:pos="8630"/>
      </w:tabs>
      <w:spacing w:before="0" w:after="40" w:line="240" w:lineRule="auto"/>
      <w:ind w:left="1008"/>
      <w:jc w:val="both"/>
    </w:pPr>
    <w:rPr>
      <w:rFonts w:asciiTheme="minorHAnsi" w:hAnsiTheme="minorHAnsi" w:cs="Times New Roman"/>
      <w:kern w:val="24"/>
      <w:sz w:val="24"/>
      <w:lang w:eastAsia="fr-FR"/>
      <w14:ligatures w14:val="standardContextual"/>
    </w:rPr>
  </w:style>
  <w:style w:type="paragraph" w:styleId="TOC9">
    <w:name w:val="toc 9"/>
    <w:basedOn w:val="Normal"/>
    <w:next w:val="Normal"/>
    <w:autoRedefine/>
    <w:uiPriority w:val="99"/>
    <w:semiHidden/>
    <w:unhideWhenUsed/>
    <w:qFormat/>
    <w:rsid w:val="00713975"/>
    <w:pPr>
      <w:tabs>
        <w:tab w:val="right" w:leader="dot" w:pos="8630"/>
      </w:tabs>
      <w:spacing w:before="0" w:after="40" w:line="240" w:lineRule="auto"/>
      <w:ind w:left="1152"/>
      <w:jc w:val="both"/>
    </w:pPr>
    <w:rPr>
      <w:rFonts w:asciiTheme="minorHAnsi" w:hAnsiTheme="minorHAnsi" w:cs="Times New Roman"/>
      <w:kern w:val="24"/>
      <w:sz w:val="24"/>
      <w:lang w:eastAsia="fr-FR"/>
      <w14:ligatures w14:val="standardContextual"/>
    </w:rPr>
  </w:style>
  <w:style w:type="paragraph" w:customStyle="1" w:styleId="Catgorie">
    <w:name w:val="Catégorie"/>
    <w:basedOn w:val="Normal"/>
    <w:uiPriority w:val="49"/>
    <w:rsid w:val="00713975"/>
    <w:pPr>
      <w:spacing w:before="0" w:after="0" w:line="264" w:lineRule="auto"/>
      <w:jc w:val="both"/>
    </w:pPr>
    <w:rPr>
      <w:rFonts w:asciiTheme="minorHAnsi" w:hAnsiTheme="minorHAnsi" w:cs="Times New Roman"/>
      <w:b/>
      <w:kern w:val="24"/>
      <w:sz w:val="24"/>
      <w:szCs w:val="24"/>
      <w:lang w:eastAsia="fr-FR"/>
      <w14:ligatures w14:val="standardContextual"/>
    </w:rPr>
  </w:style>
  <w:style w:type="paragraph" w:customStyle="1" w:styleId="Nomdelasocit">
    <w:name w:val="Nom de la société"/>
    <w:basedOn w:val="Normal"/>
    <w:uiPriority w:val="49"/>
    <w:rsid w:val="00713975"/>
    <w:pPr>
      <w:spacing w:before="0" w:after="0" w:line="264" w:lineRule="auto"/>
      <w:jc w:val="both"/>
    </w:pPr>
    <w:rPr>
      <w:rFonts w:asciiTheme="minorHAnsi" w:hAnsiTheme="minorHAnsi"/>
      <w:kern w:val="24"/>
      <w:sz w:val="36"/>
      <w:szCs w:val="36"/>
      <w:lang w:eastAsia="fr-FR"/>
      <w14:ligatures w14:val="standardContextual"/>
    </w:rPr>
  </w:style>
  <w:style w:type="paragraph" w:customStyle="1" w:styleId="Pieddepagepaire">
    <w:name w:val="Pied de page paire"/>
    <w:basedOn w:val="Normal"/>
    <w:unhideWhenUsed/>
    <w:qFormat/>
    <w:rsid w:val="00713975"/>
    <w:pPr>
      <w:pBdr>
        <w:top w:val="single" w:sz="4" w:space="1" w:color="5B9BD5" w:themeColor="accent1"/>
      </w:pBdr>
      <w:spacing w:before="0" w:after="0" w:line="264" w:lineRule="auto"/>
      <w:jc w:val="both"/>
    </w:pPr>
    <w:rPr>
      <w:rFonts w:asciiTheme="minorHAnsi" w:hAnsiTheme="minorHAnsi" w:cs="Times New Roman"/>
      <w:color w:val="44546A" w:themeColor="text2"/>
      <w:kern w:val="24"/>
      <w:lang w:eastAsia="fr-FR"/>
      <w14:ligatures w14:val="standardContextual"/>
    </w:rPr>
  </w:style>
  <w:style w:type="paragraph" w:customStyle="1" w:styleId="Pieddepageimpaire">
    <w:name w:val="Pied de page impaire"/>
    <w:basedOn w:val="Normal"/>
    <w:unhideWhenUsed/>
    <w:qFormat/>
    <w:rsid w:val="00713975"/>
    <w:pPr>
      <w:pBdr>
        <w:top w:val="single" w:sz="4" w:space="1" w:color="5B9BD5" w:themeColor="accent1"/>
      </w:pBdr>
      <w:spacing w:before="0" w:after="0" w:line="264" w:lineRule="auto"/>
      <w:jc w:val="right"/>
    </w:pPr>
    <w:rPr>
      <w:rFonts w:asciiTheme="minorHAnsi" w:hAnsiTheme="minorHAnsi" w:cs="Times New Roman"/>
      <w:color w:val="44546A" w:themeColor="text2"/>
      <w:kern w:val="24"/>
      <w:lang w:eastAsia="fr-FR"/>
      <w14:ligatures w14:val="standardContextual"/>
    </w:rPr>
  </w:style>
  <w:style w:type="paragraph" w:customStyle="1" w:styleId="En-ttedepagepaire">
    <w:name w:val="En-tête de page paire"/>
    <w:basedOn w:val="Normal"/>
    <w:unhideWhenUsed/>
    <w:qFormat/>
    <w:rsid w:val="00713975"/>
    <w:pPr>
      <w:pBdr>
        <w:bottom w:val="single" w:sz="4" w:space="1" w:color="7F7F7F"/>
      </w:pBdr>
      <w:spacing w:before="0" w:after="0" w:line="240" w:lineRule="auto"/>
      <w:jc w:val="center"/>
    </w:pPr>
    <w:rPr>
      <w:rFonts w:asciiTheme="minorHAnsi" w:eastAsia="Times New Roman" w:hAnsiTheme="minorHAnsi" w:cs="Times New Roman"/>
      <w:bCs/>
      <w:color w:val="44546A" w:themeColor="text2"/>
      <w:kern w:val="24"/>
      <w:lang w:eastAsia="fr-FR"/>
      <w14:ligatures w14:val="standardContextual"/>
    </w:rPr>
  </w:style>
  <w:style w:type="paragraph" w:customStyle="1" w:styleId="En-ttedepageimpaire">
    <w:name w:val="En-tête de page impaire"/>
    <w:basedOn w:val="Normal"/>
    <w:unhideWhenUsed/>
    <w:qFormat/>
    <w:rsid w:val="00713975"/>
    <w:pPr>
      <w:pBdr>
        <w:bottom w:val="single" w:sz="4" w:space="1" w:color="5B9BD5" w:themeColor="accent1"/>
      </w:pBdr>
      <w:spacing w:before="0" w:after="0" w:line="240" w:lineRule="auto"/>
      <w:jc w:val="right"/>
    </w:pPr>
    <w:rPr>
      <w:rFonts w:asciiTheme="minorHAnsi" w:eastAsia="Times New Roman" w:hAnsiTheme="minorHAnsi" w:cs="Times New Roman"/>
      <w:b/>
      <w:color w:val="44546A" w:themeColor="text2"/>
      <w:kern w:val="24"/>
      <w:lang w:eastAsia="fr-FR"/>
      <w14:ligatures w14:val="standardContextual"/>
    </w:rPr>
  </w:style>
  <w:style w:type="paragraph" w:customStyle="1" w:styleId="Sansinterligne1">
    <w:name w:val="Sans interligne1"/>
    <w:basedOn w:val="Normal"/>
    <w:qFormat/>
    <w:rsid w:val="00713975"/>
    <w:pPr>
      <w:framePr w:wrap="auto" w:hAnchor="page" w:xAlign="center" w:yAlign="top"/>
      <w:spacing w:before="0" w:after="0" w:line="240" w:lineRule="auto"/>
      <w:suppressOverlap/>
      <w:jc w:val="both"/>
    </w:pPr>
    <w:rPr>
      <w:rFonts w:asciiTheme="minorHAnsi" w:hAnsiTheme="minorHAnsi" w:cs="Times New Roman"/>
      <w:kern w:val="24"/>
      <w:sz w:val="24"/>
      <w:szCs w:val="120"/>
      <w:lang w:eastAsia="fr-FR"/>
      <w14:ligatures w14:val="standardContextual"/>
    </w:rPr>
  </w:style>
  <w:style w:type="paragraph" w:styleId="BodyText">
    <w:name w:val="Body Text"/>
    <w:basedOn w:val="Normal"/>
    <w:link w:val="BodyTextChar"/>
    <w:rsid w:val="00713975"/>
    <w:pPr>
      <w:spacing w:before="0" w:line="240" w:lineRule="auto"/>
    </w:pPr>
    <w:rPr>
      <w:rFonts w:ascii="Times New Roman" w:eastAsia="Times New Roman" w:hAnsi="Times New Roman" w:cs="Times New Roman"/>
      <w:sz w:val="24"/>
      <w:szCs w:val="24"/>
      <w:lang w:eastAsia="fr-FR"/>
    </w:rPr>
  </w:style>
  <w:style w:type="character" w:customStyle="1" w:styleId="BodyTextChar">
    <w:name w:val="Body Text Char"/>
    <w:basedOn w:val="DefaultParagraphFont"/>
    <w:link w:val="BodyText"/>
    <w:rsid w:val="00713975"/>
    <w:rPr>
      <w:rFonts w:ascii="Times New Roman" w:eastAsia="Times New Roman" w:hAnsi="Times New Roman" w:cs="Times New Roman"/>
      <w:sz w:val="24"/>
      <w:szCs w:val="24"/>
      <w:lang w:val="fr-FR" w:eastAsia="fr-FR"/>
    </w:rPr>
  </w:style>
  <w:style w:type="paragraph" w:styleId="NormalWeb">
    <w:name w:val="Normal (Web)"/>
    <w:basedOn w:val="Normal"/>
    <w:uiPriority w:val="99"/>
    <w:unhideWhenUsed/>
    <w:rsid w:val="0071397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fichelettrine3">
    <w:name w:val="fichelettrine3"/>
    <w:basedOn w:val="DefaultParagraphFont"/>
    <w:rsid w:val="00713975"/>
    <w:rPr>
      <w:rFonts w:ascii="Century Gothic" w:hAnsi="Century Gothic" w:hint="default"/>
      <w:b/>
      <w:bCs/>
      <w:sz w:val="72"/>
      <w:szCs w:val="72"/>
    </w:rPr>
  </w:style>
  <w:style w:type="paragraph" w:styleId="EndnoteText">
    <w:name w:val="endnote text"/>
    <w:basedOn w:val="Normal"/>
    <w:link w:val="EndnoteTextChar"/>
    <w:uiPriority w:val="99"/>
    <w:semiHidden/>
    <w:unhideWhenUsed/>
    <w:rsid w:val="00713975"/>
    <w:pPr>
      <w:spacing w:before="0" w:after="0" w:line="240" w:lineRule="auto"/>
      <w:jc w:val="both"/>
    </w:pPr>
    <w:rPr>
      <w:rFonts w:asciiTheme="minorHAnsi" w:hAnsiTheme="minorHAnsi" w:cs="Times New Roman"/>
      <w:kern w:val="24"/>
      <w:szCs w:val="20"/>
      <w:lang w:eastAsia="fr-FR"/>
      <w14:ligatures w14:val="standardContextual"/>
    </w:rPr>
  </w:style>
  <w:style w:type="character" w:customStyle="1" w:styleId="EndnoteTextChar">
    <w:name w:val="Endnote Text Char"/>
    <w:basedOn w:val="DefaultParagraphFont"/>
    <w:link w:val="EndnoteText"/>
    <w:uiPriority w:val="99"/>
    <w:semiHidden/>
    <w:rsid w:val="00713975"/>
    <w:rPr>
      <w:rFonts w:cs="Times New Roman"/>
      <w:kern w:val="24"/>
      <w:sz w:val="20"/>
      <w:szCs w:val="20"/>
      <w:lang w:val="fr-FR" w:eastAsia="fr-FR"/>
      <w14:ligatures w14:val="standardContextual"/>
    </w:rPr>
  </w:style>
  <w:style w:type="character" w:styleId="EndnoteReference">
    <w:name w:val="endnote reference"/>
    <w:basedOn w:val="DefaultParagraphFont"/>
    <w:uiPriority w:val="99"/>
    <w:semiHidden/>
    <w:unhideWhenUsed/>
    <w:rsid w:val="00713975"/>
    <w:rPr>
      <w:vertAlign w:val="superscript"/>
    </w:rPr>
  </w:style>
  <w:style w:type="paragraph" w:styleId="BodyTextIndent">
    <w:name w:val="Body Text Indent"/>
    <w:basedOn w:val="Normal"/>
    <w:link w:val="BodyTextIndentChar"/>
    <w:uiPriority w:val="99"/>
    <w:unhideWhenUsed/>
    <w:rsid w:val="00713975"/>
    <w:pPr>
      <w:spacing w:before="0" w:line="264" w:lineRule="auto"/>
      <w:ind w:left="283"/>
      <w:jc w:val="both"/>
    </w:pPr>
    <w:rPr>
      <w:rFonts w:asciiTheme="minorHAnsi" w:hAnsiTheme="minorHAnsi" w:cs="Times New Roman"/>
      <w:kern w:val="24"/>
      <w:sz w:val="24"/>
      <w:lang w:eastAsia="fr-FR"/>
      <w14:ligatures w14:val="standardContextual"/>
    </w:rPr>
  </w:style>
  <w:style w:type="character" w:customStyle="1" w:styleId="BodyTextIndentChar">
    <w:name w:val="Body Text Indent Char"/>
    <w:basedOn w:val="DefaultParagraphFont"/>
    <w:link w:val="BodyTextIndent"/>
    <w:uiPriority w:val="99"/>
    <w:rsid w:val="00713975"/>
    <w:rPr>
      <w:rFonts w:cs="Times New Roman"/>
      <w:kern w:val="24"/>
      <w:sz w:val="24"/>
      <w:lang w:val="fr-FR" w:eastAsia="fr-FR"/>
      <w14:ligatures w14:val="standardContextual"/>
    </w:rPr>
  </w:style>
  <w:style w:type="table" w:styleId="MediumGrid3-Accent2">
    <w:name w:val="Medium Grid 3 Accent 2"/>
    <w:basedOn w:val="TableNormal"/>
    <w:uiPriority w:val="42"/>
    <w:rsid w:val="00713975"/>
    <w:pPr>
      <w:spacing w:after="0" w:line="240" w:lineRule="auto"/>
    </w:pPr>
    <w:rPr>
      <w:rFonts w:cs="Times New Roman"/>
      <w:kern w:val="24"/>
      <w:sz w:val="23"/>
      <w:szCs w:val="20"/>
      <w:lang w:val="fr-FR" w:eastAsia="fr-FR"/>
      <w14:ligatures w14:val="standardContextu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Shading1-Accent2">
    <w:name w:val="Medium Shading 1 Accent 2"/>
    <w:basedOn w:val="TableNormal"/>
    <w:uiPriority w:val="42"/>
    <w:rsid w:val="00713975"/>
    <w:pPr>
      <w:spacing w:after="0" w:line="240" w:lineRule="auto"/>
    </w:pPr>
    <w:rPr>
      <w:rFonts w:cs="Times New Roman"/>
      <w:kern w:val="24"/>
      <w:sz w:val="23"/>
      <w:szCs w:val="20"/>
      <w:lang w:val="fr-FR" w:eastAsia="fr-FR"/>
      <w14:ligatures w14:val="standardContextual"/>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Grid2-Accent2">
    <w:name w:val="Medium Grid 2 Accent 2"/>
    <w:basedOn w:val="TableNormal"/>
    <w:uiPriority w:val="42"/>
    <w:rsid w:val="00713975"/>
    <w:pPr>
      <w:spacing w:after="0" w:line="240" w:lineRule="auto"/>
    </w:pPr>
    <w:rPr>
      <w:rFonts w:asciiTheme="majorHAnsi" w:eastAsiaTheme="majorEastAsia" w:hAnsiTheme="majorHAnsi" w:cstheme="majorBidi"/>
      <w:color w:val="000000" w:themeColor="text1"/>
      <w:kern w:val="24"/>
      <w:sz w:val="23"/>
      <w:szCs w:val="20"/>
      <w:lang w:val="fr-FR" w:eastAsia="fr-FR"/>
      <w14:ligatures w14:val="standardContextual"/>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1-Accent2">
    <w:name w:val="Medium Grid 1 Accent 2"/>
    <w:basedOn w:val="TableNormal"/>
    <w:uiPriority w:val="42"/>
    <w:rsid w:val="00713975"/>
    <w:pPr>
      <w:spacing w:after="0" w:line="240" w:lineRule="auto"/>
    </w:pPr>
    <w:rPr>
      <w:rFonts w:cs="Times New Roman"/>
      <w:kern w:val="24"/>
      <w:sz w:val="23"/>
      <w:szCs w:val="20"/>
      <w:lang w:val="fr-FR" w:eastAsia="fr-FR"/>
      <w14:ligatures w14:val="standardContextual"/>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paragraph" w:customStyle="1" w:styleId="Nomdesocit">
    <w:name w:val="Nom de société"/>
    <w:basedOn w:val="Normal"/>
    <w:next w:val="Normal"/>
    <w:autoRedefine/>
    <w:rsid w:val="00713975"/>
    <w:pPr>
      <w:numPr>
        <w:ilvl w:val="2"/>
        <w:numId w:val="24"/>
      </w:numPr>
      <w:tabs>
        <w:tab w:val="clear" w:pos="1191"/>
        <w:tab w:val="num" w:pos="380"/>
        <w:tab w:val="left" w:pos="2415"/>
        <w:tab w:val="right" w:pos="6480"/>
      </w:tabs>
      <w:spacing w:before="240" w:after="0" w:line="240" w:lineRule="auto"/>
      <w:ind w:left="0" w:firstLine="0"/>
    </w:pPr>
    <w:rPr>
      <w:rFonts w:ascii="Garamond" w:eastAsia="Times New Roman" w:hAnsi="Garamond" w:cs="Times New Roman"/>
      <w:b/>
      <w:bCs/>
      <w:sz w:val="22"/>
    </w:rPr>
  </w:style>
  <w:style w:type="paragraph" w:customStyle="1" w:styleId="normaltableau">
    <w:name w:val="normal_tableau"/>
    <w:basedOn w:val="Normal"/>
    <w:rsid w:val="00713975"/>
    <w:pPr>
      <w:spacing w:line="240" w:lineRule="auto"/>
      <w:jc w:val="both"/>
    </w:pPr>
    <w:rPr>
      <w:rFonts w:ascii="Optima" w:eastAsia="Times New Roman" w:hAnsi="Optima" w:cs="Times New Roman"/>
      <w:sz w:val="22"/>
      <w:szCs w:val="20"/>
      <w:lang w:val="en-GB" w:eastAsia="en-GB"/>
    </w:rPr>
  </w:style>
  <w:style w:type="paragraph" w:styleId="BodyTextIndent3">
    <w:name w:val="Body Text Indent 3"/>
    <w:basedOn w:val="Normal"/>
    <w:link w:val="BodyTextIndent3Char"/>
    <w:uiPriority w:val="99"/>
    <w:semiHidden/>
    <w:unhideWhenUsed/>
    <w:rsid w:val="00713975"/>
    <w:pPr>
      <w:spacing w:before="0" w:line="264" w:lineRule="auto"/>
      <w:ind w:left="283"/>
      <w:jc w:val="both"/>
    </w:pPr>
    <w:rPr>
      <w:rFonts w:asciiTheme="minorHAnsi" w:hAnsiTheme="minorHAnsi" w:cs="Times New Roman"/>
      <w:kern w:val="24"/>
      <w:sz w:val="16"/>
      <w:szCs w:val="16"/>
      <w:lang w:eastAsia="fr-FR"/>
      <w14:ligatures w14:val="standardContextual"/>
    </w:rPr>
  </w:style>
  <w:style w:type="character" w:customStyle="1" w:styleId="BodyTextIndent3Char">
    <w:name w:val="Body Text Indent 3 Char"/>
    <w:basedOn w:val="DefaultParagraphFont"/>
    <w:link w:val="BodyTextIndent3"/>
    <w:uiPriority w:val="99"/>
    <w:semiHidden/>
    <w:rsid w:val="00713975"/>
    <w:rPr>
      <w:rFonts w:cs="Times New Roman"/>
      <w:kern w:val="24"/>
      <w:sz w:val="16"/>
      <w:szCs w:val="16"/>
      <w:lang w:val="fr-FR" w:eastAsia="fr-FR"/>
      <w14:ligatures w14:val="standardContextual"/>
    </w:rPr>
  </w:style>
  <w:style w:type="paragraph" w:customStyle="1" w:styleId="Einzug1">
    <w:name w:val="Einzug 1"/>
    <w:basedOn w:val="Normal"/>
    <w:rsid w:val="00713975"/>
    <w:pPr>
      <w:numPr>
        <w:numId w:val="25"/>
      </w:numPr>
      <w:tabs>
        <w:tab w:val="clear" w:pos="360"/>
      </w:tabs>
      <w:overflowPunct w:val="0"/>
      <w:autoSpaceDE w:val="0"/>
      <w:autoSpaceDN w:val="0"/>
      <w:adjustRightInd w:val="0"/>
      <w:spacing w:before="0" w:after="0" w:line="240" w:lineRule="auto"/>
      <w:ind w:left="0" w:firstLine="0"/>
      <w:jc w:val="both"/>
      <w:textAlignment w:val="baseline"/>
    </w:pPr>
    <w:rPr>
      <w:rFonts w:ascii="Arial" w:eastAsia="Times New Roman" w:hAnsi="Arial" w:cs="Times New Roman"/>
      <w:szCs w:val="20"/>
      <w:lang w:val="en-GB" w:eastAsia="de-DE"/>
    </w:rPr>
  </w:style>
  <w:style w:type="paragraph" w:customStyle="1" w:styleId="Tabellenaufzhlg2">
    <w:name w:val="Tabellenaufzählg 2"/>
    <w:basedOn w:val="Normal"/>
    <w:rsid w:val="00713975"/>
    <w:pPr>
      <w:keepLines/>
      <w:numPr>
        <w:numId w:val="26"/>
      </w:numPr>
      <w:tabs>
        <w:tab w:val="clear" w:pos="360"/>
        <w:tab w:val="left" w:pos="170"/>
        <w:tab w:val="left" w:pos="426"/>
      </w:tabs>
      <w:overflowPunct w:val="0"/>
      <w:autoSpaceDE w:val="0"/>
      <w:autoSpaceDN w:val="0"/>
      <w:adjustRightInd w:val="0"/>
      <w:spacing w:before="28" w:after="28" w:line="240" w:lineRule="auto"/>
      <w:ind w:left="0" w:firstLine="0"/>
      <w:textAlignment w:val="baseline"/>
    </w:pPr>
    <w:rPr>
      <w:rFonts w:ascii="Arial" w:eastAsia="Times New Roman" w:hAnsi="Arial" w:cs="Times New Roman"/>
      <w:szCs w:val="20"/>
      <w:lang w:val="en-GB" w:eastAsia="de-DE"/>
    </w:rPr>
  </w:style>
  <w:style w:type="character" w:customStyle="1" w:styleId="st">
    <w:name w:val="st"/>
    <w:basedOn w:val="DefaultParagraphFont"/>
    <w:rsid w:val="00713975"/>
  </w:style>
  <w:style w:type="paragraph" w:customStyle="1" w:styleId="TableParagraph">
    <w:name w:val="Table Paragraph"/>
    <w:basedOn w:val="Normal"/>
    <w:uiPriority w:val="1"/>
    <w:qFormat/>
    <w:rsid w:val="00713975"/>
    <w:pPr>
      <w:widowControl w:val="0"/>
      <w:spacing w:before="0" w:after="0" w:line="240" w:lineRule="auto"/>
    </w:pPr>
    <w:rPr>
      <w:rFonts w:ascii="Calibri" w:eastAsia="Calibri" w:hAnsi="Calibri" w:cs="Arial"/>
      <w:sz w:val="22"/>
      <w:lang w:val="en-US"/>
    </w:rPr>
  </w:style>
  <w:style w:type="paragraph" w:customStyle="1" w:styleId="Nom">
    <w:name w:val="Nom"/>
    <w:basedOn w:val="Normal"/>
    <w:rsid w:val="00713975"/>
    <w:pPr>
      <w:spacing w:before="20" w:after="20" w:line="240" w:lineRule="auto"/>
    </w:pPr>
    <w:rPr>
      <w:rFonts w:ascii="Arial" w:eastAsia="Times New Roman" w:hAnsi="Arial" w:cs="Arial"/>
      <w:b/>
      <w:bCs/>
      <w:caps/>
      <w:sz w:val="18"/>
      <w:szCs w:val="20"/>
      <w:lang w:eastAsia="fr-FR"/>
    </w:rPr>
  </w:style>
  <w:style w:type="paragraph" w:customStyle="1" w:styleId="Descriptionoftasks">
    <w:name w:val="Description of tasks"/>
    <w:basedOn w:val="Normal"/>
    <w:rsid w:val="00713975"/>
    <w:pPr>
      <w:keepNext/>
      <w:numPr>
        <w:numId w:val="27"/>
      </w:numPr>
      <w:tabs>
        <w:tab w:val="clear" w:pos="360"/>
      </w:tabs>
      <w:spacing w:before="0" w:after="0" w:line="240" w:lineRule="auto"/>
      <w:ind w:left="0" w:firstLine="0"/>
    </w:pPr>
    <w:rPr>
      <w:rFonts w:ascii="Arial" w:eastAsia="Times New Roman" w:hAnsi="Arial" w:cs="Arial"/>
      <w:szCs w:val="20"/>
      <w:lang w:eastAsia="fr-FR"/>
    </w:rPr>
  </w:style>
  <w:style w:type="paragraph" w:customStyle="1" w:styleId="twunmatched">
    <w:name w:val="twunmatched"/>
    <w:basedOn w:val="Normal"/>
    <w:rsid w:val="00713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ulletsundersub-sub-sub-chapter">
    <w:name w:val="bullets under sub-sub-sub-chapter"/>
    <w:basedOn w:val="Normal"/>
    <w:qFormat/>
    <w:rsid w:val="00713975"/>
    <w:pPr>
      <w:numPr>
        <w:numId w:val="28"/>
      </w:numPr>
      <w:spacing w:before="0" w:after="80" w:line="240" w:lineRule="auto"/>
      <w:ind w:left="0" w:firstLine="0"/>
    </w:pPr>
    <w:rPr>
      <w:rFonts w:ascii="Arial" w:eastAsia="Arial" w:hAnsi="Arial" w:cs="Arial"/>
      <w:sz w:val="22"/>
      <w:lang w:val="en-US"/>
    </w:rPr>
  </w:style>
  <w:style w:type="character" w:customStyle="1" w:styleId="Mentionnonrsolue1">
    <w:name w:val="Mention non résolue1"/>
    <w:basedOn w:val="DefaultParagraphFont"/>
    <w:uiPriority w:val="99"/>
    <w:semiHidden/>
    <w:unhideWhenUsed/>
    <w:rsid w:val="00713975"/>
    <w:rPr>
      <w:color w:val="605E5C"/>
      <w:shd w:val="clear" w:color="auto" w:fill="E1DFDD"/>
    </w:rPr>
  </w:style>
  <w:style w:type="paragraph" w:customStyle="1" w:styleId="whitespace-normal">
    <w:name w:val="whitespace-normal"/>
    <w:basedOn w:val="Normal"/>
    <w:rsid w:val="00713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ont-claude-response-body">
    <w:name w:val="font-claude-response-body"/>
    <w:basedOn w:val="Normal"/>
    <w:rsid w:val="00940A78"/>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20521">
      <w:bodyDiv w:val="1"/>
      <w:marLeft w:val="0"/>
      <w:marRight w:val="0"/>
      <w:marTop w:val="0"/>
      <w:marBottom w:val="0"/>
      <w:divBdr>
        <w:top w:val="none" w:sz="0" w:space="0" w:color="auto"/>
        <w:left w:val="none" w:sz="0" w:space="0" w:color="auto"/>
        <w:bottom w:val="none" w:sz="0" w:space="0" w:color="auto"/>
        <w:right w:val="none" w:sz="0" w:space="0" w:color="auto"/>
      </w:divBdr>
    </w:div>
    <w:div w:id="101808046">
      <w:bodyDiv w:val="1"/>
      <w:marLeft w:val="0"/>
      <w:marRight w:val="0"/>
      <w:marTop w:val="0"/>
      <w:marBottom w:val="0"/>
      <w:divBdr>
        <w:top w:val="none" w:sz="0" w:space="0" w:color="auto"/>
        <w:left w:val="none" w:sz="0" w:space="0" w:color="auto"/>
        <w:bottom w:val="none" w:sz="0" w:space="0" w:color="auto"/>
        <w:right w:val="none" w:sz="0" w:space="0" w:color="auto"/>
      </w:divBdr>
    </w:div>
    <w:div w:id="241136958">
      <w:bodyDiv w:val="1"/>
      <w:marLeft w:val="0"/>
      <w:marRight w:val="0"/>
      <w:marTop w:val="0"/>
      <w:marBottom w:val="0"/>
      <w:divBdr>
        <w:top w:val="none" w:sz="0" w:space="0" w:color="auto"/>
        <w:left w:val="none" w:sz="0" w:space="0" w:color="auto"/>
        <w:bottom w:val="none" w:sz="0" w:space="0" w:color="auto"/>
        <w:right w:val="none" w:sz="0" w:space="0" w:color="auto"/>
      </w:divBdr>
    </w:div>
    <w:div w:id="372120244">
      <w:bodyDiv w:val="1"/>
      <w:marLeft w:val="0"/>
      <w:marRight w:val="0"/>
      <w:marTop w:val="0"/>
      <w:marBottom w:val="0"/>
      <w:divBdr>
        <w:top w:val="none" w:sz="0" w:space="0" w:color="auto"/>
        <w:left w:val="none" w:sz="0" w:space="0" w:color="auto"/>
        <w:bottom w:val="none" w:sz="0" w:space="0" w:color="auto"/>
        <w:right w:val="none" w:sz="0" w:space="0" w:color="auto"/>
      </w:divBdr>
    </w:div>
    <w:div w:id="416486767">
      <w:bodyDiv w:val="1"/>
      <w:marLeft w:val="0"/>
      <w:marRight w:val="0"/>
      <w:marTop w:val="0"/>
      <w:marBottom w:val="0"/>
      <w:divBdr>
        <w:top w:val="none" w:sz="0" w:space="0" w:color="auto"/>
        <w:left w:val="none" w:sz="0" w:space="0" w:color="auto"/>
        <w:bottom w:val="none" w:sz="0" w:space="0" w:color="auto"/>
        <w:right w:val="none" w:sz="0" w:space="0" w:color="auto"/>
      </w:divBdr>
    </w:div>
    <w:div w:id="510460657">
      <w:bodyDiv w:val="1"/>
      <w:marLeft w:val="0"/>
      <w:marRight w:val="0"/>
      <w:marTop w:val="0"/>
      <w:marBottom w:val="0"/>
      <w:divBdr>
        <w:top w:val="none" w:sz="0" w:space="0" w:color="auto"/>
        <w:left w:val="none" w:sz="0" w:space="0" w:color="auto"/>
        <w:bottom w:val="none" w:sz="0" w:space="0" w:color="auto"/>
        <w:right w:val="none" w:sz="0" w:space="0" w:color="auto"/>
      </w:divBdr>
    </w:div>
    <w:div w:id="622730136">
      <w:bodyDiv w:val="1"/>
      <w:marLeft w:val="0"/>
      <w:marRight w:val="0"/>
      <w:marTop w:val="0"/>
      <w:marBottom w:val="0"/>
      <w:divBdr>
        <w:top w:val="none" w:sz="0" w:space="0" w:color="auto"/>
        <w:left w:val="none" w:sz="0" w:space="0" w:color="auto"/>
        <w:bottom w:val="none" w:sz="0" w:space="0" w:color="auto"/>
        <w:right w:val="none" w:sz="0" w:space="0" w:color="auto"/>
      </w:divBdr>
    </w:div>
    <w:div w:id="679313339">
      <w:bodyDiv w:val="1"/>
      <w:marLeft w:val="0"/>
      <w:marRight w:val="0"/>
      <w:marTop w:val="0"/>
      <w:marBottom w:val="0"/>
      <w:divBdr>
        <w:top w:val="none" w:sz="0" w:space="0" w:color="auto"/>
        <w:left w:val="none" w:sz="0" w:space="0" w:color="auto"/>
        <w:bottom w:val="none" w:sz="0" w:space="0" w:color="auto"/>
        <w:right w:val="none" w:sz="0" w:space="0" w:color="auto"/>
      </w:divBdr>
    </w:div>
    <w:div w:id="759450505">
      <w:bodyDiv w:val="1"/>
      <w:marLeft w:val="0"/>
      <w:marRight w:val="0"/>
      <w:marTop w:val="0"/>
      <w:marBottom w:val="0"/>
      <w:divBdr>
        <w:top w:val="none" w:sz="0" w:space="0" w:color="auto"/>
        <w:left w:val="none" w:sz="0" w:space="0" w:color="auto"/>
        <w:bottom w:val="none" w:sz="0" w:space="0" w:color="auto"/>
        <w:right w:val="none" w:sz="0" w:space="0" w:color="auto"/>
      </w:divBdr>
    </w:div>
    <w:div w:id="807087400">
      <w:bodyDiv w:val="1"/>
      <w:marLeft w:val="0"/>
      <w:marRight w:val="0"/>
      <w:marTop w:val="0"/>
      <w:marBottom w:val="0"/>
      <w:divBdr>
        <w:top w:val="none" w:sz="0" w:space="0" w:color="auto"/>
        <w:left w:val="none" w:sz="0" w:space="0" w:color="auto"/>
        <w:bottom w:val="none" w:sz="0" w:space="0" w:color="auto"/>
        <w:right w:val="none" w:sz="0" w:space="0" w:color="auto"/>
      </w:divBdr>
    </w:div>
    <w:div w:id="811093527">
      <w:bodyDiv w:val="1"/>
      <w:marLeft w:val="0"/>
      <w:marRight w:val="0"/>
      <w:marTop w:val="0"/>
      <w:marBottom w:val="0"/>
      <w:divBdr>
        <w:top w:val="none" w:sz="0" w:space="0" w:color="auto"/>
        <w:left w:val="none" w:sz="0" w:space="0" w:color="auto"/>
        <w:bottom w:val="none" w:sz="0" w:space="0" w:color="auto"/>
        <w:right w:val="none" w:sz="0" w:space="0" w:color="auto"/>
      </w:divBdr>
    </w:div>
    <w:div w:id="862203887">
      <w:bodyDiv w:val="1"/>
      <w:marLeft w:val="0"/>
      <w:marRight w:val="0"/>
      <w:marTop w:val="0"/>
      <w:marBottom w:val="0"/>
      <w:divBdr>
        <w:top w:val="none" w:sz="0" w:space="0" w:color="auto"/>
        <w:left w:val="none" w:sz="0" w:space="0" w:color="auto"/>
        <w:bottom w:val="none" w:sz="0" w:space="0" w:color="auto"/>
        <w:right w:val="none" w:sz="0" w:space="0" w:color="auto"/>
      </w:divBdr>
    </w:div>
    <w:div w:id="874392863">
      <w:bodyDiv w:val="1"/>
      <w:marLeft w:val="0"/>
      <w:marRight w:val="0"/>
      <w:marTop w:val="0"/>
      <w:marBottom w:val="0"/>
      <w:divBdr>
        <w:top w:val="none" w:sz="0" w:space="0" w:color="auto"/>
        <w:left w:val="none" w:sz="0" w:space="0" w:color="auto"/>
        <w:bottom w:val="none" w:sz="0" w:space="0" w:color="auto"/>
        <w:right w:val="none" w:sz="0" w:space="0" w:color="auto"/>
      </w:divBdr>
    </w:div>
    <w:div w:id="919484639">
      <w:bodyDiv w:val="1"/>
      <w:marLeft w:val="0"/>
      <w:marRight w:val="0"/>
      <w:marTop w:val="0"/>
      <w:marBottom w:val="0"/>
      <w:divBdr>
        <w:top w:val="none" w:sz="0" w:space="0" w:color="auto"/>
        <w:left w:val="none" w:sz="0" w:space="0" w:color="auto"/>
        <w:bottom w:val="none" w:sz="0" w:space="0" w:color="auto"/>
        <w:right w:val="none" w:sz="0" w:space="0" w:color="auto"/>
      </w:divBdr>
    </w:div>
    <w:div w:id="970208679">
      <w:bodyDiv w:val="1"/>
      <w:marLeft w:val="0"/>
      <w:marRight w:val="0"/>
      <w:marTop w:val="0"/>
      <w:marBottom w:val="0"/>
      <w:divBdr>
        <w:top w:val="none" w:sz="0" w:space="0" w:color="auto"/>
        <w:left w:val="none" w:sz="0" w:space="0" w:color="auto"/>
        <w:bottom w:val="none" w:sz="0" w:space="0" w:color="auto"/>
        <w:right w:val="none" w:sz="0" w:space="0" w:color="auto"/>
      </w:divBdr>
    </w:div>
    <w:div w:id="997805833">
      <w:bodyDiv w:val="1"/>
      <w:marLeft w:val="0"/>
      <w:marRight w:val="0"/>
      <w:marTop w:val="0"/>
      <w:marBottom w:val="0"/>
      <w:divBdr>
        <w:top w:val="none" w:sz="0" w:space="0" w:color="auto"/>
        <w:left w:val="none" w:sz="0" w:space="0" w:color="auto"/>
        <w:bottom w:val="none" w:sz="0" w:space="0" w:color="auto"/>
        <w:right w:val="none" w:sz="0" w:space="0" w:color="auto"/>
      </w:divBdr>
    </w:div>
    <w:div w:id="1208638135">
      <w:bodyDiv w:val="1"/>
      <w:marLeft w:val="0"/>
      <w:marRight w:val="0"/>
      <w:marTop w:val="0"/>
      <w:marBottom w:val="0"/>
      <w:divBdr>
        <w:top w:val="none" w:sz="0" w:space="0" w:color="auto"/>
        <w:left w:val="none" w:sz="0" w:space="0" w:color="auto"/>
        <w:bottom w:val="none" w:sz="0" w:space="0" w:color="auto"/>
        <w:right w:val="none" w:sz="0" w:space="0" w:color="auto"/>
      </w:divBdr>
    </w:div>
    <w:div w:id="1213886021">
      <w:bodyDiv w:val="1"/>
      <w:marLeft w:val="0"/>
      <w:marRight w:val="0"/>
      <w:marTop w:val="0"/>
      <w:marBottom w:val="0"/>
      <w:divBdr>
        <w:top w:val="none" w:sz="0" w:space="0" w:color="auto"/>
        <w:left w:val="none" w:sz="0" w:space="0" w:color="auto"/>
        <w:bottom w:val="none" w:sz="0" w:space="0" w:color="auto"/>
        <w:right w:val="none" w:sz="0" w:space="0" w:color="auto"/>
      </w:divBdr>
    </w:div>
    <w:div w:id="1214393058">
      <w:bodyDiv w:val="1"/>
      <w:marLeft w:val="0"/>
      <w:marRight w:val="0"/>
      <w:marTop w:val="0"/>
      <w:marBottom w:val="0"/>
      <w:divBdr>
        <w:top w:val="none" w:sz="0" w:space="0" w:color="auto"/>
        <w:left w:val="none" w:sz="0" w:space="0" w:color="auto"/>
        <w:bottom w:val="none" w:sz="0" w:space="0" w:color="auto"/>
        <w:right w:val="none" w:sz="0" w:space="0" w:color="auto"/>
      </w:divBdr>
    </w:div>
    <w:div w:id="1327981603">
      <w:bodyDiv w:val="1"/>
      <w:marLeft w:val="0"/>
      <w:marRight w:val="0"/>
      <w:marTop w:val="0"/>
      <w:marBottom w:val="0"/>
      <w:divBdr>
        <w:top w:val="none" w:sz="0" w:space="0" w:color="auto"/>
        <w:left w:val="none" w:sz="0" w:space="0" w:color="auto"/>
        <w:bottom w:val="none" w:sz="0" w:space="0" w:color="auto"/>
        <w:right w:val="none" w:sz="0" w:space="0" w:color="auto"/>
      </w:divBdr>
    </w:div>
    <w:div w:id="1389112226">
      <w:bodyDiv w:val="1"/>
      <w:marLeft w:val="0"/>
      <w:marRight w:val="0"/>
      <w:marTop w:val="0"/>
      <w:marBottom w:val="0"/>
      <w:divBdr>
        <w:top w:val="none" w:sz="0" w:space="0" w:color="auto"/>
        <w:left w:val="none" w:sz="0" w:space="0" w:color="auto"/>
        <w:bottom w:val="none" w:sz="0" w:space="0" w:color="auto"/>
        <w:right w:val="none" w:sz="0" w:space="0" w:color="auto"/>
      </w:divBdr>
    </w:div>
    <w:div w:id="1452895735">
      <w:bodyDiv w:val="1"/>
      <w:marLeft w:val="0"/>
      <w:marRight w:val="0"/>
      <w:marTop w:val="0"/>
      <w:marBottom w:val="0"/>
      <w:divBdr>
        <w:top w:val="none" w:sz="0" w:space="0" w:color="auto"/>
        <w:left w:val="none" w:sz="0" w:space="0" w:color="auto"/>
        <w:bottom w:val="none" w:sz="0" w:space="0" w:color="auto"/>
        <w:right w:val="none" w:sz="0" w:space="0" w:color="auto"/>
      </w:divBdr>
    </w:div>
    <w:div w:id="1506935624">
      <w:bodyDiv w:val="1"/>
      <w:marLeft w:val="0"/>
      <w:marRight w:val="0"/>
      <w:marTop w:val="0"/>
      <w:marBottom w:val="0"/>
      <w:divBdr>
        <w:top w:val="none" w:sz="0" w:space="0" w:color="auto"/>
        <w:left w:val="none" w:sz="0" w:space="0" w:color="auto"/>
        <w:bottom w:val="none" w:sz="0" w:space="0" w:color="auto"/>
        <w:right w:val="none" w:sz="0" w:space="0" w:color="auto"/>
      </w:divBdr>
    </w:div>
    <w:div w:id="1625884656">
      <w:bodyDiv w:val="1"/>
      <w:marLeft w:val="0"/>
      <w:marRight w:val="0"/>
      <w:marTop w:val="0"/>
      <w:marBottom w:val="0"/>
      <w:divBdr>
        <w:top w:val="none" w:sz="0" w:space="0" w:color="auto"/>
        <w:left w:val="none" w:sz="0" w:space="0" w:color="auto"/>
        <w:bottom w:val="none" w:sz="0" w:space="0" w:color="auto"/>
        <w:right w:val="none" w:sz="0" w:space="0" w:color="auto"/>
      </w:divBdr>
    </w:div>
    <w:div w:id="1673877052">
      <w:bodyDiv w:val="1"/>
      <w:marLeft w:val="0"/>
      <w:marRight w:val="0"/>
      <w:marTop w:val="0"/>
      <w:marBottom w:val="0"/>
      <w:divBdr>
        <w:top w:val="none" w:sz="0" w:space="0" w:color="auto"/>
        <w:left w:val="none" w:sz="0" w:space="0" w:color="auto"/>
        <w:bottom w:val="none" w:sz="0" w:space="0" w:color="auto"/>
        <w:right w:val="none" w:sz="0" w:space="0" w:color="auto"/>
      </w:divBdr>
    </w:div>
    <w:div w:id="1803883834">
      <w:bodyDiv w:val="1"/>
      <w:marLeft w:val="0"/>
      <w:marRight w:val="0"/>
      <w:marTop w:val="0"/>
      <w:marBottom w:val="0"/>
      <w:divBdr>
        <w:top w:val="none" w:sz="0" w:space="0" w:color="auto"/>
        <w:left w:val="none" w:sz="0" w:space="0" w:color="auto"/>
        <w:bottom w:val="none" w:sz="0" w:space="0" w:color="auto"/>
        <w:right w:val="none" w:sz="0" w:space="0" w:color="auto"/>
      </w:divBdr>
    </w:div>
    <w:div w:id="1937440887">
      <w:bodyDiv w:val="1"/>
      <w:marLeft w:val="0"/>
      <w:marRight w:val="0"/>
      <w:marTop w:val="0"/>
      <w:marBottom w:val="0"/>
      <w:divBdr>
        <w:top w:val="none" w:sz="0" w:space="0" w:color="auto"/>
        <w:left w:val="none" w:sz="0" w:space="0" w:color="auto"/>
        <w:bottom w:val="none" w:sz="0" w:space="0" w:color="auto"/>
        <w:right w:val="none" w:sz="0" w:space="0" w:color="auto"/>
      </w:divBdr>
    </w:div>
    <w:div w:id="195732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mbm@mbmconsulting.t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uncdf.org"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www.uncd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1528a4b-5ccb-40f7-a09e-43427183cd95">
      <Terms xmlns="http://schemas.microsoft.com/office/infopath/2007/PartnerControls"/>
    </lcf76f155ced4ddcb4097134ff3c332f>
    <TaxCatchAll xmlns="cb759e4c-f0d7-4feb-bda3-ed2800574e06" xsi:nil="true"/>
    <DocumentType xmlns="f9695bc1-6109-4dcd-a27a-f8a0370b00e2">Evaluation report</DocumentType>
    <UploadedBy xmlns="b1528a4b-5ccb-40f7-a09e-43427183cd95">suzanne.kanyange@undp.org</UploadedBy>
    <Classification xmlns="b1528a4b-5ccb-40f7-a09e-43427183cd95">External</Classification>
    <FormCode xmlns="b1528a4b-5ccb-40f7-a09e-43427183cd95" xsi:nil="true"/>
    <FundId xmlns="f9695bc1-6109-4dcd-a27a-f8a0370b00e2">6</FundId>
    <ProjectType xmlns="f9695bc1-6109-4dcd-a27a-f8a0370b00e2">PROJECT</ProjectType>
    <DocModified xmlns="b1528a4b-5ccb-40f7-a09e-43427183cd95">No</DocModified>
    <NarrativeCode xmlns="b1528a4b-5ccb-40f7-a09e-43427183cd95" xsi:nil="true"/>
    <DocumentOrigin xmlns="b1528a4b-5ccb-40f7-a09e-43427183cd95">Project</DocumentOrigin>
    <DrupalDocId xmlns="b1528a4b-5ccb-40f7-a09e-43427183cd95" xsi:nil="true"/>
    <Status xmlns="b1528a4b-5ccb-40f7-a09e-43427183cd95">Finalized - Signature Redacted</Status>
    <ProjectId xmlns="f9695bc1-6109-4dcd-a27a-f8a0370b00e2">MPTF_00006_00861</ProjectId>
    <FundCode xmlns="f9695bc1-6109-4dcd-a27a-f8a0370b00e2">MPTF_00006</FundCode>
    <Comments xmlns="f9695bc1-6109-4dcd-a27a-f8a0370b00e2" xsi:nil="true"/>
    <Active xmlns="f9695bc1-6109-4dcd-a27a-f8a0370b00e2">Yes</Active>
    <DocumentDate xmlns="b1528a4b-5ccb-40f7-a09e-43427183cd95">2026-07-24T07:00:00+00:00</DocumentDate>
    <Featured xmlns="b1528a4b-5ccb-40f7-a09e-43427183cd95">1</Featured>
    <FormTypeCode xmlns="b1528a4b-5ccb-40f7-a09e-43427183cd9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0E1B0FB969FA4DB37D3562DA9CC146" ma:contentTypeVersion="33" ma:contentTypeDescription="Create a new document." ma:contentTypeScope="" ma:versionID="06af98b1f7a5babff7628a29df1fa198">
  <xsd:schema xmlns:xsd="http://www.w3.org/2001/XMLSchema" xmlns:xs="http://www.w3.org/2001/XMLSchema" xmlns:p="http://schemas.microsoft.com/office/2006/metadata/properties" xmlns:ns2="f9695bc1-6109-4dcd-a27a-f8a0370b00e2" xmlns:ns3="b1528a4b-5ccb-40f7-a09e-43427183cd95" xmlns:ns4="cb759e4c-f0d7-4feb-bda3-ed2800574e06" targetNamespace="http://schemas.microsoft.com/office/2006/metadata/properties" ma:root="true" ma:fieldsID="fbfb81ebdaa58ed3ce9dd715736c3161" ns2:_="" ns3:_="" ns4:_="">
    <xsd:import namespace="f9695bc1-6109-4dcd-a27a-f8a0370b00e2"/>
    <xsd:import namespace="b1528a4b-5ccb-40f7-a09e-43427183cd95"/>
    <xsd:import namespace="cb759e4c-f0d7-4feb-bda3-ed2800574e06"/>
    <xsd:element name="properties">
      <xsd:complexType>
        <xsd:sequence>
          <xsd:element name="documentManagement">
            <xsd:complexType>
              <xsd:all>
                <xsd:element ref="ns2:FundId" minOccurs="0"/>
                <xsd:element ref="ns2:FundCode" minOccurs="0"/>
                <xsd:element ref="ns2:ProjectId" minOccurs="0"/>
                <xsd:element ref="ns2:ProjectType" minOccurs="0"/>
                <xsd:element ref="ns2:DocumentType" minOccurs="0"/>
                <xsd:element ref="ns2:Comments" minOccurs="0"/>
                <xsd:element ref="ns2:Active" minOccurs="0"/>
                <xsd:element ref="ns3:NarrativeCode" minOccurs="0"/>
                <xsd:element ref="ns3:DocumentOrigin" minOccurs="0"/>
                <xsd:element ref="ns3:UploadedBy"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Status" minOccurs="0"/>
                <xsd:element ref="ns3:DocumentDate" minOccurs="0"/>
                <xsd:element ref="ns3:DrupalDocId" minOccurs="0"/>
                <xsd:element ref="ns3:Classification" minOccurs="0"/>
                <xsd:element ref="ns3:Featured" minOccurs="0"/>
                <xsd:element ref="ns3:lcf76f155ced4ddcb4097134ff3c332f" minOccurs="0"/>
                <xsd:element ref="ns4:TaxCatchAll" minOccurs="0"/>
                <xsd:element ref="ns3:FormTypeCode" minOccurs="0"/>
                <xsd:element ref="ns3:FormCode" minOccurs="0"/>
                <xsd:element ref="ns3:DocModified"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695bc1-6109-4dcd-a27a-f8a0370b00e2" elementFormDefault="qualified">
    <xsd:import namespace="http://schemas.microsoft.com/office/2006/documentManagement/types"/>
    <xsd:import namespace="http://schemas.microsoft.com/office/infopath/2007/PartnerControls"/>
    <xsd:element name="FundId" ma:index="8" nillable="true" ma:displayName="FundId" ma:indexed="true" ma:internalName="FundId">
      <xsd:simpleType>
        <xsd:restriction base="dms:Number"/>
      </xsd:simpleType>
    </xsd:element>
    <xsd:element name="FundCode" ma:index="9" nillable="true" ma:displayName="FundCode" ma:description="Fund code" ma:indexed="true" ma:internalName="FundCode">
      <xsd:simpleType>
        <xsd:restriction base="dms:Text">
          <xsd:maxLength value="255"/>
        </xsd:restriction>
      </xsd:simpleType>
    </xsd:element>
    <xsd:element name="ProjectId" ma:index="10" nillable="true" ma:displayName="ProjectId" ma:description="Project number" ma:indexed="true" ma:internalName="ProjectId">
      <xsd:simpleType>
        <xsd:restriction base="dms:Text">
          <xsd:maxLength value="255"/>
        </xsd:restriction>
      </xsd:simpleType>
    </xsd:element>
    <xsd:element name="ProjectType" ma:index="11" nillable="true" ma:displayName="ProjectType" ma:description="Project type" ma:internalName="ProjectType">
      <xsd:simpleType>
        <xsd:restriction base="dms:Text">
          <xsd:maxLength value="255"/>
        </xsd:restriction>
      </xsd:simpleType>
    </xsd:element>
    <xsd:element name="DocumentType" ma:index="12" nillable="true" ma:displayName="DocumentType" ma:description="Document type" ma:indexed="true" ma:internalName="DocumentType">
      <xsd:simpleType>
        <xsd:restriction base="dms:Text">
          <xsd:maxLength value="255"/>
        </xsd:restriction>
      </xsd:simpleType>
    </xsd:element>
    <xsd:element name="Comments" ma:index="13" nillable="true" ma:displayName="Comments" ma:description="Comments" ma:internalName="Comments">
      <xsd:simpleType>
        <xsd:restriction base="dms:Note">
          <xsd:maxLength value="255"/>
        </xsd:restriction>
      </xsd:simpleType>
    </xsd:element>
    <xsd:element name="Active" ma:index="14" nillable="true" ma:displayName="Active" ma:default="Yes" ma:description="Active" ma:format="Dropdown" ma:indexed="true" ma:internalName="Activ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b1528a4b-5ccb-40f7-a09e-43427183cd95" elementFormDefault="qualified">
    <xsd:import namespace="http://schemas.microsoft.com/office/2006/documentManagement/types"/>
    <xsd:import namespace="http://schemas.microsoft.com/office/infopath/2007/PartnerControls"/>
    <xsd:element name="NarrativeCode" ma:index="15" nillable="true" ma:displayName="NarrativeCode" ma:description="Narrative Code" ma:indexed="true" ma:internalName="NarrativeCode">
      <xsd:simpleType>
        <xsd:restriction base="dms:Text">
          <xsd:maxLength value="255"/>
        </xsd:restriction>
      </xsd:simpleType>
    </xsd:element>
    <xsd:element name="DocumentOrigin" ma:index="16" nillable="true" ma:displayName="DocumentOrigin" ma:internalName="DocumentOrigin">
      <xsd:simpleType>
        <xsd:restriction base="dms:Text">
          <xsd:maxLength value="255"/>
        </xsd:restriction>
      </xsd:simpleType>
    </xsd:element>
    <xsd:element name="UploadedBy" ma:index="17" nillable="true" ma:displayName="UploadedBy" ma:internalName="UploadedBy">
      <xsd:simpleType>
        <xsd:restriction base="dms:Text">
          <xsd:maxLength value="25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Status" ma:index="27" nillable="true" ma:displayName="Status" ma:default="Draft" ma:description="Document Status" ma:format="Dropdown" ma:indexed="true" ma:internalName="Status">
      <xsd:simpleType>
        <xsd:restriction base="dms:Choice">
          <xsd:enumeration value="Draft"/>
          <xsd:enumeration value="Archived"/>
          <xsd:enumeration value="Deleted"/>
          <xsd:enumeration value="Finalized"/>
          <xsd:enumeration value="Finalized - Signature Redacted"/>
          <xsd:enumeration value="Published"/>
        </xsd:restriction>
      </xsd:simpleType>
    </xsd:element>
    <xsd:element name="DocumentDate" ma:index="28" nillable="true" ma:displayName="DocumentDate" ma:description="Document Date" ma:format="DateOnly" ma:internalName="DocumentDate">
      <xsd:simpleType>
        <xsd:restriction base="dms:DateTime"/>
      </xsd:simpleType>
    </xsd:element>
    <xsd:element name="DrupalDocId" ma:index="29" nillable="true" ma:displayName="DrupalDocId" ma:description="Drupal Document Id" ma:internalName="DrupalDocId">
      <xsd:simpleType>
        <xsd:restriction base="dms:Text">
          <xsd:maxLength value="255"/>
        </xsd:restriction>
      </xsd:simpleType>
    </xsd:element>
    <xsd:element name="Classification" ma:index="30" nillable="true" ma:displayName="Classification" ma:default="Internal" ma:description="Document Classification" ma:format="Dropdown" ma:indexed="true" ma:internalName="Classification">
      <xsd:simpleType>
        <xsd:restriction base="dms:Choice">
          <xsd:enumeration value="External"/>
          <xsd:enumeration value="Internal"/>
          <xsd:enumeration value="Confidential"/>
          <xsd:enumeration value="Very Confidential"/>
        </xsd:restriction>
      </xsd:simpleType>
    </xsd:element>
    <xsd:element name="Featured" ma:index="31" nillable="true" ma:displayName="Featured" ma:default="0" ma:description="Document Featured" ma:format="Dropdown" ma:internalName="Featured">
      <xsd:simpleType>
        <xsd:restriction base="dms:Choice">
          <xsd:enumeration value="0"/>
          <xsd:enumeration value="1"/>
        </xsd:restrictio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FormTypeCode" ma:index="35" nillable="true" ma:displayName="FormTypeCode" ma:description="Project form type code" ma:format="Dropdown" ma:indexed="true" ma:internalName="FormTypeCode">
      <xsd:simpleType>
        <xsd:restriction base="dms:Text">
          <xsd:maxLength value="255"/>
        </xsd:restriction>
      </xsd:simpleType>
    </xsd:element>
    <xsd:element name="FormCode" ma:index="36" nillable="true" ma:displayName="FormCode" ma:description="Project form code" ma:format="Dropdown" ma:indexed="true" ma:internalName="FormCode">
      <xsd:simpleType>
        <xsd:restriction base="dms:Text">
          <xsd:maxLength value="255"/>
        </xsd:restriction>
      </xsd:simpleType>
    </xsd:element>
    <xsd:element name="DocModified" ma:index="37" nillable="true" ma:displayName="DocModified" ma:default="No" ma:description="Document Modified" ma:format="Dropdown" ma:internalName="DocModified">
      <xsd:simpleType>
        <xsd:restriction base="dms:Choice">
          <xsd:enumeration value="Yes"/>
          <xsd:enumeration value="No"/>
        </xsd:restriction>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Location" ma:index="4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59e4c-f0d7-4feb-bda3-ed2800574e06" elementFormDefault="qualified">
    <xsd:import namespace="http://schemas.microsoft.com/office/2006/documentManagement/types"/>
    <xsd:import namespace="http://schemas.microsoft.com/office/infopath/2007/PartnerControls"/>
    <xsd:element name="TaxCatchAll" ma:index="34" nillable="true" ma:displayName="Taxonomy Catch All Column" ma:hidden="true" ma:list="{51d52f8b-6d40-4d16-91df-4b14ea0a2b7b}" ma:internalName="TaxCatchAll" ma:showField="CatchAllData" ma:web="cb759e4c-f0d7-4feb-bda3-ed2800574e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BFDAE-8C60-4122-969D-0FEE5B96FFF6}">
  <ds:schemaRefs>
    <ds:schemaRef ds:uri="http://schemas.microsoft.com/office/2006/metadata/properties"/>
    <ds:schemaRef ds:uri="http://schemas.microsoft.com/office/infopath/2007/PartnerControls"/>
    <ds:schemaRef ds:uri="1e35d478-40be-4ebc-a01a-b8fbc2de31e2"/>
    <ds:schemaRef ds:uri="cbeaf6cb-3891-4d85-892b-81fd4971d3f5"/>
  </ds:schemaRefs>
</ds:datastoreItem>
</file>

<file path=customXml/itemProps2.xml><?xml version="1.0" encoding="utf-8"?>
<ds:datastoreItem xmlns:ds="http://schemas.openxmlformats.org/officeDocument/2006/customXml" ds:itemID="{6B5ED47B-0C68-4611-8C2E-890EF2D4810D}">
  <ds:schemaRefs>
    <ds:schemaRef ds:uri="http://schemas.microsoft.com/sharepoint/v3/contenttype/forms"/>
  </ds:schemaRefs>
</ds:datastoreItem>
</file>

<file path=customXml/itemProps3.xml><?xml version="1.0" encoding="utf-8"?>
<ds:datastoreItem xmlns:ds="http://schemas.openxmlformats.org/officeDocument/2006/customXml" ds:itemID="{C3192505-10F2-4100-9308-4E4262C50641}"/>
</file>

<file path=customXml/itemProps4.xml><?xml version="1.0" encoding="utf-8"?>
<ds:datastoreItem xmlns:ds="http://schemas.openxmlformats.org/officeDocument/2006/customXml" ds:itemID="{CA0EA080-08D7-7149-B381-266CF693F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93</Pages>
  <Words>38397</Words>
  <Characters>218868</Characters>
  <Application>Microsoft Office Word</Application>
  <DocSecurity>0</DocSecurity>
  <Lines>1823</Lines>
  <Paragraphs>513</Paragraphs>
  <ScaleCrop>false</ScaleCrop>
  <HeadingPairs>
    <vt:vector size="2" baseType="variant">
      <vt:variant>
        <vt:lpstr>Titre</vt:lpstr>
      </vt:variant>
      <vt:variant>
        <vt:i4>1</vt:i4>
      </vt:variant>
    </vt:vector>
  </HeadingPairs>
  <TitlesOfParts>
    <vt:vector size="1" baseType="lpstr">
      <vt:lpstr/>
    </vt:vector>
  </TitlesOfParts>
  <Company>World Food Programme</Company>
  <LinksUpToDate>false</LinksUpToDate>
  <CharactersWithSpaces>256752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Kibira - Rap Final.docx</dc:title>
  <dc:subject/>
  <dc:creator>Chiara RACCICHINI</dc:creator>
  <cp:keywords/>
  <dc:description/>
  <cp:lastModifiedBy>Suzanne Kanyange</cp:lastModifiedBy>
  <cp:revision>2</cp:revision>
  <cp:lastPrinted>2025-12-18T10:22:00Z</cp:lastPrinted>
  <dcterms:created xsi:type="dcterms:W3CDTF">2026-07-24T17:50:00Z</dcterms:created>
  <dcterms:modified xsi:type="dcterms:W3CDTF">2026-07-24T17:50:00Z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0x010100A20E1B0FB969FA4DB37D3562DA9CC146</vt:lpwstr>
  </property>
  <property fmtid="{D5CDD505-2E9C-101B-9397-08002B2CF9AE}" pid="3" name="URL">
    <vt:lpwstr/>
  </property>
  <property fmtid="{D5CDD505-2E9C-101B-9397-08002B2CF9AE}" pid="4" name="Year0">
    <vt:lpwstr/>
  </property>
  <property fmtid="{D5CDD505-2E9C-101B-9397-08002B2CF9AE}" pid="5" name="Document type0">
    <vt:lpwstr/>
  </property>
  <property fmtid="{D5CDD505-2E9C-101B-9397-08002B2CF9AE}" pid="6" name="Document type">
    <vt:lpwstr/>
  </property>
  <property fmtid="{D5CDD505-2E9C-101B-9397-08002B2CF9AE}" pid="7" name="MediaServiceImageTags">
    <vt:lpwstr/>
  </property>
</Properties>
</file>