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5DB2" w14:textId="77777777" w:rsidR="00930EC1" w:rsidRPr="00DB4987" w:rsidRDefault="00930EC1" w:rsidP="00E110C0">
      <w:pPr>
        <w:pStyle w:val="Title"/>
        <w:spacing w:line="276" w:lineRule="auto"/>
        <w:jc w:val="left"/>
        <w:rPr>
          <w:sz w:val="24"/>
          <w:szCs w:val="24"/>
          <w:lang w:val="fr-FR"/>
        </w:rPr>
      </w:pPr>
    </w:p>
    <w:tbl>
      <w:tblPr>
        <w:tblpPr w:leftFromText="180" w:rightFromText="180" w:vertAnchor="text" w:horzAnchor="margin" w:tblpXSpec="center" w:tblpY="5"/>
        <w:tblW w:w="8667" w:type="dxa"/>
        <w:tblLayout w:type="fixed"/>
        <w:tblCellMar>
          <w:left w:w="0" w:type="dxa"/>
          <w:right w:w="0" w:type="dxa"/>
        </w:tblCellMar>
        <w:tblLook w:val="04A0" w:firstRow="1" w:lastRow="0" w:firstColumn="1" w:lastColumn="0" w:noHBand="0" w:noVBand="1"/>
      </w:tblPr>
      <w:tblGrid>
        <w:gridCol w:w="20"/>
        <w:gridCol w:w="5650"/>
        <w:gridCol w:w="2997"/>
      </w:tblGrid>
      <w:tr w:rsidR="00AB6C24" w:rsidRPr="00DB4987" w14:paraId="78A00DBD" w14:textId="77777777" w:rsidTr="009A4AFD">
        <w:trPr>
          <w:trHeight w:val="1098"/>
        </w:trPr>
        <w:tc>
          <w:tcPr>
            <w:tcW w:w="20" w:type="dxa"/>
            <w:vAlign w:val="bottom"/>
          </w:tcPr>
          <w:p w14:paraId="09D92A45" w14:textId="77777777" w:rsidR="00930EC1" w:rsidRPr="00DB4987" w:rsidRDefault="00930EC1" w:rsidP="009A4AFD">
            <w:pPr>
              <w:pStyle w:val="UN-00Logosoncoveralignedleft"/>
              <w:spacing w:line="276" w:lineRule="auto"/>
              <w:rPr>
                <w:sz w:val="24"/>
                <w:szCs w:val="24"/>
                <w:highlight w:val="yellow"/>
                <w:lang w:val="fr-FR"/>
              </w:rPr>
            </w:pPr>
          </w:p>
        </w:tc>
        <w:tc>
          <w:tcPr>
            <w:tcW w:w="5650" w:type="dxa"/>
            <w:vAlign w:val="bottom"/>
          </w:tcPr>
          <w:p w14:paraId="6B3750D0" w14:textId="77777777" w:rsidR="00930EC1" w:rsidRPr="00DB4987" w:rsidRDefault="00930EC1" w:rsidP="009A4AF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jc w:val="center"/>
              <w:rPr>
                <w:spacing w:val="-3"/>
                <w:szCs w:val="24"/>
                <w:lang w:val="en-US"/>
              </w:rPr>
            </w:pPr>
            <w:r w:rsidRPr="00DB4987">
              <w:rPr>
                <w:spacing w:val="-3"/>
                <w:szCs w:val="24"/>
                <w:lang w:val="en-US"/>
              </w:rPr>
              <w:t xml:space="preserve">SUN Movement </w:t>
            </w:r>
          </w:p>
          <w:p w14:paraId="44241ACC" w14:textId="77777777" w:rsidR="00930EC1" w:rsidRPr="00DB4987" w:rsidRDefault="00930EC1" w:rsidP="009A4AF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jc w:val="center"/>
              <w:rPr>
                <w:noProof/>
                <w:szCs w:val="24"/>
                <w:highlight w:val="yellow"/>
                <w:lang w:val="en-US"/>
              </w:rPr>
            </w:pPr>
            <w:r w:rsidRPr="00DB4987">
              <w:rPr>
                <w:spacing w:val="-3"/>
                <w:szCs w:val="24"/>
                <w:lang w:val="en-US"/>
              </w:rPr>
              <w:t>Multi-Partner Trust Fund</w:t>
            </w:r>
          </w:p>
        </w:tc>
        <w:tc>
          <w:tcPr>
            <w:tcW w:w="2997" w:type="dxa"/>
            <w:vAlign w:val="bottom"/>
          </w:tcPr>
          <w:p w14:paraId="3824D8DB" w14:textId="77777777" w:rsidR="00930EC1" w:rsidRPr="00DB4987" w:rsidRDefault="00930EC1" w:rsidP="009A4AFD">
            <w:pPr>
              <w:pStyle w:val="UN-00Logosoncoveralignedright"/>
              <w:spacing w:line="276" w:lineRule="auto"/>
              <w:jc w:val="center"/>
              <w:rPr>
                <w:sz w:val="24"/>
                <w:szCs w:val="24"/>
                <w:highlight w:val="yellow"/>
                <w:lang w:val="fr-FR"/>
              </w:rPr>
            </w:pPr>
            <w:r w:rsidRPr="00DB4987">
              <w:rPr>
                <w:noProof/>
                <w:sz w:val="24"/>
                <w:szCs w:val="24"/>
              </w:rPr>
              <w:drawing>
                <wp:inline distT="0" distB="0" distL="0" distR="0" wp14:anchorId="68EFDAAA" wp14:editId="54A48F7D">
                  <wp:extent cx="1193800" cy="1041400"/>
                  <wp:effectExtent l="0" t="0" r="0" b="0"/>
                  <wp:docPr id="4" name="Picture 4" desc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93800" cy="1041400"/>
                          </a:xfrm>
                          <a:prstGeom prst="rect">
                            <a:avLst/>
                          </a:prstGeom>
                          <a:noFill/>
                          <a:ln>
                            <a:noFill/>
                          </a:ln>
                        </pic:spPr>
                      </pic:pic>
                    </a:graphicData>
                  </a:graphic>
                </wp:inline>
              </w:drawing>
            </w:r>
          </w:p>
        </w:tc>
      </w:tr>
    </w:tbl>
    <w:p w14:paraId="2F3C171A" w14:textId="77777777" w:rsidR="00930EC1" w:rsidRPr="00DB4987" w:rsidRDefault="00930EC1" w:rsidP="00930EC1">
      <w:pPr>
        <w:pStyle w:val="Title"/>
        <w:spacing w:line="276" w:lineRule="auto"/>
        <w:ind w:left="7920"/>
        <w:jc w:val="left"/>
        <w:rPr>
          <w:sz w:val="24"/>
          <w:szCs w:val="24"/>
          <w:lang w:val="fr-FR"/>
        </w:rPr>
      </w:pPr>
    </w:p>
    <w:p w14:paraId="2F4F1BA2" w14:textId="77777777" w:rsidR="00930EC1" w:rsidRPr="00DB4987" w:rsidRDefault="00930EC1" w:rsidP="00930EC1">
      <w:pPr>
        <w:rPr>
          <w:b/>
          <w:bCs/>
          <w:caps/>
          <w:szCs w:val="24"/>
          <w:lang w:val="fr-FR"/>
        </w:rPr>
      </w:pPr>
    </w:p>
    <w:p w14:paraId="08E3F1DE" w14:textId="77777777" w:rsidR="00930EC1" w:rsidRPr="00DB4987" w:rsidRDefault="00930EC1" w:rsidP="00930EC1">
      <w:pPr>
        <w:jc w:val="center"/>
        <w:rPr>
          <w:b/>
          <w:bCs/>
          <w:caps/>
          <w:szCs w:val="24"/>
          <w:lang w:val="en-US"/>
        </w:rPr>
      </w:pPr>
      <w:r w:rsidRPr="00DB4987">
        <w:rPr>
          <w:b/>
          <w:bCs/>
          <w:caps/>
          <w:szCs w:val="24"/>
          <w:lang w:val="en-US"/>
        </w:rPr>
        <w:t>ANNUAL NARRATIVE progress report</w:t>
      </w:r>
    </w:p>
    <w:p w14:paraId="2BC28739" w14:textId="77777777" w:rsidR="00930EC1" w:rsidRPr="00DB4987" w:rsidRDefault="00930EC1" w:rsidP="00930EC1">
      <w:pPr>
        <w:rPr>
          <w:szCs w:val="24"/>
          <w:lang w:val="en-US"/>
        </w:rPr>
      </w:pPr>
    </w:p>
    <w:p w14:paraId="60CA6AAD" w14:textId="77777777" w:rsidR="00930EC1" w:rsidRPr="00DB4987" w:rsidRDefault="00930EC1" w:rsidP="00930EC1">
      <w:pPr>
        <w:pStyle w:val="Heading1"/>
        <w:ind w:left="1440" w:hanging="1440"/>
        <w:rPr>
          <w:rFonts w:ascii="Times New Roman" w:hAnsi="Times New Roman"/>
          <w:sz w:val="24"/>
          <w:szCs w:val="24"/>
          <w:u w:val="single"/>
          <w:lang w:val="en-US"/>
        </w:rPr>
      </w:pPr>
      <w:r w:rsidRPr="00DB4987">
        <w:rPr>
          <w:rFonts w:ascii="Times New Roman" w:hAnsi="Times New Roman"/>
          <w:sz w:val="24"/>
          <w:szCs w:val="24"/>
          <w:u w:val="single"/>
          <w:lang w:val="en-US"/>
        </w:rPr>
        <w:t>REPORT COVER PAGE</w:t>
      </w:r>
    </w:p>
    <w:p w14:paraId="506B47F0" w14:textId="77777777" w:rsidR="00930EC1" w:rsidRPr="00DB4987" w:rsidRDefault="00930EC1" w:rsidP="00930EC1">
      <w:pPr>
        <w:rPr>
          <w:szCs w:val="24"/>
          <w:highlight w:val="yellow"/>
          <w:lang w:val="en-US"/>
        </w:rPr>
      </w:pPr>
    </w:p>
    <w:tbl>
      <w:tblPr>
        <w:tblW w:w="9625" w:type="dxa"/>
        <w:tblLook w:val="01E0" w:firstRow="1" w:lastRow="1" w:firstColumn="1" w:lastColumn="1" w:noHBand="0" w:noVBand="0"/>
      </w:tblPr>
      <w:tblGrid>
        <w:gridCol w:w="4732"/>
        <w:gridCol w:w="236"/>
        <w:gridCol w:w="4657"/>
      </w:tblGrid>
      <w:tr w:rsidR="00AB6C24" w:rsidRPr="00DB4987" w14:paraId="12A355DD" w14:textId="77777777" w:rsidTr="007A1105">
        <w:tc>
          <w:tcPr>
            <w:tcW w:w="4732" w:type="dxa"/>
            <w:tcBorders>
              <w:top w:val="single" w:sz="4" w:space="0" w:color="auto"/>
              <w:left w:val="single" w:sz="4" w:space="0" w:color="auto"/>
              <w:right w:val="single" w:sz="4" w:space="0" w:color="auto"/>
            </w:tcBorders>
          </w:tcPr>
          <w:p w14:paraId="3EB39AE7" w14:textId="77777777" w:rsidR="00930EC1" w:rsidRPr="00DB4987" w:rsidRDefault="00930EC1" w:rsidP="009A4AFD">
            <w:pPr>
              <w:pStyle w:val="Heading2"/>
              <w:ind w:left="0"/>
              <w:rPr>
                <w:szCs w:val="24"/>
                <w:lang w:val="fr-FR"/>
              </w:rPr>
            </w:pPr>
            <w:r w:rsidRPr="00DB4987">
              <w:rPr>
                <w:szCs w:val="24"/>
                <w:lang w:val="fr-FR"/>
              </w:rPr>
              <w:t>Participating Organization:</w:t>
            </w:r>
          </w:p>
          <w:p w14:paraId="0B4A6C29" w14:textId="77777777" w:rsidR="00446862" w:rsidRPr="00DB4987" w:rsidRDefault="00446862" w:rsidP="00446862">
            <w:pPr>
              <w:rPr>
                <w:szCs w:val="24"/>
                <w:lang w:val="fr-FR" w:eastAsia="x-none"/>
              </w:rPr>
            </w:pPr>
            <w:r w:rsidRPr="00DB4987">
              <w:rPr>
                <w:szCs w:val="24"/>
                <w:lang w:val="fr-FR" w:eastAsia="x-none"/>
              </w:rPr>
              <w:t>Terre des Hommes Lausanne</w:t>
            </w:r>
          </w:p>
          <w:p w14:paraId="41240503" w14:textId="77777777" w:rsidR="00C563DA" w:rsidRPr="00DB4987" w:rsidRDefault="00C563DA" w:rsidP="00446862">
            <w:pPr>
              <w:rPr>
                <w:szCs w:val="24"/>
                <w:lang w:val="fr-FR" w:eastAsia="x-none"/>
              </w:rPr>
            </w:pPr>
            <w:r w:rsidRPr="00DB4987">
              <w:rPr>
                <w:szCs w:val="24"/>
                <w:lang w:val="fr-FR" w:eastAsia="x-none"/>
              </w:rPr>
              <w:t xml:space="preserve">Le Conseil National des Organisations de la Société Civile Guinéenne </w:t>
            </w:r>
          </w:p>
          <w:p w14:paraId="1DE10CB3" w14:textId="77777777" w:rsidR="00C563DA" w:rsidRPr="00DB4987" w:rsidRDefault="00C563DA" w:rsidP="00446862">
            <w:pPr>
              <w:rPr>
                <w:szCs w:val="24"/>
                <w:lang w:val="fr-FR" w:eastAsia="x-none"/>
              </w:rPr>
            </w:pPr>
            <w:r w:rsidRPr="00DB4987">
              <w:rPr>
                <w:szCs w:val="24"/>
                <w:lang w:val="fr-FR" w:eastAsia="x-none"/>
              </w:rPr>
              <w:t xml:space="preserve">Le Ministère de la santé </w:t>
            </w:r>
          </w:p>
          <w:p w14:paraId="5DB0E2E0" w14:textId="77777777" w:rsidR="00446862" w:rsidRPr="00DB4987" w:rsidRDefault="00446862" w:rsidP="00446862">
            <w:pPr>
              <w:rPr>
                <w:szCs w:val="24"/>
                <w:lang w:val="fr-FR" w:eastAsia="x-none"/>
              </w:rPr>
            </w:pPr>
            <w:r w:rsidRPr="00DB4987">
              <w:rPr>
                <w:szCs w:val="24"/>
                <w:lang w:val="fr-FR" w:eastAsia="x-none"/>
              </w:rPr>
              <w:t>UNICEF</w:t>
            </w:r>
          </w:p>
        </w:tc>
        <w:tc>
          <w:tcPr>
            <w:tcW w:w="236" w:type="dxa"/>
            <w:tcBorders>
              <w:left w:val="single" w:sz="4" w:space="0" w:color="auto"/>
              <w:right w:val="single" w:sz="4" w:space="0" w:color="auto"/>
            </w:tcBorders>
          </w:tcPr>
          <w:p w14:paraId="65FC9FE3" w14:textId="77777777" w:rsidR="00930EC1" w:rsidRPr="00DB4987" w:rsidRDefault="00930EC1" w:rsidP="009A4AFD">
            <w:pPr>
              <w:pStyle w:val="Heading2"/>
              <w:ind w:hanging="720"/>
              <w:rPr>
                <w:szCs w:val="24"/>
                <w:lang w:val="fr-FR"/>
              </w:rPr>
            </w:pPr>
          </w:p>
        </w:tc>
        <w:tc>
          <w:tcPr>
            <w:tcW w:w="4657" w:type="dxa"/>
            <w:tcBorders>
              <w:top w:val="single" w:sz="4" w:space="0" w:color="auto"/>
              <w:left w:val="single" w:sz="4" w:space="0" w:color="auto"/>
              <w:right w:val="single" w:sz="4" w:space="0" w:color="auto"/>
            </w:tcBorders>
          </w:tcPr>
          <w:p w14:paraId="278EB29D" w14:textId="77777777" w:rsidR="00930EC1" w:rsidRPr="00DB4987" w:rsidRDefault="00930EC1" w:rsidP="009A4AFD">
            <w:pPr>
              <w:pStyle w:val="Heading2"/>
              <w:ind w:left="0"/>
              <w:rPr>
                <w:szCs w:val="24"/>
                <w:lang w:val="en-US"/>
              </w:rPr>
            </w:pPr>
            <w:r w:rsidRPr="00DB4987">
              <w:rPr>
                <w:szCs w:val="24"/>
                <w:lang w:val="en-US"/>
              </w:rPr>
              <w:t>Priority Sector covered:</w:t>
            </w:r>
          </w:p>
          <w:p w14:paraId="28670123" w14:textId="77777777" w:rsidR="00446862" w:rsidRPr="00DB4987" w:rsidRDefault="00446862" w:rsidP="00446862">
            <w:pPr>
              <w:rPr>
                <w:szCs w:val="24"/>
                <w:lang w:val="en-US" w:eastAsia="x-none"/>
              </w:rPr>
            </w:pPr>
            <w:r w:rsidRPr="00DB4987">
              <w:rPr>
                <w:szCs w:val="24"/>
                <w:lang w:val="en-US" w:eastAsia="x-none"/>
              </w:rPr>
              <w:t xml:space="preserve">Multiple partners advocating for Nutrition </w:t>
            </w:r>
          </w:p>
        </w:tc>
      </w:tr>
      <w:tr w:rsidR="00AB6C24" w:rsidRPr="00DB4987" w14:paraId="710F8C8A" w14:textId="77777777" w:rsidTr="007A1105">
        <w:trPr>
          <w:trHeight w:val="396"/>
        </w:trPr>
        <w:tc>
          <w:tcPr>
            <w:tcW w:w="4732" w:type="dxa"/>
            <w:tcBorders>
              <w:left w:val="single" w:sz="4" w:space="0" w:color="auto"/>
              <w:bottom w:val="single" w:sz="4" w:space="0" w:color="auto"/>
              <w:right w:val="single" w:sz="4" w:space="0" w:color="auto"/>
            </w:tcBorders>
          </w:tcPr>
          <w:p w14:paraId="1F21B0F7" w14:textId="77777777" w:rsidR="00930EC1" w:rsidRPr="00DB4987" w:rsidRDefault="00930EC1" w:rsidP="009A4AFD">
            <w:pPr>
              <w:pStyle w:val="BodyText"/>
              <w:ind w:hanging="720"/>
              <w:rPr>
                <w:szCs w:val="24"/>
                <w:lang w:val="en-US" w:eastAsia="en-US"/>
              </w:rPr>
            </w:pPr>
          </w:p>
        </w:tc>
        <w:tc>
          <w:tcPr>
            <w:tcW w:w="236" w:type="dxa"/>
            <w:tcBorders>
              <w:left w:val="single" w:sz="4" w:space="0" w:color="auto"/>
              <w:right w:val="single" w:sz="4" w:space="0" w:color="auto"/>
            </w:tcBorders>
          </w:tcPr>
          <w:p w14:paraId="6A8EB79D" w14:textId="77777777" w:rsidR="00930EC1" w:rsidRPr="00DB4987" w:rsidRDefault="00930EC1" w:rsidP="009A4AFD">
            <w:pPr>
              <w:pStyle w:val="BodyText"/>
              <w:ind w:hanging="720"/>
              <w:rPr>
                <w:szCs w:val="24"/>
                <w:lang w:val="en-US" w:eastAsia="en-US"/>
              </w:rPr>
            </w:pPr>
          </w:p>
        </w:tc>
        <w:tc>
          <w:tcPr>
            <w:tcW w:w="4657" w:type="dxa"/>
            <w:tcBorders>
              <w:left w:val="single" w:sz="4" w:space="0" w:color="auto"/>
              <w:bottom w:val="single" w:sz="4" w:space="0" w:color="auto"/>
              <w:right w:val="single" w:sz="4" w:space="0" w:color="auto"/>
            </w:tcBorders>
          </w:tcPr>
          <w:p w14:paraId="0026F19C" w14:textId="77777777" w:rsidR="00930EC1" w:rsidRPr="00DB4987" w:rsidRDefault="00930EC1" w:rsidP="009A4AFD">
            <w:pPr>
              <w:pStyle w:val="BodyText"/>
              <w:ind w:hanging="720"/>
              <w:rPr>
                <w:szCs w:val="24"/>
                <w:lang w:val="en-US" w:eastAsia="en-US"/>
              </w:rPr>
            </w:pPr>
          </w:p>
        </w:tc>
      </w:tr>
    </w:tbl>
    <w:p w14:paraId="7C8F840A" w14:textId="77777777" w:rsidR="00930EC1" w:rsidRPr="00DB4987" w:rsidRDefault="00930EC1" w:rsidP="00930EC1">
      <w:pPr>
        <w:ind w:hanging="720"/>
        <w:rPr>
          <w:szCs w:val="24"/>
          <w:lang w:val="en-US"/>
        </w:rPr>
      </w:pPr>
    </w:p>
    <w:tbl>
      <w:tblPr>
        <w:tblW w:w="9625" w:type="dxa"/>
        <w:tblLook w:val="01E0" w:firstRow="1" w:lastRow="1" w:firstColumn="1" w:lastColumn="1" w:noHBand="0" w:noVBand="0"/>
      </w:tblPr>
      <w:tblGrid>
        <w:gridCol w:w="4732"/>
        <w:gridCol w:w="236"/>
        <w:gridCol w:w="4657"/>
      </w:tblGrid>
      <w:tr w:rsidR="00AB6C24" w:rsidRPr="00DB4987" w14:paraId="15D5A5FC" w14:textId="77777777" w:rsidTr="007A1105">
        <w:tc>
          <w:tcPr>
            <w:tcW w:w="4732" w:type="dxa"/>
            <w:tcBorders>
              <w:top w:val="single" w:sz="4" w:space="0" w:color="auto"/>
              <w:left w:val="single" w:sz="4" w:space="0" w:color="auto"/>
              <w:right w:val="single" w:sz="4" w:space="0" w:color="auto"/>
            </w:tcBorders>
          </w:tcPr>
          <w:p w14:paraId="28C9703E" w14:textId="77777777" w:rsidR="00930EC1" w:rsidRPr="00DB4987" w:rsidRDefault="00930EC1" w:rsidP="009A4AFD">
            <w:pPr>
              <w:pStyle w:val="Heading2"/>
              <w:ind w:left="0"/>
              <w:rPr>
                <w:szCs w:val="24"/>
                <w:lang w:val="en-US"/>
              </w:rPr>
            </w:pPr>
            <w:r w:rsidRPr="00DB4987">
              <w:rPr>
                <w:szCs w:val="24"/>
                <w:lang w:val="en-US"/>
              </w:rPr>
              <w:t>Programme</w:t>
            </w:r>
            <w:r w:rsidRPr="00DB4987">
              <w:rPr>
                <w:szCs w:val="24"/>
                <w:vertAlign w:val="superscript"/>
                <w:lang w:val="en-US"/>
              </w:rPr>
              <w:t xml:space="preserve">1 </w:t>
            </w:r>
            <w:r w:rsidRPr="00DB4987">
              <w:rPr>
                <w:szCs w:val="24"/>
                <w:lang w:val="en-US"/>
              </w:rPr>
              <w:t>No. and Programme Title:</w:t>
            </w:r>
          </w:p>
          <w:p w14:paraId="52E3B0B2" w14:textId="77777777" w:rsidR="00446862" w:rsidRPr="00DB4987" w:rsidRDefault="00446862" w:rsidP="00446862">
            <w:pPr>
              <w:rPr>
                <w:szCs w:val="24"/>
                <w:lang w:val="fr-FR" w:eastAsia="x-none"/>
              </w:rPr>
            </w:pPr>
            <w:r w:rsidRPr="00DB4987">
              <w:rPr>
                <w:szCs w:val="24"/>
                <w:lang w:val="fr-FR" w:eastAsia="x-none"/>
              </w:rPr>
              <w:t>Appui à la mobilisation de la société civile pour le renforcement de la nutrition en Guinée</w:t>
            </w:r>
          </w:p>
          <w:p w14:paraId="03FE8305" w14:textId="77777777" w:rsidR="00446862" w:rsidRPr="00DB4987" w:rsidRDefault="00446862" w:rsidP="00446862">
            <w:pPr>
              <w:rPr>
                <w:szCs w:val="24"/>
                <w:lang w:val="en-US" w:eastAsia="x-none"/>
              </w:rPr>
            </w:pPr>
            <w:r w:rsidRPr="00DB4987">
              <w:rPr>
                <w:szCs w:val="24"/>
                <w:lang w:val="en-US" w:eastAsia="x-none"/>
              </w:rPr>
              <w:t xml:space="preserve">Civil society mobilization to strength nutrition in Guinea. </w:t>
            </w:r>
          </w:p>
        </w:tc>
        <w:tc>
          <w:tcPr>
            <w:tcW w:w="236" w:type="dxa"/>
            <w:tcBorders>
              <w:left w:val="single" w:sz="4" w:space="0" w:color="auto"/>
              <w:right w:val="single" w:sz="4" w:space="0" w:color="auto"/>
            </w:tcBorders>
          </w:tcPr>
          <w:p w14:paraId="55F50EF0" w14:textId="77777777" w:rsidR="00930EC1" w:rsidRPr="00DB4987" w:rsidRDefault="00930EC1" w:rsidP="009A4AFD">
            <w:pPr>
              <w:pStyle w:val="Heading2"/>
              <w:ind w:hanging="720"/>
              <w:rPr>
                <w:szCs w:val="24"/>
                <w:lang w:val="en-US"/>
              </w:rPr>
            </w:pPr>
          </w:p>
        </w:tc>
        <w:tc>
          <w:tcPr>
            <w:tcW w:w="4657" w:type="dxa"/>
            <w:tcBorders>
              <w:top w:val="single" w:sz="4" w:space="0" w:color="auto"/>
              <w:left w:val="single" w:sz="4" w:space="0" w:color="auto"/>
              <w:right w:val="single" w:sz="4" w:space="0" w:color="auto"/>
            </w:tcBorders>
          </w:tcPr>
          <w:p w14:paraId="354AE8E7" w14:textId="77777777" w:rsidR="00930EC1" w:rsidRPr="00DB4987" w:rsidRDefault="00930EC1" w:rsidP="009A4AFD">
            <w:pPr>
              <w:pStyle w:val="Heading2"/>
              <w:ind w:hanging="720"/>
              <w:rPr>
                <w:szCs w:val="24"/>
                <w:lang w:val="fr-FR"/>
              </w:rPr>
            </w:pPr>
            <w:r w:rsidRPr="00DB4987">
              <w:rPr>
                <w:szCs w:val="24"/>
                <w:lang w:val="fr-FR"/>
              </w:rPr>
              <w:t xml:space="preserve">Report Number: </w:t>
            </w:r>
            <w:r w:rsidR="00FE2FA2" w:rsidRPr="00DB4987">
              <w:rPr>
                <w:szCs w:val="24"/>
                <w:lang w:val="fr-FR"/>
              </w:rPr>
              <w:t>2</w:t>
            </w:r>
          </w:p>
        </w:tc>
      </w:tr>
      <w:tr w:rsidR="00AB6C24" w:rsidRPr="00DB4987" w14:paraId="4D6B0CEE" w14:textId="77777777" w:rsidTr="007A1105">
        <w:trPr>
          <w:trHeight w:val="297"/>
        </w:trPr>
        <w:tc>
          <w:tcPr>
            <w:tcW w:w="4732" w:type="dxa"/>
            <w:tcBorders>
              <w:left w:val="single" w:sz="4" w:space="0" w:color="auto"/>
              <w:bottom w:val="single" w:sz="4" w:space="0" w:color="auto"/>
              <w:right w:val="single" w:sz="4" w:space="0" w:color="auto"/>
            </w:tcBorders>
          </w:tcPr>
          <w:p w14:paraId="404D73A3" w14:textId="77777777" w:rsidR="00930EC1" w:rsidRPr="00DB4987" w:rsidRDefault="00930EC1" w:rsidP="009A4AFD">
            <w:pPr>
              <w:pStyle w:val="BodyText"/>
              <w:ind w:hanging="720"/>
              <w:rPr>
                <w:szCs w:val="24"/>
                <w:lang w:val="fr-FR" w:eastAsia="en-US"/>
              </w:rPr>
            </w:pPr>
          </w:p>
          <w:p w14:paraId="765A0BCE" w14:textId="77777777" w:rsidR="00930EC1" w:rsidRPr="00DB4987" w:rsidRDefault="00930EC1" w:rsidP="009A4AFD">
            <w:pPr>
              <w:pStyle w:val="BodyText"/>
              <w:ind w:hanging="720"/>
              <w:rPr>
                <w:szCs w:val="24"/>
                <w:lang w:val="fr-FR" w:eastAsia="en-US"/>
              </w:rPr>
            </w:pPr>
          </w:p>
          <w:p w14:paraId="7783C4A2" w14:textId="77777777" w:rsidR="00930EC1" w:rsidRPr="00DB4987" w:rsidRDefault="00930EC1" w:rsidP="009A4AFD">
            <w:pPr>
              <w:pStyle w:val="BodyText"/>
              <w:ind w:hanging="720"/>
              <w:rPr>
                <w:szCs w:val="24"/>
                <w:lang w:val="fr-FR" w:eastAsia="en-US"/>
              </w:rPr>
            </w:pPr>
          </w:p>
        </w:tc>
        <w:tc>
          <w:tcPr>
            <w:tcW w:w="236" w:type="dxa"/>
            <w:tcBorders>
              <w:left w:val="single" w:sz="4" w:space="0" w:color="auto"/>
              <w:right w:val="single" w:sz="4" w:space="0" w:color="auto"/>
            </w:tcBorders>
          </w:tcPr>
          <w:p w14:paraId="151B8326" w14:textId="77777777" w:rsidR="00930EC1" w:rsidRPr="00DB4987" w:rsidRDefault="00930EC1" w:rsidP="009A4AFD">
            <w:pPr>
              <w:pStyle w:val="BodyText"/>
              <w:ind w:hanging="720"/>
              <w:rPr>
                <w:szCs w:val="24"/>
                <w:lang w:val="fr-FR" w:eastAsia="en-US"/>
              </w:rPr>
            </w:pPr>
          </w:p>
        </w:tc>
        <w:tc>
          <w:tcPr>
            <w:tcW w:w="4657" w:type="dxa"/>
            <w:tcBorders>
              <w:left w:val="single" w:sz="4" w:space="0" w:color="auto"/>
              <w:bottom w:val="single" w:sz="4" w:space="0" w:color="auto"/>
              <w:right w:val="single" w:sz="4" w:space="0" w:color="auto"/>
            </w:tcBorders>
          </w:tcPr>
          <w:p w14:paraId="5B830BDD" w14:textId="77777777" w:rsidR="00930EC1" w:rsidRPr="00DB4987" w:rsidRDefault="00930EC1" w:rsidP="009A4AFD">
            <w:pPr>
              <w:pStyle w:val="BodyText"/>
              <w:ind w:hanging="720"/>
              <w:rPr>
                <w:szCs w:val="24"/>
                <w:lang w:val="fr-FR" w:eastAsia="en-US"/>
              </w:rPr>
            </w:pPr>
          </w:p>
        </w:tc>
      </w:tr>
    </w:tbl>
    <w:p w14:paraId="1EDBD2AA" w14:textId="77777777" w:rsidR="00930EC1" w:rsidRPr="00DB4987" w:rsidRDefault="00930EC1" w:rsidP="00930EC1">
      <w:pPr>
        <w:ind w:hanging="720"/>
        <w:rPr>
          <w:szCs w:val="24"/>
          <w:lang w:val="fr-FR"/>
        </w:rPr>
      </w:pPr>
    </w:p>
    <w:tbl>
      <w:tblPr>
        <w:tblW w:w="9625" w:type="dxa"/>
        <w:tblLook w:val="01E0" w:firstRow="1" w:lastRow="1" w:firstColumn="1" w:lastColumn="1" w:noHBand="0" w:noVBand="0"/>
      </w:tblPr>
      <w:tblGrid>
        <w:gridCol w:w="4732"/>
        <w:gridCol w:w="236"/>
        <w:gridCol w:w="4657"/>
      </w:tblGrid>
      <w:tr w:rsidR="00AB6C24" w:rsidRPr="00DB4987" w14:paraId="7ADF2B45" w14:textId="77777777" w:rsidTr="007A1105">
        <w:tc>
          <w:tcPr>
            <w:tcW w:w="4732" w:type="dxa"/>
            <w:tcBorders>
              <w:top w:val="single" w:sz="4" w:space="0" w:color="auto"/>
              <w:left w:val="single" w:sz="4" w:space="0" w:color="auto"/>
              <w:right w:val="single" w:sz="4" w:space="0" w:color="auto"/>
            </w:tcBorders>
          </w:tcPr>
          <w:p w14:paraId="722D932E" w14:textId="2BE566ED" w:rsidR="00930EC1" w:rsidRPr="00DB4987" w:rsidRDefault="00930EC1" w:rsidP="009A4AFD">
            <w:pPr>
              <w:pStyle w:val="Heading2"/>
              <w:ind w:hanging="720"/>
              <w:rPr>
                <w:szCs w:val="24"/>
                <w:lang w:val="fr-FR"/>
              </w:rPr>
            </w:pPr>
            <w:r w:rsidRPr="00DB4987">
              <w:rPr>
                <w:szCs w:val="24"/>
                <w:lang w:val="fr-FR"/>
              </w:rPr>
              <w:t xml:space="preserve">Reporting Period: </w:t>
            </w:r>
            <w:r w:rsidRPr="00DB4987">
              <w:rPr>
                <w:szCs w:val="24"/>
                <w:lang w:val="fr-FR"/>
              </w:rPr>
              <w:tab/>
            </w:r>
            <w:r w:rsidR="00FE2FA2" w:rsidRPr="00DB4987">
              <w:rPr>
                <w:szCs w:val="24"/>
                <w:lang w:val="fr-FR"/>
              </w:rPr>
              <w:t>Mars</w:t>
            </w:r>
            <w:r w:rsidR="00446862" w:rsidRPr="00DB4987">
              <w:rPr>
                <w:szCs w:val="24"/>
                <w:lang w:val="fr-FR"/>
              </w:rPr>
              <w:t>-December 2015</w:t>
            </w:r>
          </w:p>
        </w:tc>
        <w:tc>
          <w:tcPr>
            <w:tcW w:w="236" w:type="dxa"/>
            <w:tcBorders>
              <w:left w:val="single" w:sz="4" w:space="0" w:color="auto"/>
              <w:right w:val="single" w:sz="4" w:space="0" w:color="auto"/>
            </w:tcBorders>
          </w:tcPr>
          <w:p w14:paraId="59743A3B" w14:textId="77777777" w:rsidR="00930EC1" w:rsidRPr="00DB4987" w:rsidRDefault="00930EC1" w:rsidP="009A4AFD">
            <w:pPr>
              <w:pStyle w:val="Heading2"/>
              <w:ind w:hanging="720"/>
              <w:rPr>
                <w:szCs w:val="24"/>
                <w:lang w:val="fr-FR"/>
              </w:rPr>
            </w:pPr>
          </w:p>
        </w:tc>
        <w:tc>
          <w:tcPr>
            <w:tcW w:w="4657" w:type="dxa"/>
            <w:tcBorders>
              <w:top w:val="single" w:sz="4" w:space="0" w:color="auto"/>
              <w:left w:val="single" w:sz="4" w:space="0" w:color="auto"/>
              <w:right w:val="single" w:sz="4" w:space="0" w:color="auto"/>
            </w:tcBorders>
          </w:tcPr>
          <w:p w14:paraId="5AEAC046" w14:textId="7EBBA9E4" w:rsidR="00930EC1" w:rsidRPr="00DB4987" w:rsidRDefault="00930EC1" w:rsidP="007A1105">
            <w:pPr>
              <w:pStyle w:val="Heading2"/>
              <w:ind w:hanging="720"/>
              <w:rPr>
                <w:szCs w:val="24"/>
                <w:lang w:val="fr-FR"/>
              </w:rPr>
            </w:pPr>
            <w:r w:rsidRPr="00DB4987">
              <w:rPr>
                <w:szCs w:val="24"/>
                <w:lang w:val="fr-FR"/>
              </w:rPr>
              <w:t>Programme Budget:</w:t>
            </w:r>
            <w:r w:rsidR="007A1105" w:rsidRPr="00DB4987">
              <w:rPr>
                <w:szCs w:val="24"/>
                <w:lang w:val="fr-FR"/>
              </w:rPr>
              <w:t xml:space="preserve"> 289,000</w:t>
            </w:r>
            <w:r w:rsidR="00FE2FA2" w:rsidRPr="00DB4987">
              <w:rPr>
                <w:szCs w:val="24"/>
                <w:lang w:val="fr-FR"/>
              </w:rPr>
              <w:t>USD</w:t>
            </w:r>
          </w:p>
        </w:tc>
      </w:tr>
      <w:tr w:rsidR="00AB6C24" w:rsidRPr="00DB4987" w14:paraId="0DFA1A72" w14:textId="77777777" w:rsidTr="007A1105">
        <w:trPr>
          <w:trHeight w:val="252"/>
        </w:trPr>
        <w:tc>
          <w:tcPr>
            <w:tcW w:w="4732" w:type="dxa"/>
            <w:tcBorders>
              <w:left w:val="single" w:sz="4" w:space="0" w:color="auto"/>
              <w:bottom w:val="single" w:sz="4" w:space="0" w:color="auto"/>
              <w:right w:val="single" w:sz="4" w:space="0" w:color="auto"/>
            </w:tcBorders>
          </w:tcPr>
          <w:p w14:paraId="5E8C0135" w14:textId="77777777" w:rsidR="00930EC1" w:rsidRPr="00DB4987" w:rsidRDefault="00930EC1" w:rsidP="009A4AFD">
            <w:pPr>
              <w:pStyle w:val="BodyText"/>
              <w:ind w:hanging="720"/>
              <w:rPr>
                <w:szCs w:val="24"/>
                <w:lang w:val="fr-FR" w:eastAsia="en-US"/>
              </w:rPr>
            </w:pPr>
          </w:p>
        </w:tc>
        <w:tc>
          <w:tcPr>
            <w:tcW w:w="236" w:type="dxa"/>
            <w:tcBorders>
              <w:left w:val="single" w:sz="4" w:space="0" w:color="auto"/>
              <w:right w:val="single" w:sz="4" w:space="0" w:color="auto"/>
            </w:tcBorders>
          </w:tcPr>
          <w:p w14:paraId="3C1733EF" w14:textId="77777777" w:rsidR="00930EC1" w:rsidRPr="00DB4987" w:rsidRDefault="00930EC1" w:rsidP="009A4AFD">
            <w:pPr>
              <w:pStyle w:val="BodyText"/>
              <w:ind w:hanging="720"/>
              <w:rPr>
                <w:szCs w:val="24"/>
                <w:lang w:val="fr-FR" w:eastAsia="en-US"/>
              </w:rPr>
            </w:pPr>
          </w:p>
        </w:tc>
        <w:tc>
          <w:tcPr>
            <w:tcW w:w="4657" w:type="dxa"/>
            <w:tcBorders>
              <w:left w:val="single" w:sz="4" w:space="0" w:color="auto"/>
              <w:bottom w:val="single" w:sz="4" w:space="0" w:color="auto"/>
              <w:right w:val="single" w:sz="4" w:space="0" w:color="auto"/>
            </w:tcBorders>
          </w:tcPr>
          <w:p w14:paraId="61301DF5" w14:textId="77777777" w:rsidR="00930EC1" w:rsidRPr="00DB4987" w:rsidRDefault="00930EC1" w:rsidP="009A4AFD">
            <w:pPr>
              <w:pStyle w:val="BodyText"/>
              <w:ind w:hanging="720"/>
              <w:rPr>
                <w:szCs w:val="24"/>
                <w:lang w:val="fr-FR" w:eastAsia="en-US"/>
              </w:rPr>
            </w:pPr>
          </w:p>
        </w:tc>
      </w:tr>
    </w:tbl>
    <w:p w14:paraId="4ED5441B" w14:textId="77777777" w:rsidR="00930EC1" w:rsidRPr="00DB4987" w:rsidRDefault="00930EC1" w:rsidP="00930EC1">
      <w:pPr>
        <w:ind w:hanging="720"/>
        <w:rPr>
          <w:szCs w:val="24"/>
          <w:lang w:val="fr-FR"/>
        </w:rPr>
      </w:pPr>
    </w:p>
    <w:tbl>
      <w:tblPr>
        <w:tblW w:w="9625" w:type="dxa"/>
        <w:tblLook w:val="01E0" w:firstRow="1" w:lastRow="1" w:firstColumn="1" w:lastColumn="1" w:noHBand="0" w:noVBand="0"/>
      </w:tblPr>
      <w:tblGrid>
        <w:gridCol w:w="4732"/>
        <w:gridCol w:w="236"/>
        <w:gridCol w:w="4657"/>
      </w:tblGrid>
      <w:tr w:rsidR="00AB6C24" w:rsidRPr="00DB4987" w14:paraId="24E2993A" w14:textId="77777777" w:rsidTr="007A1105">
        <w:tc>
          <w:tcPr>
            <w:tcW w:w="4732" w:type="dxa"/>
            <w:tcBorders>
              <w:top w:val="single" w:sz="4" w:space="0" w:color="auto"/>
              <w:left w:val="single" w:sz="4" w:space="0" w:color="auto"/>
              <w:right w:val="single" w:sz="4" w:space="0" w:color="auto"/>
            </w:tcBorders>
          </w:tcPr>
          <w:p w14:paraId="66A29E97" w14:textId="77777777" w:rsidR="00930EC1" w:rsidRPr="00DB4987" w:rsidRDefault="00930EC1" w:rsidP="009A4AFD">
            <w:pPr>
              <w:pStyle w:val="Heading2"/>
              <w:ind w:hanging="720"/>
              <w:rPr>
                <w:szCs w:val="24"/>
                <w:lang w:val="fr-FR"/>
              </w:rPr>
            </w:pPr>
            <w:r w:rsidRPr="00DB4987">
              <w:rPr>
                <w:szCs w:val="24"/>
                <w:lang w:val="fr-FR"/>
              </w:rPr>
              <w:t>List Implementing Partners:</w:t>
            </w:r>
          </w:p>
        </w:tc>
        <w:tc>
          <w:tcPr>
            <w:tcW w:w="236" w:type="dxa"/>
            <w:tcBorders>
              <w:left w:val="single" w:sz="4" w:space="0" w:color="auto"/>
              <w:right w:val="single" w:sz="4" w:space="0" w:color="auto"/>
            </w:tcBorders>
          </w:tcPr>
          <w:p w14:paraId="07AAFE72" w14:textId="77777777" w:rsidR="00930EC1" w:rsidRPr="00DB4987" w:rsidRDefault="00930EC1" w:rsidP="009A4AFD">
            <w:pPr>
              <w:pStyle w:val="Heading2"/>
              <w:ind w:hanging="720"/>
              <w:rPr>
                <w:szCs w:val="24"/>
                <w:lang w:val="fr-FR"/>
              </w:rPr>
            </w:pPr>
          </w:p>
        </w:tc>
        <w:tc>
          <w:tcPr>
            <w:tcW w:w="4657" w:type="dxa"/>
            <w:tcBorders>
              <w:top w:val="single" w:sz="4" w:space="0" w:color="auto"/>
              <w:left w:val="single" w:sz="4" w:space="0" w:color="auto"/>
              <w:right w:val="single" w:sz="4" w:space="0" w:color="auto"/>
            </w:tcBorders>
          </w:tcPr>
          <w:p w14:paraId="45F00AFE" w14:textId="77777777" w:rsidR="00930EC1" w:rsidRPr="00DB4987" w:rsidRDefault="00930EC1" w:rsidP="009A4AFD">
            <w:pPr>
              <w:pStyle w:val="Heading2"/>
              <w:ind w:hanging="720"/>
              <w:rPr>
                <w:szCs w:val="24"/>
                <w:lang w:val="fr-FR"/>
              </w:rPr>
            </w:pPr>
            <w:r w:rsidRPr="00DB4987">
              <w:rPr>
                <w:szCs w:val="24"/>
                <w:lang w:val="fr-FR"/>
              </w:rPr>
              <w:t>Programme Coverage/Scope:</w:t>
            </w:r>
          </w:p>
        </w:tc>
      </w:tr>
      <w:tr w:rsidR="00AB6C24" w:rsidRPr="00DB4987" w14:paraId="472DBE08" w14:textId="77777777" w:rsidTr="007A1105">
        <w:trPr>
          <w:trHeight w:val="459"/>
        </w:trPr>
        <w:tc>
          <w:tcPr>
            <w:tcW w:w="4732" w:type="dxa"/>
            <w:tcBorders>
              <w:left w:val="single" w:sz="4" w:space="0" w:color="auto"/>
              <w:bottom w:val="single" w:sz="4" w:space="0" w:color="auto"/>
              <w:right w:val="single" w:sz="4" w:space="0" w:color="auto"/>
            </w:tcBorders>
          </w:tcPr>
          <w:p w14:paraId="241D0F94" w14:textId="77777777" w:rsidR="00930EC1" w:rsidRPr="00DB4987" w:rsidRDefault="00930EC1" w:rsidP="00930EC1">
            <w:pPr>
              <w:pStyle w:val="BodyText"/>
              <w:widowControl/>
              <w:numPr>
                <w:ilvl w:val="0"/>
                <w:numId w:val="2"/>
              </w:numPr>
              <w:tabs>
                <w:tab w:val="clear" w:pos="360"/>
              </w:tabs>
              <w:jc w:val="left"/>
              <w:rPr>
                <w:i/>
                <w:szCs w:val="24"/>
                <w:lang w:val="fr-FR" w:eastAsia="en-US"/>
              </w:rPr>
            </w:pPr>
            <w:r w:rsidRPr="00DB4987">
              <w:rPr>
                <w:i/>
                <w:szCs w:val="24"/>
                <w:lang w:val="fr-FR" w:eastAsia="en-US"/>
              </w:rPr>
              <w:t>Participating UN or Non-UN Organization</w:t>
            </w:r>
            <w:r w:rsidR="00446862" w:rsidRPr="00DB4987">
              <w:rPr>
                <w:i/>
                <w:szCs w:val="24"/>
                <w:lang w:val="fr-FR" w:eastAsia="en-US"/>
              </w:rPr>
              <w:t xml:space="preserve">  </w:t>
            </w:r>
            <w:r w:rsidR="00446862" w:rsidRPr="00DB4987">
              <w:rPr>
                <w:b/>
                <w:i/>
                <w:szCs w:val="24"/>
                <w:lang w:val="fr-FR" w:eastAsia="en-US"/>
              </w:rPr>
              <w:t>UNICEF</w:t>
            </w:r>
          </w:p>
          <w:p w14:paraId="09EB5B83" w14:textId="77777777" w:rsidR="00930EC1" w:rsidRPr="00DB4987" w:rsidRDefault="00930EC1" w:rsidP="00930EC1">
            <w:pPr>
              <w:pStyle w:val="BodyText"/>
              <w:widowControl/>
              <w:numPr>
                <w:ilvl w:val="0"/>
                <w:numId w:val="2"/>
              </w:numPr>
              <w:tabs>
                <w:tab w:val="clear" w:pos="360"/>
              </w:tabs>
              <w:jc w:val="left"/>
              <w:rPr>
                <w:i/>
                <w:szCs w:val="24"/>
                <w:lang w:val="fr-FR" w:eastAsia="en-US"/>
              </w:rPr>
            </w:pPr>
            <w:r w:rsidRPr="00DB4987">
              <w:rPr>
                <w:i/>
                <w:szCs w:val="24"/>
                <w:lang w:val="fr-FR" w:eastAsia="en-US"/>
              </w:rPr>
              <w:t>Other International Organizations</w:t>
            </w:r>
          </w:p>
          <w:p w14:paraId="252273A7" w14:textId="77777777" w:rsidR="00930EC1" w:rsidRPr="00DB4987" w:rsidRDefault="00930EC1" w:rsidP="009A4AFD">
            <w:pPr>
              <w:pStyle w:val="BodyText"/>
              <w:widowControl/>
              <w:numPr>
                <w:ilvl w:val="0"/>
                <w:numId w:val="2"/>
              </w:numPr>
              <w:jc w:val="left"/>
              <w:rPr>
                <w:i/>
                <w:szCs w:val="24"/>
                <w:lang w:val="fr-FR" w:eastAsia="en-US"/>
              </w:rPr>
            </w:pPr>
            <w:r w:rsidRPr="00DB4987">
              <w:rPr>
                <w:i/>
                <w:szCs w:val="24"/>
                <w:lang w:val="fr-FR" w:eastAsia="en-US"/>
              </w:rPr>
              <w:t>National (government, private, NGOs &amp; CSOs)</w:t>
            </w:r>
            <w:r w:rsidR="00E110C0" w:rsidRPr="00DB4987">
              <w:rPr>
                <w:szCs w:val="24"/>
                <w:lang w:val="fr-FR"/>
              </w:rPr>
              <w:t xml:space="preserve"> </w:t>
            </w:r>
            <w:r w:rsidR="00E110C0" w:rsidRPr="00DB4987">
              <w:rPr>
                <w:i/>
                <w:szCs w:val="24"/>
                <w:lang w:val="fr-FR" w:eastAsia="en-US"/>
              </w:rPr>
              <w:t xml:space="preserve">Le Conseil National des Organisations de la Société Civile Guinéenne , Le Ministère de la santé,  </w:t>
            </w:r>
            <w:r w:rsidR="00446862" w:rsidRPr="00DB4987">
              <w:rPr>
                <w:i/>
                <w:szCs w:val="24"/>
                <w:lang w:val="fr-FR" w:eastAsia="en-US"/>
              </w:rPr>
              <w:t>Terre des Hommes (Lausanne)</w:t>
            </w:r>
          </w:p>
          <w:p w14:paraId="35BB96F3" w14:textId="77777777" w:rsidR="00930EC1" w:rsidRPr="00DB4987" w:rsidRDefault="00930EC1" w:rsidP="009A4AFD">
            <w:pPr>
              <w:pStyle w:val="BodyText"/>
              <w:rPr>
                <w:szCs w:val="24"/>
                <w:lang w:val="fr-FR" w:eastAsia="en-US"/>
              </w:rPr>
            </w:pPr>
          </w:p>
          <w:p w14:paraId="789AB47A" w14:textId="77777777" w:rsidR="00930EC1" w:rsidRPr="00DB4987" w:rsidRDefault="00930EC1" w:rsidP="009A4AFD">
            <w:pPr>
              <w:pStyle w:val="BodyText"/>
              <w:rPr>
                <w:szCs w:val="24"/>
                <w:lang w:val="fr-FR" w:eastAsia="en-US"/>
              </w:rPr>
            </w:pPr>
          </w:p>
        </w:tc>
        <w:tc>
          <w:tcPr>
            <w:tcW w:w="236" w:type="dxa"/>
            <w:tcBorders>
              <w:left w:val="single" w:sz="4" w:space="0" w:color="auto"/>
              <w:right w:val="single" w:sz="4" w:space="0" w:color="auto"/>
            </w:tcBorders>
          </w:tcPr>
          <w:p w14:paraId="620AA21B" w14:textId="77777777" w:rsidR="00930EC1" w:rsidRPr="00DB4987" w:rsidRDefault="00930EC1" w:rsidP="009A4AFD">
            <w:pPr>
              <w:pStyle w:val="BodyText"/>
              <w:rPr>
                <w:szCs w:val="24"/>
                <w:lang w:val="fr-FR" w:eastAsia="en-US"/>
              </w:rPr>
            </w:pPr>
          </w:p>
        </w:tc>
        <w:tc>
          <w:tcPr>
            <w:tcW w:w="4657" w:type="dxa"/>
            <w:tcBorders>
              <w:left w:val="single" w:sz="4" w:space="0" w:color="auto"/>
              <w:bottom w:val="single" w:sz="4" w:space="0" w:color="auto"/>
              <w:right w:val="single" w:sz="4" w:space="0" w:color="auto"/>
            </w:tcBorders>
          </w:tcPr>
          <w:p w14:paraId="4CF9D454" w14:textId="77777777" w:rsidR="00930EC1" w:rsidRPr="00DB4987" w:rsidRDefault="00930EC1" w:rsidP="009A4AFD">
            <w:pPr>
              <w:pStyle w:val="BodyText"/>
              <w:jc w:val="left"/>
              <w:rPr>
                <w:i/>
                <w:szCs w:val="24"/>
                <w:lang w:val="en-US" w:eastAsia="en-US"/>
              </w:rPr>
            </w:pPr>
            <w:r w:rsidRPr="00DB4987">
              <w:rPr>
                <w:i/>
                <w:szCs w:val="24"/>
                <w:lang w:val="en-US" w:eastAsia="en-US"/>
              </w:rPr>
              <w:t xml:space="preserve">Specify in which region and/or national coverage/scope of the programme </w:t>
            </w:r>
          </w:p>
          <w:p w14:paraId="27537149" w14:textId="77777777" w:rsidR="00930EC1" w:rsidRPr="00DB4987" w:rsidRDefault="00446862" w:rsidP="009A4AFD">
            <w:pPr>
              <w:pStyle w:val="BodyText"/>
              <w:rPr>
                <w:szCs w:val="24"/>
                <w:lang w:val="fr-FR" w:eastAsia="en-US"/>
              </w:rPr>
            </w:pPr>
            <w:r w:rsidRPr="00DB4987">
              <w:rPr>
                <w:szCs w:val="24"/>
                <w:lang w:val="fr-FR" w:eastAsia="en-US"/>
              </w:rPr>
              <w:t>National (Guinea)</w:t>
            </w:r>
          </w:p>
        </w:tc>
      </w:tr>
    </w:tbl>
    <w:p w14:paraId="40E021CE" w14:textId="77777777" w:rsidR="00930EC1" w:rsidRPr="00DB4987" w:rsidRDefault="00930EC1" w:rsidP="00930EC1">
      <w:pPr>
        <w:rPr>
          <w:szCs w:val="24"/>
          <w:lang w:val="fr-FR"/>
        </w:rPr>
      </w:pPr>
    </w:p>
    <w:tbl>
      <w:tblPr>
        <w:tblW w:w="9625" w:type="dxa"/>
        <w:tblLook w:val="01E0" w:firstRow="1" w:lastRow="1" w:firstColumn="1" w:lastColumn="1" w:noHBand="0" w:noVBand="0"/>
      </w:tblPr>
      <w:tblGrid>
        <w:gridCol w:w="4732"/>
        <w:gridCol w:w="236"/>
        <w:gridCol w:w="4657"/>
      </w:tblGrid>
      <w:tr w:rsidR="00AB6C24" w:rsidRPr="00DB4987" w14:paraId="127D4E8C" w14:textId="77777777" w:rsidTr="007A1105">
        <w:tc>
          <w:tcPr>
            <w:tcW w:w="4732" w:type="dxa"/>
            <w:tcBorders>
              <w:top w:val="single" w:sz="4" w:space="0" w:color="auto"/>
              <w:left w:val="single" w:sz="4" w:space="0" w:color="auto"/>
              <w:right w:val="single" w:sz="4" w:space="0" w:color="auto"/>
            </w:tcBorders>
          </w:tcPr>
          <w:p w14:paraId="717DC110" w14:textId="77777777" w:rsidR="00930EC1" w:rsidRPr="00DB4987" w:rsidRDefault="00930EC1" w:rsidP="009A4AFD">
            <w:pPr>
              <w:pStyle w:val="Heading2"/>
              <w:ind w:hanging="720"/>
              <w:rPr>
                <w:szCs w:val="24"/>
                <w:lang w:val="fr-FR"/>
              </w:rPr>
            </w:pPr>
            <w:r w:rsidRPr="00DB4987">
              <w:rPr>
                <w:szCs w:val="24"/>
                <w:lang w:val="fr-FR"/>
              </w:rPr>
              <w:lastRenderedPageBreak/>
              <w:t>Abbreviations and acronyms:</w:t>
            </w:r>
          </w:p>
        </w:tc>
        <w:tc>
          <w:tcPr>
            <w:tcW w:w="236" w:type="dxa"/>
            <w:tcBorders>
              <w:left w:val="single" w:sz="4" w:space="0" w:color="auto"/>
              <w:right w:val="single" w:sz="4" w:space="0" w:color="auto"/>
            </w:tcBorders>
          </w:tcPr>
          <w:p w14:paraId="00646BDE" w14:textId="77777777" w:rsidR="00930EC1" w:rsidRPr="00DB4987" w:rsidRDefault="00930EC1" w:rsidP="009A4AFD">
            <w:pPr>
              <w:pStyle w:val="Heading2"/>
              <w:ind w:hanging="720"/>
              <w:rPr>
                <w:szCs w:val="24"/>
                <w:lang w:val="fr-FR"/>
              </w:rPr>
            </w:pPr>
          </w:p>
        </w:tc>
        <w:tc>
          <w:tcPr>
            <w:tcW w:w="4657" w:type="dxa"/>
            <w:tcBorders>
              <w:top w:val="single" w:sz="4" w:space="0" w:color="auto"/>
              <w:left w:val="single" w:sz="4" w:space="0" w:color="auto"/>
              <w:right w:val="single" w:sz="4" w:space="0" w:color="auto"/>
            </w:tcBorders>
          </w:tcPr>
          <w:p w14:paraId="278ACA3D" w14:textId="77777777" w:rsidR="00930EC1" w:rsidRPr="00DB4987" w:rsidRDefault="00930EC1" w:rsidP="009A4AFD">
            <w:pPr>
              <w:pStyle w:val="Heading2"/>
              <w:ind w:left="0" w:right="29"/>
              <w:rPr>
                <w:szCs w:val="24"/>
                <w:lang w:val="fr-FR"/>
              </w:rPr>
            </w:pPr>
            <w:r w:rsidRPr="00DB4987">
              <w:rPr>
                <w:szCs w:val="24"/>
                <w:lang w:val="fr-FR"/>
              </w:rPr>
              <w:t>Programme Duration/Closed Programme:</w:t>
            </w:r>
          </w:p>
        </w:tc>
      </w:tr>
      <w:tr w:rsidR="00AB6C24" w:rsidRPr="00DB4987" w14:paraId="16449C86" w14:textId="77777777" w:rsidTr="007A1105">
        <w:trPr>
          <w:trHeight w:val="702"/>
        </w:trPr>
        <w:tc>
          <w:tcPr>
            <w:tcW w:w="4732" w:type="dxa"/>
            <w:tcBorders>
              <w:left w:val="single" w:sz="4" w:space="0" w:color="auto"/>
              <w:bottom w:val="single" w:sz="4" w:space="0" w:color="auto"/>
              <w:right w:val="single" w:sz="4" w:space="0" w:color="auto"/>
            </w:tcBorders>
          </w:tcPr>
          <w:p w14:paraId="6C3AFE30" w14:textId="77777777" w:rsidR="008F16FC" w:rsidRPr="00DB4987" w:rsidRDefault="008F16FC" w:rsidP="00E110C0">
            <w:pPr>
              <w:rPr>
                <w:i/>
                <w:szCs w:val="24"/>
                <w:lang w:val="fr-FR"/>
              </w:rPr>
            </w:pPr>
            <w:r w:rsidRPr="00DB4987">
              <w:rPr>
                <w:i/>
                <w:szCs w:val="24"/>
                <w:lang w:val="fr-FR"/>
              </w:rPr>
              <w:t>AFEM: Alliance des Femmes et Medias</w:t>
            </w:r>
          </w:p>
          <w:p w14:paraId="2E367385" w14:textId="77777777" w:rsidR="008F16FC" w:rsidRPr="00DB4987" w:rsidRDefault="008F16FC" w:rsidP="00E110C0">
            <w:pPr>
              <w:rPr>
                <w:i/>
                <w:szCs w:val="24"/>
                <w:lang w:val="fr-FR"/>
              </w:rPr>
            </w:pPr>
            <w:r w:rsidRPr="00DB4987">
              <w:rPr>
                <w:i/>
                <w:szCs w:val="24"/>
                <w:lang w:val="fr-FR"/>
              </w:rPr>
              <w:t xml:space="preserve">AVODER: Association des Volontaires pour le Développement Rural </w:t>
            </w:r>
          </w:p>
          <w:p w14:paraId="79FA875C" w14:textId="77777777" w:rsidR="00930EC1" w:rsidRPr="00DB4987" w:rsidRDefault="00E110C0" w:rsidP="00E110C0">
            <w:pPr>
              <w:rPr>
                <w:i/>
                <w:szCs w:val="24"/>
                <w:lang w:val="fr-FR"/>
              </w:rPr>
            </w:pPr>
            <w:r w:rsidRPr="00DB4987">
              <w:rPr>
                <w:i/>
                <w:szCs w:val="24"/>
                <w:lang w:val="fr-FR"/>
              </w:rPr>
              <w:t>CNOSCG: Le Conseil National des Organisations de la Société Civile Guinéenne</w:t>
            </w:r>
          </w:p>
          <w:p w14:paraId="1B27D0A8" w14:textId="77777777" w:rsidR="008F16FC" w:rsidRPr="00DB4987" w:rsidRDefault="008F16FC" w:rsidP="00E110C0">
            <w:pPr>
              <w:rPr>
                <w:i/>
                <w:szCs w:val="24"/>
                <w:lang w:val="fr-FR"/>
              </w:rPr>
            </w:pPr>
            <w:r w:rsidRPr="00DB4987">
              <w:rPr>
                <w:i/>
                <w:szCs w:val="24"/>
                <w:lang w:val="fr-FR"/>
              </w:rPr>
              <w:t xml:space="preserve">CONAG-DCF : Coalition Nationale de Guinée pour les Droits et Citoyenneté des Femmes </w:t>
            </w:r>
          </w:p>
          <w:p w14:paraId="617C76CD" w14:textId="77777777" w:rsidR="008F16FC" w:rsidRPr="00DB4987" w:rsidRDefault="008F16FC" w:rsidP="00E110C0">
            <w:pPr>
              <w:rPr>
                <w:i/>
                <w:szCs w:val="24"/>
                <w:lang w:val="fr-FR"/>
              </w:rPr>
            </w:pPr>
            <w:r w:rsidRPr="00DB4987">
              <w:rPr>
                <w:i/>
                <w:szCs w:val="24"/>
                <w:lang w:val="fr-FR"/>
              </w:rPr>
              <w:t>DAN : Division Alimentation et Nutrition (Ministère de la Santé Guinéen)</w:t>
            </w:r>
          </w:p>
          <w:p w14:paraId="7EE67208" w14:textId="77777777" w:rsidR="00E110C0" w:rsidRPr="00DB4987" w:rsidRDefault="00E110C0" w:rsidP="00E110C0">
            <w:pPr>
              <w:rPr>
                <w:i/>
                <w:szCs w:val="24"/>
                <w:lang w:val="fr-FR"/>
              </w:rPr>
            </w:pPr>
            <w:r w:rsidRPr="00DB4987">
              <w:rPr>
                <w:i/>
                <w:szCs w:val="24"/>
                <w:lang w:val="fr-FR"/>
              </w:rPr>
              <w:t>OSC : Organisations de la Société Civile</w:t>
            </w:r>
          </w:p>
          <w:p w14:paraId="69B19BC2" w14:textId="77777777" w:rsidR="00E110C0" w:rsidRPr="00DB4987" w:rsidRDefault="008F16FC" w:rsidP="008F16FC">
            <w:pPr>
              <w:rPr>
                <w:i/>
                <w:szCs w:val="24"/>
                <w:lang w:val="fr-FR"/>
              </w:rPr>
            </w:pPr>
            <w:r w:rsidRPr="00DB4987">
              <w:rPr>
                <w:i/>
                <w:szCs w:val="24"/>
                <w:lang w:val="fr-FR"/>
              </w:rPr>
              <w:t>RAJ-GUI: Réseau Afrique Jeuneuse-Guinée</w:t>
            </w:r>
          </w:p>
          <w:p w14:paraId="5DB14F3F" w14:textId="77777777" w:rsidR="00B72572" w:rsidRPr="00DB4987" w:rsidRDefault="00B72572" w:rsidP="008F16FC">
            <w:pPr>
              <w:rPr>
                <w:i/>
                <w:szCs w:val="24"/>
                <w:lang w:val="en-US"/>
              </w:rPr>
            </w:pPr>
            <w:r w:rsidRPr="00DB4987">
              <w:rPr>
                <w:i/>
                <w:szCs w:val="24"/>
                <w:lang w:val="en-US"/>
              </w:rPr>
              <w:t>TdH: Terre des Homes</w:t>
            </w:r>
          </w:p>
          <w:p w14:paraId="763A01B2" w14:textId="77777777" w:rsidR="008F16FC" w:rsidRPr="00DB4987" w:rsidRDefault="008F16FC" w:rsidP="008F16FC">
            <w:pPr>
              <w:rPr>
                <w:i/>
                <w:szCs w:val="24"/>
                <w:lang w:val="en-US"/>
              </w:rPr>
            </w:pPr>
            <w:r w:rsidRPr="00DB4987">
              <w:rPr>
                <w:i/>
                <w:szCs w:val="24"/>
                <w:lang w:val="en-US"/>
              </w:rPr>
              <w:t>UNICEF ; United Nation Children Fund</w:t>
            </w:r>
          </w:p>
        </w:tc>
        <w:tc>
          <w:tcPr>
            <w:tcW w:w="236" w:type="dxa"/>
            <w:tcBorders>
              <w:left w:val="single" w:sz="4" w:space="0" w:color="auto"/>
              <w:right w:val="single" w:sz="4" w:space="0" w:color="auto"/>
            </w:tcBorders>
          </w:tcPr>
          <w:p w14:paraId="2A5FF364" w14:textId="77777777" w:rsidR="00930EC1" w:rsidRPr="00DB4987" w:rsidRDefault="00930EC1" w:rsidP="009A4AFD">
            <w:pPr>
              <w:pStyle w:val="BodyText"/>
              <w:rPr>
                <w:szCs w:val="24"/>
                <w:lang w:val="en-US" w:eastAsia="en-US"/>
              </w:rPr>
            </w:pPr>
          </w:p>
        </w:tc>
        <w:tc>
          <w:tcPr>
            <w:tcW w:w="4657" w:type="dxa"/>
            <w:tcBorders>
              <w:left w:val="single" w:sz="4" w:space="0" w:color="auto"/>
              <w:bottom w:val="single" w:sz="4" w:space="0" w:color="auto"/>
              <w:right w:val="single" w:sz="4" w:space="0" w:color="auto"/>
            </w:tcBorders>
          </w:tcPr>
          <w:p w14:paraId="3E090232" w14:textId="77777777" w:rsidR="00930EC1" w:rsidRPr="00DB4987" w:rsidRDefault="00930EC1" w:rsidP="00930EC1">
            <w:pPr>
              <w:pStyle w:val="BodyText"/>
              <w:widowControl/>
              <w:numPr>
                <w:ilvl w:val="0"/>
                <w:numId w:val="1"/>
              </w:numPr>
              <w:tabs>
                <w:tab w:val="clear" w:pos="720"/>
              </w:tabs>
              <w:spacing w:before="60" w:after="60"/>
              <w:ind w:left="432"/>
              <w:jc w:val="left"/>
              <w:rPr>
                <w:i/>
                <w:szCs w:val="24"/>
                <w:lang w:val="fr-FR" w:eastAsia="en-US"/>
              </w:rPr>
            </w:pPr>
            <w:r w:rsidRPr="00DB4987">
              <w:rPr>
                <w:i/>
                <w:szCs w:val="24"/>
                <w:lang w:val="fr-FR" w:eastAsia="en-US"/>
              </w:rPr>
              <w:t>Provide the programme duration.</w:t>
            </w:r>
          </w:p>
          <w:p w14:paraId="7AA5FAD9" w14:textId="4559BC9C" w:rsidR="00930EC1" w:rsidRPr="00DB4987" w:rsidRDefault="00930EC1" w:rsidP="00930EC1">
            <w:pPr>
              <w:pStyle w:val="BodyText"/>
              <w:widowControl/>
              <w:numPr>
                <w:ilvl w:val="0"/>
                <w:numId w:val="1"/>
              </w:numPr>
              <w:tabs>
                <w:tab w:val="clear" w:pos="720"/>
              </w:tabs>
              <w:spacing w:before="60" w:after="60"/>
              <w:ind w:left="432"/>
              <w:jc w:val="left"/>
              <w:rPr>
                <w:i/>
                <w:szCs w:val="24"/>
                <w:lang w:val="en-US" w:eastAsia="en-US"/>
              </w:rPr>
            </w:pPr>
            <w:r w:rsidRPr="00DB4987">
              <w:rPr>
                <w:i/>
                <w:szCs w:val="24"/>
                <w:lang w:val="en-US" w:eastAsia="en-US"/>
              </w:rPr>
              <w:t>Report on budget revisions and extensions and provide the new dates</w:t>
            </w:r>
            <w:r w:rsidR="008F16FC" w:rsidRPr="00DB4987">
              <w:rPr>
                <w:i/>
                <w:szCs w:val="24"/>
                <w:lang w:val="en-US" w:eastAsia="en-US"/>
              </w:rPr>
              <w:t xml:space="preserve"> 6 month</w:t>
            </w:r>
            <w:r w:rsidR="00386609" w:rsidRPr="00DB4987">
              <w:rPr>
                <w:i/>
                <w:szCs w:val="24"/>
                <w:lang w:val="en-US" w:eastAsia="en-US"/>
              </w:rPr>
              <w:t>s no cost</w:t>
            </w:r>
            <w:r w:rsidR="008F16FC" w:rsidRPr="00DB4987">
              <w:rPr>
                <w:i/>
                <w:szCs w:val="24"/>
                <w:lang w:val="en-US" w:eastAsia="en-US"/>
              </w:rPr>
              <w:t xml:space="preserve"> extension request</w:t>
            </w:r>
            <w:r w:rsidR="00386609" w:rsidRPr="00DB4987">
              <w:rPr>
                <w:i/>
                <w:szCs w:val="24"/>
                <w:lang w:val="en-US" w:eastAsia="en-US"/>
              </w:rPr>
              <w:t xml:space="preserve">ed </w:t>
            </w:r>
            <w:r w:rsidR="00B72572" w:rsidRPr="00DB4987">
              <w:rPr>
                <w:i/>
                <w:szCs w:val="24"/>
                <w:lang w:val="en-US" w:eastAsia="en-US"/>
              </w:rPr>
              <w:t>to</w:t>
            </w:r>
            <w:r w:rsidR="007A1105" w:rsidRPr="00DB4987">
              <w:rPr>
                <w:i/>
                <w:szCs w:val="24"/>
                <w:lang w:val="en-US" w:eastAsia="en-US"/>
              </w:rPr>
              <w:t xml:space="preserve"> </w:t>
            </w:r>
            <w:r w:rsidR="008F16FC" w:rsidRPr="00DB4987">
              <w:rPr>
                <w:i/>
                <w:szCs w:val="24"/>
                <w:lang w:val="en-US" w:eastAsia="en-US"/>
              </w:rPr>
              <w:t>until June 30</w:t>
            </w:r>
            <w:r w:rsidR="008F16FC" w:rsidRPr="00DB4987">
              <w:rPr>
                <w:i/>
                <w:szCs w:val="24"/>
                <w:vertAlign w:val="superscript"/>
                <w:lang w:val="en-US" w:eastAsia="en-US"/>
              </w:rPr>
              <w:t>th</w:t>
            </w:r>
            <w:r w:rsidR="008F16FC" w:rsidRPr="00DB4987">
              <w:rPr>
                <w:i/>
                <w:szCs w:val="24"/>
                <w:lang w:val="en-US" w:eastAsia="en-US"/>
              </w:rPr>
              <w:t xml:space="preserve"> 2016.</w:t>
            </w:r>
          </w:p>
          <w:p w14:paraId="4C9549FF" w14:textId="77777777" w:rsidR="00930EC1" w:rsidRPr="00DB4987" w:rsidRDefault="00930EC1" w:rsidP="00930EC1">
            <w:pPr>
              <w:pStyle w:val="BodyText"/>
              <w:widowControl/>
              <w:numPr>
                <w:ilvl w:val="0"/>
                <w:numId w:val="1"/>
              </w:numPr>
              <w:tabs>
                <w:tab w:val="clear" w:pos="720"/>
              </w:tabs>
              <w:spacing w:before="60" w:after="60"/>
              <w:ind w:left="432"/>
              <w:jc w:val="left"/>
              <w:rPr>
                <w:i/>
                <w:szCs w:val="24"/>
                <w:lang w:val="en-US" w:eastAsia="en-US"/>
              </w:rPr>
            </w:pPr>
            <w:r w:rsidRPr="00DB4987">
              <w:rPr>
                <w:i/>
                <w:szCs w:val="24"/>
                <w:lang w:val="en-US" w:eastAsia="en-US"/>
              </w:rPr>
              <w:t xml:space="preserve">Indicate if the programme has been operationally closed during the reporting period. </w:t>
            </w:r>
          </w:p>
        </w:tc>
      </w:tr>
    </w:tbl>
    <w:p w14:paraId="61356ED5" w14:textId="77777777" w:rsidR="00930EC1" w:rsidRPr="00DB4987" w:rsidRDefault="00930EC1" w:rsidP="00930EC1">
      <w:pPr>
        <w:rPr>
          <w:szCs w:val="24"/>
          <w:highlight w:val="yellow"/>
          <w:lang w:val="en-US"/>
        </w:rPr>
      </w:pPr>
    </w:p>
    <w:p w14:paraId="59E9DD62" w14:textId="77777777" w:rsidR="00930EC1" w:rsidRPr="00DB4987" w:rsidRDefault="00930EC1" w:rsidP="00930EC1">
      <w:pPr>
        <w:pStyle w:val="FootnoteText"/>
        <w:rPr>
          <w:sz w:val="24"/>
          <w:szCs w:val="24"/>
          <w:highlight w:val="yellow"/>
          <w:lang w:val="en-US"/>
        </w:rPr>
      </w:pPr>
    </w:p>
    <w:p w14:paraId="7BDEEA0A" w14:textId="77777777" w:rsidR="00930EC1" w:rsidRPr="00DB4987" w:rsidRDefault="00930EC1" w:rsidP="00930EC1">
      <w:pPr>
        <w:pStyle w:val="FootnoteText"/>
        <w:rPr>
          <w:sz w:val="24"/>
          <w:szCs w:val="24"/>
          <w:highlight w:val="yellow"/>
          <w:lang w:val="en-US"/>
        </w:rPr>
      </w:pPr>
    </w:p>
    <w:p w14:paraId="31C581FC" w14:textId="77777777" w:rsidR="00930EC1" w:rsidRPr="00DB4987" w:rsidRDefault="00930EC1" w:rsidP="00930EC1">
      <w:pPr>
        <w:pStyle w:val="FootnoteText"/>
        <w:rPr>
          <w:sz w:val="24"/>
          <w:szCs w:val="24"/>
          <w:highlight w:val="yellow"/>
          <w:lang w:val="en-US"/>
        </w:rPr>
      </w:pPr>
    </w:p>
    <w:p w14:paraId="0118803C" w14:textId="77777777" w:rsidR="00930EC1" w:rsidRPr="00DB4987" w:rsidRDefault="00930EC1" w:rsidP="00930EC1">
      <w:pPr>
        <w:pStyle w:val="Heading1"/>
        <w:tabs>
          <w:tab w:val="left" w:pos="360"/>
        </w:tabs>
        <w:rPr>
          <w:rFonts w:ascii="Times New Roman" w:hAnsi="Times New Roman"/>
          <w:sz w:val="24"/>
          <w:szCs w:val="24"/>
          <w:highlight w:val="yellow"/>
          <w:lang w:val="en-US"/>
        </w:rPr>
      </w:pPr>
    </w:p>
    <w:p w14:paraId="23FC2F8D" w14:textId="77777777" w:rsidR="00930EC1" w:rsidRPr="00DB4987" w:rsidRDefault="00930EC1" w:rsidP="00930EC1">
      <w:pPr>
        <w:pStyle w:val="Heading1"/>
        <w:tabs>
          <w:tab w:val="left" w:pos="360"/>
        </w:tabs>
        <w:rPr>
          <w:rFonts w:ascii="Times New Roman" w:hAnsi="Times New Roman"/>
          <w:sz w:val="24"/>
          <w:szCs w:val="24"/>
          <w:highlight w:val="yellow"/>
          <w:lang w:val="en-US"/>
        </w:rPr>
      </w:pPr>
    </w:p>
    <w:p w14:paraId="1CB8FF14" w14:textId="77777777" w:rsidR="00930EC1" w:rsidRPr="00DB4987" w:rsidRDefault="00930EC1" w:rsidP="00930EC1">
      <w:pPr>
        <w:rPr>
          <w:szCs w:val="24"/>
          <w:highlight w:val="yellow"/>
          <w:lang w:val="en-US"/>
        </w:rPr>
      </w:pPr>
    </w:p>
    <w:p w14:paraId="001E72DB" w14:textId="77777777" w:rsidR="00930EC1" w:rsidRPr="00DB4987" w:rsidRDefault="00930EC1" w:rsidP="00930EC1">
      <w:pPr>
        <w:rPr>
          <w:szCs w:val="24"/>
          <w:highlight w:val="yellow"/>
          <w:lang w:val="en-US"/>
        </w:rPr>
      </w:pPr>
    </w:p>
    <w:p w14:paraId="2B28E974" w14:textId="77777777" w:rsidR="00930EC1" w:rsidRPr="00DB4987" w:rsidRDefault="00930EC1" w:rsidP="00930EC1">
      <w:pPr>
        <w:rPr>
          <w:szCs w:val="24"/>
          <w:highlight w:val="yellow"/>
          <w:lang w:val="en-US"/>
        </w:rPr>
      </w:pPr>
    </w:p>
    <w:p w14:paraId="5B90D794" w14:textId="77777777" w:rsidR="00930EC1" w:rsidRPr="00DB4987" w:rsidRDefault="00930EC1" w:rsidP="00930EC1">
      <w:pPr>
        <w:rPr>
          <w:szCs w:val="24"/>
          <w:highlight w:val="yellow"/>
          <w:lang w:val="en-US"/>
        </w:rPr>
      </w:pPr>
    </w:p>
    <w:p w14:paraId="5EAB1D78" w14:textId="77777777" w:rsidR="00930EC1" w:rsidRPr="00DB4987" w:rsidRDefault="00930EC1" w:rsidP="00930EC1">
      <w:pPr>
        <w:rPr>
          <w:szCs w:val="24"/>
          <w:highlight w:val="yellow"/>
          <w:lang w:val="en-US"/>
        </w:rPr>
      </w:pPr>
    </w:p>
    <w:p w14:paraId="65967EE0" w14:textId="77777777" w:rsidR="00930EC1" w:rsidRPr="00DB4987" w:rsidRDefault="00930EC1" w:rsidP="00930EC1">
      <w:pPr>
        <w:rPr>
          <w:szCs w:val="24"/>
          <w:highlight w:val="yellow"/>
          <w:lang w:val="en-US"/>
        </w:rPr>
      </w:pPr>
    </w:p>
    <w:p w14:paraId="598E41FF" w14:textId="77777777" w:rsidR="00930EC1" w:rsidRPr="00DB4987" w:rsidRDefault="00930EC1" w:rsidP="00930EC1">
      <w:pPr>
        <w:rPr>
          <w:szCs w:val="24"/>
          <w:highlight w:val="yellow"/>
          <w:lang w:val="en-US"/>
        </w:rPr>
      </w:pPr>
    </w:p>
    <w:p w14:paraId="4186BFAF" w14:textId="77777777" w:rsidR="00930EC1" w:rsidRPr="00DB4987" w:rsidRDefault="00930EC1" w:rsidP="00930EC1">
      <w:pPr>
        <w:rPr>
          <w:szCs w:val="24"/>
          <w:highlight w:val="yellow"/>
          <w:lang w:val="en-US"/>
        </w:rPr>
      </w:pPr>
    </w:p>
    <w:p w14:paraId="69747390" w14:textId="77777777" w:rsidR="00930EC1" w:rsidRPr="00DB4987" w:rsidRDefault="00930EC1" w:rsidP="00930EC1">
      <w:pPr>
        <w:rPr>
          <w:szCs w:val="24"/>
          <w:highlight w:val="yellow"/>
          <w:lang w:val="en-US"/>
        </w:rPr>
      </w:pPr>
    </w:p>
    <w:p w14:paraId="33825718" w14:textId="77777777" w:rsidR="00E110C0" w:rsidRPr="00DB4987" w:rsidRDefault="00E110C0">
      <w:pPr>
        <w:widowControl/>
        <w:spacing w:after="160" w:line="259" w:lineRule="auto"/>
        <w:rPr>
          <w:szCs w:val="24"/>
          <w:lang w:val="en-US"/>
        </w:rPr>
      </w:pPr>
      <w:r w:rsidRPr="00DB4987">
        <w:rPr>
          <w:szCs w:val="24"/>
          <w:lang w:val="en-US"/>
        </w:rPr>
        <w:br w:type="page"/>
      </w:r>
    </w:p>
    <w:p w14:paraId="2A541042" w14:textId="77777777" w:rsidR="00930EC1" w:rsidRPr="00DB4987" w:rsidRDefault="00930EC1" w:rsidP="00563937">
      <w:pPr>
        <w:rPr>
          <w:szCs w:val="24"/>
          <w:lang w:val="en-US"/>
        </w:rPr>
      </w:pPr>
    </w:p>
    <w:p w14:paraId="760073F6" w14:textId="77777777" w:rsidR="00930EC1" w:rsidRPr="00DB4987" w:rsidRDefault="00930EC1" w:rsidP="00563937">
      <w:pPr>
        <w:pStyle w:val="Heading1"/>
        <w:tabs>
          <w:tab w:val="left" w:pos="360"/>
        </w:tabs>
        <w:rPr>
          <w:rFonts w:ascii="Times New Roman" w:hAnsi="Times New Roman"/>
          <w:sz w:val="24"/>
          <w:szCs w:val="24"/>
          <w:u w:val="single"/>
          <w:lang w:val="fr-FR"/>
        </w:rPr>
      </w:pPr>
      <w:r w:rsidRPr="00DB4987">
        <w:rPr>
          <w:rFonts w:ascii="Times New Roman" w:hAnsi="Times New Roman"/>
          <w:sz w:val="24"/>
          <w:szCs w:val="24"/>
          <w:u w:val="single"/>
          <w:lang w:val="fr-FR"/>
        </w:rPr>
        <w:t>NARRATIVE REPORT FORMAT</w:t>
      </w:r>
    </w:p>
    <w:p w14:paraId="0A6DA938" w14:textId="77777777" w:rsidR="00930EC1" w:rsidRPr="00DB4987" w:rsidRDefault="00930EC1" w:rsidP="00563937">
      <w:pPr>
        <w:rPr>
          <w:szCs w:val="24"/>
          <w:highlight w:val="yellow"/>
          <w:lang w:val="fr-FR"/>
        </w:rPr>
      </w:pPr>
    </w:p>
    <w:p w14:paraId="2C017EC5" w14:textId="77777777" w:rsidR="00930EC1" w:rsidRPr="00DB4987" w:rsidRDefault="00930EC1" w:rsidP="00563937">
      <w:pPr>
        <w:pStyle w:val="Heading1"/>
        <w:widowControl/>
        <w:numPr>
          <w:ilvl w:val="0"/>
          <w:numId w:val="3"/>
        </w:numPr>
        <w:tabs>
          <w:tab w:val="clear" w:pos="1080"/>
          <w:tab w:val="clear" w:pos="4680"/>
          <w:tab w:val="left" w:pos="360"/>
        </w:tabs>
        <w:ind w:left="360" w:hanging="360"/>
        <w:jc w:val="both"/>
        <w:rPr>
          <w:rFonts w:ascii="Times New Roman" w:hAnsi="Times New Roman"/>
          <w:sz w:val="24"/>
          <w:szCs w:val="24"/>
          <w:lang w:val="fr-FR"/>
        </w:rPr>
      </w:pPr>
      <w:r w:rsidRPr="00DB4987">
        <w:rPr>
          <w:rFonts w:ascii="Times New Roman" w:hAnsi="Times New Roman"/>
          <w:sz w:val="24"/>
          <w:szCs w:val="24"/>
          <w:lang w:val="fr-FR"/>
        </w:rPr>
        <w:t>Purpose</w:t>
      </w:r>
    </w:p>
    <w:p w14:paraId="3C1988A6" w14:textId="77777777" w:rsidR="00CA0C8D" w:rsidRPr="00DB4987" w:rsidRDefault="00CA0C8D" w:rsidP="00563937">
      <w:pPr>
        <w:pStyle w:val="BodyText"/>
        <w:widowControl/>
        <w:rPr>
          <w:i/>
          <w:szCs w:val="24"/>
          <w:highlight w:val="lightGray"/>
          <w:lang w:val="en-US"/>
        </w:rPr>
      </w:pPr>
    </w:p>
    <w:p w14:paraId="30B2B39D" w14:textId="1F8C5F55" w:rsidR="00CA0C8D" w:rsidRPr="00CA0C8D" w:rsidRDefault="00CA0C8D" w:rsidP="00563937">
      <w:pPr>
        <w:widowControl/>
        <w:numPr>
          <w:ilvl w:val="0"/>
          <w:numId w:val="5"/>
        </w:numPr>
        <w:jc w:val="both"/>
        <w:rPr>
          <w:i/>
          <w:szCs w:val="24"/>
          <w:u w:val="single"/>
          <w:lang w:eastAsia="x-none"/>
        </w:rPr>
      </w:pPr>
      <w:r w:rsidRPr="00CA0C8D">
        <w:rPr>
          <w:szCs w:val="24"/>
          <w:u w:val="single"/>
          <w:lang w:eastAsia="x-none"/>
        </w:rPr>
        <w:t xml:space="preserve">Provide the main outcomes and outputs </w:t>
      </w:r>
      <w:r w:rsidRPr="00DB4987">
        <w:rPr>
          <w:szCs w:val="24"/>
          <w:u w:val="single"/>
          <w:lang w:eastAsia="x-none"/>
        </w:rPr>
        <w:t xml:space="preserve">of the programme implementation </w:t>
      </w:r>
      <w:r w:rsidRPr="00DB4987">
        <w:rPr>
          <w:i/>
          <w:szCs w:val="24"/>
          <w:u w:val="single"/>
          <w:lang w:eastAsia="x-none"/>
        </w:rPr>
        <w:t>(as in the initial proposal)</w:t>
      </w:r>
    </w:p>
    <w:p w14:paraId="52A167A6" w14:textId="77777777" w:rsidR="00CA0C8D" w:rsidRPr="00CA0C8D" w:rsidRDefault="00CA0C8D" w:rsidP="00563937">
      <w:pPr>
        <w:jc w:val="both"/>
        <w:rPr>
          <w:szCs w:val="24"/>
          <w:lang w:eastAsia="x-none"/>
        </w:rPr>
      </w:pPr>
    </w:p>
    <w:p w14:paraId="15122E70" w14:textId="77777777" w:rsidR="00CA0C8D" w:rsidRPr="00CA0C8D" w:rsidRDefault="00CA0C8D" w:rsidP="00563937">
      <w:pPr>
        <w:jc w:val="both"/>
        <w:rPr>
          <w:szCs w:val="24"/>
          <w:lang w:val="fr-FR" w:eastAsia="x-none"/>
        </w:rPr>
      </w:pPr>
      <w:r w:rsidRPr="00CA0C8D">
        <w:rPr>
          <w:szCs w:val="24"/>
          <w:lang w:val="fr-FR" w:eastAsia="x-none"/>
        </w:rPr>
        <w:t>Le projet comprend 3 résultats intermédiaires clés: 1) Les acteurs clés pour la mobilisation de la société civile en faveur de la nutrition sont identifiés et enrôlés dans le projet 2) Les connaissances et compétences en nutrition des acteurs clés de la société civile sont mises à niveau et renforcées 3) Le CNOSCG participe aux mécanismes de coordination de la nutrition aux niveaux national et régional. Les principales activités consistaient en : 1) Identification, sélection et enrôlement avec la collaboration du CNOSCG des organisations de la société civile pertinentes pour renforcer la nutrition 2) Mise en place des outils et procédures de gestion et de mise en œuvre du projet avec les partenaires (CNOSCG et les 6 organisations partenaires) 3) Organisation d’un atelier de renforcement des connaissances et des compétences sur la nutrition en faveur des organisations partenaires 4) Intégration du CNOSCG dans les mécanismes de coordination existants (coordination des acteurs non étatiques, Groupe technique Nutrition, lien avec le Point focal SUN…)</w:t>
      </w:r>
    </w:p>
    <w:p w14:paraId="758C3E13" w14:textId="77777777" w:rsidR="00CA0C8D" w:rsidRPr="00CA0C8D" w:rsidRDefault="00CA0C8D" w:rsidP="00563937">
      <w:pPr>
        <w:jc w:val="both"/>
        <w:rPr>
          <w:szCs w:val="24"/>
          <w:lang w:val="fr-FR" w:eastAsia="x-none"/>
        </w:rPr>
      </w:pPr>
    </w:p>
    <w:p w14:paraId="2036525E" w14:textId="77777777" w:rsidR="00CA0C8D" w:rsidRPr="00CA0C8D" w:rsidRDefault="00CA0C8D" w:rsidP="00563937">
      <w:pPr>
        <w:jc w:val="both"/>
        <w:rPr>
          <w:szCs w:val="24"/>
          <w:u w:val="single"/>
          <w:lang w:eastAsia="x-none"/>
        </w:rPr>
      </w:pPr>
      <w:r w:rsidRPr="00CA0C8D">
        <w:rPr>
          <w:szCs w:val="24"/>
          <w:u w:val="single"/>
          <w:lang w:eastAsia="x-none"/>
        </w:rPr>
        <w:t>Indicate the main implementing partners, their roles and responsibilities, and their interaction with the Participating UN or Non-UN Organization.</w:t>
      </w:r>
    </w:p>
    <w:p w14:paraId="5F02B68A" w14:textId="77777777" w:rsidR="00CA0C8D" w:rsidRPr="00CA0C8D" w:rsidRDefault="00CA0C8D" w:rsidP="00563937">
      <w:pPr>
        <w:jc w:val="both"/>
        <w:rPr>
          <w:szCs w:val="24"/>
          <w:u w:val="single"/>
          <w:lang w:eastAsia="x-none"/>
        </w:rPr>
      </w:pPr>
    </w:p>
    <w:p w14:paraId="0621B689" w14:textId="77777777" w:rsidR="00CA0C8D" w:rsidRPr="00CA0C8D" w:rsidRDefault="00CA0C8D" w:rsidP="00563937">
      <w:pPr>
        <w:widowControl/>
        <w:autoSpaceDE w:val="0"/>
        <w:autoSpaceDN w:val="0"/>
        <w:adjustRightInd w:val="0"/>
        <w:jc w:val="both"/>
        <w:rPr>
          <w:rFonts w:eastAsia="Calibri"/>
          <w:snapToGrid/>
          <w:szCs w:val="24"/>
          <w:lang w:val="fr-FR"/>
        </w:rPr>
      </w:pPr>
      <w:r w:rsidRPr="00CA0C8D">
        <w:rPr>
          <w:rFonts w:eastAsia="Calibri"/>
          <w:snapToGrid/>
          <w:szCs w:val="24"/>
          <w:lang w:val="fr-FR"/>
        </w:rPr>
        <w:t xml:space="preserve">Les actions de l’initiative en République de Guinée concernant la société civile sont coordonnées par 4 institutions dont les rôles et responsabilités sont complémentaires tant au niveau international que national. Ces institutions sont des acteurs importants dans la nutrition en Guinée depuis plus d’une décennie à travers la mise en œuvre des projets et programmes dans le domaine. Il s’agit de: </w:t>
      </w:r>
    </w:p>
    <w:p w14:paraId="5664568C" w14:textId="77777777" w:rsidR="00CA0C8D" w:rsidRPr="00CA0C8D" w:rsidRDefault="00CA0C8D" w:rsidP="00563937">
      <w:pPr>
        <w:widowControl/>
        <w:autoSpaceDE w:val="0"/>
        <w:autoSpaceDN w:val="0"/>
        <w:adjustRightInd w:val="0"/>
        <w:ind w:left="360"/>
        <w:jc w:val="both"/>
        <w:rPr>
          <w:rFonts w:eastAsia="Calibri"/>
          <w:snapToGrid/>
          <w:szCs w:val="24"/>
          <w:lang w:val="fr-FR"/>
        </w:rPr>
      </w:pPr>
    </w:p>
    <w:p w14:paraId="62591C36" w14:textId="77777777" w:rsidR="00CA0C8D" w:rsidRPr="00CA0C8D" w:rsidRDefault="00CA0C8D" w:rsidP="00563937">
      <w:pPr>
        <w:widowControl/>
        <w:autoSpaceDE w:val="0"/>
        <w:autoSpaceDN w:val="0"/>
        <w:adjustRightInd w:val="0"/>
        <w:jc w:val="both"/>
        <w:rPr>
          <w:rFonts w:eastAsia="Calibri"/>
          <w:snapToGrid/>
          <w:szCs w:val="24"/>
          <w:lang w:val="fr-FR"/>
        </w:rPr>
      </w:pPr>
      <w:r w:rsidRPr="00CA0C8D">
        <w:rPr>
          <w:rFonts w:eastAsia="Calibri"/>
          <w:snapToGrid/>
          <w:szCs w:val="24"/>
          <w:u w:val="single"/>
          <w:lang w:val="fr-FR"/>
        </w:rPr>
        <w:t>1. Fond des Nations Unies pour l’Enfance (UNICEF)</w:t>
      </w:r>
      <w:r w:rsidRPr="00CA0C8D">
        <w:rPr>
          <w:rFonts w:eastAsia="Calibri"/>
          <w:b/>
          <w:bCs/>
          <w:snapToGrid/>
          <w:szCs w:val="24"/>
          <w:lang w:val="fr-FR"/>
        </w:rPr>
        <w:t xml:space="preserve"> </w:t>
      </w:r>
      <w:r w:rsidRPr="00CA0C8D">
        <w:rPr>
          <w:rFonts w:eastAsia="Calibri"/>
          <w:snapToGrid/>
          <w:szCs w:val="24"/>
          <w:lang w:val="fr-FR"/>
        </w:rPr>
        <w:t xml:space="preserve">à travers le SUN qui assure le parrainage du projet. Il est responsable du projet devant le secrétariat du mouvement SUN et facilite la gestion financière et technique du projet. </w:t>
      </w:r>
    </w:p>
    <w:p w14:paraId="0F9C3E47" w14:textId="77777777" w:rsidR="00CA0C8D" w:rsidRPr="00CA0C8D" w:rsidRDefault="00CA0C8D" w:rsidP="00563937">
      <w:pPr>
        <w:widowControl/>
        <w:autoSpaceDE w:val="0"/>
        <w:autoSpaceDN w:val="0"/>
        <w:adjustRightInd w:val="0"/>
        <w:ind w:left="720"/>
        <w:jc w:val="both"/>
        <w:rPr>
          <w:rFonts w:eastAsia="Calibri"/>
          <w:snapToGrid/>
          <w:szCs w:val="24"/>
          <w:lang w:val="fr-FR"/>
        </w:rPr>
      </w:pPr>
    </w:p>
    <w:p w14:paraId="780DEA87" w14:textId="77777777" w:rsidR="00CA0C8D" w:rsidRPr="00CA0C8D" w:rsidRDefault="00CA0C8D" w:rsidP="00563937">
      <w:pPr>
        <w:widowControl/>
        <w:autoSpaceDE w:val="0"/>
        <w:autoSpaceDN w:val="0"/>
        <w:adjustRightInd w:val="0"/>
        <w:jc w:val="both"/>
        <w:rPr>
          <w:rFonts w:eastAsia="Calibri"/>
          <w:snapToGrid/>
          <w:szCs w:val="24"/>
          <w:lang w:val="fr-FR"/>
        </w:rPr>
      </w:pPr>
      <w:r w:rsidRPr="00CA0C8D">
        <w:rPr>
          <w:rFonts w:eastAsia="Calibri"/>
          <w:snapToGrid/>
          <w:szCs w:val="24"/>
          <w:u w:val="single"/>
          <w:lang w:val="fr-FR"/>
        </w:rPr>
        <w:t>2. Le Conseil National des Organisations de la Société Civile Guinéenne</w:t>
      </w:r>
      <w:r w:rsidRPr="00CA0C8D">
        <w:rPr>
          <w:rFonts w:eastAsia="Calibri"/>
          <w:bCs/>
          <w:snapToGrid/>
          <w:szCs w:val="24"/>
          <w:u w:val="single"/>
          <w:lang w:val="fr-FR"/>
        </w:rPr>
        <w:t>,</w:t>
      </w:r>
      <w:r w:rsidRPr="00CA0C8D">
        <w:rPr>
          <w:rFonts w:eastAsia="Calibri"/>
          <w:b/>
          <w:bCs/>
          <w:snapToGrid/>
          <w:szCs w:val="24"/>
          <w:lang w:val="fr-FR"/>
        </w:rPr>
        <w:t xml:space="preserve"> </w:t>
      </w:r>
      <w:r w:rsidRPr="00CA0C8D">
        <w:rPr>
          <w:rFonts w:eastAsia="Calibri"/>
          <w:snapToGrid/>
          <w:szCs w:val="24"/>
          <w:lang w:val="fr-FR"/>
        </w:rPr>
        <w:t xml:space="preserve">bénéficiaire direct du projet, il assure la mise en œuvre du plan opérationnel annuel du projet sous l’assistance technique de Terre des hommes, le secteur privé et les autres partenaires techniques et financiers en nutrition. </w:t>
      </w:r>
    </w:p>
    <w:p w14:paraId="48EB3AD9" w14:textId="77777777" w:rsidR="00CA0C8D" w:rsidRPr="00CA0C8D" w:rsidRDefault="00CA0C8D" w:rsidP="00563937">
      <w:pPr>
        <w:widowControl/>
        <w:autoSpaceDE w:val="0"/>
        <w:autoSpaceDN w:val="0"/>
        <w:adjustRightInd w:val="0"/>
        <w:jc w:val="both"/>
        <w:rPr>
          <w:rFonts w:eastAsia="Calibri"/>
          <w:snapToGrid/>
          <w:szCs w:val="24"/>
          <w:lang w:val="fr-FR"/>
        </w:rPr>
      </w:pPr>
    </w:p>
    <w:p w14:paraId="033D6FC7" w14:textId="77777777" w:rsidR="00CA0C8D" w:rsidRPr="00CA0C8D" w:rsidRDefault="00CA0C8D" w:rsidP="00563937">
      <w:pPr>
        <w:widowControl/>
        <w:autoSpaceDE w:val="0"/>
        <w:autoSpaceDN w:val="0"/>
        <w:adjustRightInd w:val="0"/>
        <w:jc w:val="both"/>
        <w:rPr>
          <w:rFonts w:eastAsia="Calibri"/>
          <w:snapToGrid/>
          <w:szCs w:val="24"/>
          <w:lang w:val="fr-FR"/>
        </w:rPr>
      </w:pPr>
      <w:r w:rsidRPr="00CA0C8D">
        <w:rPr>
          <w:rFonts w:eastAsia="Calibri"/>
          <w:snapToGrid/>
          <w:szCs w:val="24"/>
          <w:u w:val="single"/>
          <w:lang w:val="fr-FR"/>
        </w:rPr>
        <w:t xml:space="preserve">3. </w:t>
      </w:r>
      <w:r w:rsidRPr="00CA0C8D">
        <w:rPr>
          <w:rFonts w:eastAsia="Calibri"/>
          <w:bCs/>
          <w:snapToGrid/>
          <w:szCs w:val="24"/>
          <w:u w:val="single"/>
          <w:lang w:val="fr-FR"/>
        </w:rPr>
        <w:t>Terre des hommes Lausanne en Guinée</w:t>
      </w:r>
      <w:r w:rsidRPr="00CA0C8D">
        <w:rPr>
          <w:rFonts w:eastAsia="Calibri"/>
          <w:b/>
          <w:bCs/>
          <w:snapToGrid/>
          <w:szCs w:val="24"/>
          <w:lang w:val="fr-FR"/>
        </w:rPr>
        <w:t xml:space="preserve"> </w:t>
      </w:r>
      <w:r w:rsidRPr="00CA0C8D">
        <w:rPr>
          <w:rFonts w:eastAsia="Calibri"/>
          <w:snapToGrid/>
          <w:szCs w:val="24"/>
          <w:lang w:val="fr-FR"/>
        </w:rPr>
        <w:t xml:space="preserve">assure la gestion administrative/financière et la coordination avec le comité technique national, le secteur privé et les autres partenaires techniques et financiers en nutrition. </w:t>
      </w:r>
    </w:p>
    <w:p w14:paraId="66F5C9B5" w14:textId="77777777" w:rsidR="00CA0C8D" w:rsidRPr="00CA0C8D" w:rsidRDefault="00CA0C8D" w:rsidP="00563937">
      <w:pPr>
        <w:widowControl/>
        <w:autoSpaceDE w:val="0"/>
        <w:autoSpaceDN w:val="0"/>
        <w:adjustRightInd w:val="0"/>
        <w:jc w:val="both"/>
        <w:rPr>
          <w:rFonts w:eastAsia="Calibri"/>
          <w:snapToGrid/>
          <w:szCs w:val="24"/>
          <w:lang w:val="fr-FR"/>
        </w:rPr>
      </w:pPr>
      <w:r w:rsidRPr="00CA0C8D">
        <w:rPr>
          <w:rFonts w:eastAsia="Calibri"/>
          <w:snapToGrid/>
          <w:szCs w:val="24"/>
          <w:lang w:val="fr-FR"/>
        </w:rPr>
        <w:t xml:space="preserve">Elle assure pour la nutrition le rôle d’assistance technique au point focal SUN, Groupe Technique de Nutrition et Alimentation et aux autres organisations impliquées dans la nutrition en Guinée  sous la coordination du mouvement SUN. </w:t>
      </w:r>
    </w:p>
    <w:p w14:paraId="7E48093B" w14:textId="77777777" w:rsidR="00CA0C8D" w:rsidRPr="00CA0C8D" w:rsidRDefault="00CA0C8D" w:rsidP="00563937">
      <w:pPr>
        <w:widowControl/>
        <w:autoSpaceDE w:val="0"/>
        <w:autoSpaceDN w:val="0"/>
        <w:adjustRightInd w:val="0"/>
        <w:jc w:val="both"/>
        <w:rPr>
          <w:rFonts w:eastAsia="Calibri"/>
          <w:snapToGrid/>
          <w:szCs w:val="24"/>
          <w:lang w:val="fr-FR"/>
        </w:rPr>
      </w:pPr>
    </w:p>
    <w:p w14:paraId="611CE820" w14:textId="38A18B0D" w:rsidR="00813BAA" w:rsidRPr="00DB4987" w:rsidRDefault="00CA0C8D" w:rsidP="00563937">
      <w:pPr>
        <w:widowControl/>
        <w:autoSpaceDE w:val="0"/>
        <w:autoSpaceDN w:val="0"/>
        <w:adjustRightInd w:val="0"/>
        <w:jc w:val="both"/>
        <w:rPr>
          <w:rFonts w:eastAsia="Calibri"/>
          <w:snapToGrid/>
          <w:szCs w:val="24"/>
          <w:lang w:val="fr-FR"/>
        </w:rPr>
      </w:pPr>
      <w:r w:rsidRPr="00CA0C8D">
        <w:rPr>
          <w:rFonts w:eastAsia="Calibri"/>
          <w:snapToGrid/>
          <w:szCs w:val="24"/>
          <w:u w:val="single"/>
          <w:lang w:val="fr-FR"/>
        </w:rPr>
        <w:t>4. Le Ministère de la santé</w:t>
      </w:r>
      <w:r w:rsidRPr="00CA0C8D">
        <w:rPr>
          <w:rFonts w:eastAsia="Calibri"/>
          <w:b/>
          <w:snapToGrid/>
          <w:szCs w:val="24"/>
          <w:lang w:val="fr-FR"/>
        </w:rPr>
        <w:t xml:space="preserve"> </w:t>
      </w:r>
      <w:r w:rsidRPr="00CA0C8D">
        <w:rPr>
          <w:rFonts w:eastAsia="Calibri"/>
          <w:snapToGrid/>
          <w:szCs w:val="24"/>
          <w:lang w:val="fr-FR"/>
        </w:rPr>
        <w:t xml:space="preserve">à travers la Direction Nationale de la Santé Familiale et Nutrition (DNSFN) par le biais de la Division Alimentation et Nutrition (DAN) préside le comité de pilotage dudit projet et assure la supervision générale de l’opérationnalisation des différents engagements pris. </w:t>
      </w:r>
    </w:p>
    <w:p w14:paraId="2D021062" w14:textId="77777777" w:rsidR="00930EC1" w:rsidRPr="00DB4987" w:rsidRDefault="00930EC1" w:rsidP="00563937">
      <w:pPr>
        <w:pStyle w:val="BodyText"/>
        <w:rPr>
          <w:szCs w:val="24"/>
          <w:lang w:val="fr-FR"/>
        </w:rPr>
      </w:pPr>
    </w:p>
    <w:p w14:paraId="433B43A3" w14:textId="77777777" w:rsidR="00930EC1" w:rsidRPr="00DB4987" w:rsidRDefault="00930EC1" w:rsidP="00563937">
      <w:pPr>
        <w:pStyle w:val="BodyText"/>
        <w:widowControl/>
        <w:numPr>
          <w:ilvl w:val="0"/>
          <w:numId w:val="3"/>
        </w:numPr>
        <w:tabs>
          <w:tab w:val="clear" w:pos="1080"/>
        </w:tabs>
        <w:ind w:left="360" w:hanging="360"/>
        <w:rPr>
          <w:b/>
          <w:szCs w:val="24"/>
          <w:lang w:val="fr-FR"/>
        </w:rPr>
      </w:pPr>
      <w:r w:rsidRPr="00DB4987">
        <w:rPr>
          <w:b/>
          <w:szCs w:val="24"/>
          <w:lang w:val="fr-FR"/>
        </w:rPr>
        <w:t xml:space="preserve">Resources </w:t>
      </w:r>
    </w:p>
    <w:p w14:paraId="539E9B5B" w14:textId="77777777" w:rsidR="00930EC1" w:rsidRPr="00DB4987" w:rsidRDefault="00930EC1" w:rsidP="00563937">
      <w:pPr>
        <w:pStyle w:val="BodyText"/>
        <w:ind w:firstLine="360"/>
        <w:rPr>
          <w:i/>
          <w:szCs w:val="24"/>
          <w:lang w:val="fr-FR"/>
        </w:rPr>
      </w:pPr>
      <w:r w:rsidRPr="00DB4987">
        <w:rPr>
          <w:i/>
          <w:szCs w:val="24"/>
          <w:lang w:val="fr-FR"/>
        </w:rPr>
        <w:t>Financial Resources:</w:t>
      </w:r>
    </w:p>
    <w:p w14:paraId="06BAD56B" w14:textId="77777777" w:rsidR="00930EC1" w:rsidRPr="00DB4987" w:rsidRDefault="00930EC1" w:rsidP="00563937">
      <w:pPr>
        <w:pStyle w:val="BodyText"/>
        <w:widowControl/>
        <w:numPr>
          <w:ilvl w:val="0"/>
          <w:numId w:val="6"/>
        </w:numPr>
        <w:rPr>
          <w:i/>
          <w:szCs w:val="24"/>
          <w:highlight w:val="lightGray"/>
          <w:lang w:val="en-US"/>
        </w:rPr>
      </w:pPr>
      <w:r w:rsidRPr="00DB4987">
        <w:rPr>
          <w:i/>
          <w:szCs w:val="24"/>
          <w:highlight w:val="lightGray"/>
          <w:lang w:val="en-US"/>
        </w:rPr>
        <w:t>Provide information on other funding resources available to the programme, if applicable.</w:t>
      </w:r>
    </w:p>
    <w:p w14:paraId="489A17CD" w14:textId="77777777" w:rsidR="00930EC1" w:rsidRPr="00DB4987" w:rsidRDefault="00930EC1" w:rsidP="00563937">
      <w:pPr>
        <w:pStyle w:val="BodyText"/>
        <w:widowControl/>
        <w:numPr>
          <w:ilvl w:val="0"/>
          <w:numId w:val="6"/>
        </w:numPr>
        <w:rPr>
          <w:i/>
          <w:szCs w:val="24"/>
          <w:highlight w:val="lightGray"/>
          <w:lang w:val="en-US"/>
        </w:rPr>
      </w:pPr>
      <w:r w:rsidRPr="00DB4987">
        <w:rPr>
          <w:i/>
          <w:szCs w:val="24"/>
          <w:highlight w:val="lightGray"/>
          <w:lang w:val="en-US"/>
        </w:rPr>
        <w:t>Provide details on any budget revisions approved by the appropriate decision-making body, if applicable.</w:t>
      </w:r>
    </w:p>
    <w:p w14:paraId="2EFD20F1" w14:textId="2085D61A" w:rsidR="006836BB" w:rsidRPr="00DB4987" w:rsidRDefault="00CA0C8D" w:rsidP="00563937">
      <w:pPr>
        <w:pStyle w:val="BodyText"/>
        <w:widowControl/>
        <w:rPr>
          <w:szCs w:val="24"/>
          <w:lang w:val="fr-FR"/>
        </w:rPr>
      </w:pPr>
      <w:r w:rsidRPr="00DB4987">
        <w:rPr>
          <w:szCs w:val="24"/>
          <w:lang w:val="fr-FR"/>
        </w:rPr>
        <w:br/>
        <w:t>Les ressources allouées au projet sont présentées ci-dessous:</w:t>
      </w:r>
    </w:p>
    <w:p w14:paraId="6AD58822" w14:textId="7FA092CE" w:rsidR="00CA0C8D" w:rsidRPr="00DB4987" w:rsidRDefault="00CA0C8D" w:rsidP="00563937">
      <w:pPr>
        <w:pStyle w:val="BodyText"/>
        <w:widowControl/>
        <w:numPr>
          <w:ilvl w:val="0"/>
          <w:numId w:val="24"/>
        </w:numPr>
        <w:rPr>
          <w:szCs w:val="24"/>
          <w:lang w:val="fr-FR"/>
        </w:rPr>
      </w:pPr>
      <w:r w:rsidRPr="00DB4987">
        <w:rPr>
          <w:szCs w:val="24"/>
          <w:lang w:val="fr-FR"/>
        </w:rPr>
        <w:t>Montant total approuvé : USD 289,000</w:t>
      </w:r>
    </w:p>
    <w:p w14:paraId="2B9B4B32" w14:textId="195C00FA" w:rsidR="00CA0C8D" w:rsidRPr="00DB4987" w:rsidRDefault="00CA0C8D" w:rsidP="00563937">
      <w:pPr>
        <w:pStyle w:val="BodyText"/>
        <w:widowControl/>
        <w:numPr>
          <w:ilvl w:val="0"/>
          <w:numId w:val="24"/>
        </w:numPr>
        <w:rPr>
          <w:szCs w:val="24"/>
          <w:lang w:val="fr-FR"/>
        </w:rPr>
      </w:pPr>
      <w:r w:rsidRPr="00DB4987">
        <w:rPr>
          <w:szCs w:val="24"/>
          <w:lang w:val="fr-FR"/>
        </w:rPr>
        <w:t>Dépense : USD 267,000</w:t>
      </w:r>
    </w:p>
    <w:p w14:paraId="4B7AB59F" w14:textId="77777777" w:rsidR="00CA0C8D" w:rsidRPr="00DB4987" w:rsidRDefault="00CA0C8D" w:rsidP="00563937">
      <w:pPr>
        <w:pStyle w:val="BodyText"/>
        <w:widowControl/>
        <w:numPr>
          <w:ilvl w:val="0"/>
          <w:numId w:val="24"/>
        </w:numPr>
        <w:rPr>
          <w:szCs w:val="24"/>
          <w:lang w:val="fr-FR"/>
        </w:rPr>
      </w:pPr>
      <w:r w:rsidRPr="00DB4987">
        <w:rPr>
          <w:szCs w:val="24"/>
          <w:lang w:val="fr-FR"/>
        </w:rPr>
        <w:t>Reliquat : USD 22,000</w:t>
      </w:r>
    </w:p>
    <w:p w14:paraId="1A4B8265" w14:textId="2C81EEA8" w:rsidR="00F9008C" w:rsidRPr="00DB4987" w:rsidRDefault="00CA0C8D" w:rsidP="00563937">
      <w:pPr>
        <w:pStyle w:val="BodyText"/>
        <w:widowControl/>
        <w:rPr>
          <w:szCs w:val="24"/>
          <w:lang w:val="fr-FR"/>
        </w:rPr>
      </w:pPr>
      <w:r w:rsidRPr="00DB4987">
        <w:rPr>
          <w:szCs w:val="24"/>
          <w:lang w:val="fr-FR"/>
        </w:rPr>
        <w:t xml:space="preserve">Aucune révision n’a été apportée au budget initial </w:t>
      </w:r>
      <w:r w:rsidR="00F9008C" w:rsidRPr="00DB4987">
        <w:rPr>
          <w:szCs w:val="24"/>
          <w:lang w:val="fr-FR"/>
        </w:rPr>
        <w:tab/>
      </w:r>
    </w:p>
    <w:p w14:paraId="3FE57B84" w14:textId="77777777" w:rsidR="00930EC1" w:rsidRPr="00DB4987" w:rsidRDefault="00930EC1" w:rsidP="00563937">
      <w:pPr>
        <w:pStyle w:val="BodyText"/>
        <w:rPr>
          <w:i/>
          <w:szCs w:val="24"/>
          <w:lang w:val="fr-FR"/>
        </w:rPr>
      </w:pPr>
    </w:p>
    <w:p w14:paraId="61C0591C" w14:textId="77777777" w:rsidR="00930EC1" w:rsidRPr="00DB4987" w:rsidRDefault="00930EC1" w:rsidP="00563937">
      <w:pPr>
        <w:pStyle w:val="BodyText"/>
        <w:rPr>
          <w:b/>
          <w:szCs w:val="24"/>
          <w:lang w:val="fr-FR"/>
        </w:rPr>
      </w:pPr>
    </w:p>
    <w:p w14:paraId="2B275F10" w14:textId="77777777" w:rsidR="00930EC1" w:rsidRPr="00DB4987" w:rsidRDefault="00930EC1" w:rsidP="00563937">
      <w:pPr>
        <w:pStyle w:val="BodyText"/>
        <w:widowControl/>
        <w:numPr>
          <w:ilvl w:val="0"/>
          <w:numId w:val="3"/>
        </w:numPr>
        <w:tabs>
          <w:tab w:val="clear" w:pos="1080"/>
        </w:tabs>
        <w:ind w:left="360" w:hanging="360"/>
        <w:rPr>
          <w:b/>
          <w:szCs w:val="24"/>
          <w:lang w:val="fr-FR"/>
        </w:rPr>
      </w:pPr>
      <w:r w:rsidRPr="00DB4987">
        <w:rPr>
          <w:b/>
          <w:szCs w:val="24"/>
          <w:lang w:val="fr-FR"/>
        </w:rPr>
        <w:t>Implementation and Monitoring Arrangements</w:t>
      </w:r>
    </w:p>
    <w:p w14:paraId="2BF16D86" w14:textId="77777777" w:rsidR="00BE62DC" w:rsidRPr="00DB4987" w:rsidRDefault="00BE62DC" w:rsidP="00563937">
      <w:pPr>
        <w:pStyle w:val="FootnoteText"/>
        <w:jc w:val="both"/>
        <w:rPr>
          <w:sz w:val="24"/>
          <w:szCs w:val="24"/>
          <w:u w:val="single"/>
        </w:rPr>
      </w:pPr>
    </w:p>
    <w:p w14:paraId="68037FA6" w14:textId="77777777" w:rsidR="00BE62DC" w:rsidRPr="00DB4987" w:rsidRDefault="00BE62DC" w:rsidP="00563937">
      <w:pPr>
        <w:pStyle w:val="FootnoteText"/>
        <w:jc w:val="both"/>
        <w:rPr>
          <w:i/>
          <w:sz w:val="24"/>
          <w:szCs w:val="24"/>
          <w:u w:val="single"/>
        </w:rPr>
      </w:pPr>
      <w:r w:rsidRPr="00DB4987">
        <w:rPr>
          <w:i/>
          <w:sz w:val="24"/>
          <w:szCs w:val="24"/>
          <w:highlight w:val="lightGray"/>
          <w:u w:val="single"/>
        </w:rPr>
        <w:t>Summarize how national alliances and/or other governance  mechanisms are being primarily utilized</w:t>
      </w:r>
      <w:r w:rsidRPr="00DB4987">
        <w:rPr>
          <w:i/>
          <w:sz w:val="24"/>
          <w:szCs w:val="24"/>
          <w:u w:val="single"/>
        </w:rPr>
        <w:t xml:space="preserve"> </w:t>
      </w:r>
    </w:p>
    <w:p w14:paraId="6944F891" w14:textId="77777777" w:rsidR="00BE62DC" w:rsidRPr="00DB4987" w:rsidRDefault="00BE62DC" w:rsidP="00563937">
      <w:pPr>
        <w:ind w:left="720"/>
        <w:jc w:val="both"/>
        <w:rPr>
          <w:szCs w:val="24"/>
          <w:lang w:eastAsia="x-none"/>
        </w:rPr>
      </w:pPr>
    </w:p>
    <w:p w14:paraId="1600B6C8" w14:textId="5BD46572" w:rsidR="00BE62DC" w:rsidRPr="00DB4987" w:rsidRDefault="002223A7" w:rsidP="00563937">
      <w:pPr>
        <w:jc w:val="both"/>
        <w:rPr>
          <w:szCs w:val="24"/>
          <w:lang w:val="fr-FR"/>
        </w:rPr>
      </w:pPr>
      <w:r w:rsidRPr="00DB4987">
        <w:rPr>
          <w:szCs w:val="24"/>
          <w:lang w:val="fr-FR"/>
        </w:rPr>
        <w:t>Pour la mise en place d</w:t>
      </w:r>
      <w:r w:rsidR="00BE62DC" w:rsidRPr="00DB4987">
        <w:rPr>
          <w:szCs w:val="24"/>
          <w:lang w:val="fr-FR"/>
        </w:rPr>
        <w:t>e</w:t>
      </w:r>
      <w:r w:rsidRPr="00DB4987">
        <w:rPr>
          <w:szCs w:val="24"/>
          <w:lang w:val="fr-FR"/>
        </w:rPr>
        <w:t xml:space="preserve"> l’</w:t>
      </w:r>
      <w:r w:rsidR="00BE62DC" w:rsidRPr="00DB4987">
        <w:rPr>
          <w:szCs w:val="24"/>
          <w:lang w:val="fr-FR"/>
        </w:rPr>
        <w:t xml:space="preserve"> alliance de la société civile, le projet a désigné un Responsable de projet (personnel de Terre des hommes Lausanne-Guinée, Tdh) et un chargé de mise en œuvre (personnel du Conseil National des Organisations de la Société Civile Guinéenne, CNOSCG) qui avec l’appui de leurs bureaux respectifs ont mis en place un processus de sélection qui a abouti à la mise en place d’un Groupe de Travail et de Réflexion (GRT) de la société civile sur la nutrition composé de 06 autres Organisations de la Société Civile (OSC) issues du domaine parlementaire, du secteur agroalimentaire, des medias, du développement rural, de la jeunesse et du droit des femmes. Depuis sa mise en place</w:t>
      </w:r>
      <w:r w:rsidRPr="00DB4987">
        <w:rPr>
          <w:szCs w:val="24"/>
          <w:lang w:val="fr-FR"/>
        </w:rPr>
        <w:t xml:space="preserve">, </w:t>
      </w:r>
      <w:r w:rsidR="00BE62DC" w:rsidRPr="00DB4987">
        <w:rPr>
          <w:szCs w:val="24"/>
          <w:lang w:val="fr-FR"/>
        </w:rPr>
        <w:t xml:space="preserve"> ce groupe de travail s’est réuni régulièrement pour rédiger et  finaliser ses Termes de Références (TdR) ainsi que les TdR des points focaux des OSC, pour </w:t>
      </w:r>
      <w:r w:rsidR="00BE62DC" w:rsidRPr="00DB4987">
        <w:rPr>
          <w:szCs w:val="24"/>
          <w:lang w:val="fr-FR" w:eastAsia="fr-FR"/>
        </w:rPr>
        <w:t>discuter sur le rapport d’évaluation globale indépendante du mouvement SUN</w:t>
      </w:r>
      <w:r w:rsidR="00BE62DC" w:rsidRPr="00DB4987">
        <w:rPr>
          <w:szCs w:val="24"/>
          <w:lang w:val="fr-FR"/>
        </w:rPr>
        <w:t xml:space="preserve"> envoyer par le secrétariat du mouvement SUN ainsi que pour préparer sa première participation à la réunion du cluster nutrition et sécurité alimentaire en cette période de l’épidémie d’Ebola.</w:t>
      </w:r>
    </w:p>
    <w:p w14:paraId="4590215E" w14:textId="77777777" w:rsidR="00CA0C8D" w:rsidRPr="00DB4987" w:rsidRDefault="00CA0C8D" w:rsidP="00563937">
      <w:pPr>
        <w:jc w:val="both"/>
        <w:rPr>
          <w:szCs w:val="24"/>
          <w:lang w:val="fr-FR"/>
        </w:rPr>
      </w:pPr>
    </w:p>
    <w:p w14:paraId="3470E3E9" w14:textId="77777777" w:rsidR="00BE62DC" w:rsidRPr="00DB4987" w:rsidRDefault="00BE62DC" w:rsidP="00563937">
      <w:pPr>
        <w:jc w:val="both"/>
        <w:rPr>
          <w:szCs w:val="24"/>
          <w:lang w:val="fr-FR"/>
        </w:rPr>
      </w:pPr>
      <w:r w:rsidRPr="00DB4987">
        <w:rPr>
          <w:szCs w:val="24"/>
          <w:lang w:val="fr-FR"/>
        </w:rPr>
        <w:t>A côté du groupe de travail et de réflexion, il a été mis en place un comité de pilotage du projet comprenant l’UNICEF, le CNOSCG, la Division Alimentation Nutrition (DAN), 3 OSC, Helen Keller International (HKI), PAM, Action Contre la Faim (ACF), FAO et Tdh. Ce comité a pour rôle entre autres : l’élaboration des directives du projet, l’orientation et le cadrage du projet vers les objectifs qui lui sont assignés, le soutien des efforts du projet MPTF-SUN et celui du Gouvernement en matière de nutrition et veiller à la bonne marche du projet pour l’atteinte des objectifs qui lui sont fixés.</w:t>
      </w:r>
    </w:p>
    <w:p w14:paraId="184EF91D" w14:textId="38A71C1B" w:rsidR="00BB15F9" w:rsidRPr="00DB4987" w:rsidRDefault="00BB15F9" w:rsidP="00563937">
      <w:pPr>
        <w:pStyle w:val="Default"/>
        <w:jc w:val="both"/>
        <w:rPr>
          <w:color w:val="auto"/>
        </w:rPr>
      </w:pPr>
      <w:r w:rsidRPr="00DB4987">
        <w:rPr>
          <w:color w:val="auto"/>
        </w:rPr>
        <w:t>Ci-dessous les principales activités du projet au cours des deux derniers trimestres</w:t>
      </w:r>
    </w:p>
    <w:p w14:paraId="28B77B78" w14:textId="77777777" w:rsidR="00BB15F9" w:rsidRPr="00DB4987" w:rsidRDefault="00BB15F9" w:rsidP="00563937">
      <w:pPr>
        <w:pStyle w:val="Default"/>
        <w:jc w:val="both"/>
        <w:rPr>
          <w:color w:val="auto"/>
        </w:rPr>
      </w:pPr>
    </w:p>
    <w:p w14:paraId="22086B55" w14:textId="77777777" w:rsidR="00BB15F9" w:rsidRPr="00DB4987" w:rsidRDefault="00BB15F9" w:rsidP="00563937">
      <w:pPr>
        <w:shd w:val="clear" w:color="auto" w:fill="F2F2F2" w:themeFill="background1" w:themeFillShade="F2"/>
        <w:jc w:val="both"/>
        <w:rPr>
          <w:b/>
          <w:color w:val="FFFFFF" w:themeColor="background1"/>
          <w:szCs w:val="24"/>
          <w:lang w:val="fr-FR"/>
        </w:rPr>
      </w:pPr>
      <w:r w:rsidRPr="00DB4987">
        <w:rPr>
          <w:b/>
          <w:color w:val="FFFFFF" w:themeColor="background1"/>
          <w:szCs w:val="24"/>
          <w:highlight w:val="black"/>
          <w:lang w:val="fr-FR"/>
        </w:rPr>
        <w:t>Juin 2015</w:t>
      </w:r>
    </w:p>
    <w:p w14:paraId="380A7352" w14:textId="77777777" w:rsidR="00BB15F9" w:rsidRPr="00DB4987" w:rsidRDefault="00BB15F9" w:rsidP="00563937">
      <w:pPr>
        <w:shd w:val="clear" w:color="auto" w:fill="F2F2F2" w:themeFill="background1" w:themeFillShade="F2"/>
        <w:jc w:val="both"/>
        <w:rPr>
          <w:bCs/>
          <w:szCs w:val="24"/>
          <w:lang w:val="fr-FR"/>
        </w:rPr>
      </w:pPr>
      <w:r w:rsidRPr="00DB4987">
        <w:rPr>
          <w:szCs w:val="24"/>
          <w:lang w:val="fr-FR"/>
        </w:rPr>
        <w:t xml:space="preserve">Un atelier de réflexion conjointe entre les intervenants dans le domaine de la nutrition en Guinée sur l’approche communautaire la plus adaptée pour la prise en charge de la malnutrition dans un contexte Ebola ou toute autre maladie infectieuse a été organisé auquel le groupe de travail de la société civile a pris activement part. Cet atelier a mis un accent particulier sur le rôle prépondérant de la société civile dans la lutte contre la maladie à virus Ebola et qu’il était temps que cette même société civile se lève comme un seul homme pour efficacement prévenir et lutter contre la </w:t>
      </w:r>
      <w:r w:rsidRPr="00DB4987">
        <w:rPr>
          <w:szCs w:val="24"/>
          <w:lang w:val="fr-FR"/>
        </w:rPr>
        <w:lastRenderedPageBreak/>
        <w:t>malnutrition sous toutes ses formes en cette période d’épidémie.</w:t>
      </w:r>
      <w:r w:rsidRPr="00DB4987">
        <w:rPr>
          <w:bCs/>
          <w:szCs w:val="24"/>
          <w:lang w:val="fr-FR"/>
        </w:rPr>
        <w:t xml:space="preserve"> </w:t>
      </w:r>
    </w:p>
    <w:p w14:paraId="03F6E9A8" w14:textId="77777777" w:rsidR="00BB15F9" w:rsidRPr="00DB4987" w:rsidRDefault="00BB15F9" w:rsidP="00563937">
      <w:pPr>
        <w:shd w:val="clear" w:color="auto" w:fill="F2F2F2" w:themeFill="background1" w:themeFillShade="F2"/>
        <w:jc w:val="both"/>
        <w:rPr>
          <w:b/>
          <w:szCs w:val="24"/>
          <w:lang w:val="fr-FR"/>
        </w:rPr>
      </w:pPr>
      <w:r w:rsidRPr="00DB4987">
        <w:rPr>
          <w:bCs/>
          <w:szCs w:val="24"/>
          <w:lang w:val="fr-FR"/>
        </w:rPr>
        <w:t>Une réunion du GTR de la société civile s’est tenue à Tdh pour la préparation de la mission de Dakar concernant sa participation à l’atelier régional sur la plaidoyer en nutrition. C’est ainsi que le</w:t>
      </w:r>
      <w:r w:rsidRPr="00DB4987">
        <w:rPr>
          <w:szCs w:val="24"/>
          <w:lang w:val="fr-FR"/>
        </w:rPr>
        <w:t xml:space="preserve"> groupe de travail et de réflexion de la société civile sur la nutrition a participé à la préparation cet atelier régional organisé par UNICEF et ACF à travers WARO à Dakar du 15 au 18 juin 2015. Les différentes présentations faites par le groupe de travail de la société civile guinéenne ont été envoyées à Dakar pour pouvoir animer les séances de travail lors de l’atelier. Fort malheureusement, la société civile guinéenne n’a pas pu participer à cet important évènement des réseaux de la société civile Ouest africaine du mouvement SUN. </w:t>
      </w:r>
    </w:p>
    <w:p w14:paraId="326E95D8" w14:textId="77777777" w:rsidR="00BB15F9" w:rsidRPr="00DB4987" w:rsidRDefault="00BB15F9" w:rsidP="00563937">
      <w:pPr>
        <w:shd w:val="clear" w:color="auto" w:fill="F2F2F2" w:themeFill="background1" w:themeFillShade="F2"/>
        <w:jc w:val="both"/>
        <w:rPr>
          <w:b/>
          <w:szCs w:val="24"/>
          <w:lang w:val="fr-FR"/>
        </w:rPr>
      </w:pPr>
      <w:r w:rsidRPr="00DB4987">
        <w:rPr>
          <w:szCs w:val="24"/>
          <w:lang w:val="fr-FR" w:eastAsia="fr-FR"/>
        </w:rPr>
        <w:t>Ensuite, il s’est ténue une autre réunion de travail du GTR de la société civile à Tdh sur l’élaboration du document de plaidoyer. Lors de cette réunion, le draft du document a été présenté à l’ensemble des membres par Terre des hommes pour avis et correction, il a été envoyé à chaque OSC partenaire ainsi qu’au CNOSCG et à l’UNICEF pour amendement et suggestion. Nous n’avons pas encore eu le retour des partenaires sur ce document.</w:t>
      </w:r>
    </w:p>
    <w:p w14:paraId="1520861D" w14:textId="7E3454AE" w:rsidR="00BB15F9" w:rsidRPr="00DB4987" w:rsidRDefault="00BB15F9" w:rsidP="00563937">
      <w:pPr>
        <w:shd w:val="clear" w:color="auto" w:fill="F2F2F2" w:themeFill="background1" w:themeFillShade="F2"/>
        <w:jc w:val="both"/>
        <w:rPr>
          <w:b/>
          <w:szCs w:val="24"/>
          <w:lang w:val="fr-FR"/>
        </w:rPr>
      </w:pPr>
      <w:r w:rsidRPr="00DB4987">
        <w:rPr>
          <w:bCs/>
          <w:szCs w:val="24"/>
          <w:lang w:val="fr-FR"/>
        </w:rPr>
        <w:t>Participation à la rencontre avec le CILSS (comité permanent inter-état)</w:t>
      </w:r>
      <w:r w:rsidRPr="00DB4987">
        <w:rPr>
          <w:b/>
          <w:szCs w:val="24"/>
          <w:lang w:val="fr-FR"/>
        </w:rPr>
        <w:t xml:space="preserve"> </w:t>
      </w:r>
    </w:p>
    <w:p w14:paraId="1BC5B358" w14:textId="01311580" w:rsidR="00BB15F9" w:rsidRPr="00DB4987" w:rsidRDefault="00BB15F9" w:rsidP="00563937">
      <w:pPr>
        <w:shd w:val="clear" w:color="auto" w:fill="F2F2F2" w:themeFill="background1" w:themeFillShade="F2"/>
        <w:jc w:val="both"/>
        <w:rPr>
          <w:b/>
          <w:color w:val="FFFFFF" w:themeColor="background1"/>
          <w:szCs w:val="24"/>
          <w:lang w:val="fr-FR"/>
        </w:rPr>
      </w:pPr>
      <w:r w:rsidRPr="00DB4987">
        <w:rPr>
          <w:b/>
          <w:color w:val="FFFFFF" w:themeColor="background1"/>
          <w:szCs w:val="24"/>
          <w:highlight w:val="black"/>
          <w:lang w:val="fr-FR"/>
        </w:rPr>
        <w:t>Juillet 2015</w:t>
      </w:r>
    </w:p>
    <w:p w14:paraId="0A7E0246" w14:textId="77777777" w:rsidR="00BB15F9" w:rsidRPr="00DB4987" w:rsidRDefault="00BB15F9" w:rsidP="00563937">
      <w:pPr>
        <w:shd w:val="clear" w:color="auto" w:fill="F2F2F2" w:themeFill="background1" w:themeFillShade="F2"/>
        <w:jc w:val="both"/>
        <w:rPr>
          <w:szCs w:val="24"/>
          <w:lang w:val="fr-FR"/>
        </w:rPr>
      </w:pPr>
      <w:r w:rsidRPr="00DB4987">
        <w:rPr>
          <w:szCs w:val="24"/>
          <w:lang w:val="fr-FR"/>
        </w:rPr>
        <w:t>Un atelier de formation aux méthodes et outils de suivi-évaluation dans le domaine de la nutrition à l’attention du conseil national des organisations de la société civile guinéenne et des autres organisations partenaires de mise en œuvre du projet a été organisé. Cet atelier avait pour principal objectif d’initier les participants aux concepts basiques de gestion d’un projet et des différents outils et méthodes de suivi évaluation d’un projet de nutrition en particulier.</w:t>
      </w:r>
    </w:p>
    <w:p w14:paraId="294D539D" w14:textId="48805471" w:rsidR="00BB15F9" w:rsidRPr="00DB4987" w:rsidRDefault="00BB15F9" w:rsidP="00563937">
      <w:pPr>
        <w:shd w:val="clear" w:color="auto" w:fill="F2F2F2" w:themeFill="background1" w:themeFillShade="F2"/>
        <w:jc w:val="both"/>
        <w:rPr>
          <w:szCs w:val="24"/>
          <w:lang w:val="fr-FR"/>
        </w:rPr>
      </w:pPr>
      <w:r w:rsidRPr="00DB4987">
        <w:rPr>
          <w:szCs w:val="24"/>
          <w:lang w:val="fr-FR"/>
        </w:rPr>
        <w:t>Le Groupe de Travail et de Réflexion (GTR) de la société civile sur la nutrition a participé à la réunion du programme d’appui à la sécurité sanitaire des denrées animales (les animaux de boucherie et les viandes fraiches) et d’origine animale (le lait, les œufs, miel et les sous-produits comestibles d’origine animale) suivi de sa participation au Cluster nutrition et sécurité alimentaire dans lequel il est fortement impliqué maintenant.</w:t>
      </w:r>
    </w:p>
    <w:p w14:paraId="168D804F" w14:textId="53129003" w:rsidR="00BB15F9" w:rsidRPr="00DB4987" w:rsidRDefault="00BB15F9" w:rsidP="00563937">
      <w:pPr>
        <w:shd w:val="clear" w:color="auto" w:fill="F2F2F2" w:themeFill="background1" w:themeFillShade="F2"/>
        <w:jc w:val="both"/>
        <w:rPr>
          <w:b/>
          <w:szCs w:val="24"/>
          <w:lang w:val="fr-FR"/>
        </w:rPr>
      </w:pPr>
      <w:r w:rsidRPr="00DB4987">
        <w:rPr>
          <w:b/>
          <w:color w:val="FFFFFF" w:themeColor="background1"/>
          <w:szCs w:val="24"/>
          <w:highlight w:val="black"/>
          <w:lang w:val="fr-FR"/>
        </w:rPr>
        <w:t>Août 2015</w:t>
      </w:r>
    </w:p>
    <w:p w14:paraId="4D801B1C" w14:textId="77777777" w:rsidR="00BB15F9" w:rsidRPr="00DB4987" w:rsidRDefault="00BB15F9" w:rsidP="00563937">
      <w:pPr>
        <w:shd w:val="clear" w:color="auto" w:fill="F2F2F2" w:themeFill="background1" w:themeFillShade="F2"/>
        <w:jc w:val="both"/>
        <w:rPr>
          <w:szCs w:val="24"/>
          <w:lang w:val="fr-FR"/>
        </w:rPr>
      </w:pPr>
      <w:r w:rsidRPr="00DB4987">
        <w:rPr>
          <w:szCs w:val="24"/>
          <w:lang w:val="fr-FR"/>
        </w:rPr>
        <w:t xml:space="preserve">Un groupe de travail élargi aux membres du comité de pilotage du projet composé de l’UNICEF, du REACH, du PAM, de HKI , de ACF, de la DAN, du CNOSCG et de Terre des hommes a tenu une réunion sur la relance des activités à réaliser avant fin décembre 2015. Lors de cette réunion, il était question d’identifier les activités prioritaires à mettre en œuvre avant la fin d’année par chaque partie prenante afin de faciliter la réalisation des différentes activités du projet en conjuguant les efforts. </w:t>
      </w:r>
    </w:p>
    <w:p w14:paraId="099C3E80" w14:textId="219ABE39" w:rsidR="00BB15F9" w:rsidRPr="00DB4987" w:rsidRDefault="00BB15F9" w:rsidP="00563937">
      <w:pPr>
        <w:shd w:val="clear" w:color="auto" w:fill="F2F2F2" w:themeFill="background1" w:themeFillShade="F2"/>
        <w:jc w:val="both"/>
        <w:rPr>
          <w:szCs w:val="24"/>
          <w:lang w:val="fr-FR"/>
        </w:rPr>
      </w:pPr>
      <w:r w:rsidRPr="00DB4987">
        <w:rPr>
          <w:szCs w:val="24"/>
          <w:lang w:val="fr-FR"/>
        </w:rPr>
        <w:t>Suite à cette réunion, une rencontre travail a été immédiatement convoqué par le GTR pour</w:t>
      </w:r>
      <w:r w:rsidRPr="00DB4987">
        <w:rPr>
          <w:b/>
          <w:bCs/>
          <w:szCs w:val="24"/>
          <w:lang w:val="fr-FR"/>
        </w:rPr>
        <w:t xml:space="preserve"> </w:t>
      </w:r>
      <w:r w:rsidRPr="00DB4987">
        <w:rPr>
          <w:szCs w:val="24"/>
          <w:lang w:val="fr-FR"/>
        </w:rPr>
        <w:t>la planification des activités prioritaires du projet MPTF- SUN pour leur mise en œuvre avant la fin du projet en décembre 2015 qui a aboutie à la finalisation et au dépôt des propositions d’activités inscrit dans le plan d’action du projet par chaque OSC au CNOSCG puis remonté à Terre des hommes.</w:t>
      </w:r>
    </w:p>
    <w:p w14:paraId="5812D9D4" w14:textId="379D1E28" w:rsidR="00BB15F9" w:rsidRPr="00DB4987" w:rsidRDefault="00BB15F9" w:rsidP="00563937">
      <w:pPr>
        <w:shd w:val="clear" w:color="auto" w:fill="F2F2F2" w:themeFill="background1" w:themeFillShade="F2"/>
        <w:jc w:val="both"/>
        <w:rPr>
          <w:bCs/>
          <w:szCs w:val="24"/>
          <w:lang w:val="fr-FR"/>
        </w:rPr>
      </w:pPr>
      <w:r w:rsidRPr="00DB4987">
        <w:rPr>
          <w:szCs w:val="24"/>
          <w:lang w:val="fr-FR"/>
        </w:rPr>
        <w:t>Le GTR de la société civile a aussi participé à l’atelier de validation de la charte PREGEC et à l’atelier national de formation sur l’outil du cadre harmonisé pour l’identification et l’analyse des zones à risque et des populations en insécurité alimentaire et nutritionnelle</w:t>
      </w:r>
      <w:r w:rsidRPr="00DB4987">
        <w:rPr>
          <w:b/>
          <w:bCs/>
          <w:szCs w:val="24"/>
          <w:lang w:val="fr-FR"/>
        </w:rPr>
        <w:t xml:space="preserve"> </w:t>
      </w:r>
      <w:r w:rsidRPr="00DB4987">
        <w:rPr>
          <w:bCs/>
          <w:szCs w:val="24"/>
          <w:lang w:val="fr-FR"/>
        </w:rPr>
        <w:t>ainsi qu’au cluster nutrition et sécurité alimentaire.</w:t>
      </w:r>
    </w:p>
    <w:p w14:paraId="663B7D85" w14:textId="0A2BABFF" w:rsidR="00BB15F9" w:rsidRPr="00DB4987" w:rsidRDefault="00BB15F9" w:rsidP="00563937">
      <w:pPr>
        <w:shd w:val="clear" w:color="auto" w:fill="F2F2F2" w:themeFill="background1" w:themeFillShade="F2"/>
        <w:jc w:val="both"/>
        <w:rPr>
          <w:b/>
          <w:color w:val="FFFFFF" w:themeColor="background1"/>
          <w:szCs w:val="24"/>
          <w:lang w:val="fr-FR"/>
        </w:rPr>
      </w:pPr>
      <w:r w:rsidRPr="00DB4987">
        <w:rPr>
          <w:b/>
          <w:color w:val="FFFFFF" w:themeColor="background1"/>
          <w:szCs w:val="24"/>
          <w:highlight w:val="black"/>
          <w:lang w:val="fr-FR"/>
        </w:rPr>
        <w:t>Septembre 2015</w:t>
      </w:r>
    </w:p>
    <w:p w14:paraId="134B398D" w14:textId="77777777" w:rsidR="00BB15F9" w:rsidRPr="00DB4987" w:rsidRDefault="00BB15F9" w:rsidP="00563937">
      <w:pPr>
        <w:shd w:val="clear" w:color="auto" w:fill="F2F2F2" w:themeFill="background1" w:themeFillShade="F2"/>
        <w:jc w:val="both"/>
        <w:rPr>
          <w:b/>
          <w:color w:val="FFFFFF" w:themeColor="background1"/>
          <w:szCs w:val="24"/>
          <w:lang w:val="fr-FR"/>
        </w:rPr>
      </w:pPr>
      <w:r w:rsidRPr="00DB4987">
        <w:rPr>
          <w:szCs w:val="24"/>
          <w:lang w:val="fr-FR"/>
        </w:rPr>
        <w:t>Le groupe de travail et de réflexion de la société civile a participé à l’analyse et à répondu aux questions d</w:t>
      </w:r>
      <w:r w:rsidRPr="00DB4987">
        <w:rPr>
          <w:szCs w:val="24"/>
          <w:lang w:val="fr-BE"/>
        </w:rPr>
        <w:t xml:space="preserve">u Secrétariat du SUN sur les solutions (voies et moyens) pour améliorer les communications du Réseau de la Société Civile du mouvement SUN (RSC-SUN) et le soutien aux Alliances de la Société Civile francophones. </w:t>
      </w:r>
    </w:p>
    <w:p w14:paraId="32CF0109" w14:textId="61C40267" w:rsidR="00BB15F9" w:rsidRPr="00DB4987" w:rsidRDefault="00BB15F9" w:rsidP="00563937">
      <w:pPr>
        <w:shd w:val="clear" w:color="auto" w:fill="F2F2F2" w:themeFill="background1" w:themeFillShade="F2"/>
        <w:jc w:val="both"/>
        <w:rPr>
          <w:b/>
          <w:bCs/>
          <w:szCs w:val="24"/>
          <w:lang w:val="fr-BE"/>
        </w:rPr>
      </w:pPr>
      <w:r w:rsidRPr="00DB4987">
        <w:rPr>
          <w:szCs w:val="24"/>
          <w:lang w:val="fr-BE"/>
        </w:rPr>
        <w:t xml:space="preserve">Le GTR a aussi participé à l’analyse et réponses au </w:t>
      </w:r>
      <w:r w:rsidRPr="00DB4987">
        <w:rPr>
          <w:szCs w:val="24"/>
          <w:lang w:val="fr-FR"/>
        </w:rPr>
        <w:t>questionnaire sur la stratégie post 2015 (2016-</w:t>
      </w:r>
      <w:r w:rsidRPr="00DB4987">
        <w:rPr>
          <w:szCs w:val="24"/>
          <w:lang w:val="fr-FR"/>
        </w:rPr>
        <w:lastRenderedPageBreak/>
        <w:t>2020) a adoptée afin de définir un paquet d’objectifs qui seront débattu au rassemblement global du mouvement SUN 2015.</w:t>
      </w:r>
      <w:r w:rsidRPr="00DB4987">
        <w:rPr>
          <w:b/>
          <w:bCs/>
          <w:szCs w:val="24"/>
          <w:lang w:val="fr-BE"/>
        </w:rPr>
        <w:t xml:space="preserve"> </w:t>
      </w:r>
    </w:p>
    <w:p w14:paraId="4A678817" w14:textId="4871F99A" w:rsidR="00BB15F9" w:rsidRPr="00DB4987" w:rsidRDefault="00BB15F9" w:rsidP="00563937">
      <w:pPr>
        <w:shd w:val="clear" w:color="auto" w:fill="F2F2F2" w:themeFill="background1" w:themeFillShade="F2"/>
        <w:jc w:val="both"/>
        <w:rPr>
          <w:b/>
          <w:bCs/>
          <w:color w:val="FFFFFF" w:themeColor="background1"/>
          <w:szCs w:val="24"/>
          <w:lang w:val="fr-FR"/>
        </w:rPr>
      </w:pPr>
      <w:r w:rsidRPr="00DB4987">
        <w:rPr>
          <w:b/>
          <w:bCs/>
          <w:color w:val="FFFFFF" w:themeColor="background1"/>
          <w:szCs w:val="24"/>
          <w:highlight w:val="black"/>
          <w:lang w:val="fr-FR"/>
        </w:rPr>
        <w:t>Octobre 2015</w:t>
      </w:r>
    </w:p>
    <w:p w14:paraId="00DCC1B0" w14:textId="77777777" w:rsidR="00BB15F9" w:rsidRPr="00DB4987" w:rsidRDefault="00BB15F9" w:rsidP="00563937">
      <w:pPr>
        <w:shd w:val="clear" w:color="auto" w:fill="F2F2F2" w:themeFill="background1" w:themeFillShade="F2"/>
        <w:jc w:val="both"/>
        <w:rPr>
          <w:b/>
          <w:bCs/>
          <w:szCs w:val="24"/>
          <w:lang w:val="fr-FR"/>
        </w:rPr>
      </w:pPr>
      <w:r w:rsidRPr="00DB4987">
        <w:rPr>
          <w:szCs w:val="24"/>
          <w:lang w:val="fr-BE"/>
        </w:rPr>
        <w:t>Révision et dépôt des Plans d’Action Opérationnel des OSCs partenaires pour la période Octobre à Décembre 2015.</w:t>
      </w:r>
    </w:p>
    <w:p w14:paraId="2FFF1C8F" w14:textId="77777777" w:rsidR="00BB15F9" w:rsidRPr="00DB4987" w:rsidRDefault="00BB15F9" w:rsidP="00563937">
      <w:pPr>
        <w:shd w:val="clear" w:color="auto" w:fill="F2F2F2" w:themeFill="background1" w:themeFillShade="F2"/>
        <w:jc w:val="both"/>
        <w:rPr>
          <w:b/>
          <w:bCs/>
          <w:szCs w:val="24"/>
          <w:lang w:val="fr-FR"/>
        </w:rPr>
      </w:pPr>
      <w:r w:rsidRPr="00DB4987">
        <w:rPr>
          <w:szCs w:val="24"/>
          <w:lang w:val="fr-FR"/>
        </w:rPr>
        <w:t>La 5</w:t>
      </w:r>
      <w:r w:rsidRPr="00DB4987">
        <w:rPr>
          <w:szCs w:val="24"/>
          <w:vertAlign w:val="superscript"/>
          <w:lang w:val="fr-FR"/>
        </w:rPr>
        <w:t>ème</w:t>
      </w:r>
      <w:r w:rsidRPr="00DB4987">
        <w:rPr>
          <w:szCs w:val="24"/>
          <w:lang w:val="fr-FR"/>
        </w:rPr>
        <w:t xml:space="preserve"> réunion du comité de pilotage du projet MPTF-SUN s’est tenue à Terre des hommes avec la participation du facilitateur national REACH.  Au cours de cette réunion, les termes de référence (TdR) du film documentaire pour le plaidoyer en faveur de la nutrition en Guinée a été finalisé.</w:t>
      </w:r>
    </w:p>
    <w:p w14:paraId="68F76673" w14:textId="77777777" w:rsidR="00BB15F9" w:rsidRPr="00DB4987" w:rsidRDefault="00BB15F9" w:rsidP="00563937">
      <w:pPr>
        <w:shd w:val="clear" w:color="auto" w:fill="F2F2F2" w:themeFill="background1" w:themeFillShade="F2"/>
        <w:jc w:val="both"/>
        <w:rPr>
          <w:szCs w:val="24"/>
          <w:lang w:val="fr-FR"/>
        </w:rPr>
      </w:pPr>
      <w:r w:rsidRPr="00DB4987">
        <w:rPr>
          <w:szCs w:val="24"/>
          <w:lang w:val="fr-FR"/>
        </w:rPr>
        <w:t>Participation de la société civile internationale Tdh au rassemblement global du mouvement SUN 2015 lors duquel, plus de 500 participants de près de 55 pays ont pris part.</w:t>
      </w:r>
    </w:p>
    <w:p w14:paraId="1B14340D" w14:textId="6FB2CB58" w:rsidR="00BB15F9" w:rsidRPr="00DB4987" w:rsidRDefault="00BB15F9" w:rsidP="00563937">
      <w:pPr>
        <w:shd w:val="clear" w:color="auto" w:fill="F2F2F2" w:themeFill="background1" w:themeFillShade="F2"/>
        <w:jc w:val="both"/>
        <w:rPr>
          <w:b/>
          <w:bCs/>
          <w:szCs w:val="24"/>
          <w:lang w:val="fr-FR"/>
        </w:rPr>
      </w:pPr>
      <w:r w:rsidRPr="00DB4987">
        <w:rPr>
          <w:szCs w:val="24"/>
          <w:lang w:val="fr-FR"/>
        </w:rPr>
        <w:t xml:space="preserve">Les termes de références des différents spots radio et télévisé sur la malnutrition ont été finalisé et son maintenant en cours de production. </w:t>
      </w:r>
    </w:p>
    <w:p w14:paraId="711D98E2" w14:textId="578169FA" w:rsidR="00BB15F9" w:rsidRPr="00DB4987" w:rsidRDefault="00BB15F9" w:rsidP="00563937">
      <w:pPr>
        <w:shd w:val="clear" w:color="auto" w:fill="F2F2F2" w:themeFill="background1" w:themeFillShade="F2"/>
        <w:jc w:val="both"/>
        <w:rPr>
          <w:b/>
          <w:bCs/>
          <w:color w:val="FFFFFF" w:themeColor="background1"/>
          <w:szCs w:val="24"/>
          <w:lang w:val="fr-FR"/>
        </w:rPr>
      </w:pPr>
      <w:r w:rsidRPr="00DB4987">
        <w:rPr>
          <w:b/>
          <w:bCs/>
          <w:color w:val="FFFFFF" w:themeColor="background1"/>
          <w:szCs w:val="24"/>
          <w:highlight w:val="black"/>
          <w:lang w:val="fr-FR"/>
        </w:rPr>
        <w:t>Novembre 2015</w:t>
      </w:r>
    </w:p>
    <w:p w14:paraId="177EFEDB" w14:textId="77777777" w:rsidR="00BB15F9" w:rsidRPr="00DB4987" w:rsidRDefault="00BB15F9" w:rsidP="00563937">
      <w:pPr>
        <w:shd w:val="clear" w:color="auto" w:fill="F2F2F2" w:themeFill="background1" w:themeFillShade="F2"/>
        <w:jc w:val="both"/>
        <w:rPr>
          <w:bCs/>
          <w:szCs w:val="24"/>
          <w:lang w:val="fr-FR"/>
        </w:rPr>
      </w:pPr>
      <w:r w:rsidRPr="00DB4987">
        <w:rPr>
          <w:bCs/>
          <w:szCs w:val="24"/>
          <w:lang w:val="fr-FR"/>
        </w:rPr>
        <w:t>Dans le cadre de la visibilité du projet et en prélude de la préparation des journées de plaidoyer et de sensibilisation, des T-shirt, des affiches ont été conçus avec des messages clés et fort de plaidoyer. Le film documentaire sur la plaidoyer est en cours de production, deux interviews ont été déjà réalisé, celle du Responsable du projet MPTF- SUN de Tdh et du président du CNOSCG, il reste celles du Représentant de l’UNICEF en Guinée ou de son délégué, du Ministre de la santé ou de son délégué, de la Représentante du PAM ou de son délégué et du Représentant de HKI ou de son délégué.</w:t>
      </w:r>
    </w:p>
    <w:p w14:paraId="7E03C8A2" w14:textId="77777777" w:rsidR="00BB15F9" w:rsidRPr="00DB4987" w:rsidRDefault="00BB15F9" w:rsidP="00563937">
      <w:pPr>
        <w:shd w:val="clear" w:color="auto" w:fill="F2F2F2" w:themeFill="background1" w:themeFillShade="F2"/>
        <w:jc w:val="both"/>
        <w:rPr>
          <w:szCs w:val="24"/>
          <w:lang w:val="fr-FR"/>
        </w:rPr>
      </w:pPr>
      <w:r w:rsidRPr="00DB4987">
        <w:rPr>
          <w:szCs w:val="24"/>
          <w:lang w:val="fr-FR"/>
        </w:rPr>
        <w:t>Le GTR de la société civile sur la nutrition a participé à la revue à mi-parcours du programme de coopération Guinée – Unicef 2013 à 2017 les 23 et 24 Novembre derniers au cours de laquelle toute son implication en faveur de la nutrition s’est fait ressentir.</w:t>
      </w:r>
    </w:p>
    <w:p w14:paraId="1EA76EB6" w14:textId="77777777" w:rsidR="00BB15F9" w:rsidRPr="00DB4987" w:rsidRDefault="00BB15F9" w:rsidP="00563937">
      <w:pPr>
        <w:jc w:val="both"/>
        <w:rPr>
          <w:szCs w:val="24"/>
          <w:lang w:val="fr-FR"/>
        </w:rPr>
      </w:pPr>
    </w:p>
    <w:p w14:paraId="61DF8633" w14:textId="7AA8703E" w:rsidR="007E63B7" w:rsidRPr="00DB4987" w:rsidRDefault="00CA0C8D" w:rsidP="00563937">
      <w:pPr>
        <w:jc w:val="both"/>
        <w:rPr>
          <w:szCs w:val="24"/>
          <w:lang w:val="fr-FR"/>
        </w:rPr>
      </w:pPr>
      <w:r w:rsidRPr="00DB4987">
        <w:rPr>
          <w:szCs w:val="24"/>
          <w:lang w:val="fr-FR"/>
        </w:rPr>
        <w:t xml:space="preserve">Le pilier du projet MPTF_SUN en Guinée est l’engagement effectif des organisations de la société civile. Le projet a réussi à mobiliser outre la coordination nationale des organisations de la société civile (CNSOCG), d’autres OSC notamment les Jeunes à travers le </w:t>
      </w:r>
      <w:r w:rsidRPr="00DB4987">
        <w:rPr>
          <w:szCs w:val="24"/>
          <w:lang w:val="fr-FR"/>
        </w:rPr>
        <w:t>Réseau Afrique Jeuneuse-Guinée</w:t>
      </w:r>
      <w:r w:rsidRPr="00DB4987">
        <w:rPr>
          <w:szCs w:val="24"/>
          <w:lang w:val="fr-FR"/>
        </w:rPr>
        <w:t xml:space="preserve"> </w:t>
      </w:r>
      <w:r w:rsidR="007E63B7" w:rsidRPr="00DB4987">
        <w:rPr>
          <w:szCs w:val="24"/>
          <w:lang w:val="fr-FR"/>
        </w:rPr>
        <w:t>(</w:t>
      </w:r>
      <w:r w:rsidRPr="00DB4987">
        <w:rPr>
          <w:szCs w:val="24"/>
          <w:lang w:val="fr-FR"/>
        </w:rPr>
        <w:t>RAJ-GUI</w:t>
      </w:r>
      <w:r w:rsidR="007E63B7" w:rsidRPr="00DB4987">
        <w:rPr>
          <w:szCs w:val="24"/>
          <w:lang w:val="fr-FR"/>
        </w:rPr>
        <w:t>)</w:t>
      </w:r>
      <w:r w:rsidRPr="00DB4987">
        <w:rPr>
          <w:szCs w:val="24"/>
          <w:lang w:val="fr-FR"/>
        </w:rPr>
        <w:t xml:space="preserve"> – les médias à travers </w:t>
      </w:r>
      <w:r w:rsidR="007E63B7" w:rsidRPr="00DB4987">
        <w:rPr>
          <w:szCs w:val="24"/>
          <w:lang w:val="fr-FR"/>
        </w:rPr>
        <w:t>Alliance des Femmes et Medias</w:t>
      </w:r>
      <w:r w:rsidR="007E63B7" w:rsidRPr="00DB4987">
        <w:rPr>
          <w:szCs w:val="24"/>
          <w:lang w:val="fr-FR"/>
        </w:rPr>
        <w:t xml:space="preserve"> (AFEM), les communautés rurales à travers l’</w:t>
      </w:r>
      <w:r w:rsidR="007E63B7" w:rsidRPr="00DB4987">
        <w:rPr>
          <w:szCs w:val="24"/>
          <w:lang w:val="fr-FR"/>
        </w:rPr>
        <w:t xml:space="preserve">Association des Volontaires pour le Développement Rural </w:t>
      </w:r>
      <w:r w:rsidR="007E63B7" w:rsidRPr="00DB4987">
        <w:rPr>
          <w:szCs w:val="24"/>
          <w:lang w:val="fr-FR"/>
        </w:rPr>
        <w:t>(</w:t>
      </w:r>
      <w:r w:rsidR="007E63B7" w:rsidRPr="00DB4987">
        <w:rPr>
          <w:szCs w:val="24"/>
          <w:lang w:val="fr-FR"/>
        </w:rPr>
        <w:t>AVODER</w:t>
      </w:r>
      <w:r w:rsidR="007E63B7" w:rsidRPr="00DB4987">
        <w:rPr>
          <w:szCs w:val="24"/>
          <w:lang w:val="fr-FR"/>
        </w:rPr>
        <w:t>)</w:t>
      </w:r>
      <w:r w:rsidR="00B218A4" w:rsidRPr="00DB4987">
        <w:rPr>
          <w:szCs w:val="24"/>
          <w:lang w:val="fr-FR"/>
        </w:rPr>
        <w:t xml:space="preserve">, la </w:t>
      </w:r>
      <w:r w:rsidR="00B218A4" w:rsidRPr="00DB4987">
        <w:rPr>
          <w:szCs w:val="24"/>
          <w:lang w:val="fr-FR"/>
        </w:rPr>
        <w:t>Coalition Nationale de Guinée pour les Droits et Citoyenneté des Femmes</w:t>
      </w:r>
      <w:r w:rsidR="00B218A4" w:rsidRPr="00DB4987">
        <w:rPr>
          <w:szCs w:val="24"/>
          <w:lang w:val="fr-FR"/>
        </w:rPr>
        <w:t xml:space="preserve"> (CONAG-DCF) </w:t>
      </w:r>
      <w:r w:rsidR="007E63B7" w:rsidRPr="00DB4987">
        <w:rPr>
          <w:szCs w:val="24"/>
          <w:lang w:val="fr-FR"/>
        </w:rPr>
        <w:t>et les parlementaires à travers le Réseau des femmes parlementaires de Guinée. Ci-dessous une brève description des alliances avec ces organisations de la société civile:</w:t>
      </w:r>
    </w:p>
    <w:p w14:paraId="1DE33CC8" w14:textId="77777777" w:rsidR="00CA0C8D" w:rsidRPr="00DB4987" w:rsidRDefault="00CA0C8D" w:rsidP="00563937">
      <w:pPr>
        <w:pStyle w:val="BodyText"/>
        <w:widowControl/>
        <w:rPr>
          <w:szCs w:val="24"/>
          <w:lang w:val="fr-FR" w:eastAsia="en-US"/>
        </w:rPr>
      </w:pPr>
    </w:p>
    <w:p w14:paraId="4D354902" w14:textId="72BC2B20" w:rsidR="00CA0C8D" w:rsidRPr="00DB4987" w:rsidRDefault="00CA0C8D" w:rsidP="00563937">
      <w:pPr>
        <w:pStyle w:val="BodyText"/>
        <w:widowControl/>
        <w:shd w:val="clear" w:color="auto" w:fill="F2F2F2" w:themeFill="background1" w:themeFillShade="F2"/>
        <w:rPr>
          <w:szCs w:val="24"/>
          <w:lang w:val="fr-FR"/>
        </w:rPr>
      </w:pPr>
      <w:r w:rsidRPr="00DB4987">
        <w:rPr>
          <w:b/>
          <w:szCs w:val="24"/>
          <w:lang w:val="fr-FR"/>
        </w:rPr>
        <w:t>AFEM</w:t>
      </w:r>
      <w:r w:rsidR="007E63B7" w:rsidRPr="00DB4987">
        <w:rPr>
          <w:b/>
          <w:szCs w:val="24"/>
          <w:lang w:val="fr-FR"/>
        </w:rPr>
        <w:t xml:space="preserve"> (Alliance des Femmes et Medias)</w:t>
      </w:r>
      <w:r w:rsidRPr="00DB4987">
        <w:rPr>
          <w:b/>
          <w:szCs w:val="24"/>
          <w:lang w:val="fr-FR"/>
        </w:rPr>
        <w:t>:</w:t>
      </w:r>
      <w:r w:rsidRPr="00DB4987">
        <w:rPr>
          <w:szCs w:val="24"/>
          <w:lang w:val="fr-FR"/>
        </w:rPr>
        <w:t xml:space="preserve"> Plaidoyer des medias Guinéens pour la nutrition Plaidoyer en faveur de la nutrition objectif d’Informer et sensibiliser les membres du Gouvernement et les députés de l’Assemblée Nationale, ainsi que les partenaires techniques et financiers susceptibles de contribuer à l'examen du document de plaidoyer pour qu’ils adhèrent au processus de son application. </w:t>
      </w:r>
      <w:r w:rsidR="00F45DB4" w:rsidRPr="00DB4987">
        <w:rPr>
          <w:szCs w:val="24"/>
          <w:lang w:val="fr-FR"/>
        </w:rPr>
        <w:t xml:space="preserve">AFEM a collaboré à </w:t>
      </w:r>
      <w:r w:rsidRPr="00DB4987">
        <w:rPr>
          <w:szCs w:val="24"/>
          <w:lang w:val="fr-FR"/>
        </w:rPr>
        <w:tab/>
      </w:r>
    </w:p>
    <w:p w14:paraId="103EA37A" w14:textId="77777777" w:rsidR="00CA0C8D" w:rsidRPr="00DB4987" w:rsidRDefault="00CA0C8D" w:rsidP="00563937">
      <w:pPr>
        <w:pStyle w:val="BodyText"/>
        <w:widowControl/>
        <w:numPr>
          <w:ilvl w:val="0"/>
          <w:numId w:val="10"/>
        </w:numPr>
        <w:shd w:val="clear" w:color="auto" w:fill="F2F2F2" w:themeFill="background1" w:themeFillShade="F2"/>
        <w:rPr>
          <w:szCs w:val="24"/>
          <w:lang w:val="fr-FR"/>
        </w:rPr>
      </w:pPr>
      <w:r w:rsidRPr="00DB4987">
        <w:rPr>
          <w:szCs w:val="24"/>
          <w:lang w:val="fr-FR"/>
        </w:rPr>
        <w:t>Organisation de réunion préparatoire réunion préparatoire des actions à mener, et procéder à la revue et à la reproduction des outils de plaidoyer élaborés et disponibles au niveau du CNOSCG et TdH.  avec le comité de suivi du plaidoyer;</w:t>
      </w:r>
    </w:p>
    <w:p w14:paraId="4E123950" w14:textId="77777777" w:rsidR="00CA0C8D" w:rsidRPr="00DB4987" w:rsidRDefault="00CA0C8D" w:rsidP="00563937">
      <w:pPr>
        <w:pStyle w:val="BodyText"/>
        <w:widowControl/>
        <w:numPr>
          <w:ilvl w:val="0"/>
          <w:numId w:val="10"/>
        </w:numPr>
        <w:shd w:val="clear" w:color="auto" w:fill="F2F2F2" w:themeFill="background1" w:themeFillShade="F2"/>
        <w:rPr>
          <w:szCs w:val="24"/>
          <w:lang w:val="fr-FR"/>
        </w:rPr>
      </w:pPr>
      <w:r w:rsidRPr="00DB4987">
        <w:rPr>
          <w:szCs w:val="24"/>
          <w:lang w:val="fr-FR"/>
        </w:rPr>
        <w:t>Une journée d’actions de plaidoyer sera organisée auprès des groupes cibles et la remise des documents de plaidoyer expliquant l’historique, les objectifs, l’argumentaire d’une bonne nutrition en Guinée</w:t>
      </w:r>
    </w:p>
    <w:p w14:paraId="2C2DA288" w14:textId="77777777" w:rsidR="00CA0C8D" w:rsidRPr="00DB4987" w:rsidRDefault="00CA0C8D" w:rsidP="00563937">
      <w:pPr>
        <w:pStyle w:val="BodyText"/>
        <w:widowControl/>
        <w:numPr>
          <w:ilvl w:val="0"/>
          <w:numId w:val="10"/>
        </w:numPr>
        <w:shd w:val="clear" w:color="auto" w:fill="F2F2F2" w:themeFill="background1" w:themeFillShade="F2"/>
        <w:rPr>
          <w:szCs w:val="24"/>
          <w:lang w:val="fr-FR"/>
        </w:rPr>
      </w:pPr>
      <w:r w:rsidRPr="00DB4987">
        <w:rPr>
          <w:szCs w:val="24"/>
          <w:lang w:val="fr-FR"/>
        </w:rPr>
        <w:t>Une équipe de journalistes des médias publiques et privés avec l’équipe de plaidoyer au niveau de chaque étape des séances de plaidoyer</w:t>
      </w:r>
    </w:p>
    <w:p w14:paraId="6DC10788" w14:textId="77777777" w:rsidR="00CA0C8D" w:rsidRPr="00DB4987" w:rsidRDefault="00CA0C8D" w:rsidP="00563937">
      <w:pPr>
        <w:pStyle w:val="BodyText"/>
        <w:widowControl/>
        <w:shd w:val="clear" w:color="auto" w:fill="F2F2F2" w:themeFill="background1" w:themeFillShade="F2"/>
        <w:rPr>
          <w:szCs w:val="24"/>
          <w:lang w:val="fr-FR"/>
        </w:rPr>
      </w:pPr>
    </w:p>
    <w:p w14:paraId="214ADB3A" w14:textId="50EA7C92" w:rsidR="00CA0C8D" w:rsidRPr="00DB4987" w:rsidRDefault="00CA0C8D" w:rsidP="00563937">
      <w:pPr>
        <w:pStyle w:val="BodyText"/>
        <w:widowControl/>
        <w:shd w:val="clear" w:color="auto" w:fill="F2F2F2" w:themeFill="background1" w:themeFillShade="F2"/>
        <w:rPr>
          <w:szCs w:val="24"/>
          <w:lang w:val="fr-FR"/>
        </w:rPr>
      </w:pPr>
      <w:r w:rsidRPr="00DB4987">
        <w:rPr>
          <w:b/>
          <w:szCs w:val="24"/>
          <w:lang w:val="fr-FR"/>
        </w:rPr>
        <w:lastRenderedPageBreak/>
        <w:t>AVODER</w:t>
      </w:r>
      <w:r w:rsidR="007E63B7" w:rsidRPr="00DB4987">
        <w:rPr>
          <w:b/>
          <w:szCs w:val="24"/>
          <w:lang w:val="fr-FR"/>
        </w:rPr>
        <w:t xml:space="preserve"> (</w:t>
      </w:r>
      <w:r w:rsidR="007E63B7" w:rsidRPr="00DB4987">
        <w:rPr>
          <w:b/>
          <w:szCs w:val="24"/>
          <w:lang w:val="fr-FR"/>
        </w:rPr>
        <w:t>Association des Volontai</w:t>
      </w:r>
      <w:r w:rsidR="007E63B7" w:rsidRPr="00DB4987">
        <w:rPr>
          <w:b/>
          <w:szCs w:val="24"/>
          <w:lang w:val="fr-FR"/>
        </w:rPr>
        <w:t>res pour le Développement Rural)</w:t>
      </w:r>
      <w:r w:rsidRPr="00DB4987">
        <w:rPr>
          <w:b/>
          <w:szCs w:val="24"/>
          <w:lang w:val="fr-FR"/>
        </w:rPr>
        <w:t>:</w:t>
      </w:r>
      <w:r w:rsidRPr="00DB4987">
        <w:rPr>
          <w:szCs w:val="24"/>
          <w:lang w:val="fr-FR"/>
        </w:rPr>
        <w:t xml:space="preserve"> Campagne d’information et de sensibilisation des organisations de la société civile des cinq communes de la ville de Conakry sur la nutrition en Guinée et sur les objectifs du Mouvement SUN. L’Objectif général de cette activité a été de mobiliser les organisations de la société civile des 5 communes de la ville de Conakry en faveur de la lutte contre la malnutrition, par le biais d’une campagne d’information et de sensibilisation de ces organisations sur la situation de la nutrition en Guinée et les objectifs du Mouvement SUN. Comme résultat 160 organisations de la société civile des 5 communes de Conakry sont sensibilisées et se sont engagées à intégrer des actions de nutrition dans leurs futurs plans d’action opérationnels.</w:t>
      </w:r>
    </w:p>
    <w:p w14:paraId="4FC90C6C" w14:textId="77777777" w:rsidR="00CA0C8D" w:rsidRPr="00DB4987" w:rsidRDefault="00CA0C8D" w:rsidP="00563937">
      <w:pPr>
        <w:pStyle w:val="BodyText"/>
        <w:widowControl/>
        <w:shd w:val="clear" w:color="auto" w:fill="F2F2F2" w:themeFill="background1" w:themeFillShade="F2"/>
        <w:rPr>
          <w:szCs w:val="24"/>
          <w:lang w:val="fr-FR"/>
        </w:rPr>
      </w:pPr>
    </w:p>
    <w:p w14:paraId="6EEE6898" w14:textId="00828CA2" w:rsidR="00CA0C8D" w:rsidRPr="00DB4987" w:rsidRDefault="00CA0C8D" w:rsidP="00563937">
      <w:pPr>
        <w:pStyle w:val="BodyText"/>
        <w:widowControl/>
        <w:shd w:val="clear" w:color="auto" w:fill="F2F2F2" w:themeFill="background1" w:themeFillShade="F2"/>
        <w:rPr>
          <w:szCs w:val="24"/>
          <w:lang w:val="fr-FR"/>
        </w:rPr>
      </w:pPr>
      <w:r w:rsidRPr="00DB4987">
        <w:rPr>
          <w:b/>
          <w:szCs w:val="24"/>
          <w:lang w:val="fr-FR"/>
        </w:rPr>
        <w:t>RAJ-GUI</w:t>
      </w:r>
      <w:r w:rsidR="007E63B7" w:rsidRPr="00DB4987">
        <w:rPr>
          <w:b/>
          <w:szCs w:val="24"/>
          <w:lang w:val="fr-FR"/>
        </w:rPr>
        <w:t xml:space="preserve"> (</w:t>
      </w:r>
      <w:r w:rsidR="007E63B7" w:rsidRPr="00DB4987">
        <w:rPr>
          <w:b/>
          <w:szCs w:val="24"/>
          <w:lang w:val="fr-FR"/>
        </w:rPr>
        <w:t>Réseau Afrique Jeuneuse-Guinée</w:t>
      </w:r>
      <w:r w:rsidR="007E63B7" w:rsidRPr="00DB4987">
        <w:rPr>
          <w:b/>
          <w:szCs w:val="24"/>
          <w:lang w:val="fr-FR"/>
        </w:rPr>
        <w:t>)</w:t>
      </w:r>
      <w:r w:rsidRPr="00DB4987">
        <w:rPr>
          <w:b/>
          <w:szCs w:val="24"/>
          <w:lang w:val="fr-FR"/>
        </w:rPr>
        <w:t>:</w:t>
      </w:r>
      <w:r w:rsidRPr="00DB4987">
        <w:rPr>
          <w:szCs w:val="24"/>
          <w:lang w:val="fr-FR"/>
        </w:rPr>
        <w:t xml:space="preserve"> Projet de sensibilisation et de mobilisation sociale de 500 jeunes des cinq communes de Conakry. L’Objectif général est de réduire considérablement le taux élevé de malnutrition dans la ville de Conakry, par le biais des campagnes d’informations et de sensibilisations des femmes et autorités locales.</w:t>
      </w:r>
    </w:p>
    <w:p w14:paraId="4B2F757F" w14:textId="77777777" w:rsidR="00CA0C8D" w:rsidRPr="00DB4987" w:rsidRDefault="00CA0C8D" w:rsidP="00563937">
      <w:pPr>
        <w:pStyle w:val="BodyText"/>
        <w:widowControl/>
        <w:shd w:val="clear" w:color="auto" w:fill="F2F2F2" w:themeFill="background1" w:themeFillShade="F2"/>
        <w:rPr>
          <w:szCs w:val="24"/>
          <w:lang w:val="fr-FR"/>
        </w:rPr>
      </w:pPr>
      <w:r w:rsidRPr="00DB4987">
        <w:rPr>
          <w:szCs w:val="24"/>
          <w:lang w:val="fr-FR"/>
        </w:rPr>
        <w:t>Séances de sensibilisations et d’informations se tiendront dans les 5 communes de la capitales  et regrouperont 500 femmes et autorités locales dont 100 /communes. Les messages seront véhiculés en Français et en langues nationales. Les consultants (2) se serviront des boites à images ; des affiches et les films documentaires ou projections relatif à la malnutrition.</w:t>
      </w:r>
    </w:p>
    <w:p w14:paraId="76BB60BA" w14:textId="77777777" w:rsidR="00CA0C8D" w:rsidRPr="00DB4987" w:rsidRDefault="00CA0C8D" w:rsidP="00563937">
      <w:pPr>
        <w:pStyle w:val="BodyText"/>
        <w:widowControl/>
        <w:shd w:val="clear" w:color="auto" w:fill="F2F2F2" w:themeFill="background1" w:themeFillShade="F2"/>
        <w:rPr>
          <w:szCs w:val="24"/>
          <w:lang w:val="fr-FR"/>
        </w:rPr>
      </w:pPr>
    </w:p>
    <w:p w14:paraId="0D7AA660" w14:textId="1AAB1B0B" w:rsidR="00CA0C8D" w:rsidRPr="00DB4987" w:rsidRDefault="00CA0C8D" w:rsidP="00563937">
      <w:pPr>
        <w:shd w:val="clear" w:color="auto" w:fill="F2F2F2" w:themeFill="background1" w:themeFillShade="F2"/>
        <w:jc w:val="both"/>
        <w:rPr>
          <w:i/>
          <w:szCs w:val="24"/>
          <w:lang w:val="fr-FR"/>
        </w:rPr>
      </w:pPr>
      <w:r w:rsidRPr="00DB4987">
        <w:rPr>
          <w:b/>
          <w:szCs w:val="24"/>
          <w:lang w:val="fr-FR"/>
        </w:rPr>
        <w:t>CONAG-DCF</w:t>
      </w:r>
      <w:r w:rsidR="00F45DB4" w:rsidRPr="00DB4987">
        <w:rPr>
          <w:b/>
          <w:szCs w:val="24"/>
          <w:lang w:val="fr-FR"/>
        </w:rPr>
        <w:t xml:space="preserve"> (</w:t>
      </w:r>
      <w:r w:rsidR="00F45DB4" w:rsidRPr="00DB4987">
        <w:rPr>
          <w:b/>
          <w:szCs w:val="24"/>
          <w:lang w:val="fr-FR"/>
        </w:rPr>
        <w:t>Coalition Nationale de Guinée pour les D</w:t>
      </w:r>
      <w:r w:rsidR="00F45DB4" w:rsidRPr="00DB4987">
        <w:rPr>
          <w:b/>
          <w:szCs w:val="24"/>
          <w:lang w:val="fr-FR"/>
        </w:rPr>
        <w:t>roits et Citoyenneté des Femmes)</w:t>
      </w:r>
      <w:r w:rsidRPr="00DB4987">
        <w:rPr>
          <w:b/>
          <w:szCs w:val="24"/>
          <w:lang w:val="fr-FR"/>
        </w:rPr>
        <w:t xml:space="preserve">: </w:t>
      </w:r>
      <w:r w:rsidRPr="00DB4987">
        <w:rPr>
          <w:szCs w:val="24"/>
          <w:lang w:val="fr-FR"/>
        </w:rPr>
        <w:t xml:space="preserve">Actions de plaidoyer auprès du gouvernement, du parlement et des PTF en faveur de la nutrition en Guinée. L’objectif est d’Informer et sensibiliser les membres du Gouvernement et les députés de l’Assemblée Nationale, ainsi que les partenaires techniques et financiers susceptibles de contribuer à l'examen du document de plaidoyer pour qu’ils adhèrent au processus de son application. </w:t>
      </w:r>
    </w:p>
    <w:p w14:paraId="354D6C72" w14:textId="77777777" w:rsidR="00CA0C8D" w:rsidRPr="00DB4987" w:rsidRDefault="00CA0C8D" w:rsidP="00563937">
      <w:pPr>
        <w:pStyle w:val="BodyText"/>
        <w:widowControl/>
        <w:shd w:val="clear" w:color="auto" w:fill="F2F2F2" w:themeFill="background1" w:themeFillShade="F2"/>
        <w:rPr>
          <w:szCs w:val="24"/>
          <w:lang w:val="fr-FR"/>
        </w:rPr>
      </w:pPr>
      <w:r w:rsidRPr="00DB4987">
        <w:rPr>
          <w:szCs w:val="24"/>
          <w:lang w:val="fr-FR"/>
        </w:rPr>
        <w:t>Les résultats attendus sont que Les chefs des départements ministériels et les partenaires sont informés et sensibilisés sur la nutrition en Guinée et les spécialistes en nutrition des départements ministériels susceptibles de participer à l'examen du document de plaidoyer sont identifiés, informé(e)s et sensibilisés à l'initiative. Les membres du Gouvernement, les députés de l’Assemblée Nationale, ainsi que les spécialistes en nutrition susceptibles de contribuer à l'examen du document, sont informés, sensibilisés et adhèrent au processus d’adoption de sn contenu.</w:t>
      </w:r>
    </w:p>
    <w:p w14:paraId="76461466" w14:textId="77777777" w:rsidR="00CA0C8D" w:rsidRPr="00DB4987" w:rsidRDefault="00CA0C8D" w:rsidP="00563937">
      <w:pPr>
        <w:pStyle w:val="BodyText"/>
        <w:widowControl/>
        <w:shd w:val="clear" w:color="auto" w:fill="F2F2F2" w:themeFill="background1" w:themeFillShade="F2"/>
        <w:rPr>
          <w:szCs w:val="24"/>
          <w:highlight w:val="yellow"/>
          <w:lang w:val="fr-FR"/>
        </w:rPr>
      </w:pPr>
    </w:p>
    <w:p w14:paraId="518DE588" w14:textId="447AFEF8" w:rsidR="00F9008C" w:rsidRPr="00DB4987" w:rsidRDefault="00F45DB4" w:rsidP="00563937">
      <w:pPr>
        <w:shd w:val="clear" w:color="auto" w:fill="F2F2F2" w:themeFill="background1" w:themeFillShade="F2"/>
        <w:jc w:val="both"/>
        <w:rPr>
          <w:szCs w:val="24"/>
          <w:lang w:val="fr-FR" w:eastAsia="x-none"/>
        </w:rPr>
      </w:pPr>
      <w:r w:rsidRPr="00DB4987">
        <w:rPr>
          <w:b/>
          <w:szCs w:val="24"/>
          <w:lang w:val="fr-FR" w:eastAsia="x-none"/>
        </w:rPr>
        <w:t>TDH (</w:t>
      </w:r>
      <w:r w:rsidR="00F9008C" w:rsidRPr="00DB4987">
        <w:rPr>
          <w:b/>
          <w:szCs w:val="24"/>
          <w:lang w:val="fr-FR" w:eastAsia="x-none"/>
        </w:rPr>
        <w:t>Terre des hommes</w:t>
      </w:r>
      <w:r w:rsidRPr="00DB4987">
        <w:rPr>
          <w:b/>
          <w:szCs w:val="24"/>
          <w:lang w:val="fr-FR" w:eastAsia="x-none"/>
        </w:rPr>
        <w:t>)</w:t>
      </w:r>
      <w:r w:rsidRPr="00DB4987">
        <w:rPr>
          <w:szCs w:val="24"/>
          <w:lang w:val="fr-FR" w:eastAsia="x-none"/>
        </w:rPr>
        <w:t xml:space="preserve"> est le principal partenaire d’implémentation du projet MPTF-SUN en Guinée. À ce titre, TDH coordonne et facilite en synergie avec l’Unicef et les OSC, la mise en œuvre des activités du projet. TDH</w:t>
      </w:r>
      <w:r w:rsidR="00F9008C" w:rsidRPr="00DB4987">
        <w:rPr>
          <w:szCs w:val="24"/>
          <w:lang w:val="fr-FR" w:eastAsia="x-none"/>
        </w:rPr>
        <w:t xml:space="preserve"> a organisé un atelier</w:t>
      </w:r>
      <w:r w:rsidR="006404BC" w:rsidRPr="00DB4987">
        <w:rPr>
          <w:szCs w:val="24"/>
          <w:lang w:val="fr-FR" w:eastAsia="x-none"/>
        </w:rPr>
        <w:t xml:space="preserve"> de formation sur les </w:t>
      </w:r>
      <w:r w:rsidR="00F9008C" w:rsidRPr="00DB4987">
        <w:rPr>
          <w:szCs w:val="24"/>
          <w:lang w:val="fr-FR" w:eastAsia="x-none"/>
        </w:rPr>
        <w:t xml:space="preserve"> méthodes et outils de suivi-évaluation dans le domaine de la nutrition à l’attention du conseil national des organisations de la société civile guinéenne et des autres organisations partenaires de mise en œuvre du projet. </w:t>
      </w:r>
      <w:r w:rsidRPr="00DB4987">
        <w:rPr>
          <w:szCs w:val="24"/>
          <w:lang w:val="fr-FR" w:eastAsia="x-none"/>
        </w:rPr>
        <w:t xml:space="preserve">Le </w:t>
      </w:r>
      <w:r w:rsidR="00F9008C" w:rsidRPr="00DB4987">
        <w:rPr>
          <w:szCs w:val="24"/>
          <w:lang w:val="fr-FR" w:eastAsia="x-none"/>
        </w:rPr>
        <w:t xml:space="preserve">Groupe de Travail et de Réflexion (GTR) de la société civile sur la nutrition </w:t>
      </w:r>
      <w:r w:rsidRPr="00DB4987">
        <w:rPr>
          <w:szCs w:val="24"/>
          <w:lang w:val="fr-FR" w:eastAsia="x-none"/>
        </w:rPr>
        <w:t xml:space="preserve">mis sur pied </w:t>
      </w:r>
      <w:r w:rsidR="00F9008C" w:rsidRPr="00DB4987">
        <w:rPr>
          <w:szCs w:val="24"/>
          <w:lang w:val="fr-FR" w:eastAsia="x-none"/>
        </w:rPr>
        <w:t>a participé des réunions du programme d’appui à la sécurité sanitaire des denrées animales) dans lequel il est aujourd’hui fortement impliqué.</w:t>
      </w:r>
    </w:p>
    <w:p w14:paraId="7A343322" w14:textId="0AC613FC" w:rsidR="00F45DB4" w:rsidRPr="00DB4987" w:rsidRDefault="00F9008C" w:rsidP="00563937">
      <w:pPr>
        <w:shd w:val="clear" w:color="auto" w:fill="F2F2F2" w:themeFill="background1" w:themeFillShade="F2"/>
        <w:jc w:val="both"/>
        <w:rPr>
          <w:szCs w:val="24"/>
          <w:lang w:val="fr-FR" w:eastAsia="x-none"/>
        </w:rPr>
      </w:pPr>
      <w:r w:rsidRPr="00DB4987">
        <w:rPr>
          <w:szCs w:val="24"/>
          <w:lang w:val="fr-FR" w:eastAsia="x-none"/>
        </w:rPr>
        <w:t>Le GTR de la société civile a aussi participé à l’atelier de validation de la charte PREGEC et à l’atelier national de formation sur l’outil du cadre harmonisé pour l’identification et l’analyse des zones à risque et des populations en insécurit</w:t>
      </w:r>
      <w:r w:rsidR="00F45DB4" w:rsidRPr="00DB4987">
        <w:rPr>
          <w:szCs w:val="24"/>
          <w:lang w:val="fr-FR" w:eastAsia="x-none"/>
        </w:rPr>
        <w:t xml:space="preserve">é alimentaire et nutritionnelle. </w:t>
      </w:r>
      <w:r w:rsidRPr="00DB4987">
        <w:rPr>
          <w:szCs w:val="24"/>
          <w:lang w:val="fr-FR" w:eastAsia="x-none"/>
        </w:rPr>
        <w:t>Les termes de référence (TdR) du film documentaire pour le plaidoyer en faveur de la nutrition en Guinée ont été finalisés.</w:t>
      </w:r>
      <w:r w:rsidR="00F45DB4" w:rsidRPr="00DB4987">
        <w:rPr>
          <w:szCs w:val="24"/>
          <w:lang w:val="fr-FR" w:eastAsia="x-none"/>
        </w:rPr>
        <w:t xml:space="preserve"> </w:t>
      </w:r>
      <w:r w:rsidRPr="00DB4987">
        <w:rPr>
          <w:szCs w:val="24"/>
          <w:lang w:val="fr-FR" w:eastAsia="x-none"/>
        </w:rPr>
        <w:t xml:space="preserve">Le film documentaire sur le plaidoyer est en cours de production, deux interviews ont déjà été réalisées, celle du Responsable du projet MPTF- SUN de Tdh et du président du CNOSCG,  il reste en cours de réalisation celles du Ministre de la santé ou de son délégué, du Représentant de l’UNICEF en Guinée ou de son délégué, de la Représentante du PAM ou de son délégué et du </w:t>
      </w:r>
      <w:r w:rsidRPr="00DB4987">
        <w:rPr>
          <w:szCs w:val="24"/>
          <w:lang w:val="fr-FR" w:eastAsia="x-none"/>
        </w:rPr>
        <w:lastRenderedPageBreak/>
        <w:t>Représentant de HKI ou de son délégué</w:t>
      </w:r>
      <w:r w:rsidR="00F45DB4" w:rsidRPr="00DB4987">
        <w:rPr>
          <w:szCs w:val="24"/>
          <w:lang w:val="fr-FR" w:eastAsia="x-none"/>
        </w:rPr>
        <w:t>.</w:t>
      </w:r>
    </w:p>
    <w:p w14:paraId="69E41F88" w14:textId="77777777" w:rsidR="00BE62DC" w:rsidRPr="00DB4987" w:rsidRDefault="00BE62DC" w:rsidP="00563937">
      <w:pPr>
        <w:jc w:val="both"/>
        <w:rPr>
          <w:szCs w:val="24"/>
          <w:lang w:val="fr-FR" w:eastAsia="x-none"/>
        </w:rPr>
      </w:pPr>
    </w:p>
    <w:p w14:paraId="6F9AA5F4" w14:textId="77777777" w:rsidR="00BE62DC" w:rsidRPr="00DB4987" w:rsidRDefault="00BE62DC" w:rsidP="00563937">
      <w:pPr>
        <w:jc w:val="both"/>
        <w:rPr>
          <w:i/>
          <w:szCs w:val="24"/>
          <w:u w:val="single"/>
          <w:lang w:eastAsia="x-none"/>
        </w:rPr>
      </w:pPr>
      <w:r w:rsidRPr="00DB4987">
        <w:rPr>
          <w:i/>
          <w:szCs w:val="24"/>
          <w:highlight w:val="lightGray"/>
          <w:u w:val="single"/>
          <w:lang w:eastAsia="x-none"/>
        </w:rPr>
        <w:t>Provide an update on risk factors the alliance/governance structure faces in implementing the proposal</w:t>
      </w:r>
      <w:r w:rsidRPr="00DB4987">
        <w:rPr>
          <w:i/>
          <w:szCs w:val="24"/>
          <w:u w:val="single"/>
          <w:lang w:eastAsia="x-none"/>
        </w:rPr>
        <w:t xml:space="preserve"> </w:t>
      </w:r>
    </w:p>
    <w:p w14:paraId="1ADD8405" w14:textId="77777777" w:rsidR="00BE62DC" w:rsidRPr="00DB4987" w:rsidRDefault="00BE62DC" w:rsidP="00563937">
      <w:pPr>
        <w:jc w:val="both"/>
        <w:rPr>
          <w:szCs w:val="24"/>
          <w:u w:val="single"/>
          <w:lang w:eastAsia="x-none"/>
        </w:rPr>
      </w:pPr>
      <w:r w:rsidRPr="00DB4987">
        <w:rPr>
          <w:szCs w:val="24"/>
          <w:u w:val="single"/>
          <w:lang w:eastAsia="x-none"/>
        </w:rPr>
        <w:t xml:space="preserve"> </w:t>
      </w:r>
    </w:p>
    <w:p w14:paraId="3F1E6964" w14:textId="3EB61892" w:rsidR="00BE62DC" w:rsidRPr="00DB4987" w:rsidRDefault="00154FC4" w:rsidP="00563937">
      <w:pPr>
        <w:jc w:val="both"/>
        <w:rPr>
          <w:szCs w:val="24"/>
          <w:lang w:val="fr-FR" w:eastAsia="x-none"/>
        </w:rPr>
      </w:pPr>
      <w:r w:rsidRPr="00DB4987">
        <w:rPr>
          <w:szCs w:val="24"/>
          <w:lang w:val="fr-FR" w:eastAsia="x-none"/>
        </w:rPr>
        <w:t xml:space="preserve">En 2014 et 2015, le principal risque à la mise en œuvre du projet était la Maladie à Virus Ebola et l’incertitude de l’élection présidentielle. Présentement, l’épidémie à Virus Ebola est en voie de résorption en Guinée et les élections se sont déroulées sans grands incidents. Toutefois, la résurgence </w:t>
      </w:r>
      <w:r w:rsidR="00BA3225" w:rsidRPr="00DB4987">
        <w:rPr>
          <w:szCs w:val="24"/>
          <w:lang w:val="fr-FR" w:eastAsia="x-none"/>
        </w:rPr>
        <w:t>d’Ebola</w:t>
      </w:r>
      <w:r w:rsidRPr="00DB4987">
        <w:rPr>
          <w:szCs w:val="24"/>
          <w:lang w:val="fr-FR" w:eastAsia="x-none"/>
        </w:rPr>
        <w:t xml:space="preserve"> demeure un risqu</w:t>
      </w:r>
      <w:r w:rsidR="00BA3225" w:rsidRPr="00DB4987">
        <w:rPr>
          <w:szCs w:val="24"/>
          <w:lang w:val="fr-FR" w:eastAsia="x-none"/>
        </w:rPr>
        <w:t xml:space="preserve">e potentiel et les discussions sur la mitigation de l’impact d’une résurgence sur le plaidoyer en Nutrition sont en cours au sein du GTR. </w:t>
      </w:r>
    </w:p>
    <w:p w14:paraId="0CBDF64D" w14:textId="77777777" w:rsidR="00BE62DC" w:rsidRPr="00DB4987" w:rsidRDefault="00BE62DC" w:rsidP="00563937">
      <w:pPr>
        <w:jc w:val="both"/>
        <w:rPr>
          <w:szCs w:val="24"/>
          <w:lang w:val="fr-FR" w:eastAsia="x-none"/>
        </w:rPr>
      </w:pPr>
    </w:p>
    <w:p w14:paraId="6E9E9AB2" w14:textId="77777777" w:rsidR="00BE62DC" w:rsidRPr="00DB4987" w:rsidRDefault="00BE62DC" w:rsidP="00563937">
      <w:pPr>
        <w:jc w:val="both"/>
        <w:rPr>
          <w:i/>
          <w:szCs w:val="24"/>
          <w:u w:val="single"/>
          <w:lang w:eastAsia="x-none"/>
        </w:rPr>
      </w:pPr>
      <w:r w:rsidRPr="00DB4987">
        <w:rPr>
          <w:i/>
          <w:szCs w:val="24"/>
          <w:highlight w:val="lightGray"/>
          <w:u w:val="single"/>
          <w:lang w:eastAsia="x-none"/>
        </w:rPr>
        <w:t>Provide details on alert/monitoring/tracking system(s) that are being used to identify and possibly mitigate risks factors</w:t>
      </w:r>
      <w:r w:rsidRPr="00DB4987">
        <w:rPr>
          <w:i/>
          <w:szCs w:val="24"/>
          <w:u w:val="single"/>
          <w:lang w:eastAsia="x-none"/>
        </w:rPr>
        <w:t xml:space="preserve"> </w:t>
      </w:r>
    </w:p>
    <w:p w14:paraId="55A19DBE" w14:textId="77777777" w:rsidR="00BE62DC" w:rsidRPr="00DB4987" w:rsidRDefault="00BE62DC" w:rsidP="00563937">
      <w:pPr>
        <w:jc w:val="both"/>
        <w:rPr>
          <w:szCs w:val="24"/>
          <w:u w:val="single"/>
          <w:lang w:eastAsia="x-none"/>
        </w:rPr>
      </w:pPr>
    </w:p>
    <w:p w14:paraId="342D5E43" w14:textId="06D1D170" w:rsidR="00BE62DC" w:rsidRPr="00DB4987" w:rsidRDefault="00BE62DC" w:rsidP="00563937">
      <w:pPr>
        <w:jc w:val="both"/>
        <w:rPr>
          <w:szCs w:val="24"/>
          <w:lang w:val="fr-FR" w:eastAsia="x-none"/>
        </w:rPr>
      </w:pPr>
      <w:r w:rsidRPr="00DB4987">
        <w:rPr>
          <w:szCs w:val="24"/>
          <w:lang w:val="fr-FR" w:eastAsia="x-none"/>
        </w:rPr>
        <w:t xml:space="preserve">Pour la mise en œuvre de ce projet, Tdh en collaboration avec l’UNICEF et la Division Alimentation et Nutrition va renforcer les capacités du CNOSCG et des OSC partenaires en matière de suivi évaluation en  nutrition et la mise en place d’un observatoire de nutrition est prévue bien qu’avec un retard remarquable. Pour mitiger davantage le risque lié à Ebola, les différents partenaires du projet ont convenu de ne pas affecter le staff dédié au projet SUN à la réponse directe à l’épidémie. Aussi l’Unicef a inscrit dans le cadre du plan d’action avec le gouvernement pour 2015, la priorité sur les actions en upstream de plaidoyer pour la réduction de la malnutrition chronique – en droite ligne avec la proposition MPTF-SUN. Le recrutement d’un coordonnateur international REACH en cours devrait aussi relancer </w:t>
      </w:r>
      <w:r w:rsidR="00B752D1" w:rsidRPr="00DB4987">
        <w:rPr>
          <w:szCs w:val="24"/>
          <w:lang w:val="fr-FR" w:eastAsia="x-none"/>
        </w:rPr>
        <w:t>les synergies</w:t>
      </w:r>
      <w:r w:rsidRPr="00DB4987">
        <w:rPr>
          <w:szCs w:val="24"/>
          <w:lang w:val="fr-FR" w:eastAsia="x-none"/>
        </w:rPr>
        <w:t xml:space="preserve"> entre le projet et le REACH et permettre d’atteindre les objectifs assignés d’ici la fin de l’année.</w:t>
      </w:r>
    </w:p>
    <w:p w14:paraId="4B85FAD1" w14:textId="77777777" w:rsidR="00BE62DC" w:rsidRPr="00DB4987" w:rsidRDefault="00BE62DC" w:rsidP="00563937">
      <w:pPr>
        <w:jc w:val="both"/>
        <w:rPr>
          <w:bCs/>
          <w:szCs w:val="24"/>
          <w:u w:val="single"/>
          <w:lang w:val="fr-FR" w:eastAsia="x-none"/>
        </w:rPr>
      </w:pPr>
    </w:p>
    <w:p w14:paraId="6DF412E4" w14:textId="77777777" w:rsidR="00BE62DC" w:rsidRPr="00DB4987" w:rsidRDefault="00BE62DC" w:rsidP="00563937">
      <w:pPr>
        <w:jc w:val="both"/>
        <w:rPr>
          <w:i/>
          <w:szCs w:val="24"/>
          <w:u w:val="single"/>
          <w:lang w:eastAsia="x-none"/>
        </w:rPr>
      </w:pPr>
      <w:r w:rsidRPr="00DB4987">
        <w:rPr>
          <w:bCs/>
          <w:i/>
          <w:szCs w:val="24"/>
          <w:highlight w:val="lightGray"/>
          <w:u w:val="single"/>
          <w:lang w:eastAsia="x-none"/>
        </w:rPr>
        <w:t>Report on any assessments, evaluations or studies undertaken.</w:t>
      </w:r>
    </w:p>
    <w:p w14:paraId="4785B568" w14:textId="77777777" w:rsidR="00BE62DC" w:rsidRPr="00DB4987" w:rsidRDefault="00BE62DC" w:rsidP="00563937">
      <w:pPr>
        <w:jc w:val="both"/>
        <w:rPr>
          <w:szCs w:val="24"/>
          <w:vertAlign w:val="superscript"/>
          <w:lang w:eastAsia="x-none"/>
        </w:rPr>
      </w:pPr>
      <w:r w:rsidRPr="00DB4987">
        <w:rPr>
          <w:szCs w:val="24"/>
          <w:vertAlign w:val="superscript"/>
          <w:lang w:eastAsia="x-none"/>
        </w:rPr>
        <w:t xml:space="preserve"> </w:t>
      </w:r>
    </w:p>
    <w:p w14:paraId="6F8D24EE" w14:textId="236F6073" w:rsidR="00BE62DC" w:rsidRPr="00DB4987" w:rsidRDefault="00BE62DC" w:rsidP="00563937">
      <w:pPr>
        <w:jc w:val="both"/>
        <w:rPr>
          <w:szCs w:val="24"/>
          <w:lang w:val="fr-FR" w:eastAsia="x-none"/>
        </w:rPr>
      </w:pPr>
      <w:r w:rsidRPr="00DB4987">
        <w:rPr>
          <w:szCs w:val="24"/>
          <w:lang w:val="fr-FR" w:eastAsia="x-none"/>
        </w:rPr>
        <w:t>Une analyse situationnelle de la nutrition dans les ministères clés (santé, agriculture, pêche industrie, communication, information, finances…) et autres comme le Comité national de lutte contre le SIDA  est en cours de discussions et les résultats devraient être disponibles d’ici Juillet-Aout 2015. (Questionnaire en annexe)</w:t>
      </w:r>
      <w:r w:rsidR="00BA3225" w:rsidRPr="00DB4987">
        <w:rPr>
          <w:szCs w:val="24"/>
          <w:lang w:val="fr-FR" w:eastAsia="x-none"/>
        </w:rPr>
        <w:t>. Les partenaires de mise en œuvre du MPTF-SUN ont grandement œuvré à la réalisation de l’enquête  SMART 2015, dont les résultats révèlent du reste une baisse conséquente de la malnutrition chronique en Guinée entre 2012 et 2015 (de 31% à 26%).</w:t>
      </w:r>
    </w:p>
    <w:p w14:paraId="14CEA99D" w14:textId="77777777" w:rsidR="00930EC1" w:rsidRPr="00DB4987" w:rsidRDefault="00930EC1" w:rsidP="00563937">
      <w:pPr>
        <w:pStyle w:val="FootnoteText"/>
        <w:jc w:val="both"/>
        <w:rPr>
          <w:sz w:val="24"/>
          <w:szCs w:val="24"/>
          <w:lang w:val="fr-FR"/>
        </w:rPr>
      </w:pPr>
    </w:p>
    <w:p w14:paraId="574D95EB" w14:textId="77777777" w:rsidR="00930EC1" w:rsidRPr="00DB4987" w:rsidRDefault="00930EC1" w:rsidP="00563937">
      <w:pPr>
        <w:pStyle w:val="FootnoteText"/>
        <w:jc w:val="both"/>
        <w:rPr>
          <w:sz w:val="24"/>
          <w:szCs w:val="24"/>
          <w:lang w:val="fr-FR"/>
        </w:rPr>
      </w:pPr>
    </w:p>
    <w:p w14:paraId="567D46D0" w14:textId="77777777" w:rsidR="00930EC1" w:rsidRPr="00DB4987" w:rsidRDefault="00930EC1" w:rsidP="00563937">
      <w:pPr>
        <w:pStyle w:val="BodyText"/>
        <w:widowControl/>
        <w:numPr>
          <w:ilvl w:val="0"/>
          <w:numId w:val="3"/>
        </w:numPr>
        <w:tabs>
          <w:tab w:val="clear" w:pos="1080"/>
        </w:tabs>
        <w:ind w:left="360" w:hanging="360"/>
        <w:rPr>
          <w:b/>
          <w:szCs w:val="24"/>
          <w:lang w:val="fr-FR"/>
        </w:rPr>
      </w:pPr>
      <w:r w:rsidRPr="00DB4987">
        <w:rPr>
          <w:b/>
          <w:szCs w:val="24"/>
          <w:lang w:val="fr-FR"/>
        </w:rPr>
        <w:t xml:space="preserve">Results </w:t>
      </w:r>
    </w:p>
    <w:p w14:paraId="1F128FBA" w14:textId="123A2B0D" w:rsidR="00930EC1" w:rsidRPr="00DB4987" w:rsidRDefault="00930EC1" w:rsidP="00563937">
      <w:pPr>
        <w:pStyle w:val="BodyText"/>
        <w:widowControl/>
        <w:rPr>
          <w:szCs w:val="24"/>
          <w:lang w:val="fr-FR"/>
        </w:rPr>
      </w:pPr>
    </w:p>
    <w:p w14:paraId="778AB7B0" w14:textId="77777777" w:rsidR="009A4AFD" w:rsidRPr="00DB4987" w:rsidRDefault="009A4AFD" w:rsidP="00563937">
      <w:pPr>
        <w:pStyle w:val="Default"/>
        <w:jc w:val="both"/>
        <w:rPr>
          <w:color w:val="auto"/>
        </w:rPr>
      </w:pPr>
      <w:r w:rsidRPr="00DB4987">
        <w:rPr>
          <w:color w:val="auto"/>
        </w:rPr>
        <w:t>Depuis le démarrage effectif du projet, plusieurs activités ont été réalisées conformément à la feuille de route du projet. Les principales activités et réalisations à date sont résumées ci-dessous :</w:t>
      </w:r>
    </w:p>
    <w:p w14:paraId="1FB5C2CA" w14:textId="77777777" w:rsidR="009A4AFD" w:rsidRPr="00DB4987" w:rsidRDefault="009A4AFD" w:rsidP="00563937">
      <w:pPr>
        <w:pStyle w:val="Default"/>
        <w:jc w:val="both"/>
        <w:rPr>
          <w:color w:val="auto"/>
        </w:rPr>
      </w:pPr>
    </w:p>
    <w:p w14:paraId="5A496718" w14:textId="4D04E4D3" w:rsidR="00154FC4" w:rsidRPr="00DB4987" w:rsidRDefault="00154FC4" w:rsidP="00563937">
      <w:pPr>
        <w:pStyle w:val="Default"/>
        <w:jc w:val="both"/>
        <w:rPr>
          <w:color w:val="auto"/>
        </w:rPr>
      </w:pPr>
      <w:r w:rsidRPr="00DB4987">
        <w:rPr>
          <w:color w:val="auto"/>
        </w:rPr>
        <w:t>2014</w:t>
      </w:r>
    </w:p>
    <w:p w14:paraId="32E4816B" w14:textId="77777777" w:rsidR="009A4AFD" w:rsidRPr="00DB4987" w:rsidRDefault="009A4AFD" w:rsidP="00563937">
      <w:pPr>
        <w:pStyle w:val="Default"/>
        <w:numPr>
          <w:ilvl w:val="1"/>
          <w:numId w:val="23"/>
        </w:numPr>
        <w:jc w:val="both"/>
        <w:rPr>
          <w:color w:val="auto"/>
        </w:rPr>
      </w:pPr>
      <w:r w:rsidRPr="00DB4987">
        <w:rPr>
          <w:color w:val="auto"/>
        </w:rPr>
        <w:t>L’identification du point focal MPTF-SUN au niveau du Conseil National des Organisations de la Société Civile Guinéenne (CNOSCG).</w:t>
      </w:r>
    </w:p>
    <w:p w14:paraId="0345A531" w14:textId="77777777" w:rsidR="009A4AFD" w:rsidRPr="00DB4987" w:rsidRDefault="009A4AFD" w:rsidP="00563937">
      <w:pPr>
        <w:pStyle w:val="Default"/>
        <w:numPr>
          <w:ilvl w:val="1"/>
          <w:numId w:val="23"/>
        </w:numPr>
        <w:jc w:val="both"/>
        <w:rPr>
          <w:color w:val="auto"/>
        </w:rPr>
      </w:pPr>
      <w:r w:rsidRPr="00DB4987">
        <w:rPr>
          <w:color w:val="auto"/>
        </w:rPr>
        <w:t>L’élaboration des protocoles d’accord entre TDH et l’UNCEF d’une part et entre TDH et le CNOSCG d’autre part ;</w:t>
      </w:r>
    </w:p>
    <w:p w14:paraId="7F8D037A" w14:textId="73C20A0A" w:rsidR="009A4AFD" w:rsidRPr="00DB4987" w:rsidRDefault="009A4AFD" w:rsidP="00563937">
      <w:pPr>
        <w:pStyle w:val="Default"/>
        <w:numPr>
          <w:ilvl w:val="1"/>
          <w:numId w:val="23"/>
        </w:numPr>
        <w:jc w:val="both"/>
        <w:rPr>
          <w:color w:val="auto"/>
        </w:rPr>
      </w:pPr>
      <w:r w:rsidRPr="00DB4987">
        <w:rPr>
          <w:color w:val="auto"/>
        </w:rPr>
        <w:t>La finalisation de</w:t>
      </w:r>
      <w:r w:rsidR="00AF158A" w:rsidRPr="00DB4987">
        <w:rPr>
          <w:color w:val="auto"/>
        </w:rPr>
        <w:t>s accords avec</w:t>
      </w:r>
      <w:r w:rsidRPr="00DB4987">
        <w:rPr>
          <w:color w:val="auto"/>
        </w:rPr>
        <w:t xml:space="preserve"> 6 OSC partenaires pour la mise en œuvre du projet :</w:t>
      </w:r>
      <w:r w:rsidRPr="00DB4987">
        <w:rPr>
          <w:b/>
          <w:bCs/>
          <w:color w:val="auto"/>
        </w:rPr>
        <w:t xml:space="preserve">                  </w:t>
      </w:r>
      <w:r w:rsidRPr="00DB4987">
        <w:rPr>
          <w:bCs/>
          <w:color w:val="auto"/>
        </w:rPr>
        <w:t>FOFPAG, AVODER, REGOSA,</w:t>
      </w:r>
      <w:r w:rsidRPr="00DB4987">
        <w:rPr>
          <w:color w:val="auto"/>
        </w:rPr>
        <w:t xml:space="preserve"> </w:t>
      </w:r>
      <w:r w:rsidRPr="00DB4987">
        <w:rPr>
          <w:bCs/>
          <w:color w:val="auto"/>
        </w:rPr>
        <w:t>CONAG/DCF, AFEM et RAJGUI.</w:t>
      </w:r>
      <w:r w:rsidRPr="00DB4987">
        <w:rPr>
          <w:color w:val="auto"/>
        </w:rPr>
        <w:t xml:space="preserve">  </w:t>
      </w:r>
    </w:p>
    <w:p w14:paraId="5FCB5960" w14:textId="77777777" w:rsidR="009A4AFD" w:rsidRPr="00DB4987" w:rsidRDefault="009A4AFD" w:rsidP="00563937">
      <w:pPr>
        <w:pStyle w:val="Default"/>
        <w:numPr>
          <w:ilvl w:val="1"/>
          <w:numId w:val="23"/>
        </w:numPr>
        <w:jc w:val="both"/>
        <w:rPr>
          <w:color w:val="auto"/>
        </w:rPr>
      </w:pPr>
      <w:r w:rsidRPr="00DB4987">
        <w:rPr>
          <w:color w:val="auto"/>
        </w:rPr>
        <w:lastRenderedPageBreak/>
        <w:t>L’atelier de formation du CNOSCG et des 6 OSC partenaire sur les outils de suivi et le fonctionnement du projet ;</w:t>
      </w:r>
    </w:p>
    <w:p w14:paraId="7B0D827A" w14:textId="77777777" w:rsidR="009A4AFD" w:rsidRPr="00DB4987" w:rsidRDefault="009A4AFD" w:rsidP="00563937">
      <w:pPr>
        <w:pStyle w:val="Default"/>
        <w:numPr>
          <w:ilvl w:val="1"/>
          <w:numId w:val="23"/>
        </w:numPr>
        <w:jc w:val="both"/>
        <w:rPr>
          <w:color w:val="auto"/>
        </w:rPr>
      </w:pPr>
      <w:r w:rsidRPr="00DB4987">
        <w:rPr>
          <w:color w:val="auto"/>
        </w:rPr>
        <w:t>Renforcement des capacités du CNOSCG et des OSC en matériels informatiques et équipements de bureau.</w:t>
      </w:r>
    </w:p>
    <w:p w14:paraId="5053890A" w14:textId="0585EF02" w:rsidR="009A4AFD" w:rsidRPr="00DB4987" w:rsidRDefault="009A4AFD" w:rsidP="00563937">
      <w:pPr>
        <w:pStyle w:val="Default"/>
        <w:numPr>
          <w:ilvl w:val="1"/>
          <w:numId w:val="23"/>
        </w:numPr>
        <w:jc w:val="both"/>
        <w:rPr>
          <w:color w:val="auto"/>
        </w:rPr>
      </w:pPr>
      <w:r w:rsidRPr="00DB4987">
        <w:rPr>
          <w:color w:val="auto"/>
        </w:rPr>
        <w:t xml:space="preserve">La participation du </w:t>
      </w:r>
      <w:r w:rsidR="00AF158A" w:rsidRPr="00DB4987">
        <w:rPr>
          <w:color w:val="auto"/>
        </w:rPr>
        <w:t>Ministère de la Santé</w:t>
      </w:r>
      <w:r w:rsidRPr="00DB4987">
        <w:rPr>
          <w:color w:val="auto"/>
        </w:rPr>
        <w:t xml:space="preserve"> au sommet de haut niveau aux côtés du Gouvernement Guinéen à la rencontre sur la nutrition et sur le mouvement SUN au siège des Nations Unies à New York en septembre 2013</w:t>
      </w:r>
    </w:p>
    <w:p w14:paraId="2FBD3540" w14:textId="3AE9F7BF" w:rsidR="009A4AFD" w:rsidRPr="00DB4987" w:rsidRDefault="009A4AFD" w:rsidP="00563937">
      <w:pPr>
        <w:pStyle w:val="Default"/>
        <w:numPr>
          <w:ilvl w:val="1"/>
          <w:numId w:val="23"/>
        </w:numPr>
        <w:jc w:val="both"/>
        <w:rPr>
          <w:color w:val="auto"/>
        </w:rPr>
      </w:pPr>
      <w:r w:rsidRPr="00DB4987">
        <w:rPr>
          <w:color w:val="auto"/>
        </w:rPr>
        <w:t xml:space="preserve">La participation du point focal MPTF-SUN au CNOSCG à la rencontre sous régionale du mouvement SUN de Dakar. </w:t>
      </w:r>
    </w:p>
    <w:p w14:paraId="08B0B251" w14:textId="26FB6885" w:rsidR="009A4AFD" w:rsidRPr="00DB4987" w:rsidRDefault="009A4AFD" w:rsidP="00563937">
      <w:pPr>
        <w:pStyle w:val="Default"/>
        <w:numPr>
          <w:ilvl w:val="1"/>
          <w:numId w:val="23"/>
        </w:numPr>
        <w:jc w:val="both"/>
        <w:rPr>
          <w:color w:val="auto"/>
        </w:rPr>
      </w:pPr>
      <w:r w:rsidRPr="00DB4987">
        <w:rPr>
          <w:color w:val="auto"/>
        </w:rPr>
        <w:t xml:space="preserve">La participation du GTNA (Groupe Technique de Nutrition et Alimentation) aux conférences téléphoniques avec le Secrétariat du mouvement SUN aux côtés du Point Focal National, de REACH et des Partenaires techniques et financiers. </w:t>
      </w:r>
    </w:p>
    <w:p w14:paraId="7DB58DA3" w14:textId="652D300F" w:rsidR="009A4AFD" w:rsidRPr="00DB4987" w:rsidRDefault="009A4AFD" w:rsidP="00563937">
      <w:pPr>
        <w:pStyle w:val="Default"/>
        <w:numPr>
          <w:ilvl w:val="1"/>
          <w:numId w:val="23"/>
        </w:numPr>
        <w:jc w:val="both"/>
        <w:rPr>
          <w:color w:val="auto"/>
        </w:rPr>
      </w:pPr>
      <w:r w:rsidRPr="00DB4987">
        <w:rPr>
          <w:color w:val="auto"/>
        </w:rPr>
        <w:t>La participation de la DAN et de la société civile internationale guinéenne (Tdh) au Rassemblement général du mouvement Scaling Up Nutrition suivi de la participation des Ministres de l’Agriculture et de celui de la Santé accompagné du Chef de Division Alimentation Nutrition à la 2</w:t>
      </w:r>
      <w:r w:rsidRPr="00DB4987">
        <w:rPr>
          <w:color w:val="auto"/>
          <w:vertAlign w:val="superscript"/>
        </w:rPr>
        <w:t>ème</w:t>
      </w:r>
      <w:r w:rsidRPr="00DB4987">
        <w:rPr>
          <w:color w:val="auto"/>
        </w:rPr>
        <w:t xml:space="preserve"> Conférence Internationale de la Nutrition tenue à Rome. </w:t>
      </w:r>
    </w:p>
    <w:p w14:paraId="02A36723" w14:textId="291E0F81" w:rsidR="00AF158A" w:rsidRPr="00DB4987" w:rsidRDefault="00AF158A" w:rsidP="00563937">
      <w:pPr>
        <w:pStyle w:val="Default"/>
        <w:jc w:val="both"/>
        <w:rPr>
          <w:color w:val="auto"/>
        </w:rPr>
      </w:pPr>
      <w:r w:rsidRPr="00DB4987">
        <w:rPr>
          <w:color w:val="auto"/>
        </w:rPr>
        <w:t>2015</w:t>
      </w:r>
    </w:p>
    <w:p w14:paraId="51B85EEA" w14:textId="77777777" w:rsidR="00AF158A" w:rsidRPr="00DB4987" w:rsidRDefault="00AF158A" w:rsidP="00563937">
      <w:pPr>
        <w:pStyle w:val="Default"/>
        <w:jc w:val="both"/>
        <w:rPr>
          <w:color w:val="auto"/>
        </w:rPr>
      </w:pPr>
    </w:p>
    <w:p w14:paraId="32DB70A0" w14:textId="2EEE6964" w:rsidR="00AF158A" w:rsidRPr="00DB4987" w:rsidRDefault="00AF158A" w:rsidP="00563937">
      <w:pPr>
        <w:pStyle w:val="Default"/>
        <w:numPr>
          <w:ilvl w:val="1"/>
          <w:numId w:val="23"/>
        </w:numPr>
        <w:jc w:val="both"/>
        <w:rPr>
          <w:color w:val="auto"/>
        </w:rPr>
      </w:pPr>
      <w:r w:rsidRPr="00DB4987">
        <w:rPr>
          <w:color w:val="auto"/>
        </w:rPr>
        <w:t>Cartographies des acteurs de la nutrition</w:t>
      </w:r>
      <w:r w:rsidRPr="00DB4987">
        <w:rPr>
          <w:color w:val="auto"/>
        </w:rPr>
        <w:t xml:space="preserve"> en Guinée</w:t>
      </w:r>
    </w:p>
    <w:p w14:paraId="760820C8" w14:textId="77777777" w:rsidR="00AF158A" w:rsidRPr="00DB4987" w:rsidRDefault="00AF158A" w:rsidP="00563937">
      <w:pPr>
        <w:pStyle w:val="Default"/>
        <w:numPr>
          <w:ilvl w:val="1"/>
          <w:numId w:val="23"/>
        </w:numPr>
        <w:jc w:val="both"/>
        <w:rPr>
          <w:color w:val="auto"/>
        </w:rPr>
      </w:pPr>
      <w:r w:rsidRPr="00DB4987">
        <w:rPr>
          <w:color w:val="auto"/>
        </w:rPr>
        <w:t>Validation de la politique nationale de nutrition</w:t>
      </w:r>
      <w:r w:rsidRPr="00DB4987">
        <w:rPr>
          <w:color w:val="auto"/>
        </w:rPr>
        <w:t xml:space="preserve"> de la Guinée</w:t>
      </w:r>
    </w:p>
    <w:p w14:paraId="277C73EE" w14:textId="2A43FBB4" w:rsidR="00AF158A" w:rsidRPr="00DB4987" w:rsidRDefault="00AF158A" w:rsidP="00563937">
      <w:pPr>
        <w:pStyle w:val="Default"/>
        <w:numPr>
          <w:ilvl w:val="1"/>
          <w:numId w:val="23"/>
        </w:numPr>
        <w:jc w:val="both"/>
        <w:rPr>
          <w:color w:val="auto"/>
        </w:rPr>
      </w:pPr>
      <w:r w:rsidRPr="00DB4987">
        <w:rPr>
          <w:color w:val="auto"/>
        </w:rPr>
        <w:t>Mise en place effective du Groupe de Travail de la Société Civile sur la Nutrition</w:t>
      </w:r>
      <w:r w:rsidRPr="00DB4987">
        <w:rPr>
          <w:color w:val="auto"/>
        </w:rPr>
        <w:tab/>
      </w:r>
    </w:p>
    <w:p w14:paraId="6C784813" w14:textId="77777777" w:rsidR="00AF158A" w:rsidRPr="00DB4987" w:rsidRDefault="00AF158A" w:rsidP="00563937">
      <w:pPr>
        <w:pStyle w:val="Default"/>
        <w:numPr>
          <w:ilvl w:val="1"/>
          <w:numId w:val="23"/>
        </w:numPr>
        <w:jc w:val="both"/>
        <w:rPr>
          <w:color w:val="auto"/>
        </w:rPr>
      </w:pPr>
      <w:r w:rsidRPr="00DB4987">
        <w:rPr>
          <w:color w:val="auto"/>
        </w:rPr>
        <w:t xml:space="preserve">Mise en place d’un observatoire civil de l’accès aux services nutritionnels  Observatoire de la société civile pour la nutrition </w:t>
      </w:r>
    </w:p>
    <w:p w14:paraId="5D720034" w14:textId="77777777" w:rsidR="00AF158A" w:rsidRPr="00DB4987" w:rsidRDefault="00AF158A" w:rsidP="00563937">
      <w:pPr>
        <w:pStyle w:val="Default"/>
        <w:numPr>
          <w:ilvl w:val="1"/>
          <w:numId w:val="23"/>
        </w:numPr>
        <w:jc w:val="both"/>
        <w:rPr>
          <w:color w:val="auto"/>
        </w:rPr>
      </w:pPr>
      <w:r w:rsidRPr="00DB4987">
        <w:rPr>
          <w:color w:val="auto"/>
        </w:rPr>
        <w:t>Célébration du Forum nutrition biannuel de la société civile organisé par la CNOSCG: Le Conseil National des Organisations de la Société Civile Guinéenne</w:t>
      </w:r>
    </w:p>
    <w:p w14:paraId="0E034342" w14:textId="5C66E2B5" w:rsidR="00AF158A" w:rsidRPr="00DB4987" w:rsidRDefault="00AF158A" w:rsidP="00563937">
      <w:pPr>
        <w:pStyle w:val="Default"/>
        <w:numPr>
          <w:ilvl w:val="1"/>
          <w:numId w:val="23"/>
        </w:numPr>
        <w:jc w:val="both"/>
        <w:rPr>
          <w:color w:val="auto"/>
        </w:rPr>
      </w:pPr>
      <w:r w:rsidRPr="00DB4987">
        <w:rPr>
          <w:color w:val="auto"/>
        </w:rPr>
        <w:t>Développement du draft de projet de loi sur l</w:t>
      </w:r>
      <w:r w:rsidRPr="00DB4987">
        <w:rPr>
          <w:color w:val="auto"/>
        </w:rPr>
        <w:t>e code de substitut de lait maternel</w:t>
      </w:r>
    </w:p>
    <w:p w14:paraId="35810A42" w14:textId="3FEBF4FF" w:rsidR="00AF158A" w:rsidRPr="00DB4987" w:rsidRDefault="00AF158A" w:rsidP="00563937">
      <w:pPr>
        <w:pStyle w:val="Default"/>
        <w:numPr>
          <w:ilvl w:val="1"/>
          <w:numId w:val="23"/>
        </w:numPr>
        <w:jc w:val="both"/>
        <w:rPr>
          <w:color w:val="auto"/>
        </w:rPr>
      </w:pPr>
      <w:r w:rsidRPr="00DB4987">
        <w:rPr>
          <w:color w:val="auto"/>
        </w:rPr>
        <w:t>Participation à la Conférence SUN à Milan de représentants de la du CNOSCG, des ONG et  du gouvernement</w:t>
      </w:r>
    </w:p>
    <w:p w14:paraId="40A898E1" w14:textId="1EFDC0E3" w:rsidR="00BB15F9" w:rsidRPr="00DB4987" w:rsidRDefault="00BB15F9" w:rsidP="00563937">
      <w:pPr>
        <w:pStyle w:val="Default"/>
        <w:numPr>
          <w:ilvl w:val="1"/>
          <w:numId w:val="23"/>
        </w:numPr>
        <w:jc w:val="both"/>
        <w:rPr>
          <w:color w:val="auto"/>
        </w:rPr>
      </w:pPr>
      <w:r w:rsidRPr="00DB4987">
        <w:t>Un atelier de réflexion conjointe entre les intervenants dans le domaine de la nutrition en Guinée sur l’approche communautaire la plus adaptée pour la prise en charge de la malnutrition dans un contexte Ebola</w:t>
      </w:r>
    </w:p>
    <w:p w14:paraId="63A19455" w14:textId="77777777" w:rsidR="00AF158A" w:rsidRPr="00DB4987" w:rsidRDefault="00AF158A" w:rsidP="00563937">
      <w:pPr>
        <w:pStyle w:val="Default"/>
        <w:numPr>
          <w:ilvl w:val="1"/>
          <w:numId w:val="23"/>
        </w:numPr>
        <w:jc w:val="both"/>
        <w:rPr>
          <w:color w:val="auto"/>
        </w:rPr>
      </w:pPr>
      <w:r w:rsidRPr="00DB4987">
        <w:rPr>
          <w:color w:val="auto"/>
        </w:rPr>
        <w:t>Renforcement des capacités des membres de CNOSCG: Le Conseil National des Organisations de la Société Civile Guinéenne avec la réa</w:t>
      </w:r>
      <w:r w:rsidRPr="00DB4987">
        <w:rPr>
          <w:color w:val="auto"/>
        </w:rPr>
        <w:t>lisation des ateliers suivants </w:t>
      </w:r>
    </w:p>
    <w:p w14:paraId="0068740B" w14:textId="77777777" w:rsidR="00AF158A" w:rsidRPr="00DB4987" w:rsidRDefault="00AF158A" w:rsidP="00563937">
      <w:pPr>
        <w:pStyle w:val="Default"/>
        <w:numPr>
          <w:ilvl w:val="1"/>
          <w:numId w:val="23"/>
        </w:numPr>
        <w:jc w:val="both"/>
        <w:rPr>
          <w:color w:val="auto"/>
        </w:rPr>
      </w:pPr>
      <w:r w:rsidRPr="00DB4987">
        <w:rPr>
          <w:color w:val="auto"/>
        </w:rPr>
        <w:t>la Atelier de Mise à niveau sur les méthodes/techniques de mobilisation des ressources internes et externes</w:t>
      </w:r>
    </w:p>
    <w:p w14:paraId="4290AB91" w14:textId="7E247EBD" w:rsidR="00AF158A" w:rsidRPr="00DB4987" w:rsidRDefault="00AF158A" w:rsidP="00563937">
      <w:pPr>
        <w:pStyle w:val="Default"/>
        <w:numPr>
          <w:ilvl w:val="1"/>
          <w:numId w:val="23"/>
        </w:numPr>
        <w:jc w:val="both"/>
        <w:rPr>
          <w:color w:val="auto"/>
        </w:rPr>
      </w:pPr>
      <w:r w:rsidRPr="00DB4987">
        <w:rPr>
          <w:color w:val="auto"/>
        </w:rPr>
        <w:t>Formation du CNOSCG et des OSC partenaires à la participation dans l’élaboration et le suivi des politiques publiques</w:t>
      </w:r>
    </w:p>
    <w:p w14:paraId="0A019E88" w14:textId="77777777" w:rsidR="00930EC1" w:rsidRPr="00DB4987" w:rsidRDefault="00930EC1" w:rsidP="00563937">
      <w:pPr>
        <w:pStyle w:val="BodyText"/>
        <w:ind w:left="360"/>
        <w:rPr>
          <w:szCs w:val="24"/>
          <w:lang w:val="fr-FR"/>
        </w:rPr>
      </w:pPr>
    </w:p>
    <w:p w14:paraId="7B2B7449" w14:textId="77777777" w:rsidR="00930EC1" w:rsidRPr="00DB4987" w:rsidRDefault="00930EC1" w:rsidP="00563937">
      <w:pPr>
        <w:pStyle w:val="BodyText"/>
        <w:widowControl/>
        <w:numPr>
          <w:ilvl w:val="0"/>
          <w:numId w:val="3"/>
        </w:numPr>
        <w:tabs>
          <w:tab w:val="clear" w:pos="1080"/>
          <w:tab w:val="num" w:pos="360"/>
        </w:tabs>
        <w:ind w:left="360" w:hanging="360"/>
        <w:rPr>
          <w:b/>
          <w:bCs/>
          <w:szCs w:val="24"/>
          <w:lang w:val="fr-FR"/>
        </w:rPr>
      </w:pPr>
      <w:r w:rsidRPr="00DB4987">
        <w:rPr>
          <w:b/>
          <w:szCs w:val="24"/>
          <w:lang w:val="fr-FR"/>
        </w:rPr>
        <w:t>Future Work Plan</w:t>
      </w:r>
      <w:r w:rsidRPr="00DB4987">
        <w:rPr>
          <w:b/>
          <w:bCs/>
          <w:szCs w:val="24"/>
          <w:lang w:val="fr-FR"/>
        </w:rPr>
        <w:t xml:space="preserve"> </w:t>
      </w:r>
      <w:r w:rsidRPr="00DB4987">
        <w:rPr>
          <w:b/>
          <w:szCs w:val="24"/>
          <w:lang w:val="fr-FR"/>
        </w:rPr>
        <w:t xml:space="preserve"> </w:t>
      </w:r>
    </w:p>
    <w:p w14:paraId="4D190D27" w14:textId="77777777" w:rsidR="009E4085" w:rsidRPr="00DB4987" w:rsidRDefault="009E4085" w:rsidP="00563937">
      <w:pPr>
        <w:pStyle w:val="BodyText"/>
        <w:widowControl/>
        <w:rPr>
          <w:b/>
          <w:bCs/>
          <w:szCs w:val="24"/>
          <w:lang w:val="fr-FR"/>
        </w:rPr>
      </w:pPr>
    </w:p>
    <w:p w14:paraId="551A7C17" w14:textId="77777777" w:rsidR="009E4085" w:rsidRPr="00DB4987" w:rsidRDefault="009E4085" w:rsidP="00563937">
      <w:pPr>
        <w:pStyle w:val="BodyText"/>
        <w:widowControl/>
        <w:rPr>
          <w:szCs w:val="24"/>
          <w:lang w:val="fr-FR"/>
        </w:rPr>
      </w:pPr>
      <w:r w:rsidRPr="00DB4987">
        <w:rPr>
          <w:szCs w:val="24"/>
          <w:lang w:val="fr-FR"/>
        </w:rPr>
        <w:t xml:space="preserve">A cause de certaines contraintes telles que le retard dans le </w:t>
      </w:r>
      <w:r w:rsidR="009A4AFD" w:rsidRPr="00DB4987">
        <w:rPr>
          <w:szCs w:val="24"/>
          <w:lang w:val="fr-FR"/>
        </w:rPr>
        <w:t>démarrage</w:t>
      </w:r>
      <w:r w:rsidRPr="00DB4987">
        <w:rPr>
          <w:szCs w:val="24"/>
          <w:lang w:val="fr-FR"/>
        </w:rPr>
        <w:t xml:space="preserve"> du projet et la situation d’urgence qui </w:t>
      </w:r>
      <w:r w:rsidR="009A4AFD" w:rsidRPr="00DB4987">
        <w:rPr>
          <w:szCs w:val="24"/>
          <w:lang w:val="fr-FR"/>
        </w:rPr>
        <w:t xml:space="preserve">a prévalu et a </w:t>
      </w:r>
      <w:r w:rsidRPr="00DB4987">
        <w:rPr>
          <w:szCs w:val="24"/>
          <w:lang w:val="fr-FR"/>
        </w:rPr>
        <w:t xml:space="preserve"> </w:t>
      </w:r>
      <w:r w:rsidR="009A4AFD" w:rsidRPr="00DB4987">
        <w:rPr>
          <w:szCs w:val="24"/>
          <w:lang w:val="fr-FR"/>
        </w:rPr>
        <w:t>mobilisé</w:t>
      </w:r>
      <w:r w:rsidRPr="00DB4987">
        <w:rPr>
          <w:szCs w:val="24"/>
          <w:lang w:val="fr-FR"/>
        </w:rPr>
        <w:t xml:space="preserve"> toutes les parties prenantes dans la </w:t>
      </w:r>
      <w:r w:rsidR="009A4AFD" w:rsidRPr="00DB4987">
        <w:rPr>
          <w:szCs w:val="24"/>
          <w:lang w:val="fr-FR"/>
        </w:rPr>
        <w:t>réponse. Certaines</w:t>
      </w:r>
      <w:r w:rsidRPr="00DB4987">
        <w:rPr>
          <w:szCs w:val="24"/>
          <w:lang w:val="fr-FR"/>
        </w:rPr>
        <w:t xml:space="preserve"> </w:t>
      </w:r>
      <w:r w:rsidR="009A4AFD" w:rsidRPr="00DB4987">
        <w:rPr>
          <w:szCs w:val="24"/>
          <w:lang w:val="fr-FR"/>
        </w:rPr>
        <w:t>activités</w:t>
      </w:r>
      <w:r w:rsidRPr="00DB4987">
        <w:rPr>
          <w:szCs w:val="24"/>
          <w:lang w:val="fr-FR"/>
        </w:rPr>
        <w:t xml:space="preserve"> </w:t>
      </w:r>
      <w:r w:rsidR="009A4AFD" w:rsidRPr="00DB4987">
        <w:rPr>
          <w:szCs w:val="24"/>
          <w:lang w:val="fr-FR"/>
        </w:rPr>
        <w:t>planifiées</w:t>
      </w:r>
      <w:r w:rsidRPr="00DB4987">
        <w:rPr>
          <w:szCs w:val="24"/>
          <w:lang w:val="fr-FR"/>
        </w:rPr>
        <w:t xml:space="preserve"> n’ont été retarde et ont été reprogramme pour le </w:t>
      </w:r>
      <w:r w:rsidR="009A4AFD" w:rsidRPr="00DB4987">
        <w:rPr>
          <w:szCs w:val="24"/>
          <w:lang w:val="fr-FR"/>
        </w:rPr>
        <w:t>début</w:t>
      </w:r>
      <w:r w:rsidRPr="00DB4987">
        <w:rPr>
          <w:szCs w:val="24"/>
          <w:lang w:val="fr-FR"/>
        </w:rPr>
        <w:t xml:space="preserve"> de l’</w:t>
      </w:r>
      <w:r w:rsidR="009A4AFD" w:rsidRPr="00DB4987">
        <w:rPr>
          <w:szCs w:val="24"/>
          <w:lang w:val="fr-FR"/>
        </w:rPr>
        <w:t>année</w:t>
      </w:r>
      <w:r w:rsidRPr="00DB4987">
        <w:rPr>
          <w:szCs w:val="24"/>
          <w:lang w:val="fr-FR"/>
        </w:rPr>
        <w:t xml:space="preserve"> prochaine si acceptation de notre demande d’extension sans cout.  Les interventions qui ont été </w:t>
      </w:r>
      <w:r w:rsidR="009A4AFD" w:rsidRPr="00DB4987">
        <w:rPr>
          <w:szCs w:val="24"/>
          <w:lang w:val="fr-FR"/>
        </w:rPr>
        <w:t>repassées</w:t>
      </w:r>
      <w:r w:rsidRPr="00DB4987">
        <w:rPr>
          <w:szCs w:val="24"/>
          <w:lang w:val="fr-FR"/>
        </w:rPr>
        <w:t xml:space="preserve"> pour le </w:t>
      </w:r>
      <w:r w:rsidR="009A4AFD" w:rsidRPr="00DB4987">
        <w:rPr>
          <w:szCs w:val="24"/>
          <w:lang w:val="fr-FR"/>
        </w:rPr>
        <w:t>début</w:t>
      </w:r>
      <w:r w:rsidRPr="00DB4987">
        <w:rPr>
          <w:szCs w:val="24"/>
          <w:lang w:val="fr-FR"/>
        </w:rPr>
        <w:t xml:space="preserve"> de l’</w:t>
      </w:r>
      <w:r w:rsidR="009A4AFD" w:rsidRPr="00DB4987">
        <w:rPr>
          <w:szCs w:val="24"/>
          <w:lang w:val="fr-FR"/>
        </w:rPr>
        <w:t>année</w:t>
      </w:r>
      <w:r w:rsidRPr="00DB4987">
        <w:rPr>
          <w:szCs w:val="24"/>
          <w:lang w:val="fr-FR"/>
        </w:rPr>
        <w:t xml:space="preserve"> 2016 sont les suivantes :</w:t>
      </w:r>
    </w:p>
    <w:p w14:paraId="74175FE9" w14:textId="77777777" w:rsidR="009E4085" w:rsidRPr="00DB4987" w:rsidRDefault="009E4085" w:rsidP="00563937">
      <w:pPr>
        <w:pStyle w:val="BodyText"/>
        <w:numPr>
          <w:ilvl w:val="0"/>
          <w:numId w:val="17"/>
        </w:numPr>
        <w:rPr>
          <w:szCs w:val="24"/>
          <w:lang w:val="fr-FR"/>
        </w:rPr>
      </w:pPr>
      <w:r w:rsidRPr="00DB4987">
        <w:rPr>
          <w:szCs w:val="24"/>
          <w:lang w:val="fr-FR"/>
        </w:rPr>
        <w:t xml:space="preserve">Atelier sur le code de substitut de lait maternel pour finalisation et validation de document qui sera soumis au </w:t>
      </w:r>
      <w:r w:rsidR="00D51C3B" w:rsidRPr="00DB4987">
        <w:rPr>
          <w:szCs w:val="24"/>
          <w:lang w:val="fr-FR"/>
        </w:rPr>
        <w:t>parlement.</w:t>
      </w:r>
    </w:p>
    <w:p w14:paraId="3FC75A84" w14:textId="77777777" w:rsidR="009E4085" w:rsidRPr="00DB4987" w:rsidRDefault="00D51C3B" w:rsidP="00563937">
      <w:pPr>
        <w:pStyle w:val="BodyText"/>
        <w:numPr>
          <w:ilvl w:val="0"/>
          <w:numId w:val="17"/>
        </w:numPr>
        <w:rPr>
          <w:szCs w:val="24"/>
          <w:lang w:val="fr-FR"/>
        </w:rPr>
      </w:pPr>
      <w:r w:rsidRPr="00DB4987">
        <w:rPr>
          <w:szCs w:val="24"/>
          <w:lang w:val="fr-FR"/>
        </w:rPr>
        <w:t xml:space="preserve">Sessions de Sensibilisation des femmes parlementaires sur l’importance de la loi sur la </w:t>
      </w:r>
      <w:r w:rsidRPr="00DB4987">
        <w:rPr>
          <w:szCs w:val="24"/>
          <w:lang w:val="fr-FR"/>
        </w:rPr>
        <w:lastRenderedPageBreak/>
        <w:t>fortification alimentaire et le code de substitut de lait maternel pour le plaidoyer de haut niveau pour proposition et ratification de loi conférant un environnement favorable à la nutrition.</w:t>
      </w:r>
    </w:p>
    <w:p w14:paraId="5DE850F2" w14:textId="77777777" w:rsidR="009E4085" w:rsidRPr="00DB4987" w:rsidRDefault="009E4085" w:rsidP="00563937">
      <w:pPr>
        <w:pStyle w:val="BodyText"/>
        <w:numPr>
          <w:ilvl w:val="0"/>
          <w:numId w:val="17"/>
        </w:numPr>
        <w:rPr>
          <w:szCs w:val="24"/>
          <w:lang w:val="fr-FR"/>
        </w:rPr>
      </w:pPr>
      <w:r w:rsidRPr="00DB4987">
        <w:rPr>
          <w:szCs w:val="24"/>
          <w:lang w:val="fr-FR"/>
        </w:rPr>
        <w:t>L’organisation du Forum de la Société Civile sur la Nutrition en Guinée</w:t>
      </w:r>
    </w:p>
    <w:p w14:paraId="34762955" w14:textId="77777777" w:rsidR="009E4085" w:rsidRPr="00DB4987" w:rsidRDefault="00D51C3B" w:rsidP="00563937">
      <w:pPr>
        <w:pStyle w:val="BodyText"/>
        <w:numPr>
          <w:ilvl w:val="0"/>
          <w:numId w:val="17"/>
        </w:numPr>
        <w:rPr>
          <w:szCs w:val="24"/>
          <w:lang w:val="fr-FR"/>
        </w:rPr>
      </w:pPr>
      <w:r w:rsidRPr="00DB4987">
        <w:rPr>
          <w:szCs w:val="24"/>
          <w:lang w:val="fr-FR"/>
        </w:rPr>
        <w:t>La mise à échelle dans 4 régions (Nzérékoré, Labé, Kankan, Faranah) des activités de sensibilisation des organisations de base sur la Nutrition et leur implication dans les discussions de GTRAN</w:t>
      </w:r>
      <w:r w:rsidR="009E4085" w:rsidRPr="00DB4987">
        <w:rPr>
          <w:szCs w:val="24"/>
          <w:lang w:val="fr-FR"/>
        </w:rPr>
        <w:t xml:space="preserve"> </w:t>
      </w:r>
    </w:p>
    <w:p w14:paraId="341C7E6B" w14:textId="77777777" w:rsidR="009E4085" w:rsidRPr="00DB4987" w:rsidRDefault="009E4085" w:rsidP="00563937">
      <w:pPr>
        <w:pStyle w:val="BodyText"/>
        <w:numPr>
          <w:ilvl w:val="0"/>
          <w:numId w:val="17"/>
        </w:numPr>
        <w:rPr>
          <w:szCs w:val="24"/>
          <w:lang w:val="fr-FR"/>
        </w:rPr>
      </w:pPr>
      <w:r w:rsidRPr="00DB4987">
        <w:rPr>
          <w:szCs w:val="24"/>
          <w:lang w:val="fr-FR"/>
        </w:rPr>
        <w:t>La documentation des leçons apprises</w:t>
      </w:r>
    </w:p>
    <w:p w14:paraId="442A8EDC" w14:textId="77777777" w:rsidR="00F41760" w:rsidRPr="00DB4987" w:rsidRDefault="00F41760" w:rsidP="00563937">
      <w:pPr>
        <w:pStyle w:val="BodyText"/>
        <w:rPr>
          <w:szCs w:val="24"/>
          <w:lang w:val="fr-FR"/>
        </w:rPr>
      </w:pPr>
    </w:p>
    <w:p w14:paraId="4958B33E" w14:textId="77777777" w:rsidR="006D64C6" w:rsidRPr="00DB4987" w:rsidRDefault="006D64C6" w:rsidP="006D64C6">
      <w:pPr>
        <w:pStyle w:val="BodyText"/>
        <w:rPr>
          <w:b/>
          <w:szCs w:val="24"/>
          <w:lang w:val="fr-FR"/>
        </w:rPr>
      </w:pPr>
    </w:p>
    <w:tbl>
      <w:tblPr>
        <w:tblW w:w="0" w:type="auto"/>
        <w:tblInd w:w="-5" w:type="dxa"/>
        <w:tblLook w:val="04A0" w:firstRow="1" w:lastRow="0" w:firstColumn="1" w:lastColumn="0" w:noHBand="0" w:noVBand="1"/>
      </w:tblPr>
      <w:tblGrid>
        <w:gridCol w:w="3342"/>
        <w:gridCol w:w="1390"/>
        <w:gridCol w:w="851"/>
        <w:gridCol w:w="726"/>
        <w:gridCol w:w="800"/>
        <w:gridCol w:w="787"/>
        <w:gridCol w:w="728"/>
        <w:gridCol w:w="731"/>
      </w:tblGrid>
      <w:tr w:rsidR="00563937" w:rsidRPr="00DB4987" w14:paraId="4B87C578" w14:textId="77777777" w:rsidTr="00563937">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BAD8F46" w14:textId="77777777" w:rsidR="007D6B8F" w:rsidRPr="007D6B8F" w:rsidRDefault="007D6B8F" w:rsidP="007D6B8F">
            <w:pPr>
              <w:widowControl/>
              <w:rPr>
                <w:b/>
                <w:bCs/>
                <w:snapToGrid/>
                <w:color w:val="000000"/>
                <w:szCs w:val="24"/>
                <w:lang w:val="en-US"/>
              </w:rPr>
            </w:pPr>
            <w:r w:rsidRPr="007D6B8F">
              <w:rPr>
                <w:b/>
                <w:bCs/>
                <w:snapToGrid/>
                <w:color w:val="000000"/>
                <w:szCs w:val="24"/>
                <w:lang w:val="fr-FR"/>
              </w:rPr>
              <w:t>Activités proposées</w:t>
            </w:r>
          </w:p>
        </w:tc>
        <w:tc>
          <w:tcPr>
            <w:tcW w:w="1298" w:type="dxa"/>
            <w:tcBorders>
              <w:top w:val="single" w:sz="4" w:space="0" w:color="auto"/>
              <w:left w:val="nil"/>
              <w:bottom w:val="single" w:sz="4" w:space="0" w:color="auto"/>
              <w:right w:val="single" w:sz="4" w:space="0" w:color="auto"/>
            </w:tcBorders>
            <w:shd w:val="clear" w:color="000000" w:fill="D9D9D9"/>
            <w:vAlign w:val="center"/>
            <w:hideMark/>
          </w:tcPr>
          <w:p w14:paraId="5C5E3C1B" w14:textId="77777777" w:rsidR="007D6B8F" w:rsidRPr="007D6B8F" w:rsidRDefault="007D6B8F" w:rsidP="007D6B8F">
            <w:pPr>
              <w:widowControl/>
              <w:rPr>
                <w:b/>
                <w:bCs/>
                <w:snapToGrid/>
                <w:color w:val="000000"/>
                <w:szCs w:val="24"/>
                <w:lang w:val="en-US"/>
              </w:rPr>
            </w:pPr>
            <w:r w:rsidRPr="007D6B8F">
              <w:rPr>
                <w:b/>
                <w:bCs/>
                <w:snapToGrid/>
                <w:color w:val="000000"/>
                <w:szCs w:val="24"/>
                <w:lang w:val="fr-FR"/>
              </w:rPr>
              <w:t>période d'exécution</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2634C32F" w14:textId="5C669E39" w:rsidR="007D6B8F" w:rsidRPr="007D6B8F" w:rsidRDefault="00563937" w:rsidP="007D6B8F">
            <w:pPr>
              <w:widowControl/>
              <w:rPr>
                <w:b/>
                <w:bCs/>
                <w:snapToGrid/>
                <w:color w:val="000000"/>
                <w:szCs w:val="24"/>
                <w:lang w:val="en-US"/>
              </w:rPr>
            </w:pPr>
            <w:r w:rsidRPr="00DB4987">
              <w:rPr>
                <w:b/>
                <w:bCs/>
                <w:snapToGrid/>
                <w:color w:val="000000"/>
                <w:szCs w:val="24"/>
                <w:lang w:val="fr-FR"/>
              </w:rPr>
              <w:t xml:space="preserve">Jan </w:t>
            </w:r>
            <w:r w:rsidR="007D6B8F" w:rsidRPr="007D6B8F">
              <w:rPr>
                <w:b/>
                <w:bCs/>
                <w:snapToGrid/>
                <w:color w:val="000000"/>
                <w:szCs w:val="24"/>
                <w:lang w:val="fr-FR"/>
              </w:rPr>
              <w:t>2016</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14:paraId="5130A0B7" w14:textId="053562AC" w:rsidR="007D6B8F" w:rsidRPr="007D6B8F" w:rsidRDefault="00563937" w:rsidP="007D6B8F">
            <w:pPr>
              <w:widowControl/>
              <w:rPr>
                <w:b/>
                <w:bCs/>
                <w:snapToGrid/>
                <w:color w:val="000000"/>
                <w:szCs w:val="24"/>
                <w:lang w:val="en-US"/>
              </w:rPr>
            </w:pPr>
            <w:r w:rsidRPr="00DB4987">
              <w:rPr>
                <w:b/>
                <w:bCs/>
                <w:snapToGrid/>
                <w:color w:val="000000"/>
                <w:szCs w:val="24"/>
                <w:lang w:val="en-US"/>
              </w:rPr>
              <w:t xml:space="preserve">Fev </w:t>
            </w:r>
            <w:r w:rsidR="007D6B8F" w:rsidRPr="007D6B8F">
              <w:rPr>
                <w:b/>
                <w:bCs/>
                <w:snapToGrid/>
                <w:color w:val="000000"/>
                <w:szCs w:val="24"/>
                <w:lang w:val="en-US"/>
              </w:rPr>
              <w:t>2016</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14:paraId="519260A0" w14:textId="77777777" w:rsidR="007D6B8F" w:rsidRPr="007D6B8F" w:rsidRDefault="007D6B8F" w:rsidP="007D6B8F">
            <w:pPr>
              <w:widowControl/>
              <w:rPr>
                <w:b/>
                <w:bCs/>
                <w:snapToGrid/>
                <w:color w:val="000000"/>
                <w:szCs w:val="24"/>
                <w:lang w:val="en-US"/>
              </w:rPr>
            </w:pPr>
            <w:r w:rsidRPr="007D6B8F">
              <w:rPr>
                <w:b/>
                <w:bCs/>
                <w:snapToGrid/>
                <w:color w:val="000000"/>
                <w:szCs w:val="24"/>
                <w:lang w:val="en-US"/>
              </w:rPr>
              <w:t>Mars 2016</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14:paraId="7791B349" w14:textId="77777777" w:rsidR="007D6B8F" w:rsidRPr="007D6B8F" w:rsidRDefault="007D6B8F" w:rsidP="007D6B8F">
            <w:pPr>
              <w:widowControl/>
              <w:rPr>
                <w:b/>
                <w:bCs/>
                <w:snapToGrid/>
                <w:color w:val="000000"/>
                <w:szCs w:val="24"/>
                <w:lang w:val="en-US"/>
              </w:rPr>
            </w:pPr>
            <w:r w:rsidRPr="007D6B8F">
              <w:rPr>
                <w:b/>
                <w:bCs/>
                <w:snapToGrid/>
                <w:color w:val="000000"/>
                <w:szCs w:val="24"/>
                <w:lang w:val="en-US"/>
              </w:rPr>
              <w:t>Avril 2016</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14:paraId="2B97FD91" w14:textId="77777777" w:rsidR="007D6B8F" w:rsidRPr="007D6B8F" w:rsidRDefault="007D6B8F" w:rsidP="007D6B8F">
            <w:pPr>
              <w:widowControl/>
              <w:rPr>
                <w:b/>
                <w:bCs/>
                <w:snapToGrid/>
                <w:color w:val="000000"/>
                <w:szCs w:val="24"/>
                <w:lang w:val="en-US"/>
              </w:rPr>
            </w:pPr>
            <w:r w:rsidRPr="007D6B8F">
              <w:rPr>
                <w:b/>
                <w:bCs/>
                <w:snapToGrid/>
                <w:color w:val="000000"/>
                <w:szCs w:val="24"/>
                <w:lang w:val="en-US"/>
              </w:rPr>
              <w:t>Mai 2016</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14:paraId="00E77BDF" w14:textId="77777777" w:rsidR="007D6B8F" w:rsidRPr="007D6B8F" w:rsidRDefault="007D6B8F" w:rsidP="007D6B8F">
            <w:pPr>
              <w:widowControl/>
              <w:rPr>
                <w:b/>
                <w:bCs/>
                <w:snapToGrid/>
                <w:color w:val="000000"/>
                <w:szCs w:val="24"/>
                <w:lang w:val="en-US"/>
              </w:rPr>
            </w:pPr>
            <w:r w:rsidRPr="007D6B8F">
              <w:rPr>
                <w:b/>
                <w:bCs/>
                <w:snapToGrid/>
                <w:color w:val="000000"/>
                <w:szCs w:val="24"/>
                <w:lang w:val="en-US"/>
              </w:rPr>
              <w:t>Juin 2016</w:t>
            </w:r>
          </w:p>
        </w:tc>
      </w:tr>
      <w:tr w:rsidR="00DB4987" w:rsidRPr="00DB4987" w14:paraId="580EC513" w14:textId="77777777" w:rsidTr="00563937">
        <w:trPr>
          <w:trHeight w:val="56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AF73EC" w14:textId="77777777" w:rsidR="007D6B8F" w:rsidRPr="007D6B8F" w:rsidRDefault="007D6B8F" w:rsidP="007D6B8F">
            <w:pPr>
              <w:widowControl/>
              <w:jc w:val="both"/>
              <w:rPr>
                <w:snapToGrid/>
                <w:color w:val="000000"/>
                <w:szCs w:val="24"/>
                <w:lang w:val="fr-FR"/>
              </w:rPr>
            </w:pPr>
            <w:r w:rsidRPr="007D6B8F">
              <w:rPr>
                <w:snapToGrid/>
                <w:color w:val="000000"/>
                <w:szCs w:val="24"/>
                <w:lang w:val="fr-FR"/>
              </w:rPr>
              <w:t>Atelier sur le code de substitut de lait maternel pour finalisation et validation de document qui sera soumis au parlement.</w:t>
            </w:r>
          </w:p>
        </w:tc>
        <w:tc>
          <w:tcPr>
            <w:tcW w:w="1298" w:type="dxa"/>
            <w:tcBorders>
              <w:top w:val="nil"/>
              <w:left w:val="nil"/>
              <w:bottom w:val="single" w:sz="4" w:space="0" w:color="auto"/>
              <w:right w:val="single" w:sz="4" w:space="0" w:color="auto"/>
            </w:tcBorders>
            <w:shd w:val="clear" w:color="auto" w:fill="auto"/>
            <w:vAlign w:val="center"/>
            <w:hideMark/>
          </w:tcPr>
          <w:p w14:paraId="0FFEF62F" w14:textId="77777777" w:rsidR="007D6B8F" w:rsidRPr="007D6B8F" w:rsidRDefault="007D6B8F" w:rsidP="007D6B8F">
            <w:pPr>
              <w:widowControl/>
              <w:jc w:val="center"/>
              <w:rPr>
                <w:snapToGrid/>
                <w:color w:val="000000"/>
                <w:szCs w:val="24"/>
                <w:lang w:val="en-US"/>
              </w:rPr>
            </w:pPr>
            <w:r w:rsidRPr="007D6B8F">
              <w:rPr>
                <w:snapToGrid/>
                <w:color w:val="000000"/>
                <w:szCs w:val="24"/>
                <w:lang w:val="fr-FR"/>
              </w:rPr>
              <w:t>Janvier 2016</w:t>
            </w:r>
          </w:p>
        </w:tc>
        <w:tc>
          <w:tcPr>
            <w:tcW w:w="851" w:type="dxa"/>
            <w:tcBorders>
              <w:top w:val="nil"/>
              <w:left w:val="nil"/>
              <w:bottom w:val="single" w:sz="4" w:space="0" w:color="auto"/>
              <w:right w:val="single" w:sz="4" w:space="0" w:color="auto"/>
            </w:tcBorders>
            <w:shd w:val="clear" w:color="auto" w:fill="auto"/>
            <w:vAlign w:val="center"/>
            <w:hideMark/>
          </w:tcPr>
          <w:p w14:paraId="43372D8F" w14:textId="77777777" w:rsidR="007D6B8F" w:rsidRPr="007D6B8F" w:rsidRDefault="007D6B8F" w:rsidP="007D6B8F">
            <w:pPr>
              <w:widowControl/>
              <w:jc w:val="center"/>
              <w:rPr>
                <w:snapToGrid/>
                <w:color w:val="000000"/>
                <w:szCs w:val="24"/>
                <w:lang w:val="en-US"/>
              </w:rPr>
            </w:pPr>
            <w:r w:rsidRPr="007D6B8F">
              <w:rPr>
                <w:snapToGrid/>
                <w:color w:val="000000"/>
                <w:szCs w:val="24"/>
                <w:lang w:val="fr-FR"/>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6DBA18A" w14:textId="77777777" w:rsidR="007D6B8F" w:rsidRPr="007D6B8F" w:rsidRDefault="007D6B8F" w:rsidP="007D6B8F">
            <w:pPr>
              <w:widowControl/>
              <w:rPr>
                <w:snapToGrid/>
                <w:color w:val="000000"/>
                <w:szCs w:val="24"/>
                <w:lang w:val="en-US"/>
              </w:rPr>
            </w:pPr>
            <w:r w:rsidRPr="007D6B8F">
              <w:rPr>
                <w:snapToGrid/>
                <w:color w:val="000000"/>
                <w:szCs w:val="24"/>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2D0F5C3" w14:textId="77777777" w:rsidR="007D6B8F" w:rsidRPr="007D6B8F" w:rsidRDefault="007D6B8F" w:rsidP="007D6B8F">
            <w:pPr>
              <w:widowControl/>
              <w:rPr>
                <w:snapToGrid/>
                <w:color w:val="000000"/>
                <w:szCs w:val="24"/>
                <w:lang w:val="en-US"/>
              </w:rPr>
            </w:pPr>
            <w:r w:rsidRPr="007D6B8F">
              <w:rPr>
                <w:snapToGrid/>
                <w:color w:val="000000"/>
                <w:szCs w:val="24"/>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5711062" w14:textId="77777777" w:rsidR="007D6B8F" w:rsidRPr="007D6B8F" w:rsidRDefault="007D6B8F" w:rsidP="007D6B8F">
            <w:pPr>
              <w:widowControl/>
              <w:rPr>
                <w:snapToGrid/>
                <w:color w:val="000000"/>
                <w:szCs w:val="24"/>
                <w:lang w:val="en-US"/>
              </w:rPr>
            </w:pPr>
            <w:r w:rsidRPr="007D6B8F">
              <w:rPr>
                <w:snapToGrid/>
                <w:color w:val="000000"/>
                <w:szCs w:val="24"/>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D8E5193" w14:textId="77777777" w:rsidR="007D6B8F" w:rsidRPr="007D6B8F" w:rsidRDefault="007D6B8F" w:rsidP="007D6B8F">
            <w:pPr>
              <w:widowControl/>
              <w:rPr>
                <w:snapToGrid/>
                <w:color w:val="000000"/>
                <w:szCs w:val="24"/>
                <w:lang w:val="en-US"/>
              </w:rPr>
            </w:pPr>
            <w:r w:rsidRPr="007D6B8F">
              <w:rPr>
                <w:snapToGrid/>
                <w:color w:val="000000"/>
                <w:szCs w:val="24"/>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7DC434C" w14:textId="77777777" w:rsidR="007D6B8F" w:rsidRPr="007D6B8F" w:rsidRDefault="007D6B8F" w:rsidP="007D6B8F">
            <w:pPr>
              <w:widowControl/>
              <w:rPr>
                <w:snapToGrid/>
                <w:color w:val="000000"/>
                <w:szCs w:val="24"/>
                <w:lang w:val="en-US"/>
              </w:rPr>
            </w:pPr>
            <w:r w:rsidRPr="007D6B8F">
              <w:rPr>
                <w:snapToGrid/>
                <w:color w:val="000000"/>
                <w:szCs w:val="24"/>
                <w:lang w:val="en-US"/>
              </w:rPr>
              <w:t> </w:t>
            </w:r>
          </w:p>
        </w:tc>
      </w:tr>
      <w:tr w:rsidR="00DB4987" w:rsidRPr="00DB4987" w14:paraId="0FCB7960" w14:textId="77777777" w:rsidTr="00563937">
        <w:trPr>
          <w:trHeight w:val="109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AB5D84" w14:textId="77777777" w:rsidR="007D6B8F" w:rsidRPr="007D6B8F" w:rsidRDefault="007D6B8F" w:rsidP="007D6B8F">
            <w:pPr>
              <w:widowControl/>
              <w:jc w:val="both"/>
              <w:rPr>
                <w:snapToGrid/>
                <w:color w:val="000000"/>
                <w:szCs w:val="24"/>
                <w:lang w:val="fr-FR"/>
              </w:rPr>
            </w:pPr>
            <w:r w:rsidRPr="007D6B8F">
              <w:rPr>
                <w:snapToGrid/>
                <w:color w:val="000000"/>
                <w:szCs w:val="24"/>
                <w:lang w:val="fr-FR"/>
              </w:rPr>
              <w:t>Sessions de Sensibilisation des femmes parlementaires sur l’importance de la loi sur la fortification alimentaire et le code de substitut de lait maternel pour le plaidoyer de haut niveau pour proposition et ratification de loi conférant un environnement favorable à la nutrition.</w:t>
            </w:r>
          </w:p>
        </w:tc>
        <w:tc>
          <w:tcPr>
            <w:tcW w:w="1298" w:type="dxa"/>
            <w:tcBorders>
              <w:top w:val="nil"/>
              <w:left w:val="nil"/>
              <w:bottom w:val="single" w:sz="4" w:space="0" w:color="auto"/>
              <w:right w:val="single" w:sz="4" w:space="0" w:color="auto"/>
            </w:tcBorders>
            <w:shd w:val="clear" w:color="auto" w:fill="auto"/>
            <w:vAlign w:val="center"/>
            <w:hideMark/>
          </w:tcPr>
          <w:p w14:paraId="4E2F7535" w14:textId="77777777" w:rsidR="007D6B8F" w:rsidRPr="007D6B8F" w:rsidRDefault="007D6B8F" w:rsidP="007D6B8F">
            <w:pPr>
              <w:widowControl/>
              <w:jc w:val="center"/>
              <w:rPr>
                <w:snapToGrid/>
                <w:color w:val="000000"/>
                <w:szCs w:val="24"/>
                <w:lang w:val="en-US"/>
              </w:rPr>
            </w:pPr>
            <w:r w:rsidRPr="007D6B8F">
              <w:rPr>
                <w:snapToGrid/>
                <w:color w:val="000000"/>
                <w:szCs w:val="24"/>
                <w:lang w:val="fr-FR"/>
              </w:rPr>
              <w:t>Février-mars 2016</w:t>
            </w:r>
          </w:p>
        </w:tc>
        <w:tc>
          <w:tcPr>
            <w:tcW w:w="851" w:type="dxa"/>
            <w:tcBorders>
              <w:top w:val="nil"/>
              <w:left w:val="nil"/>
              <w:bottom w:val="single" w:sz="4" w:space="0" w:color="auto"/>
              <w:right w:val="single" w:sz="4" w:space="0" w:color="auto"/>
            </w:tcBorders>
            <w:shd w:val="clear" w:color="auto" w:fill="auto"/>
            <w:vAlign w:val="center"/>
            <w:hideMark/>
          </w:tcPr>
          <w:p w14:paraId="0DB04D72" w14:textId="77777777" w:rsidR="007D6B8F" w:rsidRPr="007D6B8F" w:rsidRDefault="007D6B8F" w:rsidP="007D6B8F">
            <w:pPr>
              <w:widowControl/>
              <w:jc w:val="center"/>
              <w:rPr>
                <w:snapToGrid/>
                <w:color w:val="000000"/>
                <w:szCs w:val="24"/>
                <w:lang w:val="en-US"/>
              </w:rPr>
            </w:pPr>
            <w:r w:rsidRPr="007D6B8F">
              <w:rPr>
                <w:snapToGrid/>
                <w:color w:val="000000"/>
                <w:szCs w:val="24"/>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F97C410" w14:textId="77777777" w:rsidR="007D6B8F" w:rsidRPr="007D6B8F" w:rsidRDefault="007D6B8F" w:rsidP="007D6B8F">
            <w:pPr>
              <w:widowControl/>
              <w:rPr>
                <w:snapToGrid/>
                <w:color w:val="000000"/>
                <w:szCs w:val="24"/>
                <w:lang w:val="en-US"/>
              </w:rPr>
            </w:pPr>
            <w:r w:rsidRPr="007D6B8F">
              <w:rPr>
                <w:snapToGrid/>
                <w:color w:val="000000"/>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C4975C0" w14:textId="77777777" w:rsidR="007D6B8F" w:rsidRPr="007D6B8F" w:rsidRDefault="007D6B8F" w:rsidP="007D6B8F">
            <w:pPr>
              <w:widowControl/>
              <w:rPr>
                <w:snapToGrid/>
                <w:color w:val="000000"/>
                <w:szCs w:val="24"/>
                <w:lang w:val="en-US"/>
              </w:rPr>
            </w:pPr>
            <w:r w:rsidRPr="007D6B8F">
              <w:rPr>
                <w:snapToGrid/>
                <w:color w:val="000000"/>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9371BB7" w14:textId="77777777" w:rsidR="007D6B8F" w:rsidRPr="007D6B8F" w:rsidRDefault="007D6B8F" w:rsidP="007D6B8F">
            <w:pPr>
              <w:widowControl/>
              <w:rPr>
                <w:snapToGrid/>
                <w:color w:val="000000"/>
                <w:szCs w:val="24"/>
                <w:lang w:val="en-US"/>
              </w:rPr>
            </w:pPr>
            <w:r w:rsidRPr="007D6B8F">
              <w:rPr>
                <w:snapToGrid/>
                <w:color w:val="000000"/>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22F3AF0" w14:textId="77777777" w:rsidR="007D6B8F" w:rsidRPr="007D6B8F" w:rsidRDefault="007D6B8F" w:rsidP="007D6B8F">
            <w:pPr>
              <w:widowControl/>
              <w:rPr>
                <w:snapToGrid/>
                <w:color w:val="000000"/>
                <w:szCs w:val="24"/>
                <w:lang w:val="en-US"/>
              </w:rPr>
            </w:pPr>
            <w:r w:rsidRPr="007D6B8F">
              <w:rPr>
                <w:snapToGrid/>
                <w:color w:val="000000"/>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8F4BB8A" w14:textId="77777777" w:rsidR="007D6B8F" w:rsidRPr="007D6B8F" w:rsidRDefault="007D6B8F" w:rsidP="007D6B8F">
            <w:pPr>
              <w:widowControl/>
              <w:rPr>
                <w:snapToGrid/>
                <w:color w:val="000000"/>
                <w:szCs w:val="24"/>
                <w:lang w:val="en-US"/>
              </w:rPr>
            </w:pPr>
            <w:r w:rsidRPr="007D6B8F">
              <w:rPr>
                <w:snapToGrid/>
                <w:color w:val="000000"/>
                <w:szCs w:val="24"/>
                <w:lang w:val="en-US"/>
              </w:rPr>
              <w:t> </w:t>
            </w:r>
          </w:p>
        </w:tc>
      </w:tr>
      <w:tr w:rsidR="00DB4987" w:rsidRPr="00DB4987" w14:paraId="1840C9CC" w14:textId="77777777" w:rsidTr="0056393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FC12FF" w14:textId="77777777" w:rsidR="007D6B8F" w:rsidRPr="007D6B8F" w:rsidRDefault="007D6B8F" w:rsidP="007D6B8F">
            <w:pPr>
              <w:widowControl/>
              <w:jc w:val="both"/>
              <w:rPr>
                <w:snapToGrid/>
                <w:color w:val="000000"/>
                <w:szCs w:val="24"/>
                <w:lang w:val="fr-FR"/>
              </w:rPr>
            </w:pPr>
            <w:r w:rsidRPr="007D6B8F">
              <w:rPr>
                <w:snapToGrid/>
                <w:color w:val="000000"/>
                <w:szCs w:val="24"/>
                <w:lang w:val="fr-FR"/>
              </w:rPr>
              <w:t>L’organisation du Forum de la Société Civile sur la Nutrition en Guinée</w:t>
            </w:r>
          </w:p>
        </w:tc>
        <w:tc>
          <w:tcPr>
            <w:tcW w:w="1298" w:type="dxa"/>
            <w:tcBorders>
              <w:top w:val="nil"/>
              <w:left w:val="nil"/>
              <w:bottom w:val="single" w:sz="4" w:space="0" w:color="auto"/>
              <w:right w:val="single" w:sz="4" w:space="0" w:color="auto"/>
            </w:tcBorders>
            <w:shd w:val="clear" w:color="auto" w:fill="auto"/>
            <w:vAlign w:val="center"/>
            <w:hideMark/>
          </w:tcPr>
          <w:p w14:paraId="6071802D" w14:textId="77777777" w:rsidR="007D6B8F" w:rsidRPr="007D6B8F" w:rsidRDefault="007D6B8F" w:rsidP="007D6B8F">
            <w:pPr>
              <w:widowControl/>
              <w:jc w:val="center"/>
              <w:rPr>
                <w:snapToGrid/>
                <w:color w:val="000000"/>
                <w:szCs w:val="24"/>
                <w:lang w:val="en-US"/>
              </w:rPr>
            </w:pPr>
            <w:r w:rsidRPr="007D6B8F">
              <w:rPr>
                <w:snapToGrid/>
                <w:color w:val="000000"/>
                <w:szCs w:val="24"/>
                <w:lang w:val="fr-FR"/>
              </w:rPr>
              <w:t>Mars 2016</w:t>
            </w:r>
          </w:p>
        </w:tc>
        <w:tc>
          <w:tcPr>
            <w:tcW w:w="851" w:type="dxa"/>
            <w:tcBorders>
              <w:top w:val="nil"/>
              <w:left w:val="nil"/>
              <w:bottom w:val="single" w:sz="4" w:space="0" w:color="auto"/>
              <w:right w:val="single" w:sz="4" w:space="0" w:color="auto"/>
            </w:tcBorders>
            <w:shd w:val="clear" w:color="auto" w:fill="auto"/>
            <w:vAlign w:val="center"/>
            <w:hideMark/>
          </w:tcPr>
          <w:p w14:paraId="7D4F1962" w14:textId="77777777" w:rsidR="007D6B8F" w:rsidRPr="007D6B8F" w:rsidRDefault="007D6B8F" w:rsidP="007D6B8F">
            <w:pPr>
              <w:widowControl/>
              <w:jc w:val="center"/>
              <w:rPr>
                <w:snapToGrid/>
                <w:color w:val="000000"/>
                <w:szCs w:val="24"/>
                <w:lang w:val="en-US"/>
              </w:rPr>
            </w:pPr>
            <w:r w:rsidRPr="007D6B8F">
              <w:rPr>
                <w:snapToGrid/>
                <w:color w:val="000000"/>
                <w:szCs w:val="24"/>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E8DB90A" w14:textId="77777777" w:rsidR="007D6B8F" w:rsidRPr="007D6B8F" w:rsidRDefault="007D6B8F" w:rsidP="007D6B8F">
            <w:pPr>
              <w:widowControl/>
              <w:rPr>
                <w:snapToGrid/>
                <w:color w:val="000000"/>
                <w:szCs w:val="24"/>
                <w:lang w:val="en-US"/>
              </w:rPr>
            </w:pPr>
            <w:r w:rsidRPr="007D6B8F">
              <w:rPr>
                <w:snapToGrid/>
                <w:color w:val="000000"/>
                <w:szCs w:val="24"/>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E0098F5" w14:textId="77777777" w:rsidR="007D6B8F" w:rsidRPr="007D6B8F" w:rsidRDefault="007D6B8F" w:rsidP="007D6B8F">
            <w:pPr>
              <w:widowControl/>
              <w:rPr>
                <w:snapToGrid/>
                <w:color w:val="000000"/>
                <w:szCs w:val="24"/>
                <w:lang w:val="en-US"/>
              </w:rPr>
            </w:pPr>
            <w:r w:rsidRPr="007D6B8F">
              <w:rPr>
                <w:snapToGrid/>
                <w:color w:val="000000"/>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7F8F785" w14:textId="77777777" w:rsidR="007D6B8F" w:rsidRPr="007D6B8F" w:rsidRDefault="007D6B8F" w:rsidP="007D6B8F">
            <w:pPr>
              <w:widowControl/>
              <w:rPr>
                <w:snapToGrid/>
                <w:color w:val="000000"/>
                <w:szCs w:val="24"/>
                <w:lang w:val="en-US"/>
              </w:rPr>
            </w:pPr>
            <w:r w:rsidRPr="007D6B8F">
              <w:rPr>
                <w:snapToGrid/>
                <w:color w:val="000000"/>
                <w:szCs w:val="24"/>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53CA7B9" w14:textId="77777777" w:rsidR="007D6B8F" w:rsidRPr="007D6B8F" w:rsidRDefault="007D6B8F" w:rsidP="007D6B8F">
            <w:pPr>
              <w:widowControl/>
              <w:rPr>
                <w:snapToGrid/>
                <w:color w:val="000000"/>
                <w:szCs w:val="24"/>
                <w:lang w:val="en-US"/>
              </w:rPr>
            </w:pPr>
            <w:r w:rsidRPr="007D6B8F">
              <w:rPr>
                <w:snapToGrid/>
                <w:color w:val="000000"/>
                <w:szCs w:val="24"/>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2FB282B" w14:textId="77777777" w:rsidR="007D6B8F" w:rsidRPr="007D6B8F" w:rsidRDefault="007D6B8F" w:rsidP="007D6B8F">
            <w:pPr>
              <w:widowControl/>
              <w:rPr>
                <w:snapToGrid/>
                <w:color w:val="000000"/>
                <w:szCs w:val="24"/>
                <w:lang w:val="en-US"/>
              </w:rPr>
            </w:pPr>
            <w:r w:rsidRPr="007D6B8F">
              <w:rPr>
                <w:snapToGrid/>
                <w:color w:val="000000"/>
                <w:szCs w:val="24"/>
                <w:lang w:val="en-US"/>
              </w:rPr>
              <w:t> </w:t>
            </w:r>
          </w:p>
        </w:tc>
      </w:tr>
      <w:tr w:rsidR="00DB4987" w:rsidRPr="00DB4987" w14:paraId="66239BF7" w14:textId="77777777" w:rsidTr="00563937">
        <w:trPr>
          <w:trHeight w:val="90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8A583A" w14:textId="77777777" w:rsidR="007D6B8F" w:rsidRPr="007D6B8F" w:rsidRDefault="007D6B8F" w:rsidP="007D6B8F">
            <w:pPr>
              <w:widowControl/>
              <w:jc w:val="both"/>
              <w:rPr>
                <w:snapToGrid/>
                <w:color w:val="000000"/>
                <w:szCs w:val="24"/>
                <w:lang w:val="fr-FR"/>
              </w:rPr>
            </w:pPr>
            <w:r w:rsidRPr="007D6B8F">
              <w:rPr>
                <w:snapToGrid/>
                <w:color w:val="000000"/>
                <w:szCs w:val="24"/>
                <w:lang w:val="fr-FR"/>
              </w:rPr>
              <w:t xml:space="preserve"> La mise à échelle dans 4 régions (Nzérékoré, Labé, Kankan, Faranah) des activités de sensibilisation des organisations de base sur la Nutrition et leur implication dans les discussions de GTRAN </w:t>
            </w:r>
          </w:p>
        </w:tc>
        <w:tc>
          <w:tcPr>
            <w:tcW w:w="1298" w:type="dxa"/>
            <w:tcBorders>
              <w:top w:val="nil"/>
              <w:left w:val="nil"/>
              <w:bottom w:val="single" w:sz="4" w:space="0" w:color="auto"/>
              <w:right w:val="single" w:sz="4" w:space="0" w:color="auto"/>
            </w:tcBorders>
            <w:shd w:val="clear" w:color="auto" w:fill="auto"/>
            <w:vAlign w:val="center"/>
            <w:hideMark/>
          </w:tcPr>
          <w:p w14:paraId="3E6756A1" w14:textId="77777777" w:rsidR="007D6B8F" w:rsidRPr="007D6B8F" w:rsidRDefault="007D6B8F" w:rsidP="007D6B8F">
            <w:pPr>
              <w:widowControl/>
              <w:jc w:val="center"/>
              <w:rPr>
                <w:snapToGrid/>
                <w:color w:val="000000"/>
                <w:szCs w:val="24"/>
                <w:lang w:val="en-US"/>
              </w:rPr>
            </w:pPr>
            <w:r w:rsidRPr="007D6B8F">
              <w:rPr>
                <w:snapToGrid/>
                <w:color w:val="000000"/>
                <w:szCs w:val="24"/>
                <w:lang w:val="fr-FR"/>
              </w:rPr>
              <w:t>Février –Mars-Avril 2016</w:t>
            </w:r>
          </w:p>
        </w:tc>
        <w:tc>
          <w:tcPr>
            <w:tcW w:w="851" w:type="dxa"/>
            <w:tcBorders>
              <w:top w:val="nil"/>
              <w:left w:val="nil"/>
              <w:bottom w:val="single" w:sz="4" w:space="0" w:color="auto"/>
              <w:right w:val="single" w:sz="4" w:space="0" w:color="auto"/>
            </w:tcBorders>
            <w:shd w:val="clear" w:color="auto" w:fill="auto"/>
            <w:vAlign w:val="center"/>
            <w:hideMark/>
          </w:tcPr>
          <w:p w14:paraId="1D7322C0" w14:textId="77777777" w:rsidR="007D6B8F" w:rsidRPr="007D6B8F" w:rsidRDefault="007D6B8F" w:rsidP="007D6B8F">
            <w:pPr>
              <w:widowControl/>
              <w:jc w:val="center"/>
              <w:rPr>
                <w:snapToGrid/>
                <w:color w:val="000000"/>
                <w:szCs w:val="24"/>
                <w:lang w:val="en-US"/>
              </w:rPr>
            </w:pPr>
            <w:r w:rsidRPr="007D6B8F">
              <w:rPr>
                <w:snapToGrid/>
                <w:color w:val="000000"/>
                <w:szCs w:val="24"/>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508E56E" w14:textId="77777777" w:rsidR="007D6B8F" w:rsidRPr="007D6B8F" w:rsidRDefault="007D6B8F" w:rsidP="007D6B8F">
            <w:pPr>
              <w:widowControl/>
              <w:rPr>
                <w:snapToGrid/>
                <w:color w:val="000000"/>
                <w:szCs w:val="24"/>
                <w:lang w:val="en-US"/>
              </w:rPr>
            </w:pPr>
            <w:r w:rsidRPr="007D6B8F">
              <w:rPr>
                <w:snapToGrid/>
                <w:color w:val="000000"/>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156AA51" w14:textId="77777777" w:rsidR="007D6B8F" w:rsidRPr="007D6B8F" w:rsidRDefault="007D6B8F" w:rsidP="007D6B8F">
            <w:pPr>
              <w:widowControl/>
              <w:rPr>
                <w:snapToGrid/>
                <w:color w:val="000000"/>
                <w:szCs w:val="24"/>
                <w:lang w:val="en-US"/>
              </w:rPr>
            </w:pPr>
            <w:r w:rsidRPr="007D6B8F">
              <w:rPr>
                <w:snapToGrid/>
                <w:color w:val="000000"/>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4D0BAD9" w14:textId="77777777" w:rsidR="007D6B8F" w:rsidRPr="007D6B8F" w:rsidRDefault="007D6B8F" w:rsidP="007D6B8F">
            <w:pPr>
              <w:widowControl/>
              <w:rPr>
                <w:snapToGrid/>
                <w:color w:val="000000"/>
                <w:szCs w:val="24"/>
                <w:lang w:val="en-US"/>
              </w:rPr>
            </w:pPr>
            <w:r w:rsidRPr="007D6B8F">
              <w:rPr>
                <w:snapToGrid/>
                <w:color w:val="000000"/>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69CCD02" w14:textId="77777777" w:rsidR="007D6B8F" w:rsidRPr="007D6B8F" w:rsidRDefault="007D6B8F" w:rsidP="007D6B8F">
            <w:pPr>
              <w:widowControl/>
              <w:rPr>
                <w:snapToGrid/>
                <w:color w:val="000000"/>
                <w:szCs w:val="24"/>
                <w:lang w:val="en-US"/>
              </w:rPr>
            </w:pPr>
            <w:r w:rsidRPr="007D6B8F">
              <w:rPr>
                <w:snapToGrid/>
                <w:color w:val="000000"/>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87185B7" w14:textId="77777777" w:rsidR="007D6B8F" w:rsidRPr="007D6B8F" w:rsidRDefault="007D6B8F" w:rsidP="007D6B8F">
            <w:pPr>
              <w:widowControl/>
              <w:rPr>
                <w:snapToGrid/>
                <w:color w:val="000000"/>
                <w:szCs w:val="24"/>
                <w:lang w:val="en-US"/>
              </w:rPr>
            </w:pPr>
            <w:r w:rsidRPr="007D6B8F">
              <w:rPr>
                <w:snapToGrid/>
                <w:color w:val="000000"/>
                <w:szCs w:val="24"/>
                <w:lang w:val="en-US"/>
              </w:rPr>
              <w:t> </w:t>
            </w:r>
          </w:p>
        </w:tc>
      </w:tr>
      <w:tr w:rsidR="00DB4987" w:rsidRPr="00DB4987" w14:paraId="12EA5447" w14:textId="77777777" w:rsidTr="00563937">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232E70" w14:textId="77777777" w:rsidR="007D6B8F" w:rsidRPr="007D6B8F" w:rsidRDefault="007D6B8F" w:rsidP="007D6B8F">
            <w:pPr>
              <w:widowControl/>
              <w:jc w:val="both"/>
              <w:rPr>
                <w:snapToGrid/>
                <w:color w:val="000000"/>
                <w:szCs w:val="24"/>
                <w:lang w:val="fr-FR"/>
              </w:rPr>
            </w:pPr>
            <w:r w:rsidRPr="007D6B8F">
              <w:rPr>
                <w:snapToGrid/>
                <w:color w:val="000000"/>
                <w:szCs w:val="24"/>
                <w:lang w:val="fr-FR"/>
              </w:rPr>
              <w:t>La documentation des leçons apprises</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98B7B" w14:textId="77777777" w:rsidR="007D6B8F" w:rsidRPr="007D6B8F" w:rsidRDefault="007D6B8F" w:rsidP="007D6B8F">
            <w:pPr>
              <w:widowControl/>
              <w:jc w:val="center"/>
              <w:rPr>
                <w:snapToGrid/>
                <w:color w:val="000000"/>
                <w:szCs w:val="24"/>
                <w:lang w:val="en-US"/>
              </w:rPr>
            </w:pPr>
            <w:r w:rsidRPr="007D6B8F">
              <w:rPr>
                <w:snapToGrid/>
                <w:color w:val="000000"/>
                <w:szCs w:val="24"/>
                <w:lang w:val="fr-FR"/>
              </w:rPr>
              <w:t>Mai – juin 2016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8ACDA" w14:textId="77777777" w:rsidR="007D6B8F" w:rsidRPr="007D6B8F" w:rsidRDefault="007D6B8F" w:rsidP="007D6B8F">
            <w:pPr>
              <w:widowControl/>
              <w:jc w:val="center"/>
              <w:rPr>
                <w:snapToGrid/>
                <w:color w:val="000000"/>
                <w:szCs w:val="24"/>
                <w:lang w:val="en-US"/>
              </w:rPr>
            </w:pPr>
            <w:r w:rsidRPr="007D6B8F">
              <w:rPr>
                <w:snapToGrid/>
                <w:color w:val="000000"/>
                <w:szCs w:val="24"/>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37BDF65" w14:textId="77777777" w:rsidR="007D6B8F" w:rsidRPr="007D6B8F" w:rsidRDefault="007D6B8F" w:rsidP="007D6B8F">
            <w:pPr>
              <w:widowControl/>
              <w:rPr>
                <w:snapToGrid/>
                <w:color w:val="000000"/>
                <w:szCs w:val="24"/>
                <w:lang w:val="en-US"/>
              </w:rPr>
            </w:pPr>
            <w:r w:rsidRPr="007D6B8F">
              <w:rPr>
                <w:snapToGrid/>
                <w:color w:val="000000"/>
                <w:szCs w:val="24"/>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235E203" w14:textId="77777777" w:rsidR="007D6B8F" w:rsidRPr="007D6B8F" w:rsidRDefault="007D6B8F" w:rsidP="007D6B8F">
            <w:pPr>
              <w:widowControl/>
              <w:rPr>
                <w:snapToGrid/>
                <w:color w:val="000000"/>
                <w:szCs w:val="24"/>
                <w:lang w:val="en-US"/>
              </w:rPr>
            </w:pPr>
            <w:r w:rsidRPr="007D6B8F">
              <w:rPr>
                <w:snapToGrid/>
                <w:color w:val="000000"/>
                <w:szCs w:val="24"/>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82C576B" w14:textId="77777777" w:rsidR="007D6B8F" w:rsidRPr="007D6B8F" w:rsidRDefault="007D6B8F" w:rsidP="007D6B8F">
            <w:pPr>
              <w:widowControl/>
              <w:rPr>
                <w:snapToGrid/>
                <w:color w:val="000000"/>
                <w:szCs w:val="24"/>
                <w:lang w:val="en-US"/>
              </w:rPr>
            </w:pPr>
            <w:r w:rsidRPr="007D6B8F">
              <w:rPr>
                <w:snapToGrid/>
                <w:color w:val="000000"/>
                <w:szCs w:val="24"/>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82284E7" w14:textId="77777777" w:rsidR="007D6B8F" w:rsidRPr="007D6B8F" w:rsidRDefault="007D6B8F" w:rsidP="007D6B8F">
            <w:pPr>
              <w:widowControl/>
              <w:rPr>
                <w:snapToGrid/>
                <w:color w:val="000000"/>
                <w:szCs w:val="24"/>
                <w:lang w:val="en-US"/>
              </w:rPr>
            </w:pPr>
            <w:r w:rsidRPr="007D6B8F">
              <w:rPr>
                <w:snapToGrid/>
                <w:color w:val="000000"/>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F517460" w14:textId="77777777" w:rsidR="007D6B8F" w:rsidRPr="007D6B8F" w:rsidRDefault="007D6B8F" w:rsidP="007D6B8F">
            <w:pPr>
              <w:widowControl/>
              <w:rPr>
                <w:snapToGrid/>
                <w:color w:val="000000"/>
                <w:szCs w:val="24"/>
                <w:lang w:val="en-US"/>
              </w:rPr>
            </w:pPr>
            <w:r w:rsidRPr="007D6B8F">
              <w:rPr>
                <w:snapToGrid/>
                <w:color w:val="000000"/>
                <w:szCs w:val="24"/>
                <w:lang w:val="en-US"/>
              </w:rPr>
              <w:t>x</w:t>
            </w:r>
          </w:p>
        </w:tc>
      </w:tr>
    </w:tbl>
    <w:p w14:paraId="6AE130E8" w14:textId="77777777" w:rsidR="006D64C6" w:rsidRPr="00DB4987" w:rsidRDefault="006D64C6" w:rsidP="009E4085">
      <w:pPr>
        <w:pStyle w:val="BodyText"/>
        <w:widowControl/>
        <w:rPr>
          <w:i/>
          <w:szCs w:val="24"/>
          <w:u w:val="single"/>
          <w:lang w:val="en-US"/>
        </w:rPr>
      </w:pPr>
      <w:bookmarkStart w:id="0" w:name="_GoBack"/>
      <w:bookmarkEnd w:id="0"/>
    </w:p>
    <w:p w14:paraId="46B41115" w14:textId="4DB87D70" w:rsidR="009E4085" w:rsidRPr="00DB4987" w:rsidRDefault="00386609" w:rsidP="009E4085">
      <w:pPr>
        <w:pStyle w:val="BodyText"/>
        <w:rPr>
          <w:szCs w:val="24"/>
          <w:lang w:val="fr-FR"/>
        </w:rPr>
      </w:pPr>
      <w:r w:rsidRPr="00DB4987">
        <w:rPr>
          <w:szCs w:val="24"/>
          <w:lang w:val="fr-FR"/>
        </w:rPr>
        <w:t>La demande d’extension sans cout du projet s’étend jusqu’au moins de juin</w:t>
      </w:r>
      <w:r w:rsidR="006D64C6" w:rsidRPr="00DB4987">
        <w:rPr>
          <w:szCs w:val="24"/>
          <w:lang w:val="fr-FR"/>
        </w:rPr>
        <w:t xml:space="preserve"> 2016</w:t>
      </w:r>
      <w:r w:rsidRPr="00DB4987">
        <w:rPr>
          <w:szCs w:val="24"/>
          <w:lang w:val="fr-FR"/>
        </w:rPr>
        <w:t xml:space="preserve">. Ce qui correspondra au terme de l’accord avec toutes les activités prévues exécutées, et qui fera l’objet d’un rapport exhaustif des réalisations et des leçons apprises. Une </w:t>
      </w:r>
      <w:r w:rsidR="006D64C6" w:rsidRPr="00DB4987">
        <w:rPr>
          <w:szCs w:val="24"/>
          <w:lang w:val="fr-FR"/>
        </w:rPr>
        <w:t xml:space="preserve">mise à jour des besoins est en cours afin d’ajuster la planification pour les deux années à venir dans le contexte de la relance post-Ebola. </w:t>
      </w:r>
      <w:r w:rsidR="009A4AFD" w:rsidRPr="00DB4987">
        <w:rPr>
          <w:szCs w:val="24"/>
          <w:lang w:val="fr-FR"/>
        </w:rPr>
        <w:t xml:space="preserve">Toutefois </w:t>
      </w:r>
      <w:r w:rsidR="009E4085" w:rsidRPr="00DB4987">
        <w:rPr>
          <w:szCs w:val="24"/>
          <w:lang w:val="fr-FR"/>
        </w:rPr>
        <w:t xml:space="preserve">pour maintenir et pérenniser les acquis, </w:t>
      </w:r>
      <w:r w:rsidR="009A4AFD" w:rsidRPr="00DB4987">
        <w:rPr>
          <w:szCs w:val="24"/>
          <w:lang w:val="fr-FR"/>
        </w:rPr>
        <w:t xml:space="preserve">il est prévu </w:t>
      </w:r>
      <w:r w:rsidR="009E4085" w:rsidRPr="00DB4987">
        <w:rPr>
          <w:szCs w:val="24"/>
          <w:lang w:val="fr-FR"/>
        </w:rPr>
        <w:t>un budget au moins équivalent au précédent (environ 300,000$) sera</w:t>
      </w:r>
      <w:r w:rsidR="009A4AFD" w:rsidRPr="00DB4987">
        <w:rPr>
          <w:szCs w:val="24"/>
          <w:lang w:val="fr-FR"/>
        </w:rPr>
        <w:t>it</w:t>
      </w:r>
      <w:r w:rsidR="009E4085" w:rsidRPr="00DB4987">
        <w:rPr>
          <w:szCs w:val="24"/>
          <w:lang w:val="fr-FR"/>
        </w:rPr>
        <w:t xml:space="preserve"> nécessaire pour </w:t>
      </w:r>
      <w:r w:rsidR="009A4AFD" w:rsidRPr="00DB4987">
        <w:rPr>
          <w:szCs w:val="24"/>
          <w:lang w:val="fr-FR"/>
        </w:rPr>
        <w:t xml:space="preserve">supporter </w:t>
      </w:r>
      <w:r w:rsidR="006D64C6" w:rsidRPr="00DB4987">
        <w:rPr>
          <w:szCs w:val="24"/>
          <w:lang w:val="fr-FR"/>
        </w:rPr>
        <w:t>les deux prochaines années du projet.</w:t>
      </w:r>
    </w:p>
    <w:sectPr w:rsidR="009E4085" w:rsidRPr="00DB4987" w:rsidSect="00E110C0">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28D47" w14:textId="77777777" w:rsidR="004B2B8F" w:rsidRDefault="004B2B8F" w:rsidP="009E4085">
      <w:r>
        <w:separator/>
      </w:r>
    </w:p>
  </w:endnote>
  <w:endnote w:type="continuationSeparator" w:id="0">
    <w:p w14:paraId="449D7ADD" w14:textId="77777777" w:rsidR="004B2B8F" w:rsidRDefault="004B2B8F" w:rsidP="009E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515256"/>
      <w:docPartObj>
        <w:docPartGallery w:val="Page Numbers (Bottom of Page)"/>
        <w:docPartUnique/>
      </w:docPartObj>
    </w:sdtPr>
    <w:sdtEndPr>
      <w:rPr>
        <w:color w:val="7F7F7F" w:themeColor="background1" w:themeShade="7F"/>
        <w:spacing w:val="60"/>
      </w:rPr>
    </w:sdtEndPr>
    <w:sdtContent>
      <w:p w14:paraId="3CD05D06" w14:textId="6D7B7CC4" w:rsidR="00DB4987" w:rsidRDefault="00DB4987">
        <w:pPr>
          <w:pStyle w:val="Footer"/>
          <w:pBdr>
            <w:top w:val="single" w:sz="4" w:space="1" w:color="D9D9D9" w:themeColor="background1" w:themeShade="D9"/>
          </w:pBdr>
          <w:jc w:val="right"/>
        </w:pPr>
        <w:r>
          <w:fldChar w:fldCharType="begin"/>
        </w:r>
        <w:r>
          <w:instrText xml:space="preserve"> PAGE   \* MERGEFORMAT </w:instrText>
        </w:r>
        <w:r>
          <w:fldChar w:fldCharType="separate"/>
        </w:r>
        <w:r w:rsidR="00804F11">
          <w:rPr>
            <w:noProof/>
          </w:rPr>
          <w:t>4</w:t>
        </w:r>
        <w:r>
          <w:rPr>
            <w:noProof/>
          </w:rPr>
          <w:fldChar w:fldCharType="end"/>
        </w:r>
        <w:r>
          <w:t xml:space="preserve"> | </w:t>
        </w:r>
        <w:r>
          <w:rPr>
            <w:color w:val="7F7F7F" w:themeColor="background1" w:themeShade="7F"/>
            <w:spacing w:val="60"/>
          </w:rPr>
          <w:t>Page</w:t>
        </w:r>
      </w:p>
    </w:sdtContent>
  </w:sdt>
  <w:p w14:paraId="37CE4225" w14:textId="77777777" w:rsidR="00DB4987" w:rsidRDefault="00DB4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22F1A" w14:textId="77777777" w:rsidR="004B2B8F" w:rsidRDefault="004B2B8F" w:rsidP="009E4085">
      <w:r>
        <w:separator/>
      </w:r>
    </w:p>
  </w:footnote>
  <w:footnote w:type="continuationSeparator" w:id="0">
    <w:p w14:paraId="6903847C" w14:textId="77777777" w:rsidR="004B2B8F" w:rsidRDefault="004B2B8F" w:rsidP="009E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0ED8"/>
    <w:multiLevelType w:val="hybridMultilevel"/>
    <w:tmpl w:val="6CBE2CCC"/>
    <w:lvl w:ilvl="0" w:tplc="7A28DC5C">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AC712A"/>
    <w:multiLevelType w:val="multilevel"/>
    <w:tmpl w:val="57E8CF1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CFA7545"/>
    <w:multiLevelType w:val="hybridMultilevel"/>
    <w:tmpl w:val="28FEF5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B5570"/>
    <w:multiLevelType w:val="hybridMultilevel"/>
    <w:tmpl w:val="1AFA37B4"/>
    <w:lvl w:ilvl="0" w:tplc="5CE8C602">
      <w:start w:val="1"/>
      <w:numFmt w:val="upperRoman"/>
      <w:lvlText w:val="%1."/>
      <w:lvlJc w:val="left"/>
      <w:pPr>
        <w:tabs>
          <w:tab w:val="num" w:pos="1080"/>
        </w:tabs>
        <w:ind w:left="1080" w:hanging="720"/>
      </w:pPr>
      <w:rPr>
        <w:rFonts w:hint="default"/>
      </w:rPr>
    </w:lvl>
    <w:lvl w:ilvl="1" w:tplc="D974DC98">
      <w:numFmt w:val="none"/>
      <w:lvlText w:val=""/>
      <w:lvlJc w:val="left"/>
      <w:pPr>
        <w:tabs>
          <w:tab w:val="num" w:pos="360"/>
        </w:tabs>
      </w:pPr>
    </w:lvl>
    <w:lvl w:ilvl="2" w:tplc="3C12C904">
      <w:numFmt w:val="none"/>
      <w:lvlText w:val=""/>
      <w:lvlJc w:val="left"/>
      <w:pPr>
        <w:tabs>
          <w:tab w:val="num" w:pos="360"/>
        </w:tabs>
      </w:pPr>
    </w:lvl>
    <w:lvl w:ilvl="3" w:tplc="40E84FD6">
      <w:numFmt w:val="none"/>
      <w:lvlText w:val=""/>
      <w:lvlJc w:val="left"/>
      <w:pPr>
        <w:tabs>
          <w:tab w:val="num" w:pos="360"/>
        </w:tabs>
      </w:pPr>
    </w:lvl>
    <w:lvl w:ilvl="4" w:tplc="1B8ADCFA">
      <w:numFmt w:val="none"/>
      <w:lvlText w:val=""/>
      <w:lvlJc w:val="left"/>
      <w:pPr>
        <w:tabs>
          <w:tab w:val="num" w:pos="360"/>
        </w:tabs>
      </w:pPr>
    </w:lvl>
    <w:lvl w:ilvl="5" w:tplc="F9747C58">
      <w:numFmt w:val="none"/>
      <w:lvlText w:val=""/>
      <w:lvlJc w:val="left"/>
      <w:pPr>
        <w:tabs>
          <w:tab w:val="num" w:pos="360"/>
        </w:tabs>
      </w:pPr>
    </w:lvl>
    <w:lvl w:ilvl="6" w:tplc="D8F01232">
      <w:numFmt w:val="none"/>
      <w:lvlText w:val=""/>
      <w:lvlJc w:val="left"/>
      <w:pPr>
        <w:tabs>
          <w:tab w:val="num" w:pos="360"/>
        </w:tabs>
      </w:pPr>
    </w:lvl>
    <w:lvl w:ilvl="7" w:tplc="89A4E848">
      <w:numFmt w:val="none"/>
      <w:lvlText w:val=""/>
      <w:lvlJc w:val="left"/>
      <w:pPr>
        <w:tabs>
          <w:tab w:val="num" w:pos="360"/>
        </w:tabs>
      </w:pPr>
    </w:lvl>
    <w:lvl w:ilvl="8" w:tplc="CA3CFF46">
      <w:numFmt w:val="none"/>
      <w:lvlText w:val=""/>
      <w:lvlJc w:val="left"/>
      <w:pPr>
        <w:tabs>
          <w:tab w:val="num" w:pos="360"/>
        </w:tabs>
      </w:pPr>
    </w:lvl>
  </w:abstractNum>
  <w:abstractNum w:abstractNumId="4" w15:restartNumberingAfterBreak="0">
    <w:nsid w:val="10565E43"/>
    <w:multiLevelType w:val="hybridMultilevel"/>
    <w:tmpl w:val="F83E0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12E31"/>
    <w:multiLevelType w:val="hybridMultilevel"/>
    <w:tmpl w:val="A9DC1170"/>
    <w:lvl w:ilvl="0" w:tplc="7A28DC5C">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63C3EFB"/>
    <w:multiLevelType w:val="hybridMultilevel"/>
    <w:tmpl w:val="01D6CFA6"/>
    <w:lvl w:ilvl="0" w:tplc="13EA64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940E4"/>
    <w:multiLevelType w:val="hybridMultilevel"/>
    <w:tmpl w:val="6720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F5AD3"/>
    <w:multiLevelType w:val="hybridMultilevel"/>
    <w:tmpl w:val="8C44861A"/>
    <w:lvl w:ilvl="0" w:tplc="37F4EDC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142F0C"/>
    <w:multiLevelType w:val="hybridMultilevel"/>
    <w:tmpl w:val="3AAE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25CAF"/>
    <w:multiLevelType w:val="hybridMultilevel"/>
    <w:tmpl w:val="CC6CF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B47425"/>
    <w:multiLevelType w:val="hybridMultilevel"/>
    <w:tmpl w:val="ECB22FE2"/>
    <w:lvl w:ilvl="0" w:tplc="7A28DC5C">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781160D"/>
    <w:multiLevelType w:val="hybridMultilevel"/>
    <w:tmpl w:val="19B2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C4BC9"/>
    <w:multiLevelType w:val="hybridMultilevel"/>
    <w:tmpl w:val="20106DAA"/>
    <w:lvl w:ilvl="0" w:tplc="7A28DC5C">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FE45D31"/>
    <w:multiLevelType w:val="hybridMultilevel"/>
    <w:tmpl w:val="C4440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C5B23"/>
    <w:multiLevelType w:val="hybridMultilevel"/>
    <w:tmpl w:val="88A229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D2F56"/>
    <w:multiLevelType w:val="hybridMultilevel"/>
    <w:tmpl w:val="A366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80284"/>
    <w:multiLevelType w:val="hybridMultilevel"/>
    <w:tmpl w:val="3F5A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D0ECE"/>
    <w:multiLevelType w:val="hybridMultilevel"/>
    <w:tmpl w:val="A998D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05712B"/>
    <w:multiLevelType w:val="hybridMultilevel"/>
    <w:tmpl w:val="9B86EAD6"/>
    <w:lvl w:ilvl="0" w:tplc="7A28DC5C">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10C5241"/>
    <w:multiLevelType w:val="hybridMultilevel"/>
    <w:tmpl w:val="135AB94C"/>
    <w:lvl w:ilvl="0" w:tplc="F6467A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F1119"/>
    <w:multiLevelType w:val="hybridMultilevel"/>
    <w:tmpl w:val="DACEC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615769"/>
    <w:multiLevelType w:val="hybridMultilevel"/>
    <w:tmpl w:val="4008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13"/>
  </w:num>
  <w:num w:numId="5">
    <w:abstractNumId w:val="18"/>
  </w:num>
  <w:num w:numId="6">
    <w:abstractNumId w:val="23"/>
  </w:num>
  <w:num w:numId="7">
    <w:abstractNumId w:val="17"/>
  </w:num>
  <w:num w:numId="8">
    <w:abstractNumId w:val="7"/>
  </w:num>
  <w:num w:numId="9">
    <w:abstractNumId w:val="9"/>
  </w:num>
  <w:num w:numId="10">
    <w:abstractNumId w:val="19"/>
  </w:num>
  <w:num w:numId="11">
    <w:abstractNumId w:val="12"/>
  </w:num>
  <w:num w:numId="12">
    <w:abstractNumId w:val="15"/>
  </w:num>
  <w:num w:numId="13">
    <w:abstractNumId w:val="8"/>
  </w:num>
  <w:num w:numId="14">
    <w:abstractNumId w:val="22"/>
  </w:num>
  <w:num w:numId="15">
    <w:abstractNumId w:val="16"/>
  </w:num>
  <w:num w:numId="16">
    <w:abstractNumId w:val="2"/>
  </w:num>
  <w:num w:numId="17">
    <w:abstractNumId w:val="6"/>
  </w:num>
  <w:num w:numId="18">
    <w:abstractNumId w:val="20"/>
  </w:num>
  <w:num w:numId="19">
    <w:abstractNumId w:val="11"/>
  </w:num>
  <w:num w:numId="20">
    <w:abstractNumId w:val="5"/>
  </w:num>
  <w:num w:numId="21">
    <w:abstractNumId w:val="0"/>
  </w:num>
  <w:num w:numId="22">
    <w:abstractNumId w:val="14"/>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C1"/>
    <w:rsid w:val="00024A6D"/>
    <w:rsid w:val="000A5C90"/>
    <w:rsid w:val="00154FC4"/>
    <w:rsid w:val="00166A12"/>
    <w:rsid w:val="002223A7"/>
    <w:rsid w:val="002366B0"/>
    <w:rsid w:val="00275D37"/>
    <w:rsid w:val="002D2994"/>
    <w:rsid w:val="00356812"/>
    <w:rsid w:val="00386609"/>
    <w:rsid w:val="003D6B8C"/>
    <w:rsid w:val="00446862"/>
    <w:rsid w:val="004640A4"/>
    <w:rsid w:val="004B2B8F"/>
    <w:rsid w:val="00563937"/>
    <w:rsid w:val="006404BC"/>
    <w:rsid w:val="006836BB"/>
    <w:rsid w:val="006970BF"/>
    <w:rsid w:val="006D64C6"/>
    <w:rsid w:val="007811E6"/>
    <w:rsid w:val="007A1105"/>
    <w:rsid w:val="007D6B8F"/>
    <w:rsid w:val="007E63B7"/>
    <w:rsid w:val="00804F11"/>
    <w:rsid w:val="00813BAA"/>
    <w:rsid w:val="00871804"/>
    <w:rsid w:val="008F16FC"/>
    <w:rsid w:val="00930EC1"/>
    <w:rsid w:val="009A4AFD"/>
    <w:rsid w:val="009E4085"/>
    <w:rsid w:val="00A35273"/>
    <w:rsid w:val="00AB6C24"/>
    <w:rsid w:val="00AF158A"/>
    <w:rsid w:val="00AF1A28"/>
    <w:rsid w:val="00B218A4"/>
    <w:rsid w:val="00B72572"/>
    <w:rsid w:val="00B752D1"/>
    <w:rsid w:val="00BA3225"/>
    <w:rsid w:val="00BB15F9"/>
    <w:rsid w:val="00BE62DC"/>
    <w:rsid w:val="00C563DA"/>
    <w:rsid w:val="00CA0C8D"/>
    <w:rsid w:val="00D51C3B"/>
    <w:rsid w:val="00DB4987"/>
    <w:rsid w:val="00E110C0"/>
    <w:rsid w:val="00E519D3"/>
    <w:rsid w:val="00ED22CE"/>
    <w:rsid w:val="00F41760"/>
    <w:rsid w:val="00F45DB4"/>
    <w:rsid w:val="00F9008C"/>
    <w:rsid w:val="00FE2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1BDD"/>
  <w15:chartTrackingRefBased/>
  <w15:docId w15:val="{DDD26ACF-71EE-4F32-8D12-5C7D80BA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C1"/>
    <w:pPr>
      <w:widowControl w:val="0"/>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qFormat/>
    <w:rsid w:val="00930EC1"/>
    <w:pPr>
      <w:keepNext/>
      <w:tabs>
        <w:tab w:val="center" w:pos="4680"/>
      </w:tabs>
      <w:jc w:val="center"/>
      <w:outlineLvl w:val="0"/>
    </w:pPr>
    <w:rPr>
      <w:rFonts w:ascii="CG Times" w:hAnsi="CG Times"/>
      <w:b/>
      <w:sz w:val="18"/>
      <w:lang w:eastAsia="x-none"/>
    </w:rPr>
  </w:style>
  <w:style w:type="paragraph" w:styleId="Heading2">
    <w:name w:val="heading 2"/>
    <w:basedOn w:val="Normal"/>
    <w:next w:val="Normal"/>
    <w:link w:val="Heading2Char"/>
    <w:qFormat/>
    <w:rsid w:val="00930EC1"/>
    <w:pPr>
      <w:keepNext/>
      <w:ind w:left="720" w:right="900"/>
      <w:outlineLvl w:val="1"/>
    </w:pPr>
    <w:rPr>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EC1"/>
    <w:rPr>
      <w:rFonts w:ascii="CG Times" w:eastAsia="Times New Roman" w:hAnsi="CG Times" w:cs="Times New Roman"/>
      <w:b/>
      <w:snapToGrid w:val="0"/>
      <w:sz w:val="18"/>
      <w:szCs w:val="20"/>
      <w:lang w:val="en-GB" w:eastAsia="x-none"/>
    </w:rPr>
  </w:style>
  <w:style w:type="character" w:customStyle="1" w:styleId="Heading2Char">
    <w:name w:val="Heading 2 Char"/>
    <w:basedOn w:val="DefaultParagraphFont"/>
    <w:link w:val="Heading2"/>
    <w:rsid w:val="00930EC1"/>
    <w:rPr>
      <w:rFonts w:ascii="Times New Roman" w:eastAsia="Times New Roman" w:hAnsi="Times New Roman" w:cs="Times New Roman"/>
      <w:b/>
      <w:bCs/>
      <w:snapToGrid w:val="0"/>
      <w:sz w:val="24"/>
      <w:szCs w:val="20"/>
      <w:lang w:val="en-GB" w:eastAsia="x-none"/>
    </w:rPr>
  </w:style>
  <w:style w:type="paragraph" w:styleId="BodyText">
    <w:name w:val="Body Text"/>
    <w:basedOn w:val="Normal"/>
    <w:link w:val="BodyTextChar"/>
    <w:rsid w:val="00930EC1"/>
    <w:pPr>
      <w:jc w:val="both"/>
    </w:pPr>
    <w:rPr>
      <w:lang w:eastAsia="x-none"/>
    </w:rPr>
  </w:style>
  <w:style w:type="character" w:customStyle="1" w:styleId="BodyTextChar">
    <w:name w:val="Body Text Char"/>
    <w:basedOn w:val="DefaultParagraphFont"/>
    <w:link w:val="BodyText"/>
    <w:rsid w:val="00930EC1"/>
    <w:rPr>
      <w:rFonts w:ascii="Times New Roman" w:eastAsia="Times New Roman" w:hAnsi="Times New Roman" w:cs="Times New Roman"/>
      <w:snapToGrid w:val="0"/>
      <w:sz w:val="24"/>
      <w:szCs w:val="20"/>
      <w:lang w:val="en-GB" w:eastAsia="x-none"/>
    </w:r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single space"/>
    <w:basedOn w:val="Normal"/>
    <w:link w:val="FootnoteTextChar"/>
    <w:rsid w:val="00930EC1"/>
    <w:rPr>
      <w:sz w:val="20"/>
      <w:lang w:eastAsia="x-none"/>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single space Char"/>
    <w:basedOn w:val="DefaultParagraphFont"/>
    <w:link w:val="FootnoteText"/>
    <w:rsid w:val="00930EC1"/>
    <w:rPr>
      <w:rFonts w:ascii="Times New Roman" w:eastAsia="Times New Roman" w:hAnsi="Times New Roman" w:cs="Times New Roman"/>
      <w:snapToGrid w:val="0"/>
      <w:sz w:val="20"/>
      <w:szCs w:val="20"/>
      <w:lang w:val="en-GB" w:eastAsia="x-none"/>
    </w:rPr>
  </w:style>
  <w:style w:type="paragraph" w:styleId="Title">
    <w:name w:val="Title"/>
    <w:basedOn w:val="Normal"/>
    <w:link w:val="TitleChar"/>
    <w:qFormat/>
    <w:rsid w:val="00930EC1"/>
    <w:pPr>
      <w:widowControl/>
      <w:jc w:val="center"/>
    </w:pPr>
    <w:rPr>
      <w:b/>
      <w:snapToGrid/>
      <w:sz w:val="28"/>
      <w:lang w:val="x-none" w:eastAsia="x-none"/>
    </w:rPr>
  </w:style>
  <w:style w:type="character" w:customStyle="1" w:styleId="TitleChar">
    <w:name w:val="Title Char"/>
    <w:basedOn w:val="DefaultParagraphFont"/>
    <w:link w:val="Title"/>
    <w:rsid w:val="00930EC1"/>
    <w:rPr>
      <w:rFonts w:ascii="Times New Roman" w:eastAsia="Times New Roman" w:hAnsi="Times New Roman" w:cs="Times New Roman"/>
      <w:b/>
      <w:sz w:val="28"/>
      <w:szCs w:val="20"/>
      <w:lang w:val="x-none" w:eastAsia="x-none"/>
    </w:rPr>
  </w:style>
  <w:style w:type="paragraph" w:customStyle="1" w:styleId="UN-00Logosoncoveralignedright">
    <w:name w:val="UN-00 Logos on cover aligned right"/>
    <w:rsid w:val="00930EC1"/>
    <w:pPr>
      <w:spacing w:after="0" w:line="240" w:lineRule="auto"/>
      <w:jc w:val="right"/>
    </w:pPr>
    <w:rPr>
      <w:rFonts w:ascii="Times New Roman" w:eastAsia="Times New Roman" w:hAnsi="Times New Roman" w:cs="Times New Roman"/>
      <w:szCs w:val="20"/>
    </w:rPr>
  </w:style>
  <w:style w:type="paragraph" w:customStyle="1" w:styleId="UN-00Logosoncoveralignedleft">
    <w:name w:val="UN-00 Logos on cover aligned left"/>
    <w:basedOn w:val="UN-00Logosoncoveralignedright"/>
    <w:rsid w:val="00930EC1"/>
    <w:pPr>
      <w:jc w:val="left"/>
    </w:pPr>
  </w:style>
  <w:style w:type="character" w:styleId="Hyperlink">
    <w:name w:val="Hyperlink"/>
    <w:basedOn w:val="DefaultParagraphFont"/>
    <w:uiPriority w:val="99"/>
    <w:unhideWhenUsed/>
    <w:rsid w:val="006836BB"/>
    <w:rPr>
      <w:color w:val="0563C1"/>
      <w:u w:val="single"/>
    </w:rPr>
  </w:style>
  <w:style w:type="table" w:styleId="GridTable4-Accent1">
    <w:name w:val="Grid Table 4 Accent 1"/>
    <w:basedOn w:val="TableNormal"/>
    <w:uiPriority w:val="49"/>
    <w:rsid w:val="006836B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9E4085"/>
    <w:pPr>
      <w:tabs>
        <w:tab w:val="center" w:pos="4680"/>
        <w:tab w:val="right" w:pos="9360"/>
      </w:tabs>
    </w:pPr>
  </w:style>
  <w:style w:type="character" w:customStyle="1" w:styleId="HeaderChar">
    <w:name w:val="Header Char"/>
    <w:basedOn w:val="DefaultParagraphFont"/>
    <w:link w:val="Header"/>
    <w:uiPriority w:val="99"/>
    <w:rsid w:val="009E4085"/>
    <w:rPr>
      <w:rFonts w:ascii="Times New Roman" w:eastAsia="Times New Roman" w:hAnsi="Times New Roman" w:cs="Times New Roman"/>
      <w:snapToGrid w:val="0"/>
      <w:sz w:val="24"/>
      <w:szCs w:val="20"/>
      <w:lang w:val="en-GB"/>
    </w:rPr>
  </w:style>
  <w:style w:type="paragraph" w:styleId="Footer">
    <w:name w:val="footer"/>
    <w:basedOn w:val="Normal"/>
    <w:link w:val="FooterChar"/>
    <w:uiPriority w:val="99"/>
    <w:unhideWhenUsed/>
    <w:rsid w:val="009E4085"/>
    <w:pPr>
      <w:tabs>
        <w:tab w:val="center" w:pos="4680"/>
        <w:tab w:val="right" w:pos="9360"/>
      </w:tabs>
    </w:pPr>
  </w:style>
  <w:style w:type="character" w:customStyle="1" w:styleId="FooterChar">
    <w:name w:val="Footer Char"/>
    <w:basedOn w:val="DefaultParagraphFont"/>
    <w:link w:val="Footer"/>
    <w:uiPriority w:val="99"/>
    <w:rsid w:val="009E4085"/>
    <w:rPr>
      <w:rFonts w:ascii="Times New Roman" w:eastAsia="Times New Roman" w:hAnsi="Times New Roman" w:cs="Times New Roman"/>
      <w:snapToGrid w:val="0"/>
      <w:sz w:val="24"/>
      <w:szCs w:val="20"/>
      <w:lang w:val="en-GB"/>
    </w:rPr>
  </w:style>
  <w:style w:type="character" w:styleId="CommentReference">
    <w:name w:val="annotation reference"/>
    <w:basedOn w:val="DefaultParagraphFont"/>
    <w:uiPriority w:val="99"/>
    <w:semiHidden/>
    <w:unhideWhenUsed/>
    <w:rsid w:val="00386609"/>
    <w:rPr>
      <w:sz w:val="16"/>
      <w:szCs w:val="16"/>
    </w:rPr>
  </w:style>
  <w:style w:type="paragraph" w:styleId="CommentText">
    <w:name w:val="annotation text"/>
    <w:basedOn w:val="Normal"/>
    <w:link w:val="CommentTextChar"/>
    <w:uiPriority w:val="99"/>
    <w:semiHidden/>
    <w:unhideWhenUsed/>
    <w:rsid w:val="00386609"/>
    <w:rPr>
      <w:sz w:val="20"/>
    </w:rPr>
  </w:style>
  <w:style w:type="character" w:customStyle="1" w:styleId="CommentTextChar">
    <w:name w:val="Comment Text Char"/>
    <w:basedOn w:val="DefaultParagraphFont"/>
    <w:link w:val="CommentText"/>
    <w:uiPriority w:val="99"/>
    <w:semiHidden/>
    <w:rsid w:val="00386609"/>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386609"/>
    <w:rPr>
      <w:b/>
      <w:bCs/>
    </w:rPr>
  </w:style>
  <w:style w:type="character" w:customStyle="1" w:styleId="CommentSubjectChar">
    <w:name w:val="Comment Subject Char"/>
    <w:basedOn w:val="CommentTextChar"/>
    <w:link w:val="CommentSubject"/>
    <w:uiPriority w:val="99"/>
    <w:semiHidden/>
    <w:rsid w:val="00386609"/>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3866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609"/>
    <w:rPr>
      <w:rFonts w:ascii="Segoe UI" w:eastAsia="Times New Roman" w:hAnsi="Segoe UI" w:cs="Segoe UI"/>
      <w:snapToGrid w:val="0"/>
      <w:sz w:val="18"/>
      <w:szCs w:val="18"/>
      <w:lang w:val="en-GB"/>
    </w:rPr>
  </w:style>
  <w:style w:type="paragraph" w:styleId="ListParagraph">
    <w:name w:val="List Paragraph"/>
    <w:basedOn w:val="Normal"/>
    <w:uiPriority w:val="34"/>
    <w:qFormat/>
    <w:rsid w:val="009A4AFD"/>
    <w:pPr>
      <w:widowControl/>
      <w:spacing w:after="200" w:line="276" w:lineRule="auto"/>
      <w:ind w:left="720"/>
      <w:contextualSpacing/>
    </w:pPr>
    <w:rPr>
      <w:rFonts w:asciiTheme="minorHAnsi" w:eastAsiaTheme="minorHAnsi" w:hAnsiTheme="minorHAnsi" w:cstheme="minorBidi"/>
      <w:snapToGrid/>
      <w:sz w:val="22"/>
      <w:szCs w:val="22"/>
    </w:rPr>
  </w:style>
  <w:style w:type="paragraph" w:customStyle="1" w:styleId="Default">
    <w:name w:val="Default"/>
    <w:rsid w:val="009A4AFD"/>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paragraph" w:styleId="NoSpacing">
    <w:name w:val="No Spacing"/>
    <w:uiPriority w:val="1"/>
    <w:qFormat/>
    <w:rsid w:val="009A4AFD"/>
    <w:pPr>
      <w:spacing w:after="0" w:line="240" w:lineRule="auto"/>
    </w:pPr>
    <w:rPr>
      <w:rFonts w:ascii="Arial" w:eastAsia="Calibri" w:hAnsi="Arial" w:cs="Arial"/>
      <w:b/>
      <w:bCs/>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72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C775DC.3F1823B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Rodriguez</dc:creator>
  <cp:keywords/>
  <dc:description/>
  <cp:lastModifiedBy>Ismael Ngnie Teta</cp:lastModifiedBy>
  <cp:revision>2</cp:revision>
  <cp:lastPrinted>2015-11-30T12:59:00Z</cp:lastPrinted>
  <dcterms:created xsi:type="dcterms:W3CDTF">2015-11-30T20:31:00Z</dcterms:created>
  <dcterms:modified xsi:type="dcterms:W3CDTF">2015-11-30T20:31:00Z</dcterms:modified>
</cp:coreProperties>
</file>