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4E" w:rsidRDefault="0089528D" w:rsidP="0087638A">
      <w:pPr>
        <w:jc w:val="center"/>
        <w:rPr>
          <w:b/>
        </w:rPr>
      </w:pPr>
      <w:r w:rsidRPr="00BF0621">
        <w:rPr>
          <w:b/>
        </w:rPr>
        <w:t>MPTF Funded Projects Risk Analysis</w:t>
      </w:r>
    </w:p>
    <w:p w:rsidR="00605177" w:rsidRDefault="00605177" w:rsidP="00721877">
      <w:pPr>
        <w:rPr>
          <w:rFonts w:ascii="Times New Roman" w:hAnsi="Times New Roman" w:cs="Times New Roman"/>
        </w:rPr>
      </w:pPr>
      <w:r w:rsidRPr="006738BE">
        <w:rPr>
          <w:rFonts w:ascii="Times New Roman" w:hAnsi="Times New Roman" w:cs="Times New Roman"/>
        </w:rPr>
        <w:t>This paper provides risk-analysis of all MPTF funded projects in line with the UN/WB joint risk management strategy for the SDRF funds. While the strategy addresses risks</w:t>
      </w:r>
      <w:r>
        <w:rPr>
          <w:rFonts w:ascii="Times New Roman" w:hAnsi="Times New Roman" w:cs="Times New Roman"/>
        </w:rPr>
        <w:t xml:space="preserve"> at the fund level</w:t>
      </w:r>
      <w:r w:rsidRPr="006738BE">
        <w:rPr>
          <w:rFonts w:ascii="Times New Roman" w:hAnsi="Times New Roman" w:cs="Times New Roman"/>
        </w:rPr>
        <w:t xml:space="preserve"> that extend</w:t>
      </w:r>
      <w:r>
        <w:rPr>
          <w:rFonts w:ascii="Times New Roman" w:hAnsi="Times New Roman" w:cs="Times New Roman"/>
        </w:rPr>
        <w:t>s</w:t>
      </w:r>
      <w:r w:rsidRPr="006738BE">
        <w:rPr>
          <w:rFonts w:ascii="Times New Roman" w:hAnsi="Times New Roman" w:cs="Times New Roman"/>
        </w:rPr>
        <w:t xml:space="preserve"> acros</w:t>
      </w:r>
      <w:r>
        <w:rPr>
          <w:rFonts w:ascii="Times New Roman" w:hAnsi="Times New Roman" w:cs="Times New Roman"/>
        </w:rPr>
        <w:t>s or beyond individual projects</w:t>
      </w:r>
      <w:r w:rsidRPr="006738BE">
        <w:rPr>
          <w:rFonts w:ascii="Times New Roman" w:hAnsi="Times New Roman" w:cs="Times New Roman"/>
        </w:rPr>
        <w:t xml:space="preserve">, the risks at the project/programme level are managed according to the rules, regulations, policies and procedures of each fund administrator and its recipient </w:t>
      </w:r>
      <w:r>
        <w:rPr>
          <w:rFonts w:ascii="Times New Roman" w:hAnsi="Times New Roman" w:cs="Times New Roman"/>
        </w:rPr>
        <w:t>agencies</w:t>
      </w:r>
      <w:r w:rsidRPr="006738BE">
        <w:rPr>
          <w:rFonts w:ascii="Times New Roman" w:hAnsi="Times New Roman" w:cs="Times New Roman"/>
        </w:rPr>
        <w:t>. Hence, in addition to the oversight and support to the implementation of the joint Risk Management Strategy, each Fund Administrator Risk Manager may have responsibilities and obligations within his/her respective institution (support t</w:t>
      </w:r>
      <w:r>
        <w:rPr>
          <w:rFonts w:ascii="Times New Roman" w:hAnsi="Times New Roman" w:cs="Times New Roman"/>
        </w:rPr>
        <w:t xml:space="preserve">o project teams, reviews, etc.). </w:t>
      </w:r>
    </w:p>
    <w:p w:rsidR="00721877" w:rsidRDefault="00605177" w:rsidP="00721877">
      <w:pPr>
        <w:rPr>
          <w:rFonts w:ascii="Times New Roman" w:hAnsi="Times New Roman" w:cs="Times New Roman"/>
        </w:rPr>
      </w:pPr>
      <w:r>
        <w:rPr>
          <w:rFonts w:ascii="Times New Roman" w:hAnsi="Times New Roman" w:cs="Times New Roman"/>
        </w:rPr>
        <w:t>Following the Joint RM Strategy, t</w:t>
      </w:r>
      <w:r w:rsidR="00721877" w:rsidRPr="006738BE">
        <w:rPr>
          <w:rFonts w:ascii="Times New Roman" w:hAnsi="Times New Roman" w:cs="Times New Roman"/>
        </w:rPr>
        <w:t>he UN Risk Management Unit and the WB developed t</w:t>
      </w:r>
      <w:r>
        <w:rPr>
          <w:rFonts w:ascii="Times New Roman" w:hAnsi="Times New Roman" w:cs="Times New Roman"/>
        </w:rPr>
        <w:t>he MPTF Risk Management Matrix</w:t>
      </w:r>
      <w:r w:rsidR="00721877" w:rsidRPr="006738BE">
        <w:rPr>
          <w:rFonts w:ascii="Times New Roman" w:hAnsi="Times New Roman" w:cs="Times New Roman"/>
        </w:rPr>
        <w:t xml:space="preserve"> on the basis of which risks affecting the fund and the programmes would be rated taking into consideration the likelihood and the impact. </w:t>
      </w:r>
    </w:p>
    <w:p w:rsidR="00B12817" w:rsidRPr="006738BE" w:rsidRDefault="00605177" w:rsidP="00721877">
      <w:pPr>
        <w:rPr>
          <w:rFonts w:ascii="Times New Roman" w:hAnsi="Times New Roman" w:cs="Times New Roman"/>
        </w:rPr>
      </w:pPr>
      <w:r>
        <w:rPr>
          <w:rFonts w:ascii="Times New Roman" w:hAnsi="Times New Roman" w:cs="Times New Roman"/>
        </w:rPr>
        <w:t>As t</w:t>
      </w:r>
      <w:r w:rsidR="00B12817">
        <w:rPr>
          <w:rFonts w:ascii="Times New Roman" w:hAnsi="Times New Roman" w:cs="Times New Roman"/>
        </w:rPr>
        <w:t>he MPTF funded programmes are being implemented in a very fragile environment</w:t>
      </w:r>
      <w:r>
        <w:rPr>
          <w:rFonts w:ascii="Times New Roman" w:hAnsi="Times New Roman" w:cs="Times New Roman"/>
        </w:rPr>
        <w:t>,</w:t>
      </w:r>
      <w:r w:rsidR="00B12817">
        <w:rPr>
          <w:rFonts w:ascii="Times New Roman" w:hAnsi="Times New Roman" w:cs="Times New Roman"/>
        </w:rPr>
        <w:t xml:space="preserve"> managing risk</w:t>
      </w:r>
      <w:r>
        <w:rPr>
          <w:rFonts w:ascii="Times New Roman" w:hAnsi="Times New Roman" w:cs="Times New Roman"/>
        </w:rPr>
        <w:t xml:space="preserve">s in the Somalia environment </w:t>
      </w:r>
      <w:r w:rsidR="00B12817">
        <w:rPr>
          <w:rFonts w:ascii="Times New Roman" w:hAnsi="Times New Roman" w:cs="Times New Roman"/>
        </w:rPr>
        <w:t xml:space="preserve">is challenging and requires additional measures and efforts. </w:t>
      </w:r>
    </w:p>
    <w:p w:rsidR="00721877" w:rsidRDefault="00721877" w:rsidP="000243F8">
      <w:r w:rsidRPr="006738BE">
        <w:rPr>
          <w:rFonts w:ascii="Times New Roman" w:hAnsi="Times New Roman" w:cs="Times New Roman"/>
        </w:rPr>
        <w:t>MPTF Risk Management Matrices</w:t>
      </w:r>
      <w:r>
        <w:rPr>
          <w:noProof/>
        </w:rPr>
        <w:drawing>
          <wp:inline distT="0" distB="0" distL="0" distR="0">
            <wp:extent cx="6152515" cy="42003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TF Matric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5485" cy="4209182"/>
                    </a:xfrm>
                    <a:prstGeom prst="rect">
                      <a:avLst/>
                    </a:prstGeom>
                  </pic:spPr>
                </pic:pic>
              </a:graphicData>
            </a:graphic>
          </wp:inline>
        </w:drawing>
      </w:r>
    </w:p>
    <w:p w:rsidR="00721877" w:rsidRPr="006738BE" w:rsidRDefault="00721877" w:rsidP="00A96816">
      <w:pPr>
        <w:ind w:left="360" w:right="-490"/>
        <w:rPr>
          <w:rFonts w:ascii="Times New Roman" w:hAnsi="Times New Roman" w:cs="Times New Roman"/>
        </w:rPr>
      </w:pPr>
      <w:r w:rsidRPr="006738BE">
        <w:rPr>
          <w:rFonts w:ascii="Times New Roman" w:hAnsi="Times New Roman" w:cs="Times New Roman"/>
        </w:rPr>
        <w:t xml:space="preserve">On this ground, we have reviewed and analyzed the risks across MPTF funded programmes and projects. </w:t>
      </w:r>
    </w:p>
    <w:p w:rsidR="00ED4B47" w:rsidRPr="006738BE" w:rsidRDefault="00ED4B47" w:rsidP="00A96816">
      <w:pPr>
        <w:ind w:left="360" w:right="-490"/>
        <w:rPr>
          <w:rFonts w:ascii="Times New Roman" w:hAnsi="Times New Roman" w:cs="Times New Roman"/>
        </w:rPr>
      </w:pPr>
      <w:r w:rsidRPr="006738BE">
        <w:rPr>
          <w:rFonts w:ascii="Times New Roman" w:hAnsi="Times New Roman" w:cs="Times New Roman"/>
        </w:rPr>
        <w:t>The main approach used to analyze the risks at the programme and across programmes is the following:</w:t>
      </w:r>
    </w:p>
    <w:p w:rsidR="00ED4B47" w:rsidRPr="006738BE" w:rsidRDefault="00ED4B47" w:rsidP="00A96816">
      <w:pPr>
        <w:pStyle w:val="ListParagraph"/>
        <w:numPr>
          <w:ilvl w:val="0"/>
          <w:numId w:val="4"/>
        </w:numPr>
        <w:spacing w:after="0" w:line="240" w:lineRule="auto"/>
        <w:ind w:left="360" w:right="-490"/>
        <w:contextualSpacing w:val="0"/>
        <w:rPr>
          <w:rFonts w:ascii="Times New Roman" w:hAnsi="Times New Roman" w:cs="Times New Roman"/>
        </w:rPr>
      </w:pPr>
      <w:r w:rsidRPr="006738BE">
        <w:rPr>
          <w:rFonts w:ascii="Times New Roman" w:hAnsi="Times New Roman" w:cs="Times New Roman"/>
        </w:rPr>
        <w:t>Review of the risks identified at the time of programme formulation</w:t>
      </w:r>
      <w:r w:rsidR="00605177">
        <w:rPr>
          <w:rFonts w:ascii="Times New Roman" w:hAnsi="Times New Roman" w:cs="Times New Roman"/>
        </w:rPr>
        <w:t>/design stage</w:t>
      </w:r>
    </w:p>
    <w:p w:rsidR="00ED4B47" w:rsidRPr="006738BE" w:rsidRDefault="00ED4B47" w:rsidP="00A96816">
      <w:pPr>
        <w:pStyle w:val="ListParagraph"/>
        <w:numPr>
          <w:ilvl w:val="0"/>
          <w:numId w:val="4"/>
        </w:numPr>
        <w:spacing w:after="0" w:line="240" w:lineRule="auto"/>
        <w:ind w:left="360" w:right="-490"/>
        <w:contextualSpacing w:val="0"/>
        <w:rPr>
          <w:rFonts w:ascii="Times New Roman" w:hAnsi="Times New Roman" w:cs="Times New Roman"/>
        </w:rPr>
      </w:pPr>
      <w:r w:rsidRPr="006738BE">
        <w:rPr>
          <w:rFonts w:ascii="Times New Roman" w:hAnsi="Times New Roman" w:cs="Times New Roman"/>
        </w:rPr>
        <w:t>Review updates on the risk monitoring and treatment at the Quarterly reports (Q1 &amp; Q2</w:t>
      </w:r>
      <w:r w:rsidR="00721877" w:rsidRPr="006738BE">
        <w:rPr>
          <w:rFonts w:ascii="Times New Roman" w:hAnsi="Times New Roman" w:cs="Times New Roman"/>
        </w:rPr>
        <w:t xml:space="preserve"> </w:t>
      </w:r>
      <w:r w:rsidRPr="006738BE">
        <w:rPr>
          <w:rFonts w:ascii="Times New Roman" w:hAnsi="Times New Roman" w:cs="Times New Roman"/>
        </w:rPr>
        <w:t>of 2016</w:t>
      </w:r>
      <w:r w:rsidR="00721877" w:rsidRPr="006738BE">
        <w:rPr>
          <w:rFonts w:ascii="Times New Roman" w:hAnsi="Times New Roman" w:cs="Times New Roman"/>
        </w:rPr>
        <w:t>)</w:t>
      </w:r>
    </w:p>
    <w:p w:rsidR="00ED4B47" w:rsidRPr="006738BE" w:rsidRDefault="00721877" w:rsidP="00A96816">
      <w:pPr>
        <w:pStyle w:val="ListParagraph"/>
        <w:numPr>
          <w:ilvl w:val="0"/>
          <w:numId w:val="4"/>
        </w:numPr>
        <w:spacing w:after="0" w:line="240" w:lineRule="auto"/>
        <w:ind w:left="360" w:right="-490"/>
        <w:contextualSpacing w:val="0"/>
        <w:rPr>
          <w:rFonts w:ascii="Times New Roman" w:hAnsi="Times New Roman" w:cs="Times New Roman"/>
        </w:rPr>
      </w:pPr>
      <w:r w:rsidRPr="006738BE">
        <w:rPr>
          <w:rFonts w:ascii="Times New Roman" w:hAnsi="Times New Roman" w:cs="Times New Roman"/>
        </w:rPr>
        <w:t>Conducted m</w:t>
      </w:r>
      <w:r w:rsidR="00ED4B47" w:rsidRPr="006738BE">
        <w:rPr>
          <w:rFonts w:ascii="Times New Roman" w:hAnsi="Times New Roman" w:cs="Times New Roman"/>
        </w:rPr>
        <w:t>eetings with the programme managers and other concerned staff</w:t>
      </w:r>
    </w:p>
    <w:p w:rsidR="00ED4B47" w:rsidRDefault="00721877" w:rsidP="00A96816">
      <w:pPr>
        <w:pStyle w:val="ListParagraph"/>
        <w:numPr>
          <w:ilvl w:val="0"/>
          <w:numId w:val="4"/>
        </w:numPr>
        <w:spacing w:after="0" w:line="240" w:lineRule="auto"/>
        <w:ind w:left="360" w:right="-490"/>
        <w:contextualSpacing w:val="0"/>
        <w:rPr>
          <w:rFonts w:ascii="Times New Roman" w:hAnsi="Times New Roman" w:cs="Times New Roman"/>
        </w:rPr>
      </w:pPr>
      <w:r w:rsidRPr="006738BE">
        <w:rPr>
          <w:rFonts w:ascii="Times New Roman" w:hAnsi="Times New Roman" w:cs="Times New Roman"/>
        </w:rPr>
        <w:t xml:space="preserve">Conducted meetings </w:t>
      </w:r>
      <w:r w:rsidR="00ED4B47" w:rsidRPr="006738BE">
        <w:rPr>
          <w:rFonts w:ascii="Times New Roman" w:hAnsi="Times New Roman" w:cs="Times New Roman"/>
        </w:rPr>
        <w:t>with the</w:t>
      </w:r>
      <w:r w:rsidRPr="006738BE">
        <w:rPr>
          <w:rFonts w:ascii="Times New Roman" w:hAnsi="Times New Roman" w:cs="Times New Roman"/>
        </w:rPr>
        <w:t xml:space="preserve"> UNDP Programme management Unit </w:t>
      </w:r>
      <w:r w:rsidR="00ED4B47" w:rsidRPr="006738BE">
        <w:rPr>
          <w:rFonts w:ascii="Times New Roman" w:hAnsi="Times New Roman" w:cs="Times New Roman"/>
        </w:rPr>
        <w:t xml:space="preserve"> </w:t>
      </w:r>
      <w:r w:rsidRPr="006738BE">
        <w:rPr>
          <w:rFonts w:ascii="Times New Roman" w:hAnsi="Times New Roman" w:cs="Times New Roman"/>
        </w:rPr>
        <w:t>and other programme staff</w:t>
      </w:r>
    </w:p>
    <w:p w:rsidR="00605177" w:rsidRPr="006738BE" w:rsidRDefault="00605177" w:rsidP="00A96816">
      <w:pPr>
        <w:pStyle w:val="ListParagraph"/>
        <w:numPr>
          <w:ilvl w:val="0"/>
          <w:numId w:val="4"/>
        </w:numPr>
        <w:spacing w:after="0" w:line="240" w:lineRule="auto"/>
        <w:ind w:left="360" w:right="-490"/>
        <w:contextualSpacing w:val="0"/>
        <w:rPr>
          <w:rFonts w:ascii="Times New Roman" w:hAnsi="Times New Roman" w:cs="Times New Roman"/>
        </w:rPr>
      </w:pPr>
      <w:r>
        <w:rPr>
          <w:rFonts w:ascii="Times New Roman" w:hAnsi="Times New Roman" w:cs="Times New Roman"/>
        </w:rPr>
        <w:t xml:space="preserve">Analysed the information related to MPTF programme portfolio </w:t>
      </w:r>
    </w:p>
    <w:p w:rsidR="00ED4B47" w:rsidRPr="006738BE" w:rsidRDefault="00ED4B47" w:rsidP="00A96816">
      <w:pPr>
        <w:ind w:left="360" w:right="-490"/>
        <w:rPr>
          <w:rFonts w:ascii="Times New Roman" w:hAnsi="Times New Roman" w:cs="Times New Roman"/>
        </w:rPr>
      </w:pPr>
    </w:p>
    <w:p w:rsidR="0089528D" w:rsidRDefault="0089528D" w:rsidP="00A96816">
      <w:pPr>
        <w:pStyle w:val="ListParagraph"/>
        <w:ind w:left="360" w:right="-490"/>
        <w:rPr>
          <w:rFonts w:ascii="Times New Roman" w:hAnsi="Times New Roman" w:cs="Times New Roman"/>
        </w:rPr>
      </w:pPr>
      <w:r w:rsidRPr="006738BE">
        <w:rPr>
          <w:rFonts w:ascii="Times New Roman" w:hAnsi="Times New Roman" w:cs="Times New Roman"/>
        </w:rPr>
        <w:lastRenderedPageBreak/>
        <w:t xml:space="preserve">This document reviews the risk analysis, rating and risk treatments across the MPTF </w:t>
      </w:r>
      <w:r w:rsidR="003A5A44" w:rsidRPr="006738BE">
        <w:rPr>
          <w:rFonts w:ascii="Times New Roman" w:hAnsi="Times New Roman" w:cs="Times New Roman"/>
        </w:rPr>
        <w:t>Joint Programmes</w:t>
      </w:r>
      <w:r w:rsidRPr="006738BE">
        <w:rPr>
          <w:rFonts w:ascii="Times New Roman" w:hAnsi="Times New Roman" w:cs="Times New Roman"/>
        </w:rPr>
        <w:t xml:space="preserve"> as below:</w:t>
      </w:r>
    </w:p>
    <w:p w:rsidR="00605177" w:rsidRDefault="00605177" w:rsidP="00A96816">
      <w:pPr>
        <w:pStyle w:val="ListParagraph"/>
        <w:ind w:left="360" w:right="-49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05"/>
        <w:gridCol w:w="2430"/>
        <w:gridCol w:w="4680"/>
      </w:tblGrid>
      <w:tr w:rsidR="00605177" w:rsidTr="00605177">
        <w:tc>
          <w:tcPr>
            <w:tcW w:w="805" w:type="dxa"/>
          </w:tcPr>
          <w:p w:rsidR="00605177" w:rsidRDefault="00605177" w:rsidP="00605177">
            <w:pPr>
              <w:pStyle w:val="ListParagraph"/>
              <w:ind w:left="0" w:right="-490"/>
              <w:rPr>
                <w:rFonts w:ascii="Times New Roman" w:hAnsi="Times New Roman" w:cs="Times New Roman"/>
              </w:rPr>
            </w:pPr>
            <w:r>
              <w:rPr>
                <w:rFonts w:ascii="Times New Roman" w:hAnsi="Times New Roman" w:cs="Times New Roman"/>
              </w:rPr>
              <w:t>#</w:t>
            </w:r>
          </w:p>
        </w:tc>
        <w:tc>
          <w:tcPr>
            <w:tcW w:w="2430" w:type="dxa"/>
          </w:tcPr>
          <w:p w:rsidR="00605177" w:rsidRDefault="00605177" w:rsidP="00605177">
            <w:pPr>
              <w:pStyle w:val="ListParagraph"/>
              <w:ind w:left="0" w:right="-490"/>
              <w:jc w:val="both"/>
              <w:rPr>
                <w:rFonts w:ascii="Times New Roman" w:hAnsi="Times New Roman" w:cs="Times New Roman"/>
              </w:rPr>
            </w:pPr>
            <w:r>
              <w:rPr>
                <w:rFonts w:ascii="Times New Roman" w:hAnsi="Times New Roman" w:cs="Times New Roman"/>
              </w:rPr>
              <w:t>Intervention/PSG</w:t>
            </w:r>
          </w:p>
        </w:tc>
        <w:tc>
          <w:tcPr>
            <w:tcW w:w="4680" w:type="dxa"/>
          </w:tcPr>
          <w:p w:rsidR="00605177" w:rsidRDefault="00605177" w:rsidP="00605177">
            <w:pPr>
              <w:pStyle w:val="ListParagraph"/>
              <w:ind w:left="0" w:right="-490"/>
              <w:rPr>
                <w:rFonts w:ascii="Times New Roman" w:hAnsi="Times New Roman" w:cs="Times New Roman"/>
              </w:rPr>
            </w:pPr>
            <w:r>
              <w:rPr>
                <w:rFonts w:ascii="Times New Roman" w:hAnsi="Times New Roman" w:cs="Times New Roman"/>
              </w:rPr>
              <w:t>Programme Title</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1.</w:t>
            </w:r>
          </w:p>
        </w:tc>
        <w:tc>
          <w:tcPr>
            <w:tcW w:w="2430" w:type="dxa"/>
            <w:vMerge w:val="restart"/>
          </w:tcPr>
          <w:p w:rsidR="00605177" w:rsidRDefault="00605177" w:rsidP="00605177">
            <w:pPr>
              <w:pStyle w:val="ListParagraph"/>
              <w:ind w:left="0" w:right="-490"/>
              <w:jc w:val="center"/>
              <w:rPr>
                <w:rFonts w:ascii="Times New Roman" w:hAnsi="Times New Roman" w:cs="Times New Roman"/>
              </w:rPr>
            </w:pPr>
          </w:p>
          <w:p w:rsidR="00605177" w:rsidRDefault="00605177" w:rsidP="00605177">
            <w:pPr>
              <w:pStyle w:val="ListParagraph"/>
              <w:ind w:left="0" w:right="-490"/>
              <w:rPr>
                <w:rFonts w:ascii="Times New Roman" w:hAnsi="Times New Roman" w:cs="Times New Roman"/>
              </w:rPr>
            </w:pPr>
          </w:p>
          <w:p w:rsidR="00605177" w:rsidRDefault="00605177" w:rsidP="00605177">
            <w:pPr>
              <w:pStyle w:val="ListParagraph"/>
              <w:ind w:left="0" w:right="-490"/>
              <w:rPr>
                <w:rFonts w:ascii="Times New Roman" w:hAnsi="Times New Roman" w:cs="Times New Roman"/>
              </w:rPr>
            </w:pPr>
            <w:r>
              <w:rPr>
                <w:rFonts w:ascii="Times New Roman" w:hAnsi="Times New Roman" w:cs="Times New Roman"/>
              </w:rPr>
              <w:t xml:space="preserve">              PSG1</w:t>
            </w: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State Formation and Federalism</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2.</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Constitutional Review</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3.</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Electoral Support</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4.</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Parliament Inclusive</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5.</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Support to Stabilization</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6.</w:t>
            </w:r>
          </w:p>
        </w:tc>
        <w:tc>
          <w:tcPr>
            <w:tcW w:w="243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 xml:space="preserve">         PSG 2 &amp; 3</w:t>
            </w: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Rule of Law</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7.</w:t>
            </w:r>
          </w:p>
        </w:tc>
        <w:tc>
          <w:tcPr>
            <w:tcW w:w="2430" w:type="dxa"/>
          </w:tcPr>
          <w:p w:rsidR="00605177" w:rsidRDefault="00605177" w:rsidP="00605177">
            <w:pPr>
              <w:pStyle w:val="ListParagraph"/>
              <w:ind w:left="0" w:right="-490"/>
              <w:rPr>
                <w:rFonts w:ascii="Times New Roman" w:hAnsi="Times New Roman" w:cs="Times New Roman"/>
              </w:rPr>
            </w:pPr>
            <w:r>
              <w:rPr>
                <w:rFonts w:ascii="Times New Roman" w:hAnsi="Times New Roman" w:cs="Times New Roman"/>
              </w:rPr>
              <w:t xml:space="preserve">            PSG 4 </w:t>
            </w: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Youth Employemtn</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8.</w:t>
            </w:r>
          </w:p>
        </w:tc>
        <w:tc>
          <w:tcPr>
            <w:tcW w:w="2430" w:type="dxa"/>
            <w:vMerge w:val="restart"/>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 xml:space="preserve">            PSG 5</w:t>
            </w: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Local Governance</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9.</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National Window – Service Delivery</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10.</w:t>
            </w:r>
          </w:p>
        </w:tc>
        <w:tc>
          <w:tcPr>
            <w:tcW w:w="2430" w:type="dxa"/>
            <w:vMerge w:val="restart"/>
          </w:tcPr>
          <w:p w:rsidR="00605177" w:rsidRDefault="00605177" w:rsidP="00A96816">
            <w:pPr>
              <w:pStyle w:val="ListParagraph"/>
              <w:ind w:left="0" w:right="-490"/>
              <w:rPr>
                <w:rFonts w:ascii="Times New Roman" w:hAnsi="Times New Roman" w:cs="Times New Roman"/>
              </w:rPr>
            </w:pPr>
          </w:p>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 xml:space="preserve">         Cross Cutting</w:t>
            </w: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Capacity Development</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11.</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Enablers</w:t>
            </w:r>
          </w:p>
        </w:tc>
      </w:tr>
      <w:tr w:rsidR="00605177" w:rsidTr="00605177">
        <w:tc>
          <w:tcPr>
            <w:tcW w:w="805" w:type="dxa"/>
          </w:tcPr>
          <w:p w:rsidR="00605177" w:rsidRDefault="00605177" w:rsidP="00605177">
            <w:pPr>
              <w:pStyle w:val="ListParagraph"/>
              <w:ind w:left="0" w:right="-235"/>
              <w:jc w:val="center"/>
              <w:rPr>
                <w:rFonts w:ascii="Times New Roman" w:hAnsi="Times New Roman" w:cs="Times New Roman"/>
              </w:rPr>
            </w:pPr>
            <w:r>
              <w:rPr>
                <w:rFonts w:ascii="Times New Roman" w:hAnsi="Times New Roman" w:cs="Times New Roman"/>
              </w:rPr>
              <w:t>12.</w:t>
            </w:r>
          </w:p>
        </w:tc>
        <w:tc>
          <w:tcPr>
            <w:tcW w:w="2430" w:type="dxa"/>
            <w:vMerge/>
          </w:tcPr>
          <w:p w:rsidR="00605177" w:rsidRDefault="00605177" w:rsidP="00A96816">
            <w:pPr>
              <w:pStyle w:val="ListParagraph"/>
              <w:ind w:left="0" w:right="-490"/>
              <w:rPr>
                <w:rFonts w:ascii="Times New Roman" w:hAnsi="Times New Roman" w:cs="Times New Roman"/>
              </w:rPr>
            </w:pPr>
          </w:p>
        </w:tc>
        <w:tc>
          <w:tcPr>
            <w:tcW w:w="4680" w:type="dxa"/>
          </w:tcPr>
          <w:p w:rsidR="00605177" w:rsidRDefault="00605177" w:rsidP="00A96816">
            <w:pPr>
              <w:pStyle w:val="ListParagraph"/>
              <w:ind w:left="0" w:right="-490"/>
              <w:rPr>
                <w:rFonts w:ascii="Times New Roman" w:hAnsi="Times New Roman" w:cs="Times New Roman"/>
              </w:rPr>
            </w:pPr>
            <w:r>
              <w:rPr>
                <w:rFonts w:ascii="Times New Roman" w:hAnsi="Times New Roman" w:cs="Times New Roman"/>
              </w:rPr>
              <w:t>JP Charcoal Reduction and Alternative Livelihoods</w:t>
            </w:r>
          </w:p>
        </w:tc>
      </w:tr>
    </w:tbl>
    <w:p w:rsidR="00D000E4" w:rsidRPr="006738BE" w:rsidRDefault="003A5A44" w:rsidP="00605177">
      <w:pPr>
        <w:ind w:right="-490"/>
        <w:rPr>
          <w:rFonts w:ascii="Times New Roman" w:hAnsi="Times New Roman" w:cs="Times New Roman"/>
          <w:b/>
          <w:u w:val="single"/>
        </w:rPr>
      </w:pPr>
      <w:r w:rsidRPr="006738BE">
        <w:rPr>
          <w:rFonts w:ascii="Times New Roman" w:hAnsi="Times New Roman" w:cs="Times New Roman"/>
          <w:b/>
          <w:u w:val="single"/>
        </w:rPr>
        <w:t>Current un</w:t>
      </w:r>
      <w:r w:rsidR="00D000E4" w:rsidRPr="006738BE">
        <w:rPr>
          <w:rFonts w:ascii="Times New Roman" w:hAnsi="Times New Roman" w:cs="Times New Roman"/>
          <w:b/>
          <w:u w:val="single"/>
        </w:rPr>
        <w:t xml:space="preserve">derstanding of </w:t>
      </w:r>
      <w:r w:rsidR="00B23CF4" w:rsidRPr="006738BE">
        <w:rPr>
          <w:rFonts w:ascii="Times New Roman" w:hAnsi="Times New Roman" w:cs="Times New Roman"/>
          <w:b/>
          <w:u w:val="single"/>
        </w:rPr>
        <w:t xml:space="preserve">programme </w:t>
      </w:r>
      <w:r w:rsidR="00D000E4" w:rsidRPr="006738BE">
        <w:rPr>
          <w:rFonts w:ascii="Times New Roman" w:hAnsi="Times New Roman" w:cs="Times New Roman"/>
          <w:b/>
          <w:u w:val="single"/>
        </w:rPr>
        <w:t>risk</w:t>
      </w:r>
      <w:r w:rsidR="00B23CF4" w:rsidRPr="006738BE">
        <w:rPr>
          <w:rFonts w:ascii="Times New Roman" w:hAnsi="Times New Roman" w:cs="Times New Roman"/>
          <w:b/>
          <w:u w:val="single"/>
        </w:rPr>
        <w:t>s</w:t>
      </w:r>
      <w:r w:rsidR="00D000E4" w:rsidRPr="006738BE">
        <w:rPr>
          <w:rFonts w:ascii="Times New Roman" w:hAnsi="Times New Roman" w:cs="Times New Roman"/>
          <w:b/>
          <w:u w:val="single"/>
        </w:rPr>
        <w:t>:</w:t>
      </w:r>
    </w:p>
    <w:p w:rsidR="00B23CF4" w:rsidRPr="006738BE" w:rsidRDefault="00B23CF4" w:rsidP="00A96816">
      <w:pPr>
        <w:pStyle w:val="ListParagraph"/>
        <w:numPr>
          <w:ilvl w:val="0"/>
          <w:numId w:val="6"/>
        </w:numPr>
        <w:ind w:left="360" w:right="-490"/>
        <w:rPr>
          <w:rFonts w:ascii="Times New Roman" w:hAnsi="Times New Roman" w:cs="Times New Roman"/>
        </w:rPr>
      </w:pPr>
      <w:r w:rsidRPr="006738BE">
        <w:rPr>
          <w:rFonts w:ascii="Times New Roman" w:hAnsi="Times New Roman" w:cs="Times New Roman"/>
        </w:rPr>
        <w:t xml:space="preserve">The entire MPTF portfolio is </w:t>
      </w:r>
      <w:r w:rsidR="00605177">
        <w:rPr>
          <w:rFonts w:ascii="Times New Roman" w:hAnsi="Times New Roman" w:cs="Times New Roman"/>
        </w:rPr>
        <w:t>around</w:t>
      </w:r>
      <w:r w:rsidRPr="006738BE">
        <w:rPr>
          <w:rFonts w:ascii="Times New Roman" w:hAnsi="Times New Roman" w:cs="Times New Roman"/>
        </w:rPr>
        <w:t xml:space="preserve"> </w:t>
      </w:r>
      <w:r w:rsidR="00605177">
        <w:rPr>
          <w:rFonts w:ascii="Times New Roman" w:hAnsi="Times New Roman" w:cs="Times New Roman"/>
        </w:rPr>
        <w:t>US</w:t>
      </w:r>
      <w:r w:rsidRPr="006738BE">
        <w:rPr>
          <w:rFonts w:ascii="Times New Roman" w:hAnsi="Times New Roman" w:cs="Times New Roman"/>
        </w:rPr>
        <w:t>$130 million, distributed among different UN agencies with UNDP as the largest Ag</w:t>
      </w:r>
      <w:r w:rsidR="00605177">
        <w:rPr>
          <w:rFonts w:ascii="Times New Roman" w:hAnsi="Times New Roman" w:cs="Times New Roman"/>
        </w:rPr>
        <w:t>ency managing the joint programmes.</w:t>
      </w:r>
    </w:p>
    <w:p w:rsidR="00B23CF4" w:rsidRPr="006738BE" w:rsidRDefault="00B23CF4" w:rsidP="00A96816">
      <w:pPr>
        <w:pStyle w:val="ListParagraph"/>
        <w:numPr>
          <w:ilvl w:val="0"/>
          <w:numId w:val="6"/>
        </w:numPr>
        <w:ind w:left="360" w:right="-490"/>
        <w:rPr>
          <w:rFonts w:ascii="Times New Roman" w:hAnsi="Times New Roman" w:cs="Times New Roman"/>
        </w:rPr>
      </w:pPr>
      <w:r w:rsidRPr="006738BE">
        <w:rPr>
          <w:rFonts w:ascii="Times New Roman" w:hAnsi="Times New Roman" w:cs="Times New Roman"/>
        </w:rPr>
        <w:t>One of the challenges faced with regard to the risk management is that different UN agencies have different risk appetite and relatively different procedures on assessing, monitoring and managing the risk</w:t>
      </w:r>
      <w:r w:rsidR="00605177">
        <w:rPr>
          <w:rFonts w:ascii="Times New Roman" w:hAnsi="Times New Roman" w:cs="Times New Roman"/>
        </w:rPr>
        <w:t>. However, the risk management principles across the UN agencies remain the same.</w:t>
      </w:r>
    </w:p>
    <w:p w:rsidR="00B23CF4" w:rsidRPr="006738BE" w:rsidRDefault="00605177" w:rsidP="00A96816">
      <w:pPr>
        <w:pStyle w:val="ListParagraph"/>
        <w:numPr>
          <w:ilvl w:val="0"/>
          <w:numId w:val="6"/>
        </w:numPr>
        <w:ind w:left="360" w:right="-490"/>
        <w:rPr>
          <w:rFonts w:ascii="Times New Roman" w:hAnsi="Times New Roman" w:cs="Times New Roman"/>
        </w:rPr>
      </w:pPr>
      <w:r>
        <w:rPr>
          <w:rFonts w:ascii="Times New Roman" w:hAnsi="Times New Roman" w:cs="Times New Roman"/>
        </w:rPr>
        <w:t>The main r</w:t>
      </w:r>
      <w:r w:rsidR="00B23CF4" w:rsidRPr="006738BE">
        <w:rPr>
          <w:rFonts w:ascii="Times New Roman" w:hAnsi="Times New Roman" w:cs="Times New Roman"/>
        </w:rPr>
        <w:t>isk elements have been identified at the programme design stage in the MPTF programmes</w:t>
      </w:r>
      <w:r>
        <w:rPr>
          <w:rFonts w:ascii="Times New Roman" w:hAnsi="Times New Roman" w:cs="Times New Roman"/>
        </w:rPr>
        <w:t xml:space="preserve"> and classified</w:t>
      </w:r>
      <w:r w:rsidR="00B23CF4" w:rsidRPr="006738BE">
        <w:rPr>
          <w:rFonts w:ascii="Times New Roman" w:hAnsi="Times New Roman" w:cs="Times New Roman"/>
        </w:rPr>
        <w:t xml:space="preserve"> by category </w:t>
      </w:r>
    </w:p>
    <w:p w:rsidR="00B23CF4" w:rsidRPr="006738BE" w:rsidRDefault="00B23CF4" w:rsidP="00605177">
      <w:pPr>
        <w:pStyle w:val="ListParagraph"/>
        <w:numPr>
          <w:ilvl w:val="1"/>
          <w:numId w:val="6"/>
        </w:numPr>
        <w:ind w:left="900" w:right="-490"/>
        <w:rPr>
          <w:rFonts w:ascii="Times New Roman" w:hAnsi="Times New Roman" w:cs="Times New Roman"/>
        </w:rPr>
      </w:pPr>
      <w:r w:rsidRPr="006738BE">
        <w:rPr>
          <w:rFonts w:ascii="Times New Roman" w:hAnsi="Times New Roman" w:cs="Times New Roman"/>
        </w:rPr>
        <w:t>Contextual</w:t>
      </w:r>
    </w:p>
    <w:p w:rsidR="00B23CF4" w:rsidRPr="006738BE" w:rsidRDefault="00B23CF4" w:rsidP="00605177">
      <w:pPr>
        <w:pStyle w:val="ListParagraph"/>
        <w:numPr>
          <w:ilvl w:val="1"/>
          <w:numId w:val="6"/>
        </w:numPr>
        <w:ind w:left="900" w:right="-490"/>
        <w:rPr>
          <w:rFonts w:ascii="Times New Roman" w:hAnsi="Times New Roman" w:cs="Times New Roman"/>
        </w:rPr>
      </w:pPr>
      <w:r w:rsidRPr="006738BE">
        <w:rPr>
          <w:rFonts w:ascii="Times New Roman" w:hAnsi="Times New Roman" w:cs="Times New Roman"/>
        </w:rPr>
        <w:t>Governance/strategy/institutional</w:t>
      </w:r>
    </w:p>
    <w:p w:rsidR="00B23CF4" w:rsidRPr="006738BE" w:rsidRDefault="00B23CF4" w:rsidP="00605177">
      <w:pPr>
        <w:pStyle w:val="ListParagraph"/>
        <w:numPr>
          <w:ilvl w:val="1"/>
          <w:numId w:val="6"/>
        </w:numPr>
        <w:ind w:left="900" w:right="-490"/>
        <w:rPr>
          <w:rFonts w:ascii="Times New Roman" w:hAnsi="Times New Roman" w:cs="Times New Roman"/>
        </w:rPr>
      </w:pPr>
      <w:r w:rsidRPr="006738BE">
        <w:rPr>
          <w:rFonts w:ascii="Times New Roman" w:hAnsi="Times New Roman" w:cs="Times New Roman"/>
        </w:rPr>
        <w:t>Programme &amp; operations implementation</w:t>
      </w:r>
    </w:p>
    <w:p w:rsidR="00B23CF4" w:rsidRPr="006738BE" w:rsidRDefault="00B23CF4" w:rsidP="00605177">
      <w:pPr>
        <w:pStyle w:val="ListParagraph"/>
        <w:ind w:left="360" w:right="-490"/>
        <w:rPr>
          <w:rFonts w:ascii="Times New Roman" w:hAnsi="Times New Roman" w:cs="Times New Roman"/>
        </w:rPr>
      </w:pPr>
      <w:r w:rsidRPr="006738BE">
        <w:rPr>
          <w:rFonts w:ascii="Times New Roman" w:hAnsi="Times New Roman" w:cs="Times New Roman"/>
        </w:rPr>
        <w:t xml:space="preserve"> Most of the projects have </w:t>
      </w:r>
      <w:r w:rsidR="00605177">
        <w:rPr>
          <w:rFonts w:ascii="Times New Roman" w:hAnsi="Times New Roman" w:cs="Times New Roman"/>
        </w:rPr>
        <w:t xml:space="preserve">identified, assessed the impact and probability / </w:t>
      </w:r>
      <w:r w:rsidRPr="006738BE">
        <w:rPr>
          <w:rFonts w:ascii="Times New Roman" w:hAnsi="Times New Roman" w:cs="Times New Roman"/>
        </w:rPr>
        <w:t>rated the main risks affecting the programme</w:t>
      </w:r>
      <w:r w:rsidR="00605177">
        <w:rPr>
          <w:rFonts w:ascii="Times New Roman" w:hAnsi="Times New Roman" w:cs="Times New Roman"/>
        </w:rPr>
        <w:t>s</w:t>
      </w:r>
      <w:r w:rsidRPr="006738BE">
        <w:rPr>
          <w:rFonts w:ascii="Times New Roman" w:hAnsi="Times New Roman" w:cs="Times New Roman"/>
        </w:rPr>
        <w:t xml:space="preserve"> – both External and internal risks, and </w:t>
      </w:r>
      <w:r w:rsidR="00605177">
        <w:rPr>
          <w:rFonts w:ascii="Times New Roman" w:hAnsi="Times New Roman" w:cs="Times New Roman"/>
        </w:rPr>
        <w:t>identified</w:t>
      </w:r>
      <w:r w:rsidRPr="006738BE">
        <w:rPr>
          <w:rFonts w:ascii="Times New Roman" w:hAnsi="Times New Roman" w:cs="Times New Roman"/>
        </w:rPr>
        <w:t xml:space="preserve"> the treatment</w:t>
      </w:r>
      <w:r w:rsidR="00605177">
        <w:rPr>
          <w:rFonts w:ascii="Times New Roman" w:hAnsi="Times New Roman" w:cs="Times New Roman"/>
        </w:rPr>
        <w:t xml:space="preserve"> / mitigation measures to address each risk.</w:t>
      </w:r>
    </w:p>
    <w:p w:rsidR="003D7B2E" w:rsidRPr="006738BE" w:rsidRDefault="00B23CF4" w:rsidP="00A96816">
      <w:pPr>
        <w:pStyle w:val="ListParagraph"/>
        <w:numPr>
          <w:ilvl w:val="0"/>
          <w:numId w:val="6"/>
        </w:numPr>
        <w:ind w:left="360" w:right="-490"/>
        <w:rPr>
          <w:rFonts w:ascii="Times New Roman" w:hAnsi="Times New Roman" w:cs="Times New Roman"/>
        </w:rPr>
      </w:pPr>
      <w:r w:rsidRPr="006738BE">
        <w:rPr>
          <w:rFonts w:ascii="Times New Roman" w:hAnsi="Times New Roman" w:cs="Times New Roman"/>
        </w:rPr>
        <w:t xml:space="preserve">Even though </w:t>
      </w:r>
      <w:r w:rsidR="00605177">
        <w:rPr>
          <w:rFonts w:ascii="Times New Roman" w:hAnsi="Times New Roman" w:cs="Times New Roman"/>
        </w:rPr>
        <w:t>few</w:t>
      </w:r>
      <w:r w:rsidRPr="006738BE">
        <w:rPr>
          <w:rFonts w:ascii="Times New Roman" w:hAnsi="Times New Roman" w:cs="Times New Roman"/>
        </w:rPr>
        <w:t xml:space="preserve"> programmes may not have rated the risks in the project documents</w:t>
      </w:r>
      <w:r w:rsidR="00605177">
        <w:rPr>
          <w:rFonts w:ascii="Times New Roman" w:hAnsi="Times New Roman" w:cs="Times New Roman"/>
        </w:rPr>
        <w:t xml:space="preserve">, this may be because both the Risk Management Strategy and the risk assessment matrix have been developed in 2015, time when most of the MPTF programmes were operational. </w:t>
      </w:r>
      <w:r w:rsidR="00EE4F9B">
        <w:rPr>
          <w:rFonts w:ascii="Times New Roman" w:hAnsi="Times New Roman" w:cs="Times New Roman"/>
        </w:rPr>
        <w:t xml:space="preserve">Despite this, risks are monitored on a day-to-day bases and update is provided quarterly as part of MPTF quarterly reports. </w:t>
      </w:r>
    </w:p>
    <w:p w:rsidR="00BC59DF" w:rsidRPr="006738BE" w:rsidRDefault="00EE4F9B" w:rsidP="00A96816">
      <w:pPr>
        <w:pStyle w:val="ListParagraph"/>
        <w:numPr>
          <w:ilvl w:val="0"/>
          <w:numId w:val="6"/>
        </w:numPr>
        <w:ind w:left="360" w:right="-490"/>
        <w:rPr>
          <w:rFonts w:ascii="Times New Roman" w:hAnsi="Times New Roman" w:cs="Times New Roman"/>
        </w:rPr>
      </w:pPr>
      <w:r>
        <w:rPr>
          <w:rFonts w:ascii="Times New Roman" w:hAnsi="Times New Roman" w:cs="Times New Roman"/>
        </w:rPr>
        <w:t xml:space="preserve">Any new risk encountered during the programme implementation is assessed, and mitigation measures are in place. </w:t>
      </w:r>
    </w:p>
    <w:p w:rsidR="00EE4F9B" w:rsidRDefault="00EE4F9B" w:rsidP="00A96816">
      <w:pPr>
        <w:pStyle w:val="ListParagraph"/>
        <w:numPr>
          <w:ilvl w:val="0"/>
          <w:numId w:val="6"/>
        </w:numPr>
        <w:ind w:left="360" w:right="-490"/>
        <w:rPr>
          <w:rFonts w:ascii="Times New Roman" w:hAnsi="Times New Roman" w:cs="Times New Roman"/>
        </w:rPr>
      </w:pPr>
      <w:r>
        <w:rPr>
          <w:rFonts w:ascii="Times New Roman" w:hAnsi="Times New Roman" w:cs="Times New Roman"/>
        </w:rPr>
        <w:t>In the Somalia context, m</w:t>
      </w:r>
      <w:r w:rsidR="003D7B2E" w:rsidRPr="006738BE">
        <w:rPr>
          <w:rFonts w:ascii="Times New Roman" w:hAnsi="Times New Roman" w:cs="Times New Roman"/>
        </w:rPr>
        <w:t>ost of the risks under each category have been rated as ‘high’</w:t>
      </w:r>
      <w:r>
        <w:rPr>
          <w:rFonts w:ascii="Times New Roman" w:hAnsi="Times New Roman" w:cs="Times New Roman"/>
        </w:rPr>
        <w:t xml:space="preserve"> or ‘significant’.</w:t>
      </w:r>
    </w:p>
    <w:p w:rsidR="00BC59DF" w:rsidRPr="006738BE" w:rsidRDefault="00B23CF4" w:rsidP="00EE4F9B">
      <w:pPr>
        <w:pStyle w:val="ListParagraph"/>
        <w:ind w:left="360" w:right="-490"/>
        <w:rPr>
          <w:rFonts w:ascii="Times New Roman" w:hAnsi="Times New Roman" w:cs="Times New Roman"/>
        </w:rPr>
      </w:pPr>
      <w:r w:rsidRPr="006738BE">
        <w:rPr>
          <w:rFonts w:ascii="Times New Roman" w:hAnsi="Times New Roman" w:cs="Times New Roman"/>
        </w:rPr>
        <w:t xml:space="preserve"> </w:t>
      </w:r>
    </w:p>
    <w:p w:rsidR="0092552D" w:rsidRDefault="00EE4F9B" w:rsidP="00EE4F9B">
      <w:pPr>
        <w:ind w:right="-490"/>
      </w:pPr>
      <w:r>
        <w:rPr>
          <w:rFonts w:ascii="Times New Roman" w:hAnsi="Times New Roman" w:cs="Times New Roman"/>
        </w:rPr>
        <w:t>In order to further analyze inter-programme risks, a</w:t>
      </w:r>
      <w:r w:rsidR="00BC59DF" w:rsidRPr="00EE4F9B">
        <w:rPr>
          <w:rFonts w:ascii="Times New Roman" w:hAnsi="Times New Roman" w:cs="Times New Roman"/>
        </w:rPr>
        <w:t xml:space="preserve"> master table has been developed containing risks identified/analyzed at the programme design, rating, mitigation measures and the</w:t>
      </w:r>
      <w:r>
        <w:rPr>
          <w:rFonts w:ascii="Times New Roman" w:hAnsi="Times New Roman" w:cs="Times New Roman"/>
        </w:rPr>
        <w:t xml:space="preserve"> quarterly</w:t>
      </w:r>
      <w:r w:rsidR="00BC59DF" w:rsidRPr="00EE4F9B">
        <w:rPr>
          <w:rFonts w:ascii="Times New Roman" w:hAnsi="Times New Roman" w:cs="Times New Roman"/>
        </w:rPr>
        <w:t xml:space="preserve"> updates. </w:t>
      </w:r>
    </w:p>
    <w:p w:rsidR="00605177" w:rsidRPr="00A96816" w:rsidRDefault="00605177" w:rsidP="00605177">
      <w:pPr>
        <w:rPr>
          <w:rFonts w:ascii="Times New Roman" w:hAnsi="Times New Roman" w:cs="Times New Roman"/>
        </w:rPr>
      </w:pPr>
      <w:r>
        <w:rPr>
          <w:rFonts w:ascii="Times New Roman" w:hAnsi="Times New Roman" w:cs="Times New Roman"/>
        </w:rPr>
        <w:t xml:space="preserve">A second matrix was developed to identify the most common risks across all the MPTF programs. </w:t>
      </w:r>
      <w:r w:rsidRPr="00A96816">
        <w:rPr>
          <w:rFonts w:ascii="Times New Roman" w:hAnsi="Times New Roman" w:cs="Times New Roman"/>
        </w:rPr>
        <w:t>The developed matrixes do indicate the following:</w:t>
      </w:r>
    </w:p>
    <w:p w:rsidR="00605177" w:rsidRDefault="00605177" w:rsidP="00605177">
      <w:pPr>
        <w:pStyle w:val="ListParagraph"/>
        <w:numPr>
          <w:ilvl w:val="0"/>
          <w:numId w:val="7"/>
        </w:numPr>
        <w:spacing w:after="0" w:line="240" w:lineRule="auto"/>
        <w:rPr>
          <w:rFonts w:ascii="Times New Roman" w:hAnsi="Times New Roman" w:cs="Times New Roman"/>
        </w:rPr>
      </w:pPr>
      <w:r w:rsidRPr="00A96816">
        <w:rPr>
          <w:rFonts w:ascii="Times New Roman" w:hAnsi="Times New Roman" w:cs="Times New Roman"/>
        </w:rPr>
        <w:t>Master table: Programme title, PSG intervention, budget, participating agencies, risk categor</w:t>
      </w:r>
      <w:r w:rsidR="00EE4F9B">
        <w:rPr>
          <w:rFonts w:ascii="Times New Roman" w:hAnsi="Times New Roman" w:cs="Times New Roman"/>
        </w:rPr>
        <w:t>ies, identified risks, rating (</w:t>
      </w:r>
      <w:r w:rsidRPr="00A96816">
        <w:rPr>
          <w:rFonts w:ascii="Times New Roman" w:hAnsi="Times New Roman" w:cs="Times New Roman"/>
        </w:rPr>
        <w:t>not all), risk response/treatment measures and the most recent updates from the MPTF reports</w:t>
      </w:r>
      <w:r w:rsidR="00EE4F9B">
        <w:rPr>
          <w:rFonts w:ascii="Times New Roman" w:hAnsi="Times New Roman" w:cs="Times New Roman"/>
        </w:rPr>
        <w:t>. H</w:t>
      </w:r>
      <w:r w:rsidRPr="00A96816">
        <w:rPr>
          <w:rFonts w:ascii="Times New Roman" w:hAnsi="Times New Roman" w:cs="Times New Roman"/>
        </w:rPr>
        <w:t>ence</w:t>
      </w:r>
      <w:r w:rsidR="00EE4F9B">
        <w:rPr>
          <w:rFonts w:ascii="Times New Roman" w:hAnsi="Times New Roman" w:cs="Times New Roman"/>
        </w:rPr>
        <w:t>, the RMU, UN Agencies and</w:t>
      </w:r>
      <w:r w:rsidRPr="00A96816">
        <w:rPr>
          <w:rFonts w:ascii="Times New Roman" w:hAnsi="Times New Roman" w:cs="Times New Roman"/>
        </w:rPr>
        <w:t xml:space="preserve"> the managers will be able to read</w:t>
      </w:r>
      <w:r w:rsidR="00EE4F9B">
        <w:rPr>
          <w:rFonts w:ascii="Times New Roman" w:hAnsi="Times New Roman" w:cs="Times New Roman"/>
        </w:rPr>
        <w:t xml:space="preserve"> and compare</w:t>
      </w:r>
      <w:r w:rsidRPr="00A96816">
        <w:rPr>
          <w:rFonts w:ascii="Times New Roman" w:hAnsi="Times New Roman" w:cs="Times New Roman"/>
        </w:rPr>
        <w:t xml:space="preserve"> the risks</w:t>
      </w:r>
      <w:r w:rsidR="00EE4F9B">
        <w:rPr>
          <w:rFonts w:ascii="Times New Roman" w:hAnsi="Times New Roman" w:cs="Times New Roman"/>
        </w:rPr>
        <w:t xml:space="preserve">, impact, </w:t>
      </w:r>
      <w:r w:rsidRPr="00A96816">
        <w:rPr>
          <w:rFonts w:ascii="Times New Roman" w:hAnsi="Times New Roman" w:cs="Times New Roman"/>
        </w:rPr>
        <w:t>treatment and the updates across the programs</w:t>
      </w:r>
      <w:r w:rsidR="00EE4F9B">
        <w:rPr>
          <w:rFonts w:ascii="Times New Roman" w:hAnsi="Times New Roman" w:cs="Times New Roman"/>
        </w:rPr>
        <w:t>.</w:t>
      </w:r>
    </w:p>
    <w:p w:rsidR="00605177" w:rsidRPr="00A96816" w:rsidRDefault="00605177" w:rsidP="00605177">
      <w:pPr>
        <w:pStyle w:val="ListParagraph"/>
        <w:numPr>
          <w:ilvl w:val="0"/>
          <w:numId w:val="7"/>
        </w:numPr>
        <w:spacing w:after="0" w:line="240" w:lineRule="auto"/>
        <w:rPr>
          <w:rFonts w:ascii="Times New Roman" w:hAnsi="Times New Roman" w:cs="Times New Roman"/>
        </w:rPr>
      </w:pPr>
      <w:r w:rsidRPr="00A96816">
        <w:rPr>
          <w:rFonts w:ascii="Times New Roman" w:hAnsi="Times New Roman" w:cs="Times New Roman"/>
        </w:rPr>
        <w:t>Most common risks</w:t>
      </w:r>
      <w:r w:rsidR="00EE4F9B">
        <w:rPr>
          <w:rFonts w:ascii="Times New Roman" w:hAnsi="Times New Roman" w:cs="Times New Roman"/>
        </w:rPr>
        <w:t>’ matrix</w:t>
      </w:r>
      <w:r w:rsidRPr="00A96816">
        <w:rPr>
          <w:rFonts w:ascii="Times New Roman" w:hAnsi="Times New Roman" w:cs="Times New Roman"/>
        </w:rPr>
        <w:t>: Another comparative matrix highlights the risks that may be common across the programs along with the risk rating</w:t>
      </w:r>
    </w:p>
    <w:p w:rsidR="00BC59DF" w:rsidRPr="007148B9" w:rsidRDefault="00BC59DF" w:rsidP="007B0400">
      <w:pPr>
        <w:pStyle w:val="ListParagraph"/>
      </w:pPr>
    </w:p>
    <w:p w:rsidR="00FE67A7" w:rsidRDefault="00FE67A7" w:rsidP="00FE67A7">
      <w:pPr>
        <w:rPr>
          <w:color w:val="003E7E"/>
        </w:rPr>
        <w:sectPr w:rsidR="00FE67A7" w:rsidSect="0092552D">
          <w:footerReference w:type="default" r:id="rId8"/>
          <w:pgSz w:w="11907" w:h="16839" w:code="9"/>
          <w:pgMar w:top="1440" w:right="1440" w:bottom="1440" w:left="1440" w:header="720" w:footer="720" w:gutter="0"/>
          <w:cols w:space="720"/>
          <w:noEndnote/>
          <w:docGrid w:linePitch="299"/>
        </w:sectPr>
      </w:pPr>
    </w:p>
    <w:p w:rsidR="007148B9" w:rsidRPr="00EE4F9B" w:rsidRDefault="007148B9" w:rsidP="00FE67A7">
      <w:pPr>
        <w:rPr>
          <w:rFonts w:ascii="Times New Roman" w:hAnsi="Times New Roman" w:cs="Times New Roman"/>
          <w:color w:val="000000" w:themeColor="text1"/>
        </w:rPr>
      </w:pPr>
      <w:r w:rsidRPr="00EE4F9B">
        <w:rPr>
          <w:rFonts w:ascii="Times New Roman" w:hAnsi="Times New Roman" w:cs="Times New Roman"/>
          <w:color w:val="000000" w:themeColor="text1"/>
        </w:rPr>
        <w:lastRenderedPageBreak/>
        <w:t xml:space="preserve">What are the most common risks that affect the programme </w:t>
      </w:r>
      <w:r w:rsidR="00EE4F9B" w:rsidRPr="00EE4F9B">
        <w:rPr>
          <w:rFonts w:ascii="Times New Roman" w:hAnsi="Times New Roman" w:cs="Times New Roman"/>
          <w:color w:val="000000" w:themeColor="text1"/>
        </w:rPr>
        <w:t>implementation?</w:t>
      </w:r>
    </w:p>
    <w:p w:rsidR="00FE67A7" w:rsidRPr="00B8784B" w:rsidRDefault="00FE67A7" w:rsidP="00FE67A7">
      <w:pPr>
        <w:jc w:val="center"/>
        <w:rPr>
          <w:b/>
          <w:u w:val="single"/>
        </w:rPr>
      </w:pPr>
      <w:r w:rsidRPr="00B8784B">
        <w:rPr>
          <w:b/>
          <w:u w:val="single"/>
        </w:rPr>
        <w:t>Common risks across MPTF funded Programmes and Projects</w:t>
      </w:r>
    </w:p>
    <w:tbl>
      <w:tblPr>
        <w:tblW w:w="15751" w:type="dxa"/>
        <w:tblInd w:w="-275" w:type="dxa"/>
        <w:tblLayout w:type="fixed"/>
        <w:tblLook w:val="04A0" w:firstRow="1" w:lastRow="0" w:firstColumn="1" w:lastColumn="0" w:noHBand="0" w:noVBand="1"/>
      </w:tblPr>
      <w:tblGrid>
        <w:gridCol w:w="951"/>
        <w:gridCol w:w="2379"/>
        <w:gridCol w:w="1105"/>
        <w:gridCol w:w="1055"/>
        <w:gridCol w:w="1064"/>
        <w:gridCol w:w="938"/>
        <w:gridCol w:w="1083"/>
        <w:gridCol w:w="15"/>
        <w:gridCol w:w="935"/>
        <w:gridCol w:w="15"/>
        <w:gridCol w:w="1068"/>
        <w:gridCol w:w="1105"/>
        <w:gridCol w:w="15"/>
        <w:gridCol w:w="1065"/>
        <w:gridCol w:w="15"/>
        <w:gridCol w:w="963"/>
        <w:gridCol w:w="1080"/>
        <w:gridCol w:w="810"/>
        <w:gridCol w:w="15"/>
        <w:gridCol w:w="75"/>
      </w:tblGrid>
      <w:tr w:rsidR="00FE67A7" w:rsidRPr="004C5060" w:rsidTr="00EE4F9B">
        <w:trPr>
          <w:gridAfter w:val="2"/>
          <w:wAfter w:w="90" w:type="dxa"/>
          <w:trHeight w:val="1275"/>
          <w:tblHeader/>
        </w:trPr>
        <w:tc>
          <w:tcPr>
            <w:tcW w:w="951"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Risk Category</w:t>
            </w:r>
          </w:p>
        </w:tc>
        <w:tc>
          <w:tcPr>
            <w:tcW w:w="2379" w:type="dxa"/>
            <w:tcBorders>
              <w:top w:val="single" w:sz="4" w:space="0" w:color="auto"/>
              <w:left w:val="nil"/>
              <w:bottom w:val="single" w:sz="4" w:space="0" w:color="auto"/>
              <w:right w:val="single" w:sz="4" w:space="0" w:color="auto"/>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Risk description</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67A7"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 xml:space="preserve">State formation – Federalism </w:t>
            </w:r>
          </w:p>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(PIP)</w:t>
            </w:r>
          </w:p>
        </w:tc>
        <w:tc>
          <w:tcPr>
            <w:tcW w:w="1055" w:type="dxa"/>
            <w:tcBorders>
              <w:top w:val="single" w:sz="4" w:space="0" w:color="auto"/>
              <w:left w:val="nil"/>
              <w:bottom w:val="single" w:sz="4" w:space="0" w:color="auto"/>
              <w:right w:val="single" w:sz="4" w:space="0" w:color="auto"/>
            </w:tcBorders>
            <w:shd w:val="clear" w:color="000000" w:fill="A9D08E"/>
            <w:vAlign w:val="center"/>
            <w:hideMark/>
          </w:tcPr>
          <w:p w:rsidR="00FE67A7" w:rsidRPr="004C5060" w:rsidRDefault="00FE67A7" w:rsidP="00FE67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 xml:space="preserve">Constitutional Review </w:t>
            </w:r>
          </w:p>
        </w:tc>
        <w:tc>
          <w:tcPr>
            <w:tcW w:w="1064" w:type="dxa"/>
            <w:tcBorders>
              <w:top w:val="single" w:sz="4" w:space="0" w:color="auto"/>
              <w:left w:val="nil"/>
              <w:bottom w:val="single" w:sz="4" w:space="0" w:color="auto"/>
              <w:right w:val="single" w:sz="4" w:space="0" w:color="auto"/>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Support to Stabilization Project</w:t>
            </w:r>
          </w:p>
        </w:tc>
        <w:tc>
          <w:tcPr>
            <w:tcW w:w="938" w:type="dxa"/>
            <w:tcBorders>
              <w:top w:val="single" w:sz="4" w:space="0" w:color="auto"/>
              <w:left w:val="nil"/>
              <w:bottom w:val="single" w:sz="4" w:space="0" w:color="auto"/>
              <w:right w:val="single" w:sz="4" w:space="0" w:color="auto"/>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Support to Electoral Process</w:t>
            </w:r>
          </w:p>
        </w:tc>
        <w:tc>
          <w:tcPr>
            <w:tcW w:w="1083" w:type="dxa"/>
            <w:tcBorders>
              <w:top w:val="single" w:sz="4" w:space="0" w:color="auto"/>
              <w:left w:val="nil"/>
              <w:bottom w:val="single" w:sz="4" w:space="0" w:color="auto"/>
              <w:right w:val="single" w:sz="4" w:space="0" w:color="auto"/>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 xml:space="preserve">Parliament Inclusive </w:t>
            </w:r>
          </w:p>
        </w:tc>
        <w:tc>
          <w:tcPr>
            <w:tcW w:w="950" w:type="dxa"/>
            <w:gridSpan w:val="2"/>
            <w:tcBorders>
              <w:top w:val="single" w:sz="4" w:space="0" w:color="auto"/>
              <w:left w:val="nil"/>
              <w:bottom w:val="single" w:sz="4" w:space="0" w:color="auto"/>
              <w:right w:val="single" w:sz="4" w:space="0" w:color="auto"/>
            </w:tcBorders>
            <w:shd w:val="clear" w:color="000000" w:fill="F4B084"/>
            <w:vAlign w:val="center"/>
            <w:hideMark/>
          </w:tcPr>
          <w:p w:rsidR="00FE67A7" w:rsidRPr="004C5060" w:rsidRDefault="00FE67A7" w:rsidP="00FE67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JP</w:t>
            </w:r>
            <w:r w:rsidRPr="004C5060">
              <w:rPr>
                <w:rFonts w:ascii="Times New Roman" w:eastAsia="Times New Roman" w:hAnsi="Times New Roman" w:cs="Times New Roman"/>
                <w:color w:val="000000"/>
                <w:sz w:val="20"/>
                <w:szCs w:val="20"/>
              </w:rPr>
              <w:t xml:space="preserve"> Rule of Law </w:t>
            </w:r>
          </w:p>
        </w:tc>
        <w:tc>
          <w:tcPr>
            <w:tcW w:w="1083" w:type="dxa"/>
            <w:gridSpan w:val="2"/>
            <w:tcBorders>
              <w:top w:val="single" w:sz="4" w:space="0" w:color="auto"/>
              <w:left w:val="nil"/>
              <w:bottom w:val="single" w:sz="4" w:space="0" w:color="auto"/>
              <w:right w:val="single" w:sz="4" w:space="0" w:color="auto"/>
            </w:tcBorders>
            <w:shd w:val="clear" w:color="000000" w:fill="9BC2E6"/>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 xml:space="preserve">National Window Strengthen Service Delivery </w:t>
            </w:r>
          </w:p>
        </w:tc>
        <w:tc>
          <w:tcPr>
            <w:tcW w:w="1105" w:type="dxa"/>
            <w:tcBorders>
              <w:top w:val="single" w:sz="4" w:space="0" w:color="auto"/>
              <w:left w:val="nil"/>
              <w:bottom w:val="single" w:sz="4" w:space="0" w:color="auto"/>
              <w:right w:val="single" w:sz="4" w:space="0" w:color="auto"/>
            </w:tcBorders>
            <w:shd w:val="clear" w:color="000000" w:fill="9BC2E6"/>
            <w:vAlign w:val="center"/>
            <w:hideMark/>
          </w:tcPr>
          <w:p w:rsidR="00FE67A7" w:rsidRPr="004C5060" w:rsidRDefault="00FE67A7" w:rsidP="00FE67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JP</w:t>
            </w:r>
            <w:r w:rsidRPr="004C5060">
              <w:rPr>
                <w:rFonts w:ascii="Times New Roman" w:eastAsia="Times New Roman" w:hAnsi="Times New Roman" w:cs="Times New Roman"/>
                <w:color w:val="000000"/>
                <w:sz w:val="20"/>
                <w:szCs w:val="20"/>
              </w:rPr>
              <w:t xml:space="preserve"> Youth Employment</w:t>
            </w:r>
          </w:p>
        </w:tc>
        <w:tc>
          <w:tcPr>
            <w:tcW w:w="1080" w:type="dxa"/>
            <w:gridSpan w:val="2"/>
            <w:tcBorders>
              <w:top w:val="single" w:sz="4" w:space="0" w:color="auto"/>
              <w:left w:val="nil"/>
              <w:bottom w:val="single" w:sz="4" w:space="0" w:color="auto"/>
              <w:right w:val="single" w:sz="4" w:space="0" w:color="auto"/>
            </w:tcBorders>
            <w:shd w:val="clear" w:color="000000" w:fill="C00000"/>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JPLG</w:t>
            </w:r>
          </w:p>
        </w:tc>
        <w:tc>
          <w:tcPr>
            <w:tcW w:w="978" w:type="dxa"/>
            <w:gridSpan w:val="2"/>
            <w:tcBorders>
              <w:top w:val="single" w:sz="4" w:space="0" w:color="auto"/>
              <w:left w:val="nil"/>
              <w:bottom w:val="single" w:sz="4" w:space="0" w:color="auto"/>
              <w:right w:val="single" w:sz="4" w:space="0" w:color="auto"/>
            </w:tcBorders>
            <w:shd w:val="clear" w:color="000000" w:fill="ACB9CA"/>
            <w:vAlign w:val="center"/>
            <w:hideMark/>
          </w:tcPr>
          <w:p w:rsidR="00FE67A7" w:rsidRPr="004C5060" w:rsidRDefault="00FE67A7" w:rsidP="00FE67A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rPr>
              <w:t>ap Dev</w:t>
            </w:r>
            <w:r w:rsidRPr="004C5060">
              <w:rPr>
                <w:rFonts w:ascii="Times New Roman" w:eastAsia="Times New Roman" w:hAnsi="Times New Roman" w:cs="Times New Roman"/>
                <w:color w:val="000000"/>
                <w:sz w:val="20"/>
                <w:szCs w:val="20"/>
              </w:rPr>
              <w:t xml:space="preserve"> – Strength</w:t>
            </w:r>
            <w:r>
              <w:rPr>
                <w:rFonts w:ascii="Times New Roman" w:eastAsia="Times New Roman" w:hAnsi="Times New Roman" w:cs="Times New Roman"/>
                <w:color w:val="000000"/>
                <w:sz w:val="20"/>
                <w:szCs w:val="20"/>
              </w:rPr>
              <w:t>. Ins. Perf</w:t>
            </w:r>
            <w:r w:rsidRPr="004C5060">
              <w:rPr>
                <w:rFonts w:ascii="Times New Roman" w:eastAsia="Times New Roman" w:hAnsi="Times New Roman" w:cs="Times New Roman"/>
                <w:color w:val="000000"/>
                <w:sz w:val="20"/>
                <w:szCs w:val="20"/>
              </w:rPr>
              <w:t>(SIP)</w:t>
            </w:r>
          </w:p>
        </w:tc>
        <w:tc>
          <w:tcPr>
            <w:tcW w:w="1080" w:type="dxa"/>
            <w:tcBorders>
              <w:top w:val="single" w:sz="4" w:space="0" w:color="auto"/>
              <w:left w:val="nil"/>
              <w:bottom w:val="single" w:sz="4" w:space="0" w:color="auto"/>
              <w:right w:val="single" w:sz="4" w:space="0" w:color="auto"/>
            </w:tcBorders>
            <w:shd w:val="clear" w:color="000000" w:fill="ACB9CA"/>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JP </w:t>
            </w:r>
            <w:r w:rsidRPr="004C5060">
              <w:rPr>
                <w:rFonts w:ascii="Times New Roman" w:eastAsia="Times New Roman" w:hAnsi="Times New Roman" w:cs="Times New Roman"/>
                <w:color w:val="000000"/>
                <w:sz w:val="20"/>
                <w:szCs w:val="20"/>
              </w:rPr>
              <w:t xml:space="preserve">Charcoal Reduction and Alternative Livelihoods </w:t>
            </w:r>
            <w:r>
              <w:rPr>
                <w:rFonts w:ascii="Times New Roman" w:eastAsia="Times New Roman" w:hAnsi="Times New Roman" w:cs="Times New Roman"/>
                <w:color w:val="000000"/>
                <w:sz w:val="20"/>
                <w:szCs w:val="20"/>
              </w:rPr>
              <w:t>(PIP)</w:t>
            </w:r>
          </w:p>
        </w:tc>
        <w:tc>
          <w:tcPr>
            <w:tcW w:w="810" w:type="dxa"/>
            <w:tcBorders>
              <w:top w:val="single" w:sz="4" w:space="0" w:color="auto"/>
              <w:left w:val="nil"/>
              <w:bottom w:val="single" w:sz="4" w:space="0" w:color="auto"/>
              <w:right w:val="single" w:sz="4" w:space="0" w:color="auto"/>
            </w:tcBorders>
            <w:shd w:val="clear" w:color="000000" w:fill="ACB9CA"/>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JP</w:t>
            </w:r>
            <w:r w:rsidRPr="004C5060">
              <w:rPr>
                <w:rFonts w:ascii="Times New Roman" w:eastAsia="Times New Roman" w:hAnsi="Times New Roman" w:cs="Times New Roman"/>
                <w:color w:val="000000"/>
                <w:sz w:val="20"/>
                <w:szCs w:val="20"/>
              </w:rPr>
              <w:t xml:space="preserve"> Enablers</w:t>
            </w:r>
          </w:p>
        </w:tc>
      </w:tr>
      <w:tr w:rsidR="00FE67A7" w:rsidRPr="004C5060" w:rsidTr="00EE4F9B">
        <w:trPr>
          <w:gridAfter w:val="1"/>
          <w:wAfter w:w="75" w:type="dxa"/>
          <w:trHeight w:val="300"/>
          <w:tblHeader/>
        </w:trPr>
        <w:tc>
          <w:tcPr>
            <w:tcW w:w="951" w:type="dxa"/>
            <w:tcBorders>
              <w:top w:val="nil"/>
              <w:left w:val="nil"/>
              <w:bottom w:val="nil"/>
              <w:right w:val="nil"/>
            </w:tcBorders>
            <w:shd w:val="clear" w:color="000000" w:fill="A9D08E"/>
            <w:noWrap/>
            <w:vAlign w:val="bottom"/>
            <w:hideMark/>
          </w:tcPr>
          <w:p w:rsidR="00FE67A7" w:rsidRPr="004C5060" w:rsidRDefault="00FE67A7" w:rsidP="005E064E">
            <w:pPr>
              <w:spacing w:after="0" w:line="240" w:lineRule="auto"/>
              <w:rPr>
                <w:rFonts w:ascii="Calibri" w:eastAsia="Times New Roman" w:hAnsi="Calibri" w:cs="Times New Roman"/>
                <w:color w:val="000000"/>
              </w:rPr>
            </w:pPr>
            <w:r w:rsidRPr="004C5060">
              <w:rPr>
                <w:rFonts w:ascii="Calibri" w:eastAsia="Times New Roman" w:hAnsi="Calibri" w:cs="Times New Roman"/>
                <w:color w:val="000000"/>
              </w:rPr>
              <w:t> </w:t>
            </w:r>
          </w:p>
        </w:tc>
        <w:tc>
          <w:tcPr>
            <w:tcW w:w="2379" w:type="dxa"/>
            <w:tcBorders>
              <w:top w:val="nil"/>
              <w:left w:val="nil"/>
              <w:bottom w:val="nil"/>
              <w:right w:val="nil"/>
            </w:tcBorders>
            <w:shd w:val="clear" w:color="000000" w:fill="A9D08E"/>
            <w:noWrap/>
            <w:vAlign w:val="bottom"/>
            <w:hideMark/>
          </w:tcPr>
          <w:p w:rsidR="00FE67A7" w:rsidRPr="004C5060" w:rsidRDefault="00FE67A7" w:rsidP="005E064E">
            <w:pPr>
              <w:spacing w:after="0" w:line="240" w:lineRule="auto"/>
              <w:rPr>
                <w:rFonts w:ascii="Calibri" w:eastAsia="Times New Roman" w:hAnsi="Calibri" w:cs="Times New Roman"/>
                <w:color w:val="000000"/>
              </w:rPr>
            </w:pPr>
            <w:r w:rsidRPr="004C5060">
              <w:rPr>
                <w:rFonts w:ascii="Calibri" w:eastAsia="Times New Roman" w:hAnsi="Calibri" w:cs="Times New Roman"/>
                <w:color w:val="000000"/>
              </w:rPr>
              <w:t> </w:t>
            </w:r>
          </w:p>
        </w:tc>
        <w:tc>
          <w:tcPr>
            <w:tcW w:w="5260" w:type="dxa"/>
            <w:gridSpan w:val="6"/>
            <w:tcBorders>
              <w:top w:val="single" w:sz="4" w:space="0" w:color="auto"/>
              <w:left w:val="single" w:sz="4" w:space="0" w:color="auto"/>
              <w:bottom w:val="single" w:sz="4" w:space="0" w:color="auto"/>
              <w:right w:val="single" w:sz="4" w:space="0" w:color="000000"/>
            </w:tcBorders>
            <w:shd w:val="clear" w:color="000000" w:fill="A9D08E"/>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PSG 1</w:t>
            </w:r>
          </w:p>
        </w:tc>
        <w:tc>
          <w:tcPr>
            <w:tcW w:w="950" w:type="dxa"/>
            <w:gridSpan w:val="2"/>
            <w:tcBorders>
              <w:top w:val="nil"/>
              <w:left w:val="nil"/>
              <w:bottom w:val="nil"/>
              <w:right w:val="single" w:sz="4" w:space="0" w:color="auto"/>
            </w:tcBorders>
            <w:shd w:val="clear" w:color="000000" w:fill="F4B084"/>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PSG 2 &amp; 3</w:t>
            </w:r>
          </w:p>
        </w:tc>
        <w:tc>
          <w:tcPr>
            <w:tcW w:w="2188" w:type="dxa"/>
            <w:gridSpan w:val="3"/>
            <w:tcBorders>
              <w:top w:val="single" w:sz="4" w:space="0" w:color="auto"/>
              <w:left w:val="nil"/>
              <w:bottom w:val="single" w:sz="4" w:space="0" w:color="auto"/>
              <w:right w:val="single" w:sz="4" w:space="0" w:color="000000"/>
            </w:tcBorders>
            <w:shd w:val="clear" w:color="000000" w:fill="9BC2E6"/>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PSG-4</w:t>
            </w:r>
          </w:p>
        </w:tc>
        <w:tc>
          <w:tcPr>
            <w:tcW w:w="1080" w:type="dxa"/>
            <w:gridSpan w:val="2"/>
            <w:tcBorders>
              <w:top w:val="nil"/>
              <w:left w:val="nil"/>
              <w:bottom w:val="nil"/>
              <w:right w:val="single" w:sz="4" w:space="0" w:color="auto"/>
            </w:tcBorders>
            <w:shd w:val="clear" w:color="000000" w:fill="C00000"/>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PSG 5</w:t>
            </w:r>
          </w:p>
        </w:tc>
        <w:tc>
          <w:tcPr>
            <w:tcW w:w="2868" w:type="dxa"/>
            <w:gridSpan w:val="4"/>
            <w:tcBorders>
              <w:top w:val="single" w:sz="4" w:space="0" w:color="auto"/>
              <w:left w:val="nil"/>
              <w:bottom w:val="single" w:sz="4" w:space="0" w:color="auto"/>
              <w:right w:val="single" w:sz="4" w:space="0" w:color="000000"/>
            </w:tcBorders>
            <w:shd w:val="clear" w:color="000000" w:fill="ACB9CA"/>
            <w:vAlign w:val="center"/>
            <w:hideMark/>
          </w:tcPr>
          <w:p w:rsidR="00FE67A7" w:rsidRPr="004C5060" w:rsidRDefault="00FE67A7" w:rsidP="005E064E">
            <w:pPr>
              <w:spacing w:after="0" w:line="240" w:lineRule="auto"/>
              <w:jc w:val="center"/>
              <w:rPr>
                <w:rFonts w:ascii="Times New Roman" w:eastAsia="Times New Roman" w:hAnsi="Times New Roman" w:cs="Times New Roman"/>
                <w:color w:val="000000"/>
                <w:sz w:val="20"/>
                <w:szCs w:val="20"/>
              </w:rPr>
            </w:pPr>
            <w:r w:rsidRPr="004C5060">
              <w:rPr>
                <w:rFonts w:ascii="Times New Roman" w:eastAsia="Times New Roman" w:hAnsi="Times New Roman" w:cs="Times New Roman"/>
                <w:color w:val="000000"/>
                <w:sz w:val="20"/>
                <w:szCs w:val="20"/>
              </w:rPr>
              <w:t xml:space="preserve">Cross Cutting </w:t>
            </w:r>
          </w:p>
        </w:tc>
      </w:tr>
      <w:tr w:rsidR="00FE67A7" w:rsidRPr="004C5060" w:rsidTr="00EE4F9B">
        <w:trPr>
          <w:gridAfter w:val="2"/>
          <w:wAfter w:w="90" w:type="dxa"/>
          <w:trHeight w:val="300"/>
        </w:trPr>
        <w:tc>
          <w:tcPr>
            <w:tcW w:w="9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E67A7" w:rsidRPr="004C5060" w:rsidRDefault="00FE67A7" w:rsidP="005E064E">
            <w:pPr>
              <w:spacing w:after="0" w:line="240" w:lineRule="auto"/>
              <w:jc w:val="center"/>
              <w:rPr>
                <w:rFonts w:ascii="Times New Roman" w:eastAsia="Times New Roman" w:hAnsi="Times New Roman" w:cs="Times New Roman"/>
                <w:b/>
                <w:bCs/>
                <w:color w:val="000000"/>
              </w:rPr>
            </w:pPr>
            <w:r w:rsidRPr="004C5060">
              <w:rPr>
                <w:rFonts w:ascii="Times New Roman" w:eastAsia="Times New Roman" w:hAnsi="Times New Roman" w:cs="Times New Roman"/>
                <w:b/>
                <w:bCs/>
                <w:color w:val="000000"/>
              </w:rPr>
              <w:t>Contextual</w:t>
            </w:r>
          </w:p>
        </w:tc>
        <w:tc>
          <w:tcPr>
            <w:tcW w:w="2379" w:type="dxa"/>
            <w:tcBorders>
              <w:top w:val="single" w:sz="4" w:space="0" w:color="auto"/>
              <w:left w:val="nil"/>
              <w:bottom w:val="single" w:sz="4" w:space="0" w:color="auto"/>
              <w:right w:val="single" w:sz="4" w:space="0" w:color="auto"/>
            </w:tcBorders>
            <w:shd w:val="clear" w:color="000000" w:fill="DDEBF7"/>
            <w:vAlign w:val="bottom"/>
            <w:hideMark/>
          </w:tcPr>
          <w:p w:rsidR="00FE67A7" w:rsidRPr="004C5060" w:rsidRDefault="00FE67A7" w:rsidP="005E064E">
            <w:pPr>
              <w:spacing w:after="0" w:line="240" w:lineRule="auto"/>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Security</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950" w:type="dxa"/>
            <w:gridSpan w:val="2"/>
            <w:tcBorders>
              <w:top w:val="single" w:sz="4" w:space="0" w:color="auto"/>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no rating</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High</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 xml:space="preserve">No rating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 </w:t>
            </w:r>
          </w:p>
        </w:tc>
      </w:tr>
      <w:tr w:rsidR="00FE67A7" w:rsidRPr="004C5060" w:rsidTr="00EE4F9B">
        <w:trPr>
          <w:gridAfter w:val="2"/>
          <w:wAfter w:w="90" w:type="dxa"/>
          <w:trHeight w:val="300"/>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DDEBF7"/>
            <w:vAlign w:val="bottom"/>
            <w:hideMark/>
          </w:tcPr>
          <w:p w:rsidR="00FE67A7" w:rsidRPr="004C5060" w:rsidRDefault="00FE67A7" w:rsidP="005E064E">
            <w:pPr>
              <w:spacing w:after="0" w:line="240" w:lineRule="auto"/>
              <w:rPr>
                <w:rFonts w:ascii="Times New Roman" w:eastAsia="Times New Roman" w:hAnsi="Times New Roman" w:cs="Times New Roman"/>
                <w:b/>
                <w:bCs/>
                <w:color w:val="000000"/>
                <w:sz w:val="18"/>
                <w:szCs w:val="18"/>
              </w:rPr>
            </w:pPr>
            <w:r w:rsidRPr="004C5060">
              <w:rPr>
                <w:rFonts w:ascii="Times New Roman" w:eastAsia="Times New Roman" w:hAnsi="Times New Roman" w:cs="Times New Roman"/>
                <w:b/>
                <w:bCs/>
                <w:color w:val="000000"/>
                <w:sz w:val="18"/>
                <w:szCs w:val="18"/>
              </w:rPr>
              <w:t xml:space="preserve">Political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No rating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r>
      <w:tr w:rsidR="00FE67A7" w:rsidRPr="004C5060" w:rsidTr="00EE4F9B">
        <w:trPr>
          <w:gridAfter w:val="2"/>
          <w:wAfter w:w="90" w:type="dxa"/>
          <w:trHeight w:val="305"/>
        </w:trPr>
        <w:tc>
          <w:tcPr>
            <w:tcW w:w="951" w:type="dxa"/>
            <w:vMerge/>
            <w:tcBorders>
              <w:top w:val="single" w:sz="4" w:space="0" w:color="auto"/>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DDEBF7"/>
            <w:vAlign w:val="bottom"/>
            <w:hideMark/>
          </w:tcPr>
          <w:p w:rsidR="00FE67A7" w:rsidRPr="004C5060" w:rsidRDefault="00FE67A7" w:rsidP="00FE67A7">
            <w:pPr>
              <w:spacing w:after="0" w:line="240" w:lineRule="auto"/>
              <w:rPr>
                <w:rFonts w:ascii="Times New Roman" w:eastAsia="Times New Roman" w:hAnsi="Times New Roman" w:cs="Times New Roman"/>
                <w:b/>
                <w:bCs/>
                <w:color w:val="000000"/>
                <w:sz w:val="18"/>
                <w:szCs w:val="18"/>
              </w:rPr>
            </w:pPr>
            <w:r w:rsidRPr="004C5060">
              <w:rPr>
                <w:rFonts w:ascii="Times New Roman" w:eastAsia="Times New Roman" w:hAnsi="Times New Roman" w:cs="Times New Roman"/>
                <w:b/>
                <w:bCs/>
                <w:color w:val="000000"/>
                <w:sz w:val="18"/>
                <w:szCs w:val="18"/>
              </w:rPr>
              <w:t xml:space="preserve">Env &amp; Economical Shock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r w:rsidRPr="004C5060">
              <w:rPr>
                <w:rFonts w:ascii="Times New Roman" w:eastAsia="Times New Roman" w:hAnsi="Times New Roman" w:cs="Times New Roman"/>
                <w:sz w:val="18"/>
                <w:szCs w:val="18"/>
              </w:rPr>
              <w:t xml:space="preserve"> rating</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Low</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No rating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trHeight w:val="195"/>
        </w:trPr>
        <w:tc>
          <w:tcPr>
            <w:tcW w:w="15751" w:type="dxa"/>
            <w:gridSpan w:val="20"/>
            <w:tcBorders>
              <w:top w:val="single" w:sz="4" w:space="0" w:color="auto"/>
              <w:left w:val="single" w:sz="4" w:space="0" w:color="auto"/>
              <w:bottom w:val="single" w:sz="4" w:space="0" w:color="auto"/>
              <w:right w:val="single" w:sz="4" w:space="0" w:color="000000"/>
            </w:tcBorders>
            <w:shd w:val="clear" w:color="000000" w:fill="D0CECE"/>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 </w:t>
            </w:r>
          </w:p>
        </w:tc>
      </w:tr>
      <w:tr w:rsidR="00FE67A7" w:rsidRPr="004C5060" w:rsidTr="00EE4F9B">
        <w:trPr>
          <w:gridAfter w:val="2"/>
          <w:wAfter w:w="90" w:type="dxa"/>
          <w:trHeight w:val="495"/>
        </w:trPr>
        <w:tc>
          <w:tcPr>
            <w:tcW w:w="9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67A7" w:rsidRPr="004C5060" w:rsidRDefault="00FE67A7" w:rsidP="005E064E">
            <w:pPr>
              <w:spacing w:after="0" w:line="240" w:lineRule="auto"/>
              <w:jc w:val="center"/>
              <w:rPr>
                <w:rFonts w:ascii="Times New Roman" w:eastAsia="Times New Roman" w:hAnsi="Times New Roman" w:cs="Times New Roman"/>
                <w:b/>
                <w:bCs/>
                <w:color w:val="000000"/>
              </w:rPr>
            </w:pPr>
            <w:r w:rsidRPr="004C5060">
              <w:rPr>
                <w:rFonts w:ascii="Times New Roman" w:eastAsia="Times New Roman" w:hAnsi="Times New Roman" w:cs="Times New Roman"/>
                <w:b/>
                <w:bCs/>
                <w:color w:val="000000"/>
              </w:rPr>
              <w:t>Gov &amp; Strategy</w:t>
            </w:r>
          </w:p>
        </w:tc>
        <w:tc>
          <w:tcPr>
            <w:tcW w:w="2379" w:type="dxa"/>
            <w:tcBorders>
              <w:top w:val="nil"/>
              <w:left w:val="nil"/>
              <w:bottom w:val="single" w:sz="4" w:space="0" w:color="auto"/>
              <w:right w:val="single" w:sz="4" w:space="0" w:color="auto"/>
            </w:tcBorders>
            <w:shd w:val="clear" w:color="000000" w:fill="E2EFDA"/>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Tension between states and federal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71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Risk of delay</w:t>
            </w:r>
            <w:r w:rsidRPr="004C5060">
              <w:rPr>
                <w:rFonts w:ascii="Times New Roman" w:eastAsia="Times New Roman" w:hAnsi="Times New Roman" w:cs="Times New Roman"/>
                <w:sz w:val="18"/>
                <w:szCs w:val="18"/>
              </w:rPr>
              <w:t xml:space="preserve"> in reaching political agreement, </w:t>
            </w:r>
            <w:r>
              <w:rPr>
                <w:rFonts w:ascii="Times New Roman" w:eastAsia="Times New Roman" w:hAnsi="Times New Roman" w:cs="Times New Roman"/>
                <w:sz w:val="18"/>
                <w:szCs w:val="18"/>
              </w:rPr>
              <w:t>and</w:t>
            </w:r>
            <w:r w:rsidRPr="004C5060">
              <w:rPr>
                <w:rFonts w:ascii="Times New Roman" w:eastAsia="Times New Roman" w:hAnsi="Times New Roman" w:cs="Times New Roman"/>
                <w:sz w:val="18"/>
                <w:szCs w:val="18"/>
              </w:rPr>
              <w:t xml:space="preserve"> drafting the legislations</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High</w:t>
            </w: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No rating</w:t>
            </w: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107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National Development plan may require adjustment at programme outcome level and relevance to the national strategic framework</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44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Institutions / systems not established</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48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Increase in internal political division</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high </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485"/>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Change of Ministers and senior staff at the Ministries</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71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E2EFDA"/>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Delay in establishing the system for fund flow to the regions/distri</w:t>
            </w:r>
            <w:r>
              <w:rPr>
                <w:rFonts w:ascii="Times New Roman" w:eastAsia="Times New Roman" w:hAnsi="Times New Roman" w:cs="Times New Roman"/>
                <w:sz w:val="18"/>
                <w:szCs w:val="18"/>
              </w:rPr>
              <w:t>ct</w:t>
            </w:r>
            <w:r w:rsidRPr="004C5060">
              <w:rPr>
                <w:rFonts w:ascii="Times New Roman" w:eastAsia="Times New Roman" w:hAnsi="Times New Roman" w:cs="Times New Roman"/>
                <w:sz w:val="18"/>
                <w:szCs w:val="18"/>
              </w:rPr>
              <w:t xml:space="preserve"> level</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b/>
                <w:bCs/>
                <w:i/>
                <w:iCs/>
                <w:sz w:val="18"/>
                <w:szCs w:val="18"/>
              </w:rPr>
            </w:pPr>
            <w:r w:rsidRPr="004C5060">
              <w:rPr>
                <w:rFonts w:ascii="Times New Roman" w:eastAsia="Times New Roman" w:hAnsi="Times New Roman" w:cs="Times New Roman"/>
                <w:b/>
                <w:bCs/>
                <w:i/>
                <w:iCs/>
                <w:sz w:val="18"/>
                <w:szCs w:val="18"/>
              </w:rPr>
              <w:t>high</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b/>
                <w:bCs/>
                <w:i/>
                <w:iCs/>
                <w:sz w:val="18"/>
                <w:szCs w:val="18"/>
              </w:rPr>
            </w:pPr>
            <w:r w:rsidRPr="004C5060">
              <w:rPr>
                <w:rFonts w:ascii="Times New Roman" w:eastAsia="Times New Roman" w:hAnsi="Times New Roman" w:cs="Times New Roman"/>
                <w:b/>
                <w:bCs/>
                <w:i/>
                <w:iCs/>
                <w:sz w:val="18"/>
                <w:szCs w:val="18"/>
              </w:rPr>
              <w:t>high</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trHeight w:val="195"/>
        </w:trPr>
        <w:tc>
          <w:tcPr>
            <w:tcW w:w="15751" w:type="dxa"/>
            <w:gridSpan w:val="20"/>
            <w:tcBorders>
              <w:top w:val="single" w:sz="4" w:space="0" w:color="auto"/>
              <w:left w:val="single" w:sz="4" w:space="0" w:color="auto"/>
              <w:bottom w:val="single" w:sz="4" w:space="0" w:color="auto"/>
              <w:right w:val="single" w:sz="4" w:space="0" w:color="000000"/>
            </w:tcBorders>
            <w:shd w:val="clear" w:color="000000" w:fill="D0CECE"/>
            <w:vAlign w:val="bottom"/>
            <w:hideMark/>
          </w:tcPr>
          <w:p w:rsidR="00FE67A7" w:rsidRPr="004C5060" w:rsidRDefault="00FE67A7" w:rsidP="005E064E">
            <w:pPr>
              <w:spacing w:after="0" w:line="240" w:lineRule="auto"/>
              <w:jc w:val="center"/>
              <w:rPr>
                <w:rFonts w:ascii="Times New Roman" w:eastAsia="Times New Roman" w:hAnsi="Times New Roman" w:cs="Times New Roman"/>
                <w:color w:val="000000"/>
                <w:sz w:val="18"/>
                <w:szCs w:val="18"/>
              </w:rPr>
            </w:pPr>
            <w:r w:rsidRPr="004C5060">
              <w:rPr>
                <w:rFonts w:ascii="Times New Roman" w:eastAsia="Times New Roman" w:hAnsi="Times New Roman" w:cs="Times New Roman"/>
                <w:color w:val="000000"/>
                <w:sz w:val="18"/>
                <w:szCs w:val="18"/>
              </w:rPr>
              <w:t> </w:t>
            </w:r>
          </w:p>
        </w:tc>
      </w:tr>
      <w:tr w:rsidR="00FE67A7" w:rsidRPr="004C5060" w:rsidTr="00EE4F9B">
        <w:trPr>
          <w:gridAfter w:val="2"/>
          <w:wAfter w:w="90" w:type="dxa"/>
          <w:trHeight w:val="735"/>
        </w:trPr>
        <w:tc>
          <w:tcPr>
            <w:tcW w:w="9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67A7" w:rsidRPr="004C5060" w:rsidRDefault="00FE67A7" w:rsidP="005E064E">
            <w:pPr>
              <w:spacing w:after="0" w:line="240" w:lineRule="auto"/>
              <w:jc w:val="center"/>
              <w:rPr>
                <w:rFonts w:ascii="Times New Roman" w:eastAsia="Times New Roman" w:hAnsi="Times New Roman" w:cs="Times New Roman"/>
                <w:b/>
                <w:bCs/>
                <w:color w:val="000000"/>
              </w:rPr>
            </w:pPr>
            <w:r w:rsidRPr="004C5060">
              <w:rPr>
                <w:rFonts w:ascii="Times New Roman" w:eastAsia="Times New Roman" w:hAnsi="Times New Roman" w:cs="Times New Roman"/>
                <w:b/>
                <w:bCs/>
                <w:color w:val="000000"/>
              </w:rPr>
              <w:t>Programme Implementation</w:t>
            </w: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Fraud and Corruption/ fiduciary risk</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548"/>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Lack of </w:t>
            </w:r>
            <w:r>
              <w:rPr>
                <w:rFonts w:ascii="Times New Roman" w:eastAsia="Times New Roman" w:hAnsi="Times New Roman" w:cs="Times New Roman"/>
                <w:sz w:val="18"/>
                <w:szCs w:val="18"/>
              </w:rPr>
              <w:t>c</w:t>
            </w:r>
            <w:r w:rsidRPr="004C5060">
              <w:rPr>
                <w:rFonts w:ascii="Times New Roman" w:eastAsia="Times New Roman" w:hAnsi="Times New Roman" w:cs="Times New Roman"/>
                <w:sz w:val="18"/>
                <w:szCs w:val="18"/>
              </w:rPr>
              <w:t>apacity of impl partners / high turnover</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Low</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4F9B">
        <w:trPr>
          <w:gridAfter w:val="2"/>
          <w:wAfter w:w="90" w:type="dxa"/>
          <w:trHeight w:val="495"/>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Delay in recruitment and procurement</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485"/>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Insufficient project funding / shortfall in RM /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44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Lack of qualified Human resources and consultants</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Medium</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98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Programmes fail in the long run to ensure that sustainable mechanisms and improved capacities are in place with the Government</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845"/>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Potential of exclusion of minority groups / Limited engagement with vulnerable groups</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80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Potential adverse on gender equality / risk of 30% women's quota (elections) may not be achieved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503"/>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Risk of delay in the project implementation</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rating</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62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Insufficient involvement / commitment of key stakeholders</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938"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95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3"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78" w:type="dxa"/>
            <w:gridSpan w:val="2"/>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center"/>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r w:rsidR="00FE67A7" w:rsidRPr="004C5060" w:rsidTr="00EE5369">
        <w:trPr>
          <w:gridAfter w:val="2"/>
          <w:wAfter w:w="90" w:type="dxa"/>
          <w:trHeight w:val="440"/>
        </w:trPr>
        <w:tc>
          <w:tcPr>
            <w:tcW w:w="951" w:type="dxa"/>
            <w:vMerge/>
            <w:tcBorders>
              <w:top w:val="nil"/>
              <w:left w:val="single" w:sz="4" w:space="0" w:color="auto"/>
              <w:bottom w:val="single" w:sz="4" w:space="0" w:color="000000"/>
              <w:right w:val="single" w:sz="4" w:space="0" w:color="auto"/>
            </w:tcBorders>
            <w:vAlign w:val="center"/>
            <w:hideMark/>
          </w:tcPr>
          <w:p w:rsidR="00FE67A7" w:rsidRPr="004C5060" w:rsidRDefault="00FE67A7" w:rsidP="005E064E">
            <w:pPr>
              <w:spacing w:after="0" w:line="240" w:lineRule="auto"/>
              <w:rPr>
                <w:rFonts w:ascii="Times New Roman" w:eastAsia="Times New Roman" w:hAnsi="Times New Roman" w:cs="Times New Roman"/>
                <w:b/>
                <w:bCs/>
                <w:color w:val="000000"/>
              </w:rPr>
            </w:pPr>
          </w:p>
        </w:tc>
        <w:tc>
          <w:tcPr>
            <w:tcW w:w="2379" w:type="dxa"/>
            <w:tcBorders>
              <w:top w:val="nil"/>
              <w:left w:val="nil"/>
              <w:bottom w:val="single" w:sz="4" w:space="0" w:color="auto"/>
              <w:right w:val="single" w:sz="4" w:space="0" w:color="auto"/>
            </w:tcBorders>
            <w:shd w:val="clear" w:color="000000" w:fill="FCE4D6"/>
            <w:vAlign w:val="bottom"/>
            <w:hideMark/>
          </w:tcPr>
          <w:p w:rsidR="00FE67A7" w:rsidRPr="004C5060" w:rsidRDefault="00FE67A7" w:rsidP="005E064E">
            <w:pPr>
              <w:spacing w:after="0" w:line="240" w:lineRule="auto"/>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xml:space="preserve">Risk of poor quality of project deliverables </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5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64"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38"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95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3"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Medium</w:t>
            </w:r>
          </w:p>
        </w:tc>
        <w:tc>
          <w:tcPr>
            <w:tcW w:w="1105"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No risk rating</w:t>
            </w:r>
          </w:p>
        </w:tc>
        <w:tc>
          <w:tcPr>
            <w:tcW w:w="978" w:type="dxa"/>
            <w:gridSpan w:val="2"/>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High</w:t>
            </w:r>
          </w:p>
        </w:tc>
        <w:tc>
          <w:tcPr>
            <w:tcW w:w="108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rsidR="00FE67A7" w:rsidRPr="004C5060" w:rsidRDefault="00FE67A7" w:rsidP="005E064E">
            <w:pPr>
              <w:spacing w:after="0" w:line="240" w:lineRule="auto"/>
              <w:jc w:val="center"/>
              <w:rPr>
                <w:rFonts w:ascii="Times New Roman" w:eastAsia="Times New Roman" w:hAnsi="Times New Roman" w:cs="Times New Roman"/>
                <w:sz w:val="18"/>
                <w:szCs w:val="18"/>
              </w:rPr>
            </w:pPr>
            <w:r w:rsidRPr="004C5060">
              <w:rPr>
                <w:rFonts w:ascii="Times New Roman" w:eastAsia="Times New Roman" w:hAnsi="Times New Roman" w:cs="Times New Roman"/>
                <w:sz w:val="18"/>
                <w:szCs w:val="18"/>
              </w:rPr>
              <w:t> </w:t>
            </w:r>
          </w:p>
        </w:tc>
      </w:tr>
    </w:tbl>
    <w:p w:rsidR="00FE67A7" w:rsidRDefault="00FE67A7" w:rsidP="00FE67A7">
      <w:pPr>
        <w:pStyle w:val="ListParagraph"/>
        <w:rPr>
          <w:color w:val="003E7E"/>
        </w:rPr>
      </w:pPr>
    </w:p>
    <w:p w:rsidR="0092552D" w:rsidRDefault="0092552D" w:rsidP="00FE67A7">
      <w:pPr>
        <w:pStyle w:val="ListParagraph"/>
        <w:rPr>
          <w:rFonts w:ascii="Times New Roman" w:hAnsi="Times New Roman" w:cs="Times New Roman"/>
          <w:b/>
          <w:i/>
          <w:color w:val="000000" w:themeColor="text1"/>
        </w:rPr>
        <w:sectPr w:rsidR="0092552D" w:rsidSect="00EE4F9B">
          <w:pgSz w:w="16839" w:h="11907" w:orient="landscape" w:code="9"/>
          <w:pgMar w:top="720" w:right="720" w:bottom="720" w:left="720" w:header="720" w:footer="120" w:gutter="0"/>
          <w:cols w:space="720"/>
          <w:noEndnote/>
          <w:docGrid w:linePitch="299"/>
        </w:sectPr>
      </w:pPr>
    </w:p>
    <w:p w:rsidR="00272D91" w:rsidRDefault="00272D91" w:rsidP="00FE67A7">
      <w:pPr>
        <w:pStyle w:val="ListParagraph"/>
        <w:rPr>
          <w:rFonts w:ascii="Times New Roman" w:hAnsi="Times New Roman" w:cs="Times New Roman"/>
          <w:b/>
          <w:i/>
          <w:color w:val="000000" w:themeColor="text1"/>
        </w:rPr>
      </w:pPr>
      <w:r w:rsidRPr="00272D91">
        <w:rPr>
          <w:rFonts w:ascii="Times New Roman" w:hAnsi="Times New Roman" w:cs="Times New Roman"/>
          <w:b/>
          <w:i/>
          <w:color w:val="000000" w:themeColor="text1"/>
        </w:rPr>
        <w:lastRenderedPageBreak/>
        <w:t>Risk rating</w:t>
      </w:r>
    </w:p>
    <w:p w:rsidR="00272D91" w:rsidRPr="00272D91" w:rsidRDefault="00272D91" w:rsidP="00FE67A7">
      <w:pPr>
        <w:pStyle w:val="ListParagraph"/>
        <w:rPr>
          <w:rFonts w:ascii="Times New Roman" w:hAnsi="Times New Roman" w:cs="Times New Roman"/>
          <w:b/>
          <w:i/>
          <w:color w:val="000000" w:themeColor="text1"/>
        </w:rPr>
      </w:pPr>
    </w:p>
    <w:p w:rsidR="000243F8" w:rsidRPr="003B7EFF" w:rsidRDefault="00FE67A7" w:rsidP="00FE67A7">
      <w:pPr>
        <w:pStyle w:val="ListParagraph"/>
        <w:rPr>
          <w:rFonts w:ascii="Times New Roman" w:hAnsi="Times New Roman" w:cs="Times New Roman"/>
          <w:color w:val="000000" w:themeColor="text1"/>
        </w:rPr>
      </w:pPr>
      <w:r w:rsidRPr="003B7EFF">
        <w:rPr>
          <w:rFonts w:ascii="Times New Roman" w:hAnsi="Times New Roman" w:cs="Times New Roman"/>
          <w:color w:val="000000" w:themeColor="text1"/>
        </w:rPr>
        <w:t xml:space="preserve">The above matrix indicates the most common risks across programmes/projects. It does also include risks that even though that have been </w:t>
      </w:r>
      <w:r w:rsidR="009C5FA3" w:rsidRPr="003B7EFF">
        <w:rPr>
          <w:rFonts w:ascii="Times New Roman" w:hAnsi="Times New Roman" w:cs="Times New Roman"/>
          <w:color w:val="000000" w:themeColor="text1"/>
        </w:rPr>
        <w:t>analyzed</w:t>
      </w:r>
      <w:r w:rsidRPr="003B7EFF">
        <w:rPr>
          <w:rFonts w:ascii="Times New Roman" w:hAnsi="Times New Roman" w:cs="Times New Roman"/>
          <w:color w:val="000000" w:themeColor="text1"/>
        </w:rPr>
        <w:t xml:space="preserve"> by a limited number of programmes, they </w:t>
      </w:r>
      <w:r w:rsidR="000243F8" w:rsidRPr="003B7EFF">
        <w:rPr>
          <w:rFonts w:ascii="Times New Roman" w:hAnsi="Times New Roman" w:cs="Times New Roman"/>
          <w:color w:val="000000" w:themeColor="text1"/>
        </w:rPr>
        <w:t>are relevant across programmes. Here are some examples:</w:t>
      </w:r>
    </w:p>
    <w:p w:rsidR="000243F8" w:rsidRPr="003B7EFF" w:rsidRDefault="000243F8" w:rsidP="00FE67A7">
      <w:pPr>
        <w:pStyle w:val="ListParagraph"/>
        <w:rPr>
          <w:rFonts w:ascii="Times New Roman" w:hAnsi="Times New Roman" w:cs="Times New Roman"/>
          <w:color w:val="000000" w:themeColor="text1"/>
        </w:rPr>
      </w:pPr>
    </w:p>
    <w:p w:rsidR="00FE67A7" w:rsidRPr="003B7EFF" w:rsidRDefault="00EC264D" w:rsidP="00FE67A7">
      <w:pPr>
        <w:pStyle w:val="ListParagraph"/>
        <w:rPr>
          <w:rFonts w:ascii="Times New Roman" w:hAnsi="Times New Roman" w:cs="Times New Roman"/>
          <w:color w:val="000000" w:themeColor="text1"/>
        </w:rPr>
      </w:pPr>
      <w:r w:rsidRPr="003B7EFF">
        <w:rPr>
          <w:rFonts w:ascii="Times New Roman" w:hAnsi="Times New Roman" w:cs="Times New Roman"/>
          <w:b/>
          <w:i/>
          <w:color w:val="000000" w:themeColor="text1"/>
        </w:rPr>
        <w:t>‘lack’ of capacity of implementing partners’</w:t>
      </w:r>
      <w:r w:rsidRPr="003B7EFF">
        <w:rPr>
          <w:rFonts w:ascii="Times New Roman" w:hAnsi="Times New Roman" w:cs="Times New Roman"/>
          <w:color w:val="000000" w:themeColor="text1"/>
        </w:rPr>
        <w:t xml:space="preserve"> rated or treated by most of the projects 9 out of 12, still, based on the capacity assessment conducted by different agencies in compliance with the Harmonized Approach on Cash Transfer</w:t>
      </w:r>
      <w:r w:rsidR="009C5FA3">
        <w:rPr>
          <w:rFonts w:ascii="Times New Roman" w:hAnsi="Times New Roman" w:cs="Times New Roman"/>
          <w:color w:val="000000" w:themeColor="text1"/>
        </w:rPr>
        <w:t xml:space="preserve"> or other assessment tools. T</w:t>
      </w:r>
      <w:r w:rsidRPr="003B7EFF">
        <w:rPr>
          <w:rFonts w:ascii="Times New Roman" w:hAnsi="Times New Roman" w:cs="Times New Roman"/>
          <w:color w:val="000000" w:themeColor="text1"/>
        </w:rPr>
        <w:t xml:space="preserve">he most of the institutions have been rated as ‘High’ or significant risk. In response, additional mitigation measures have been put in place when doing business with these implementing partners as part of the engagement plan. </w:t>
      </w:r>
      <w:r w:rsidR="009C5FA3">
        <w:rPr>
          <w:rFonts w:ascii="Times New Roman" w:hAnsi="Times New Roman" w:cs="Times New Roman"/>
          <w:color w:val="000000" w:themeColor="text1"/>
        </w:rPr>
        <w:t xml:space="preserve">Whilst discussing with different UN agencies participating in the JP, the apply different assessment tools of their implementing/responsible parties. Several UN agencies – such as WFP, UNICEF, OCHA and UNFPA operate only with low-medium risk partners, while UNDP does apply HACT assessment even when low monetary value agreements are signed (such as micro-capital grants). In the case of ‘high’ risk partner, different cash transfer modalities are put in place to minimize the financial risk. </w:t>
      </w:r>
    </w:p>
    <w:p w:rsidR="00EC264D" w:rsidRPr="003B7EFF" w:rsidRDefault="00EC264D" w:rsidP="00FE67A7">
      <w:pPr>
        <w:pStyle w:val="ListParagraph"/>
        <w:rPr>
          <w:rFonts w:ascii="Times New Roman" w:hAnsi="Times New Roman" w:cs="Times New Roman"/>
          <w:color w:val="000000" w:themeColor="text1"/>
        </w:rPr>
      </w:pPr>
    </w:p>
    <w:p w:rsidR="00EC264D" w:rsidRPr="003B7EFF" w:rsidRDefault="00EC264D" w:rsidP="00FE67A7">
      <w:pPr>
        <w:pStyle w:val="ListParagraph"/>
        <w:rPr>
          <w:rFonts w:ascii="Times New Roman" w:hAnsi="Times New Roman" w:cs="Times New Roman"/>
          <w:color w:val="000000" w:themeColor="text1"/>
        </w:rPr>
      </w:pPr>
      <w:r w:rsidRPr="003B7EFF">
        <w:rPr>
          <w:rFonts w:ascii="Times New Roman" w:hAnsi="Times New Roman" w:cs="Times New Roman"/>
          <w:color w:val="000000" w:themeColor="text1"/>
        </w:rPr>
        <w:t xml:space="preserve">There are also risks such as </w:t>
      </w:r>
      <w:r w:rsidR="000243F8" w:rsidRPr="003B7EFF">
        <w:rPr>
          <w:rFonts w:ascii="Times New Roman" w:hAnsi="Times New Roman" w:cs="Times New Roman"/>
          <w:b/>
          <w:i/>
          <w:color w:val="000000" w:themeColor="text1"/>
        </w:rPr>
        <w:t>'</w:t>
      </w:r>
      <w:r w:rsidRPr="003B7EFF">
        <w:rPr>
          <w:rFonts w:ascii="Times New Roman" w:hAnsi="Times New Roman" w:cs="Times New Roman"/>
          <w:b/>
          <w:i/>
          <w:color w:val="000000" w:themeColor="text1"/>
        </w:rPr>
        <w:t xml:space="preserve"> identified by three programmes</w:t>
      </w:r>
      <w:r w:rsidR="000243F8" w:rsidRPr="003B7EFF">
        <w:rPr>
          <w:rFonts w:ascii="Times New Roman" w:hAnsi="Times New Roman" w:cs="Times New Roman"/>
          <w:b/>
          <w:i/>
          <w:color w:val="000000" w:themeColor="text1"/>
        </w:rPr>
        <w:t>’</w:t>
      </w:r>
      <w:r w:rsidRPr="003B7EFF">
        <w:rPr>
          <w:rFonts w:ascii="Times New Roman" w:hAnsi="Times New Roman" w:cs="Times New Roman"/>
          <w:color w:val="000000" w:themeColor="text1"/>
        </w:rPr>
        <w:t xml:space="preserve"> only with rating. In a fragile environment such as Somalia, low quality of deliverables still remains a risk across programmes. </w:t>
      </w:r>
    </w:p>
    <w:p w:rsidR="00EC264D" w:rsidRPr="003B7EFF" w:rsidRDefault="00EC264D" w:rsidP="00FE67A7">
      <w:pPr>
        <w:pStyle w:val="ListParagraph"/>
        <w:rPr>
          <w:rFonts w:ascii="Times New Roman" w:hAnsi="Times New Roman" w:cs="Times New Roman"/>
          <w:color w:val="000000" w:themeColor="text1"/>
        </w:rPr>
      </w:pPr>
    </w:p>
    <w:p w:rsidR="00EC264D" w:rsidRPr="003B7EFF" w:rsidRDefault="00EC264D" w:rsidP="00FE67A7">
      <w:pPr>
        <w:pStyle w:val="ListParagraph"/>
        <w:rPr>
          <w:rFonts w:ascii="Times New Roman" w:hAnsi="Times New Roman" w:cs="Times New Roman"/>
          <w:color w:val="000000" w:themeColor="text1"/>
        </w:rPr>
      </w:pPr>
      <w:r w:rsidRPr="003B7EFF">
        <w:rPr>
          <w:rFonts w:ascii="Times New Roman" w:hAnsi="Times New Roman" w:cs="Times New Roman"/>
          <w:b/>
          <w:i/>
          <w:color w:val="000000" w:themeColor="text1"/>
        </w:rPr>
        <w:t xml:space="preserve">‘Insuficient programme funding’/’funding shortfall’ </w:t>
      </w:r>
      <w:r w:rsidRPr="003B7EFF">
        <w:rPr>
          <w:rFonts w:ascii="Times New Roman" w:hAnsi="Times New Roman" w:cs="Times New Roman"/>
          <w:color w:val="000000" w:themeColor="text1"/>
        </w:rPr>
        <w:t xml:space="preserve">- only three programmes have analyzed this risk at the design stage; From the consultations with the programme managers, this issue remains a risk for most of the programmes for the following reasons: </w:t>
      </w:r>
    </w:p>
    <w:p w:rsidR="00564C19" w:rsidRPr="003B7EFF" w:rsidRDefault="00EC264D" w:rsidP="00A96816">
      <w:pPr>
        <w:pStyle w:val="ListParagraph"/>
        <w:numPr>
          <w:ilvl w:val="1"/>
          <w:numId w:val="6"/>
        </w:numPr>
        <w:rPr>
          <w:rFonts w:ascii="Times New Roman" w:hAnsi="Times New Roman" w:cs="Times New Roman"/>
          <w:color w:val="000000" w:themeColor="text1"/>
        </w:rPr>
      </w:pPr>
      <w:r w:rsidRPr="003B7EFF">
        <w:rPr>
          <w:rFonts w:ascii="Times New Roman" w:hAnsi="Times New Roman" w:cs="Times New Roman"/>
          <w:color w:val="000000" w:themeColor="text1"/>
        </w:rPr>
        <w:t>The programs have not been able to mobilize</w:t>
      </w:r>
      <w:r w:rsidR="00564C19" w:rsidRPr="003B7EFF">
        <w:rPr>
          <w:rFonts w:ascii="Times New Roman" w:hAnsi="Times New Roman" w:cs="Times New Roman"/>
          <w:color w:val="000000" w:themeColor="text1"/>
        </w:rPr>
        <w:t xml:space="preserve"> the required financial resources indicated</w:t>
      </w:r>
      <w:r w:rsidRPr="003B7EFF">
        <w:rPr>
          <w:rFonts w:ascii="Times New Roman" w:hAnsi="Times New Roman" w:cs="Times New Roman"/>
          <w:color w:val="000000" w:themeColor="text1"/>
        </w:rPr>
        <w:t xml:space="preserve"> in the programme documents</w:t>
      </w:r>
      <w:r w:rsidR="00564C19" w:rsidRPr="003B7EFF">
        <w:rPr>
          <w:rFonts w:ascii="Times New Roman" w:hAnsi="Times New Roman" w:cs="Times New Roman"/>
          <w:color w:val="000000" w:themeColor="text1"/>
        </w:rPr>
        <w:t xml:space="preserve"> required to delivered the programme results;</w:t>
      </w:r>
    </w:p>
    <w:p w:rsidR="000243F8" w:rsidRPr="003B7EFF" w:rsidRDefault="00564C19" w:rsidP="00A96816">
      <w:pPr>
        <w:pStyle w:val="ListParagraph"/>
        <w:numPr>
          <w:ilvl w:val="1"/>
          <w:numId w:val="6"/>
        </w:numPr>
        <w:rPr>
          <w:rFonts w:ascii="Times New Roman" w:hAnsi="Times New Roman" w:cs="Times New Roman"/>
          <w:color w:val="000000" w:themeColor="text1"/>
        </w:rPr>
      </w:pPr>
      <w:r w:rsidRPr="003B7EFF">
        <w:rPr>
          <w:rFonts w:ascii="Times New Roman" w:hAnsi="Times New Roman" w:cs="Times New Roman"/>
          <w:color w:val="000000" w:themeColor="text1"/>
        </w:rPr>
        <w:t xml:space="preserve">With different participating UN agencies in a joint programme the speed of delivery is </w:t>
      </w:r>
      <w:r w:rsidR="000243F8" w:rsidRPr="003B7EFF">
        <w:rPr>
          <w:rFonts w:ascii="Times New Roman" w:hAnsi="Times New Roman" w:cs="Times New Roman"/>
          <w:color w:val="000000" w:themeColor="text1"/>
        </w:rPr>
        <w:t>different, however, till the 70-80 % of the previous tranche (aggregated) is disbursed/committed, the agency faster in spending the funds is ‘penalized’ and may not be able to implement programme activities undil the threshold of delivery has been met;</w:t>
      </w:r>
    </w:p>
    <w:p w:rsidR="00EC264D" w:rsidRPr="003B7EFF" w:rsidRDefault="00EC264D" w:rsidP="00A96816">
      <w:pPr>
        <w:pStyle w:val="ListParagraph"/>
        <w:numPr>
          <w:ilvl w:val="1"/>
          <w:numId w:val="6"/>
        </w:numPr>
        <w:rPr>
          <w:rFonts w:ascii="Times New Roman" w:hAnsi="Times New Roman" w:cs="Times New Roman"/>
          <w:color w:val="000000" w:themeColor="text1"/>
        </w:rPr>
      </w:pPr>
      <w:r w:rsidRPr="003B7EFF">
        <w:rPr>
          <w:rFonts w:ascii="Times New Roman" w:hAnsi="Times New Roman" w:cs="Times New Roman"/>
          <w:color w:val="000000" w:themeColor="text1"/>
        </w:rPr>
        <w:t>there have been cases when donors have changed the funding schedule</w:t>
      </w:r>
      <w:r w:rsidR="000243F8" w:rsidRPr="003B7EFF">
        <w:rPr>
          <w:rFonts w:ascii="Times New Roman" w:hAnsi="Times New Roman" w:cs="Times New Roman"/>
          <w:color w:val="000000" w:themeColor="text1"/>
        </w:rPr>
        <w:t xml:space="preserve">, therefore contribution has been delayed and it has delayed programme implementation. </w:t>
      </w:r>
    </w:p>
    <w:p w:rsidR="00FE67A7" w:rsidRPr="003B7EFF" w:rsidRDefault="00FE67A7" w:rsidP="000243F8">
      <w:pPr>
        <w:pStyle w:val="ListParagraph"/>
        <w:rPr>
          <w:rFonts w:ascii="Times New Roman" w:hAnsi="Times New Roman" w:cs="Times New Roman"/>
          <w:color w:val="000000" w:themeColor="text1"/>
        </w:rPr>
      </w:pPr>
    </w:p>
    <w:p w:rsidR="00D000E4" w:rsidRPr="00272D91" w:rsidRDefault="004409BE" w:rsidP="00FE67A7">
      <w:pPr>
        <w:pStyle w:val="ListParagraph"/>
        <w:rPr>
          <w:rFonts w:ascii="Times New Roman" w:hAnsi="Times New Roman" w:cs="Times New Roman"/>
          <w:b/>
          <w:i/>
          <w:color w:val="000000" w:themeColor="text1"/>
        </w:rPr>
      </w:pPr>
      <w:r>
        <w:rPr>
          <w:rFonts w:ascii="Times New Roman" w:hAnsi="Times New Roman" w:cs="Times New Roman"/>
          <w:b/>
          <w:i/>
          <w:color w:val="000000" w:themeColor="text1"/>
        </w:rPr>
        <w:t>Risk treatment</w:t>
      </w:r>
      <w:r w:rsidR="009A08B0">
        <w:rPr>
          <w:rFonts w:ascii="Times New Roman" w:hAnsi="Times New Roman" w:cs="Times New Roman"/>
          <w:b/>
          <w:i/>
          <w:color w:val="000000" w:themeColor="text1"/>
        </w:rPr>
        <w:t xml:space="preserve"> </w:t>
      </w:r>
      <w:r>
        <w:rPr>
          <w:rFonts w:ascii="Times New Roman" w:hAnsi="Times New Roman" w:cs="Times New Roman"/>
          <w:b/>
          <w:i/>
          <w:color w:val="000000" w:themeColor="text1"/>
        </w:rPr>
        <w:t>across risk categories</w:t>
      </w:r>
    </w:p>
    <w:p w:rsidR="000243F8" w:rsidRPr="003B7EFF" w:rsidRDefault="000243F8" w:rsidP="00FE67A7">
      <w:pPr>
        <w:pStyle w:val="ListParagraph"/>
        <w:rPr>
          <w:rFonts w:ascii="Times New Roman" w:hAnsi="Times New Roman" w:cs="Times New Roman"/>
          <w:color w:val="000000" w:themeColor="text1"/>
        </w:rPr>
      </w:pPr>
    </w:p>
    <w:p w:rsidR="008E3106" w:rsidRDefault="003B7EFF" w:rsidP="00FE67A7">
      <w:pPr>
        <w:pStyle w:val="ListParagraph"/>
        <w:rPr>
          <w:rFonts w:ascii="Times New Roman" w:hAnsi="Times New Roman" w:cs="Times New Roman"/>
          <w:color w:val="000000" w:themeColor="text1"/>
        </w:rPr>
      </w:pPr>
      <w:r>
        <w:rPr>
          <w:rFonts w:ascii="Times New Roman" w:hAnsi="Times New Roman" w:cs="Times New Roman"/>
          <w:color w:val="000000" w:themeColor="text1"/>
        </w:rPr>
        <w:t>In response to the identified risk, each programme has elaborated the mitigation measures on the basis of pr</w:t>
      </w:r>
      <w:r w:rsidR="00560BC0">
        <w:rPr>
          <w:rFonts w:ascii="Times New Roman" w:hAnsi="Times New Roman" w:cs="Times New Roman"/>
          <w:color w:val="000000" w:themeColor="text1"/>
        </w:rPr>
        <w:t xml:space="preserve">ogrammes are being implemented </w:t>
      </w:r>
      <w:r>
        <w:rPr>
          <w:rFonts w:ascii="Times New Roman" w:hAnsi="Times New Roman" w:cs="Times New Roman"/>
          <w:color w:val="000000" w:themeColor="text1"/>
        </w:rPr>
        <w:t xml:space="preserve">under PSG 1-5. </w:t>
      </w:r>
      <w:r w:rsidR="009C5FA3">
        <w:rPr>
          <w:rFonts w:ascii="Times New Roman" w:hAnsi="Times New Roman" w:cs="Times New Roman"/>
          <w:color w:val="000000" w:themeColor="text1"/>
        </w:rPr>
        <w:t>S</w:t>
      </w:r>
      <w:r w:rsidR="008E3106">
        <w:rPr>
          <w:rFonts w:ascii="Times New Roman" w:hAnsi="Times New Roman" w:cs="Times New Roman"/>
          <w:color w:val="000000" w:themeColor="text1"/>
        </w:rPr>
        <w:t xml:space="preserve">ome risks such as ‘security impact’ may require </w:t>
      </w:r>
      <w:r w:rsidR="009A08B0">
        <w:rPr>
          <w:rFonts w:ascii="Times New Roman" w:hAnsi="Times New Roman" w:cs="Times New Roman"/>
          <w:color w:val="000000" w:themeColor="text1"/>
        </w:rPr>
        <w:t>similar</w:t>
      </w:r>
      <w:r w:rsidR="008E3106">
        <w:rPr>
          <w:rFonts w:ascii="Times New Roman" w:hAnsi="Times New Roman" w:cs="Times New Roman"/>
          <w:color w:val="000000" w:themeColor="text1"/>
        </w:rPr>
        <w:t xml:space="preserve"> mitigation measures </w:t>
      </w:r>
      <w:r w:rsidR="009A08B0">
        <w:rPr>
          <w:rFonts w:ascii="Times New Roman" w:hAnsi="Times New Roman" w:cs="Times New Roman"/>
          <w:color w:val="000000" w:themeColor="text1"/>
        </w:rPr>
        <w:t xml:space="preserve">in coordination with UNDSS, UN Country team, government and programme team. </w:t>
      </w:r>
      <w:r w:rsidR="008E3106">
        <w:rPr>
          <w:rFonts w:ascii="Times New Roman" w:hAnsi="Times New Roman" w:cs="Times New Roman"/>
          <w:color w:val="000000" w:themeColor="text1"/>
        </w:rPr>
        <w:t xml:space="preserve">By comparing the risks and mitigation measures in a master table will allow the programmes to track the best </w:t>
      </w:r>
      <w:r w:rsidR="009A08B0">
        <w:rPr>
          <w:rFonts w:ascii="Times New Roman" w:hAnsi="Times New Roman" w:cs="Times New Roman"/>
          <w:color w:val="000000" w:themeColor="text1"/>
        </w:rPr>
        <w:t>treatment</w:t>
      </w:r>
      <w:r w:rsidR="008E3106">
        <w:rPr>
          <w:rFonts w:ascii="Times New Roman" w:hAnsi="Times New Roman" w:cs="Times New Roman"/>
          <w:color w:val="000000" w:themeColor="text1"/>
        </w:rPr>
        <w:t xml:space="preserve"> applicable to the specific programme when exposed to the same risks (</w:t>
      </w:r>
      <w:r w:rsidR="009A08B0">
        <w:rPr>
          <w:rFonts w:ascii="Times New Roman" w:hAnsi="Times New Roman" w:cs="Times New Roman"/>
          <w:color w:val="000000" w:themeColor="text1"/>
        </w:rPr>
        <w:t xml:space="preserve">developing the </w:t>
      </w:r>
      <w:r w:rsidR="008E3106">
        <w:rPr>
          <w:rFonts w:ascii="Times New Roman" w:hAnsi="Times New Roman" w:cs="Times New Roman"/>
          <w:color w:val="000000" w:themeColor="text1"/>
        </w:rPr>
        <w:t xml:space="preserve">best practice) </w:t>
      </w:r>
    </w:p>
    <w:p w:rsidR="008E3106" w:rsidRDefault="008E3106" w:rsidP="00FE67A7">
      <w:pPr>
        <w:pStyle w:val="ListParagraph"/>
        <w:rPr>
          <w:rFonts w:ascii="Times New Roman" w:hAnsi="Times New Roman" w:cs="Times New Roman"/>
          <w:color w:val="000000" w:themeColor="text1"/>
        </w:rPr>
      </w:pPr>
    </w:p>
    <w:p w:rsidR="000243F8" w:rsidRDefault="008E3106" w:rsidP="00FE67A7">
      <w:pPr>
        <w:pStyle w:val="ListParagraph"/>
        <w:rPr>
          <w:rFonts w:ascii="Times New Roman" w:hAnsi="Times New Roman" w:cs="Times New Roman"/>
          <w:color w:val="000000" w:themeColor="text1"/>
        </w:rPr>
      </w:pPr>
      <w:r>
        <w:rPr>
          <w:rFonts w:ascii="Times New Roman" w:hAnsi="Times New Roman" w:cs="Times New Roman"/>
          <w:color w:val="000000" w:themeColor="text1"/>
        </w:rPr>
        <w:t>With regard to the ‘fiduciary, risk of fraud, misuse of funds, etc’ each programme sets a number of mitigation measures and oversight mechanisms in order to mitigate the risk. T</w:t>
      </w:r>
      <w:r w:rsidR="009C5FA3">
        <w:rPr>
          <w:rFonts w:ascii="Times New Roman" w:hAnsi="Times New Roman" w:cs="Times New Roman"/>
          <w:color w:val="000000" w:themeColor="text1"/>
        </w:rPr>
        <w:t>his risk is very much driven by</w:t>
      </w:r>
      <w:r>
        <w:rPr>
          <w:rFonts w:ascii="Times New Roman" w:hAnsi="Times New Roman" w:cs="Times New Roman"/>
          <w:color w:val="000000" w:themeColor="text1"/>
        </w:rPr>
        <w:t xml:space="preserve"> </w:t>
      </w:r>
      <w:r w:rsidR="009C5FA3">
        <w:rPr>
          <w:rFonts w:ascii="Times New Roman" w:hAnsi="Times New Roman" w:cs="Times New Roman"/>
          <w:color w:val="000000" w:themeColor="text1"/>
        </w:rPr>
        <w:t xml:space="preserve">(a) </w:t>
      </w:r>
      <w:r>
        <w:rPr>
          <w:rFonts w:ascii="Times New Roman" w:hAnsi="Times New Roman" w:cs="Times New Roman"/>
          <w:color w:val="000000" w:themeColor="text1"/>
        </w:rPr>
        <w:t>low capacity of implementing partners</w:t>
      </w:r>
      <w:r w:rsidR="009C5FA3">
        <w:rPr>
          <w:rFonts w:ascii="Times New Roman" w:hAnsi="Times New Roman" w:cs="Times New Roman"/>
          <w:color w:val="000000" w:themeColor="text1"/>
        </w:rPr>
        <w:t>, (b)</w:t>
      </w:r>
      <w:r>
        <w:rPr>
          <w:rFonts w:ascii="Times New Roman" w:hAnsi="Times New Roman" w:cs="Times New Roman"/>
          <w:color w:val="000000" w:themeColor="text1"/>
        </w:rPr>
        <w:t xml:space="preserve"> lack of internal</w:t>
      </w:r>
      <w:r w:rsidR="00272D91">
        <w:rPr>
          <w:rFonts w:ascii="Times New Roman" w:hAnsi="Times New Roman" w:cs="Times New Roman"/>
          <w:color w:val="000000" w:themeColor="text1"/>
        </w:rPr>
        <w:t xml:space="preserve"> audits and controls of</w:t>
      </w:r>
      <w:r>
        <w:rPr>
          <w:rFonts w:ascii="Times New Roman" w:hAnsi="Times New Roman" w:cs="Times New Roman"/>
          <w:color w:val="000000" w:themeColor="text1"/>
        </w:rPr>
        <w:t xml:space="preserve"> the g</w:t>
      </w:r>
      <w:r w:rsidR="00272D91">
        <w:rPr>
          <w:rFonts w:ascii="Times New Roman" w:hAnsi="Times New Roman" w:cs="Times New Roman"/>
          <w:color w:val="000000" w:themeColor="text1"/>
        </w:rPr>
        <w:t>overnment institutions. This risk is addressed at the programme level but at the implementing partner level too by strengthening the control mechanisms and supporting the capacity development of partners (government/civil society/private sector) engaged in the project implementation. In the cases when the risk</w:t>
      </w:r>
      <w:r w:rsidR="009C5FA3">
        <w:rPr>
          <w:rFonts w:ascii="Times New Roman" w:hAnsi="Times New Roman" w:cs="Times New Roman"/>
          <w:color w:val="000000" w:themeColor="text1"/>
        </w:rPr>
        <w:t>s</w:t>
      </w:r>
      <w:r w:rsidR="00272D91">
        <w:rPr>
          <w:rFonts w:ascii="Times New Roman" w:hAnsi="Times New Roman" w:cs="Times New Roman"/>
          <w:color w:val="000000" w:themeColor="text1"/>
        </w:rPr>
        <w:t xml:space="preserve"> identified </w:t>
      </w:r>
      <w:r w:rsidR="009C5FA3">
        <w:rPr>
          <w:rFonts w:ascii="Times New Roman" w:hAnsi="Times New Roman" w:cs="Times New Roman"/>
          <w:color w:val="000000" w:themeColor="text1"/>
        </w:rPr>
        <w:t xml:space="preserve"> at </w:t>
      </w:r>
      <w:r w:rsidR="00272D91">
        <w:rPr>
          <w:rFonts w:ascii="Times New Roman" w:hAnsi="Times New Roman" w:cs="Times New Roman"/>
          <w:color w:val="000000" w:themeColor="text1"/>
        </w:rPr>
        <w:t>the</w:t>
      </w:r>
      <w:r w:rsidR="009C5FA3">
        <w:rPr>
          <w:rFonts w:ascii="Times New Roman" w:hAnsi="Times New Roman" w:cs="Times New Roman"/>
          <w:color w:val="000000" w:themeColor="text1"/>
        </w:rPr>
        <w:t xml:space="preserve"> partner’s</w:t>
      </w:r>
      <w:r w:rsidR="00272D91">
        <w:rPr>
          <w:rFonts w:ascii="Times New Roman" w:hAnsi="Times New Roman" w:cs="Times New Roman"/>
          <w:color w:val="000000" w:themeColor="text1"/>
        </w:rPr>
        <w:t xml:space="preserve"> micro-assessment</w:t>
      </w:r>
      <w:r w:rsidR="009A08B0">
        <w:rPr>
          <w:rFonts w:ascii="Times New Roman" w:hAnsi="Times New Roman" w:cs="Times New Roman"/>
          <w:color w:val="000000" w:themeColor="text1"/>
        </w:rPr>
        <w:t xml:space="preserve"> </w:t>
      </w:r>
      <w:r w:rsidR="009C5FA3">
        <w:rPr>
          <w:rFonts w:ascii="Times New Roman" w:hAnsi="Times New Roman" w:cs="Times New Roman"/>
          <w:color w:val="000000" w:themeColor="text1"/>
        </w:rPr>
        <w:t>are</w:t>
      </w:r>
      <w:r w:rsidR="00272D91">
        <w:rPr>
          <w:rFonts w:ascii="Times New Roman" w:hAnsi="Times New Roman" w:cs="Times New Roman"/>
          <w:color w:val="000000" w:themeColor="text1"/>
        </w:rPr>
        <w:t xml:space="preserve"> high/significant, in order to safeguard the resources, </w:t>
      </w:r>
      <w:r w:rsidR="004409BE">
        <w:rPr>
          <w:rFonts w:ascii="Times New Roman" w:hAnsi="Times New Roman" w:cs="Times New Roman"/>
          <w:color w:val="000000" w:themeColor="text1"/>
        </w:rPr>
        <w:t xml:space="preserve">the agencies apply a wide magnitude of mitigation measures to safeguard the financial resources and reach the desired results, i.e. </w:t>
      </w:r>
      <w:r w:rsidR="00272D91">
        <w:rPr>
          <w:rFonts w:ascii="Times New Roman" w:hAnsi="Times New Roman" w:cs="Times New Roman"/>
          <w:color w:val="000000" w:themeColor="text1"/>
        </w:rPr>
        <w:t xml:space="preserve">small amount of funds is advanced or provided to the government entity/NGO mainly for small </w:t>
      </w:r>
      <w:r w:rsidR="004409BE">
        <w:rPr>
          <w:rFonts w:ascii="Times New Roman" w:hAnsi="Times New Roman" w:cs="Times New Roman"/>
          <w:color w:val="000000" w:themeColor="text1"/>
        </w:rPr>
        <w:t>scale activities and develop as part of partner risk mitigation</w:t>
      </w:r>
      <w:r w:rsidR="00272D91">
        <w:rPr>
          <w:rFonts w:ascii="Times New Roman" w:hAnsi="Times New Roman" w:cs="Times New Roman"/>
          <w:color w:val="000000" w:themeColor="text1"/>
        </w:rPr>
        <w:t xml:space="preserve"> </w:t>
      </w:r>
      <w:r w:rsidR="004409BE">
        <w:rPr>
          <w:rFonts w:ascii="Times New Roman" w:hAnsi="Times New Roman" w:cs="Times New Roman"/>
          <w:color w:val="000000" w:themeColor="text1"/>
        </w:rPr>
        <w:t>capacity development activities and intensified monitoring spot-check and quality assurance activities</w:t>
      </w:r>
      <w:r w:rsidR="00272D91">
        <w:rPr>
          <w:rFonts w:ascii="Times New Roman" w:hAnsi="Times New Roman" w:cs="Times New Roman"/>
          <w:color w:val="000000" w:themeColor="text1"/>
        </w:rPr>
        <w:t xml:space="preserve">. </w:t>
      </w:r>
    </w:p>
    <w:p w:rsidR="00272D91" w:rsidRDefault="00272D91" w:rsidP="00FE67A7">
      <w:pPr>
        <w:pStyle w:val="ListParagraph"/>
        <w:rPr>
          <w:rFonts w:ascii="Times New Roman" w:hAnsi="Times New Roman" w:cs="Times New Roman"/>
          <w:color w:val="000000" w:themeColor="text1"/>
        </w:rPr>
      </w:pPr>
    </w:p>
    <w:p w:rsidR="00272D91" w:rsidRDefault="00272D91" w:rsidP="00FE67A7">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In the project document and regular risk updates in the quarterly report, </w:t>
      </w:r>
      <w:r w:rsidR="004409BE">
        <w:rPr>
          <w:rFonts w:ascii="Times New Roman" w:hAnsi="Times New Roman" w:cs="Times New Roman"/>
          <w:color w:val="000000" w:themeColor="text1"/>
        </w:rPr>
        <w:t>in most of MPTF programmes</w:t>
      </w:r>
      <w:r>
        <w:rPr>
          <w:rFonts w:ascii="Times New Roman" w:hAnsi="Times New Roman" w:cs="Times New Roman"/>
          <w:color w:val="000000" w:themeColor="text1"/>
        </w:rPr>
        <w:t xml:space="preserve"> reference is made to the in</w:t>
      </w:r>
      <w:r w:rsidR="004409BE">
        <w:rPr>
          <w:rFonts w:ascii="Times New Roman" w:hAnsi="Times New Roman" w:cs="Times New Roman"/>
          <w:color w:val="000000" w:themeColor="text1"/>
        </w:rPr>
        <w:t>itial risk</w:t>
      </w:r>
      <w:r>
        <w:rPr>
          <w:rFonts w:ascii="Times New Roman" w:hAnsi="Times New Roman" w:cs="Times New Roman"/>
          <w:color w:val="000000" w:themeColor="text1"/>
        </w:rPr>
        <w:t xml:space="preserve">. In order to manage the risk effectively it is very important to make </w:t>
      </w:r>
      <w:r>
        <w:rPr>
          <w:rFonts w:ascii="Times New Roman" w:hAnsi="Times New Roman" w:cs="Times New Roman"/>
          <w:color w:val="000000" w:themeColor="text1"/>
        </w:rPr>
        <w:lastRenderedPageBreak/>
        <w:t>reference to the residual risk, which will help in understanding of the exposure of different programs and better management, monitoring and treat the risk when exposed.</w:t>
      </w:r>
    </w:p>
    <w:p w:rsidR="0055213E" w:rsidRDefault="0055213E" w:rsidP="00FE67A7">
      <w:pPr>
        <w:pStyle w:val="ListParagraph"/>
        <w:rPr>
          <w:rFonts w:ascii="Times New Roman" w:hAnsi="Times New Roman" w:cs="Times New Roman"/>
          <w:color w:val="000000" w:themeColor="text1"/>
        </w:rPr>
      </w:pPr>
    </w:p>
    <w:p w:rsidR="0055213E" w:rsidRPr="0055213E" w:rsidRDefault="004409BE" w:rsidP="00FE67A7">
      <w:pPr>
        <w:pStyle w:val="ListParagraph"/>
        <w:rPr>
          <w:rFonts w:ascii="Times New Roman" w:hAnsi="Times New Roman" w:cs="Times New Roman"/>
          <w:b/>
          <w:i/>
          <w:color w:val="000000" w:themeColor="text1"/>
        </w:rPr>
      </w:pPr>
      <w:r>
        <w:rPr>
          <w:rFonts w:ascii="Times New Roman" w:hAnsi="Times New Roman" w:cs="Times New Roman"/>
          <w:b/>
          <w:i/>
          <w:color w:val="000000" w:themeColor="text1"/>
        </w:rPr>
        <w:t>R</w:t>
      </w:r>
      <w:r w:rsidR="0055213E" w:rsidRPr="0055213E">
        <w:rPr>
          <w:rFonts w:ascii="Times New Roman" w:hAnsi="Times New Roman" w:cs="Times New Roman"/>
          <w:b/>
          <w:i/>
          <w:color w:val="000000" w:themeColor="text1"/>
        </w:rPr>
        <w:t xml:space="preserve">isk rating </w:t>
      </w:r>
      <w:r>
        <w:rPr>
          <w:rFonts w:ascii="Times New Roman" w:hAnsi="Times New Roman" w:cs="Times New Roman"/>
          <w:b/>
          <w:i/>
          <w:color w:val="000000" w:themeColor="text1"/>
        </w:rPr>
        <w:t>in</w:t>
      </w:r>
      <w:r w:rsidR="0055213E" w:rsidRPr="0055213E">
        <w:rPr>
          <w:rFonts w:ascii="Times New Roman" w:hAnsi="Times New Roman" w:cs="Times New Roman"/>
          <w:b/>
          <w:i/>
          <w:color w:val="000000" w:themeColor="text1"/>
        </w:rPr>
        <w:t xml:space="preserve"> t</w:t>
      </w:r>
      <w:r>
        <w:rPr>
          <w:rFonts w:ascii="Times New Roman" w:hAnsi="Times New Roman" w:cs="Times New Roman"/>
          <w:b/>
          <w:i/>
          <w:color w:val="000000" w:themeColor="text1"/>
        </w:rPr>
        <w:t>he Somalia context</w:t>
      </w:r>
    </w:p>
    <w:p w:rsidR="0055213E" w:rsidRDefault="0055213E" w:rsidP="00FE67A7">
      <w:pPr>
        <w:pStyle w:val="ListParagraph"/>
        <w:rPr>
          <w:rFonts w:ascii="Times New Roman" w:hAnsi="Times New Roman" w:cs="Times New Roman"/>
          <w:color w:val="000000" w:themeColor="text1"/>
        </w:rPr>
      </w:pPr>
    </w:p>
    <w:p w:rsidR="0055213E" w:rsidRDefault="00A96816" w:rsidP="00FE67A7">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As mentioned above, each programme has identified the main risks at the design stage. All risks, contextual, governance and strategy and programme &amp; operational implementation make reference to specific exposure or assumption which are relevant to Somalia context. </w:t>
      </w:r>
      <w:r w:rsidR="00B12817">
        <w:rPr>
          <w:rFonts w:ascii="Times New Roman" w:hAnsi="Times New Roman" w:cs="Times New Roman"/>
          <w:color w:val="000000" w:themeColor="text1"/>
        </w:rPr>
        <w:t>Based on the risk assessment under each category doing business in Somalia exposes the funds and the programs towards high</w:t>
      </w:r>
      <w:r w:rsidR="002A6197">
        <w:rPr>
          <w:rFonts w:ascii="Times New Roman" w:hAnsi="Times New Roman" w:cs="Times New Roman"/>
          <w:color w:val="000000" w:themeColor="text1"/>
        </w:rPr>
        <w:t>/significant</w:t>
      </w:r>
      <w:r w:rsidR="00B12817">
        <w:rPr>
          <w:rFonts w:ascii="Times New Roman" w:hAnsi="Times New Roman" w:cs="Times New Roman"/>
          <w:color w:val="000000" w:themeColor="text1"/>
        </w:rPr>
        <w:t xml:space="preserve"> risk, which require extensive attention and monitoring of the risks. Reference can be made to both master table and summary/most common risk matrices. </w:t>
      </w:r>
    </w:p>
    <w:p w:rsidR="0055213E" w:rsidRDefault="0055213E" w:rsidP="00FE67A7">
      <w:pPr>
        <w:pStyle w:val="ListParagraph"/>
        <w:rPr>
          <w:rFonts w:ascii="Times New Roman" w:hAnsi="Times New Roman" w:cs="Times New Roman"/>
          <w:color w:val="000000" w:themeColor="text1"/>
        </w:rPr>
      </w:pPr>
    </w:p>
    <w:p w:rsidR="00272D91" w:rsidRDefault="00272D91" w:rsidP="00FE67A7">
      <w:pPr>
        <w:pStyle w:val="ListParagraph"/>
        <w:rPr>
          <w:rFonts w:ascii="Times New Roman" w:hAnsi="Times New Roman" w:cs="Times New Roman"/>
          <w:color w:val="000000" w:themeColor="text1"/>
        </w:rPr>
      </w:pPr>
    </w:p>
    <w:p w:rsidR="00363927" w:rsidRPr="0087638A" w:rsidRDefault="00363927" w:rsidP="00FE67A7">
      <w:pPr>
        <w:pStyle w:val="ListParagraph"/>
        <w:rPr>
          <w:rFonts w:ascii="Times New Roman" w:hAnsi="Times New Roman" w:cs="Times New Roman"/>
          <w:b/>
          <w:i/>
          <w:color w:val="000000" w:themeColor="text1"/>
        </w:rPr>
      </w:pPr>
      <w:r w:rsidRPr="0087638A">
        <w:rPr>
          <w:rFonts w:ascii="Times New Roman" w:hAnsi="Times New Roman" w:cs="Times New Roman"/>
          <w:b/>
          <w:i/>
          <w:color w:val="000000" w:themeColor="text1"/>
        </w:rPr>
        <w:t>Some additional observations</w:t>
      </w:r>
    </w:p>
    <w:p w:rsidR="00363927" w:rsidRP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Risk management within MPTF is very complex due to involvement of different UN agencies with different risk appetite and different risk management approaches</w:t>
      </w:r>
    </w:p>
    <w:p w:rsidR="00363927" w:rsidRP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All project documents have reflected initial risk analysis at the formulation stage. However, not all programmes have rated the risks</w:t>
      </w:r>
    </w:p>
    <w:p w:rsidR="00363927" w:rsidRP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Risk ownership and qualitative/quantitative indicators to monitor the risk and mitigation measures have not been identified</w:t>
      </w:r>
    </w:p>
    <w:p w:rsidR="00363927" w:rsidRP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 xml:space="preserve">The risk response is not consistent, which may result due to the different context the programmes are operating or due to not being familiar with the MPTF risk </w:t>
      </w:r>
      <w:r>
        <w:rPr>
          <w:rFonts w:ascii="Times New Roman" w:hAnsi="Times New Roman" w:cs="Times New Roman"/>
        </w:rPr>
        <w:t xml:space="preserve">matrices and/or joint strategy at the time of programme design. However, improvements have been noticed during the reporting period; including the new risks that the programs might have been exposed during the reporting period. </w:t>
      </w:r>
    </w:p>
    <w:p w:rsid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 xml:space="preserve">All projects provide updating on the risks status in the quarterly reports (PBF funded projects send updates every 6 months). </w:t>
      </w:r>
    </w:p>
    <w:p w:rsid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Risk updates is not very consistent among different programmes – some put more efforts than the others that just copy/paste from the initial document. Several programmes though do clearly make reference to the risks identified in the prodoc and provide updates which are easy to read</w:t>
      </w:r>
    </w:p>
    <w:p w:rsidR="00363927" w:rsidRPr="00363927" w:rsidRDefault="00363927" w:rsidP="00B12817">
      <w:pPr>
        <w:pStyle w:val="ListParagraph"/>
        <w:numPr>
          <w:ilvl w:val="0"/>
          <w:numId w:val="9"/>
        </w:numPr>
        <w:spacing w:after="0" w:line="240" w:lineRule="auto"/>
        <w:contextualSpacing w:val="0"/>
        <w:rPr>
          <w:rFonts w:ascii="Times New Roman" w:hAnsi="Times New Roman" w:cs="Times New Roman"/>
        </w:rPr>
      </w:pPr>
      <w:r w:rsidRPr="00363927">
        <w:rPr>
          <w:rFonts w:ascii="Times New Roman" w:hAnsi="Times New Roman" w:cs="Times New Roman"/>
        </w:rPr>
        <w:t>Some projects may address the risks through different mechanisms, even though it is not reflected in the regular updates</w:t>
      </w:r>
    </w:p>
    <w:p w:rsidR="00363927" w:rsidRDefault="00363927" w:rsidP="00363927">
      <w:pPr>
        <w:spacing w:after="0" w:line="240" w:lineRule="auto"/>
        <w:ind w:left="1080"/>
        <w:rPr>
          <w:rFonts w:ascii="Times New Roman" w:hAnsi="Times New Roman" w:cs="Times New Roman"/>
        </w:rPr>
      </w:pPr>
    </w:p>
    <w:p w:rsidR="00363927" w:rsidRPr="005E064E" w:rsidRDefault="00363927" w:rsidP="00363927">
      <w:pPr>
        <w:spacing w:after="0" w:line="240" w:lineRule="auto"/>
        <w:ind w:left="1080"/>
        <w:rPr>
          <w:rFonts w:ascii="Times New Roman" w:hAnsi="Times New Roman" w:cs="Times New Roman"/>
          <w:b/>
          <w:i/>
        </w:rPr>
      </w:pPr>
      <w:r w:rsidRPr="005E064E">
        <w:rPr>
          <w:rFonts w:ascii="Times New Roman" w:hAnsi="Times New Roman" w:cs="Times New Roman"/>
          <w:b/>
          <w:i/>
        </w:rPr>
        <w:t>Strengthening risk management of the MPTF funded programmes</w:t>
      </w:r>
    </w:p>
    <w:p w:rsidR="00363927" w:rsidRPr="005E064E" w:rsidRDefault="00363927" w:rsidP="00363927">
      <w:pPr>
        <w:spacing w:after="0" w:line="240" w:lineRule="auto"/>
        <w:ind w:left="1080"/>
        <w:rPr>
          <w:rFonts w:ascii="Times New Roman" w:hAnsi="Times New Roman" w:cs="Times New Roman"/>
          <w:b/>
          <w:i/>
        </w:rPr>
      </w:pPr>
    </w:p>
    <w:p w:rsidR="00E02CA0" w:rsidRDefault="0055213E"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rPr>
        <w:t>Services and projects/programmes are increasingly being delivered through partner organization under both UN a</w:t>
      </w:r>
      <w:r w:rsidR="004409BE" w:rsidRPr="00E02CA0">
        <w:rPr>
          <w:rFonts w:ascii="Times New Roman" w:hAnsi="Times New Roman" w:cs="Times New Roman"/>
        </w:rPr>
        <w:t>d National window. This puts a challenge</w:t>
      </w:r>
      <w:r w:rsidRPr="00E02CA0">
        <w:rPr>
          <w:rFonts w:ascii="Times New Roman" w:hAnsi="Times New Roman" w:cs="Times New Roman"/>
        </w:rPr>
        <w:t xml:space="preserve"> on the successful risk management. One of the challenges may exist where programme objectives / partner’s objectives overlap (different programs or UN agencies working with the same government partner). In this regard, common risks </w:t>
      </w:r>
      <w:r w:rsidR="004409BE" w:rsidRPr="00E02CA0">
        <w:rPr>
          <w:rFonts w:ascii="Times New Roman" w:hAnsi="Times New Roman" w:cs="Times New Roman"/>
        </w:rPr>
        <w:t>may</w:t>
      </w:r>
      <w:r w:rsidRPr="00E02CA0">
        <w:rPr>
          <w:rFonts w:ascii="Times New Roman" w:hAnsi="Times New Roman" w:cs="Times New Roman"/>
        </w:rPr>
        <w:t xml:space="preserve"> be aligned and managed as opposed to where they are fully independent.</w:t>
      </w:r>
    </w:p>
    <w:p w:rsidR="00E02CA0" w:rsidRDefault="0055213E"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rPr>
        <w:t xml:space="preserve">Another way to improve risk management is to adopt, as much as possible, the good practice established in the risk identification, </w:t>
      </w:r>
      <w:r w:rsidR="00127AE7" w:rsidRPr="00E02CA0">
        <w:rPr>
          <w:rFonts w:ascii="Times New Roman" w:hAnsi="Times New Roman" w:cs="Times New Roman"/>
        </w:rPr>
        <w:t xml:space="preserve">assessment, </w:t>
      </w:r>
      <w:r w:rsidRPr="00E02CA0">
        <w:rPr>
          <w:rFonts w:ascii="Times New Roman" w:hAnsi="Times New Roman" w:cs="Times New Roman"/>
        </w:rPr>
        <w:t>monitoring and management</w:t>
      </w:r>
      <w:r w:rsidR="00127AE7" w:rsidRPr="00E02CA0">
        <w:rPr>
          <w:rFonts w:ascii="Times New Roman" w:hAnsi="Times New Roman" w:cs="Times New Roman"/>
        </w:rPr>
        <w:t xml:space="preserve"> related to different programs</w:t>
      </w:r>
      <w:r w:rsidR="005E064E" w:rsidRPr="00E02CA0">
        <w:rPr>
          <w:rFonts w:ascii="Times New Roman" w:hAnsi="Times New Roman" w:cs="Times New Roman"/>
        </w:rPr>
        <w:t>; One of the challenges that may arise in the case of joint programs is on whether there is reliable and regular information to moni</w:t>
      </w:r>
      <w:r w:rsidR="001741FE" w:rsidRPr="00E02CA0">
        <w:rPr>
          <w:rFonts w:ascii="Times New Roman" w:hAnsi="Times New Roman" w:cs="Times New Roman"/>
        </w:rPr>
        <w:t>tor risk management performance</w:t>
      </w:r>
      <w:r w:rsidR="005E064E" w:rsidRPr="00E02CA0">
        <w:rPr>
          <w:rFonts w:ascii="Times New Roman" w:hAnsi="Times New Roman" w:cs="Times New Roman"/>
        </w:rPr>
        <w:t xml:space="preserve"> of all those UN agencies or other stakeholders involved in the implementation of joint programs. </w:t>
      </w:r>
    </w:p>
    <w:p w:rsidR="00E02CA0" w:rsidRDefault="00127AE7"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rPr>
        <w:t xml:space="preserve">Allocation of </w:t>
      </w:r>
      <w:r w:rsidR="00363927" w:rsidRPr="00E02CA0">
        <w:rPr>
          <w:rFonts w:ascii="Times New Roman" w:hAnsi="Times New Roman" w:cs="Times New Roman"/>
        </w:rPr>
        <w:t>Risk ownership</w:t>
      </w:r>
      <w:r w:rsidRPr="00E02CA0">
        <w:rPr>
          <w:rFonts w:ascii="Times New Roman" w:hAnsi="Times New Roman" w:cs="Times New Roman"/>
        </w:rPr>
        <w:t xml:space="preserve"> –This is important for the critical risk</w:t>
      </w:r>
      <w:r w:rsidR="004409BE" w:rsidRPr="00E02CA0">
        <w:rPr>
          <w:rFonts w:ascii="Times New Roman" w:hAnsi="Times New Roman" w:cs="Times New Roman"/>
        </w:rPr>
        <w:t>s</w:t>
      </w:r>
      <w:r w:rsidRPr="00E02CA0">
        <w:rPr>
          <w:rFonts w:ascii="Times New Roman" w:hAnsi="Times New Roman" w:cs="Times New Roman"/>
        </w:rPr>
        <w:t xml:space="preserve"> or the ones that will have a high impact</w:t>
      </w:r>
      <w:r w:rsidR="00E02CA0">
        <w:rPr>
          <w:rFonts w:ascii="Times New Roman" w:hAnsi="Times New Roman" w:cs="Times New Roman"/>
        </w:rPr>
        <w:t xml:space="preserve"> over the programs if occurred, therefore risk management plan shall be</w:t>
      </w:r>
      <w:r w:rsidRPr="00E02CA0">
        <w:rPr>
          <w:rFonts w:ascii="Times New Roman" w:hAnsi="Times New Roman" w:cs="Times New Roman"/>
        </w:rPr>
        <w:t xml:space="preserve"> incorporated in the project document at the design stage, or in the programme risk log/risk plan to be agreed upon with the main programme stakeholders. </w:t>
      </w:r>
    </w:p>
    <w:p w:rsidR="00E02CA0" w:rsidRDefault="0087638A"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rPr>
        <w:t xml:space="preserve">External and internal risks – there may be external risks or contextual (security, political and environmental &amp; economic shock) </w:t>
      </w:r>
      <w:r w:rsidR="00E02CA0">
        <w:rPr>
          <w:rFonts w:ascii="Times New Roman" w:hAnsi="Times New Roman" w:cs="Times New Roman"/>
        </w:rPr>
        <w:t xml:space="preserve">upon which there is little or no control. </w:t>
      </w:r>
      <w:r w:rsidRPr="00E02CA0">
        <w:rPr>
          <w:rFonts w:ascii="Times New Roman" w:hAnsi="Times New Roman" w:cs="Times New Roman"/>
        </w:rPr>
        <w:t xml:space="preserve">However, </w:t>
      </w:r>
      <w:r w:rsidR="00E02CA0">
        <w:rPr>
          <w:rFonts w:ascii="Times New Roman" w:hAnsi="Times New Roman" w:cs="Times New Roman"/>
        </w:rPr>
        <w:t xml:space="preserve">contextual risks are closely managed, </w:t>
      </w:r>
      <w:r w:rsidRPr="00E02CA0">
        <w:rPr>
          <w:rFonts w:ascii="Times New Roman" w:hAnsi="Times New Roman" w:cs="Times New Roman"/>
        </w:rPr>
        <w:t>monitored and mitigation measures are put in place in order to successfully implement activities</w:t>
      </w:r>
      <w:r w:rsidR="002A6197" w:rsidRPr="00E02CA0">
        <w:rPr>
          <w:rFonts w:ascii="Times New Roman" w:hAnsi="Times New Roman" w:cs="Times New Roman"/>
        </w:rPr>
        <w:t xml:space="preserve">. </w:t>
      </w:r>
    </w:p>
    <w:p w:rsidR="00E02CA0" w:rsidRDefault="0087638A"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rPr>
        <w:t>In all the above, it is also to be highlighted that accountability of protecting the financial resources and managing the programme risks remains with the respective UN agencies engaged in the programme implementation (UN window) and the Ministry of Finance (National Window).</w:t>
      </w:r>
      <w:r w:rsidR="00E02CA0">
        <w:rPr>
          <w:rFonts w:ascii="Times New Roman" w:hAnsi="Times New Roman" w:cs="Times New Roman"/>
        </w:rPr>
        <w:t xml:space="preserve"> Therefore, programme/project r</w:t>
      </w:r>
      <w:r w:rsidR="002A6197" w:rsidRPr="00E02CA0">
        <w:rPr>
          <w:rFonts w:ascii="Times New Roman" w:hAnsi="Times New Roman" w:cs="Times New Roman"/>
        </w:rPr>
        <w:t xml:space="preserve">isk management is integrated in a day-to-day management of the </w:t>
      </w:r>
      <w:r w:rsidR="002A6197" w:rsidRPr="00E02CA0">
        <w:rPr>
          <w:rFonts w:ascii="Times New Roman" w:hAnsi="Times New Roman" w:cs="Times New Roman"/>
        </w:rPr>
        <w:lastRenderedPageBreak/>
        <w:t xml:space="preserve">programs and has become an integral part of it. The scale of intensity and monitoring </w:t>
      </w:r>
      <w:r w:rsidR="00E02CA0">
        <w:rPr>
          <w:rFonts w:ascii="Times New Roman" w:hAnsi="Times New Roman" w:cs="Times New Roman"/>
        </w:rPr>
        <w:t>is</w:t>
      </w:r>
      <w:r w:rsidR="002A6197" w:rsidRPr="00E02CA0">
        <w:rPr>
          <w:rFonts w:ascii="Times New Roman" w:hAnsi="Times New Roman" w:cs="Times New Roman"/>
        </w:rPr>
        <w:t xml:space="preserve"> increased when significant risk materializes. </w:t>
      </w:r>
    </w:p>
    <w:p w:rsidR="00E02CA0" w:rsidRDefault="00E02CA0"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i/>
        </w:rPr>
        <w:t>Risk updates</w:t>
      </w:r>
      <w:r w:rsidR="00127AE7" w:rsidRPr="00E02CA0">
        <w:rPr>
          <w:rFonts w:ascii="Times New Roman" w:hAnsi="Times New Roman" w:cs="Times New Roman"/>
        </w:rPr>
        <w:t xml:space="preserve"> – </w:t>
      </w:r>
      <w:r w:rsidR="00722FF9" w:rsidRPr="00E02CA0">
        <w:rPr>
          <w:rFonts w:ascii="Times New Roman" w:hAnsi="Times New Roman" w:cs="Times New Roman"/>
        </w:rPr>
        <w:t>in the case of joint programmes it is recommended that joint risk review meetings among different UN agencies engaged in the programme implementation are conducted and an integral part of performance management arrangements. In the case of the project under national window, UN and the WB are working together with the Ministry of Finance (Project implementation unit) on managing and monitoring jointly the risk</w:t>
      </w:r>
    </w:p>
    <w:p w:rsidR="00E02CA0" w:rsidRDefault="00127AE7"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i/>
        </w:rPr>
        <w:t>Risk communication</w:t>
      </w:r>
      <w:r w:rsidRPr="00E02CA0">
        <w:rPr>
          <w:rFonts w:ascii="Times New Roman" w:hAnsi="Times New Roman" w:cs="Times New Roman"/>
        </w:rPr>
        <w:t xml:space="preserve"> – </w:t>
      </w:r>
      <w:r w:rsidR="0087638A" w:rsidRPr="00E02CA0">
        <w:rPr>
          <w:rFonts w:ascii="Times New Roman" w:hAnsi="Times New Roman" w:cs="Times New Roman"/>
        </w:rPr>
        <w:t xml:space="preserve"> sharing risk assessments and analysis will help to avoid different perspectives. An opened dialogue </w:t>
      </w:r>
      <w:r w:rsidR="002A6197" w:rsidRPr="00E02CA0">
        <w:rPr>
          <w:rFonts w:ascii="Times New Roman" w:hAnsi="Times New Roman" w:cs="Times New Roman"/>
        </w:rPr>
        <w:t xml:space="preserve">between different stakeholders </w:t>
      </w:r>
      <w:r w:rsidR="0087638A" w:rsidRPr="00E02CA0">
        <w:rPr>
          <w:rFonts w:ascii="Times New Roman" w:hAnsi="Times New Roman" w:cs="Times New Roman"/>
        </w:rPr>
        <w:t>will help create a common understanding and enable coherence on risk management among different partners</w:t>
      </w:r>
      <w:r w:rsidR="002A6197" w:rsidRPr="00E02CA0">
        <w:rPr>
          <w:rFonts w:ascii="Times New Roman" w:hAnsi="Times New Roman" w:cs="Times New Roman"/>
        </w:rPr>
        <w:t xml:space="preserve">. Example of risk management communication are: regular RM working groups PSG/area of intervention; UN/WB/Donor MPTF/MPF working group, UN RM working groups; briefing to SDRF (on fund related risks), and other forums. </w:t>
      </w:r>
    </w:p>
    <w:p w:rsidR="0087638A" w:rsidRPr="00E02CA0" w:rsidRDefault="00127AE7" w:rsidP="00E02CA0">
      <w:pPr>
        <w:pStyle w:val="ListParagraph"/>
        <w:numPr>
          <w:ilvl w:val="1"/>
          <w:numId w:val="4"/>
        </w:numPr>
        <w:spacing w:after="0" w:line="240" w:lineRule="auto"/>
        <w:rPr>
          <w:rFonts w:ascii="Times New Roman" w:hAnsi="Times New Roman" w:cs="Times New Roman"/>
        </w:rPr>
      </w:pPr>
      <w:r w:rsidRPr="00E02CA0">
        <w:rPr>
          <w:rFonts w:ascii="Times New Roman" w:hAnsi="Times New Roman" w:cs="Times New Roman"/>
          <w:i/>
          <w:color w:val="000000" w:themeColor="text1"/>
        </w:rPr>
        <w:t>Establishing the right risk-governance arrangement</w:t>
      </w:r>
      <w:r w:rsidR="0087638A" w:rsidRPr="00E02CA0">
        <w:rPr>
          <w:rFonts w:ascii="Times New Roman" w:hAnsi="Times New Roman" w:cs="Times New Roman"/>
          <w:color w:val="000000" w:themeColor="text1"/>
        </w:rPr>
        <w:t xml:space="preserve"> </w:t>
      </w:r>
      <w:r w:rsidR="0087638A" w:rsidRPr="00E02CA0">
        <w:rPr>
          <w:rFonts w:ascii="Times New Roman" w:hAnsi="Times New Roman" w:cs="Times New Roman"/>
        </w:rPr>
        <w:t>–</w:t>
      </w:r>
      <w:r w:rsidR="00F46C3E" w:rsidRPr="00E02CA0">
        <w:rPr>
          <w:rFonts w:ascii="Times New Roman" w:hAnsi="Times New Roman" w:cs="Times New Roman"/>
        </w:rPr>
        <w:t xml:space="preserve"> Risk governance at the programme level remains with the participating agencies while at the fund level with the SDRF. However, with regard to the risk governance at the programme level clear roles and responsibilities need to be </w:t>
      </w:r>
      <w:r w:rsidR="002A6197" w:rsidRPr="00E02CA0">
        <w:rPr>
          <w:rFonts w:ascii="Times New Roman" w:hAnsi="Times New Roman" w:cs="Times New Roman"/>
        </w:rPr>
        <w:t xml:space="preserve">clearly </w:t>
      </w:r>
      <w:r w:rsidR="00F46C3E" w:rsidRPr="00E02CA0">
        <w:rPr>
          <w:rFonts w:ascii="Times New Roman" w:hAnsi="Times New Roman" w:cs="Times New Roman"/>
        </w:rPr>
        <w:t xml:space="preserve">assigned among the participating agencies. </w:t>
      </w:r>
    </w:p>
    <w:p w:rsidR="00F46C3E" w:rsidRDefault="00F46C3E" w:rsidP="00F46C3E">
      <w:pPr>
        <w:spacing w:after="0" w:line="240" w:lineRule="auto"/>
        <w:ind w:left="1080"/>
        <w:rPr>
          <w:rFonts w:ascii="Times New Roman" w:hAnsi="Times New Roman" w:cs="Times New Roman"/>
        </w:rPr>
      </w:pPr>
    </w:p>
    <w:p w:rsidR="00820F33" w:rsidRDefault="00820F33" w:rsidP="00363927">
      <w:pPr>
        <w:spacing w:after="0" w:line="240" w:lineRule="auto"/>
        <w:ind w:left="1080"/>
        <w:rPr>
          <w:rFonts w:ascii="Times New Roman" w:hAnsi="Times New Roman" w:cs="Times New Roman"/>
        </w:rPr>
      </w:pPr>
      <w:r>
        <w:rPr>
          <w:rFonts w:ascii="Times New Roman" w:hAnsi="Times New Roman" w:cs="Times New Roman"/>
        </w:rPr>
        <w:t xml:space="preserve">Most of the </w:t>
      </w:r>
      <w:r w:rsidR="00FC7668">
        <w:rPr>
          <w:rFonts w:ascii="Times New Roman" w:hAnsi="Times New Roman" w:cs="Times New Roman"/>
        </w:rPr>
        <w:t xml:space="preserve">MPTF </w:t>
      </w:r>
      <w:r>
        <w:rPr>
          <w:rFonts w:ascii="Times New Roman" w:hAnsi="Times New Roman" w:cs="Times New Roman"/>
        </w:rPr>
        <w:t xml:space="preserve">risk categories fall within </w:t>
      </w:r>
      <w:r w:rsidR="00FC7668">
        <w:rPr>
          <w:rFonts w:ascii="Times New Roman" w:hAnsi="Times New Roman" w:cs="Times New Roman"/>
        </w:rPr>
        <w:t xml:space="preserve">acceptance </w:t>
      </w:r>
      <w:r>
        <w:rPr>
          <w:rFonts w:ascii="Times New Roman" w:hAnsi="Times New Roman" w:cs="Times New Roman"/>
        </w:rPr>
        <w:t xml:space="preserve">category above (risk acceptance if the initial risk rating is low), risk mitigation/limitation or risk transfer. </w:t>
      </w:r>
      <w:r w:rsidR="00FC7668">
        <w:rPr>
          <w:rFonts w:ascii="Times New Roman" w:hAnsi="Times New Roman" w:cs="Times New Roman"/>
        </w:rPr>
        <w:t>Under risk acceptance and risk limitation with mitigation measures</w:t>
      </w:r>
      <w:r>
        <w:rPr>
          <w:rFonts w:ascii="Times New Roman" w:hAnsi="Times New Roman" w:cs="Times New Roman"/>
        </w:rPr>
        <w:t>, mitigation measures have been put in place in order to manage and monitor the risk</w:t>
      </w:r>
      <w:r w:rsidR="00FC7668">
        <w:rPr>
          <w:rFonts w:ascii="Times New Roman" w:hAnsi="Times New Roman" w:cs="Times New Roman"/>
        </w:rPr>
        <w:t xml:space="preserve"> (even when it is low)</w:t>
      </w:r>
      <w:r>
        <w:rPr>
          <w:rFonts w:ascii="Times New Roman" w:hAnsi="Times New Roman" w:cs="Times New Roman"/>
        </w:rPr>
        <w:t xml:space="preserve">. </w:t>
      </w:r>
    </w:p>
    <w:p w:rsidR="00FC7668" w:rsidRDefault="00FC7668" w:rsidP="00363927">
      <w:pPr>
        <w:spacing w:after="0" w:line="240" w:lineRule="auto"/>
        <w:ind w:left="1080"/>
        <w:rPr>
          <w:rFonts w:ascii="Times New Roman" w:hAnsi="Times New Roman" w:cs="Times New Roman"/>
        </w:rPr>
      </w:pPr>
    </w:p>
    <w:p w:rsidR="00820F33" w:rsidRDefault="00820F33" w:rsidP="00363927">
      <w:pPr>
        <w:spacing w:after="0" w:line="240" w:lineRule="auto"/>
        <w:ind w:left="1080"/>
        <w:rPr>
          <w:rFonts w:ascii="Times New Roman" w:hAnsi="Times New Roman" w:cs="Times New Roman"/>
        </w:rPr>
      </w:pPr>
      <w:r>
        <w:rPr>
          <w:rFonts w:ascii="Times New Roman" w:hAnsi="Times New Roman" w:cs="Times New Roman"/>
        </w:rPr>
        <w:t xml:space="preserve">The last category – risk transfer is one of the mitigation measures where some elements of mitigation have been transferred to a third party – such as monitoring agent, outsourcing human resources, etc. </w:t>
      </w:r>
      <w:r w:rsidR="00722FF9">
        <w:rPr>
          <w:rFonts w:ascii="Times New Roman" w:hAnsi="Times New Roman" w:cs="Times New Roman"/>
        </w:rPr>
        <w:t xml:space="preserve">Risk avoidance is also applied as doing business in extremely high risk locations (i.e. areas under al-Shabaab control) are avoided temporarily. </w:t>
      </w:r>
    </w:p>
    <w:p w:rsidR="005E064E" w:rsidRDefault="001741FE" w:rsidP="00363927">
      <w:pPr>
        <w:spacing w:after="0" w:line="240" w:lineRule="auto"/>
        <w:ind w:left="1080"/>
        <w:rPr>
          <w:rFonts w:ascii="Times New Roman" w:hAnsi="Times New Roman" w:cs="Times New Roman"/>
        </w:rPr>
      </w:pPr>
      <w:r>
        <w:rPr>
          <w:rFonts w:ascii="Times New Roman" w:hAnsi="Times New Roman" w:cs="Times New Roman"/>
        </w:rPr>
        <w:t xml:space="preserve"> </w:t>
      </w:r>
    </w:p>
    <w:p w:rsidR="006738BE" w:rsidRDefault="00F46C3E" w:rsidP="006738BE">
      <w:pPr>
        <w:spacing w:after="0" w:line="240" w:lineRule="auto"/>
        <w:ind w:left="1080"/>
        <w:rPr>
          <w:rFonts w:ascii="Times New Roman" w:hAnsi="Times New Roman" w:cs="Times New Roman"/>
        </w:rPr>
      </w:pPr>
      <w:r w:rsidRPr="006738BE">
        <w:rPr>
          <w:rFonts w:ascii="Times New Roman" w:hAnsi="Times New Roman" w:cs="Times New Roman"/>
          <w:b/>
        </w:rPr>
        <w:t>Treatment measures</w:t>
      </w:r>
      <w:r>
        <w:rPr>
          <w:rFonts w:ascii="Times New Roman" w:hAnsi="Times New Roman" w:cs="Times New Roman"/>
        </w:rPr>
        <w:t xml:space="preserve"> </w:t>
      </w:r>
      <w:r w:rsidR="00FC7668">
        <w:rPr>
          <w:rFonts w:ascii="Times New Roman" w:hAnsi="Times New Roman" w:cs="Times New Roman"/>
        </w:rPr>
        <w:t>are very much connected to the risk tolerance. W</w:t>
      </w:r>
      <w:r>
        <w:rPr>
          <w:rFonts w:ascii="Times New Roman" w:hAnsi="Times New Roman" w:cs="Times New Roman"/>
        </w:rPr>
        <w:t>hile currently most treatment respond to the initial risk, it is recommended that residual risk treatment options are identified and reviewed at the design stage (new programs) or implementation phase</w:t>
      </w:r>
      <w:r w:rsidR="00FC7668">
        <w:rPr>
          <w:rFonts w:ascii="Times New Roman" w:hAnsi="Times New Roman" w:cs="Times New Roman"/>
        </w:rPr>
        <w:t xml:space="preserve"> (ongoing programmes). </w:t>
      </w:r>
      <w:r w:rsidR="006738BE">
        <w:rPr>
          <w:rFonts w:ascii="Times New Roman" w:hAnsi="Times New Roman" w:cs="Times New Roman"/>
        </w:rPr>
        <w:t xml:space="preserve">In this regard risk tolerance might impose change of action at the programme or agency level. </w:t>
      </w:r>
    </w:p>
    <w:p w:rsidR="006738BE" w:rsidRDefault="006738BE" w:rsidP="006738BE">
      <w:pPr>
        <w:spacing w:after="0" w:line="240" w:lineRule="auto"/>
        <w:ind w:left="1080"/>
        <w:rPr>
          <w:rFonts w:ascii="Times New Roman" w:hAnsi="Times New Roman" w:cs="Times New Roman"/>
        </w:rPr>
      </w:pPr>
    </w:p>
    <w:p w:rsidR="006738BE" w:rsidRDefault="006738BE" w:rsidP="006738BE">
      <w:pPr>
        <w:spacing w:after="0" w:line="240" w:lineRule="auto"/>
        <w:ind w:left="1080"/>
        <w:rPr>
          <w:rFonts w:ascii="Times New Roman" w:hAnsi="Times New Roman" w:cs="Times New Roman"/>
        </w:rPr>
      </w:pPr>
      <w:r>
        <w:rPr>
          <w:rFonts w:ascii="Times New Roman" w:hAnsi="Times New Roman" w:cs="Times New Roman"/>
        </w:rPr>
        <w:t xml:space="preserve">It is also recommended that integrated risk assessment on the impact over the programs are introduced – </w:t>
      </w:r>
      <w:r w:rsidR="00FC7668">
        <w:rPr>
          <w:rFonts w:ascii="Times New Roman" w:hAnsi="Times New Roman" w:cs="Times New Roman"/>
        </w:rPr>
        <w:t xml:space="preserve">meaning that </w:t>
      </w:r>
      <w:r w:rsidRPr="006738BE">
        <w:rPr>
          <w:rFonts w:ascii="Times New Roman" w:hAnsi="Times New Roman" w:cs="Times New Roman"/>
          <w:b/>
        </w:rPr>
        <w:t>cost, quality and time</w:t>
      </w:r>
      <w:r w:rsidR="00FC7668">
        <w:rPr>
          <w:rFonts w:ascii="Times New Roman" w:hAnsi="Times New Roman" w:cs="Times New Roman"/>
          <w:b/>
        </w:rPr>
        <w:t xml:space="preserve"> </w:t>
      </w:r>
      <w:r w:rsidR="00FC7668">
        <w:rPr>
          <w:rFonts w:ascii="Times New Roman" w:hAnsi="Times New Roman" w:cs="Times New Roman"/>
        </w:rPr>
        <w:t>are taken into consideration while assessing the impact of the identified risks.</w:t>
      </w:r>
      <w:r>
        <w:rPr>
          <w:rFonts w:ascii="Times New Roman" w:hAnsi="Times New Roman" w:cs="Times New Roman"/>
        </w:rPr>
        <w:t xml:space="preserve"> In the above analysis, different programs have already analyzed the risk impact (time and quality, few of them cost) related to different risks – to be mentioned are Security deterioration impact, delay in the legislations approval/adoption etc. which delays programme implementation, it has a higher cost of doing business, etc; or low capacity having an impact into the low quality of the deliverables, misuse of funds etc).  </w:t>
      </w:r>
    </w:p>
    <w:p w:rsidR="00DF5567" w:rsidRPr="00DF5567" w:rsidRDefault="00DF5567" w:rsidP="007B0400">
      <w:pPr>
        <w:rPr>
          <w:rFonts w:ascii="Times New Roman" w:hAnsi="Times New Roman" w:cs="Times New Roman"/>
        </w:rPr>
      </w:pPr>
    </w:p>
    <w:p w:rsidR="00E27E2A" w:rsidRPr="00DF5567" w:rsidRDefault="00FC7668" w:rsidP="00DF5567">
      <w:pPr>
        <w:ind w:firstLine="720"/>
        <w:rPr>
          <w:rFonts w:ascii="Times New Roman" w:hAnsi="Times New Roman" w:cs="Times New Roman"/>
        </w:rPr>
      </w:pPr>
      <w:r w:rsidRPr="00DF5567">
        <w:rPr>
          <w:rFonts w:ascii="Times New Roman" w:hAnsi="Times New Roman" w:cs="Times New Roman"/>
        </w:rPr>
        <w:t xml:space="preserve">Additional </w:t>
      </w:r>
      <w:r w:rsidR="00B12817" w:rsidRPr="00DF5567">
        <w:rPr>
          <w:rFonts w:ascii="Times New Roman" w:hAnsi="Times New Roman" w:cs="Times New Roman"/>
        </w:rPr>
        <w:t xml:space="preserve">recommendations: </w:t>
      </w:r>
    </w:p>
    <w:p w:rsidR="00920202" w:rsidRPr="00DF5567" w:rsidRDefault="00E27E2A" w:rsidP="00DF5567">
      <w:pPr>
        <w:pStyle w:val="ListParagraph"/>
        <w:numPr>
          <w:ilvl w:val="0"/>
          <w:numId w:val="10"/>
        </w:numPr>
        <w:spacing w:after="0" w:line="240" w:lineRule="auto"/>
        <w:rPr>
          <w:rFonts w:ascii="Times New Roman" w:hAnsi="Times New Roman" w:cs="Times New Roman"/>
        </w:rPr>
      </w:pPr>
      <w:r w:rsidRPr="00DF5567">
        <w:rPr>
          <w:rFonts w:ascii="Times New Roman" w:hAnsi="Times New Roman" w:cs="Times New Roman"/>
        </w:rPr>
        <w:t>Ensure that MPTF risk management methodology is applied across all MPTF funded programmes;</w:t>
      </w:r>
    </w:p>
    <w:p w:rsidR="00DF5567" w:rsidRDefault="00E27E2A" w:rsidP="00DF5567">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 xml:space="preserve">Share with the programme managers the SDRF </w:t>
      </w:r>
      <w:r w:rsidR="00B12817" w:rsidRPr="00DF5567">
        <w:rPr>
          <w:rFonts w:ascii="Times New Roman" w:hAnsi="Times New Roman" w:cs="Times New Roman"/>
        </w:rPr>
        <w:t>funding Joint Risk M</w:t>
      </w:r>
      <w:r w:rsidRPr="00DF5567">
        <w:rPr>
          <w:rFonts w:ascii="Times New Roman" w:hAnsi="Times New Roman" w:cs="Times New Roman"/>
        </w:rPr>
        <w:t xml:space="preserve">anagement </w:t>
      </w:r>
      <w:r w:rsidR="00B12817" w:rsidRPr="00DF5567">
        <w:rPr>
          <w:rFonts w:ascii="Times New Roman" w:hAnsi="Times New Roman" w:cs="Times New Roman"/>
        </w:rPr>
        <w:t>S</w:t>
      </w:r>
      <w:r w:rsidRPr="00DF5567">
        <w:rPr>
          <w:rFonts w:ascii="Times New Roman" w:hAnsi="Times New Roman" w:cs="Times New Roman"/>
        </w:rPr>
        <w:t>trategy and the fund risk analysis</w:t>
      </w:r>
      <w:r w:rsidR="00B12817" w:rsidRPr="00DF5567">
        <w:rPr>
          <w:rFonts w:ascii="Times New Roman" w:hAnsi="Times New Roman" w:cs="Times New Roman"/>
        </w:rPr>
        <w:t xml:space="preserve"> to allow them a better understanding of the risk management context and enable information comparison among programmes in order to develop the best practice on the risk management at the programme level in line with the RM strategy, and agency procedures; </w:t>
      </w:r>
    </w:p>
    <w:p w:rsidR="00BC59DF" w:rsidRPr="00DF5567" w:rsidRDefault="00BC59DF" w:rsidP="00DF5567">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Develop capacity of programme staff and other stakeholders on managing the risk</w:t>
      </w:r>
    </w:p>
    <w:p w:rsidR="00DF5567" w:rsidRDefault="00920202" w:rsidP="009C5FA3">
      <w:pPr>
        <w:pStyle w:val="ListParagraph"/>
        <w:numPr>
          <w:ilvl w:val="0"/>
          <w:numId w:val="10"/>
        </w:numPr>
        <w:spacing w:after="0" w:line="240" w:lineRule="auto"/>
        <w:contextualSpacing w:val="0"/>
        <w:rPr>
          <w:rFonts w:ascii="Times New Roman" w:hAnsi="Times New Roman" w:cs="Times New Roman"/>
        </w:rPr>
      </w:pPr>
      <w:bookmarkStart w:id="0" w:name="_GoBack"/>
      <w:bookmarkEnd w:id="0"/>
      <w:r w:rsidRPr="00DF5567">
        <w:rPr>
          <w:rFonts w:ascii="Times New Roman" w:hAnsi="Times New Roman" w:cs="Times New Roman"/>
        </w:rPr>
        <w:t>Update risk rating for each category on 6-months basis</w:t>
      </w:r>
      <w:r w:rsidR="00DF5567">
        <w:rPr>
          <w:rFonts w:ascii="Times New Roman" w:hAnsi="Times New Roman" w:cs="Times New Roman"/>
        </w:rPr>
        <w:t xml:space="preserve"> </w:t>
      </w:r>
    </w:p>
    <w:p w:rsidR="00BC59DF" w:rsidRPr="00DF5567" w:rsidRDefault="00BC59DF" w:rsidP="009C5FA3">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 xml:space="preserve">Ensure coherence among different UN agencies participating in joint programmes and among different programmes, while taking into consideration different risk tolerance and procedures, as well as different level of exposure towards a given risk. </w:t>
      </w:r>
    </w:p>
    <w:p w:rsidR="00DF5567" w:rsidRDefault="00E27E2A" w:rsidP="009C5FA3">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Keep regular contacts and provide continuous support to joint programmes on the risk management</w:t>
      </w:r>
    </w:p>
    <w:p w:rsidR="00E27E2A" w:rsidRPr="00DF5567" w:rsidRDefault="00E27E2A" w:rsidP="009C5FA3">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 xml:space="preserve">Support on the risk monitoring indicators and updates. </w:t>
      </w:r>
    </w:p>
    <w:p w:rsidR="00DF5567" w:rsidRDefault="00E27E2A" w:rsidP="009C5FA3">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Develop easy to read and update risk update matrix in consultation with the JP PM</w:t>
      </w:r>
    </w:p>
    <w:p w:rsidR="00E27E2A" w:rsidRPr="00DF5567" w:rsidRDefault="00E27E2A" w:rsidP="009C5FA3">
      <w:pPr>
        <w:pStyle w:val="ListParagraph"/>
        <w:numPr>
          <w:ilvl w:val="0"/>
          <w:numId w:val="10"/>
        </w:numPr>
        <w:spacing w:after="0" w:line="240" w:lineRule="auto"/>
        <w:contextualSpacing w:val="0"/>
        <w:rPr>
          <w:rFonts w:ascii="Times New Roman" w:hAnsi="Times New Roman" w:cs="Times New Roman"/>
        </w:rPr>
      </w:pPr>
      <w:r w:rsidRPr="00DF5567">
        <w:rPr>
          <w:rFonts w:ascii="Times New Roman" w:hAnsi="Times New Roman" w:cs="Times New Roman"/>
        </w:rPr>
        <w:t xml:space="preserve">Update the RM matrix and share it with the JP PMs on quarterly basis. </w:t>
      </w:r>
    </w:p>
    <w:p w:rsidR="00D03FAB" w:rsidRDefault="00D03FAB" w:rsidP="007B0400">
      <w:pPr>
        <w:spacing w:after="0" w:line="240" w:lineRule="auto"/>
      </w:pPr>
    </w:p>
    <w:p w:rsidR="00D03FAB" w:rsidRDefault="00D03FAB" w:rsidP="007B0400">
      <w:pPr>
        <w:spacing w:after="0" w:line="240" w:lineRule="auto"/>
      </w:pPr>
    </w:p>
    <w:p w:rsidR="00BC59DF" w:rsidRDefault="00BC59DF" w:rsidP="007B0400">
      <w:pPr>
        <w:spacing w:after="0" w:line="240" w:lineRule="auto"/>
      </w:pPr>
    </w:p>
    <w:p w:rsidR="00D03FAB" w:rsidRDefault="00D03FAB" w:rsidP="007B0400">
      <w:pPr>
        <w:spacing w:after="0" w:line="240" w:lineRule="auto"/>
      </w:pPr>
    </w:p>
    <w:sectPr w:rsidR="00D03FAB" w:rsidSect="0092552D">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7D8" w:rsidRDefault="009657D8" w:rsidP="00EE4F9B">
      <w:pPr>
        <w:spacing w:after="0" w:line="240" w:lineRule="auto"/>
      </w:pPr>
      <w:r>
        <w:separator/>
      </w:r>
    </w:p>
  </w:endnote>
  <w:endnote w:type="continuationSeparator" w:id="0">
    <w:p w:rsidR="009657D8" w:rsidRDefault="009657D8" w:rsidP="00EE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66866"/>
      <w:docPartObj>
        <w:docPartGallery w:val="Page Numbers (Bottom of Page)"/>
        <w:docPartUnique/>
      </w:docPartObj>
    </w:sdtPr>
    <w:sdtEndPr>
      <w:rPr>
        <w:noProof/>
      </w:rPr>
    </w:sdtEndPr>
    <w:sdtContent>
      <w:p w:rsidR="009C5FA3" w:rsidRDefault="009C5FA3">
        <w:pPr>
          <w:pStyle w:val="Footer"/>
          <w:jc w:val="right"/>
        </w:pPr>
        <w:r>
          <w:fldChar w:fldCharType="begin"/>
        </w:r>
        <w:r>
          <w:instrText xml:space="preserve"> PAGE   \* MERGEFORMAT </w:instrText>
        </w:r>
        <w:r>
          <w:fldChar w:fldCharType="separate"/>
        </w:r>
        <w:r w:rsidR="007D3301">
          <w:rPr>
            <w:noProof/>
          </w:rPr>
          <w:t>1</w:t>
        </w:r>
        <w:r>
          <w:rPr>
            <w:noProof/>
          </w:rPr>
          <w:fldChar w:fldCharType="end"/>
        </w:r>
      </w:p>
    </w:sdtContent>
  </w:sdt>
  <w:p w:rsidR="009C5FA3" w:rsidRDefault="009C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7D8" w:rsidRDefault="009657D8" w:rsidP="00EE4F9B">
      <w:pPr>
        <w:spacing w:after="0" w:line="240" w:lineRule="auto"/>
      </w:pPr>
      <w:r>
        <w:separator/>
      </w:r>
    </w:p>
  </w:footnote>
  <w:footnote w:type="continuationSeparator" w:id="0">
    <w:p w:rsidR="009657D8" w:rsidRDefault="009657D8" w:rsidP="00EE4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2AA2"/>
    <w:multiLevelType w:val="hybridMultilevel"/>
    <w:tmpl w:val="2B2CA62E"/>
    <w:lvl w:ilvl="0" w:tplc="B574DB6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4C58C1"/>
    <w:multiLevelType w:val="hybridMultilevel"/>
    <w:tmpl w:val="408224B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7A0117"/>
    <w:multiLevelType w:val="hybridMultilevel"/>
    <w:tmpl w:val="7C4E629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0407D9"/>
    <w:multiLevelType w:val="hybridMultilevel"/>
    <w:tmpl w:val="BB1C96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AE40D9"/>
    <w:multiLevelType w:val="hybridMultilevel"/>
    <w:tmpl w:val="121E55AC"/>
    <w:lvl w:ilvl="0" w:tplc="E5905C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D754034"/>
    <w:multiLevelType w:val="hybridMultilevel"/>
    <w:tmpl w:val="8CA4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7D1C"/>
    <w:multiLevelType w:val="hybridMultilevel"/>
    <w:tmpl w:val="D1C2BB3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2C354B"/>
    <w:multiLevelType w:val="hybridMultilevel"/>
    <w:tmpl w:val="5AC23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644A1"/>
    <w:multiLevelType w:val="hybridMultilevel"/>
    <w:tmpl w:val="5954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C3A3C"/>
    <w:multiLevelType w:val="hybridMultilevel"/>
    <w:tmpl w:val="C9C0749C"/>
    <w:lvl w:ilvl="0" w:tplc="CDF0090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9"/>
  </w:num>
  <w:num w:numId="6">
    <w:abstractNumId w:val="2"/>
  </w:num>
  <w:num w:numId="7">
    <w:abstractNumId w:val="5"/>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8D"/>
    <w:rsid w:val="00005674"/>
    <w:rsid w:val="000062D2"/>
    <w:rsid w:val="000243F8"/>
    <w:rsid w:val="000D40F7"/>
    <w:rsid w:val="00127AE7"/>
    <w:rsid w:val="001741FE"/>
    <w:rsid w:val="001A21D9"/>
    <w:rsid w:val="00272D91"/>
    <w:rsid w:val="002A6197"/>
    <w:rsid w:val="00344FF4"/>
    <w:rsid w:val="00363927"/>
    <w:rsid w:val="003A5A44"/>
    <w:rsid w:val="003B7EFF"/>
    <w:rsid w:val="003D7B2E"/>
    <w:rsid w:val="004409BE"/>
    <w:rsid w:val="00485741"/>
    <w:rsid w:val="004A4A75"/>
    <w:rsid w:val="004A4EE6"/>
    <w:rsid w:val="0055213E"/>
    <w:rsid w:val="00560BC0"/>
    <w:rsid w:val="00564C19"/>
    <w:rsid w:val="005903EA"/>
    <w:rsid w:val="005E064E"/>
    <w:rsid w:val="00605177"/>
    <w:rsid w:val="006738BE"/>
    <w:rsid w:val="007148B9"/>
    <w:rsid w:val="00721877"/>
    <w:rsid w:val="00722FF9"/>
    <w:rsid w:val="007B0400"/>
    <w:rsid w:val="007D3301"/>
    <w:rsid w:val="00820F33"/>
    <w:rsid w:val="0087638A"/>
    <w:rsid w:val="0089528D"/>
    <w:rsid w:val="008E3106"/>
    <w:rsid w:val="00920202"/>
    <w:rsid w:val="0092552D"/>
    <w:rsid w:val="009657D8"/>
    <w:rsid w:val="009A08B0"/>
    <w:rsid w:val="009A113C"/>
    <w:rsid w:val="009C5FA3"/>
    <w:rsid w:val="00A36D45"/>
    <w:rsid w:val="00A9095F"/>
    <w:rsid w:val="00A96816"/>
    <w:rsid w:val="00B12817"/>
    <w:rsid w:val="00B23CF4"/>
    <w:rsid w:val="00BC59DF"/>
    <w:rsid w:val="00BF0621"/>
    <w:rsid w:val="00D000E4"/>
    <w:rsid w:val="00D03FAB"/>
    <w:rsid w:val="00DB074F"/>
    <w:rsid w:val="00DF5567"/>
    <w:rsid w:val="00E02CA0"/>
    <w:rsid w:val="00E27E2A"/>
    <w:rsid w:val="00EC264D"/>
    <w:rsid w:val="00ED4B47"/>
    <w:rsid w:val="00EE4F9B"/>
    <w:rsid w:val="00EE5369"/>
    <w:rsid w:val="00F46C3E"/>
    <w:rsid w:val="00FC7668"/>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6FA9F"/>
  <w15:chartTrackingRefBased/>
  <w15:docId w15:val="{330DD0F2-35FB-44B3-9D15-663F8633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8D"/>
    <w:pPr>
      <w:ind w:left="720"/>
      <w:contextualSpacing/>
    </w:pPr>
  </w:style>
  <w:style w:type="paragraph" w:customStyle="1" w:styleId="Default">
    <w:name w:val="Default"/>
    <w:rsid w:val="00D000E4"/>
    <w:pPr>
      <w:autoSpaceDE w:val="0"/>
      <w:autoSpaceDN w:val="0"/>
      <w:adjustRightInd w:val="0"/>
      <w:spacing w:after="0" w:line="240" w:lineRule="auto"/>
    </w:pPr>
    <w:rPr>
      <w:rFonts w:ascii="Palatino Linotype" w:hAnsi="Palatino Linotype" w:cs="Palatino Linotype"/>
      <w:color w:val="000000"/>
      <w:sz w:val="24"/>
      <w:szCs w:val="24"/>
    </w:rPr>
  </w:style>
  <w:style w:type="paragraph" w:styleId="NormalWeb">
    <w:name w:val="Normal (Web)"/>
    <w:basedOn w:val="Normal"/>
    <w:uiPriority w:val="99"/>
    <w:semiHidden/>
    <w:unhideWhenUsed/>
    <w:rsid w:val="005E06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4F"/>
    <w:rPr>
      <w:rFonts w:ascii="Segoe UI" w:hAnsi="Segoe UI" w:cs="Segoe UI"/>
      <w:sz w:val="18"/>
      <w:szCs w:val="18"/>
    </w:rPr>
  </w:style>
  <w:style w:type="table" w:styleId="TableGrid">
    <w:name w:val="Table Grid"/>
    <w:basedOn w:val="TableNormal"/>
    <w:uiPriority w:val="39"/>
    <w:rsid w:val="006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9B"/>
  </w:style>
  <w:style w:type="paragraph" w:styleId="Footer">
    <w:name w:val="footer"/>
    <w:basedOn w:val="Normal"/>
    <w:link w:val="FooterChar"/>
    <w:uiPriority w:val="99"/>
    <w:unhideWhenUsed/>
    <w:rsid w:val="00EE4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5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Merita Jorgo</dc:creator>
  <cp:keywords/>
  <dc:description/>
  <cp:lastModifiedBy>merita jorgo</cp:lastModifiedBy>
  <cp:revision>2</cp:revision>
  <cp:lastPrinted>2016-08-24T08:34:00Z</cp:lastPrinted>
  <dcterms:created xsi:type="dcterms:W3CDTF">2017-01-30T13:51:00Z</dcterms:created>
  <dcterms:modified xsi:type="dcterms:W3CDTF">2017-01-30T13:51:00Z</dcterms:modified>
</cp:coreProperties>
</file>