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E169" w14:textId="3206A798" w:rsidR="00D66A1D" w:rsidRPr="00F36109" w:rsidRDefault="00D66A1D" w:rsidP="00D66A1D">
      <w:pPr>
        <w:pStyle w:val="Subtitle"/>
        <w:tabs>
          <w:tab w:val="left" w:pos="540"/>
          <w:tab w:val="left" w:pos="864"/>
          <w:tab w:val="left" w:pos="1584"/>
          <w:tab w:val="left" w:pos="2304"/>
        </w:tabs>
        <w:spacing w:after="120"/>
        <w:jc w:val="both"/>
        <w:rPr>
          <w:sz w:val="28"/>
          <w:szCs w:val="28"/>
        </w:rPr>
      </w:pPr>
      <w:r w:rsidRPr="00F36109">
        <w:rPr>
          <w:noProof/>
          <w:sz w:val="28"/>
          <w:szCs w:val="28"/>
        </w:rPr>
        <w:drawing>
          <wp:inline distT="0" distB="0" distL="0" distR="0" wp14:anchorId="047AF94C" wp14:editId="5EC59BE2">
            <wp:extent cx="6376299" cy="807999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76299" cy="8079999"/>
                    </a:xfrm>
                    <a:prstGeom prst="rect">
                      <a:avLst/>
                    </a:prstGeom>
                    <a:ln/>
                  </pic:spPr>
                </pic:pic>
              </a:graphicData>
            </a:graphic>
          </wp:inline>
        </w:drawing>
      </w:r>
    </w:p>
    <w:p w14:paraId="66903F80" w14:textId="77777777" w:rsidR="00D66A1D" w:rsidRPr="00F36109" w:rsidRDefault="00D66A1D" w:rsidP="00D66A1D">
      <w:pPr>
        <w:pStyle w:val="Subtitle"/>
        <w:tabs>
          <w:tab w:val="left" w:pos="540"/>
          <w:tab w:val="left" w:pos="864"/>
          <w:tab w:val="left" w:pos="1584"/>
          <w:tab w:val="left" w:pos="2304"/>
        </w:tabs>
        <w:spacing w:after="120"/>
        <w:jc w:val="both"/>
        <w:rPr>
          <w:sz w:val="28"/>
          <w:szCs w:val="28"/>
        </w:rPr>
      </w:pPr>
    </w:p>
    <w:p w14:paraId="46E100D8" w14:textId="77777777" w:rsidR="00D66A1D" w:rsidRPr="00F36109" w:rsidRDefault="00D66A1D" w:rsidP="00D66A1D">
      <w:pPr>
        <w:pStyle w:val="Subtitle"/>
        <w:tabs>
          <w:tab w:val="left" w:pos="540"/>
          <w:tab w:val="left" w:pos="864"/>
          <w:tab w:val="left" w:pos="1584"/>
          <w:tab w:val="left" w:pos="2304"/>
        </w:tabs>
        <w:spacing w:after="120"/>
        <w:jc w:val="both"/>
        <w:rPr>
          <w:sz w:val="28"/>
          <w:szCs w:val="28"/>
        </w:rPr>
      </w:pPr>
    </w:p>
    <w:p w14:paraId="40EA3529" w14:textId="77777777" w:rsidR="00D66A1D" w:rsidRPr="00F36109" w:rsidRDefault="00D66A1D" w:rsidP="00D66A1D">
      <w:pPr>
        <w:pStyle w:val="Subtitle"/>
        <w:tabs>
          <w:tab w:val="left" w:pos="540"/>
          <w:tab w:val="left" w:pos="864"/>
          <w:tab w:val="left" w:pos="1584"/>
          <w:tab w:val="left" w:pos="2304"/>
        </w:tabs>
        <w:spacing w:after="120"/>
        <w:jc w:val="both"/>
        <w:rPr>
          <w:sz w:val="28"/>
          <w:szCs w:val="28"/>
        </w:rPr>
      </w:pPr>
      <w:r w:rsidRPr="00F36109">
        <w:rPr>
          <w:sz w:val="28"/>
          <w:szCs w:val="28"/>
        </w:rPr>
        <w:t>ToR for the Joint Fund for the 2030 Agenda (the Joint SDG Fund)</w:t>
      </w:r>
      <w:r w:rsidRPr="00F36109">
        <w:rPr>
          <w:sz w:val="28"/>
          <w:szCs w:val="28"/>
          <w:vertAlign w:val="superscript"/>
        </w:rPr>
        <w:footnoteReference w:id="1"/>
      </w:r>
    </w:p>
    <w:p w14:paraId="740645CD" w14:textId="77777777" w:rsidR="00D66A1D" w:rsidRPr="00F36109" w:rsidRDefault="00D66A1D" w:rsidP="00D66A1D">
      <w:pPr>
        <w:keepNext/>
        <w:keepLines/>
        <w:pBdr>
          <w:top w:val="nil"/>
          <w:left w:val="nil"/>
          <w:bottom w:val="nil"/>
          <w:right w:val="nil"/>
          <w:between w:val="nil"/>
        </w:pBdr>
        <w:spacing w:before="240" w:after="0"/>
        <w:jc w:val="both"/>
        <w:rPr>
          <w:rFonts w:ascii="Times New Roman" w:eastAsia="Times New Roman" w:hAnsi="Times New Roman" w:cs="Times New Roman"/>
          <w:color w:val="366091"/>
          <w:sz w:val="32"/>
          <w:szCs w:val="32"/>
        </w:rPr>
      </w:pPr>
      <w:r w:rsidRPr="00F36109">
        <w:rPr>
          <w:rFonts w:ascii="Times New Roman" w:eastAsia="Times New Roman" w:hAnsi="Times New Roman" w:cs="Times New Roman"/>
          <w:color w:val="366091"/>
          <w:sz w:val="32"/>
          <w:szCs w:val="32"/>
        </w:rPr>
        <w:t>Contents</w:t>
      </w:r>
    </w:p>
    <w:sdt>
      <w:sdtPr>
        <w:rPr>
          <w:rFonts w:ascii="Times New Roman" w:hAnsi="Times New Roman" w:cs="Times New Roman"/>
        </w:rPr>
        <w:id w:val="-670870165"/>
        <w:docPartObj>
          <w:docPartGallery w:val="Table of Contents"/>
          <w:docPartUnique/>
        </w:docPartObj>
      </w:sdtPr>
      <w:sdtContent>
        <w:p w14:paraId="4B75B057" w14:textId="4BCAF913" w:rsidR="00F9107F" w:rsidRDefault="00D66A1D">
          <w:pPr>
            <w:pStyle w:val="TOC1"/>
            <w:tabs>
              <w:tab w:val="left" w:pos="440"/>
              <w:tab w:val="right" w:pos="9350"/>
            </w:tabs>
            <w:rPr>
              <w:noProof/>
              <w:lang w:eastAsia="en-US"/>
            </w:rPr>
          </w:pPr>
          <w:r w:rsidRPr="0014618D">
            <w:rPr>
              <w:rFonts w:ascii="Times New Roman" w:hAnsi="Times New Roman" w:cs="Times New Roman"/>
            </w:rPr>
            <w:fldChar w:fldCharType="begin"/>
          </w:r>
          <w:r w:rsidRPr="0014618D">
            <w:rPr>
              <w:rFonts w:ascii="Times New Roman" w:hAnsi="Times New Roman" w:cs="Times New Roman"/>
            </w:rPr>
            <w:instrText xml:space="preserve"> TOC \h \u \z </w:instrText>
          </w:r>
          <w:r w:rsidRPr="0014618D">
            <w:rPr>
              <w:rFonts w:ascii="Times New Roman" w:hAnsi="Times New Roman" w:cs="Times New Roman"/>
            </w:rPr>
            <w:fldChar w:fldCharType="separate"/>
          </w:r>
          <w:hyperlink w:anchor="_Toc530577704" w:history="1">
            <w:r w:rsidR="00F9107F" w:rsidRPr="00A40EE0">
              <w:rPr>
                <w:rStyle w:val="Hyperlink"/>
                <w:rFonts w:ascii="Times New Roman" w:eastAsia="Times New Roman" w:hAnsi="Times New Roman" w:cs="Times New Roman"/>
                <w:noProof/>
              </w:rPr>
              <w:t>1.</w:t>
            </w:r>
            <w:r w:rsidR="00166CEC">
              <w:rPr>
                <w:noProof/>
                <w:lang w:eastAsia="en-US"/>
              </w:rPr>
              <w:t xml:space="preserve"> </w:t>
            </w:r>
            <w:r w:rsidR="00F9107F" w:rsidRPr="00A40EE0">
              <w:rPr>
                <w:rStyle w:val="Hyperlink"/>
                <w:rFonts w:ascii="Times New Roman" w:eastAsia="Times New Roman" w:hAnsi="Times New Roman" w:cs="Times New Roman"/>
                <w:noProof/>
              </w:rPr>
              <w:t>INTRODUCTION</w:t>
            </w:r>
            <w:r w:rsidR="00F9107F">
              <w:rPr>
                <w:noProof/>
                <w:webHidden/>
              </w:rPr>
              <w:tab/>
            </w:r>
            <w:r w:rsidR="00F9107F">
              <w:rPr>
                <w:noProof/>
                <w:webHidden/>
              </w:rPr>
              <w:fldChar w:fldCharType="begin"/>
            </w:r>
            <w:r w:rsidR="00F9107F">
              <w:rPr>
                <w:noProof/>
                <w:webHidden/>
              </w:rPr>
              <w:instrText xml:space="preserve"> PAGEREF _Toc530577704 \h </w:instrText>
            </w:r>
            <w:r w:rsidR="00F9107F">
              <w:rPr>
                <w:noProof/>
                <w:webHidden/>
              </w:rPr>
            </w:r>
            <w:r w:rsidR="00F9107F">
              <w:rPr>
                <w:noProof/>
                <w:webHidden/>
              </w:rPr>
              <w:fldChar w:fldCharType="separate"/>
            </w:r>
            <w:r w:rsidR="00E2169E">
              <w:rPr>
                <w:noProof/>
                <w:webHidden/>
              </w:rPr>
              <w:t>3</w:t>
            </w:r>
            <w:r w:rsidR="00F9107F">
              <w:rPr>
                <w:noProof/>
                <w:webHidden/>
              </w:rPr>
              <w:fldChar w:fldCharType="end"/>
            </w:r>
          </w:hyperlink>
        </w:p>
        <w:p w14:paraId="7CFAE799" w14:textId="67561760" w:rsidR="00F9107F" w:rsidRDefault="00F9107F">
          <w:pPr>
            <w:pStyle w:val="TOC1"/>
            <w:tabs>
              <w:tab w:val="right" w:pos="9350"/>
            </w:tabs>
            <w:rPr>
              <w:noProof/>
              <w:lang w:eastAsia="en-US"/>
            </w:rPr>
          </w:pPr>
          <w:hyperlink w:anchor="_Toc530577705" w:history="1">
            <w:r w:rsidRPr="00A40EE0">
              <w:rPr>
                <w:rStyle w:val="Hyperlink"/>
                <w:rFonts w:ascii="Times New Roman" w:eastAsia="Times New Roman" w:hAnsi="Times New Roman" w:cs="Times New Roman"/>
                <w:noProof/>
              </w:rPr>
              <w:t>2</w:t>
            </w:r>
            <w:r w:rsidR="00166CEC">
              <w:rPr>
                <w:rStyle w:val="Hyperlink"/>
                <w:rFonts w:ascii="Times New Roman" w:eastAsia="Times New Roman" w:hAnsi="Times New Roman" w:cs="Times New Roman"/>
                <w:noProof/>
              </w:rPr>
              <w:t xml:space="preserve">. </w:t>
            </w:r>
            <w:r w:rsidRPr="00A40EE0">
              <w:rPr>
                <w:rStyle w:val="Hyperlink"/>
                <w:rFonts w:ascii="Times New Roman" w:eastAsia="Times New Roman" w:hAnsi="Times New Roman" w:cs="Times New Roman"/>
                <w:noProof/>
              </w:rPr>
              <w:t>FUNCTIONS OF THE JOINT SDG FUND</w:t>
            </w:r>
            <w:r>
              <w:rPr>
                <w:noProof/>
                <w:webHidden/>
              </w:rPr>
              <w:tab/>
            </w:r>
            <w:r>
              <w:rPr>
                <w:noProof/>
                <w:webHidden/>
              </w:rPr>
              <w:fldChar w:fldCharType="begin"/>
            </w:r>
            <w:r>
              <w:rPr>
                <w:noProof/>
                <w:webHidden/>
              </w:rPr>
              <w:instrText xml:space="preserve"> PAGEREF _Toc530577705 \h </w:instrText>
            </w:r>
            <w:r>
              <w:rPr>
                <w:noProof/>
                <w:webHidden/>
              </w:rPr>
            </w:r>
            <w:r>
              <w:rPr>
                <w:noProof/>
                <w:webHidden/>
              </w:rPr>
              <w:fldChar w:fldCharType="separate"/>
            </w:r>
            <w:r w:rsidR="00E2169E">
              <w:rPr>
                <w:noProof/>
                <w:webHidden/>
              </w:rPr>
              <w:t>5</w:t>
            </w:r>
            <w:r>
              <w:rPr>
                <w:noProof/>
                <w:webHidden/>
              </w:rPr>
              <w:fldChar w:fldCharType="end"/>
            </w:r>
          </w:hyperlink>
        </w:p>
        <w:p w14:paraId="4093CB4C" w14:textId="5BBE5FAC" w:rsidR="00F9107F" w:rsidRDefault="00F9107F">
          <w:pPr>
            <w:pStyle w:val="TOC1"/>
            <w:tabs>
              <w:tab w:val="right" w:pos="9350"/>
            </w:tabs>
            <w:rPr>
              <w:noProof/>
              <w:lang w:eastAsia="en-US"/>
            </w:rPr>
          </w:pPr>
          <w:hyperlink w:anchor="_Toc530577706" w:history="1">
            <w:r w:rsidRPr="00A40EE0">
              <w:rPr>
                <w:rStyle w:val="Hyperlink"/>
                <w:rFonts w:ascii="Times New Roman" w:eastAsia="Times New Roman" w:hAnsi="Times New Roman" w:cs="Times New Roman"/>
                <w:noProof/>
              </w:rPr>
              <w:t>3. PROGRAMMATIC SCOPE AND THEORY OF CHANGE</w:t>
            </w:r>
            <w:r>
              <w:rPr>
                <w:noProof/>
                <w:webHidden/>
              </w:rPr>
              <w:tab/>
            </w:r>
            <w:r>
              <w:rPr>
                <w:noProof/>
                <w:webHidden/>
              </w:rPr>
              <w:fldChar w:fldCharType="begin"/>
            </w:r>
            <w:r>
              <w:rPr>
                <w:noProof/>
                <w:webHidden/>
              </w:rPr>
              <w:instrText xml:space="preserve"> PAGEREF _Toc530577706 \h </w:instrText>
            </w:r>
            <w:r>
              <w:rPr>
                <w:noProof/>
                <w:webHidden/>
              </w:rPr>
            </w:r>
            <w:r>
              <w:rPr>
                <w:noProof/>
                <w:webHidden/>
              </w:rPr>
              <w:fldChar w:fldCharType="separate"/>
            </w:r>
            <w:r w:rsidR="00E2169E">
              <w:rPr>
                <w:noProof/>
                <w:webHidden/>
              </w:rPr>
              <w:t>5</w:t>
            </w:r>
            <w:r>
              <w:rPr>
                <w:noProof/>
                <w:webHidden/>
              </w:rPr>
              <w:fldChar w:fldCharType="end"/>
            </w:r>
          </w:hyperlink>
        </w:p>
        <w:p w14:paraId="00EB000D" w14:textId="2E3FC1FE" w:rsidR="00F9107F" w:rsidRDefault="00F9107F">
          <w:pPr>
            <w:pStyle w:val="TOC1"/>
            <w:tabs>
              <w:tab w:val="left" w:pos="440"/>
              <w:tab w:val="right" w:pos="9350"/>
            </w:tabs>
            <w:rPr>
              <w:noProof/>
              <w:lang w:eastAsia="en-US"/>
            </w:rPr>
          </w:pPr>
          <w:hyperlink w:anchor="_Toc530577707" w:history="1">
            <w:r w:rsidRPr="00A40EE0">
              <w:rPr>
                <w:rStyle w:val="Hyperlink"/>
                <w:rFonts w:ascii="Times New Roman" w:eastAsia="Times New Roman" w:hAnsi="Times New Roman" w:cs="Times New Roman"/>
                <w:noProof/>
              </w:rPr>
              <w:t>4.</w:t>
            </w:r>
            <w:r w:rsidR="00166CEC">
              <w:rPr>
                <w:noProof/>
                <w:lang w:eastAsia="en-US"/>
              </w:rPr>
              <w:t xml:space="preserve"> </w:t>
            </w:r>
            <w:r w:rsidRPr="00A40EE0">
              <w:rPr>
                <w:rStyle w:val="Hyperlink"/>
                <w:rFonts w:ascii="Times New Roman" w:eastAsia="Times New Roman" w:hAnsi="Times New Roman" w:cs="Times New Roman"/>
                <w:noProof/>
              </w:rPr>
              <w:t>GOVERNANCE ARRANGEMENTS</w:t>
            </w:r>
            <w:r>
              <w:rPr>
                <w:noProof/>
                <w:webHidden/>
              </w:rPr>
              <w:tab/>
            </w:r>
            <w:r>
              <w:rPr>
                <w:noProof/>
                <w:webHidden/>
              </w:rPr>
              <w:fldChar w:fldCharType="begin"/>
            </w:r>
            <w:r>
              <w:rPr>
                <w:noProof/>
                <w:webHidden/>
              </w:rPr>
              <w:instrText xml:space="preserve"> PAGEREF _Toc530577707 \h </w:instrText>
            </w:r>
            <w:r>
              <w:rPr>
                <w:noProof/>
                <w:webHidden/>
              </w:rPr>
            </w:r>
            <w:r>
              <w:rPr>
                <w:noProof/>
                <w:webHidden/>
              </w:rPr>
              <w:fldChar w:fldCharType="separate"/>
            </w:r>
            <w:r w:rsidR="00E2169E">
              <w:rPr>
                <w:noProof/>
                <w:webHidden/>
              </w:rPr>
              <w:t>6</w:t>
            </w:r>
            <w:r>
              <w:rPr>
                <w:noProof/>
                <w:webHidden/>
              </w:rPr>
              <w:fldChar w:fldCharType="end"/>
            </w:r>
          </w:hyperlink>
        </w:p>
        <w:p w14:paraId="526D933E" w14:textId="68A19A31" w:rsidR="00F9107F" w:rsidRDefault="00F9107F">
          <w:pPr>
            <w:pStyle w:val="TOC2"/>
            <w:tabs>
              <w:tab w:val="right" w:pos="9350"/>
            </w:tabs>
            <w:rPr>
              <w:noProof/>
              <w:lang w:eastAsia="en-US"/>
            </w:rPr>
          </w:pPr>
          <w:hyperlink w:anchor="_Toc530577708" w:history="1">
            <w:r w:rsidRPr="00A40EE0">
              <w:rPr>
                <w:rStyle w:val="Hyperlink"/>
                <w:rFonts w:ascii="Times New Roman" w:eastAsia="Times New Roman" w:hAnsi="Times New Roman" w:cs="Times New Roman"/>
                <w:noProof/>
              </w:rPr>
              <w:t>4.1. Global Governance Mechanisms</w:t>
            </w:r>
            <w:r>
              <w:rPr>
                <w:noProof/>
                <w:webHidden/>
              </w:rPr>
              <w:tab/>
            </w:r>
            <w:r>
              <w:rPr>
                <w:noProof/>
                <w:webHidden/>
              </w:rPr>
              <w:fldChar w:fldCharType="begin"/>
            </w:r>
            <w:r>
              <w:rPr>
                <w:noProof/>
                <w:webHidden/>
              </w:rPr>
              <w:instrText xml:space="preserve"> PAGEREF _Toc530577708 \h </w:instrText>
            </w:r>
            <w:r>
              <w:rPr>
                <w:noProof/>
                <w:webHidden/>
              </w:rPr>
            </w:r>
            <w:r>
              <w:rPr>
                <w:noProof/>
                <w:webHidden/>
              </w:rPr>
              <w:fldChar w:fldCharType="separate"/>
            </w:r>
            <w:r w:rsidR="00E2169E">
              <w:rPr>
                <w:noProof/>
                <w:webHidden/>
              </w:rPr>
              <w:t>6</w:t>
            </w:r>
            <w:r>
              <w:rPr>
                <w:noProof/>
                <w:webHidden/>
              </w:rPr>
              <w:fldChar w:fldCharType="end"/>
            </w:r>
          </w:hyperlink>
        </w:p>
        <w:p w14:paraId="50B684EB" w14:textId="506B6D2D" w:rsidR="00F9107F" w:rsidRDefault="001C5BA5" w:rsidP="00F83471">
          <w:pPr>
            <w:pStyle w:val="TOC3"/>
            <w:ind w:left="0"/>
            <w:rPr>
              <w:lang w:eastAsia="en-US"/>
            </w:rPr>
          </w:pPr>
          <w:r w:rsidRPr="001C5BA5">
            <w:rPr>
              <w:rStyle w:val="Hyperlink"/>
              <w:color w:val="FFFFFF" w:themeColor="background1"/>
            </w:rPr>
            <w:t xml:space="preserve">    </w:t>
          </w:r>
          <w:hyperlink w:anchor="_Toc530577709" w:history="1">
            <w:r w:rsidR="00F9107F" w:rsidRPr="00A40EE0">
              <w:rPr>
                <w:rStyle w:val="Hyperlink"/>
                <w:rFonts w:ascii="Times New Roman" w:eastAsia="Times New Roman" w:hAnsi="Times New Roman" w:cs="Times New Roman"/>
              </w:rPr>
              <w:t>4.1.</w:t>
            </w:r>
            <w:r>
              <w:rPr>
                <w:rStyle w:val="Hyperlink"/>
                <w:rFonts w:ascii="Times New Roman" w:eastAsia="Times New Roman" w:hAnsi="Times New Roman" w:cs="Times New Roman"/>
              </w:rPr>
              <w:t>1</w:t>
            </w:r>
            <w:r w:rsidR="000707FB">
              <w:rPr>
                <w:rStyle w:val="Hyperlink"/>
                <w:rFonts w:ascii="Times New Roman" w:eastAsia="Times New Roman" w:hAnsi="Times New Roman" w:cs="Times New Roman"/>
              </w:rPr>
              <w:t>.</w:t>
            </w:r>
            <w:r w:rsidR="00F9107F" w:rsidRPr="00A40EE0">
              <w:rPr>
                <w:rStyle w:val="Hyperlink"/>
                <w:rFonts w:ascii="Times New Roman" w:eastAsia="Times New Roman" w:hAnsi="Times New Roman" w:cs="Times New Roman"/>
              </w:rPr>
              <w:t xml:space="preserve"> Strategic Advisory Group</w:t>
            </w:r>
            <w:r w:rsidR="00F9107F">
              <w:rPr>
                <w:webHidden/>
              </w:rPr>
              <w:tab/>
            </w:r>
            <w:r w:rsidR="00F9107F">
              <w:rPr>
                <w:webHidden/>
              </w:rPr>
              <w:fldChar w:fldCharType="begin"/>
            </w:r>
            <w:r w:rsidR="00F9107F">
              <w:rPr>
                <w:webHidden/>
              </w:rPr>
              <w:instrText xml:space="preserve"> PAGEREF _Toc530577709 \h </w:instrText>
            </w:r>
            <w:r w:rsidR="00F9107F">
              <w:rPr>
                <w:webHidden/>
              </w:rPr>
            </w:r>
            <w:r w:rsidR="00F9107F">
              <w:rPr>
                <w:webHidden/>
              </w:rPr>
              <w:fldChar w:fldCharType="separate"/>
            </w:r>
            <w:r w:rsidR="00E2169E">
              <w:rPr>
                <w:webHidden/>
              </w:rPr>
              <w:t>7</w:t>
            </w:r>
            <w:r w:rsidR="00F9107F">
              <w:rPr>
                <w:webHidden/>
              </w:rPr>
              <w:fldChar w:fldCharType="end"/>
            </w:r>
          </w:hyperlink>
        </w:p>
        <w:p w14:paraId="1EAF839B" w14:textId="1FED179D" w:rsidR="00F9107F" w:rsidRDefault="00F9107F">
          <w:pPr>
            <w:pStyle w:val="TOC2"/>
            <w:tabs>
              <w:tab w:val="right" w:pos="9350"/>
            </w:tabs>
            <w:rPr>
              <w:noProof/>
              <w:lang w:eastAsia="en-US"/>
            </w:rPr>
          </w:pPr>
          <w:hyperlink w:anchor="_Toc530577714" w:history="1">
            <w:r w:rsidRPr="00A40EE0">
              <w:rPr>
                <w:rStyle w:val="Hyperlink"/>
                <w:rFonts w:ascii="Times New Roman" w:eastAsia="Times New Roman" w:hAnsi="Times New Roman" w:cs="Times New Roman"/>
                <w:noProof/>
              </w:rPr>
              <w:t>4.1.2</w:t>
            </w:r>
            <w:r w:rsidR="00166CEC">
              <w:rPr>
                <w:rStyle w:val="Hyperlink"/>
                <w:rFonts w:ascii="Times New Roman" w:eastAsia="Times New Roman" w:hAnsi="Times New Roman" w:cs="Times New Roman"/>
                <w:noProof/>
              </w:rPr>
              <w:t>.</w:t>
            </w:r>
            <w:r w:rsidRPr="00A40EE0">
              <w:rPr>
                <w:rStyle w:val="Hyperlink"/>
                <w:rFonts w:ascii="Times New Roman" w:eastAsia="Times New Roman" w:hAnsi="Times New Roman" w:cs="Times New Roman"/>
                <w:noProof/>
              </w:rPr>
              <w:t xml:space="preserve"> Operational Steering Committee</w:t>
            </w:r>
            <w:r>
              <w:rPr>
                <w:noProof/>
                <w:webHidden/>
              </w:rPr>
              <w:tab/>
            </w:r>
            <w:r>
              <w:rPr>
                <w:noProof/>
                <w:webHidden/>
              </w:rPr>
              <w:fldChar w:fldCharType="begin"/>
            </w:r>
            <w:r>
              <w:rPr>
                <w:noProof/>
                <w:webHidden/>
              </w:rPr>
              <w:instrText xml:space="preserve"> PAGEREF _Toc530577714 \h </w:instrText>
            </w:r>
            <w:r>
              <w:rPr>
                <w:noProof/>
                <w:webHidden/>
              </w:rPr>
            </w:r>
            <w:r>
              <w:rPr>
                <w:noProof/>
                <w:webHidden/>
              </w:rPr>
              <w:fldChar w:fldCharType="separate"/>
            </w:r>
            <w:r w:rsidR="00E2169E">
              <w:rPr>
                <w:noProof/>
                <w:webHidden/>
              </w:rPr>
              <w:t>8</w:t>
            </w:r>
            <w:r>
              <w:rPr>
                <w:noProof/>
                <w:webHidden/>
              </w:rPr>
              <w:fldChar w:fldCharType="end"/>
            </w:r>
          </w:hyperlink>
        </w:p>
        <w:p w14:paraId="19ED0889" w14:textId="1D4985C8" w:rsidR="00F9107F" w:rsidRDefault="00F9107F">
          <w:pPr>
            <w:pStyle w:val="TOC2"/>
            <w:tabs>
              <w:tab w:val="right" w:pos="9350"/>
            </w:tabs>
            <w:rPr>
              <w:noProof/>
              <w:lang w:eastAsia="en-US"/>
            </w:rPr>
          </w:pPr>
          <w:hyperlink w:anchor="_Toc530577717" w:history="1">
            <w:r w:rsidRPr="00A40EE0">
              <w:rPr>
                <w:rStyle w:val="Hyperlink"/>
                <w:rFonts w:ascii="Times New Roman" w:eastAsia="Times New Roman" w:hAnsi="Times New Roman" w:cs="Times New Roman"/>
                <w:noProof/>
              </w:rPr>
              <w:t>4.1.3. Joint SDG Fund Secretariat</w:t>
            </w:r>
            <w:r>
              <w:rPr>
                <w:noProof/>
                <w:webHidden/>
              </w:rPr>
              <w:tab/>
            </w:r>
            <w:r>
              <w:rPr>
                <w:noProof/>
                <w:webHidden/>
              </w:rPr>
              <w:fldChar w:fldCharType="begin"/>
            </w:r>
            <w:r>
              <w:rPr>
                <w:noProof/>
                <w:webHidden/>
              </w:rPr>
              <w:instrText xml:space="preserve"> PAGEREF _Toc530577717 \h </w:instrText>
            </w:r>
            <w:r>
              <w:rPr>
                <w:noProof/>
                <w:webHidden/>
              </w:rPr>
            </w:r>
            <w:r>
              <w:rPr>
                <w:noProof/>
                <w:webHidden/>
              </w:rPr>
              <w:fldChar w:fldCharType="separate"/>
            </w:r>
            <w:r w:rsidR="00E2169E">
              <w:rPr>
                <w:noProof/>
                <w:webHidden/>
              </w:rPr>
              <w:t>10</w:t>
            </w:r>
            <w:r>
              <w:rPr>
                <w:noProof/>
                <w:webHidden/>
              </w:rPr>
              <w:fldChar w:fldCharType="end"/>
            </w:r>
          </w:hyperlink>
        </w:p>
        <w:p w14:paraId="356D3F45" w14:textId="4FC595DE" w:rsidR="00F9107F" w:rsidRDefault="00F9107F">
          <w:pPr>
            <w:pStyle w:val="TOC2"/>
            <w:tabs>
              <w:tab w:val="left" w:pos="880"/>
              <w:tab w:val="right" w:pos="9350"/>
            </w:tabs>
            <w:rPr>
              <w:noProof/>
              <w:lang w:eastAsia="en-US"/>
            </w:rPr>
          </w:pPr>
          <w:hyperlink w:anchor="_Toc530577718" w:history="1">
            <w:r w:rsidRPr="00A40EE0">
              <w:rPr>
                <w:rStyle w:val="Hyperlink"/>
                <w:rFonts w:ascii="Times New Roman" w:eastAsia="Times New Roman" w:hAnsi="Times New Roman" w:cs="Times New Roman"/>
                <w:noProof/>
              </w:rPr>
              <w:t>4.2</w:t>
            </w:r>
            <w:r w:rsidR="00166CEC">
              <w:rPr>
                <w:rStyle w:val="Hyperlink"/>
                <w:rFonts w:ascii="Times New Roman" w:eastAsia="Times New Roman" w:hAnsi="Times New Roman" w:cs="Times New Roman"/>
                <w:noProof/>
              </w:rPr>
              <w:t>.</w:t>
            </w:r>
            <w:r w:rsidR="00166CEC">
              <w:rPr>
                <w:noProof/>
                <w:lang w:eastAsia="en-US"/>
              </w:rPr>
              <w:t xml:space="preserve"> </w:t>
            </w:r>
            <w:r w:rsidRPr="00A40EE0">
              <w:rPr>
                <w:rStyle w:val="Hyperlink"/>
                <w:rFonts w:ascii="Times New Roman" w:eastAsia="Times New Roman" w:hAnsi="Times New Roman" w:cs="Times New Roman"/>
                <w:noProof/>
              </w:rPr>
              <w:t>Country-level governance arrangements</w:t>
            </w:r>
            <w:r>
              <w:rPr>
                <w:noProof/>
                <w:webHidden/>
              </w:rPr>
              <w:tab/>
            </w:r>
            <w:r>
              <w:rPr>
                <w:noProof/>
                <w:webHidden/>
              </w:rPr>
              <w:fldChar w:fldCharType="begin"/>
            </w:r>
            <w:r>
              <w:rPr>
                <w:noProof/>
                <w:webHidden/>
              </w:rPr>
              <w:instrText xml:space="preserve"> PAGEREF _Toc530577718 \h </w:instrText>
            </w:r>
            <w:r>
              <w:rPr>
                <w:noProof/>
                <w:webHidden/>
              </w:rPr>
            </w:r>
            <w:r>
              <w:rPr>
                <w:noProof/>
                <w:webHidden/>
              </w:rPr>
              <w:fldChar w:fldCharType="separate"/>
            </w:r>
            <w:r w:rsidR="00E2169E">
              <w:rPr>
                <w:noProof/>
                <w:webHidden/>
              </w:rPr>
              <w:t>11</w:t>
            </w:r>
            <w:r>
              <w:rPr>
                <w:noProof/>
                <w:webHidden/>
              </w:rPr>
              <w:fldChar w:fldCharType="end"/>
            </w:r>
          </w:hyperlink>
        </w:p>
        <w:p w14:paraId="3B210931" w14:textId="017CD8CF" w:rsidR="00F9107F" w:rsidRDefault="00F9107F">
          <w:pPr>
            <w:pStyle w:val="TOC2"/>
            <w:tabs>
              <w:tab w:val="right" w:pos="9350"/>
            </w:tabs>
            <w:rPr>
              <w:noProof/>
              <w:lang w:eastAsia="en-US"/>
            </w:rPr>
          </w:pPr>
          <w:hyperlink w:anchor="_Toc530577719" w:history="1">
            <w:r w:rsidRPr="00A40EE0">
              <w:rPr>
                <w:rStyle w:val="Hyperlink"/>
                <w:rFonts w:ascii="Times New Roman" w:eastAsia="Times New Roman" w:hAnsi="Times New Roman" w:cs="Times New Roman"/>
                <w:noProof/>
              </w:rPr>
              <w:t>4.3. Fund Administrator</w:t>
            </w:r>
            <w:r>
              <w:rPr>
                <w:noProof/>
                <w:webHidden/>
              </w:rPr>
              <w:tab/>
            </w:r>
            <w:r>
              <w:rPr>
                <w:noProof/>
                <w:webHidden/>
              </w:rPr>
              <w:fldChar w:fldCharType="begin"/>
            </w:r>
            <w:r>
              <w:rPr>
                <w:noProof/>
                <w:webHidden/>
              </w:rPr>
              <w:instrText xml:space="preserve"> PAGEREF _Toc530577719 \h </w:instrText>
            </w:r>
            <w:r>
              <w:rPr>
                <w:noProof/>
                <w:webHidden/>
              </w:rPr>
            </w:r>
            <w:r>
              <w:rPr>
                <w:noProof/>
                <w:webHidden/>
              </w:rPr>
              <w:fldChar w:fldCharType="separate"/>
            </w:r>
            <w:r w:rsidR="00E2169E">
              <w:rPr>
                <w:noProof/>
                <w:webHidden/>
              </w:rPr>
              <w:t>12</w:t>
            </w:r>
            <w:r>
              <w:rPr>
                <w:noProof/>
                <w:webHidden/>
              </w:rPr>
              <w:fldChar w:fldCharType="end"/>
            </w:r>
          </w:hyperlink>
        </w:p>
        <w:p w14:paraId="7D6A6F71" w14:textId="73D6858A" w:rsidR="00F9107F" w:rsidRDefault="00F9107F">
          <w:pPr>
            <w:pStyle w:val="TOC2"/>
            <w:tabs>
              <w:tab w:val="right" w:pos="9350"/>
            </w:tabs>
            <w:rPr>
              <w:noProof/>
              <w:lang w:eastAsia="en-US"/>
            </w:rPr>
          </w:pPr>
          <w:hyperlink w:anchor="_Toc530577720" w:history="1">
            <w:r w:rsidRPr="00A40EE0">
              <w:rPr>
                <w:rStyle w:val="Hyperlink"/>
                <w:rFonts w:ascii="Times New Roman" w:eastAsia="Times New Roman" w:hAnsi="Times New Roman" w:cs="Times New Roman"/>
                <w:noProof/>
              </w:rPr>
              <w:t>4.4. The Participating UN Organizations (PUNOs)</w:t>
            </w:r>
            <w:r>
              <w:rPr>
                <w:noProof/>
                <w:webHidden/>
              </w:rPr>
              <w:tab/>
            </w:r>
            <w:r>
              <w:rPr>
                <w:noProof/>
                <w:webHidden/>
              </w:rPr>
              <w:fldChar w:fldCharType="begin"/>
            </w:r>
            <w:r>
              <w:rPr>
                <w:noProof/>
                <w:webHidden/>
              </w:rPr>
              <w:instrText xml:space="preserve"> PAGEREF _Toc530577720 \h </w:instrText>
            </w:r>
            <w:r>
              <w:rPr>
                <w:noProof/>
                <w:webHidden/>
              </w:rPr>
            </w:r>
            <w:r>
              <w:rPr>
                <w:noProof/>
                <w:webHidden/>
              </w:rPr>
              <w:fldChar w:fldCharType="separate"/>
            </w:r>
            <w:r w:rsidR="00E2169E">
              <w:rPr>
                <w:noProof/>
                <w:webHidden/>
              </w:rPr>
              <w:t>13</w:t>
            </w:r>
            <w:r>
              <w:rPr>
                <w:noProof/>
                <w:webHidden/>
              </w:rPr>
              <w:fldChar w:fldCharType="end"/>
            </w:r>
          </w:hyperlink>
        </w:p>
        <w:p w14:paraId="77424FAA" w14:textId="0163CF27" w:rsidR="00F9107F" w:rsidRDefault="00F9107F">
          <w:pPr>
            <w:pStyle w:val="TOC1"/>
            <w:tabs>
              <w:tab w:val="right" w:pos="9350"/>
            </w:tabs>
            <w:rPr>
              <w:noProof/>
              <w:lang w:eastAsia="en-US"/>
            </w:rPr>
          </w:pPr>
          <w:hyperlink w:anchor="_Toc530577721" w:history="1">
            <w:r w:rsidRPr="00A40EE0">
              <w:rPr>
                <w:rStyle w:val="Hyperlink"/>
                <w:rFonts w:ascii="Times New Roman" w:eastAsia="Times New Roman" w:hAnsi="Times New Roman" w:cs="Times New Roman"/>
                <w:noProof/>
              </w:rPr>
              <w:t>5. FUND IMPLEMENTATION</w:t>
            </w:r>
            <w:r>
              <w:rPr>
                <w:noProof/>
                <w:webHidden/>
              </w:rPr>
              <w:tab/>
            </w:r>
            <w:r>
              <w:rPr>
                <w:noProof/>
                <w:webHidden/>
              </w:rPr>
              <w:fldChar w:fldCharType="begin"/>
            </w:r>
            <w:r>
              <w:rPr>
                <w:noProof/>
                <w:webHidden/>
              </w:rPr>
              <w:instrText xml:space="preserve"> PAGEREF _Toc530577721 \h </w:instrText>
            </w:r>
            <w:r>
              <w:rPr>
                <w:noProof/>
                <w:webHidden/>
              </w:rPr>
            </w:r>
            <w:r>
              <w:rPr>
                <w:noProof/>
                <w:webHidden/>
              </w:rPr>
              <w:fldChar w:fldCharType="separate"/>
            </w:r>
            <w:r w:rsidR="00E2169E">
              <w:rPr>
                <w:noProof/>
                <w:webHidden/>
              </w:rPr>
              <w:t>13</w:t>
            </w:r>
            <w:r>
              <w:rPr>
                <w:noProof/>
                <w:webHidden/>
              </w:rPr>
              <w:fldChar w:fldCharType="end"/>
            </w:r>
          </w:hyperlink>
        </w:p>
        <w:p w14:paraId="45F71249" w14:textId="684D41C7" w:rsidR="00F9107F" w:rsidRDefault="00F9107F">
          <w:pPr>
            <w:pStyle w:val="TOC2"/>
            <w:tabs>
              <w:tab w:val="right" w:pos="9350"/>
            </w:tabs>
            <w:rPr>
              <w:noProof/>
              <w:lang w:eastAsia="en-US"/>
            </w:rPr>
          </w:pPr>
          <w:hyperlink w:anchor="_Toc530577722" w:history="1">
            <w:r w:rsidRPr="00A40EE0">
              <w:rPr>
                <w:rStyle w:val="Hyperlink"/>
                <w:rFonts w:ascii="Times New Roman" w:eastAsia="Times New Roman" w:hAnsi="Times New Roman" w:cs="Times New Roman"/>
                <w:noProof/>
              </w:rPr>
              <w:t>5.1. Principles of fund implementation</w:t>
            </w:r>
            <w:r>
              <w:rPr>
                <w:noProof/>
                <w:webHidden/>
              </w:rPr>
              <w:tab/>
            </w:r>
            <w:r>
              <w:rPr>
                <w:noProof/>
                <w:webHidden/>
              </w:rPr>
              <w:fldChar w:fldCharType="begin"/>
            </w:r>
            <w:r>
              <w:rPr>
                <w:noProof/>
                <w:webHidden/>
              </w:rPr>
              <w:instrText xml:space="preserve"> PAGEREF _Toc530577722 \h </w:instrText>
            </w:r>
            <w:r>
              <w:rPr>
                <w:noProof/>
                <w:webHidden/>
              </w:rPr>
            </w:r>
            <w:r>
              <w:rPr>
                <w:noProof/>
                <w:webHidden/>
              </w:rPr>
              <w:fldChar w:fldCharType="separate"/>
            </w:r>
            <w:r w:rsidR="00E2169E">
              <w:rPr>
                <w:noProof/>
                <w:webHidden/>
              </w:rPr>
              <w:t>13</w:t>
            </w:r>
            <w:r>
              <w:rPr>
                <w:noProof/>
                <w:webHidden/>
              </w:rPr>
              <w:fldChar w:fldCharType="end"/>
            </w:r>
          </w:hyperlink>
        </w:p>
        <w:p w14:paraId="32855928" w14:textId="3FE13F6F" w:rsidR="00F9107F" w:rsidRDefault="00F9107F">
          <w:pPr>
            <w:pStyle w:val="TOC2"/>
            <w:tabs>
              <w:tab w:val="right" w:pos="9350"/>
            </w:tabs>
            <w:rPr>
              <w:noProof/>
              <w:lang w:eastAsia="en-US"/>
            </w:rPr>
          </w:pPr>
          <w:hyperlink w:anchor="_Toc530577723" w:history="1">
            <w:r w:rsidRPr="00A40EE0">
              <w:rPr>
                <w:rStyle w:val="Hyperlink"/>
                <w:rFonts w:ascii="Times New Roman" w:eastAsia="Times New Roman" w:hAnsi="Times New Roman" w:cs="Times New Roman"/>
                <w:noProof/>
              </w:rPr>
              <w:t>5.2. Project Approval Cycle</w:t>
            </w:r>
            <w:r>
              <w:rPr>
                <w:noProof/>
                <w:webHidden/>
              </w:rPr>
              <w:tab/>
            </w:r>
            <w:r>
              <w:rPr>
                <w:noProof/>
                <w:webHidden/>
              </w:rPr>
              <w:fldChar w:fldCharType="begin"/>
            </w:r>
            <w:r>
              <w:rPr>
                <w:noProof/>
                <w:webHidden/>
              </w:rPr>
              <w:instrText xml:space="preserve"> PAGEREF _Toc530577723 \h </w:instrText>
            </w:r>
            <w:r>
              <w:rPr>
                <w:noProof/>
                <w:webHidden/>
              </w:rPr>
            </w:r>
            <w:r>
              <w:rPr>
                <w:noProof/>
                <w:webHidden/>
              </w:rPr>
              <w:fldChar w:fldCharType="separate"/>
            </w:r>
            <w:r w:rsidR="00E2169E">
              <w:rPr>
                <w:noProof/>
                <w:webHidden/>
              </w:rPr>
              <w:t>14</w:t>
            </w:r>
            <w:r>
              <w:rPr>
                <w:noProof/>
                <w:webHidden/>
              </w:rPr>
              <w:fldChar w:fldCharType="end"/>
            </w:r>
          </w:hyperlink>
        </w:p>
        <w:p w14:paraId="40BA16D1" w14:textId="467543A0" w:rsidR="00F9107F" w:rsidRDefault="00F9107F">
          <w:pPr>
            <w:pStyle w:val="TOC2"/>
            <w:tabs>
              <w:tab w:val="right" w:pos="9350"/>
            </w:tabs>
            <w:rPr>
              <w:noProof/>
              <w:lang w:eastAsia="en-US"/>
            </w:rPr>
          </w:pPr>
          <w:hyperlink w:anchor="_Toc530577724" w:history="1">
            <w:r w:rsidRPr="00A40EE0">
              <w:rPr>
                <w:rStyle w:val="Hyperlink"/>
                <w:rFonts w:ascii="Times New Roman" w:eastAsia="Times New Roman" w:hAnsi="Times New Roman" w:cs="Times New Roman"/>
                <w:noProof/>
              </w:rPr>
              <w:t>5.3 Accountability</w:t>
            </w:r>
            <w:r>
              <w:rPr>
                <w:noProof/>
                <w:webHidden/>
              </w:rPr>
              <w:tab/>
            </w:r>
            <w:r>
              <w:rPr>
                <w:noProof/>
                <w:webHidden/>
              </w:rPr>
              <w:fldChar w:fldCharType="begin"/>
            </w:r>
            <w:r>
              <w:rPr>
                <w:noProof/>
                <w:webHidden/>
              </w:rPr>
              <w:instrText xml:space="preserve"> PAGEREF _Toc530577724 \h </w:instrText>
            </w:r>
            <w:r>
              <w:rPr>
                <w:noProof/>
                <w:webHidden/>
              </w:rPr>
            </w:r>
            <w:r>
              <w:rPr>
                <w:noProof/>
                <w:webHidden/>
              </w:rPr>
              <w:fldChar w:fldCharType="separate"/>
            </w:r>
            <w:r w:rsidR="00E2169E">
              <w:rPr>
                <w:noProof/>
                <w:webHidden/>
              </w:rPr>
              <w:t>15</w:t>
            </w:r>
            <w:r>
              <w:rPr>
                <w:noProof/>
                <w:webHidden/>
              </w:rPr>
              <w:fldChar w:fldCharType="end"/>
            </w:r>
          </w:hyperlink>
        </w:p>
        <w:p w14:paraId="3E0A2E1C" w14:textId="4E566F75" w:rsidR="00F9107F" w:rsidRDefault="00F9107F">
          <w:pPr>
            <w:pStyle w:val="TOC2"/>
            <w:tabs>
              <w:tab w:val="right" w:pos="9350"/>
            </w:tabs>
            <w:rPr>
              <w:noProof/>
              <w:lang w:eastAsia="en-US"/>
            </w:rPr>
          </w:pPr>
          <w:hyperlink w:anchor="_Toc530577725" w:history="1">
            <w:r w:rsidRPr="00A40EE0">
              <w:rPr>
                <w:rStyle w:val="Hyperlink"/>
                <w:rFonts w:ascii="Times New Roman" w:eastAsia="Times New Roman" w:hAnsi="Times New Roman" w:cs="Times New Roman"/>
                <w:noProof/>
              </w:rPr>
              <w:t>5.4. Contributions</w:t>
            </w:r>
            <w:r>
              <w:rPr>
                <w:noProof/>
                <w:webHidden/>
              </w:rPr>
              <w:tab/>
            </w:r>
            <w:r>
              <w:rPr>
                <w:noProof/>
                <w:webHidden/>
              </w:rPr>
              <w:fldChar w:fldCharType="begin"/>
            </w:r>
            <w:r>
              <w:rPr>
                <w:noProof/>
                <w:webHidden/>
              </w:rPr>
              <w:instrText xml:space="preserve"> PAGEREF _Toc530577725 \h </w:instrText>
            </w:r>
            <w:r>
              <w:rPr>
                <w:noProof/>
                <w:webHidden/>
              </w:rPr>
            </w:r>
            <w:r>
              <w:rPr>
                <w:noProof/>
                <w:webHidden/>
              </w:rPr>
              <w:fldChar w:fldCharType="separate"/>
            </w:r>
            <w:r w:rsidR="00E2169E">
              <w:rPr>
                <w:noProof/>
                <w:webHidden/>
              </w:rPr>
              <w:t>15</w:t>
            </w:r>
            <w:r>
              <w:rPr>
                <w:noProof/>
                <w:webHidden/>
              </w:rPr>
              <w:fldChar w:fldCharType="end"/>
            </w:r>
          </w:hyperlink>
        </w:p>
        <w:p w14:paraId="2797CE60" w14:textId="1A51C4B6" w:rsidR="00F9107F" w:rsidRDefault="00F9107F">
          <w:pPr>
            <w:pStyle w:val="TOC1"/>
            <w:tabs>
              <w:tab w:val="right" w:pos="9350"/>
            </w:tabs>
            <w:rPr>
              <w:noProof/>
              <w:lang w:eastAsia="en-US"/>
            </w:rPr>
          </w:pPr>
          <w:hyperlink w:anchor="_Toc530577726" w:history="1">
            <w:r w:rsidRPr="00A40EE0">
              <w:rPr>
                <w:rStyle w:val="Hyperlink"/>
                <w:rFonts w:ascii="Times New Roman" w:eastAsia="Times New Roman" w:hAnsi="Times New Roman" w:cs="Times New Roman"/>
                <w:noProof/>
              </w:rPr>
              <w:t>6. REPORTING</w:t>
            </w:r>
            <w:r>
              <w:rPr>
                <w:noProof/>
                <w:webHidden/>
              </w:rPr>
              <w:tab/>
            </w:r>
            <w:r>
              <w:rPr>
                <w:noProof/>
                <w:webHidden/>
              </w:rPr>
              <w:fldChar w:fldCharType="begin"/>
            </w:r>
            <w:r>
              <w:rPr>
                <w:noProof/>
                <w:webHidden/>
              </w:rPr>
              <w:instrText xml:space="preserve"> PAGEREF _Toc530577726 \h </w:instrText>
            </w:r>
            <w:r>
              <w:rPr>
                <w:noProof/>
                <w:webHidden/>
              </w:rPr>
            </w:r>
            <w:r>
              <w:rPr>
                <w:noProof/>
                <w:webHidden/>
              </w:rPr>
              <w:fldChar w:fldCharType="separate"/>
            </w:r>
            <w:r w:rsidR="00E2169E">
              <w:rPr>
                <w:noProof/>
                <w:webHidden/>
              </w:rPr>
              <w:t>15</w:t>
            </w:r>
            <w:r>
              <w:rPr>
                <w:noProof/>
                <w:webHidden/>
              </w:rPr>
              <w:fldChar w:fldCharType="end"/>
            </w:r>
          </w:hyperlink>
        </w:p>
        <w:p w14:paraId="05D5096D" w14:textId="2F968313" w:rsidR="00F9107F" w:rsidRDefault="00F9107F">
          <w:pPr>
            <w:pStyle w:val="TOC1"/>
            <w:tabs>
              <w:tab w:val="right" w:pos="9350"/>
            </w:tabs>
            <w:rPr>
              <w:noProof/>
              <w:lang w:eastAsia="en-US"/>
            </w:rPr>
          </w:pPr>
          <w:hyperlink w:anchor="_Toc530577727" w:history="1">
            <w:r w:rsidRPr="00A40EE0">
              <w:rPr>
                <w:rStyle w:val="Hyperlink"/>
                <w:rFonts w:ascii="Times New Roman" w:eastAsia="Times New Roman" w:hAnsi="Times New Roman" w:cs="Times New Roman"/>
                <w:noProof/>
              </w:rPr>
              <w:t>7. MONITORING AND EVALUATION</w:t>
            </w:r>
            <w:r>
              <w:rPr>
                <w:noProof/>
                <w:webHidden/>
              </w:rPr>
              <w:tab/>
            </w:r>
            <w:r>
              <w:rPr>
                <w:noProof/>
                <w:webHidden/>
              </w:rPr>
              <w:fldChar w:fldCharType="begin"/>
            </w:r>
            <w:r>
              <w:rPr>
                <w:noProof/>
                <w:webHidden/>
              </w:rPr>
              <w:instrText xml:space="preserve"> PAGEREF _Toc530577727 \h </w:instrText>
            </w:r>
            <w:r>
              <w:rPr>
                <w:noProof/>
                <w:webHidden/>
              </w:rPr>
            </w:r>
            <w:r>
              <w:rPr>
                <w:noProof/>
                <w:webHidden/>
              </w:rPr>
              <w:fldChar w:fldCharType="separate"/>
            </w:r>
            <w:r w:rsidR="00E2169E">
              <w:rPr>
                <w:noProof/>
                <w:webHidden/>
              </w:rPr>
              <w:t>17</w:t>
            </w:r>
            <w:r>
              <w:rPr>
                <w:noProof/>
                <w:webHidden/>
              </w:rPr>
              <w:fldChar w:fldCharType="end"/>
            </w:r>
          </w:hyperlink>
        </w:p>
        <w:p w14:paraId="58D75830" w14:textId="7DC248F8" w:rsidR="00F9107F" w:rsidRDefault="00F9107F">
          <w:pPr>
            <w:pStyle w:val="TOC1"/>
            <w:tabs>
              <w:tab w:val="right" w:pos="9350"/>
            </w:tabs>
            <w:rPr>
              <w:noProof/>
              <w:lang w:eastAsia="en-US"/>
            </w:rPr>
          </w:pPr>
          <w:hyperlink w:anchor="_Toc530577728" w:history="1">
            <w:r w:rsidRPr="00A40EE0">
              <w:rPr>
                <w:rStyle w:val="Hyperlink"/>
                <w:rFonts w:ascii="Times New Roman" w:eastAsia="Times New Roman" w:hAnsi="Times New Roman" w:cs="Times New Roman"/>
                <w:noProof/>
              </w:rPr>
              <w:t>8. AUDIT</w:t>
            </w:r>
            <w:r>
              <w:rPr>
                <w:noProof/>
                <w:webHidden/>
              </w:rPr>
              <w:tab/>
            </w:r>
            <w:r>
              <w:rPr>
                <w:noProof/>
                <w:webHidden/>
              </w:rPr>
              <w:fldChar w:fldCharType="begin"/>
            </w:r>
            <w:r>
              <w:rPr>
                <w:noProof/>
                <w:webHidden/>
              </w:rPr>
              <w:instrText xml:space="preserve"> PAGEREF _Toc530577728 \h </w:instrText>
            </w:r>
            <w:r>
              <w:rPr>
                <w:noProof/>
                <w:webHidden/>
              </w:rPr>
            </w:r>
            <w:r>
              <w:rPr>
                <w:noProof/>
                <w:webHidden/>
              </w:rPr>
              <w:fldChar w:fldCharType="separate"/>
            </w:r>
            <w:r w:rsidR="00E2169E">
              <w:rPr>
                <w:noProof/>
                <w:webHidden/>
              </w:rPr>
              <w:t>18</w:t>
            </w:r>
            <w:r>
              <w:rPr>
                <w:noProof/>
                <w:webHidden/>
              </w:rPr>
              <w:fldChar w:fldCharType="end"/>
            </w:r>
          </w:hyperlink>
        </w:p>
        <w:p w14:paraId="585F0F1D" w14:textId="4FD066EE" w:rsidR="00F9107F" w:rsidRDefault="00F9107F">
          <w:pPr>
            <w:pStyle w:val="TOC1"/>
            <w:tabs>
              <w:tab w:val="right" w:pos="9350"/>
            </w:tabs>
            <w:rPr>
              <w:noProof/>
              <w:lang w:eastAsia="en-US"/>
            </w:rPr>
          </w:pPr>
          <w:hyperlink w:anchor="_Toc530577729" w:history="1">
            <w:r w:rsidRPr="00A40EE0">
              <w:rPr>
                <w:rStyle w:val="Hyperlink"/>
                <w:rFonts w:ascii="Times New Roman" w:eastAsia="Times New Roman" w:hAnsi="Times New Roman" w:cs="Times New Roman"/>
                <w:noProof/>
              </w:rPr>
              <w:t>9. PUBLIC DISCLOSURE</w:t>
            </w:r>
            <w:r>
              <w:rPr>
                <w:noProof/>
                <w:webHidden/>
              </w:rPr>
              <w:tab/>
            </w:r>
            <w:r>
              <w:rPr>
                <w:noProof/>
                <w:webHidden/>
              </w:rPr>
              <w:fldChar w:fldCharType="begin"/>
            </w:r>
            <w:r>
              <w:rPr>
                <w:noProof/>
                <w:webHidden/>
              </w:rPr>
              <w:instrText xml:space="preserve"> PAGEREF _Toc530577729 \h </w:instrText>
            </w:r>
            <w:r>
              <w:rPr>
                <w:noProof/>
                <w:webHidden/>
              </w:rPr>
            </w:r>
            <w:r>
              <w:rPr>
                <w:noProof/>
                <w:webHidden/>
              </w:rPr>
              <w:fldChar w:fldCharType="separate"/>
            </w:r>
            <w:r w:rsidR="00E2169E">
              <w:rPr>
                <w:noProof/>
                <w:webHidden/>
              </w:rPr>
              <w:t>18</w:t>
            </w:r>
            <w:r>
              <w:rPr>
                <w:noProof/>
                <w:webHidden/>
              </w:rPr>
              <w:fldChar w:fldCharType="end"/>
            </w:r>
          </w:hyperlink>
        </w:p>
        <w:p w14:paraId="51D3B808" w14:textId="4F7AC2EE" w:rsidR="00F9107F" w:rsidRDefault="00F9107F">
          <w:pPr>
            <w:pStyle w:val="TOC1"/>
            <w:tabs>
              <w:tab w:val="right" w:pos="9350"/>
            </w:tabs>
            <w:rPr>
              <w:noProof/>
              <w:lang w:eastAsia="en-US"/>
            </w:rPr>
          </w:pPr>
          <w:hyperlink w:anchor="_Toc530577730" w:history="1">
            <w:r w:rsidRPr="00A40EE0">
              <w:rPr>
                <w:rStyle w:val="Hyperlink"/>
                <w:rFonts w:ascii="Times New Roman" w:eastAsia="Times New Roman" w:hAnsi="Times New Roman" w:cs="Times New Roman"/>
                <w:noProof/>
              </w:rPr>
              <w:t>10. MODIFICATION AND EXPIRATION OF THE MDTF</w:t>
            </w:r>
            <w:r>
              <w:rPr>
                <w:noProof/>
                <w:webHidden/>
              </w:rPr>
              <w:tab/>
            </w:r>
            <w:r>
              <w:rPr>
                <w:noProof/>
                <w:webHidden/>
              </w:rPr>
              <w:fldChar w:fldCharType="begin"/>
            </w:r>
            <w:r>
              <w:rPr>
                <w:noProof/>
                <w:webHidden/>
              </w:rPr>
              <w:instrText xml:space="preserve"> PAGEREF _Toc530577730 \h </w:instrText>
            </w:r>
            <w:r>
              <w:rPr>
                <w:noProof/>
                <w:webHidden/>
              </w:rPr>
            </w:r>
            <w:r>
              <w:rPr>
                <w:noProof/>
                <w:webHidden/>
              </w:rPr>
              <w:fldChar w:fldCharType="separate"/>
            </w:r>
            <w:r w:rsidR="00E2169E">
              <w:rPr>
                <w:noProof/>
                <w:webHidden/>
              </w:rPr>
              <w:t>19</w:t>
            </w:r>
            <w:r>
              <w:rPr>
                <w:noProof/>
                <w:webHidden/>
              </w:rPr>
              <w:fldChar w:fldCharType="end"/>
            </w:r>
          </w:hyperlink>
        </w:p>
        <w:p w14:paraId="4247E558" w14:textId="7462D35C" w:rsidR="00F9107F" w:rsidRDefault="00F9107F">
          <w:pPr>
            <w:pStyle w:val="TOC1"/>
            <w:tabs>
              <w:tab w:val="right" w:pos="9350"/>
            </w:tabs>
            <w:rPr>
              <w:noProof/>
              <w:lang w:eastAsia="en-US"/>
            </w:rPr>
          </w:pPr>
          <w:hyperlink w:anchor="_Toc530577731" w:history="1">
            <w:r w:rsidRPr="00166CEC">
              <w:rPr>
                <w:rStyle w:val="Hyperlink"/>
                <w:rFonts w:ascii="Times New Roman" w:eastAsia="Times New Roman" w:hAnsi="Times New Roman" w:cs="Times New Roman"/>
                <w:noProof/>
              </w:rPr>
              <w:t>ANNEX 1: RISK MANAGEMENT LOG</w:t>
            </w:r>
            <w:r>
              <w:rPr>
                <w:noProof/>
                <w:webHidden/>
              </w:rPr>
              <w:tab/>
            </w:r>
            <w:r>
              <w:rPr>
                <w:noProof/>
                <w:webHidden/>
              </w:rPr>
              <w:fldChar w:fldCharType="begin"/>
            </w:r>
            <w:r>
              <w:rPr>
                <w:noProof/>
                <w:webHidden/>
              </w:rPr>
              <w:instrText xml:space="preserve"> PAGEREF _Toc530577731 \h </w:instrText>
            </w:r>
            <w:r>
              <w:rPr>
                <w:noProof/>
                <w:webHidden/>
              </w:rPr>
            </w:r>
            <w:r>
              <w:rPr>
                <w:noProof/>
                <w:webHidden/>
              </w:rPr>
              <w:fldChar w:fldCharType="separate"/>
            </w:r>
            <w:r w:rsidR="00E2169E">
              <w:rPr>
                <w:noProof/>
                <w:webHidden/>
              </w:rPr>
              <w:t>21</w:t>
            </w:r>
            <w:r>
              <w:rPr>
                <w:noProof/>
                <w:webHidden/>
              </w:rPr>
              <w:fldChar w:fldCharType="end"/>
            </w:r>
          </w:hyperlink>
        </w:p>
        <w:p w14:paraId="5B364406" w14:textId="30626F54" w:rsidR="00F9107F" w:rsidRPr="00166CEC" w:rsidRDefault="00F9107F">
          <w:pPr>
            <w:pStyle w:val="TOC1"/>
            <w:tabs>
              <w:tab w:val="right" w:pos="9350"/>
            </w:tabs>
            <w:rPr>
              <w:rStyle w:val="Hyperlink"/>
              <w:rFonts w:ascii="Times New Roman" w:eastAsia="Times New Roman" w:hAnsi="Times New Roman" w:cs="Times New Roman"/>
              <w:noProof/>
            </w:rPr>
          </w:pPr>
          <w:hyperlink w:anchor="_Toc530577732" w:history="1">
            <w:r w:rsidRPr="00166CEC">
              <w:rPr>
                <w:rStyle w:val="Hyperlink"/>
                <w:rFonts w:ascii="Times New Roman" w:eastAsia="Times New Roman" w:hAnsi="Times New Roman" w:cs="Times New Roman"/>
                <w:noProof/>
              </w:rPr>
              <w:t>ANNEX 2: DETAILED THEORY OF CHANGE</w:t>
            </w:r>
            <w:r w:rsidRPr="00166CEC">
              <w:rPr>
                <w:rStyle w:val="Hyperlink"/>
                <w:rFonts w:ascii="Times New Roman" w:eastAsia="Times New Roman" w:hAnsi="Times New Roman" w:cs="Times New Roman"/>
                <w:noProof/>
                <w:webHidden/>
              </w:rPr>
              <w:tab/>
            </w:r>
            <w:r w:rsidRPr="00166CEC">
              <w:rPr>
                <w:rStyle w:val="Hyperlink"/>
                <w:rFonts w:ascii="Times New Roman" w:eastAsia="Times New Roman" w:hAnsi="Times New Roman" w:cs="Times New Roman"/>
                <w:noProof/>
                <w:webHidden/>
              </w:rPr>
              <w:fldChar w:fldCharType="begin"/>
            </w:r>
            <w:r w:rsidRPr="00166CEC">
              <w:rPr>
                <w:rStyle w:val="Hyperlink"/>
                <w:rFonts w:ascii="Times New Roman" w:eastAsia="Times New Roman" w:hAnsi="Times New Roman" w:cs="Times New Roman"/>
                <w:noProof/>
                <w:webHidden/>
              </w:rPr>
              <w:instrText xml:space="preserve"> PAGEREF _Toc530577732 \h </w:instrText>
            </w:r>
            <w:r w:rsidRPr="00166CEC">
              <w:rPr>
                <w:rStyle w:val="Hyperlink"/>
                <w:rFonts w:ascii="Times New Roman" w:eastAsia="Times New Roman" w:hAnsi="Times New Roman" w:cs="Times New Roman"/>
                <w:noProof/>
                <w:webHidden/>
              </w:rPr>
            </w:r>
            <w:r w:rsidRPr="00166CEC">
              <w:rPr>
                <w:rStyle w:val="Hyperlink"/>
                <w:rFonts w:ascii="Times New Roman" w:eastAsia="Times New Roman" w:hAnsi="Times New Roman" w:cs="Times New Roman"/>
                <w:noProof/>
                <w:webHidden/>
              </w:rPr>
              <w:fldChar w:fldCharType="separate"/>
            </w:r>
            <w:r w:rsidR="00E2169E">
              <w:rPr>
                <w:rStyle w:val="Hyperlink"/>
                <w:rFonts w:ascii="Times New Roman" w:eastAsia="Times New Roman" w:hAnsi="Times New Roman" w:cs="Times New Roman"/>
                <w:noProof/>
                <w:webHidden/>
              </w:rPr>
              <w:t>23</w:t>
            </w:r>
            <w:r w:rsidRPr="00166CEC">
              <w:rPr>
                <w:rStyle w:val="Hyperlink"/>
                <w:rFonts w:ascii="Times New Roman" w:eastAsia="Times New Roman" w:hAnsi="Times New Roman" w:cs="Times New Roman"/>
                <w:noProof/>
                <w:webHidden/>
              </w:rPr>
              <w:fldChar w:fldCharType="end"/>
            </w:r>
          </w:hyperlink>
        </w:p>
        <w:p w14:paraId="64196CF3" w14:textId="2FA8201C" w:rsidR="00F9107F" w:rsidRDefault="00F9107F" w:rsidP="00166CEC">
          <w:pPr>
            <w:pStyle w:val="TOC1"/>
            <w:tabs>
              <w:tab w:val="right" w:pos="9350"/>
            </w:tabs>
            <w:rPr>
              <w:noProof/>
              <w:lang w:eastAsia="en-US"/>
            </w:rPr>
          </w:pPr>
          <w:hyperlink w:anchor="_Toc530577733" w:history="1">
            <w:r w:rsidRPr="00166CEC">
              <w:rPr>
                <w:rStyle w:val="Hyperlink"/>
                <w:rFonts w:ascii="Times New Roman" w:eastAsia="Times New Roman" w:hAnsi="Times New Roman" w:cs="Times New Roman"/>
                <w:noProof/>
              </w:rPr>
              <w:t>ANNEX 3: FUND PROGRAMMATIC ANALYSIS</w:t>
            </w:r>
            <w:r>
              <w:rPr>
                <w:noProof/>
                <w:webHidden/>
              </w:rPr>
              <w:tab/>
            </w:r>
            <w:r>
              <w:rPr>
                <w:noProof/>
                <w:webHidden/>
              </w:rPr>
              <w:fldChar w:fldCharType="begin"/>
            </w:r>
            <w:r>
              <w:rPr>
                <w:noProof/>
                <w:webHidden/>
              </w:rPr>
              <w:instrText xml:space="preserve"> PAGEREF _Toc530577733 \h </w:instrText>
            </w:r>
            <w:r>
              <w:rPr>
                <w:noProof/>
                <w:webHidden/>
              </w:rPr>
            </w:r>
            <w:r>
              <w:rPr>
                <w:noProof/>
                <w:webHidden/>
              </w:rPr>
              <w:fldChar w:fldCharType="separate"/>
            </w:r>
            <w:r w:rsidR="00E2169E">
              <w:rPr>
                <w:noProof/>
                <w:webHidden/>
              </w:rPr>
              <w:t>27</w:t>
            </w:r>
            <w:r>
              <w:rPr>
                <w:noProof/>
                <w:webHidden/>
              </w:rPr>
              <w:fldChar w:fldCharType="end"/>
            </w:r>
          </w:hyperlink>
        </w:p>
        <w:p w14:paraId="3E75A295" w14:textId="5FBF4241" w:rsidR="00F9107F" w:rsidRDefault="00F9107F">
          <w:pPr>
            <w:pStyle w:val="TOC1"/>
            <w:tabs>
              <w:tab w:val="right" w:pos="9350"/>
            </w:tabs>
            <w:rPr>
              <w:noProof/>
              <w:lang w:eastAsia="en-US"/>
            </w:rPr>
          </w:pPr>
          <w:hyperlink w:anchor="_Toc530577735" w:history="1">
            <w:r w:rsidRPr="00166CEC">
              <w:rPr>
                <w:rStyle w:val="Hyperlink"/>
                <w:rFonts w:ascii="Times New Roman" w:eastAsia="Times New Roman" w:hAnsi="Times New Roman" w:cs="Times New Roman"/>
                <w:noProof/>
              </w:rPr>
              <w:t>ANNEX 4: RESULTS FRAMEWORK 2019-2023</w:t>
            </w:r>
            <w:r>
              <w:rPr>
                <w:noProof/>
                <w:webHidden/>
              </w:rPr>
              <w:tab/>
            </w:r>
            <w:r>
              <w:rPr>
                <w:noProof/>
                <w:webHidden/>
              </w:rPr>
              <w:fldChar w:fldCharType="begin"/>
            </w:r>
            <w:r>
              <w:rPr>
                <w:noProof/>
                <w:webHidden/>
              </w:rPr>
              <w:instrText xml:space="preserve"> PAGEREF _Toc530577735 \h </w:instrText>
            </w:r>
            <w:r>
              <w:rPr>
                <w:noProof/>
                <w:webHidden/>
              </w:rPr>
            </w:r>
            <w:r>
              <w:rPr>
                <w:noProof/>
                <w:webHidden/>
              </w:rPr>
              <w:fldChar w:fldCharType="separate"/>
            </w:r>
            <w:r w:rsidR="00E2169E">
              <w:rPr>
                <w:noProof/>
                <w:webHidden/>
              </w:rPr>
              <w:t>29</w:t>
            </w:r>
            <w:r>
              <w:rPr>
                <w:noProof/>
                <w:webHidden/>
              </w:rPr>
              <w:fldChar w:fldCharType="end"/>
            </w:r>
          </w:hyperlink>
        </w:p>
        <w:p w14:paraId="7947AA7E" w14:textId="704ACB24" w:rsidR="00F9107F" w:rsidRDefault="00F9107F">
          <w:pPr>
            <w:pStyle w:val="TOC1"/>
            <w:tabs>
              <w:tab w:val="right" w:pos="9350"/>
            </w:tabs>
            <w:rPr>
              <w:noProof/>
              <w:lang w:eastAsia="en-US"/>
            </w:rPr>
          </w:pPr>
          <w:hyperlink w:anchor="_Toc530577742" w:history="1">
            <w:r w:rsidRPr="00166CEC">
              <w:rPr>
                <w:rStyle w:val="Hyperlink"/>
                <w:rFonts w:ascii="Times New Roman" w:eastAsia="Times New Roman" w:hAnsi="Times New Roman" w:cs="Times New Roman"/>
                <w:noProof/>
              </w:rPr>
              <w:t>ANNEX 5: LESSONS LEARNED FROM THE DRT-F</w:t>
            </w:r>
            <w:r>
              <w:rPr>
                <w:noProof/>
                <w:webHidden/>
              </w:rPr>
              <w:tab/>
            </w:r>
            <w:r>
              <w:rPr>
                <w:noProof/>
                <w:webHidden/>
              </w:rPr>
              <w:fldChar w:fldCharType="begin"/>
            </w:r>
            <w:r>
              <w:rPr>
                <w:noProof/>
                <w:webHidden/>
              </w:rPr>
              <w:instrText xml:space="preserve"> PAGEREF _Toc530577742 \h </w:instrText>
            </w:r>
            <w:r>
              <w:rPr>
                <w:noProof/>
                <w:webHidden/>
              </w:rPr>
            </w:r>
            <w:r>
              <w:rPr>
                <w:noProof/>
                <w:webHidden/>
              </w:rPr>
              <w:fldChar w:fldCharType="separate"/>
            </w:r>
            <w:r w:rsidR="00E2169E">
              <w:rPr>
                <w:noProof/>
                <w:webHidden/>
              </w:rPr>
              <w:t>34</w:t>
            </w:r>
            <w:r>
              <w:rPr>
                <w:noProof/>
                <w:webHidden/>
              </w:rPr>
              <w:fldChar w:fldCharType="end"/>
            </w:r>
          </w:hyperlink>
        </w:p>
        <w:p w14:paraId="346AFB91" w14:textId="47EF895E" w:rsidR="00D66A1D" w:rsidRPr="00F36109" w:rsidRDefault="00D66A1D" w:rsidP="00B54BD0">
          <w:pPr>
            <w:pStyle w:val="TOC1"/>
            <w:tabs>
              <w:tab w:val="right" w:pos="9350"/>
            </w:tabs>
            <w:rPr>
              <w:rFonts w:ascii="Times New Roman" w:hAnsi="Times New Roman" w:cs="Times New Roman"/>
              <w:noProof/>
            </w:rPr>
          </w:pPr>
          <w:r w:rsidRPr="0014618D">
            <w:rPr>
              <w:rFonts w:ascii="Times New Roman" w:hAnsi="Times New Roman" w:cs="Times New Roman"/>
            </w:rPr>
            <w:fldChar w:fldCharType="end"/>
          </w:r>
        </w:p>
        <w:bookmarkStart w:id="0" w:name="_GoBack" w:displacedByCustomXml="next"/>
        <w:bookmarkEnd w:id="0" w:displacedByCustomXml="next"/>
      </w:sdtContent>
    </w:sdt>
    <w:p w14:paraId="0741C012" w14:textId="6CB22FEF" w:rsidR="00D66A1D" w:rsidRPr="00F36109" w:rsidRDefault="00D66A1D" w:rsidP="00D66A1D">
      <w:pPr>
        <w:jc w:val="both"/>
        <w:rPr>
          <w:rFonts w:ascii="Times New Roman" w:hAnsi="Times New Roman" w:cs="Times New Roman"/>
          <w:sz w:val="28"/>
          <w:szCs w:val="28"/>
        </w:rPr>
      </w:pPr>
      <w:r w:rsidRPr="00F36109">
        <w:rPr>
          <w:rFonts w:ascii="Times New Roman" w:hAnsi="Times New Roman" w:cs="Times New Roman"/>
          <w:sz w:val="28"/>
          <w:szCs w:val="28"/>
        </w:rPr>
        <w:tab/>
      </w:r>
    </w:p>
    <w:p w14:paraId="00723694" w14:textId="43B588DF" w:rsidR="00D66A1D" w:rsidRPr="00F36109" w:rsidRDefault="00D66A1D" w:rsidP="00D66A1D">
      <w:pPr>
        <w:jc w:val="both"/>
        <w:rPr>
          <w:rFonts w:ascii="Times New Roman" w:hAnsi="Times New Roman" w:cs="Times New Roman"/>
          <w:sz w:val="28"/>
          <w:szCs w:val="28"/>
        </w:rPr>
      </w:pPr>
    </w:p>
    <w:p w14:paraId="38A47C8B" w14:textId="025B6E47" w:rsidR="00D66A1D" w:rsidRPr="00F36109" w:rsidRDefault="00D66A1D" w:rsidP="00D66A1D">
      <w:pPr>
        <w:jc w:val="both"/>
        <w:rPr>
          <w:rFonts w:ascii="Times New Roman" w:eastAsia="Cambria" w:hAnsi="Times New Roman" w:cs="Times New Roman"/>
          <w:u w:val="single"/>
        </w:rPr>
      </w:pPr>
      <w:r w:rsidRPr="00F36109">
        <w:rPr>
          <w:rFonts w:ascii="Times New Roman" w:hAnsi="Times New Roman" w:cs="Times New Roman"/>
          <w:sz w:val="28"/>
          <w:szCs w:val="28"/>
        </w:rPr>
        <w:lastRenderedPageBreak/>
        <w:tab/>
      </w:r>
    </w:p>
    <w:p w14:paraId="644861F4" w14:textId="28529D3B" w:rsidR="00D66A1D" w:rsidRDefault="00D66A1D" w:rsidP="00BC0817">
      <w:pPr>
        <w:pStyle w:val="Heading1"/>
        <w:numPr>
          <w:ilvl w:val="0"/>
          <w:numId w:val="41"/>
        </w:numPr>
        <w:jc w:val="both"/>
        <w:rPr>
          <w:rFonts w:ascii="Times New Roman" w:eastAsia="Times New Roman" w:hAnsi="Times New Roman" w:cs="Times New Roman"/>
        </w:rPr>
      </w:pPr>
      <w:bookmarkStart w:id="1" w:name="_gjdgxs" w:colFirst="0" w:colLast="0"/>
      <w:bookmarkStart w:id="2" w:name="_Toc530577704"/>
      <w:bookmarkEnd w:id="1"/>
      <w:r w:rsidRPr="00F36109">
        <w:rPr>
          <w:rFonts w:ascii="Times New Roman" w:eastAsia="Times New Roman" w:hAnsi="Times New Roman" w:cs="Times New Roman"/>
        </w:rPr>
        <w:t>INTRODUCTION</w:t>
      </w:r>
      <w:bookmarkEnd w:id="2"/>
    </w:p>
    <w:p w14:paraId="04E034B4" w14:textId="77777777" w:rsidR="00BC0817" w:rsidRPr="00BC0817" w:rsidRDefault="00BC0817" w:rsidP="00BC0817"/>
    <w:p w14:paraId="47E2ACB9"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w:t>
      </w:r>
      <w:r w:rsidRPr="00F36109">
        <w:rPr>
          <w:rFonts w:ascii="Times New Roman" w:eastAsia="Times New Roman" w:hAnsi="Times New Roman" w:cs="Times New Roman"/>
          <w:b/>
        </w:rPr>
        <w:t>2030 Agenda for Sustainable Development</w:t>
      </w:r>
      <w:r w:rsidRPr="00F36109">
        <w:rPr>
          <w:rFonts w:ascii="Times New Roman" w:eastAsia="Times New Roman" w:hAnsi="Times New Roman" w:cs="Times New Roman"/>
        </w:rPr>
        <w:t xml:space="preserve"> calls for a paradigm shift to put the world on a path of sustainable development. The goals respect planetary boundaries and ensure that all people can enjoy the benefits of sustained progress while living in peaceful, just and inclusive societies. To ensure that the implementation of the 2030 Agenda ‘Leaves No One Behind’ the global community must make concerted efforts to meet its financing needs. It is estimated that at current levels of investment in SDG-relevant sectors, developing countries face an annual gap of $2.5 trillion. </w:t>
      </w:r>
    </w:p>
    <w:p w14:paraId="5E09224D" w14:textId="77777777" w:rsidR="00D66A1D" w:rsidRPr="00F36109" w:rsidRDefault="00D66A1D" w:rsidP="00D66A1D">
      <w:pPr>
        <w:pBdr>
          <w:top w:val="nil"/>
          <w:left w:val="nil"/>
          <w:bottom w:val="nil"/>
          <w:right w:val="nil"/>
          <w:between w:val="nil"/>
        </w:pBdr>
        <w:shd w:val="clear" w:color="auto" w:fill="FFFFFF"/>
        <w:spacing w:after="396"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xml:space="preserve">Although an ambitious task, bridging such a financing gap is possible. Adopted at the Third International Conference on Financing for Development (Addis Ababa, Ethiopia, 13-16 July 2015) the </w:t>
      </w:r>
      <w:hyperlink r:id="rId9">
        <w:r w:rsidRPr="00F36109">
          <w:rPr>
            <w:rFonts w:ascii="Times New Roman" w:eastAsia="Times New Roman" w:hAnsi="Times New Roman" w:cs="Times New Roman"/>
            <w:b/>
            <w:color w:val="0000FF"/>
            <w:u w:val="single"/>
          </w:rPr>
          <w:t>Addis Ababa Action Agenda</w:t>
        </w:r>
      </w:hyperlink>
      <w:r w:rsidRPr="00F36109">
        <w:rPr>
          <w:rFonts w:ascii="Times New Roman" w:eastAsia="Times New Roman" w:hAnsi="Times New Roman" w:cs="Times New Roman"/>
          <w:color w:val="000000"/>
        </w:rPr>
        <w:t xml:space="preserve"> (the “Action Agenda”, or “AAAA”) provides a global framework for financing sustainable development by aligning financing flows and policies with economic, social and environmental priorities. </w:t>
      </w:r>
    </w:p>
    <w:p w14:paraId="1F75CFCC" w14:textId="77777777" w:rsidR="00D66A1D" w:rsidRPr="00F36109" w:rsidRDefault="00D66A1D" w:rsidP="00D66A1D">
      <w:pPr>
        <w:pBdr>
          <w:top w:val="nil"/>
          <w:left w:val="nil"/>
          <w:bottom w:val="nil"/>
          <w:right w:val="nil"/>
          <w:between w:val="nil"/>
        </w:pBdr>
        <w:shd w:val="clear" w:color="auto" w:fill="FFFFFF"/>
        <w:spacing w:after="396"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Achieving the 2030 Agenda and the Action Agenda will demand a profound change in both policymaking and sustainable development financing. The SDGs have served to highlight the interconnected nature of sustainable development and the need to approach policymaking in a holistic manner. It will be necessary for governments and other stakeholders to identify and trigger those policy levers that can contribute to a smart and accelerated achievement of the integrated SDG agenda at national level. At the same time, to meet the investment needs of the SDGs, the global community needs to move the discussion from “billions” in ODA to the “trillions” in investments of all kinds: public and private, national and international.</w:t>
      </w:r>
    </w:p>
    <w:p w14:paraId="05B18733" w14:textId="77777777" w:rsidR="00D66A1D" w:rsidRPr="00F36109" w:rsidRDefault="00D66A1D" w:rsidP="00D66A1D">
      <w:pPr>
        <w:pBdr>
          <w:top w:val="nil"/>
          <w:left w:val="nil"/>
          <w:bottom w:val="nil"/>
          <w:right w:val="nil"/>
          <w:between w:val="nil"/>
        </w:pBdr>
        <w:spacing w:before="100" w:after="100"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xml:space="preserve">Through the </w:t>
      </w:r>
      <w:r w:rsidRPr="00F36109">
        <w:rPr>
          <w:rFonts w:ascii="Times New Roman" w:eastAsia="Times New Roman" w:hAnsi="Times New Roman" w:cs="Times New Roman"/>
          <w:b/>
          <w:color w:val="000000"/>
        </w:rPr>
        <w:t>2016 Decision on the Quadrennial Comprehensive Policy Review (QCPR)</w:t>
      </w:r>
      <w:r w:rsidRPr="00F36109">
        <w:rPr>
          <w:rFonts w:ascii="Times New Roman" w:eastAsia="Times New Roman" w:hAnsi="Times New Roman" w:cs="Times New Roman"/>
          <w:color w:val="000000"/>
        </w:rPr>
        <w:t xml:space="preserve">, Member States requested a United Nations development system (UNDS) that is better positioned “to support countries in their efforts to implement the 2030 Agenda for Sustainable Development in a coherent and integrated manner”. They also recognized that “this requires a United Nations development system that is more strategic, accountable, transparent, collaborative, efficient, effective and results-oriented”. The 2016 QCPR decision also emphasized the need for well-designed pooled funding mechanisms to support common, cross-cutting UN approaches at country level. </w:t>
      </w:r>
    </w:p>
    <w:p w14:paraId="069C6AF3" w14:textId="77777777" w:rsidR="00D66A1D" w:rsidRPr="00F36109" w:rsidRDefault="00D66A1D" w:rsidP="00D66A1D">
      <w:pPr>
        <w:pBdr>
          <w:top w:val="nil"/>
          <w:left w:val="nil"/>
          <w:bottom w:val="nil"/>
          <w:right w:val="nil"/>
          <w:between w:val="nil"/>
        </w:pBdr>
        <w:spacing w:before="100" w:after="100" w:line="312" w:lineRule="auto"/>
        <w:jc w:val="both"/>
        <w:rPr>
          <w:rFonts w:ascii="Times New Roman" w:eastAsia="Times New Roman" w:hAnsi="Times New Roman" w:cs="Times New Roman"/>
          <w:color w:val="000000"/>
          <w:sz w:val="24"/>
          <w:szCs w:val="24"/>
        </w:rPr>
      </w:pPr>
      <w:r w:rsidRPr="00F36109">
        <w:rPr>
          <w:rFonts w:ascii="Times New Roman" w:eastAsia="Times New Roman" w:hAnsi="Times New Roman" w:cs="Times New Roman"/>
          <w:color w:val="000000"/>
        </w:rPr>
        <w:t xml:space="preserve">As a follow-up to the QCPR decision, the UNDS, under the leadership of the Deputy Secretary General, is taking steps to ensure a more cohesive and integrated UNDS. Within the broader context of the 2030 Agenda, the Action Agenda and the QCPR, the UNDS has come together to develop a major new initiative that will support Governments to advance the SDGs:  </w:t>
      </w:r>
      <w:proofErr w:type="gramStart"/>
      <w:r w:rsidRPr="00F36109">
        <w:rPr>
          <w:rFonts w:ascii="Times New Roman" w:eastAsia="Times New Roman" w:hAnsi="Times New Roman" w:cs="Times New Roman"/>
          <w:b/>
          <w:i/>
          <w:color w:val="000000"/>
        </w:rPr>
        <w:t>the</w:t>
      </w:r>
      <w:proofErr w:type="gramEnd"/>
      <w:r w:rsidRPr="00F36109">
        <w:rPr>
          <w:rFonts w:ascii="Times New Roman" w:eastAsia="Times New Roman" w:hAnsi="Times New Roman" w:cs="Times New Roman"/>
          <w:b/>
          <w:i/>
          <w:color w:val="000000"/>
        </w:rPr>
        <w:t xml:space="preserve"> Joint Fund for the 2030 Agenda</w:t>
      </w:r>
      <w:r w:rsidRPr="00F36109">
        <w:rPr>
          <w:rFonts w:ascii="Times New Roman" w:eastAsia="Times New Roman" w:hAnsi="Times New Roman" w:cs="Times New Roman"/>
          <w:color w:val="000000"/>
        </w:rPr>
        <w:t xml:space="preserve">, (herein shortened to the Joint SDG Fund). The Joint SDG Fund will build on the UN’s ability to convene diverse </w:t>
      </w:r>
      <w:r w:rsidRPr="006C5580">
        <w:rPr>
          <w:rFonts w:ascii="Times New Roman" w:eastAsia="Times New Roman" w:hAnsi="Times New Roman" w:cs="Times New Roman"/>
          <w:color w:val="000000"/>
        </w:rPr>
        <w:t>stakeholders</w:t>
      </w:r>
      <w:r w:rsidRPr="00F36109">
        <w:rPr>
          <w:rFonts w:ascii="Times New Roman" w:eastAsia="Times New Roman" w:hAnsi="Times New Roman" w:cs="Times New Roman"/>
          <w:color w:val="000000"/>
        </w:rPr>
        <w:t xml:space="preserve"> and help develop national capacity to work across policy </w:t>
      </w:r>
      <w:r w:rsidRPr="006C5580">
        <w:rPr>
          <w:rFonts w:ascii="Times New Roman" w:eastAsia="Times New Roman" w:hAnsi="Times New Roman" w:cs="Times New Roman"/>
          <w:color w:val="000000"/>
        </w:rPr>
        <w:t>domains in an integrated manner and to stimulate an enabling environment for SDG investments</w:t>
      </w:r>
      <w:r w:rsidRPr="00F36109">
        <w:rPr>
          <w:rFonts w:ascii="Times New Roman" w:eastAsia="Times New Roman" w:hAnsi="Times New Roman" w:cs="Times New Roman"/>
          <w:color w:val="000000"/>
        </w:rPr>
        <w:t xml:space="preserve">. The substantive focus of the Joint SDG Fund reflects areas in which the UN, as a smart investor, expects to achieve the greatest impact by allocating its resources wisely.  The Fund reflects the UN’s financing approach, outlined in the UNDG companion piece, </w:t>
      </w:r>
      <w:r w:rsidRPr="00F36109">
        <w:rPr>
          <w:rFonts w:ascii="Times New Roman" w:eastAsia="Times New Roman" w:hAnsi="Times New Roman" w:cs="Times New Roman"/>
          <w:color w:val="000000"/>
        </w:rPr>
        <w:lastRenderedPageBreak/>
        <w:t xml:space="preserve">“Funding to Financing”, including the need to use limited UN resources as a catalyst to influence much larger financing flows. </w:t>
      </w:r>
    </w:p>
    <w:p w14:paraId="39BFA154"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Joint SDG Fund is seen by the </w:t>
      </w:r>
      <w:r w:rsidRPr="00F36109">
        <w:rPr>
          <w:rFonts w:ascii="Times New Roman" w:eastAsia="Times New Roman" w:hAnsi="Times New Roman" w:cs="Times New Roman"/>
          <w:b/>
        </w:rPr>
        <w:t>Secretary General</w:t>
      </w:r>
      <w:r w:rsidRPr="00F36109">
        <w:rPr>
          <w:rFonts w:ascii="Times New Roman" w:eastAsia="Times New Roman" w:hAnsi="Times New Roman" w:cs="Times New Roman"/>
        </w:rPr>
        <w:t xml:space="preserve"> as a key piece of the </w:t>
      </w:r>
      <w:r w:rsidRPr="00F36109">
        <w:rPr>
          <w:rFonts w:ascii="Times New Roman" w:eastAsia="Times New Roman" w:hAnsi="Times New Roman" w:cs="Times New Roman"/>
          <w:b/>
        </w:rPr>
        <w:t>reform of the UNDS</w:t>
      </w:r>
      <w:r w:rsidRPr="00F36109">
        <w:rPr>
          <w:rFonts w:ascii="Times New Roman" w:eastAsia="Times New Roman" w:hAnsi="Times New Roman" w:cs="Times New Roman"/>
        </w:rPr>
        <w:t xml:space="preserve">. The Secretary General referred, in his December 2017 report, to the Joint SDG Fund as the “muscle” for Resident Coordinators and a new generation of United Nations Country Teams to help countries to deliver the SDGs, through catalyzing integrated, transformative policy change and innovative financial investment. </w:t>
      </w:r>
    </w:p>
    <w:p w14:paraId="079CDE13"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w:t>
      </w:r>
      <w:r w:rsidRPr="00F36109">
        <w:rPr>
          <w:rFonts w:ascii="Times New Roman" w:eastAsia="Times New Roman" w:hAnsi="Times New Roman" w:cs="Times New Roman"/>
          <w:b/>
        </w:rPr>
        <w:t>General Assembly resolution on the repositioning of the United Nations development system</w:t>
      </w:r>
      <w:r w:rsidRPr="00F36109">
        <w:rPr>
          <w:rFonts w:ascii="Times New Roman" w:eastAsia="Times New Roman" w:hAnsi="Times New Roman" w:cs="Times New Roman"/>
        </w:rPr>
        <w:t>, in the context of the QCPR, invites Member States to contribute on a voluntary basis to the capitalization of the United Nations Joint SDG Fund for the 2030 Agenda at $290 million per annum.</w:t>
      </w:r>
    </w:p>
    <w:p w14:paraId="2800281D" w14:textId="77777777" w:rsidR="00D66A1D" w:rsidRPr="00F36109" w:rsidRDefault="00D66A1D" w:rsidP="00D66A1D">
      <w:pPr>
        <w:spacing w:after="396" w:line="312" w:lineRule="auto"/>
        <w:jc w:val="both"/>
        <w:rPr>
          <w:rFonts w:ascii="Times New Roman" w:eastAsia="Times New Roman" w:hAnsi="Times New Roman" w:cs="Times New Roman"/>
        </w:rPr>
      </w:pPr>
      <w:bookmarkStart w:id="3" w:name="_1fob9te" w:colFirst="0" w:colLast="0"/>
      <w:bookmarkEnd w:id="3"/>
      <w:r w:rsidRPr="00F36109">
        <w:rPr>
          <w:rFonts w:ascii="Times New Roman" w:eastAsia="Times New Roman" w:hAnsi="Times New Roman" w:cs="Times New Roman"/>
        </w:rPr>
        <w:t>The Joint SDG Fund will be a country-focused instrument, supporting priority inter-agency efforts towards joined up implementation on the ground. The Joint SDG Fund approach will focus on the integration of UN Agencies at Country, Regional and Global level, and of a next generation of Resident Coordinators and UN Country Teams with Governments, national stakeholders, and the private sector. By doing so, the Fund will support initiatives that reflect the complexity, inter-dependence, and non-linear nature of the SDGs. Furthermore, it will facilitate bottom-up priorities and social innovation.</w:t>
      </w:r>
    </w:p>
    <w:p w14:paraId="290FB6A1"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Joint SDG Fund will draw on the multi-sectoral expertise inside and outside the UN to enhance cross-sectoral government approaches to national and sub-national policymaking and policy implementation. The Fund will also help Country Teams create the financing strategies that dramatically increase funding for the SDGs through convening networks and consortia comprised of government, international development banks and the private sector.   The Fund will also enable Country Teams to make strategic investments enabled by the UN’s integrated policy work and convening power.  </w:t>
      </w:r>
    </w:p>
    <w:p w14:paraId="5ADE0D03" w14:textId="77777777" w:rsidR="00D66A1D" w:rsidRPr="00F36109" w:rsidRDefault="00D66A1D" w:rsidP="00D66A1D">
      <w:pPr>
        <w:spacing w:after="396" w:line="312" w:lineRule="auto"/>
        <w:jc w:val="both"/>
        <w:rPr>
          <w:rFonts w:ascii="Times New Roman" w:eastAsia="Times New Roman" w:hAnsi="Times New Roman" w:cs="Times New Roman"/>
        </w:rPr>
      </w:pPr>
      <w:bookmarkStart w:id="4" w:name="_3znysh7" w:colFirst="0" w:colLast="0"/>
      <w:bookmarkEnd w:id="4"/>
      <w:r w:rsidRPr="00F36109">
        <w:rPr>
          <w:rFonts w:ascii="Times New Roman" w:eastAsia="Times New Roman" w:hAnsi="Times New Roman" w:cs="Times New Roman"/>
        </w:rPr>
        <w:t xml:space="preserve">The UNDS recognizes that it will need to use a mix of financing instruments to support the achievement of the SDGs, including UN agency core/assessed resources, agency thematic funds, and other agency-specific non-core resources. The Joint SDG Fund is not intended to replace regular, individual agency specific, SDG targeted and financed activities. Rather, the Fund will complement these resources and activities by: </w:t>
      </w:r>
      <w:proofErr w:type="spellStart"/>
      <w:r w:rsidRPr="00F36109">
        <w:rPr>
          <w:rFonts w:ascii="Times New Roman" w:eastAsia="Times New Roman" w:hAnsi="Times New Roman" w:cs="Times New Roman"/>
          <w:i/>
          <w:sz w:val="20"/>
          <w:szCs w:val="20"/>
        </w:rPr>
        <w:t>i</w:t>
      </w:r>
      <w:proofErr w:type="spellEnd"/>
      <w:r w:rsidRPr="00F36109">
        <w:rPr>
          <w:rFonts w:ascii="Times New Roman" w:eastAsia="Times New Roman" w:hAnsi="Times New Roman" w:cs="Times New Roman"/>
          <w:i/>
          <w:sz w:val="20"/>
          <w:szCs w:val="20"/>
        </w:rPr>
        <w:t>)</w:t>
      </w:r>
      <w:r w:rsidRPr="00F36109">
        <w:rPr>
          <w:rFonts w:ascii="Times New Roman" w:eastAsia="Times New Roman" w:hAnsi="Times New Roman" w:cs="Times New Roman"/>
        </w:rPr>
        <w:t xml:space="preserve"> providing targeted resources for multi-agency initiatives that strengthen national capacities for integrated policy; </w:t>
      </w:r>
      <w:r w:rsidRPr="00F36109">
        <w:rPr>
          <w:rFonts w:ascii="Times New Roman" w:eastAsia="Times New Roman" w:hAnsi="Times New Roman" w:cs="Times New Roman"/>
          <w:i/>
          <w:sz w:val="20"/>
          <w:szCs w:val="20"/>
        </w:rPr>
        <w:t>ii)</w:t>
      </w:r>
      <w:r w:rsidRPr="00F36109">
        <w:rPr>
          <w:rFonts w:ascii="Times New Roman" w:eastAsia="Times New Roman" w:hAnsi="Times New Roman" w:cs="Times New Roman"/>
        </w:rPr>
        <w:t xml:space="preserve"> developing a country’s SDG financing ecosystem; </w:t>
      </w:r>
      <w:r w:rsidRPr="00F36109">
        <w:rPr>
          <w:rFonts w:ascii="Times New Roman" w:eastAsia="Times New Roman" w:hAnsi="Times New Roman" w:cs="Times New Roman"/>
          <w:i/>
          <w:sz w:val="20"/>
          <w:szCs w:val="20"/>
        </w:rPr>
        <w:t xml:space="preserve">iii) </w:t>
      </w:r>
      <w:r w:rsidRPr="00F36109">
        <w:rPr>
          <w:rFonts w:ascii="Times New Roman" w:eastAsia="Times New Roman" w:hAnsi="Times New Roman" w:cs="Times New Roman"/>
        </w:rPr>
        <w:t xml:space="preserve">implementing catalytic SDG programming and investments; </w:t>
      </w:r>
      <w:r w:rsidRPr="00F36109">
        <w:rPr>
          <w:rFonts w:ascii="Times New Roman" w:eastAsia="Times New Roman" w:hAnsi="Times New Roman" w:cs="Times New Roman"/>
          <w:i/>
          <w:sz w:val="20"/>
          <w:szCs w:val="20"/>
        </w:rPr>
        <w:t>iv)</w:t>
      </w:r>
      <w:r w:rsidRPr="00F36109">
        <w:rPr>
          <w:rFonts w:ascii="Times New Roman" w:eastAsia="Times New Roman" w:hAnsi="Times New Roman" w:cs="Times New Roman"/>
        </w:rPr>
        <w:t xml:space="preserve"> ensuring effective and sustainable development results </w:t>
      </w:r>
      <w:r w:rsidRPr="00F36109">
        <w:rPr>
          <w:rFonts w:ascii="Times New Roman" w:eastAsia="Times New Roman" w:hAnsi="Times New Roman" w:cs="Times New Roman"/>
          <w:b/>
        </w:rPr>
        <w:t>at national and sub-national levels</w:t>
      </w:r>
      <w:r w:rsidRPr="00F36109">
        <w:rPr>
          <w:rFonts w:ascii="Times New Roman" w:eastAsia="Times New Roman" w:hAnsi="Times New Roman" w:cs="Times New Roman"/>
        </w:rPr>
        <w:t>. The Joint SDG Fund will complement other pooled funding instruments</w:t>
      </w:r>
      <w:proofErr w:type="gramStart"/>
      <w:r w:rsidRPr="00F36109">
        <w:rPr>
          <w:rFonts w:ascii="Times New Roman" w:eastAsia="Times New Roman" w:hAnsi="Times New Roman" w:cs="Times New Roman"/>
        </w:rPr>
        <w:t>, in particular, the</w:t>
      </w:r>
      <w:proofErr w:type="gramEnd"/>
      <w:r w:rsidRPr="00F36109">
        <w:rPr>
          <w:rFonts w:ascii="Times New Roman" w:eastAsia="Times New Roman" w:hAnsi="Times New Roman" w:cs="Times New Roman"/>
        </w:rPr>
        <w:t xml:space="preserve"> CERF and Peacebuilding Fund (PBF), and further strengthen and accelerate the path to development in weak and fragile states.  When the Joint SDG Fund works in the same geographical areas as the CERF and PBF, care will be taken to ensure synergy. In the case of a CERF/ Joint SDG Fund partnership, this will include a focus on the humanitarian-development nexus and resilience building. In the case of a Peacebuilding Fund/Joint SDG Fund partnership, the focus of the Joint SDG Fund will be on ensuring integrated policies are in place and additional capital flows help support a peace dividend. A well-designed, and fully capitalized Joint SDG Fund is expected to reduce fragmentation of policy and financing efforts.</w:t>
      </w:r>
    </w:p>
    <w:p w14:paraId="13A613B8"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lastRenderedPageBreak/>
        <w:t xml:space="preserve">In short, the overall aim of the Fund is to incentivize integrated and transformative policy shifts, and to support the UN’s key role in convening and creating SDG financing strategies, and to then make catalytic investments that enable countries to leapfrog in their development. </w:t>
      </w:r>
    </w:p>
    <w:p w14:paraId="654F3556" w14:textId="77777777" w:rsidR="00D66A1D" w:rsidRPr="00F36109" w:rsidRDefault="00D66A1D" w:rsidP="00D66A1D">
      <w:pPr>
        <w:pStyle w:val="Heading1"/>
        <w:jc w:val="both"/>
        <w:rPr>
          <w:rFonts w:ascii="Times New Roman" w:eastAsia="Times New Roman" w:hAnsi="Times New Roman" w:cs="Times New Roman"/>
        </w:rPr>
      </w:pPr>
      <w:bookmarkStart w:id="5" w:name="_Toc530577705"/>
      <w:r w:rsidRPr="00F36109">
        <w:rPr>
          <w:rFonts w:ascii="Times New Roman" w:eastAsia="Times New Roman" w:hAnsi="Times New Roman" w:cs="Times New Roman"/>
        </w:rPr>
        <w:t>2. FUNCTIONS OF THE JOINT SDG FUND</w:t>
      </w:r>
      <w:bookmarkEnd w:id="5"/>
      <w:r w:rsidRPr="00F36109">
        <w:rPr>
          <w:rFonts w:ascii="Times New Roman" w:eastAsia="Times New Roman" w:hAnsi="Times New Roman" w:cs="Times New Roman"/>
        </w:rPr>
        <w:t xml:space="preserve"> </w:t>
      </w:r>
    </w:p>
    <w:p w14:paraId="2ABE06A0"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Joint SDG Fund will perform the following functions:</w:t>
      </w:r>
    </w:p>
    <w:p w14:paraId="5710EE8E" w14:textId="77777777" w:rsidR="00D66A1D" w:rsidRPr="00F36109" w:rsidRDefault="00D66A1D" w:rsidP="00D66A1D">
      <w:pPr>
        <w:numPr>
          <w:ilvl w:val="0"/>
          <w:numId w:val="20"/>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b/>
          <w:i/>
          <w:color w:val="000000"/>
        </w:rPr>
        <w:t>Identify and activate SDG “accelerators”</w:t>
      </w:r>
      <w:r w:rsidRPr="00F36109">
        <w:rPr>
          <w:rFonts w:ascii="Times New Roman" w:eastAsia="Times New Roman" w:hAnsi="Times New Roman" w:cs="Times New Roman"/>
          <w:b/>
          <w:color w:val="000000"/>
        </w:rPr>
        <w:t>:</w:t>
      </w:r>
      <w:r w:rsidRPr="00F36109">
        <w:rPr>
          <w:rFonts w:ascii="Times New Roman" w:eastAsia="Times New Roman" w:hAnsi="Times New Roman" w:cs="Times New Roman"/>
          <w:color w:val="000000"/>
        </w:rPr>
        <w:t xml:space="preserve"> The Joint SDG Fund will identify policy levers, through an integrated</w:t>
      </w:r>
      <w:r w:rsidRPr="00F36109">
        <w:rPr>
          <w:rFonts w:ascii="Times New Roman" w:eastAsia="Times New Roman" w:hAnsi="Times New Roman" w:cs="Times New Roman"/>
        </w:rPr>
        <w:t xml:space="preserve"> and</w:t>
      </w:r>
      <w:r w:rsidRPr="00F36109">
        <w:rPr>
          <w:rFonts w:ascii="Times New Roman" w:eastAsia="Times New Roman" w:hAnsi="Times New Roman" w:cs="Times New Roman"/>
          <w:color w:val="000000"/>
        </w:rPr>
        <w:t xml:space="preserve"> cross</w:t>
      </w:r>
      <w:r w:rsidRPr="00F36109">
        <w:rPr>
          <w:rFonts w:ascii="Times New Roman" w:eastAsia="Times New Roman" w:hAnsi="Times New Roman" w:cs="Times New Roman"/>
        </w:rPr>
        <w:t>-</w:t>
      </w:r>
      <w:r w:rsidRPr="00F36109">
        <w:rPr>
          <w:rFonts w:ascii="Times New Roman" w:eastAsia="Times New Roman" w:hAnsi="Times New Roman" w:cs="Times New Roman"/>
          <w:color w:val="000000"/>
        </w:rPr>
        <w:t xml:space="preserve">sectoral approach, that unleash rapid progress across different goals and targets, based on data, assessments and analysis carried out </w:t>
      </w:r>
      <w:r w:rsidRPr="00F36109">
        <w:rPr>
          <w:rFonts w:ascii="Times New Roman" w:eastAsia="Times New Roman" w:hAnsi="Times New Roman" w:cs="Times New Roman"/>
        </w:rPr>
        <w:t>by</w:t>
      </w:r>
      <w:r w:rsidRPr="00F36109">
        <w:rPr>
          <w:rFonts w:ascii="Times New Roman" w:eastAsia="Times New Roman" w:hAnsi="Times New Roman" w:cs="Times New Roman"/>
          <w:color w:val="000000"/>
        </w:rPr>
        <w:t xml:space="preserve"> national and international partners;</w:t>
      </w:r>
    </w:p>
    <w:p w14:paraId="3F9CB3E6" w14:textId="77777777" w:rsidR="00D66A1D" w:rsidRPr="00F36109" w:rsidRDefault="00D66A1D" w:rsidP="00D66A1D">
      <w:pPr>
        <w:pBdr>
          <w:top w:val="nil"/>
          <w:left w:val="nil"/>
          <w:bottom w:val="nil"/>
          <w:right w:val="nil"/>
          <w:between w:val="nil"/>
        </w:pBdr>
        <w:spacing w:after="0" w:line="312" w:lineRule="auto"/>
        <w:jc w:val="both"/>
        <w:rPr>
          <w:rFonts w:ascii="Times New Roman" w:hAnsi="Times New Roman" w:cs="Times New Roman"/>
        </w:rPr>
      </w:pPr>
    </w:p>
    <w:p w14:paraId="79AE511F" w14:textId="77777777" w:rsidR="00D66A1D" w:rsidRPr="00F36109" w:rsidRDefault="00D66A1D" w:rsidP="00D66A1D">
      <w:pPr>
        <w:numPr>
          <w:ilvl w:val="0"/>
          <w:numId w:val="20"/>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b/>
          <w:i/>
          <w:color w:val="000000"/>
        </w:rPr>
        <w:t>Reinforce the SDG financing architecture and ecosystem</w:t>
      </w:r>
      <w:r w:rsidRPr="00F36109">
        <w:rPr>
          <w:rFonts w:ascii="Times New Roman" w:eastAsia="Times New Roman" w:hAnsi="Times New Roman" w:cs="Times New Roman"/>
          <w:i/>
          <w:color w:val="000000"/>
        </w:rPr>
        <w:t xml:space="preserve">: </w:t>
      </w:r>
      <w:r w:rsidRPr="00F36109">
        <w:rPr>
          <w:rFonts w:ascii="Times New Roman" w:eastAsia="Times New Roman" w:hAnsi="Times New Roman" w:cs="Times New Roman"/>
          <w:color w:val="000000"/>
        </w:rPr>
        <w:t xml:space="preserve"> The Joint SDG Fund will support the development of financing strategies for SDG investment. This work will include: </w:t>
      </w:r>
      <w:proofErr w:type="spellStart"/>
      <w:r w:rsidRPr="00F36109">
        <w:rPr>
          <w:rFonts w:ascii="Times New Roman" w:eastAsia="Times New Roman" w:hAnsi="Times New Roman" w:cs="Times New Roman"/>
          <w:i/>
          <w:color w:val="000000"/>
          <w:sz w:val="20"/>
          <w:szCs w:val="20"/>
        </w:rPr>
        <w:t>i</w:t>
      </w:r>
      <w:proofErr w:type="spellEnd"/>
      <w:r w:rsidRPr="00F36109">
        <w:rPr>
          <w:rFonts w:ascii="Times New Roman" w:eastAsia="Times New Roman" w:hAnsi="Times New Roman" w:cs="Times New Roman"/>
          <w:i/>
          <w:color w:val="000000"/>
          <w:sz w:val="20"/>
          <w:szCs w:val="20"/>
        </w:rPr>
        <w:t>)</w:t>
      </w:r>
      <w:r w:rsidRPr="00F36109">
        <w:rPr>
          <w:rFonts w:ascii="Times New Roman" w:eastAsia="Times New Roman" w:hAnsi="Times New Roman" w:cs="Times New Roman"/>
          <w:color w:val="000000"/>
        </w:rPr>
        <w:t xml:space="preserve"> convening and creating networks with partners, including the Government, development banks, institutional investors and the private sector; </w:t>
      </w:r>
      <w:r w:rsidRPr="00F36109">
        <w:rPr>
          <w:rFonts w:ascii="Times New Roman" w:eastAsia="Times New Roman" w:hAnsi="Times New Roman" w:cs="Times New Roman"/>
          <w:i/>
          <w:color w:val="000000"/>
          <w:sz w:val="20"/>
          <w:szCs w:val="20"/>
        </w:rPr>
        <w:t>ii)</w:t>
      </w:r>
      <w:r w:rsidRPr="00F36109">
        <w:rPr>
          <w:rFonts w:ascii="Times New Roman" w:eastAsia="Times New Roman" w:hAnsi="Times New Roman" w:cs="Times New Roman"/>
          <w:color w:val="000000"/>
        </w:rPr>
        <w:t xml:space="preserve"> strengthening the capacities of the national and sub-national SDG financing architecture; iii) the production of multi-stakeholder financing strategies with the aim of dramatically increasing the scale and improving the focus of SDG investments.</w:t>
      </w:r>
    </w:p>
    <w:p w14:paraId="2F6B18E9" w14:textId="77777777" w:rsidR="00D66A1D" w:rsidRPr="00F36109" w:rsidRDefault="00D66A1D" w:rsidP="00D66A1D">
      <w:pPr>
        <w:pBdr>
          <w:top w:val="nil"/>
          <w:left w:val="nil"/>
          <w:bottom w:val="nil"/>
          <w:right w:val="nil"/>
          <w:between w:val="nil"/>
        </w:pBdr>
        <w:spacing w:after="0" w:line="312" w:lineRule="auto"/>
        <w:jc w:val="both"/>
        <w:rPr>
          <w:rFonts w:ascii="Times New Roman" w:hAnsi="Times New Roman" w:cs="Times New Roman"/>
        </w:rPr>
      </w:pPr>
    </w:p>
    <w:p w14:paraId="3AA765DB" w14:textId="77777777" w:rsidR="00D66A1D" w:rsidRPr="00F36109" w:rsidRDefault="00D66A1D" w:rsidP="00D66A1D">
      <w:pPr>
        <w:numPr>
          <w:ilvl w:val="0"/>
          <w:numId w:val="20"/>
        </w:numPr>
        <w:pBdr>
          <w:top w:val="nil"/>
          <w:left w:val="nil"/>
          <w:bottom w:val="nil"/>
          <w:right w:val="nil"/>
          <w:between w:val="nil"/>
        </w:pBdr>
        <w:spacing w:after="200" w:line="276" w:lineRule="auto"/>
        <w:contextualSpacing/>
        <w:jc w:val="both"/>
        <w:rPr>
          <w:rFonts w:ascii="Times New Roman" w:hAnsi="Times New Roman" w:cs="Times New Roman"/>
        </w:rPr>
      </w:pPr>
      <w:r w:rsidRPr="00F36109">
        <w:rPr>
          <w:rFonts w:ascii="Times New Roman" w:eastAsia="Times New Roman" w:hAnsi="Times New Roman" w:cs="Times New Roman"/>
          <w:b/>
          <w:i/>
          <w:color w:val="000000"/>
        </w:rPr>
        <w:t>Catalyze strategic programming and investments</w:t>
      </w:r>
      <w:r w:rsidRPr="00F36109">
        <w:rPr>
          <w:rFonts w:ascii="Times New Roman" w:eastAsia="Times New Roman" w:hAnsi="Times New Roman" w:cs="Times New Roman"/>
          <w:i/>
          <w:color w:val="000000"/>
        </w:rPr>
        <w:t>:</w:t>
      </w:r>
      <w:r w:rsidRPr="00F36109">
        <w:rPr>
          <w:rFonts w:ascii="Times New Roman" w:eastAsia="Times New Roman" w:hAnsi="Times New Roman" w:cs="Times New Roman"/>
          <w:color w:val="000000"/>
        </w:rPr>
        <w:t xml:space="preserve"> </w:t>
      </w:r>
      <w:proofErr w:type="gramStart"/>
      <w:r w:rsidRPr="00F36109">
        <w:rPr>
          <w:rFonts w:ascii="Times New Roman" w:eastAsia="Times New Roman" w:hAnsi="Times New Roman" w:cs="Times New Roman"/>
          <w:color w:val="000000"/>
        </w:rPr>
        <w:t>the</w:t>
      </w:r>
      <w:proofErr w:type="gramEnd"/>
      <w:r w:rsidRPr="00F36109">
        <w:rPr>
          <w:rFonts w:ascii="Times New Roman" w:eastAsia="Times New Roman" w:hAnsi="Times New Roman" w:cs="Times New Roman"/>
          <w:color w:val="000000"/>
        </w:rPr>
        <w:t xml:space="preserve"> Joint SDG Fund will invest in key initiatives that emerge from (1) and (2), and that leverage public and private financing in order to advance the SDGs. These initiatives will provide a demonstration of concept and will be scalable both in country and elsewhere. </w:t>
      </w:r>
    </w:p>
    <w:p w14:paraId="42FB59C6" w14:textId="77777777" w:rsidR="00D66A1D" w:rsidRPr="00F36109" w:rsidRDefault="00D66A1D" w:rsidP="00D66A1D">
      <w:pPr>
        <w:pBdr>
          <w:top w:val="nil"/>
          <w:left w:val="nil"/>
          <w:bottom w:val="nil"/>
          <w:right w:val="nil"/>
          <w:between w:val="nil"/>
        </w:pBdr>
        <w:ind w:left="450" w:hanging="450"/>
        <w:jc w:val="both"/>
        <w:rPr>
          <w:rFonts w:ascii="Times New Roman" w:eastAsia="Times New Roman" w:hAnsi="Times New Roman" w:cs="Times New Roman"/>
          <w:color w:val="000000"/>
        </w:rPr>
      </w:pPr>
    </w:p>
    <w:p w14:paraId="2327BE45" w14:textId="77777777" w:rsidR="00D66A1D" w:rsidRPr="00F36109" w:rsidRDefault="00D66A1D" w:rsidP="00D66A1D">
      <w:pPr>
        <w:pStyle w:val="Heading1"/>
        <w:jc w:val="both"/>
        <w:rPr>
          <w:rFonts w:ascii="Times New Roman" w:eastAsia="Times New Roman" w:hAnsi="Times New Roman" w:cs="Times New Roman"/>
        </w:rPr>
      </w:pPr>
      <w:bookmarkStart w:id="6" w:name="_tyjcwt" w:colFirst="0" w:colLast="0"/>
      <w:bookmarkStart w:id="7" w:name="_Toc530577706"/>
      <w:bookmarkEnd w:id="6"/>
      <w:r w:rsidRPr="00F36109">
        <w:rPr>
          <w:rFonts w:ascii="Times New Roman" w:eastAsia="Times New Roman" w:hAnsi="Times New Roman" w:cs="Times New Roman"/>
        </w:rPr>
        <w:t>3. PROGRAMMATIC SCOPE AND THEORY OF CHANGE</w:t>
      </w:r>
      <w:bookmarkEnd w:id="7"/>
      <w:r w:rsidRPr="00F36109">
        <w:rPr>
          <w:rFonts w:ascii="Times New Roman" w:eastAsia="Times New Roman" w:hAnsi="Times New Roman" w:cs="Times New Roman"/>
        </w:rPr>
        <w:t xml:space="preserve"> </w:t>
      </w:r>
    </w:p>
    <w:p w14:paraId="46BB120A" w14:textId="77777777" w:rsidR="00D66A1D" w:rsidRPr="00F36109" w:rsidRDefault="00D66A1D" w:rsidP="00D66A1D">
      <w:pPr>
        <w:spacing w:after="0" w:line="240" w:lineRule="auto"/>
        <w:jc w:val="both"/>
        <w:rPr>
          <w:rFonts w:ascii="Times New Roman" w:eastAsia="Times New Roman" w:hAnsi="Times New Roman" w:cs="Times New Roman"/>
          <w:color w:val="000000"/>
        </w:rPr>
      </w:pPr>
      <w:r w:rsidRPr="00F36109">
        <w:rPr>
          <w:rFonts w:ascii="Times New Roman" w:eastAsia="Times New Roman" w:hAnsi="Times New Roman" w:cs="Times New Roman"/>
        </w:rPr>
        <w:t xml:space="preserve">3.1. </w:t>
      </w:r>
      <w:r w:rsidRPr="00F36109">
        <w:rPr>
          <w:rFonts w:ascii="Times New Roman" w:eastAsia="Times New Roman" w:hAnsi="Times New Roman" w:cs="Times New Roman"/>
          <w:b/>
          <w:color w:val="000000"/>
        </w:rPr>
        <w:t xml:space="preserve"> Problem Analysis and Summary of Theory of Change</w:t>
      </w:r>
    </w:p>
    <w:p w14:paraId="11AFF396" w14:textId="77777777" w:rsidR="00D66A1D" w:rsidRPr="00F36109" w:rsidRDefault="00D66A1D" w:rsidP="00D66A1D">
      <w:pPr>
        <w:pBdr>
          <w:top w:val="nil"/>
          <w:left w:val="nil"/>
          <w:bottom w:val="nil"/>
          <w:right w:val="nil"/>
          <w:between w:val="nil"/>
        </w:pBdr>
        <w:spacing w:after="79" w:line="312" w:lineRule="auto"/>
        <w:jc w:val="both"/>
        <w:rPr>
          <w:rFonts w:ascii="Times New Roman" w:eastAsia="Times New Roman" w:hAnsi="Times New Roman" w:cs="Times New Roman"/>
          <w:color w:val="000000"/>
        </w:rPr>
      </w:pPr>
    </w:p>
    <w:p w14:paraId="26206ED3" w14:textId="514934A9" w:rsidR="00D66A1D" w:rsidRPr="00F36109" w:rsidRDefault="00D66A1D" w:rsidP="00D66A1D">
      <w:pPr>
        <w:pBdr>
          <w:top w:val="nil"/>
          <w:left w:val="nil"/>
          <w:bottom w:val="nil"/>
          <w:right w:val="nil"/>
          <w:between w:val="nil"/>
        </w:pBdr>
        <w:spacing w:after="79"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xml:space="preserve">The UN and development partners have traditionally supported policy development by sector, mandate, or area of specialization. Despite efforts at policy collaboration, country-level work is often affected by inadequate integration within complementary result areas. Furthermore, the challenge of the SDGs </w:t>
      </w:r>
      <w:proofErr w:type="gramStart"/>
      <w:r w:rsidRPr="00F36109">
        <w:rPr>
          <w:rFonts w:ascii="Times New Roman" w:eastAsia="Times New Roman" w:hAnsi="Times New Roman" w:cs="Times New Roman"/>
          <w:color w:val="000000"/>
        </w:rPr>
        <w:t>require</w:t>
      </w:r>
      <w:proofErr w:type="gramEnd"/>
      <w:r w:rsidRPr="00F36109">
        <w:rPr>
          <w:rFonts w:ascii="Times New Roman" w:eastAsia="Times New Roman" w:hAnsi="Times New Roman" w:cs="Times New Roman"/>
          <w:color w:val="000000"/>
        </w:rPr>
        <w:t xml:space="preserve"> a fundamentally new set of inclusive financing strategies. The UN is uniquely positioned to leverage its convening power to support the development and implementation of financing strategies through a much broader set of partners than it has in the past.  If we are to transform billions of dollars into trillions worth of SDG investments, the UN needs to both invest in strategic investments vital to the SDGs, and – working with partners - create new financing models that help us achieve the SDGs faster. </w:t>
      </w:r>
    </w:p>
    <w:p w14:paraId="45486A5F" w14:textId="77777777" w:rsidR="00D66A1D" w:rsidRPr="00F36109" w:rsidRDefault="00D66A1D" w:rsidP="00D66A1D">
      <w:pPr>
        <w:spacing w:after="79"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xml:space="preserve">The Joint SDG Fund will operate in three interwoven domains of change: </w:t>
      </w:r>
      <w:r w:rsidRPr="00F36109">
        <w:rPr>
          <w:rFonts w:ascii="Times New Roman" w:eastAsia="Times New Roman" w:hAnsi="Times New Roman" w:cs="Times New Roman"/>
          <w:b/>
          <w:i/>
          <w:color w:val="000000"/>
        </w:rPr>
        <w:t>unleashing policy accelerators</w:t>
      </w:r>
      <w:r w:rsidRPr="00F36109">
        <w:rPr>
          <w:rFonts w:ascii="Times New Roman" w:eastAsia="Times New Roman" w:hAnsi="Times New Roman" w:cs="Times New Roman"/>
          <w:i/>
          <w:color w:val="000000"/>
        </w:rPr>
        <w:t xml:space="preserve"> to </w:t>
      </w:r>
      <w:proofErr w:type="spellStart"/>
      <w:r w:rsidRPr="00F36109">
        <w:rPr>
          <w:rFonts w:ascii="Times New Roman" w:eastAsia="Times New Roman" w:hAnsi="Times New Roman" w:cs="Times New Roman"/>
          <w:i/>
          <w:color w:val="000000"/>
        </w:rPr>
        <w:t>catalyse</w:t>
      </w:r>
      <w:proofErr w:type="spellEnd"/>
      <w:r w:rsidRPr="00F36109">
        <w:rPr>
          <w:rFonts w:ascii="Times New Roman" w:eastAsia="Times New Roman" w:hAnsi="Times New Roman" w:cs="Times New Roman"/>
          <w:i/>
          <w:color w:val="000000"/>
        </w:rPr>
        <w:t xml:space="preserve"> integrated, transformative policy change</w:t>
      </w:r>
      <w:r w:rsidRPr="00F36109">
        <w:rPr>
          <w:rFonts w:ascii="Times New Roman" w:eastAsia="Times New Roman" w:hAnsi="Times New Roman" w:cs="Times New Roman"/>
          <w:color w:val="000000"/>
        </w:rPr>
        <w:t xml:space="preserve">, developing the </w:t>
      </w:r>
      <w:r w:rsidRPr="00F36109">
        <w:rPr>
          <w:rFonts w:ascii="Times New Roman" w:eastAsia="Times New Roman" w:hAnsi="Times New Roman" w:cs="Times New Roman"/>
          <w:b/>
          <w:i/>
          <w:color w:val="000000"/>
        </w:rPr>
        <w:t>SDG financing ecosystem</w:t>
      </w:r>
      <w:r w:rsidRPr="00F36109">
        <w:rPr>
          <w:rFonts w:ascii="Times New Roman" w:eastAsia="Times New Roman" w:hAnsi="Times New Roman" w:cs="Times New Roman"/>
          <w:color w:val="000000"/>
        </w:rPr>
        <w:t xml:space="preserve">, and </w:t>
      </w:r>
      <w:proofErr w:type="spellStart"/>
      <w:r w:rsidRPr="00F36109">
        <w:rPr>
          <w:rFonts w:ascii="Times New Roman" w:eastAsia="Times New Roman" w:hAnsi="Times New Roman" w:cs="Times New Roman"/>
          <w:b/>
          <w:i/>
          <w:color w:val="000000"/>
        </w:rPr>
        <w:t>catalysing</w:t>
      </w:r>
      <w:proofErr w:type="spellEnd"/>
      <w:r w:rsidRPr="00F36109">
        <w:rPr>
          <w:rFonts w:ascii="Times New Roman" w:eastAsia="Times New Roman" w:hAnsi="Times New Roman" w:cs="Times New Roman"/>
          <w:b/>
          <w:i/>
          <w:color w:val="000000"/>
        </w:rPr>
        <w:t xml:space="preserve"> SDG programming and investments</w:t>
      </w:r>
      <w:r w:rsidRPr="00F36109">
        <w:rPr>
          <w:rFonts w:ascii="Times New Roman" w:eastAsia="Times New Roman" w:hAnsi="Times New Roman" w:cs="Times New Roman"/>
          <w:color w:val="000000"/>
        </w:rPr>
        <w:t xml:space="preserve">. These three domains are closely interlinked. To convert integrated policy change into transformative action these changes must be accompanied by new, more coordinated, more comprehensive financing strategies and catalytic investments. </w:t>
      </w:r>
    </w:p>
    <w:p w14:paraId="33EF27CE" w14:textId="77777777" w:rsidR="00D66A1D" w:rsidRPr="00F36109" w:rsidRDefault="00D66A1D" w:rsidP="00D66A1D">
      <w:pPr>
        <w:pStyle w:val="Heading1"/>
        <w:numPr>
          <w:ilvl w:val="0"/>
          <w:numId w:val="20"/>
        </w:numPr>
        <w:spacing w:line="276" w:lineRule="auto"/>
        <w:jc w:val="both"/>
        <w:rPr>
          <w:rFonts w:ascii="Times New Roman" w:eastAsia="Times New Roman" w:hAnsi="Times New Roman" w:cs="Times New Roman"/>
        </w:rPr>
      </w:pPr>
      <w:bookmarkStart w:id="8" w:name="_Toc530577707"/>
      <w:r w:rsidRPr="00F36109">
        <w:rPr>
          <w:rFonts w:ascii="Times New Roman" w:eastAsia="Times New Roman" w:hAnsi="Times New Roman" w:cs="Times New Roman"/>
        </w:rPr>
        <w:lastRenderedPageBreak/>
        <w:t>GOVERNANCE ARRANGEMENTS</w:t>
      </w:r>
      <w:bookmarkEnd w:id="8"/>
    </w:p>
    <w:p w14:paraId="78D6C64D" w14:textId="77777777" w:rsidR="00D66A1D" w:rsidRPr="00F36109" w:rsidRDefault="00D66A1D" w:rsidP="00D66A1D">
      <w:pPr>
        <w:jc w:val="both"/>
        <w:rPr>
          <w:rFonts w:ascii="Times New Roman" w:hAnsi="Times New Roman" w:cs="Times New Roman"/>
        </w:rPr>
      </w:pPr>
    </w:p>
    <w:p w14:paraId="62826837" w14:textId="77777777" w:rsidR="00D66A1D" w:rsidRPr="00F36109" w:rsidRDefault="00D66A1D" w:rsidP="00D66A1D">
      <w:pPr>
        <w:jc w:val="both"/>
        <w:rPr>
          <w:rFonts w:ascii="Times New Roman" w:hAnsi="Times New Roman" w:cs="Times New Roman"/>
        </w:rPr>
      </w:pPr>
      <w:r w:rsidRPr="00F36109">
        <w:rPr>
          <w:rFonts w:ascii="Times New Roman" w:hAnsi="Times New Roman" w:cs="Times New Roman"/>
          <w:noProof/>
        </w:rPr>
        <w:drawing>
          <wp:inline distT="0" distB="0" distL="0" distR="0" wp14:anchorId="4FC41C32" wp14:editId="317A879A">
            <wp:extent cx="6511938" cy="4349191"/>
            <wp:effectExtent l="0" t="0" r="0" b="0"/>
            <wp:docPr id="4" name="image4.png" descr="A screenshot of a cell phone&#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4.png" descr="A screenshot of a cell phone&#10;&#10;Description generated with very high confidence"/>
                    <pic:cNvPicPr preferRelativeResize="0"/>
                  </pic:nvPicPr>
                  <pic:blipFill>
                    <a:blip r:embed="rId10"/>
                    <a:srcRect/>
                    <a:stretch>
                      <a:fillRect/>
                    </a:stretch>
                  </pic:blipFill>
                  <pic:spPr>
                    <a:xfrm>
                      <a:off x="0" y="0"/>
                      <a:ext cx="6511938" cy="4349191"/>
                    </a:xfrm>
                    <a:prstGeom prst="rect">
                      <a:avLst/>
                    </a:prstGeom>
                    <a:ln/>
                  </pic:spPr>
                </pic:pic>
              </a:graphicData>
            </a:graphic>
          </wp:inline>
        </w:drawing>
      </w:r>
    </w:p>
    <w:p w14:paraId="3FE4E3B7" w14:textId="77777777" w:rsidR="00D66A1D" w:rsidRPr="00F36109" w:rsidRDefault="00D66A1D" w:rsidP="00D66A1D">
      <w:pPr>
        <w:pStyle w:val="Heading2"/>
        <w:jc w:val="both"/>
        <w:rPr>
          <w:rFonts w:ascii="Times New Roman" w:eastAsia="Times New Roman" w:hAnsi="Times New Roman" w:cs="Times New Roman"/>
        </w:rPr>
      </w:pPr>
      <w:bookmarkStart w:id="9" w:name="_Toc527975894"/>
      <w:bookmarkStart w:id="10" w:name="_Toc527976111"/>
      <w:bookmarkStart w:id="11" w:name="_Toc527976224"/>
      <w:bookmarkStart w:id="12" w:name="_Toc530577708"/>
      <w:r w:rsidRPr="00F36109">
        <w:rPr>
          <w:rFonts w:ascii="Times New Roman" w:eastAsia="Times New Roman" w:hAnsi="Times New Roman" w:cs="Times New Roman"/>
        </w:rPr>
        <w:t>4.1. Global Governance Mechanisms</w:t>
      </w:r>
      <w:bookmarkEnd w:id="9"/>
      <w:bookmarkEnd w:id="10"/>
      <w:bookmarkEnd w:id="11"/>
      <w:bookmarkEnd w:id="12"/>
    </w:p>
    <w:p w14:paraId="4B00C63C" w14:textId="77777777" w:rsidR="00D66A1D" w:rsidRPr="00F36109" w:rsidRDefault="00D66A1D" w:rsidP="00D66A1D">
      <w:pPr>
        <w:jc w:val="both"/>
        <w:rPr>
          <w:rFonts w:ascii="Times New Roman" w:eastAsia="Times New Roman" w:hAnsi="Times New Roman" w:cs="Times New Roman"/>
        </w:rPr>
      </w:pPr>
      <w:r w:rsidRPr="00F36109">
        <w:rPr>
          <w:rFonts w:ascii="Times New Roman" w:eastAsia="Times New Roman" w:hAnsi="Times New Roman" w:cs="Times New Roman"/>
        </w:rPr>
        <w:t xml:space="preserve">In this initial phase the global governance of the Joint SDG Fund consists of a Strategic Advisory Group and an Operational Steering Committee.   These governance mechanisms may be amended as the Joint SDG Fund evolves. </w:t>
      </w:r>
    </w:p>
    <w:p w14:paraId="77C1D511" w14:textId="77777777" w:rsidR="00D66A1D" w:rsidRPr="00F36109" w:rsidRDefault="00D66A1D" w:rsidP="00D66A1D">
      <w:pPr>
        <w:jc w:val="both"/>
        <w:rPr>
          <w:rFonts w:ascii="Times New Roman" w:eastAsia="Times New Roman" w:hAnsi="Times New Roman" w:cs="Times New Roman"/>
        </w:rPr>
      </w:pPr>
    </w:p>
    <w:p w14:paraId="6217F53E" w14:textId="77777777" w:rsidR="00D66A1D" w:rsidRPr="00F36109" w:rsidRDefault="00D66A1D" w:rsidP="00D66A1D">
      <w:pPr>
        <w:jc w:val="both"/>
        <w:rPr>
          <w:rFonts w:ascii="Times New Roman" w:eastAsia="Times New Roman" w:hAnsi="Times New Roman" w:cs="Times New Roman"/>
        </w:rPr>
      </w:pPr>
      <w:r w:rsidRPr="00F36109">
        <w:rPr>
          <w:rFonts w:ascii="Times New Roman" w:eastAsia="Times New Roman" w:hAnsi="Times New Roman" w:cs="Times New Roman"/>
          <w:noProof/>
        </w:rPr>
        <w:lastRenderedPageBreak/>
        <w:drawing>
          <wp:anchor distT="0" distB="0" distL="114300" distR="114300" simplePos="0" relativeHeight="251663360" behindDoc="0" locked="0" layoutInCell="1" allowOverlap="1" wp14:anchorId="44B0E5D4" wp14:editId="000C2280">
            <wp:simplePos x="0" y="0"/>
            <wp:positionH relativeFrom="margin">
              <wp:posOffset>-631190</wp:posOffset>
            </wp:positionH>
            <wp:positionV relativeFrom="paragraph">
              <wp:posOffset>125095</wp:posOffset>
            </wp:positionV>
            <wp:extent cx="7096125" cy="2842895"/>
            <wp:effectExtent l="0" t="0" r="9525" b="0"/>
            <wp:wrapSquare wrapText="bothSides"/>
            <wp:docPr id="5" name="image1.png" descr="A close up of a card&#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generated with high confidence"/>
                    <pic:cNvPicPr preferRelativeResize="0"/>
                  </pic:nvPicPr>
                  <pic:blipFill>
                    <a:blip r:embed="rId11"/>
                    <a:srcRect/>
                    <a:stretch>
                      <a:fillRect/>
                    </a:stretch>
                  </pic:blipFill>
                  <pic:spPr>
                    <a:xfrm>
                      <a:off x="0" y="0"/>
                      <a:ext cx="7096125" cy="2842895"/>
                    </a:xfrm>
                    <a:prstGeom prst="rect">
                      <a:avLst/>
                    </a:prstGeom>
                    <a:ln/>
                  </pic:spPr>
                </pic:pic>
              </a:graphicData>
            </a:graphic>
            <wp14:sizeRelH relativeFrom="margin">
              <wp14:pctWidth>0</wp14:pctWidth>
            </wp14:sizeRelH>
            <wp14:sizeRelV relativeFrom="margin">
              <wp14:pctHeight>0</wp14:pctHeight>
            </wp14:sizeRelV>
          </wp:anchor>
        </w:drawing>
      </w:r>
    </w:p>
    <w:p w14:paraId="4C284655" w14:textId="77777777" w:rsidR="00D66A1D" w:rsidRPr="00F36109" w:rsidRDefault="00D66A1D" w:rsidP="00D66A1D">
      <w:pPr>
        <w:pStyle w:val="Heading3"/>
        <w:jc w:val="both"/>
        <w:rPr>
          <w:rFonts w:ascii="Times New Roman" w:hAnsi="Times New Roman" w:cs="Times New Roman"/>
          <w:b/>
          <w:color w:val="1F497D"/>
        </w:rPr>
      </w:pPr>
      <w:bookmarkStart w:id="13" w:name="_Toc527975895"/>
      <w:bookmarkStart w:id="14" w:name="_Toc527976112"/>
      <w:bookmarkStart w:id="15" w:name="_Toc527976225"/>
      <w:bookmarkStart w:id="16" w:name="_Toc530497027"/>
      <w:bookmarkStart w:id="17" w:name="_Toc530577709"/>
      <w:r w:rsidRPr="00F47C09">
        <w:rPr>
          <w:rFonts w:ascii="Times New Roman" w:eastAsia="Times New Roman" w:hAnsi="Times New Roman" w:cs="Times New Roman"/>
          <w:color w:val="2F5496" w:themeColor="accent1" w:themeShade="BF"/>
          <w:sz w:val="26"/>
          <w:szCs w:val="26"/>
        </w:rPr>
        <w:t>4.1.1 Strategic Advisory Group</w:t>
      </w:r>
      <w:bookmarkEnd w:id="13"/>
      <w:bookmarkEnd w:id="14"/>
      <w:bookmarkEnd w:id="15"/>
      <w:bookmarkEnd w:id="16"/>
      <w:bookmarkEnd w:id="17"/>
      <w:r w:rsidRPr="00F47C09">
        <w:rPr>
          <w:rFonts w:ascii="Times New Roman" w:eastAsia="Times New Roman" w:hAnsi="Times New Roman" w:cs="Times New Roman"/>
          <w:color w:val="2F5496" w:themeColor="accent1" w:themeShade="BF"/>
          <w:sz w:val="26"/>
          <w:szCs w:val="26"/>
        </w:rPr>
        <w:t xml:space="preserve"> </w:t>
      </w:r>
    </w:p>
    <w:p w14:paraId="3FE3CD84" w14:textId="48AB67D9" w:rsidR="00FC0849" w:rsidRPr="009C5205" w:rsidRDefault="00FC0849" w:rsidP="00FC0849">
      <w:pPr>
        <w:jc w:val="both"/>
        <w:rPr>
          <w:rFonts w:ascii="Times New Roman" w:hAnsi="Times New Roman"/>
        </w:rPr>
      </w:pPr>
      <w:bookmarkStart w:id="18" w:name="_Toc527975432"/>
      <w:bookmarkStart w:id="19" w:name="_Toc527975896"/>
      <w:bookmarkStart w:id="20" w:name="_Toc527976113"/>
      <w:bookmarkStart w:id="21" w:name="_Toc527976226"/>
      <w:r w:rsidRPr="009C5205">
        <w:rPr>
          <w:rFonts w:ascii="Times New Roman" w:hAnsi="Times New Roman"/>
        </w:rPr>
        <w:t xml:space="preserve">The Joint SDG Fund governance structure is led by the </w:t>
      </w:r>
      <w:r w:rsidRPr="00A84A46">
        <w:rPr>
          <w:rFonts w:ascii="Times New Roman" w:hAnsi="Times New Roman"/>
        </w:rPr>
        <w:t>Strategic Advisory Group</w:t>
      </w:r>
      <w:r w:rsidRPr="009C5205">
        <w:rPr>
          <w:rFonts w:ascii="Times New Roman" w:hAnsi="Times New Roman"/>
        </w:rPr>
        <w:t xml:space="preserve">, which is chaired by the United Nations Deputy Secretary-General and Chair of the UNSDG.  The </w:t>
      </w:r>
      <w:r w:rsidRPr="00A84A46">
        <w:rPr>
          <w:rFonts w:ascii="Times New Roman" w:hAnsi="Times New Roman"/>
        </w:rPr>
        <w:t>Strategic Advisory Group</w:t>
      </w:r>
      <w:r w:rsidRPr="009C5205">
        <w:rPr>
          <w:rFonts w:ascii="Times New Roman" w:hAnsi="Times New Roman"/>
        </w:rPr>
        <w:t xml:space="preserve"> is the overarching high-level mechanism that will provide leadership, vision and strategic direction. The </w:t>
      </w:r>
      <w:r w:rsidRPr="00A84A46">
        <w:rPr>
          <w:rFonts w:ascii="Times New Roman" w:hAnsi="Times New Roman"/>
        </w:rPr>
        <w:t>Strategic Advisory Group</w:t>
      </w:r>
      <w:r w:rsidRPr="009C5205">
        <w:rPr>
          <w:rFonts w:ascii="Times New Roman" w:hAnsi="Times New Roman"/>
        </w:rPr>
        <w:t xml:space="preserve"> acts as a high-level forum that facilitates consultation among stakeholders of the Joint SDG Fund, including the United Nations, partner countries</w:t>
      </w:r>
      <w:r>
        <w:rPr>
          <w:rFonts w:ascii="Times New Roman" w:hAnsi="Times New Roman"/>
        </w:rPr>
        <w:t>, contributing Member States,</w:t>
      </w:r>
      <w:r w:rsidRPr="009C5205">
        <w:rPr>
          <w:rFonts w:ascii="Times New Roman" w:hAnsi="Times New Roman"/>
        </w:rPr>
        <w:t xml:space="preserve"> the private sector and civil society. The </w:t>
      </w:r>
      <w:r w:rsidRPr="00A84A46">
        <w:rPr>
          <w:rFonts w:ascii="Times New Roman" w:hAnsi="Times New Roman"/>
        </w:rPr>
        <w:t>Strategic Advisory Group</w:t>
      </w:r>
      <w:r w:rsidRPr="009C5205">
        <w:rPr>
          <w:rFonts w:ascii="Times New Roman" w:hAnsi="Times New Roman"/>
        </w:rPr>
        <w:t xml:space="preserve"> will </w:t>
      </w:r>
      <w:r>
        <w:rPr>
          <w:rFonts w:ascii="Times New Roman" w:hAnsi="Times New Roman"/>
        </w:rPr>
        <w:t>recommend</w:t>
      </w:r>
      <w:r w:rsidRPr="009C5205">
        <w:rPr>
          <w:rFonts w:ascii="Times New Roman" w:hAnsi="Times New Roman"/>
        </w:rPr>
        <w:t xml:space="preserve"> strategic priorities and take stock of overall progress. </w:t>
      </w:r>
    </w:p>
    <w:p w14:paraId="7F588BC8" w14:textId="77777777" w:rsidR="00D66A1D" w:rsidRPr="00F36109" w:rsidRDefault="00D66A1D" w:rsidP="00D66A1D">
      <w:pPr>
        <w:pStyle w:val="Heading4"/>
        <w:jc w:val="both"/>
        <w:rPr>
          <w:rFonts w:ascii="Times New Roman" w:hAnsi="Times New Roman" w:cs="Times New Roman"/>
        </w:rPr>
      </w:pPr>
      <w:bookmarkStart w:id="22" w:name="_Toc530497028"/>
      <w:bookmarkStart w:id="23" w:name="_Toc530577710"/>
      <w:r w:rsidRPr="00F36109">
        <w:rPr>
          <w:rFonts w:ascii="Times New Roman" w:hAnsi="Times New Roman" w:cs="Times New Roman"/>
        </w:rPr>
        <w:t>Roles and responsibilities of the Strategic Advisory Group:</w:t>
      </w:r>
      <w:bookmarkEnd w:id="18"/>
      <w:bookmarkEnd w:id="19"/>
      <w:bookmarkEnd w:id="20"/>
      <w:bookmarkEnd w:id="21"/>
      <w:bookmarkEnd w:id="22"/>
      <w:bookmarkEnd w:id="23"/>
      <w:r w:rsidRPr="00F36109">
        <w:rPr>
          <w:rFonts w:ascii="Times New Roman" w:hAnsi="Times New Roman" w:cs="Times New Roman"/>
        </w:rPr>
        <w:t xml:space="preserve"> </w:t>
      </w:r>
    </w:p>
    <w:p w14:paraId="02F777A3" w14:textId="77777777" w:rsidR="00D66A1D" w:rsidRPr="00F36109" w:rsidRDefault="00D66A1D" w:rsidP="00D66A1D">
      <w:pPr>
        <w:pStyle w:val="Heading4"/>
        <w:jc w:val="both"/>
        <w:rPr>
          <w:rFonts w:ascii="Times New Roman" w:hAnsi="Times New Roman" w:cs="Times New Roman"/>
        </w:rPr>
      </w:pPr>
      <w:bookmarkStart w:id="24" w:name="_Toc527975433"/>
      <w:bookmarkStart w:id="25" w:name="_Toc527975897"/>
      <w:bookmarkStart w:id="26" w:name="_Toc527976114"/>
      <w:bookmarkStart w:id="27" w:name="_Toc527976227"/>
      <w:bookmarkStart w:id="28" w:name="_Toc530497029"/>
      <w:bookmarkStart w:id="29" w:name="_Toc530577711"/>
      <w:r w:rsidRPr="00F36109">
        <w:rPr>
          <w:rFonts w:ascii="Times New Roman" w:hAnsi="Times New Roman" w:cs="Times New Roman"/>
        </w:rPr>
        <w:t>Strategic direction:</w:t>
      </w:r>
      <w:bookmarkEnd w:id="24"/>
      <w:bookmarkEnd w:id="25"/>
      <w:bookmarkEnd w:id="26"/>
      <w:bookmarkEnd w:id="27"/>
      <w:bookmarkEnd w:id="28"/>
      <w:bookmarkEnd w:id="29"/>
    </w:p>
    <w:p w14:paraId="6AB564FB" w14:textId="77777777" w:rsidR="00D66A1D" w:rsidRPr="00F36109" w:rsidRDefault="00D66A1D" w:rsidP="00D66A1D">
      <w:pPr>
        <w:numPr>
          <w:ilvl w:val="0"/>
          <w:numId w:val="15"/>
        </w:numPr>
        <w:pBdr>
          <w:top w:val="nil"/>
          <w:left w:val="nil"/>
          <w:bottom w:val="nil"/>
          <w:right w:val="nil"/>
          <w:between w:val="nil"/>
        </w:pBdr>
        <w:spacing w:after="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Set the strategic direction of the Joint SDG Fund and be accountable for the achievement of the Funds objectives, through adoption of the Terms of Reference</w:t>
      </w:r>
      <w:r w:rsidRPr="00F36109">
        <w:rPr>
          <w:rFonts w:ascii="Times New Roman" w:eastAsia="Times New Roman" w:hAnsi="Times New Roman" w:cs="Times New Roman"/>
          <w:color w:val="000000"/>
          <w:vertAlign w:val="superscript"/>
        </w:rPr>
        <w:footnoteReference w:id="2"/>
      </w:r>
      <w:r w:rsidRPr="00F36109">
        <w:rPr>
          <w:rFonts w:ascii="Times New Roman" w:eastAsia="Times New Roman" w:hAnsi="Times New Roman" w:cs="Times New Roman"/>
          <w:color w:val="000000"/>
        </w:rPr>
        <w:t>.</w:t>
      </w:r>
    </w:p>
    <w:p w14:paraId="4BEFD6F0" w14:textId="77777777" w:rsidR="00D66A1D" w:rsidRPr="00F36109" w:rsidRDefault="00D66A1D" w:rsidP="00D66A1D">
      <w:pPr>
        <w:numPr>
          <w:ilvl w:val="0"/>
          <w:numId w:val="15"/>
        </w:numPr>
        <w:pBdr>
          <w:top w:val="nil"/>
          <w:left w:val="nil"/>
          <w:bottom w:val="nil"/>
          <w:right w:val="nil"/>
          <w:between w:val="nil"/>
        </w:pBdr>
        <w:spacing w:after="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Lead efforts to capitalize the Fund, through advocacy and mobilization of investments.</w:t>
      </w:r>
    </w:p>
    <w:p w14:paraId="4B15994B" w14:textId="77777777" w:rsidR="00D66A1D" w:rsidRPr="00F36109" w:rsidRDefault="00D66A1D" w:rsidP="00D66A1D">
      <w:pPr>
        <w:numPr>
          <w:ilvl w:val="0"/>
          <w:numId w:val="15"/>
        </w:numPr>
        <w:pBdr>
          <w:top w:val="nil"/>
          <w:left w:val="nil"/>
          <w:bottom w:val="nil"/>
          <w:right w:val="nil"/>
          <w:between w:val="nil"/>
        </w:pBdr>
        <w:spacing w:after="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Provide strategic guidance to the Operational Steering Committee on partnership and fundraising strategies.</w:t>
      </w:r>
    </w:p>
    <w:p w14:paraId="16A69F80" w14:textId="77777777" w:rsidR="00D66A1D" w:rsidRPr="00F36109" w:rsidRDefault="00D66A1D" w:rsidP="00D66A1D">
      <w:pPr>
        <w:numPr>
          <w:ilvl w:val="0"/>
          <w:numId w:val="15"/>
        </w:numPr>
        <w:pBdr>
          <w:top w:val="nil"/>
          <w:left w:val="nil"/>
          <w:bottom w:val="nil"/>
          <w:right w:val="nil"/>
          <w:between w:val="nil"/>
        </w:pBdr>
        <w:spacing w:after="20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Provide a partnership platform for dialogue, coordination, communication and advocacy among stakeholders, and ensure adaptation of Fund architecture and strategies based on evolving priorities. </w:t>
      </w:r>
    </w:p>
    <w:p w14:paraId="1141AF65" w14:textId="77777777" w:rsidR="00D66A1D" w:rsidRPr="00F36109" w:rsidRDefault="00D66A1D" w:rsidP="00D66A1D">
      <w:pPr>
        <w:pStyle w:val="Heading4"/>
        <w:jc w:val="both"/>
        <w:rPr>
          <w:rFonts w:ascii="Times New Roman" w:hAnsi="Times New Roman" w:cs="Times New Roman"/>
        </w:rPr>
      </w:pPr>
      <w:bookmarkStart w:id="30" w:name="_Toc527975434"/>
      <w:bookmarkStart w:id="31" w:name="_Toc527975898"/>
      <w:bookmarkStart w:id="32" w:name="_Toc527976115"/>
      <w:bookmarkStart w:id="33" w:name="_Toc527976228"/>
      <w:bookmarkStart w:id="34" w:name="_Toc530497030"/>
      <w:bookmarkStart w:id="35" w:name="_Toc530577712"/>
      <w:r w:rsidRPr="00F36109">
        <w:rPr>
          <w:rFonts w:ascii="Times New Roman" w:hAnsi="Times New Roman" w:cs="Times New Roman"/>
        </w:rPr>
        <w:t>Strategic oversight:</w:t>
      </w:r>
      <w:bookmarkEnd w:id="30"/>
      <w:bookmarkEnd w:id="31"/>
      <w:bookmarkEnd w:id="32"/>
      <w:bookmarkEnd w:id="33"/>
      <w:bookmarkEnd w:id="34"/>
      <w:bookmarkEnd w:id="35"/>
    </w:p>
    <w:p w14:paraId="1FF26A85" w14:textId="65154105" w:rsidR="00D66A1D" w:rsidRPr="00F36109" w:rsidRDefault="00D66A1D" w:rsidP="00D66A1D">
      <w:pPr>
        <w:numPr>
          <w:ilvl w:val="0"/>
          <w:numId w:val="15"/>
        </w:numPr>
        <w:pBdr>
          <w:top w:val="nil"/>
          <w:left w:val="nil"/>
          <w:bottom w:val="nil"/>
          <w:right w:val="nil"/>
          <w:between w:val="nil"/>
        </w:pBdr>
        <w:spacing w:after="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The Chair of the Strategic Advisory Group will approve concept notes with budgets that exceed an agreed threshold.</w:t>
      </w:r>
    </w:p>
    <w:p w14:paraId="31ED25F7" w14:textId="77777777" w:rsidR="00D66A1D" w:rsidRPr="00F36109" w:rsidRDefault="00D66A1D" w:rsidP="00D66A1D">
      <w:pPr>
        <w:numPr>
          <w:ilvl w:val="0"/>
          <w:numId w:val="15"/>
        </w:numPr>
        <w:pBdr>
          <w:top w:val="nil"/>
          <w:left w:val="nil"/>
          <w:bottom w:val="nil"/>
          <w:right w:val="nil"/>
          <w:between w:val="nil"/>
        </w:pBdr>
        <w:spacing w:after="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Review the status of the Joint SDG Fund and oversee overall progress: </w:t>
      </w:r>
    </w:p>
    <w:p w14:paraId="71D650AA" w14:textId="77777777" w:rsidR="00D66A1D" w:rsidRPr="00F36109" w:rsidRDefault="00D66A1D" w:rsidP="00234405">
      <w:pPr>
        <w:pBdr>
          <w:top w:val="nil"/>
          <w:left w:val="nil"/>
          <w:bottom w:val="nil"/>
          <w:right w:val="nil"/>
          <w:between w:val="nil"/>
        </w:pBdr>
        <w:spacing w:after="0"/>
        <w:ind w:left="720" w:firstLine="720"/>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xml:space="preserve">- Review the financial status and resource needs of the Joint SDG Fund. </w:t>
      </w:r>
    </w:p>
    <w:p w14:paraId="45E18517" w14:textId="77777777" w:rsidR="00D66A1D" w:rsidRPr="00F36109" w:rsidRDefault="00D66A1D" w:rsidP="00234405">
      <w:pPr>
        <w:pBdr>
          <w:top w:val="nil"/>
          <w:left w:val="nil"/>
          <w:bottom w:val="nil"/>
          <w:right w:val="nil"/>
          <w:between w:val="nil"/>
        </w:pBdr>
        <w:spacing w:after="0"/>
        <w:ind w:left="720" w:firstLine="720"/>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Review consolidated Annual and Final Results Reports prepared by the Secretariat.</w:t>
      </w:r>
    </w:p>
    <w:p w14:paraId="77BB9C98" w14:textId="77777777" w:rsidR="00D66A1D" w:rsidRPr="00F36109" w:rsidRDefault="00D66A1D" w:rsidP="00D66A1D">
      <w:pPr>
        <w:numPr>
          <w:ilvl w:val="0"/>
          <w:numId w:val="15"/>
        </w:numPr>
        <w:pBdr>
          <w:top w:val="nil"/>
          <w:left w:val="nil"/>
          <w:bottom w:val="nil"/>
          <w:right w:val="nil"/>
          <w:between w:val="nil"/>
        </w:pBdr>
        <w:spacing w:after="20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Review the Joint SDG Fund’s evaluations and oversee the management response.</w:t>
      </w:r>
    </w:p>
    <w:p w14:paraId="0526C2DF" w14:textId="32DC5CC5" w:rsidR="006079B0" w:rsidRDefault="00D66A1D" w:rsidP="006079B0">
      <w:pPr>
        <w:pStyle w:val="Heading4"/>
        <w:jc w:val="both"/>
      </w:pPr>
      <w:bookmarkStart w:id="36" w:name="_Toc527975435"/>
      <w:bookmarkStart w:id="37" w:name="_Toc527975899"/>
      <w:bookmarkStart w:id="38" w:name="_Toc527976116"/>
      <w:bookmarkStart w:id="39" w:name="_Toc527976229"/>
      <w:bookmarkStart w:id="40" w:name="_Toc530497031"/>
      <w:bookmarkStart w:id="41" w:name="_Toc530577713"/>
      <w:r w:rsidRPr="00F36109">
        <w:rPr>
          <w:rFonts w:ascii="Times New Roman" w:hAnsi="Times New Roman" w:cs="Times New Roman"/>
        </w:rPr>
        <w:lastRenderedPageBreak/>
        <w:t>Membership of the Strategic Advisory Group:</w:t>
      </w:r>
      <w:bookmarkEnd w:id="36"/>
      <w:bookmarkEnd w:id="37"/>
      <w:bookmarkEnd w:id="38"/>
      <w:bookmarkEnd w:id="39"/>
      <w:bookmarkEnd w:id="40"/>
      <w:bookmarkEnd w:id="41"/>
    </w:p>
    <w:p w14:paraId="7A8F9BAC" w14:textId="77777777" w:rsidR="004633CB" w:rsidRDefault="006079B0" w:rsidP="004633CB">
      <w:pPr>
        <w:spacing w:afterLines="160" w:after="384"/>
        <w:jc w:val="both"/>
        <w:rPr>
          <w:rFonts w:ascii="Times New Roman" w:hAnsi="Times New Roman"/>
        </w:rPr>
      </w:pPr>
      <w:r w:rsidRPr="006079B0">
        <w:rPr>
          <w:rFonts w:ascii="Times New Roman" w:hAnsi="Times New Roman"/>
        </w:rPr>
        <w:t>The membership for the Strategic Advisory Group, will consist of the following 20 members:</w:t>
      </w:r>
    </w:p>
    <w:p w14:paraId="31EACCA9" w14:textId="77777777" w:rsidR="004633CB" w:rsidRDefault="006079B0" w:rsidP="004633CB">
      <w:pPr>
        <w:pStyle w:val="ListParagraph"/>
        <w:numPr>
          <w:ilvl w:val="0"/>
          <w:numId w:val="42"/>
        </w:numPr>
        <w:spacing w:afterLines="160" w:after="384"/>
        <w:jc w:val="both"/>
        <w:rPr>
          <w:rFonts w:ascii="Times New Roman" w:hAnsi="Times New Roman"/>
        </w:rPr>
      </w:pPr>
      <w:r w:rsidRPr="004633CB">
        <w:rPr>
          <w:rFonts w:ascii="Times New Roman" w:hAnsi="Times New Roman" w:cs="Times New Roman"/>
          <w:color w:val="000000"/>
        </w:rPr>
        <w:t>Largest Contributors to the Fund (8 seats): The eight contributors making the largest financial contribution (on an annual basis</w:t>
      </w:r>
      <w:r w:rsidRPr="004633CB">
        <w:rPr>
          <w:rFonts w:ascii="Times New Roman" w:hAnsi="Times New Roman" w:cs="Times New Roman"/>
          <w:color w:val="000000"/>
        </w:rPr>
        <w:t>)</w:t>
      </w:r>
      <w:r>
        <w:rPr>
          <w:rStyle w:val="FootnoteReference"/>
          <w:rFonts w:ascii="Times New Roman" w:hAnsi="Times New Roman" w:cs="Times New Roman"/>
          <w:color w:val="000000"/>
        </w:rPr>
        <w:footnoteReference w:id="3"/>
      </w:r>
      <w:r w:rsidRPr="004633CB">
        <w:rPr>
          <w:rFonts w:ascii="Times New Roman" w:hAnsi="Times New Roman" w:cs="Times New Roman"/>
          <w:color w:val="000000"/>
        </w:rPr>
        <w:t xml:space="preserve"> to the Joint SDG Fund will be invited to be members of the Strategic Advisory Group. </w:t>
      </w:r>
    </w:p>
    <w:p w14:paraId="38B1C22A" w14:textId="77777777" w:rsidR="004633CB" w:rsidRDefault="006079B0" w:rsidP="004633CB">
      <w:pPr>
        <w:pStyle w:val="ListParagraph"/>
        <w:numPr>
          <w:ilvl w:val="0"/>
          <w:numId w:val="42"/>
        </w:numPr>
        <w:spacing w:afterLines="160" w:after="384"/>
        <w:jc w:val="both"/>
        <w:rPr>
          <w:rFonts w:ascii="Times New Roman" w:hAnsi="Times New Roman"/>
        </w:rPr>
      </w:pPr>
      <w:proofErr w:type="spellStart"/>
      <w:r w:rsidRPr="004633CB">
        <w:rPr>
          <w:rFonts w:ascii="Times New Roman" w:hAnsi="Times New Roman" w:cs="Times New Roman"/>
          <w:color w:val="000000"/>
        </w:rPr>
        <w:t>Programme</w:t>
      </w:r>
      <w:proofErr w:type="spellEnd"/>
      <w:r w:rsidRPr="004633CB">
        <w:rPr>
          <w:rFonts w:ascii="Times New Roman" w:hAnsi="Times New Roman" w:cs="Times New Roman"/>
          <w:color w:val="000000"/>
        </w:rPr>
        <w:t xml:space="preserve"> Country Member States (7 seats): Seven Member States will be invited to participate in the Strategic Advisory Group. These Member States will cover different country typologies (such as post conflict, SIDS, LICs, humanitarian-development nexus situations) and will ensure regional representation based on being users of the Fund. </w:t>
      </w:r>
    </w:p>
    <w:p w14:paraId="400D3AF7" w14:textId="77777777" w:rsidR="004633CB" w:rsidRDefault="006079B0" w:rsidP="004633CB">
      <w:pPr>
        <w:pStyle w:val="ListParagraph"/>
        <w:numPr>
          <w:ilvl w:val="0"/>
          <w:numId w:val="42"/>
        </w:numPr>
        <w:spacing w:afterLines="160" w:after="384"/>
        <w:jc w:val="both"/>
        <w:rPr>
          <w:rFonts w:ascii="Times New Roman" w:hAnsi="Times New Roman"/>
        </w:rPr>
      </w:pPr>
      <w:r w:rsidRPr="004633CB">
        <w:rPr>
          <w:rFonts w:ascii="Times New Roman" w:hAnsi="Times New Roman" w:cs="Times New Roman"/>
          <w:color w:val="000000"/>
        </w:rPr>
        <w:t xml:space="preserve">Private Sector, Foundation and Civil Society (3 seats): There will be a total of three representatives from the private sector, foundations and civil society who will be invited to attend the Strategic Advisory Group in an observer capacity. This group will be comprised of representatives from the following categories: significant Institutional Investors; Private Foundations or Impact Investors; International Civil Society Organizations or local Civil Society Organizations. </w:t>
      </w:r>
    </w:p>
    <w:p w14:paraId="7FCB27EA" w14:textId="567AEE64" w:rsidR="006079B0" w:rsidRPr="004633CB" w:rsidRDefault="006079B0" w:rsidP="004633CB">
      <w:pPr>
        <w:pStyle w:val="ListParagraph"/>
        <w:numPr>
          <w:ilvl w:val="0"/>
          <w:numId w:val="42"/>
        </w:numPr>
        <w:spacing w:afterLines="160" w:after="384"/>
        <w:jc w:val="both"/>
        <w:rPr>
          <w:rFonts w:ascii="Times New Roman" w:hAnsi="Times New Roman"/>
        </w:rPr>
      </w:pPr>
      <w:r w:rsidRPr="004633CB">
        <w:rPr>
          <w:rFonts w:ascii="Times New Roman" w:hAnsi="Times New Roman" w:cs="Times New Roman"/>
          <w:color w:val="000000"/>
        </w:rPr>
        <w:t>UN Development System (2 seats): The Strategic Advisory Group will include two members of the UN development system – it will be Chaired by the Chair of the United Nations Sustainable Development Group, the Deputy Secretary General, and will include the alternate Chair who is the Vice Chair of the United Nations Sustainable Development Group, the UNDP Administrator.</w:t>
      </w:r>
    </w:p>
    <w:p w14:paraId="2FC745E1" w14:textId="50D597CB" w:rsidR="006079B0" w:rsidRPr="00417804" w:rsidRDefault="006079B0" w:rsidP="004633CB">
      <w:pPr>
        <w:spacing w:afterLines="160" w:after="384"/>
        <w:jc w:val="both"/>
        <w:rPr>
          <w:rFonts w:ascii="Times New Roman" w:hAnsi="Times New Roman" w:cs="Times New Roman"/>
          <w:color w:val="000000"/>
        </w:rPr>
      </w:pPr>
      <w:r w:rsidRPr="00417804">
        <w:rPr>
          <w:rFonts w:ascii="Times New Roman" w:hAnsi="Times New Roman" w:cs="Times New Roman"/>
          <w:color w:val="000000"/>
        </w:rPr>
        <w:t xml:space="preserve">The volume of contributions and hence the eight largest contributors will be calculated on an annual basis. As a result, the composition of this group may change on an annual basis. The </w:t>
      </w:r>
      <w:proofErr w:type="spellStart"/>
      <w:r w:rsidRPr="00417804">
        <w:rPr>
          <w:rFonts w:ascii="Times New Roman" w:hAnsi="Times New Roman" w:cs="Times New Roman"/>
          <w:color w:val="000000"/>
        </w:rPr>
        <w:t>programme</w:t>
      </w:r>
      <w:proofErr w:type="spellEnd"/>
      <w:r w:rsidRPr="00417804">
        <w:rPr>
          <w:rFonts w:ascii="Times New Roman" w:hAnsi="Times New Roman" w:cs="Times New Roman"/>
          <w:color w:val="000000"/>
        </w:rPr>
        <w:t xml:space="preserve"> country fund user member state seats will rotate on a biennial basis. Principles of membership for all seats will be revisited after two years, to ensure a fair and diverse representation. </w:t>
      </w:r>
    </w:p>
    <w:p w14:paraId="6BA68264" w14:textId="45185083" w:rsidR="00FC0849" w:rsidRPr="009C5205" w:rsidRDefault="006079B0" w:rsidP="006079B0">
      <w:pPr>
        <w:jc w:val="both"/>
        <w:rPr>
          <w:rFonts w:ascii="Times New Roman" w:hAnsi="Times New Roman"/>
        </w:rPr>
      </w:pPr>
      <w:r>
        <w:rPr>
          <w:rFonts w:ascii="Times New Roman" w:hAnsi="Times New Roman"/>
        </w:rPr>
        <w:t>The</w:t>
      </w:r>
      <w:r w:rsidR="00FC0849" w:rsidRPr="009C5205">
        <w:rPr>
          <w:rFonts w:ascii="Times New Roman" w:hAnsi="Times New Roman"/>
        </w:rPr>
        <w:t xml:space="preserve"> Director of UN DOCO and the Administrative Agent as fund trustee will attend as observers. </w:t>
      </w:r>
      <w:r w:rsidR="00FC0849" w:rsidRPr="00A84A46">
        <w:rPr>
          <w:rFonts w:ascii="Times New Roman" w:hAnsi="Times New Roman"/>
        </w:rPr>
        <w:t>The individual members should be at an executive decision-making level, and be eminently qualified and recognized as national, regional and/or global leaders on the SDG agenda.</w:t>
      </w:r>
    </w:p>
    <w:p w14:paraId="6DE53122" w14:textId="77777777" w:rsidR="00FC0849" w:rsidRPr="009C5205" w:rsidRDefault="00FC0849" w:rsidP="006079B0">
      <w:pPr>
        <w:jc w:val="both"/>
        <w:rPr>
          <w:rFonts w:ascii="Times New Roman" w:hAnsi="Times New Roman"/>
        </w:rPr>
      </w:pPr>
      <w:r w:rsidRPr="009C5205">
        <w:rPr>
          <w:rFonts w:ascii="Times New Roman" w:hAnsi="Times New Roman"/>
        </w:rPr>
        <w:t xml:space="preserve">The </w:t>
      </w:r>
      <w:r w:rsidRPr="00A84A46">
        <w:rPr>
          <w:rFonts w:ascii="Times New Roman" w:hAnsi="Times New Roman"/>
        </w:rPr>
        <w:t>Strategic Advisory Group</w:t>
      </w:r>
      <w:r w:rsidRPr="009C5205">
        <w:rPr>
          <w:rFonts w:ascii="Times New Roman" w:hAnsi="Times New Roman"/>
        </w:rPr>
        <w:t xml:space="preserve"> will have a quorum when 50 per cent of its members are present. It will meet at least once a year to agree, by consensus, on the strategic direction for the fund. The Strategic Advisory Group may also establish an 8-10 member global Private Sector</w:t>
      </w:r>
      <w:r>
        <w:rPr>
          <w:rFonts w:ascii="Times New Roman" w:hAnsi="Times New Roman"/>
        </w:rPr>
        <w:t xml:space="preserve">, Foundations and </w:t>
      </w:r>
      <w:r w:rsidRPr="009C5205">
        <w:rPr>
          <w:rFonts w:ascii="Times New Roman" w:hAnsi="Times New Roman"/>
        </w:rPr>
        <w:t>Civil Society reference group to facilitate regular dialogue.</w:t>
      </w:r>
    </w:p>
    <w:p w14:paraId="0C9ADA78" w14:textId="77777777" w:rsidR="00FC0849" w:rsidRPr="009C5205" w:rsidRDefault="00FC0849" w:rsidP="00FC0849">
      <w:pPr>
        <w:jc w:val="both"/>
        <w:rPr>
          <w:rFonts w:ascii="Times New Roman" w:hAnsi="Times New Roman"/>
        </w:rPr>
      </w:pPr>
      <w:r w:rsidRPr="009C5205">
        <w:rPr>
          <w:rFonts w:ascii="Times New Roman" w:hAnsi="Times New Roman"/>
        </w:rPr>
        <w:t xml:space="preserve">The Joint SDG Fund Secretariat serves as the Secretariat of the </w:t>
      </w:r>
      <w:r w:rsidRPr="00A84A46">
        <w:rPr>
          <w:rFonts w:ascii="Times New Roman" w:hAnsi="Times New Roman"/>
        </w:rPr>
        <w:t>Strategic Advisory Group</w:t>
      </w:r>
      <w:r w:rsidRPr="009C5205">
        <w:rPr>
          <w:rFonts w:ascii="Times New Roman" w:hAnsi="Times New Roman"/>
        </w:rPr>
        <w:t>. Internal rules of procedure of the Strategic Advisory Group will be outlined in the operational guidance, which will be drafted by the Secretariat, with support from the Administrative Agent, and adopted by the Operational Steering Committee.</w:t>
      </w:r>
    </w:p>
    <w:p w14:paraId="07BFFFEA" w14:textId="77777777" w:rsidR="00D66A1D" w:rsidRPr="00F36109" w:rsidRDefault="00D66A1D" w:rsidP="00D66A1D">
      <w:pPr>
        <w:jc w:val="both"/>
        <w:rPr>
          <w:rFonts w:ascii="Times New Roman" w:eastAsia="Times New Roman" w:hAnsi="Times New Roman" w:cs="Times New Roman"/>
        </w:rPr>
      </w:pPr>
      <w:r w:rsidRPr="00F36109">
        <w:rPr>
          <w:rFonts w:ascii="Times New Roman" w:eastAsia="Times New Roman" w:hAnsi="Times New Roman" w:cs="Times New Roman"/>
          <w:b/>
          <w:color w:val="1F497D"/>
        </w:rPr>
        <w:t xml:space="preserve">Formal Decision-Making Process of the Strategic Advisory Group: </w:t>
      </w:r>
      <w:r w:rsidRPr="00F36109">
        <w:rPr>
          <w:rFonts w:ascii="Times New Roman" w:eastAsia="Times New Roman" w:hAnsi="Times New Roman" w:cs="Times New Roman"/>
        </w:rPr>
        <w:t xml:space="preserve">The Joint SDG Fund Secretariat will circulate the minutes and proposed actions arising from meetings of the Strategic Advisory Group, The Chair shall make a decision on the proposed actions within a maximum of five business days. </w:t>
      </w:r>
    </w:p>
    <w:p w14:paraId="6BC9562C" w14:textId="77777777" w:rsidR="00D66A1D" w:rsidRPr="00F36109" w:rsidRDefault="00D66A1D" w:rsidP="00D66A1D">
      <w:pPr>
        <w:pStyle w:val="Heading2"/>
        <w:jc w:val="both"/>
        <w:rPr>
          <w:rFonts w:ascii="Times New Roman" w:eastAsia="Times New Roman" w:hAnsi="Times New Roman" w:cs="Times New Roman"/>
        </w:rPr>
      </w:pPr>
      <w:bookmarkStart w:id="42" w:name="_Toc527975900"/>
      <w:bookmarkStart w:id="43" w:name="_Toc527976117"/>
      <w:bookmarkStart w:id="44" w:name="_Toc527976230"/>
      <w:bookmarkStart w:id="45" w:name="_Toc530497032"/>
      <w:bookmarkStart w:id="46" w:name="_Toc530577714"/>
      <w:r w:rsidRPr="00F36109">
        <w:rPr>
          <w:rFonts w:ascii="Times New Roman" w:eastAsia="Times New Roman" w:hAnsi="Times New Roman" w:cs="Times New Roman"/>
        </w:rPr>
        <w:t>4.1.2 Operational Steering Committee</w:t>
      </w:r>
      <w:bookmarkEnd w:id="42"/>
      <w:bookmarkEnd w:id="43"/>
      <w:bookmarkEnd w:id="44"/>
      <w:bookmarkEnd w:id="45"/>
      <w:bookmarkEnd w:id="46"/>
    </w:p>
    <w:p w14:paraId="25FBCF98" w14:textId="7EA7522C" w:rsidR="00D66A1D" w:rsidRPr="00F36109" w:rsidRDefault="00D66A1D" w:rsidP="00D66A1D">
      <w:pPr>
        <w:jc w:val="both"/>
        <w:rPr>
          <w:rFonts w:ascii="Times New Roman" w:eastAsia="Times New Roman" w:hAnsi="Times New Roman" w:cs="Times New Roman"/>
        </w:rPr>
      </w:pPr>
      <w:bookmarkStart w:id="47" w:name="_3rdcrjn" w:colFirst="0" w:colLast="0"/>
      <w:bookmarkEnd w:id="47"/>
      <w:r w:rsidRPr="00F36109">
        <w:rPr>
          <w:rFonts w:ascii="Times New Roman" w:eastAsia="Times New Roman" w:hAnsi="Times New Roman" w:cs="Times New Roman"/>
        </w:rPr>
        <w:t xml:space="preserve">Under the direction of the Strategic Advisory Group, the Operational Steering Committee ensures effective and efficient management and coordination of operational and technical aspects of the Joint SDG Fund. The Operational Steering Committee will ensure that the Joint SDG Fund remains fast and light and able </w:t>
      </w:r>
      <w:r w:rsidRPr="00F36109">
        <w:rPr>
          <w:rFonts w:ascii="Times New Roman" w:eastAsia="Times New Roman" w:hAnsi="Times New Roman" w:cs="Times New Roman"/>
        </w:rPr>
        <w:lastRenderedPageBreak/>
        <w:t xml:space="preserve">to respond to country needs through </w:t>
      </w:r>
      <w:r w:rsidR="00234405">
        <w:rPr>
          <w:rFonts w:ascii="Times New Roman" w:eastAsia="Times New Roman" w:hAnsi="Times New Roman" w:cs="Times New Roman"/>
        </w:rPr>
        <w:t xml:space="preserve">Resident Coordinators and </w:t>
      </w:r>
      <w:r w:rsidRPr="00F36109">
        <w:rPr>
          <w:rFonts w:ascii="Times New Roman" w:eastAsia="Times New Roman" w:hAnsi="Times New Roman" w:cs="Times New Roman"/>
        </w:rPr>
        <w:t xml:space="preserve">UNCTs, in a timely way. The Operational Steering Committee and secretariat should be able to draw on the technical expertise from across the UNDS. </w:t>
      </w:r>
    </w:p>
    <w:p w14:paraId="4857CC91" w14:textId="0541C312" w:rsidR="00D66A1D" w:rsidRPr="00F36109" w:rsidRDefault="00D66A1D" w:rsidP="00D66A1D">
      <w:pPr>
        <w:jc w:val="both"/>
        <w:rPr>
          <w:rFonts w:ascii="Times New Roman" w:eastAsia="Times New Roman" w:hAnsi="Times New Roman" w:cs="Times New Roman"/>
        </w:rPr>
      </w:pPr>
      <w:r w:rsidRPr="00F36109">
        <w:rPr>
          <w:rFonts w:ascii="Times New Roman" w:eastAsia="Times New Roman" w:hAnsi="Times New Roman" w:cs="Times New Roman"/>
        </w:rPr>
        <w:t xml:space="preserve">Based on the strategic direction set by the Strategic Advisory Group, the Operational Steering Committee will oversee calls for concepts. Concepts submitted above the agreed threshold will be approved by the Chair of the Strategic Advisory Group.  The Operational Steering Committee will oversee the development of full proposals and agree budgets for fund allocation. Based on allocation decisions by the Operational Steering Committee the Secretariat will request the transfer of funds from the Administrative Agent to Participating United Nations Organizations, subject to United Nations regulations, rules, policies and procedures. </w:t>
      </w:r>
    </w:p>
    <w:p w14:paraId="6B4FA20D" w14:textId="77777777" w:rsidR="00D66A1D" w:rsidRPr="00F36109" w:rsidRDefault="00D66A1D" w:rsidP="00D66A1D">
      <w:pPr>
        <w:pStyle w:val="Heading4"/>
        <w:jc w:val="both"/>
        <w:rPr>
          <w:rFonts w:ascii="Times New Roman" w:hAnsi="Times New Roman" w:cs="Times New Roman"/>
        </w:rPr>
      </w:pPr>
      <w:bookmarkStart w:id="48" w:name="_Toc527975437"/>
      <w:bookmarkStart w:id="49" w:name="_Toc527975901"/>
      <w:bookmarkStart w:id="50" w:name="_Toc527976118"/>
      <w:bookmarkStart w:id="51" w:name="_Toc527976231"/>
      <w:bookmarkStart w:id="52" w:name="_Toc530497033"/>
      <w:bookmarkStart w:id="53" w:name="_Toc530577715"/>
      <w:r w:rsidRPr="00F36109">
        <w:rPr>
          <w:rFonts w:ascii="Times New Roman" w:hAnsi="Times New Roman" w:cs="Times New Roman"/>
        </w:rPr>
        <w:t>Roles and responsibilities of the Operational Steering Committee:</w:t>
      </w:r>
      <w:bookmarkEnd w:id="48"/>
      <w:bookmarkEnd w:id="49"/>
      <w:bookmarkEnd w:id="50"/>
      <w:bookmarkEnd w:id="51"/>
      <w:bookmarkEnd w:id="52"/>
      <w:bookmarkEnd w:id="53"/>
      <w:r w:rsidRPr="00F36109">
        <w:rPr>
          <w:rFonts w:ascii="Times New Roman" w:hAnsi="Times New Roman" w:cs="Times New Roman"/>
        </w:rPr>
        <w:t xml:space="preserve"> </w:t>
      </w:r>
    </w:p>
    <w:p w14:paraId="4E1BCBE8" w14:textId="77777777" w:rsidR="00234405" w:rsidRPr="00234405" w:rsidRDefault="00D66A1D" w:rsidP="00D66A1D">
      <w:pPr>
        <w:numPr>
          <w:ilvl w:val="0"/>
          <w:numId w:val="23"/>
        </w:numPr>
        <w:pBdr>
          <w:top w:val="nil"/>
          <w:left w:val="nil"/>
          <w:bottom w:val="nil"/>
          <w:right w:val="nil"/>
          <w:between w:val="nil"/>
        </w:pBdr>
        <w:spacing w:after="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Oversees the call for and development of </w:t>
      </w:r>
      <w:r w:rsidRPr="00F36109">
        <w:rPr>
          <w:rFonts w:ascii="Times New Roman" w:eastAsia="Times New Roman" w:hAnsi="Times New Roman" w:cs="Times New Roman"/>
          <w:i/>
          <w:color w:val="000000"/>
        </w:rPr>
        <w:t>concept notes</w:t>
      </w:r>
      <w:r w:rsidRPr="00F36109">
        <w:rPr>
          <w:rFonts w:ascii="Times New Roman" w:eastAsia="Times New Roman" w:hAnsi="Times New Roman" w:cs="Times New Roman"/>
          <w:color w:val="000000"/>
        </w:rPr>
        <w:t xml:space="preserve">, based on the strategic direction set by the Strategic Advisory Group (SAG), and approves concept notes with budgets </w:t>
      </w:r>
      <w:r w:rsidRPr="00F36109">
        <w:rPr>
          <w:rFonts w:ascii="Times New Roman" w:eastAsia="Times New Roman" w:hAnsi="Times New Roman" w:cs="Times New Roman"/>
          <w:i/>
          <w:color w:val="000000"/>
        </w:rPr>
        <w:t>under</w:t>
      </w:r>
      <w:r w:rsidRPr="00F36109">
        <w:rPr>
          <w:rFonts w:ascii="Times New Roman" w:eastAsia="Times New Roman" w:hAnsi="Times New Roman" w:cs="Times New Roman"/>
          <w:color w:val="000000"/>
        </w:rPr>
        <w:t xml:space="preserve"> agreed threshold</w:t>
      </w:r>
      <w:r w:rsidR="00234405">
        <w:rPr>
          <w:rFonts w:ascii="Times New Roman" w:eastAsia="Times New Roman" w:hAnsi="Times New Roman" w:cs="Times New Roman"/>
          <w:color w:val="000000"/>
        </w:rPr>
        <w:t>.</w:t>
      </w:r>
    </w:p>
    <w:p w14:paraId="6908C295" w14:textId="0F15B05E" w:rsidR="00D66A1D" w:rsidRPr="00F36109" w:rsidRDefault="00D66A1D" w:rsidP="00D66A1D">
      <w:pPr>
        <w:numPr>
          <w:ilvl w:val="0"/>
          <w:numId w:val="23"/>
        </w:numPr>
        <w:pBdr>
          <w:top w:val="nil"/>
          <w:left w:val="nil"/>
          <w:bottom w:val="nil"/>
          <w:right w:val="nil"/>
          <w:between w:val="nil"/>
        </w:pBdr>
        <w:spacing w:after="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Makes recommendations to the Chair of the SAG on concept notes with budgets </w:t>
      </w:r>
      <w:r w:rsidRPr="00F36109">
        <w:rPr>
          <w:rFonts w:ascii="Times New Roman" w:eastAsia="Times New Roman" w:hAnsi="Times New Roman" w:cs="Times New Roman"/>
          <w:i/>
          <w:color w:val="000000"/>
        </w:rPr>
        <w:t>above</w:t>
      </w:r>
      <w:r w:rsidRPr="00F36109">
        <w:rPr>
          <w:rFonts w:ascii="Times New Roman" w:eastAsia="Times New Roman" w:hAnsi="Times New Roman" w:cs="Times New Roman"/>
          <w:color w:val="000000"/>
        </w:rPr>
        <w:t xml:space="preserve"> the threshold. </w:t>
      </w:r>
    </w:p>
    <w:p w14:paraId="101DC3B2" w14:textId="77777777" w:rsidR="00D66A1D" w:rsidRPr="00F36109" w:rsidRDefault="00D66A1D" w:rsidP="00D66A1D">
      <w:pPr>
        <w:numPr>
          <w:ilvl w:val="0"/>
          <w:numId w:val="23"/>
        </w:numPr>
        <w:pBdr>
          <w:top w:val="nil"/>
          <w:left w:val="nil"/>
          <w:bottom w:val="nil"/>
          <w:right w:val="nil"/>
          <w:between w:val="nil"/>
        </w:pBdr>
        <w:spacing w:after="0" w:line="276"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Oversees the development and implementation of </w:t>
      </w:r>
      <w:r w:rsidRPr="00F36109">
        <w:rPr>
          <w:rFonts w:ascii="Times New Roman" w:eastAsia="Times New Roman" w:hAnsi="Times New Roman" w:cs="Times New Roman"/>
          <w:i/>
          <w:color w:val="000000"/>
        </w:rPr>
        <w:t xml:space="preserve">joint </w:t>
      </w:r>
      <w:proofErr w:type="spellStart"/>
      <w:r w:rsidRPr="00F36109">
        <w:rPr>
          <w:rFonts w:ascii="Times New Roman" w:eastAsia="Times New Roman" w:hAnsi="Times New Roman" w:cs="Times New Roman"/>
          <w:i/>
          <w:color w:val="000000"/>
        </w:rPr>
        <w:t>programme</w:t>
      </w:r>
      <w:r w:rsidRPr="00F36109">
        <w:rPr>
          <w:rFonts w:ascii="Times New Roman" w:eastAsia="Times New Roman" w:hAnsi="Times New Roman" w:cs="Times New Roman"/>
          <w:color w:val="000000"/>
        </w:rPr>
        <w:t>s</w:t>
      </w:r>
      <w:proofErr w:type="spellEnd"/>
      <w:r w:rsidRPr="00F36109">
        <w:rPr>
          <w:rFonts w:ascii="Times New Roman" w:eastAsia="Times New Roman" w:hAnsi="Times New Roman" w:cs="Times New Roman"/>
          <w:color w:val="000000"/>
        </w:rPr>
        <w:t xml:space="preserve"> following from the concept notes.</w:t>
      </w:r>
    </w:p>
    <w:p w14:paraId="60E936EA" w14:textId="29594D34" w:rsidR="00D66A1D" w:rsidRPr="00F36109" w:rsidRDefault="00D66A1D" w:rsidP="00D66A1D">
      <w:pPr>
        <w:numPr>
          <w:ilvl w:val="0"/>
          <w:numId w:val="23"/>
        </w:numPr>
        <w:pBdr>
          <w:top w:val="nil"/>
          <w:left w:val="nil"/>
          <w:bottom w:val="nil"/>
          <w:right w:val="nil"/>
          <w:between w:val="nil"/>
        </w:pBdr>
        <w:spacing w:after="396"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Approves the operation</w:t>
      </w:r>
      <w:r w:rsidR="00234405">
        <w:rPr>
          <w:rFonts w:ascii="Times New Roman" w:eastAsia="Times New Roman" w:hAnsi="Times New Roman" w:cs="Times New Roman"/>
          <w:color w:val="000000"/>
        </w:rPr>
        <w:t>al</w:t>
      </w:r>
      <w:r w:rsidRPr="00F36109">
        <w:rPr>
          <w:rFonts w:ascii="Times New Roman" w:eastAsia="Times New Roman" w:hAnsi="Times New Roman" w:cs="Times New Roman"/>
          <w:color w:val="000000"/>
        </w:rPr>
        <w:t xml:space="preserve"> guidance that complements the Terms of Reference (ToR). The operations manual may be amended as needed by the Operational Steering Committee.</w:t>
      </w:r>
    </w:p>
    <w:p w14:paraId="6DEC9223" w14:textId="77777777" w:rsidR="00D66A1D" w:rsidRPr="00F36109" w:rsidRDefault="00D66A1D" w:rsidP="00D66A1D">
      <w:pPr>
        <w:numPr>
          <w:ilvl w:val="0"/>
          <w:numId w:val="23"/>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Monitors the performance of joint </w:t>
      </w:r>
      <w:proofErr w:type="spellStart"/>
      <w:r w:rsidRPr="00F36109">
        <w:rPr>
          <w:rFonts w:ascii="Times New Roman" w:eastAsia="Times New Roman" w:hAnsi="Times New Roman" w:cs="Times New Roman"/>
          <w:color w:val="000000"/>
        </w:rPr>
        <w:t>programmes</w:t>
      </w:r>
      <w:proofErr w:type="spellEnd"/>
      <w:r w:rsidRPr="00F36109">
        <w:rPr>
          <w:rFonts w:ascii="Times New Roman" w:eastAsia="Times New Roman" w:hAnsi="Times New Roman" w:cs="Times New Roman"/>
          <w:color w:val="000000"/>
        </w:rPr>
        <w:t xml:space="preserve">. </w:t>
      </w:r>
    </w:p>
    <w:p w14:paraId="27AF2E78" w14:textId="61F3805B" w:rsidR="00D66A1D" w:rsidRPr="00F36109" w:rsidRDefault="00D66A1D" w:rsidP="00D66A1D">
      <w:pPr>
        <w:numPr>
          <w:ilvl w:val="0"/>
          <w:numId w:val="23"/>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Reviews any joint </w:t>
      </w:r>
      <w:proofErr w:type="spellStart"/>
      <w:r w:rsidRPr="00F36109">
        <w:rPr>
          <w:rFonts w:ascii="Times New Roman" w:eastAsia="Times New Roman" w:hAnsi="Times New Roman" w:cs="Times New Roman"/>
          <w:color w:val="000000"/>
        </w:rPr>
        <w:t>programme</w:t>
      </w:r>
      <w:proofErr w:type="spellEnd"/>
      <w:r w:rsidRPr="00F36109">
        <w:rPr>
          <w:rFonts w:ascii="Times New Roman" w:eastAsia="Times New Roman" w:hAnsi="Times New Roman" w:cs="Times New Roman"/>
          <w:color w:val="000000"/>
        </w:rPr>
        <w:t xml:space="preserve"> revisions of more than 25 per cent of the value of the budget or programmatic revisions that significantly change the scope, objectives, strategy or priorities of an approved joint </w:t>
      </w:r>
      <w:proofErr w:type="spellStart"/>
      <w:r w:rsidRPr="00F36109">
        <w:rPr>
          <w:rFonts w:ascii="Times New Roman" w:eastAsia="Times New Roman" w:hAnsi="Times New Roman" w:cs="Times New Roman"/>
          <w:color w:val="000000"/>
        </w:rPr>
        <w:t>programme</w:t>
      </w:r>
      <w:proofErr w:type="spellEnd"/>
      <w:r w:rsidR="00234405">
        <w:rPr>
          <w:rFonts w:ascii="Times New Roman" w:eastAsia="Times New Roman" w:hAnsi="Times New Roman" w:cs="Times New Roman"/>
          <w:color w:val="000000"/>
        </w:rPr>
        <w:t>.</w:t>
      </w:r>
    </w:p>
    <w:p w14:paraId="06967ED9" w14:textId="77777777" w:rsidR="00D66A1D" w:rsidRPr="00F36109" w:rsidRDefault="00D66A1D" w:rsidP="00D66A1D">
      <w:pPr>
        <w:numPr>
          <w:ilvl w:val="0"/>
          <w:numId w:val="23"/>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Endorses direct costs budgets, specifically those related to the Secretariat and any support operations, evaluations and audits.  </w:t>
      </w:r>
    </w:p>
    <w:p w14:paraId="568D08B9" w14:textId="77777777" w:rsidR="00D66A1D" w:rsidRPr="00F36109" w:rsidRDefault="00D66A1D" w:rsidP="00D66A1D">
      <w:pPr>
        <w:numPr>
          <w:ilvl w:val="0"/>
          <w:numId w:val="23"/>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Monitors financial management of funded initiatives.</w:t>
      </w:r>
    </w:p>
    <w:p w14:paraId="7B947C64" w14:textId="77777777" w:rsidR="00D66A1D" w:rsidRPr="00F36109" w:rsidRDefault="00D66A1D" w:rsidP="00D66A1D">
      <w:pPr>
        <w:numPr>
          <w:ilvl w:val="0"/>
          <w:numId w:val="23"/>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Ensures lessons learned are distilled and fed into relevant wider policy discussions. </w:t>
      </w:r>
    </w:p>
    <w:p w14:paraId="0A750AB5" w14:textId="77777777" w:rsidR="00D66A1D" w:rsidRPr="00F36109" w:rsidRDefault="00D66A1D" w:rsidP="00D66A1D">
      <w:pPr>
        <w:numPr>
          <w:ilvl w:val="0"/>
          <w:numId w:val="23"/>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Reviews annual/final consolidated narratives and financial reports submitted by the Secretariat. </w:t>
      </w:r>
    </w:p>
    <w:p w14:paraId="47287754" w14:textId="77777777" w:rsidR="00D66A1D" w:rsidRPr="00F36109" w:rsidRDefault="00D66A1D" w:rsidP="00D66A1D">
      <w:pPr>
        <w:numPr>
          <w:ilvl w:val="0"/>
          <w:numId w:val="23"/>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Regularly reviews the risk-monitoring matrix and ensures identified risks are addressed. </w:t>
      </w:r>
    </w:p>
    <w:p w14:paraId="7676A67B" w14:textId="77777777" w:rsidR="00D66A1D" w:rsidRPr="00F36109" w:rsidRDefault="00D66A1D" w:rsidP="00D66A1D">
      <w:pPr>
        <w:numPr>
          <w:ilvl w:val="0"/>
          <w:numId w:val="23"/>
        </w:numPr>
        <w:pBdr>
          <w:top w:val="nil"/>
          <w:left w:val="nil"/>
          <w:bottom w:val="nil"/>
          <w:right w:val="nil"/>
          <w:between w:val="nil"/>
        </w:pBdr>
        <w:spacing w:after="396"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Agrees upon evaluation plans of joint </w:t>
      </w:r>
      <w:proofErr w:type="spellStart"/>
      <w:r w:rsidRPr="00F36109">
        <w:rPr>
          <w:rFonts w:ascii="Times New Roman" w:eastAsia="Times New Roman" w:hAnsi="Times New Roman" w:cs="Times New Roman"/>
          <w:color w:val="000000"/>
        </w:rPr>
        <w:t>programmes</w:t>
      </w:r>
      <w:proofErr w:type="spellEnd"/>
      <w:r w:rsidRPr="00F36109">
        <w:rPr>
          <w:rFonts w:ascii="Times New Roman" w:eastAsia="Times New Roman" w:hAnsi="Times New Roman" w:cs="Times New Roman"/>
          <w:color w:val="000000"/>
        </w:rPr>
        <w:t xml:space="preserve"> and commissions.</w:t>
      </w:r>
    </w:p>
    <w:p w14:paraId="40DDBC23" w14:textId="77777777" w:rsidR="00D66A1D" w:rsidRPr="00F36109" w:rsidRDefault="00D66A1D" w:rsidP="00D66A1D">
      <w:pPr>
        <w:pStyle w:val="Heading4"/>
        <w:jc w:val="both"/>
        <w:rPr>
          <w:rFonts w:ascii="Times New Roman" w:hAnsi="Times New Roman" w:cs="Times New Roman"/>
        </w:rPr>
      </w:pPr>
      <w:bookmarkStart w:id="54" w:name="_Toc527975438"/>
      <w:bookmarkStart w:id="55" w:name="_Toc527975902"/>
      <w:bookmarkStart w:id="56" w:name="_Toc527976119"/>
      <w:bookmarkStart w:id="57" w:name="_Toc527976232"/>
      <w:bookmarkStart w:id="58" w:name="_Toc530497034"/>
      <w:bookmarkStart w:id="59" w:name="_Toc530577716"/>
      <w:r w:rsidRPr="00F36109">
        <w:rPr>
          <w:rFonts w:ascii="Times New Roman" w:hAnsi="Times New Roman" w:cs="Times New Roman"/>
        </w:rPr>
        <w:t>Membership of the Operational Steering Committee:</w:t>
      </w:r>
      <w:bookmarkEnd w:id="54"/>
      <w:bookmarkEnd w:id="55"/>
      <w:bookmarkEnd w:id="56"/>
      <w:bookmarkEnd w:id="57"/>
      <w:bookmarkEnd w:id="58"/>
      <w:bookmarkEnd w:id="59"/>
    </w:p>
    <w:p w14:paraId="50F16A73" w14:textId="78040901" w:rsidR="00FC0849" w:rsidRPr="009C5205" w:rsidRDefault="00FC0849" w:rsidP="00FC0849">
      <w:pPr>
        <w:jc w:val="both"/>
        <w:rPr>
          <w:rFonts w:ascii="Times New Roman" w:hAnsi="Times New Roman"/>
          <w:lang w:val="en"/>
        </w:rPr>
      </w:pPr>
      <w:bookmarkStart w:id="60" w:name="_26in1rg" w:colFirst="0" w:colLast="0"/>
      <w:bookmarkEnd w:id="60"/>
      <w:r w:rsidRPr="009C5205">
        <w:rPr>
          <w:rFonts w:ascii="Times New Roman" w:hAnsi="Times New Roman"/>
        </w:rPr>
        <w:t>Membership will</w:t>
      </w:r>
      <w:r>
        <w:rPr>
          <w:rFonts w:ascii="Times New Roman" w:hAnsi="Times New Roman"/>
        </w:rPr>
        <w:t xml:space="preserve"> include</w:t>
      </w:r>
      <w:r w:rsidRPr="009C5205">
        <w:rPr>
          <w:rFonts w:ascii="Times New Roman" w:hAnsi="Times New Roman"/>
        </w:rPr>
        <w:t xml:space="preserve"> </w:t>
      </w:r>
      <w:r w:rsidRPr="009C5205">
        <w:rPr>
          <w:rFonts w:ascii="Times New Roman" w:hAnsi="Times New Roman"/>
          <w:lang w:val="en"/>
        </w:rPr>
        <w:t xml:space="preserve">Representatives from five United Nations organizations at the </w:t>
      </w:r>
      <w:r>
        <w:rPr>
          <w:rFonts w:ascii="Times New Roman" w:hAnsi="Times New Roman"/>
          <w:lang w:val="en"/>
        </w:rPr>
        <w:t>senior decision-making level</w:t>
      </w:r>
      <w:r w:rsidRPr="009C5205">
        <w:rPr>
          <w:rFonts w:ascii="Times New Roman" w:hAnsi="Times New Roman"/>
          <w:lang w:val="en"/>
        </w:rPr>
        <w:t>.</w:t>
      </w:r>
      <w:r>
        <w:rPr>
          <w:rFonts w:ascii="Times New Roman" w:hAnsi="Times New Roman"/>
          <w:lang w:val="en"/>
        </w:rPr>
        <w:t xml:space="preserve">  </w:t>
      </w:r>
      <w:r w:rsidRPr="009C5205">
        <w:rPr>
          <w:rFonts w:ascii="Times New Roman" w:hAnsi="Times New Roman"/>
        </w:rPr>
        <w:t>The Operational Steering Committe</w:t>
      </w:r>
      <w:r>
        <w:rPr>
          <w:rFonts w:ascii="Times New Roman" w:hAnsi="Times New Roman"/>
        </w:rPr>
        <w:t>e will be</w:t>
      </w:r>
      <w:r w:rsidRPr="009C5205">
        <w:rPr>
          <w:rFonts w:ascii="Times New Roman" w:hAnsi="Times New Roman"/>
        </w:rPr>
        <w:t xml:space="preserve"> chaired by </w:t>
      </w:r>
      <w:r>
        <w:rPr>
          <w:rFonts w:ascii="Times New Roman" w:hAnsi="Times New Roman"/>
        </w:rPr>
        <w:t>UNDP</w:t>
      </w:r>
      <w:r w:rsidR="00F876A3">
        <w:rPr>
          <w:rFonts w:ascii="Times New Roman" w:hAnsi="Times New Roman"/>
        </w:rPr>
        <w:t>.</w:t>
      </w:r>
      <w:r w:rsidRPr="009C5205">
        <w:rPr>
          <w:rFonts w:ascii="Times New Roman" w:hAnsi="Times New Roman"/>
          <w:lang w:val="en"/>
        </w:rPr>
        <w:t>The Fund’s Secretariat</w:t>
      </w:r>
      <w:r w:rsidR="00333057">
        <w:rPr>
          <w:rFonts w:ascii="Times New Roman" w:hAnsi="Times New Roman"/>
          <w:lang w:val="en"/>
        </w:rPr>
        <w:t xml:space="preserve"> and the</w:t>
      </w:r>
      <w:r w:rsidR="00860CA8">
        <w:rPr>
          <w:rFonts w:ascii="Times New Roman" w:hAnsi="Times New Roman"/>
          <w:lang w:val="en"/>
        </w:rPr>
        <w:t xml:space="preserve"> </w:t>
      </w:r>
      <w:r w:rsidRPr="009C5205">
        <w:rPr>
          <w:rFonts w:ascii="Times New Roman" w:hAnsi="Times New Roman"/>
          <w:lang w:val="en"/>
        </w:rPr>
        <w:t>Administrative Agent will be ex-officio members of the Operation</w:t>
      </w:r>
      <w:r w:rsidR="005B4ADD">
        <w:rPr>
          <w:rFonts w:ascii="Times New Roman" w:hAnsi="Times New Roman"/>
          <w:lang w:val="en"/>
        </w:rPr>
        <w:t>al</w:t>
      </w:r>
      <w:r w:rsidRPr="009C5205">
        <w:rPr>
          <w:rFonts w:ascii="Times New Roman" w:hAnsi="Times New Roman"/>
          <w:lang w:val="en"/>
        </w:rPr>
        <w:t xml:space="preserve"> Steering Committee.  </w:t>
      </w:r>
    </w:p>
    <w:p w14:paraId="588D93A5" w14:textId="3CE6216D" w:rsidR="00FC0849" w:rsidRPr="009C5205" w:rsidRDefault="00FC0849" w:rsidP="00FC0849">
      <w:pPr>
        <w:jc w:val="both"/>
        <w:rPr>
          <w:rFonts w:ascii="Times New Roman" w:hAnsi="Times New Roman"/>
        </w:rPr>
      </w:pPr>
      <w:r w:rsidRPr="009C5205">
        <w:rPr>
          <w:rFonts w:ascii="Times New Roman" w:hAnsi="Times New Roman"/>
        </w:rPr>
        <w:t xml:space="preserve">The Operational Steering Committee will meet quarterly, or more frequently as required, arriving at decisions through consensus. </w:t>
      </w:r>
      <w:r w:rsidR="00A57A10">
        <w:rPr>
          <w:rFonts w:ascii="Times New Roman" w:hAnsi="Times New Roman"/>
        </w:rPr>
        <w:t xml:space="preserve">A summary </w:t>
      </w:r>
      <w:proofErr w:type="gramStart"/>
      <w:r w:rsidR="00A57A10">
        <w:rPr>
          <w:rFonts w:ascii="Times New Roman" w:hAnsi="Times New Roman"/>
        </w:rPr>
        <w:t>note</w:t>
      </w:r>
      <w:proofErr w:type="gramEnd"/>
      <w:r w:rsidR="00A57A10">
        <w:rPr>
          <w:rFonts w:ascii="Times New Roman" w:hAnsi="Times New Roman"/>
        </w:rPr>
        <w:t xml:space="preserve"> of the decisions made will be shared with the Chair of the Strategic Advisory Group. </w:t>
      </w:r>
      <w:r w:rsidRPr="009C5205">
        <w:rPr>
          <w:rFonts w:ascii="Times New Roman" w:hAnsi="Times New Roman"/>
        </w:rPr>
        <w:t>In case of non-consensus, recommendations can be made by the chair taking into consideration the views of the members.</w:t>
      </w:r>
      <w:r w:rsidR="00A835C7">
        <w:rPr>
          <w:rFonts w:ascii="Times New Roman" w:hAnsi="Times New Roman"/>
        </w:rPr>
        <w:t xml:space="preserve"> </w:t>
      </w:r>
      <w:r w:rsidRPr="009C5205">
        <w:rPr>
          <w:rFonts w:ascii="Times New Roman" w:hAnsi="Times New Roman"/>
        </w:rPr>
        <w:t>The Operational Steering Committee will have a quorum when the chairs and at least fifty percent of its other members are present. Internal rules of procedure of the Operational Steering Committee will be included in the operations manual and take into consideration the formal decision-making process.</w:t>
      </w:r>
    </w:p>
    <w:p w14:paraId="4A6600ED" w14:textId="512A9D49" w:rsidR="00FC0849" w:rsidRDefault="00FC0849" w:rsidP="00FC0849">
      <w:pPr>
        <w:jc w:val="both"/>
        <w:rPr>
          <w:rFonts w:ascii="Times New Roman" w:hAnsi="Times New Roman"/>
        </w:rPr>
      </w:pPr>
      <w:r w:rsidRPr="009C5205">
        <w:rPr>
          <w:rFonts w:ascii="Times New Roman" w:hAnsi="Times New Roman"/>
          <w:lang w:val="en"/>
        </w:rPr>
        <w:t xml:space="preserve">UN </w:t>
      </w:r>
      <w:r w:rsidR="00EF225D" w:rsidRPr="009C5205">
        <w:rPr>
          <w:rFonts w:ascii="Times New Roman" w:hAnsi="Times New Roman"/>
          <w:lang w:val="en"/>
        </w:rPr>
        <w:t>organization</w:t>
      </w:r>
      <w:r w:rsidRPr="009C5205">
        <w:rPr>
          <w:rFonts w:ascii="Times New Roman" w:hAnsi="Times New Roman"/>
          <w:lang w:val="en"/>
        </w:rPr>
        <w:t xml:space="preserve"> membership on the Operational Steering Committee will be on a staggered rotational basis, </w:t>
      </w:r>
      <w:r w:rsidRPr="009C5205">
        <w:rPr>
          <w:rFonts w:ascii="Times New Roman" w:hAnsi="Times New Roman"/>
        </w:rPr>
        <w:t xml:space="preserve">specifically, at least two members of the Operational Steering Committee will serve for three years, with </w:t>
      </w:r>
      <w:r w:rsidRPr="009C5205">
        <w:rPr>
          <w:rFonts w:ascii="Times New Roman" w:hAnsi="Times New Roman"/>
        </w:rPr>
        <w:lastRenderedPageBreak/>
        <w:t xml:space="preserve">three years being the maximum length of time for any board member. There will always be at least two UN </w:t>
      </w:r>
      <w:r w:rsidR="00EF225D" w:rsidRPr="009C5205">
        <w:rPr>
          <w:rFonts w:ascii="Times New Roman" w:hAnsi="Times New Roman"/>
        </w:rPr>
        <w:t>organizations</w:t>
      </w:r>
      <w:r w:rsidRPr="009C5205">
        <w:rPr>
          <w:rFonts w:ascii="Times New Roman" w:hAnsi="Times New Roman"/>
        </w:rPr>
        <w:t xml:space="preserve"> with significant country-level operational presence as Operational Steering Committee members.</w:t>
      </w:r>
    </w:p>
    <w:p w14:paraId="463E51B9" w14:textId="293CBFEC" w:rsidR="00FC0849" w:rsidRPr="009C5205" w:rsidRDefault="00FC0849" w:rsidP="00FC0849">
      <w:pPr>
        <w:jc w:val="both"/>
        <w:rPr>
          <w:rFonts w:ascii="Times New Roman" w:hAnsi="Times New Roman"/>
        </w:rPr>
      </w:pPr>
      <w:r w:rsidRPr="00A84A46">
        <w:rPr>
          <w:rFonts w:ascii="Times New Roman" w:hAnsi="Times New Roman"/>
        </w:rPr>
        <w:t xml:space="preserve">The </w:t>
      </w:r>
      <w:r>
        <w:rPr>
          <w:rFonts w:ascii="Times New Roman" w:hAnsi="Times New Roman"/>
        </w:rPr>
        <w:t>Operational Steering Committee</w:t>
      </w:r>
      <w:r w:rsidRPr="00A84A46">
        <w:rPr>
          <w:rFonts w:ascii="Times New Roman" w:hAnsi="Times New Roman"/>
        </w:rPr>
        <w:t xml:space="preserve"> will also convene an annual stakeholder event, as a larger partnership and dialogue forum on the </w:t>
      </w:r>
      <w:r w:rsidR="00B87B8A">
        <w:rPr>
          <w:rFonts w:ascii="Times New Roman" w:hAnsi="Times New Roman"/>
        </w:rPr>
        <w:t xml:space="preserve">Joint SDG </w:t>
      </w:r>
      <w:r w:rsidRPr="00A84A46">
        <w:rPr>
          <w:rFonts w:ascii="Times New Roman" w:hAnsi="Times New Roman"/>
        </w:rPr>
        <w:t>Funds focus areas and results.</w:t>
      </w:r>
      <w:r w:rsidRPr="009C5205">
        <w:rPr>
          <w:rFonts w:ascii="Times New Roman" w:hAnsi="Times New Roman"/>
        </w:rPr>
        <w:t xml:space="preserve"> </w:t>
      </w:r>
    </w:p>
    <w:p w14:paraId="7946C19C" w14:textId="77777777" w:rsidR="00D66A1D" w:rsidRPr="00F36109" w:rsidRDefault="00D66A1D" w:rsidP="00D66A1D">
      <w:pPr>
        <w:pStyle w:val="Heading2"/>
        <w:jc w:val="both"/>
        <w:rPr>
          <w:rFonts w:ascii="Times New Roman" w:eastAsia="Times New Roman" w:hAnsi="Times New Roman" w:cs="Times New Roman"/>
        </w:rPr>
      </w:pPr>
      <w:bookmarkStart w:id="61" w:name="_Toc527975903"/>
      <w:bookmarkStart w:id="62" w:name="_Toc527976120"/>
      <w:bookmarkStart w:id="63" w:name="_Toc527976233"/>
      <w:bookmarkStart w:id="64" w:name="_Toc530497035"/>
      <w:bookmarkStart w:id="65" w:name="_Toc530577717"/>
      <w:r w:rsidRPr="00F36109">
        <w:rPr>
          <w:rFonts w:ascii="Times New Roman" w:eastAsia="Times New Roman" w:hAnsi="Times New Roman" w:cs="Times New Roman"/>
        </w:rPr>
        <w:t>4.1.3. Joint SDG Fund Secretariat</w:t>
      </w:r>
      <w:bookmarkEnd w:id="61"/>
      <w:bookmarkEnd w:id="62"/>
      <w:bookmarkEnd w:id="63"/>
      <w:bookmarkEnd w:id="64"/>
      <w:bookmarkEnd w:id="65"/>
    </w:p>
    <w:p w14:paraId="2A7E6B85" w14:textId="1A9B81DA" w:rsidR="00D66A1D" w:rsidRPr="00F36109" w:rsidRDefault="00D66A1D" w:rsidP="00D66A1D">
      <w:pPr>
        <w:spacing w:after="480"/>
        <w:jc w:val="both"/>
        <w:rPr>
          <w:rFonts w:ascii="Times New Roman" w:eastAsia="Times New Roman" w:hAnsi="Times New Roman" w:cs="Times New Roman"/>
        </w:rPr>
      </w:pPr>
      <w:bookmarkStart w:id="66" w:name="_35nkun2" w:colFirst="0" w:colLast="0"/>
      <w:bookmarkEnd w:id="66"/>
      <w:r w:rsidRPr="00F36109">
        <w:rPr>
          <w:rFonts w:ascii="Times New Roman" w:eastAsia="Times New Roman" w:hAnsi="Times New Roman" w:cs="Times New Roman"/>
        </w:rPr>
        <w:t>The operational coordination and technical support unit for the Joint SDG Fund will be the Joint SDG Fund Secretariat. The Secretariat will be operationally focused, provide quick turn-arounds and get things done. The secretariat will require strong capacity to ensure effective and efficient management of the Fund. The Joint SDG Fund Secretariat will be hosted by UN DOCO.</w:t>
      </w:r>
    </w:p>
    <w:p w14:paraId="4EEF8BE2" w14:textId="77777777" w:rsidR="00D66A1D" w:rsidRPr="00F36109" w:rsidRDefault="00D66A1D" w:rsidP="00D66A1D">
      <w:pPr>
        <w:spacing w:after="480"/>
        <w:jc w:val="both"/>
        <w:rPr>
          <w:rFonts w:ascii="Times New Roman" w:eastAsia="Times New Roman" w:hAnsi="Times New Roman" w:cs="Times New Roman"/>
        </w:rPr>
      </w:pPr>
      <w:r w:rsidRPr="00F36109">
        <w:rPr>
          <w:rFonts w:ascii="Times New Roman" w:eastAsia="Times New Roman" w:hAnsi="Times New Roman" w:cs="Times New Roman"/>
        </w:rPr>
        <w:t xml:space="preserve">The Joint SDG Fund Secretariat provides operational and administrative support to the Strategic Advisory Group and Operational Steering Committees. It is responsible for the coordination and day-to-day management of the Joint SDG Fund. The Secretariat provides quality assurance over the implementation of the fund and coordinates meetings. It facilitates collaboration and communication between the governance bodies, participating United Nations organizations, and the Resident Coordinators and UNCTs. </w:t>
      </w:r>
    </w:p>
    <w:p w14:paraId="56D62A47" w14:textId="4ECF8088" w:rsidR="00D66A1D" w:rsidRPr="00F36109" w:rsidRDefault="00D66A1D" w:rsidP="00D66A1D">
      <w:pPr>
        <w:spacing w:after="480"/>
        <w:jc w:val="both"/>
        <w:rPr>
          <w:rFonts w:ascii="Times New Roman" w:eastAsia="Times New Roman" w:hAnsi="Times New Roman" w:cs="Times New Roman"/>
        </w:rPr>
      </w:pPr>
      <w:r w:rsidRPr="00F36109">
        <w:rPr>
          <w:rFonts w:ascii="Times New Roman" w:eastAsia="Times New Roman" w:hAnsi="Times New Roman" w:cs="Times New Roman"/>
        </w:rPr>
        <w:t xml:space="preserve">A primary role of the Joint SDG Fund Secretariat is to support the submission of country-level </w:t>
      </w:r>
      <w:proofErr w:type="spellStart"/>
      <w:r w:rsidRPr="00F36109">
        <w:rPr>
          <w:rFonts w:ascii="Times New Roman" w:eastAsia="Times New Roman" w:hAnsi="Times New Roman" w:cs="Times New Roman"/>
        </w:rPr>
        <w:t>programme</w:t>
      </w:r>
      <w:proofErr w:type="spellEnd"/>
      <w:r w:rsidRPr="00F36109">
        <w:rPr>
          <w:rFonts w:ascii="Times New Roman" w:eastAsia="Times New Roman" w:hAnsi="Times New Roman" w:cs="Times New Roman"/>
        </w:rPr>
        <w:t xml:space="preserve"> proposals to the Operational Steering Committee, and to ensure they have been developed in accordance with agreed-upon joint </w:t>
      </w:r>
      <w:proofErr w:type="spellStart"/>
      <w:r w:rsidRPr="00F36109">
        <w:rPr>
          <w:rFonts w:ascii="Times New Roman" w:eastAsia="Times New Roman" w:hAnsi="Times New Roman" w:cs="Times New Roman"/>
        </w:rPr>
        <w:t>programme</w:t>
      </w:r>
      <w:proofErr w:type="spellEnd"/>
      <w:r w:rsidRPr="00F36109">
        <w:rPr>
          <w:rFonts w:ascii="Times New Roman" w:eastAsia="Times New Roman" w:hAnsi="Times New Roman" w:cs="Times New Roman"/>
        </w:rPr>
        <w:t xml:space="preserve"> submission guidelines and criteria specified in the Operations Guidance that has been developed in accordance with United Nations </w:t>
      </w:r>
      <w:r w:rsidR="00B87B8A">
        <w:rPr>
          <w:rFonts w:ascii="Times New Roman" w:eastAsia="Times New Roman" w:hAnsi="Times New Roman" w:cs="Times New Roman"/>
        </w:rPr>
        <w:t xml:space="preserve">Sustainable </w:t>
      </w:r>
      <w:r w:rsidRPr="00F36109">
        <w:rPr>
          <w:rFonts w:ascii="Times New Roman" w:eastAsia="Times New Roman" w:hAnsi="Times New Roman" w:cs="Times New Roman"/>
        </w:rPr>
        <w:t>Development Group (UN</w:t>
      </w:r>
      <w:r w:rsidR="00B87B8A">
        <w:rPr>
          <w:rFonts w:ascii="Times New Roman" w:eastAsia="Times New Roman" w:hAnsi="Times New Roman" w:cs="Times New Roman"/>
        </w:rPr>
        <w:t>S</w:t>
      </w:r>
      <w:r w:rsidRPr="00F36109">
        <w:rPr>
          <w:rFonts w:ascii="Times New Roman" w:eastAsia="Times New Roman" w:hAnsi="Times New Roman" w:cs="Times New Roman"/>
        </w:rPr>
        <w:t xml:space="preserve">DG) standards. The Joint SDG Fund Secretariat will be responsible for reporting on the implementation of funded joint </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through periodic progress updates (which include consolidated annual narratives and financial reports) received from Participating United Nations organizations. The Secretariat will present an overview of progress to the Strategic Advisory Group</w:t>
      </w:r>
      <w:r w:rsidR="00B87B8A">
        <w:rPr>
          <w:rFonts w:ascii="Times New Roman" w:eastAsia="Times New Roman" w:hAnsi="Times New Roman" w:cs="Times New Roman"/>
        </w:rPr>
        <w:t xml:space="preserve">, </w:t>
      </w:r>
      <w:r w:rsidRPr="00F36109">
        <w:rPr>
          <w:rFonts w:ascii="Times New Roman" w:eastAsia="Times New Roman" w:hAnsi="Times New Roman" w:cs="Times New Roman"/>
        </w:rPr>
        <w:t xml:space="preserve">Operational Steering Committee </w:t>
      </w:r>
      <w:r w:rsidR="00B87B8A">
        <w:rPr>
          <w:rFonts w:ascii="Times New Roman" w:eastAsia="Times New Roman" w:hAnsi="Times New Roman" w:cs="Times New Roman"/>
        </w:rPr>
        <w:t xml:space="preserve">and Annual Stakeholder meeting </w:t>
      </w:r>
      <w:r w:rsidRPr="00F36109">
        <w:rPr>
          <w:rFonts w:ascii="Times New Roman" w:eastAsia="Times New Roman" w:hAnsi="Times New Roman" w:cs="Times New Roman"/>
        </w:rPr>
        <w:t>and ensure that lessons learned feed into relevant wider United Nations reform discussions.</w:t>
      </w:r>
    </w:p>
    <w:p w14:paraId="7120C313" w14:textId="77777777" w:rsidR="00D66A1D" w:rsidRPr="00F36109" w:rsidRDefault="00D66A1D" w:rsidP="00D66A1D">
      <w:pPr>
        <w:keepNext/>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Secretariat will perform the following functions:</w:t>
      </w:r>
    </w:p>
    <w:p w14:paraId="10E8B594" w14:textId="1367564D" w:rsidR="00D66A1D" w:rsidRPr="00F36109" w:rsidRDefault="00D66A1D" w:rsidP="00D66A1D">
      <w:pPr>
        <w:keepNext/>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Act as liaison between the chairs of the Joint SDG Fund Strategic Advisory Group and Operational Steering Committee, UN Resident Coordinators/UN</w:t>
      </w:r>
      <w:r w:rsidR="00B87B8A">
        <w:rPr>
          <w:rFonts w:ascii="Times New Roman" w:eastAsia="Times New Roman" w:hAnsi="Times New Roman" w:cs="Times New Roman"/>
          <w:color w:val="000000"/>
        </w:rPr>
        <w:t>CTs</w:t>
      </w:r>
      <w:r w:rsidRPr="00F36109">
        <w:rPr>
          <w:rFonts w:ascii="Times New Roman" w:eastAsia="Times New Roman" w:hAnsi="Times New Roman" w:cs="Times New Roman"/>
          <w:color w:val="000000"/>
        </w:rPr>
        <w:t>, the Joint SDG Fund Administrative Agent and UNDG mechanisms.</w:t>
      </w:r>
    </w:p>
    <w:p w14:paraId="4A8AA40A"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Provide logistical and operational support to the Strategic Advisory Group and Operational Steering Committee.</w:t>
      </w:r>
    </w:p>
    <w:p w14:paraId="43C3F317"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Prepare consolidated narrative reports on Fund progress, in accordance with the agreed results framework and indicators. </w:t>
      </w:r>
    </w:p>
    <w:p w14:paraId="4F51A2EE"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Consolidate narrative reports with the financial report provided by the Administrative Agent.</w:t>
      </w:r>
    </w:p>
    <w:p w14:paraId="09E45BAE"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Facilitate learning and knowledge management including but not limited to analytical reports, reviews, studies, seminars.</w:t>
      </w:r>
    </w:p>
    <w:p w14:paraId="189DE62C"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Compile country and Fund level baseline data for inclusion in the results framework and facilitate annual progress reviews against the indicators.</w:t>
      </w:r>
    </w:p>
    <w:p w14:paraId="7C93F627"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lastRenderedPageBreak/>
        <w:t xml:space="preserve">Organize annual review meetings and preparation of information, data and reports to enable the assessment of overall progress made against the agreed Joint SDG Fund indicators, funding situation, and in-depth assessment of selected country cases. </w:t>
      </w:r>
    </w:p>
    <w:p w14:paraId="53574402"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Ensure the monitoring of operational risks and Joint SDG Fund performance.</w:t>
      </w:r>
    </w:p>
    <w:p w14:paraId="55D8D4B8"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Liaise with the Administrative Agent on fund administration issues.</w:t>
      </w:r>
    </w:p>
    <w:p w14:paraId="7A65886F"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Facilitate independent evaluations on the overall performance of the Fund as directed by the Strategic Advisory Group and Operational Steering Committee.</w:t>
      </w:r>
    </w:p>
    <w:p w14:paraId="242FF240"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Organize calls for the submission of potential funding concept notes.</w:t>
      </w:r>
    </w:p>
    <w:p w14:paraId="5E6D58B1" w14:textId="44685591"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Review submitted concept notes with PUNOs </w:t>
      </w:r>
      <w:r w:rsidR="00B87B8A">
        <w:rPr>
          <w:rFonts w:ascii="Times New Roman" w:eastAsia="Times New Roman" w:hAnsi="Times New Roman" w:cs="Times New Roman"/>
          <w:color w:val="000000"/>
        </w:rPr>
        <w:t xml:space="preserve">and external experts </w:t>
      </w:r>
      <w:r w:rsidRPr="00F36109">
        <w:rPr>
          <w:rFonts w:ascii="Times New Roman" w:eastAsia="Times New Roman" w:hAnsi="Times New Roman" w:cs="Times New Roman"/>
          <w:color w:val="000000"/>
        </w:rPr>
        <w:t>and approve allocation of seed funding for the development of full project proposals, within budget approval by the Operational Steering Committee</w:t>
      </w:r>
    </w:p>
    <w:p w14:paraId="23F0572B"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Support the development of quality project proposals with PUNOs, including facilitating linkages between UNCT’s and substantive policy experts at regional and global level.</w:t>
      </w:r>
    </w:p>
    <w:p w14:paraId="564CD06E"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Facilitate the submission of countries’ full project proposals to the Operational Steering Committee.</w:t>
      </w:r>
    </w:p>
    <w:p w14:paraId="5BE4F48F"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Support the implementation of approved projects with support from PUNOs and other participating partner entities.</w:t>
      </w:r>
    </w:p>
    <w:p w14:paraId="798701AA"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Monitor project closure.</w:t>
      </w:r>
    </w:p>
    <w:p w14:paraId="4B57D04B" w14:textId="77777777" w:rsidR="00D66A1D" w:rsidRPr="00F36109" w:rsidRDefault="00D66A1D" w:rsidP="00D66A1D">
      <w:pPr>
        <w:numPr>
          <w:ilvl w:val="0"/>
          <w:numId w:val="22"/>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Contribute to develop partnerships within the UNDS and beyond that can be leveraged to support the implementation of projects funded by the Joint SDG Fund.</w:t>
      </w:r>
    </w:p>
    <w:p w14:paraId="02DE98B4" w14:textId="77777777" w:rsidR="00D66A1D" w:rsidRPr="00F36109" w:rsidRDefault="00D66A1D" w:rsidP="00D66A1D">
      <w:pPr>
        <w:numPr>
          <w:ilvl w:val="0"/>
          <w:numId w:val="22"/>
        </w:numPr>
        <w:pBdr>
          <w:top w:val="nil"/>
          <w:left w:val="nil"/>
          <w:bottom w:val="nil"/>
          <w:right w:val="nil"/>
          <w:between w:val="nil"/>
        </w:pBdr>
        <w:spacing w:after="396"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Support outreach, communication and resource mobilization activities.</w:t>
      </w:r>
    </w:p>
    <w:p w14:paraId="3094E17F" w14:textId="77777777" w:rsidR="00D66A1D" w:rsidRPr="00F36109" w:rsidRDefault="00D66A1D" w:rsidP="00D66A1D">
      <w:pPr>
        <w:pStyle w:val="Heading2"/>
        <w:numPr>
          <w:ilvl w:val="1"/>
          <w:numId w:val="21"/>
        </w:numPr>
        <w:spacing w:line="276" w:lineRule="auto"/>
        <w:jc w:val="both"/>
        <w:rPr>
          <w:rFonts w:ascii="Times New Roman" w:eastAsia="Times New Roman" w:hAnsi="Times New Roman" w:cs="Times New Roman"/>
        </w:rPr>
      </w:pPr>
      <w:bookmarkStart w:id="67" w:name="_Toc527975904"/>
      <w:bookmarkStart w:id="68" w:name="_Toc527976121"/>
      <w:bookmarkStart w:id="69" w:name="_Toc527976234"/>
      <w:bookmarkStart w:id="70" w:name="_Toc530577718"/>
      <w:r w:rsidRPr="00F36109">
        <w:rPr>
          <w:rFonts w:ascii="Times New Roman" w:eastAsia="Times New Roman" w:hAnsi="Times New Roman" w:cs="Times New Roman"/>
        </w:rPr>
        <w:t>Country-level governance arrangements</w:t>
      </w:r>
      <w:bookmarkEnd w:id="67"/>
      <w:bookmarkEnd w:id="68"/>
      <w:bookmarkEnd w:id="69"/>
      <w:bookmarkEnd w:id="70"/>
    </w:p>
    <w:p w14:paraId="5A9B9024"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Resident Coordinator will be responsible and accountable for the conception, strategic planning, and oversight of </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funded through the Joint SDG Fund. </w:t>
      </w:r>
    </w:p>
    <w:p w14:paraId="1CF59F1B"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Access to the Fund would require the participation of a minimum of two UNCT member entities in a joint </w:t>
      </w:r>
      <w:proofErr w:type="spellStart"/>
      <w:r w:rsidRPr="00F36109">
        <w:rPr>
          <w:rFonts w:ascii="Times New Roman" w:eastAsia="Times New Roman" w:hAnsi="Times New Roman" w:cs="Times New Roman"/>
        </w:rPr>
        <w:t>programme</w:t>
      </w:r>
      <w:proofErr w:type="spellEnd"/>
      <w:r w:rsidRPr="00F36109">
        <w:rPr>
          <w:rFonts w:ascii="Times New Roman" w:eastAsia="Times New Roman" w:hAnsi="Times New Roman" w:cs="Times New Roman"/>
        </w:rPr>
        <w:t xml:space="preserve"> or initiative. The participating agency lead, designated in the proposal, would be accountable to the Resident Coordinator for the results and resources provided through the Fund. </w:t>
      </w:r>
    </w:p>
    <w:p w14:paraId="15E5831D"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At the country level, management of Joint SDG Fund resources will be guided by the principles of national ownership in support of national priorities and will be embedded in the new generation of UNDAFs. This is hence within the UN’s central planning and implementation framework at country level, under the leadership of the Resident Coordinator, who will have enhanced authority to ensure alignment of the resources received from the Joint SDG Fund with national development priorities.</w:t>
      </w:r>
    </w:p>
    <w:p w14:paraId="20E39AC5"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Participating UN Organizations that received Joint SDG Fund resources will assume full programmatic and financial accountability for these resources, as outlined in the existing legal agreements (MOU and SAA).</w:t>
      </w:r>
    </w:p>
    <w:p w14:paraId="56B549FD"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lastRenderedPageBreak/>
        <w:t xml:space="preserve">While precise governance arrangements will vary from one UNCT to another, the country-level governance architecture of all Joint SDG Fund supported </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may include the following elements: </w:t>
      </w:r>
    </w:p>
    <w:p w14:paraId="03E44143" w14:textId="77777777" w:rsidR="00D66A1D" w:rsidRPr="00F36109" w:rsidRDefault="00D66A1D" w:rsidP="00D66A1D">
      <w:pPr>
        <w:numPr>
          <w:ilvl w:val="0"/>
          <w:numId w:val="18"/>
        </w:numPr>
        <w:pBdr>
          <w:top w:val="nil"/>
          <w:left w:val="nil"/>
          <w:bottom w:val="nil"/>
          <w:right w:val="nil"/>
          <w:between w:val="nil"/>
        </w:pBdr>
        <w:tabs>
          <w:tab w:val="left" w:pos="360"/>
        </w:tabs>
        <w:spacing w:after="396" w:line="312" w:lineRule="auto"/>
        <w:ind w:left="360"/>
        <w:jc w:val="both"/>
        <w:rPr>
          <w:rFonts w:ascii="Times New Roman" w:hAnsi="Times New Roman" w:cs="Times New Roman"/>
        </w:rPr>
      </w:pPr>
      <w:r w:rsidRPr="00F36109">
        <w:rPr>
          <w:rFonts w:ascii="Times New Roman" w:eastAsia="Times New Roman" w:hAnsi="Times New Roman" w:cs="Times New Roman"/>
          <w:color w:val="000000"/>
          <w:u w:val="single"/>
        </w:rPr>
        <w:t>UNDAF Results Groups</w:t>
      </w:r>
      <w:r w:rsidRPr="00F36109">
        <w:rPr>
          <w:rFonts w:ascii="Times New Roman" w:eastAsia="Times New Roman" w:hAnsi="Times New Roman" w:cs="Times New Roman"/>
          <w:color w:val="000000"/>
        </w:rPr>
        <w:t xml:space="preserve">:  The Joint SDG Fund is expected to contribute directly to the achievement of national policy in support of the SDGs as indicated in national UNDAF outcomes.  As such, UNDAF Results Groups may provide strategic direction and oversight to </w:t>
      </w:r>
      <w:proofErr w:type="spellStart"/>
      <w:r w:rsidRPr="00F36109">
        <w:rPr>
          <w:rFonts w:ascii="Times New Roman" w:eastAsia="Times New Roman" w:hAnsi="Times New Roman" w:cs="Times New Roman"/>
          <w:color w:val="000000"/>
        </w:rPr>
        <w:t>programmes</w:t>
      </w:r>
      <w:proofErr w:type="spellEnd"/>
      <w:r w:rsidRPr="00F36109">
        <w:rPr>
          <w:rFonts w:ascii="Times New Roman" w:eastAsia="Times New Roman" w:hAnsi="Times New Roman" w:cs="Times New Roman"/>
          <w:color w:val="000000"/>
        </w:rPr>
        <w:t xml:space="preserve"> supported by the Joint SDG Fund for the 2030 Agenda.</w:t>
      </w:r>
    </w:p>
    <w:p w14:paraId="66A84C5A" w14:textId="77777777" w:rsidR="00D66A1D" w:rsidRPr="00F36109" w:rsidRDefault="00D66A1D" w:rsidP="00D66A1D">
      <w:pPr>
        <w:numPr>
          <w:ilvl w:val="0"/>
          <w:numId w:val="18"/>
        </w:numPr>
        <w:pBdr>
          <w:top w:val="nil"/>
          <w:left w:val="nil"/>
          <w:bottom w:val="nil"/>
          <w:right w:val="nil"/>
          <w:between w:val="nil"/>
        </w:pBdr>
        <w:tabs>
          <w:tab w:val="left" w:pos="360"/>
        </w:tabs>
        <w:spacing w:after="396" w:line="312" w:lineRule="auto"/>
        <w:ind w:left="360"/>
        <w:jc w:val="both"/>
        <w:rPr>
          <w:rFonts w:ascii="Times New Roman" w:hAnsi="Times New Roman" w:cs="Times New Roman"/>
        </w:rPr>
      </w:pPr>
      <w:r w:rsidRPr="00F36109">
        <w:rPr>
          <w:rFonts w:ascii="Times New Roman" w:eastAsia="Times New Roman" w:hAnsi="Times New Roman" w:cs="Times New Roman"/>
          <w:color w:val="000000"/>
          <w:u w:val="single"/>
        </w:rPr>
        <w:t xml:space="preserve">Joint </w:t>
      </w:r>
      <w:proofErr w:type="spellStart"/>
      <w:r w:rsidRPr="00F36109">
        <w:rPr>
          <w:rFonts w:ascii="Times New Roman" w:eastAsia="Times New Roman" w:hAnsi="Times New Roman" w:cs="Times New Roman"/>
          <w:color w:val="000000"/>
          <w:u w:val="single"/>
        </w:rPr>
        <w:t>Programme</w:t>
      </w:r>
      <w:proofErr w:type="spellEnd"/>
      <w:r w:rsidRPr="00F36109">
        <w:rPr>
          <w:rFonts w:ascii="Times New Roman" w:eastAsia="Times New Roman" w:hAnsi="Times New Roman" w:cs="Times New Roman"/>
          <w:color w:val="000000"/>
          <w:u w:val="single"/>
        </w:rPr>
        <w:t xml:space="preserve"> Steering Committee</w:t>
      </w:r>
      <w:r w:rsidRPr="00F36109">
        <w:rPr>
          <w:rFonts w:ascii="Times New Roman" w:eastAsia="Times New Roman" w:hAnsi="Times New Roman" w:cs="Times New Roman"/>
          <w:color w:val="000000"/>
        </w:rPr>
        <w:t xml:space="preserve">:  All joint </w:t>
      </w:r>
      <w:proofErr w:type="spellStart"/>
      <w:r w:rsidRPr="00F36109">
        <w:rPr>
          <w:rFonts w:ascii="Times New Roman" w:eastAsia="Times New Roman" w:hAnsi="Times New Roman" w:cs="Times New Roman"/>
          <w:color w:val="000000"/>
        </w:rPr>
        <w:t>programmes</w:t>
      </w:r>
      <w:proofErr w:type="spellEnd"/>
      <w:r w:rsidRPr="00F36109">
        <w:rPr>
          <w:rFonts w:ascii="Times New Roman" w:eastAsia="Times New Roman" w:hAnsi="Times New Roman" w:cs="Times New Roman"/>
          <w:color w:val="000000"/>
        </w:rPr>
        <w:t xml:space="preserve"> funded by the Joint SDG Fund for the 2030 Agenda are governed by the authority of a Joint </w:t>
      </w:r>
      <w:proofErr w:type="spellStart"/>
      <w:r w:rsidRPr="00F36109">
        <w:rPr>
          <w:rFonts w:ascii="Times New Roman" w:eastAsia="Times New Roman" w:hAnsi="Times New Roman" w:cs="Times New Roman"/>
          <w:color w:val="000000"/>
        </w:rPr>
        <w:t>Programme</w:t>
      </w:r>
      <w:proofErr w:type="spellEnd"/>
      <w:r w:rsidRPr="00F36109">
        <w:rPr>
          <w:rFonts w:ascii="Times New Roman" w:eastAsia="Times New Roman" w:hAnsi="Times New Roman" w:cs="Times New Roman"/>
          <w:color w:val="000000"/>
        </w:rPr>
        <w:t xml:space="preserve"> Steering Committee. The Steering Committee will be responsible for implementation, coordinating inputs, fiduciary and management oversight, and facilitating collaboration between PUNOs and host governments.  It will include senior managers of all signatories of the joint </w:t>
      </w:r>
      <w:proofErr w:type="spellStart"/>
      <w:r w:rsidRPr="00F36109">
        <w:rPr>
          <w:rFonts w:ascii="Times New Roman" w:eastAsia="Times New Roman" w:hAnsi="Times New Roman" w:cs="Times New Roman"/>
          <w:color w:val="000000"/>
        </w:rPr>
        <w:t>programme</w:t>
      </w:r>
      <w:proofErr w:type="spellEnd"/>
      <w:r w:rsidRPr="00F36109">
        <w:rPr>
          <w:rFonts w:ascii="Times New Roman" w:eastAsia="Times New Roman" w:hAnsi="Times New Roman" w:cs="Times New Roman"/>
          <w:color w:val="000000"/>
        </w:rPr>
        <w:t xml:space="preserve"> document.</w:t>
      </w:r>
    </w:p>
    <w:p w14:paraId="61860E8E" w14:textId="77777777" w:rsidR="00D66A1D" w:rsidRPr="00F36109" w:rsidRDefault="00D66A1D" w:rsidP="00D66A1D">
      <w:pPr>
        <w:tabs>
          <w:tab w:val="left" w:pos="360"/>
        </w:tabs>
        <w:spacing w:after="396" w:line="312" w:lineRule="auto"/>
        <w:jc w:val="both"/>
        <w:rPr>
          <w:rFonts w:ascii="Times New Roman" w:hAnsi="Times New Roman" w:cs="Times New Roman"/>
        </w:rPr>
      </w:pPr>
      <w:r w:rsidRPr="00F36109">
        <w:rPr>
          <w:rFonts w:ascii="Times New Roman" w:eastAsia="Times New Roman" w:hAnsi="Times New Roman" w:cs="Times New Roman"/>
        </w:rPr>
        <w:t xml:space="preserve">In order to improve alignment of funding at country level, </w:t>
      </w:r>
      <w:r w:rsidRPr="00F36109">
        <w:rPr>
          <w:rFonts w:ascii="Times New Roman" w:eastAsia="Cambria" w:hAnsi="Times New Roman" w:cs="Times New Roman"/>
        </w:rPr>
        <w:t>and to enable a new generation of Resident Coordinators to  shape country-based programming, aligned with the UNDAFs, UNCTs will be encouraged to set up a country-based SDG financing instrument (“Country level SDG Fund”), managed locally and in line with the Joint SDG Fund Theory of Change, that would allow RCs to mobilize flexibly deployable funding</w:t>
      </w:r>
      <w:r w:rsidRPr="00F36109">
        <w:rPr>
          <w:rFonts w:ascii="Times New Roman" w:eastAsia="Cambria" w:hAnsi="Times New Roman" w:cs="Times New Roman"/>
          <w:vertAlign w:val="superscript"/>
        </w:rPr>
        <w:footnoteReference w:id="4"/>
      </w:r>
      <w:r w:rsidRPr="00F36109">
        <w:rPr>
          <w:rFonts w:ascii="Times New Roman" w:eastAsia="Cambria" w:hAnsi="Times New Roman" w:cs="Times New Roman"/>
        </w:rPr>
        <w:t>.</w:t>
      </w:r>
    </w:p>
    <w:p w14:paraId="6EE95312" w14:textId="77777777" w:rsidR="00D66A1D" w:rsidRPr="00F36109" w:rsidRDefault="00D66A1D" w:rsidP="00D66A1D">
      <w:pPr>
        <w:pStyle w:val="Heading2"/>
        <w:jc w:val="both"/>
        <w:rPr>
          <w:rFonts w:ascii="Times New Roman" w:eastAsia="Times New Roman" w:hAnsi="Times New Roman" w:cs="Times New Roman"/>
        </w:rPr>
      </w:pPr>
      <w:bookmarkStart w:id="71" w:name="_Toc527975905"/>
      <w:bookmarkStart w:id="72" w:name="_Toc527976122"/>
      <w:bookmarkStart w:id="73" w:name="_Toc527976235"/>
      <w:bookmarkStart w:id="74" w:name="_Toc530577719"/>
      <w:r w:rsidRPr="00F36109">
        <w:rPr>
          <w:rFonts w:ascii="Times New Roman" w:eastAsia="Times New Roman" w:hAnsi="Times New Roman" w:cs="Times New Roman"/>
        </w:rPr>
        <w:t>4.3. Fund Administrator</w:t>
      </w:r>
      <w:bookmarkEnd w:id="71"/>
      <w:bookmarkEnd w:id="72"/>
      <w:bookmarkEnd w:id="73"/>
      <w:bookmarkEnd w:id="74"/>
      <w:r w:rsidRPr="00F36109">
        <w:rPr>
          <w:rFonts w:ascii="Times New Roman" w:eastAsia="Times New Roman" w:hAnsi="Times New Roman" w:cs="Times New Roman"/>
        </w:rPr>
        <w:t xml:space="preserve"> </w:t>
      </w:r>
    </w:p>
    <w:p w14:paraId="0824D28D"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Fund will be administered by the Multi-Partner Trust Fund Office (MPTF Office), acting as the Administrative Agent (AA) (</w:t>
      </w:r>
      <w:hyperlink r:id="rId12">
        <w:r w:rsidRPr="00F36109">
          <w:rPr>
            <w:rFonts w:ascii="Times New Roman" w:eastAsia="Times New Roman" w:hAnsi="Times New Roman" w:cs="Times New Roman"/>
            <w:color w:val="0000FF"/>
            <w:u w:val="single"/>
          </w:rPr>
          <w:t>http://mptf.undp.org</w:t>
        </w:r>
      </w:hyperlink>
      <w:r w:rsidRPr="00F36109">
        <w:rPr>
          <w:rFonts w:ascii="Times New Roman" w:eastAsia="Times New Roman" w:hAnsi="Times New Roman" w:cs="Times New Roman"/>
        </w:rPr>
        <w:t>). The AA will be entitled to allocate an administrative fee of one percent (1%) of the amount contributed by each donor, to meet the costs of performing the AA’s standard functions as described in the MOU.</w:t>
      </w:r>
    </w:p>
    <w:p w14:paraId="07AE2C30"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MPTF Office is responsible for Fund design and set-up, maintenance of the Fund account, receipt of donor contributions, and disbursement of funds upon instructions from the Operational Steering Committee, and provision of periodic consolidated reports.</w:t>
      </w:r>
    </w:p>
    <w:p w14:paraId="3FE1F36C"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key responsibilities of the Joint SDG Fund Administrative Agent include: </w:t>
      </w:r>
    </w:p>
    <w:p w14:paraId="5A4442BC" w14:textId="77777777" w:rsidR="00D66A1D" w:rsidRPr="00F36109" w:rsidRDefault="00D66A1D" w:rsidP="00D66A1D">
      <w:pPr>
        <w:numPr>
          <w:ilvl w:val="0"/>
          <w:numId w:val="17"/>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Concluding a Memorandum of Understanding (MOU) with the Participating UN </w:t>
      </w:r>
      <w:proofErr w:type="spellStart"/>
      <w:r w:rsidRPr="00F36109">
        <w:rPr>
          <w:rFonts w:ascii="Times New Roman" w:eastAsia="Times New Roman" w:hAnsi="Times New Roman" w:cs="Times New Roman"/>
          <w:color w:val="000000"/>
        </w:rPr>
        <w:t>Organisations</w:t>
      </w:r>
      <w:proofErr w:type="spellEnd"/>
      <w:r w:rsidRPr="00F36109">
        <w:rPr>
          <w:rFonts w:ascii="Times New Roman" w:eastAsia="Times New Roman" w:hAnsi="Times New Roman" w:cs="Times New Roman"/>
          <w:color w:val="000000"/>
        </w:rPr>
        <w:t xml:space="preserve"> and Standard Administrative Arrangements (SAAs) with contributing partners.  </w:t>
      </w:r>
    </w:p>
    <w:p w14:paraId="07C11199" w14:textId="77777777" w:rsidR="00D66A1D" w:rsidRPr="00F36109" w:rsidRDefault="00D66A1D" w:rsidP="00D66A1D">
      <w:pPr>
        <w:numPr>
          <w:ilvl w:val="0"/>
          <w:numId w:val="17"/>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Receipt, administration, and disbursement of funds to PUNOs according to the instructions of the Operational Steering Committee, financial reporting and consolidation. </w:t>
      </w:r>
    </w:p>
    <w:p w14:paraId="14CCD242" w14:textId="77777777" w:rsidR="00D66A1D" w:rsidRPr="00F36109" w:rsidRDefault="00D66A1D" w:rsidP="00D66A1D">
      <w:pPr>
        <w:numPr>
          <w:ilvl w:val="0"/>
          <w:numId w:val="17"/>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lastRenderedPageBreak/>
        <w:t>Disbursal of funds to the Secretariat for direct costs based on the decision of the Operational Steering Committee.</w:t>
      </w:r>
    </w:p>
    <w:p w14:paraId="10AADFE2" w14:textId="77777777" w:rsidR="00D66A1D" w:rsidRPr="00F36109" w:rsidRDefault="00D66A1D" w:rsidP="00D66A1D">
      <w:pPr>
        <w:numPr>
          <w:ilvl w:val="0"/>
          <w:numId w:val="17"/>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Holding the Joint SDG Fund in the MPTF ledger account until such time that the Operational Steering Committee directs the Fund Administrator for disbursement. The amount distributed to the specific fund, project or </w:t>
      </w:r>
      <w:proofErr w:type="spellStart"/>
      <w:r w:rsidRPr="00F36109">
        <w:rPr>
          <w:rFonts w:ascii="Times New Roman" w:eastAsia="Times New Roman" w:hAnsi="Times New Roman" w:cs="Times New Roman"/>
          <w:color w:val="000000"/>
        </w:rPr>
        <w:t>programme</w:t>
      </w:r>
      <w:proofErr w:type="spellEnd"/>
      <w:r w:rsidRPr="00F36109">
        <w:rPr>
          <w:rFonts w:ascii="Times New Roman" w:eastAsia="Times New Roman" w:hAnsi="Times New Roman" w:cs="Times New Roman"/>
          <w:color w:val="000000"/>
        </w:rPr>
        <w:t xml:space="preserve"> shall be communicated by the Operational Steering Committee to the Fund Administrator. </w:t>
      </w:r>
    </w:p>
    <w:p w14:paraId="065B9388" w14:textId="77777777" w:rsidR="00D66A1D" w:rsidRPr="00F36109" w:rsidRDefault="00D66A1D" w:rsidP="00D66A1D">
      <w:pPr>
        <w:numPr>
          <w:ilvl w:val="0"/>
          <w:numId w:val="17"/>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Preparation of and communication to the Strategic Advisory Group and Operational Steering Committee, through the Secretariat, the annual and final Fund Source and Use of Funds’ statements.</w:t>
      </w:r>
    </w:p>
    <w:p w14:paraId="02378541" w14:textId="77777777" w:rsidR="00D66A1D" w:rsidRPr="00F36109" w:rsidRDefault="00D66A1D" w:rsidP="00D66A1D">
      <w:pPr>
        <w:numPr>
          <w:ilvl w:val="0"/>
          <w:numId w:val="17"/>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Notifying the Strategic Advisory Group and Operational Steering Committee and donors on the availability of the Consolidated Financial and Narrative Reports and Sources and Use of Fund’s statements. </w:t>
      </w:r>
    </w:p>
    <w:p w14:paraId="26FFAE9C" w14:textId="77777777" w:rsidR="00D66A1D" w:rsidRPr="00F36109" w:rsidRDefault="00D66A1D" w:rsidP="00D66A1D">
      <w:pPr>
        <w:numPr>
          <w:ilvl w:val="0"/>
          <w:numId w:val="17"/>
        </w:numPr>
        <w:pBdr>
          <w:top w:val="nil"/>
          <w:left w:val="nil"/>
          <w:bottom w:val="nil"/>
          <w:right w:val="nil"/>
          <w:between w:val="nil"/>
        </w:pBdr>
        <w:spacing w:after="396"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Undertaking the financial closure of the Joint SDG Fund.</w:t>
      </w:r>
    </w:p>
    <w:p w14:paraId="39DA5FA8" w14:textId="77777777" w:rsidR="00D66A1D" w:rsidRPr="00F36109" w:rsidRDefault="00D66A1D" w:rsidP="00D66A1D">
      <w:pPr>
        <w:pStyle w:val="Heading2"/>
        <w:jc w:val="both"/>
        <w:rPr>
          <w:rFonts w:ascii="Times New Roman" w:eastAsia="Times New Roman" w:hAnsi="Times New Roman" w:cs="Times New Roman"/>
        </w:rPr>
      </w:pPr>
      <w:bookmarkStart w:id="75" w:name="_Toc527975906"/>
      <w:bookmarkStart w:id="76" w:name="_Toc527976123"/>
      <w:bookmarkStart w:id="77" w:name="_Toc527976236"/>
      <w:bookmarkStart w:id="78" w:name="_Toc530577720"/>
      <w:r w:rsidRPr="00F36109">
        <w:rPr>
          <w:rFonts w:ascii="Times New Roman" w:eastAsia="Times New Roman" w:hAnsi="Times New Roman" w:cs="Times New Roman"/>
        </w:rPr>
        <w:t>4.4. The Participating UN Organizations (PUNOs)</w:t>
      </w:r>
      <w:bookmarkEnd w:id="75"/>
      <w:bookmarkEnd w:id="76"/>
      <w:bookmarkEnd w:id="77"/>
      <w:bookmarkEnd w:id="78"/>
    </w:p>
    <w:p w14:paraId="0994775E"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Participating UN Organizations are responsible for providing inputs to the review of concept notes and full project proposals, and for implementing activities set forth in approved proposals.</w:t>
      </w:r>
    </w:p>
    <w:p w14:paraId="1FB401A1"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Participating UN Organizations sign a Memorandum of Understanding with the MPTF Office.</w:t>
      </w:r>
    </w:p>
    <w:p w14:paraId="57AF44F8"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Each Participating UN Organization shall assume full programmatic and financial accountability for the funds disbursed to it by the Administrative Agent. Such funds will be administered by each UN Agency, Fund, and </w:t>
      </w:r>
      <w:proofErr w:type="spellStart"/>
      <w:r w:rsidRPr="00F36109">
        <w:rPr>
          <w:rFonts w:ascii="Times New Roman" w:eastAsia="Times New Roman" w:hAnsi="Times New Roman" w:cs="Times New Roman"/>
        </w:rPr>
        <w:t>Programme</w:t>
      </w:r>
      <w:proofErr w:type="spellEnd"/>
      <w:r w:rsidRPr="00F36109">
        <w:rPr>
          <w:rFonts w:ascii="Times New Roman" w:eastAsia="Times New Roman" w:hAnsi="Times New Roman" w:cs="Times New Roman"/>
        </w:rPr>
        <w:t xml:space="preserve"> in accordance with its own regulations, rules, directives and procedures. Each Participating Organization shall establish a separate ledger account for the receipt and administration of the funds disbursed to it by the Administrative Agent.  </w:t>
      </w:r>
    </w:p>
    <w:p w14:paraId="79F5C2DE" w14:textId="77777777" w:rsidR="00D66A1D" w:rsidRPr="00F36109" w:rsidRDefault="00D66A1D" w:rsidP="00D66A1D">
      <w:pPr>
        <w:spacing w:after="396" w:line="312" w:lineRule="auto"/>
        <w:jc w:val="both"/>
        <w:rPr>
          <w:rFonts w:ascii="Times New Roman" w:eastAsia="Times New Roman" w:hAnsi="Times New Roman" w:cs="Times New Roman"/>
          <w:i/>
          <w:sz w:val="24"/>
          <w:szCs w:val="24"/>
        </w:rPr>
      </w:pPr>
      <w:r w:rsidRPr="00F36109">
        <w:rPr>
          <w:rFonts w:ascii="Times New Roman" w:eastAsia="Times New Roman" w:hAnsi="Times New Roman" w:cs="Times New Roman"/>
        </w:rPr>
        <w:t xml:space="preserve">Indirect costs of the Participating Organizations recovered through </w:t>
      </w:r>
      <w:proofErr w:type="spellStart"/>
      <w:r w:rsidRPr="00F36109">
        <w:rPr>
          <w:rFonts w:ascii="Times New Roman" w:eastAsia="Times New Roman" w:hAnsi="Times New Roman" w:cs="Times New Roman"/>
        </w:rPr>
        <w:t>programme</w:t>
      </w:r>
      <w:proofErr w:type="spellEnd"/>
      <w:r w:rsidRPr="00F36109">
        <w:rPr>
          <w:rFonts w:ascii="Times New Roman" w:eastAsia="Times New Roman" w:hAnsi="Times New Roman" w:cs="Times New Roman"/>
        </w:rPr>
        <w:t xml:space="preserve"> support costs will be 7%. All other costs incurred by each Participating Organization in carrying out the activities for which it is responsible under the Fund will be recovered as direct costs.</w:t>
      </w:r>
    </w:p>
    <w:p w14:paraId="6441CA9D" w14:textId="77777777" w:rsidR="00D66A1D" w:rsidRPr="00F36109" w:rsidRDefault="00D66A1D" w:rsidP="00D66A1D">
      <w:pPr>
        <w:pStyle w:val="Heading1"/>
        <w:jc w:val="both"/>
        <w:rPr>
          <w:rFonts w:ascii="Times New Roman" w:eastAsia="Times New Roman" w:hAnsi="Times New Roman" w:cs="Times New Roman"/>
        </w:rPr>
      </w:pPr>
      <w:bookmarkStart w:id="79" w:name="_Toc530577721"/>
      <w:r w:rsidRPr="00F36109">
        <w:rPr>
          <w:rFonts w:ascii="Times New Roman" w:eastAsia="Times New Roman" w:hAnsi="Times New Roman" w:cs="Times New Roman"/>
        </w:rPr>
        <w:t>5. FUND IMPLEMENTATION</w:t>
      </w:r>
      <w:bookmarkEnd w:id="79"/>
    </w:p>
    <w:p w14:paraId="4B06CE90" w14:textId="77777777" w:rsidR="00D66A1D" w:rsidRPr="00F36109" w:rsidRDefault="00D66A1D" w:rsidP="00D66A1D">
      <w:pPr>
        <w:pStyle w:val="Heading2"/>
        <w:jc w:val="both"/>
        <w:rPr>
          <w:rFonts w:ascii="Times New Roman" w:eastAsia="Times New Roman" w:hAnsi="Times New Roman" w:cs="Times New Roman"/>
        </w:rPr>
      </w:pPr>
      <w:bookmarkStart w:id="80" w:name="_Toc527975908"/>
      <w:bookmarkStart w:id="81" w:name="_Toc527976125"/>
      <w:bookmarkStart w:id="82" w:name="_Toc527976238"/>
      <w:bookmarkStart w:id="83" w:name="_Toc530577722"/>
      <w:r w:rsidRPr="00F36109">
        <w:rPr>
          <w:rFonts w:ascii="Times New Roman" w:eastAsia="Times New Roman" w:hAnsi="Times New Roman" w:cs="Times New Roman"/>
        </w:rPr>
        <w:t>5.1. Principles of fund implementation</w:t>
      </w:r>
      <w:bookmarkEnd w:id="80"/>
      <w:bookmarkEnd w:id="81"/>
      <w:bookmarkEnd w:id="82"/>
      <w:bookmarkEnd w:id="83"/>
    </w:p>
    <w:p w14:paraId="5F2F48DF"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Joint SDG Fund will be open to all UNCTs. Proposals will be submitted by UN country teams through the UN Resident Coordinator on behalf of the participating agencies based on planned results reflected in the UNDAF. The Joint SDG Fund may also fund global and multi-country initiatives that directly contribute to the fund results matrix. Fund implementation will be guided by the following principles:</w:t>
      </w:r>
    </w:p>
    <w:p w14:paraId="340B75B1" w14:textId="77777777" w:rsidR="00D66A1D" w:rsidRPr="00F36109" w:rsidRDefault="00D66A1D" w:rsidP="00D66A1D">
      <w:pPr>
        <w:numPr>
          <w:ilvl w:val="0"/>
          <w:numId w:val="19"/>
        </w:numPr>
        <w:pBdr>
          <w:top w:val="nil"/>
          <w:left w:val="nil"/>
          <w:bottom w:val="nil"/>
          <w:right w:val="nil"/>
          <w:between w:val="nil"/>
        </w:pBdr>
        <w:spacing w:after="396" w:line="312" w:lineRule="auto"/>
        <w:jc w:val="both"/>
        <w:rPr>
          <w:rFonts w:ascii="Times New Roman" w:hAnsi="Times New Roman" w:cs="Times New Roman"/>
        </w:rPr>
      </w:pPr>
      <w:r w:rsidRPr="00F36109">
        <w:rPr>
          <w:rFonts w:ascii="Times New Roman" w:eastAsia="Times New Roman" w:hAnsi="Times New Roman" w:cs="Times New Roman"/>
          <w:color w:val="000000"/>
          <w:u w:val="single"/>
        </w:rPr>
        <w:t>Funding eligibility</w:t>
      </w:r>
      <w:r w:rsidRPr="00F36109">
        <w:rPr>
          <w:rFonts w:ascii="Times New Roman" w:eastAsia="Times New Roman" w:hAnsi="Times New Roman" w:cs="Times New Roman"/>
          <w:color w:val="000000"/>
        </w:rPr>
        <w:t xml:space="preserve">:  Funding may be provided to any country or thematic area, </w:t>
      </w:r>
      <w:proofErr w:type="spellStart"/>
      <w:r w:rsidRPr="00F36109">
        <w:rPr>
          <w:rFonts w:ascii="Times New Roman" w:eastAsia="Times New Roman" w:hAnsi="Times New Roman" w:cs="Times New Roman"/>
          <w:color w:val="000000"/>
        </w:rPr>
        <w:t>recognising</w:t>
      </w:r>
      <w:proofErr w:type="spellEnd"/>
      <w:r w:rsidRPr="00F36109">
        <w:rPr>
          <w:rFonts w:ascii="Times New Roman" w:eastAsia="Times New Roman" w:hAnsi="Times New Roman" w:cs="Times New Roman"/>
          <w:color w:val="000000"/>
        </w:rPr>
        <w:t xml:space="preserve"> that the UN’s policy and financing expertise can add value in a wide range of country settings. </w:t>
      </w:r>
    </w:p>
    <w:p w14:paraId="36AEE99C" w14:textId="77777777" w:rsidR="00D66A1D" w:rsidRPr="00F36109" w:rsidRDefault="00D66A1D" w:rsidP="00D66A1D">
      <w:pPr>
        <w:numPr>
          <w:ilvl w:val="0"/>
          <w:numId w:val="19"/>
        </w:numPr>
        <w:pBdr>
          <w:top w:val="nil"/>
          <w:left w:val="nil"/>
          <w:bottom w:val="nil"/>
          <w:right w:val="nil"/>
          <w:between w:val="nil"/>
        </w:pBdr>
        <w:spacing w:after="396" w:line="312" w:lineRule="auto"/>
        <w:jc w:val="both"/>
        <w:rPr>
          <w:rFonts w:ascii="Times New Roman" w:hAnsi="Times New Roman" w:cs="Times New Roman"/>
        </w:rPr>
      </w:pPr>
      <w:r w:rsidRPr="00F36109">
        <w:rPr>
          <w:rFonts w:ascii="Times New Roman" w:eastAsia="Times New Roman" w:hAnsi="Times New Roman" w:cs="Times New Roman"/>
          <w:color w:val="000000"/>
          <w:u w:val="single"/>
        </w:rPr>
        <w:lastRenderedPageBreak/>
        <w:t>Development effectiveness, national priorities and UNDAF-relevance</w:t>
      </w:r>
      <w:r w:rsidRPr="00F36109">
        <w:rPr>
          <w:rFonts w:ascii="Times New Roman" w:eastAsia="Times New Roman" w:hAnsi="Times New Roman" w:cs="Times New Roman"/>
          <w:color w:val="000000"/>
        </w:rPr>
        <w:t>: The Joint SDG Fund will leverage the UNDAF process, particularly supporting UNDAF rollout countries that require investment in priority areas and support in SDG implementation.  All proposals are to be aligned with national priorities and the UNDAF, and coordinated with other relevant development activities.</w:t>
      </w:r>
    </w:p>
    <w:p w14:paraId="6F44C522" w14:textId="77777777" w:rsidR="00D66A1D" w:rsidRPr="00F36109" w:rsidRDefault="00D66A1D" w:rsidP="00D66A1D">
      <w:pPr>
        <w:numPr>
          <w:ilvl w:val="0"/>
          <w:numId w:val="19"/>
        </w:numPr>
        <w:pBdr>
          <w:top w:val="nil"/>
          <w:left w:val="nil"/>
          <w:bottom w:val="nil"/>
          <w:right w:val="nil"/>
          <w:between w:val="nil"/>
        </w:pBdr>
        <w:spacing w:after="396" w:line="312" w:lineRule="auto"/>
        <w:jc w:val="both"/>
        <w:rPr>
          <w:rFonts w:ascii="Times New Roman" w:hAnsi="Times New Roman" w:cs="Times New Roman"/>
        </w:rPr>
      </w:pPr>
      <w:r w:rsidRPr="00F36109">
        <w:rPr>
          <w:rFonts w:ascii="Times New Roman" w:eastAsia="Times New Roman" w:hAnsi="Times New Roman" w:cs="Times New Roman"/>
          <w:color w:val="000000"/>
          <w:u w:val="single"/>
        </w:rPr>
        <w:t>Competitive funding allocation</w:t>
      </w:r>
      <w:r w:rsidRPr="00F36109">
        <w:rPr>
          <w:rFonts w:ascii="Times New Roman" w:eastAsia="Times New Roman" w:hAnsi="Times New Roman" w:cs="Times New Roman"/>
          <w:color w:val="000000"/>
        </w:rPr>
        <w:t xml:space="preserve">:  Where appropriate, funding will be awarded on a ‘competitive’ basis, with proposals being assessed based on their relevance and quality, with special attention on inter-sectoral and catalytic elements. </w:t>
      </w:r>
    </w:p>
    <w:p w14:paraId="3C4BA3C9" w14:textId="77777777" w:rsidR="00D66A1D" w:rsidRPr="00F36109" w:rsidRDefault="00D66A1D" w:rsidP="00D66A1D">
      <w:pPr>
        <w:numPr>
          <w:ilvl w:val="0"/>
          <w:numId w:val="19"/>
        </w:numPr>
        <w:pBdr>
          <w:top w:val="nil"/>
          <w:left w:val="nil"/>
          <w:bottom w:val="nil"/>
          <w:right w:val="nil"/>
          <w:between w:val="nil"/>
        </w:pBdr>
        <w:spacing w:after="396" w:line="312" w:lineRule="auto"/>
        <w:jc w:val="both"/>
        <w:rPr>
          <w:rFonts w:ascii="Times New Roman" w:hAnsi="Times New Roman" w:cs="Times New Roman"/>
        </w:rPr>
      </w:pPr>
      <w:r w:rsidRPr="00F36109">
        <w:rPr>
          <w:rFonts w:ascii="Times New Roman" w:eastAsia="Times New Roman" w:hAnsi="Times New Roman" w:cs="Times New Roman"/>
          <w:color w:val="000000"/>
          <w:u w:val="single"/>
        </w:rPr>
        <w:t>Multi-year funding</w:t>
      </w:r>
      <w:r w:rsidRPr="00F36109">
        <w:rPr>
          <w:rFonts w:ascii="Times New Roman" w:eastAsia="Times New Roman" w:hAnsi="Times New Roman" w:cs="Times New Roman"/>
          <w:color w:val="000000"/>
        </w:rPr>
        <w:t xml:space="preserve">: The Joint SDG Fund will support multi-year initiatives to give sufficient time for partnerships to be established, key stakeholders to be engaged, and policy work and innovative financing efforts to demonstrate results.  </w:t>
      </w:r>
    </w:p>
    <w:p w14:paraId="3CD7285E" w14:textId="77777777" w:rsidR="00D66A1D" w:rsidRPr="00F36109" w:rsidRDefault="00D66A1D" w:rsidP="00D66A1D">
      <w:pPr>
        <w:numPr>
          <w:ilvl w:val="0"/>
          <w:numId w:val="19"/>
        </w:numPr>
        <w:pBdr>
          <w:top w:val="nil"/>
          <w:left w:val="nil"/>
          <w:bottom w:val="nil"/>
          <w:right w:val="nil"/>
          <w:between w:val="nil"/>
        </w:pBdr>
        <w:spacing w:after="396" w:line="312" w:lineRule="auto"/>
        <w:jc w:val="both"/>
        <w:rPr>
          <w:rFonts w:ascii="Times New Roman" w:hAnsi="Times New Roman" w:cs="Times New Roman"/>
        </w:rPr>
      </w:pPr>
      <w:r w:rsidRPr="00F36109">
        <w:rPr>
          <w:rFonts w:ascii="Times New Roman" w:eastAsia="Times New Roman" w:hAnsi="Times New Roman" w:cs="Times New Roman"/>
          <w:color w:val="000000"/>
          <w:u w:val="single"/>
        </w:rPr>
        <w:t>Multi-level funding</w:t>
      </w:r>
      <w:r w:rsidRPr="00F36109">
        <w:rPr>
          <w:rFonts w:ascii="Times New Roman" w:eastAsia="Times New Roman" w:hAnsi="Times New Roman" w:cs="Times New Roman"/>
          <w:color w:val="000000"/>
        </w:rPr>
        <w:t xml:space="preserve">: While the fund is managed and disbursed globally, and </w:t>
      </w:r>
      <w:proofErr w:type="spellStart"/>
      <w:r w:rsidRPr="00F36109">
        <w:rPr>
          <w:rFonts w:ascii="Times New Roman" w:eastAsia="Times New Roman" w:hAnsi="Times New Roman" w:cs="Times New Roman"/>
          <w:color w:val="000000"/>
        </w:rPr>
        <w:t>unearmakred</w:t>
      </w:r>
      <w:proofErr w:type="spellEnd"/>
      <w:r w:rsidRPr="00F36109">
        <w:rPr>
          <w:rFonts w:ascii="Times New Roman" w:eastAsia="Times New Roman" w:hAnsi="Times New Roman" w:cs="Times New Roman"/>
          <w:color w:val="000000"/>
        </w:rPr>
        <w:t xml:space="preserve"> contributions are preferred, donors may earmark funding at the thematic or regional level.</w:t>
      </w:r>
    </w:p>
    <w:p w14:paraId="25346987" w14:textId="77777777" w:rsidR="00D66A1D" w:rsidRPr="00F36109" w:rsidRDefault="00D66A1D" w:rsidP="00D66A1D">
      <w:pPr>
        <w:numPr>
          <w:ilvl w:val="0"/>
          <w:numId w:val="19"/>
        </w:numPr>
        <w:pBdr>
          <w:top w:val="nil"/>
          <w:left w:val="nil"/>
          <w:bottom w:val="nil"/>
          <w:right w:val="nil"/>
          <w:between w:val="nil"/>
        </w:pBdr>
        <w:spacing w:after="396" w:line="312" w:lineRule="auto"/>
        <w:jc w:val="both"/>
        <w:rPr>
          <w:rFonts w:ascii="Times New Roman" w:hAnsi="Times New Roman" w:cs="Times New Roman"/>
        </w:rPr>
      </w:pPr>
      <w:r w:rsidRPr="00F36109">
        <w:rPr>
          <w:rFonts w:ascii="Times New Roman" w:eastAsia="Times New Roman" w:hAnsi="Times New Roman" w:cs="Times New Roman"/>
          <w:color w:val="000000"/>
          <w:u w:val="single"/>
        </w:rPr>
        <w:t>Fund management and implementation support</w:t>
      </w:r>
      <w:r w:rsidRPr="00F36109">
        <w:rPr>
          <w:rFonts w:ascii="Times New Roman" w:eastAsia="Times New Roman" w:hAnsi="Times New Roman" w:cs="Times New Roman"/>
          <w:color w:val="000000"/>
        </w:rPr>
        <w:t>: Projects receiving funding will benefit from support in project design, implementation, monitoring and reporting from the Joint SDG Fund Secretariat, as well as from the policy advisory services of PUNOs.</w:t>
      </w:r>
    </w:p>
    <w:p w14:paraId="66C12F8A" w14:textId="77777777" w:rsidR="00D66A1D" w:rsidRPr="00F36109" w:rsidRDefault="00D66A1D" w:rsidP="00D66A1D">
      <w:pPr>
        <w:numPr>
          <w:ilvl w:val="0"/>
          <w:numId w:val="19"/>
        </w:numPr>
        <w:pBdr>
          <w:top w:val="nil"/>
          <w:left w:val="nil"/>
          <w:bottom w:val="nil"/>
          <w:right w:val="nil"/>
          <w:between w:val="nil"/>
        </w:pBdr>
        <w:spacing w:after="396" w:line="312" w:lineRule="auto"/>
        <w:jc w:val="both"/>
        <w:rPr>
          <w:rFonts w:ascii="Times New Roman" w:hAnsi="Times New Roman" w:cs="Times New Roman"/>
        </w:rPr>
      </w:pPr>
      <w:r w:rsidRPr="00F36109">
        <w:rPr>
          <w:rFonts w:ascii="Times New Roman" w:eastAsia="Times New Roman" w:hAnsi="Times New Roman" w:cs="Times New Roman"/>
          <w:color w:val="000000"/>
          <w:u w:val="single"/>
        </w:rPr>
        <w:t xml:space="preserve">Joint </w:t>
      </w:r>
      <w:proofErr w:type="spellStart"/>
      <w:r w:rsidRPr="00F36109">
        <w:rPr>
          <w:rFonts w:ascii="Times New Roman" w:eastAsia="Times New Roman" w:hAnsi="Times New Roman" w:cs="Times New Roman"/>
          <w:color w:val="000000"/>
          <w:u w:val="single"/>
        </w:rPr>
        <w:t>programmes</w:t>
      </w:r>
      <w:proofErr w:type="spellEnd"/>
      <w:r w:rsidRPr="00F36109">
        <w:rPr>
          <w:rFonts w:ascii="Times New Roman" w:eastAsia="Times New Roman" w:hAnsi="Times New Roman" w:cs="Times New Roman"/>
          <w:color w:val="000000"/>
        </w:rPr>
        <w:t xml:space="preserve">: Activities supported by the Joint SDG Fund are expected to be implemented through joint </w:t>
      </w:r>
      <w:proofErr w:type="spellStart"/>
      <w:r w:rsidRPr="00F36109">
        <w:rPr>
          <w:rFonts w:ascii="Times New Roman" w:eastAsia="Times New Roman" w:hAnsi="Times New Roman" w:cs="Times New Roman"/>
          <w:color w:val="000000"/>
        </w:rPr>
        <w:t>programmes</w:t>
      </w:r>
      <w:proofErr w:type="spellEnd"/>
      <w:r w:rsidRPr="00F36109">
        <w:rPr>
          <w:rFonts w:ascii="Times New Roman" w:eastAsia="Times New Roman" w:hAnsi="Times New Roman" w:cs="Times New Roman"/>
          <w:color w:val="000000"/>
        </w:rPr>
        <w:t xml:space="preserve">, with two or more PUNOs (unless this is not feasible, due to country-specific conditions) and meet criteria set forth by the Strategic Advisory Group and Operational Steering Committee (note: unless it is not feasible due to country-specific conditions, joint </w:t>
      </w:r>
      <w:proofErr w:type="spellStart"/>
      <w:r w:rsidRPr="00F36109">
        <w:rPr>
          <w:rFonts w:ascii="Times New Roman" w:eastAsia="Times New Roman" w:hAnsi="Times New Roman" w:cs="Times New Roman"/>
          <w:color w:val="000000"/>
        </w:rPr>
        <w:t>programmes</w:t>
      </w:r>
      <w:proofErr w:type="spellEnd"/>
      <w:r w:rsidRPr="00F36109">
        <w:rPr>
          <w:rFonts w:ascii="Times New Roman" w:eastAsia="Times New Roman" w:hAnsi="Times New Roman" w:cs="Times New Roman"/>
          <w:color w:val="000000"/>
        </w:rPr>
        <w:t xml:space="preserve"> should be implemented following the UNDG guideline note on Joint </w:t>
      </w:r>
      <w:proofErr w:type="spellStart"/>
      <w:r w:rsidRPr="00F36109">
        <w:rPr>
          <w:rFonts w:ascii="Times New Roman" w:eastAsia="Times New Roman" w:hAnsi="Times New Roman" w:cs="Times New Roman"/>
          <w:color w:val="000000"/>
        </w:rPr>
        <w:t>Programmes</w:t>
      </w:r>
      <w:proofErr w:type="spellEnd"/>
      <w:r w:rsidRPr="00F36109">
        <w:rPr>
          <w:rFonts w:ascii="Times New Roman" w:eastAsia="Times New Roman" w:hAnsi="Times New Roman" w:cs="Times New Roman"/>
          <w:color w:val="000000"/>
        </w:rPr>
        <w:t>).</w:t>
      </w:r>
    </w:p>
    <w:p w14:paraId="1C49B69F" w14:textId="77777777" w:rsidR="00D66A1D" w:rsidRPr="00F36109" w:rsidRDefault="00D66A1D" w:rsidP="00D66A1D">
      <w:pPr>
        <w:pStyle w:val="Heading2"/>
        <w:jc w:val="both"/>
        <w:rPr>
          <w:rFonts w:ascii="Times New Roman" w:eastAsia="Times New Roman" w:hAnsi="Times New Roman" w:cs="Times New Roman"/>
        </w:rPr>
      </w:pPr>
      <w:bookmarkStart w:id="84" w:name="_Toc527975909"/>
      <w:bookmarkStart w:id="85" w:name="_Toc527976126"/>
      <w:bookmarkStart w:id="86" w:name="_Toc527976239"/>
      <w:bookmarkStart w:id="87" w:name="_Toc530577723"/>
      <w:r w:rsidRPr="00F36109">
        <w:rPr>
          <w:rFonts w:ascii="Times New Roman" w:eastAsia="Times New Roman" w:hAnsi="Times New Roman" w:cs="Times New Roman"/>
        </w:rPr>
        <w:t>5.2. Project Approval Cycle</w:t>
      </w:r>
      <w:bookmarkEnd w:id="84"/>
      <w:bookmarkEnd w:id="85"/>
      <w:bookmarkEnd w:id="86"/>
      <w:bookmarkEnd w:id="87"/>
    </w:p>
    <w:p w14:paraId="52EFC468" w14:textId="77777777" w:rsidR="00D66A1D" w:rsidRPr="00F36109" w:rsidRDefault="00D66A1D" w:rsidP="006E6BAE">
      <w:pPr>
        <w:pBdr>
          <w:top w:val="nil"/>
          <w:left w:val="nil"/>
          <w:bottom w:val="nil"/>
          <w:right w:val="nil"/>
          <w:between w:val="nil"/>
        </w:pBdr>
        <w:spacing w:after="0"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xml:space="preserve">The Joint SDG Fund application process will start with the issuance of a “call for concept notes” from the Strategic Advisory Group through the Secretariat. </w:t>
      </w:r>
    </w:p>
    <w:p w14:paraId="534EB108" w14:textId="77777777" w:rsidR="00D66A1D" w:rsidRPr="00F36109" w:rsidRDefault="00D66A1D" w:rsidP="00D66A1D">
      <w:pPr>
        <w:pBdr>
          <w:top w:val="nil"/>
          <w:left w:val="nil"/>
          <w:bottom w:val="nil"/>
          <w:right w:val="nil"/>
          <w:between w:val="nil"/>
        </w:pBdr>
        <w:spacing w:after="0" w:line="312" w:lineRule="auto"/>
        <w:ind w:hanging="450"/>
        <w:jc w:val="both"/>
        <w:rPr>
          <w:rFonts w:ascii="Times New Roman" w:eastAsia="Times New Roman" w:hAnsi="Times New Roman" w:cs="Times New Roman"/>
          <w:color w:val="000000"/>
        </w:rPr>
      </w:pPr>
    </w:p>
    <w:p w14:paraId="0CEA654A" w14:textId="77777777" w:rsidR="00D66A1D" w:rsidRPr="00F36109" w:rsidRDefault="00D66A1D" w:rsidP="006E6BAE">
      <w:pPr>
        <w:pBdr>
          <w:top w:val="nil"/>
          <w:left w:val="nil"/>
          <w:bottom w:val="nil"/>
          <w:right w:val="nil"/>
          <w:between w:val="nil"/>
        </w:pBdr>
        <w:spacing w:after="0"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xml:space="preserve">UN Resident Coordinators may submit a concept note to the Secretariat.  When appropriate proposals will be solicited through a competitive funding round methodology.  Concept note submissions can also include a request for complementary seed funding to develop a full project document. The concept note will outline the idea for the project and its link to UNDAF outcomes. Upon review and selection of the concept note by the Strategic Advisory Group or their delegate, UNCTs will have six months to submit the full project document which should also include a robust risk assessment, and a risk log to manage anticipated exigencies. The Fund Secretariat and PUNOs will be available to support those selected UNCTs with the development of the final project document, in line with the objectives of the Fund, the National Development Plan, the UNDAF and the SDGs.  </w:t>
      </w:r>
    </w:p>
    <w:p w14:paraId="173C7225" w14:textId="77777777" w:rsidR="00D66A1D" w:rsidRPr="00F36109" w:rsidRDefault="00D66A1D" w:rsidP="00D66A1D">
      <w:pPr>
        <w:pBdr>
          <w:top w:val="nil"/>
          <w:left w:val="nil"/>
          <w:bottom w:val="nil"/>
          <w:right w:val="nil"/>
          <w:between w:val="nil"/>
        </w:pBdr>
        <w:spacing w:after="0" w:line="312" w:lineRule="auto"/>
        <w:ind w:hanging="450"/>
        <w:jc w:val="both"/>
        <w:rPr>
          <w:rFonts w:ascii="Times New Roman" w:eastAsia="Times New Roman" w:hAnsi="Times New Roman" w:cs="Times New Roman"/>
          <w:color w:val="000000"/>
        </w:rPr>
      </w:pPr>
    </w:p>
    <w:p w14:paraId="04F3BA01" w14:textId="77777777" w:rsidR="00D66A1D" w:rsidRPr="00F36109" w:rsidRDefault="00D66A1D" w:rsidP="00AC4D97">
      <w:pPr>
        <w:pBdr>
          <w:top w:val="nil"/>
          <w:left w:val="nil"/>
          <w:bottom w:val="nil"/>
          <w:right w:val="nil"/>
          <w:between w:val="nil"/>
        </w:pBdr>
        <w:spacing w:after="396"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The project document will be reviewed by the Secretariat, with support from PUNOs, who will engage substantive policy experts from within and outside the UNDS for proposal review. The Secretariat will make a recommendation to the Operational Steering Committee on the suitability of each proposed project document. The Operational Steering Committee Body will be ultimately responsible for funding recommendations and will notify the UN Resident Coordinator, through the Secretariat, accordingly</w:t>
      </w:r>
      <w:r w:rsidRPr="00F36109">
        <w:rPr>
          <w:rFonts w:ascii="Times New Roman" w:eastAsia="Times New Roman" w:hAnsi="Times New Roman" w:cs="Times New Roman"/>
          <w:color w:val="000000"/>
          <w:sz w:val="30"/>
          <w:szCs w:val="30"/>
        </w:rPr>
        <w:t>.</w:t>
      </w:r>
      <w:r w:rsidRPr="00F36109">
        <w:rPr>
          <w:rFonts w:ascii="Times New Roman" w:eastAsia="Times New Roman" w:hAnsi="Times New Roman" w:cs="Times New Roman"/>
          <w:color w:val="FB0007"/>
          <w:sz w:val="30"/>
          <w:szCs w:val="30"/>
        </w:rPr>
        <w:t xml:space="preserve"> </w:t>
      </w:r>
      <w:r w:rsidRPr="00F36109">
        <w:rPr>
          <w:rFonts w:ascii="Times New Roman" w:eastAsia="Times New Roman" w:hAnsi="Times New Roman" w:cs="Times New Roman"/>
          <w:color w:val="000000"/>
        </w:rPr>
        <w:t xml:space="preserve">The Operational Steering Committee may in some cases, directly fund ready-to-go joint </w:t>
      </w:r>
      <w:proofErr w:type="spellStart"/>
      <w:r w:rsidRPr="00F36109">
        <w:rPr>
          <w:rFonts w:ascii="Times New Roman" w:eastAsia="Times New Roman" w:hAnsi="Times New Roman" w:cs="Times New Roman"/>
          <w:color w:val="000000"/>
        </w:rPr>
        <w:t>programmes</w:t>
      </w:r>
      <w:proofErr w:type="spellEnd"/>
      <w:r w:rsidRPr="00F36109">
        <w:rPr>
          <w:rFonts w:ascii="Times New Roman" w:eastAsia="Times New Roman" w:hAnsi="Times New Roman" w:cs="Times New Roman"/>
          <w:color w:val="000000"/>
        </w:rPr>
        <w:t xml:space="preserve"> that meet the criteria without first funding concept notes.  </w:t>
      </w:r>
    </w:p>
    <w:p w14:paraId="71E4FB74" w14:textId="7F8223DE" w:rsidR="00D66A1D" w:rsidRPr="00D74C75" w:rsidRDefault="00D66A1D" w:rsidP="00D74C75">
      <w:pPr>
        <w:pStyle w:val="Heading2"/>
        <w:jc w:val="both"/>
        <w:rPr>
          <w:rFonts w:ascii="Times New Roman" w:eastAsia="Times New Roman" w:hAnsi="Times New Roman" w:cs="Times New Roman"/>
        </w:rPr>
      </w:pPr>
      <w:bookmarkStart w:id="88" w:name="_Toc527975910"/>
      <w:bookmarkStart w:id="89" w:name="_Toc527976127"/>
      <w:bookmarkStart w:id="90" w:name="_Toc527976240"/>
      <w:bookmarkStart w:id="91" w:name="_Toc530577724"/>
      <w:r w:rsidRPr="00F36109">
        <w:rPr>
          <w:rFonts w:ascii="Times New Roman" w:eastAsia="Times New Roman" w:hAnsi="Times New Roman" w:cs="Times New Roman"/>
        </w:rPr>
        <w:t>5.3 Accountability</w:t>
      </w:r>
      <w:bookmarkEnd w:id="88"/>
      <w:bookmarkEnd w:id="89"/>
      <w:bookmarkEnd w:id="90"/>
      <w:bookmarkEnd w:id="91"/>
    </w:p>
    <w:p w14:paraId="788F8E6B" w14:textId="77777777" w:rsidR="00D66A1D" w:rsidRPr="00F36109" w:rsidRDefault="00D66A1D" w:rsidP="00EF225D">
      <w:pPr>
        <w:pBdr>
          <w:top w:val="nil"/>
          <w:left w:val="nil"/>
          <w:bottom w:val="nil"/>
          <w:right w:val="nil"/>
          <w:between w:val="nil"/>
        </w:pBdr>
        <w:spacing w:after="396" w:line="312"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 xml:space="preserve">Each Participating Organization shall assume full programmatic and financial accountability for the funds disbursed to it by the Administrative Agent. Such funds will be administered by each UN Agency, Fund, and </w:t>
      </w:r>
      <w:proofErr w:type="spellStart"/>
      <w:r w:rsidRPr="00F36109">
        <w:rPr>
          <w:rFonts w:ascii="Times New Roman" w:eastAsia="Times New Roman" w:hAnsi="Times New Roman" w:cs="Times New Roman"/>
          <w:color w:val="000000"/>
        </w:rPr>
        <w:t>Programme</w:t>
      </w:r>
      <w:proofErr w:type="spellEnd"/>
      <w:r w:rsidRPr="00F36109">
        <w:rPr>
          <w:rFonts w:ascii="Times New Roman" w:eastAsia="Times New Roman" w:hAnsi="Times New Roman" w:cs="Times New Roman"/>
          <w:color w:val="000000"/>
        </w:rPr>
        <w:t xml:space="preserve"> in accordance with its own regulations, rules, directives and procedures. Each Participating Organization shall establish a separate ledger account for the receipt and administration of the funds disbursed to it by the Administrative Agent.  </w:t>
      </w:r>
    </w:p>
    <w:p w14:paraId="365793AF" w14:textId="77777777" w:rsidR="00D66A1D" w:rsidRPr="00F36109" w:rsidRDefault="00D66A1D" w:rsidP="00D66A1D">
      <w:pPr>
        <w:pStyle w:val="Heading2"/>
        <w:jc w:val="both"/>
        <w:rPr>
          <w:rFonts w:ascii="Times New Roman" w:eastAsia="Times New Roman" w:hAnsi="Times New Roman" w:cs="Times New Roman"/>
        </w:rPr>
      </w:pPr>
      <w:bookmarkStart w:id="92" w:name="_Toc527975911"/>
      <w:bookmarkStart w:id="93" w:name="_Toc527976128"/>
      <w:bookmarkStart w:id="94" w:name="_Toc527976241"/>
      <w:bookmarkStart w:id="95" w:name="_Toc530577725"/>
      <w:r w:rsidRPr="00F36109">
        <w:rPr>
          <w:rFonts w:ascii="Times New Roman" w:eastAsia="Times New Roman" w:hAnsi="Times New Roman" w:cs="Times New Roman"/>
        </w:rPr>
        <w:t>5.4. Contributions</w:t>
      </w:r>
      <w:bookmarkEnd w:id="92"/>
      <w:bookmarkEnd w:id="93"/>
      <w:bookmarkEnd w:id="94"/>
      <w:bookmarkEnd w:id="95"/>
    </w:p>
    <w:p w14:paraId="58C9814E" w14:textId="3C26376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Contributions to the Joint SDG Fund may be accepted from governments of Member States of the United Nations or from intergovernmental or non-governmental </w:t>
      </w:r>
      <w:r w:rsidR="003B2DAD" w:rsidRPr="00F36109">
        <w:rPr>
          <w:rFonts w:ascii="Times New Roman" w:eastAsia="Times New Roman" w:hAnsi="Times New Roman" w:cs="Times New Roman"/>
        </w:rPr>
        <w:t>organizations</w:t>
      </w:r>
      <w:r w:rsidRPr="00F36109">
        <w:rPr>
          <w:rFonts w:ascii="Times New Roman" w:eastAsia="Times New Roman" w:hAnsi="Times New Roman" w:cs="Times New Roman"/>
        </w:rPr>
        <w:t>, and/or from private sources. Acceptance of funds from the private sector will be guided by criteria stipulated in the UN system-wide guidelines on cooperation between the UN and the Business Community</w:t>
      </w:r>
      <w:r w:rsidR="008C79C9">
        <w:rPr>
          <w:rFonts w:ascii="Times New Roman" w:eastAsia="Times New Roman" w:hAnsi="Times New Roman" w:cs="Times New Roman"/>
        </w:rPr>
        <w:t>.</w:t>
      </w:r>
    </w:p>
    <w:p w14:paraId="53C9FA0A" w14:textId="6AE0DBC0"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In support of the overarching aim of the Joint SDG Fund, and in order to ensure maximum flexibility and adaptation to priorities, donors to the Fund are encouraged to contribute with multi-year pooled/ un-earmarked resources. However, if this is not possible, earmarking at the thematic or regional levels will be accepted. </w:t>
      </w:r>
    </w:p>
    <w:p w14:paraId="068A4254"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Contributions to the Joint SDG Fund may be accepted in fully convertible currency.  Such contributions shall be deposited in the bank accounts designated by UNDP. The value of a contribution-payment, if made in other than United States dollars, shall be determined by applying the United Nations operational rate of exchange in effect on the date of payment.  The MPTF Office charges a standard one-time fee of 1% for pass through services of UN pooled funds, which will be deducted from the contributions to the Joint SDG Fund at the time they are deposited.</w:t>
      </w:r>
    </w:p>
    <w:p w14:paraId="011F4B30" w14:textId="77777777" w:rsidR="00D66A1D" w:rsidRPr="00F36109" w:rsidRDefault="00D66A1D" w:rsidP="001432AB">
      <w:pPr>
        <w:pStyle w:val="Heading1"/>
        <w:jc w:val="both"/>
        <w:rPr>
          <w:rFonts w:ascii="Times New Roman" w:eastAsia="Times New Roman" w:hAnsi="Times New Roman" w:cs="Times New Roman"/>
        </w:rPr>
      </w:pPr>
      <w:bookmarkStart w:id="96" w:name="_Toc530577726"/>
      <w:r w:rsidRPr="00F36109">
        <w:rPr>
          <w:rFonts w:ascii="Times New Roman" w:eastAsia="Times New Roman" w:hAnsi="Times New Roman" w:cs="Times New Roman"/>
        </w:rPr>
        <w:t>6. REPORTING</w:t>
      </w:r>
      <w:bookmarkEnd w:id="96"/>
    </w:p>
    <w:p w14:paraId="28942C88"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Resident Coordinator will report to the Secretary-General and to the host Government on the implementation of the United Nations Development Assistance Framework, including the joint results achieved through the Joint </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funded by the Joint SDG Fund.</w:t>
      </w:r>
    </w:p>
    <w:p w14:paraId="577D2ACF"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lastRenderedPageBreak/>
        <w:t>Reporting on the Joint SDG Fund will be results-</w:t>
      </w:r>
      <w:proofErr w:type="gramStart"/>
      <w:r w:rsidRPr="00F36109">
        <w:rPr>
          <w:rFonts w:ascii="Times New Roman" w:eastAsia="Times New Roman" w:hAnsi="Times New Roman" w:cs="Times New Roman"/>
        </w:rPr>
        <w:t>oriented</w:t>
      </w:r>
      <w:proofErr w:type="gramEnd"/>
      <w:r w:rsidRPr="00F36109">
        <w:rPr>
          <w:rFonts w:ascii="Times New Roman" w:eastAsia="Times New Roman" w:hAnsi="Times New Roman" w:cs="Times New Roman"/>
        </w:rPr>
        <w:t xml:space="preserve"> and evidence based.  Annual and final narrative reports of country-level interventions will compare actual results with expected results at the output and outcome level (linked to SDG targets and indicators), as outlined in the joint </w:t>
      </w:r>
      <w:proofErr w:type="spellStart"/>
      <w:r w:rsidRPr="00F36109">
        <w:rPr>
          <w:rFonts w:ascii="Times New Roman" w:eastAsia="Times New Roman" w:hAnsi="Times New Roman" w:cs="Times New Roman"/>
        </w:rPr>
        <w:t>programme</w:t>
      </w:r>
      <w:proofErr w:type="spellEnd"/>
      <w:r w:rsidRPr="00F36109">
        <w:rPr>
          <w:rFonts w:ascii="Times New Roman" w:eastAsia="Times New Roman" w:hAnsi="Times New Roman" w:cs="Times New Roman"/>
        </w:rPr>
        <w:t xml:space="preserve"> documents, and explain the reasons for over or underachievement.  The final narrative report will also contain an analysis of how the outputs and outcomes have contributed to the overall impact in terms of SDG acceleration.  The financial reports will provide information on the use of financial resources against the outputs and outcomes in the agreed results framework and will be linked to SDG targets.</w:t>
      </w:r>
    </w:p>
    <w:p w14:paraId="77E01E86"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To facilitate monitoring and evaluation reporting of resources allocated by the Joint SDG Fund, PUNOS will be required to disclose complementary funding received from other sources for the activities supported by the Fund, including in kind contributions and/or South-South Cooperation initiatives. </w:t>
      </w:r>
    </w:p>
    <w:p w14:paraId="6C000299"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Each Participating UN Organization will provide the Convening/ Lead Agent with the following narrative reports prepared in accordance with the reporting procedures applicable to the Participating UN Organization concerned, as set forth in the Joint </w:t>
      </w:r>
      <w:proofErr w:type="spellStart"/>
      <w:r w:rsidRPr="00F36109">
        <w:rPr>
          <w:rFonts w:ascii="Times New Roman" w:eastAsia="Times New Roman" w:hAnsi="Times New Roman" w:cs="Times New Roman"/>
        </w:rPr>
        <w:t>Programme</w:t>
      </w:r>
      <w:proofErr w:type="spellEnd"/>
      <w:r w:rsidRPr="00F36109">
        <w:rPr>
          <w:rFonts w:ascii="Times New Roman" w:eastAsia="Times New Roman" w:hAnsi="Times New Roman" w:cs="Times New Roman"/>
        </w:rPr>
        <w:t xml:space="preserve"> Document, as agreed by the global governance structure. </w:t>
      </w:r>
    </w:p>
    <w:p w14:paraId="5770949A" w14:textId="77777777" w:rsidR="00D66A1D" w:rsidRPr="00F36109" w:rsidRDefault="00D66A1D" w:rsidP="00D66A1D">
      <w:pPr>
        <w:numPr>
          <w:ilvl w:val="0"/>
          <w:numId w:val="16"/>
        </w:numPr>
        <w:pBdr>
          <w:top w:val="nil"/>
          <w:left w:val="nil"/>
          <w:bottom w:val="nil"/>
          <w:right w:val="nil"/>
          <w:between w:val="nil"/>
        </w:pBdr>
        <w:spacing w:after="0" w:line="312" w:lineRule="auto"/>
        <w:contextualSpacing/>
        <w:jc w:val="both"/>
        <w:rPr>
          <w:rFonts w:ascii="Times New Roman" w:hAnsi="Times New Roman" w:cs="Times New Roman"/>
        </w:rPr>
      </w:pPr>
      <w:r w:rsidRPr="00F36109">
        <w:rPr>
          <w:rFonts w:ascii="Times New Roman" w:eastAsia="Times New Roman" w:hAnsi="Times New Roman" w:cs="Times New Roman"/>
          <w:color w:val="000000"/>
        </w:rPr>
        <w:t>Annual narrative progress reports, to be provided no later than three (3) months (31 March) after the end of the calendar year; and</w:t>
      </w:r>
    </w:p>
    <w:p w14:paraId="1501BCE0" w14:textId="77777777" w:rsidR="00D66A1D" w:rsidRPr="00F36109" w:rsidRDefault="00D66A1D" w:rsidP="00D66A1D">
      <w:pPr>
        <w:numPr>
          <w:ilvl w:val="0"/>
          <w:numId w:val="16"/>
        </w:numPr>
        <w:pBdr>
          <w:top w:val="nil"/>
          <w:left w:val="nil"/>
          <w:bottom w:val="nil"/>
          <w:right w:val="nil"/>
          <w:between w:val="nil"/>
        </w:pBdr>
        <w:spacing w:after="0" w:line="240" w:lineRule="auto"/>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Final narrative reports, after the completion of the activities in the Joint </w:t>
      </w:r>
      <w:proofErr w:type="spellStart"/>
      <w:r w:rsidRPr="00F36109">
        <w:rPr>
          <w:rFonts w:ascii="Times New Roman" w:eastAsia="Times New Roman" w:hAnsi="Times New Roman" w:cs="Times New Roman"/>
          <w:color w:val="000000"/>
        </w:rPr>
        <w:t>Programme</w:t>
      </w:r>
      <w:proofErr w:type="spellEnd"/>
      <w:r w:rsidRPr="00F36109">
        <w:rPr>
          <w:rFonts w:ascii="Times New Roman" w:eastAsia="Times New Roman" w:hAnsi="Times New Roman" w:cs="Times New Roman"/>
          <w:color w:val="000000"/>
        </w:rPr>
        <w:t xml:space="preserve"> Document, including the final year of the activities in the Joint </w:t>
      </w:r>
      <w:proofErr w:type="spellStart"/>
      <w:r w:rsidRPr="00F36109">
        <w:rPr>
          <w:rFonts w:ascii="Times New Roman" w:eastAsia="Times New Roman" w:hAnsi="Times New Roman" w:cs="Times New Roman"/>
          <w:color w:val="000000"/>
        </w:rPr>
        <w:t>Programme</w:t>
      </w:r>
      <w:proofErr w:type="spellEnd"/>
      <w:r w:rsidRPr="00F36109">
        <w:rPr>
          <w:rFonts w:ascii="Times New Roman" w:eastAsia="Times New Roman" w:hAnsi="Times New Roman" w:cs="Times New Roman"/>
          <w:color w:val="000000"/>
        </w:rPr>
        <w:t xml:space="preserve"> Document, to be provided no later than four months (30 April) after the end of the calendar year in which the operational closure of the activities in the Joint </w:t>
      </w:r>
      <w:proofErr w:type="spellStart"/>
      <w:r w:rsidRPr="00F36109">
        <w:rPr>
          <w:rFonts w:ascii="Times New Roman" w:eastAsia="Times New Roman" w:hAnsi="Times New Roman" w:cs="Times New Roman"/>
          <w:color w:val="000000"/>
        </w:rPr>
        <w:t>Programme</w:t>
      </w:r>
      <w:proofErr w:type="spellEnd"/>
      <w:r w:rsidRPr="00F36109">
        <w:rPr>
          <w:rFonts w:ascii="Times New Roman" w:eastAsia="Times New Roman" w:hAnsi="Times New Roman" w:cs="Times New Roman"/>
          <w:color w:val="000000"/>
        </w:rPr>
        <w:t xml:space="preserve"> Document occurs. </w:t>
      </w:r>
    </w:p>
    <w:p w14:paraId="7EB7AA8C" w14:textId="77777777" w:rsidR="00D66A1D" w:rsidRPr="00F36109" w:rsidRDefault="00D66A1D" w:rsidP="00D66A1D">
      <w:pPr>
        <w:pBdr>
          <w:top w:val="nil"/>
          <w:left w:val="nil"/>
          <w:bottom w:val="nil"/>
          <w:right w:val="nil"/>
          <w:between w:val="nil"/>
        </w:pBdr>
        <w:spacing w:after="0" w:line="240" w:lineRule="auto"/>
        <w:ind w:left="720" w:hanging="450"/>
        <w:jc w:val="both"/>
        <w:rPr>
          <w:rFonts w:ascii="Times New Roman" w:eastAsia="Times New Roman" w:hAnsi="Times New Roman" w:cs="Times New Roman"/>
          <w:color w:val="000000"/>
        </w:rPr>
      </w:pPr>
    </w:p>
    <w:p w14:paraId="6716C082" w14:textId="77777777" w:rsidR="00D66A1D" w:rsidRPr="00F36109" w:rsidRDefault="00D66A1D" w:rsidP="00D66A1D">
      <w:pPr>
        <w:jc w:val="both"/>
        <w:rPr>
          <w:rFonts w:ascii="Times New Roman" w:eastAsia="Times New Roman" w:hAnsi="Times New Roman" w:cs="Times New Roman"/>
        </w:rPr>
      </w:pPr>
      <w:r w:rsidRPr="00F36109">
        <w:rPr>
          <w:rFonts w:ascii="Times New Roman" w:eastAsia="Times New Roman" w:hAnsi="Times New Roman" w:cs="Times New Roman"/>
        </w:rPr>
        <w:t xml:space="preserve">The Convening/ Lead Agent will compile the narrative reports of PUNOs concerned and submit a consolidated annual report to the Joint SDG Fund secretariat, through the Resident Coordinator. The Resident Coordinator will use this to report to the Secretary-General and to the host Government on the implementation of the United Nations Development Assistance Framework, including the joint results received through the Joint </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funded by the Joint SDG Fund.</w:t>
      </w:r>
    </w:p>
    <w:p w14:paraId="6EE41A9C" w14:textId="4F8AFB93"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Participating </w:t>
      </w:r>
      <w:proofErr w:type="spellStart"/>
      <w:r w:rsidRPr="00F36109">
        <w:rPr>
          <w:rFonts w:ascii="Times New Roman" w:eastAsia="Times New Roman" w:hAnsi="Times New Roman" w:cs="Times New Roman"/>
        </w:rPr>
        <w:t>Organisations</w:t>
      </w:r>
      <w:proofErr w:type="spellEnd"/>
      <w:r w:rsidRPr="00F36109">
        <w:rPr>
          <w:rFonts w:ascii="Times New Roman" w:eastAsia="Times New Roman" w:hAnsi="Times New Roman" w:cs="Times New Roman"/>
        </w:rPr>
        <w:t xml:space="preserve"> shall provide the Administrative Agent with the following statements and reports prepared in accordance with its accounting and reporting procedures:</w:t>
      </w:r>
    </w:p>
    <w:p w14:paraId="3FDDB547" w14:textId="77777777" w:rsidR="00D66A1D" w:rsidRPr="00F36109" w:rsidRDefault="00D66A1D" w:rsidP="00D66A1D">
      <w:pPr>
        <w:numPr>
          <w:ilvl w:val="0"/>
          <w:numId w:val="24"/>
        </w:numPr>
        <w:pBdr>
          <w:top w:val="nil"/>
          <w:left w:val="nil"/>
          <w:bottom w:val="nil"/>
          <w:right w:val="nil"/>
          <w:between w:val="nil"/>
        </w:pBdr>
        <w:spacing w:after="396" w:line="312" w:lineRule="auto"/>
        <w:ind w:left="547"/>
        <w:jc w:val="both"/>
        <w:rPr>
          <w:rFonts w:ascii="Times New Roman" w:hAnsi="Times New Roman" w:cs="Times New Roman"/>
        </w:rPr>
      </w:pPr>
      <w:r w:rsidRPr="00F36109">
        <w:rPr>
          <w:rFonts w:ascii="Times New Roman" w:eastAsia="Times New Roman" w:hAnsi="Times New Roman" w:cs="Times New Roman"/>
          <w:color w:val="000000"/>
        </w:rPr>
        <w:t xml:space="preserve">Annual financial reports as of 31st December each year with respect to the funds disbursed to it from the Joint SDG Fund Account, to be provided no later than four months after the end of the applicable reporting period; </w:t>
      </w:r>
    </w:p>
    <w:p w14:paraId="37804022" w14:textId="77777777" w:rsidR="00D66A1D" w:rsidRPr="00F36109" w:rsidRDefault="00D66A1D" w:rsidP="00D66A1D">
      <w:pPr>
        <w:numPr>
          <w:ilvl w:val="0"/>
          <w:numId w:val="24"/>
        </w:numPr>
        <w:pBdr>
          <w:top w:val="nil"/>
          <w:left w:val="nil"/>
          <w:bottom w:val="nil"/>
          <w:right w:val="nil"/>
          <w:between w:val="nil"/>
        </w:pBdr>
        <w:spacing w:after="396" w:line="312" w:lineRule="auto"/>
        <w:ind w:left="547"/>
        <w:jc w:val="both"/>
        <w:rPr>
          <w:rFonts w:ascii="Times New Roman" w:hAnsi="Times New Roman" w:cs="Times New Roman"/>
        </w:rPr>
      </w:pPr>
      <w:r w:rsidRPr="00F36109">
        <w:rPr>
          <w:rFonts w:ascii="Times New Roman" w:eastAsia="Times New Roman" w:hAnsi="Times New Roman" w:cs="Times New Roman"/>
          <w:color w:val="000000"/>
        </w:rPr>
        <w:t xml:space="preserve">A final financial report, after the completion of the activities financed by the Joint SDG Fund and including the final year of the activities, to be provided no later than 30 April of the year following the operational closing of the project activities; </w:t>
      </w:r>
    </w:p>
    <w:p w14:paraId="4E291BF0" w14:textId="65F732FF" w:rsidR="00D66A1D" w:rsidRPr="00F36109" w:rsidRDefault="00D66A1D" w:rsidP="00D66A1D">
      <w:pPr>
        <w:pBdr>
          <w:top w:val="nil"/>
          <w:left w:val="nil"/>
          <w:bottom w:val="nil"/>
          <w:right w:val="nil"/>
          <w:between w:val="nil"/>
        </w:pBdr>
        <w:spacing w:after="396" w:line="312" w:lineRule="auto"/>
        <w:ind w:left="547" w:hanging="450"/>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lastRenderedPageBreak/>
        <w:t xml:space="preserve">The Secretariat will prepare consolidated narrative progress and financial reports (based on the narrative reports received from the consolidated by the Secretariat and the financial report consolidated by the Administrative Agent) and will provide these reports to the Administrative Agent who will provide these to each donor that has contributed to the Joint SDG Fund Account, as well as the Strategic Advisory Group and Operational Steering Committee, in accordance with the timetable established in the Administrative Arrangement. The narrative report will include lessons learned and highlight both challenges and achievements from the implementation of the initiatives supported by the fund, as well as the functioning of the fund itself as outlined in the </w:t>
      </w:r>
      <w:r w:rsidR="00AC4D97">
        <w:rPr>
          <w:rFonts w:ascii="Times New Roman" w:eastAsia="Times New Roman" w:hAnsi="Times New Roman" w:cs="Times New Roman"/>
          <w:color w:val="000000"/>
        </w:rPr>
        <w:t>TOR</w:t>
      </w:r>
      <w:r w:rsidRPr="00F36109">
        <w:rPr>
          <w:rFonts w:ascii="Times New Roman" w:eastAsia="Times New Roman" w:hAnsi="Times New Roman" w:cs="Times New Roman"/>
          <w:color w:val="000000"/>
        </w:rPr>
        <w:t>. The reports will include important findings and recommendations from analyzing the project portfolio and results in relation to potential SDG impact, including how different segments of the population (may) benefit from the interventions.  Data should be disaggregated by sex. The report will also describe how the fund contributes</w:t>
      </w:r>
      <w:r w:rsidR="00AC4D97">
        <w:rPr>
          <w:rFonts w:ascii="Times New Roman" w:eastAsia="Times New Roman" w:hAnsi="Times New Roman" w:cs="Times New Roman"/>
          <w:color w:val="000000"/>
        </w:rPr>
        <w:t xml:space="preserve"> </w:t>
      </w:r>
      <w:r w:rsidRPr="00F36109">
        <w:rPr>
          <w:rFonts w:ascii="Times New Roman" w:eastAsia="Times New Roman" w:hAnsi="Times New Roman" w:cs="Times New Roman"/>
          <w:color w:val="000000"/>
        </w:rPr>
        <w:t xml:space="preserve">to </w:t>
      </w:r>
      <w:r w:rsidRPr="00F36109">
        <w:rPr>
          <w:rFonts w:ascii="Times New Roman" w:eastAsia="Times New Roman" w:hAnsi="Times New Roman" w:cs="Times New Roman"/>
          <w:color w:val="000000"/>
        </w:rPr>
        <w:br/>
        <w:t xml:space="preserve">reducing fragmentation of the UN’s policy and financing efforts and their respective transaction costs, addressing unproductive competition, facilitating scale and partnerships and providing incentives for pursuing system-wide priorities, strategic positioning and coherence to achieve national SDG commitments. The Secretariat may from time to time use other available data and conduct or commission focus studies/reviews to collect experience. </w:t>
      </w:r>
    </w:p>
    <w:p w14:paraId="1A2199E3"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Administrative Agent will also provide the donors, the Strategic Advisory Group and Operational Steering Committee, and Participating Organizations with the following statements on its activities as Administrative Agent: </w:t>
      </w:r>
    </w:p>
    <w:p w14:paraId="161948D3" w14:textId="77777777" w:rsidR="00D66A1D" w:rsidRPr="00F36109" w:rsidRDefault="00D66A1D" w:rsidP="00D66A1D">
      <w:pPr>
        <w:numPr>
          <w:ilvl w:val="0"/>
          <w:numId w:val="25"/>
        </w:numPr>
        <w:pBdr>
          <w:top w:val="nil"/>
          <w:left w:val="nil"/>
          <w:bottom w:val="nil"/>
          <w:right w:val="nil"/>
          <w:between w:val="nil"/>
        </w:pBdr>
        <w:spacing w:after="396" w:line="312" w:lineRule="auto"/>
        <w:ind w:left="540"/>
        <w:jc w:val="both"/>
        <w:rPr>
          <w:rFonts w:ascii="Times New Roman" w:hAnsi="Times New Roman" w:cs="Times New Roman"/>
        </w:rPr>
      </w:pPr>
      <w:r w:rsidRPr="00F36109">
        <w:rPr>
          <w:rFonts w:ascii="Times New Roman" w:eastAsia="Times New Roman" w:hAnsi="Times New Roman" w:cs="Times New Roman"/>
          <w:color w:val="000000"/>
        </w:rPr>
        <w:t xml:space="preserve">Certified annual financial statement (“Source and Use of Funds” as defined by UNDG guidelines) to be provided no later than five months (31 May) after the end of the calendar year; and </w:t>
      </w:r>
    </w:p>
    <w:p w14:paraId="630B7255" w14:textId="77777777" w:rsidR="00D66A1D" w:rsidRPr="00F36109" w:rsidRDefault="00D66A1D" w:rsidP="00D66A1D">
      <w:pPr>
        <w:numPr>
          <w:ilvl w:val="0"/>
          <w:numId w:val="25"/>
        </w:numPr>
        <w:pBdr>
          <w:top w:val="nil"/>
          <w:left w:val="nil"/>
          <w:bottom w:val="nil"/>
          <w:right w:val="nil"/>
          <w:between w:val="nil"/>
        </w:pBdr>
        <w:spacing w:after="396" w:line="312" w:lineRule="auto"/>
        <w:ind w:left="540"/>
        <w:contextualSpacing/>
        <w:jc w:val="both"/>
        <w:rPr>
          <w:rFonts w:ascii="Times New Roman" w:hAnsi="Times New Roman" w:cs="Times New Roman"/>
        </w:rPr>
      </w:pPr>
      <w:r w:rsidRPr="00F36109">
        <w:rPr>
          <w:rFonts w:ascii="Times New Roman" w:eastAsia="Times New Roman" w:hAnsi="Times New Roman" w:cs="Times New Roman"/>
          <w:color w:val="000000"/>
        </w:rPr>
        <w:t xml:space="preserve">Certified final financial statement (“Source and Use of Funds”) to be provided no later than seven months (31 July) of the year following the financial closing of the Fund. </w:t>
      </w:r>
    </w:p>
    <w:p w14:paraId="492E231C"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Consolidated reports and related documents will be posted on the websites of the Joint SDG Fund and the Administrative Agent (</w:t>
      </w:r>
      <w:hyperlink r:id="rId13">
        <w:r w:rsidRPr="00F36109">
          <w:rPr>
            <w:rFonts w:ascii="Times New Roman" w:eastAsia="Times New Roman" w:hAnsi="Times New Roman" w:cs="Times New Roman"/>
            <w:color w:val="0000FF"/>
            <w:u w:val="single"/>
          </w:rPr>
          <w:t>http://mptf.undp.org</w:t>
        </w:r>
      </w:hyperlink>
      <w:r w:rsidRPr="00F36109">
        <w:rPr>
          <w:rFonts w:ascii="Times New Roman" w:eastAsia="Times New Roman" w:hAnsi="Times New Roman" w:cs="Times New Roman"/>
        </w:rPr>
        <w:t>).</w:t>
      </w:r>
    </w:p>
    <w:p w14:paraId="0A05C929" w14:textId="57558134" w:rsidR="00D66A1D" w:rsidRPr="00F36109" w:rsidRDefault="00D66A1D" w:rsidP="00D66A1D">
      <w:pPr>
        <w:pStyle w:val="Heading1"/>
        <w:jc w:val="both"/>
        <w:rPr>
          <w:rFonts w:ascii="Times New Roman" w:eastAsia="Times New Roman" w:hAnsi="Times New Roman" w:cs="Times New Roman"/>
        </w:rPr>
      </w:pPr>
      <w:bookmarkStart w:id="97" w:name="_Toc530577727"/>
      <w:r w:rsidRPr="00F36109">
        <w:rPr>
          <w:rFonts w:ascii="Times New Roman" w:eastAsia="Times New Roman" w:hAnsi="Times New Roman" w:cs="Times New Roman"/>
        </w:rPr>
        <w:t>7. MONITORING AND EVALUATION</w:t>
      </w:r>
      <w:bookmarkEnd w:id="97"/>
    </w:p>
    <w:p w14:paraId="561ECC43" w14:textId="03830F3F"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MDTF monitoring and evaluation arrangements are in line with the standard UNDG MOU/SAA. The monitoring and evaluation of the Joint SDG Fund will be based on achievements in relation to results expressed in project documents, UNDAFs and the SDG indicators. </w:t>
      </w:r>
    </w:p>
    <w:p w14:paraId="768F1348"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monitoring and quality assessment will be undertaken by the Operational Steering Committee, with the support of the Joint SDG Fund Secretariat. The UNCTs receiving funding allocations from the Joint SDG Fund must submit data, information, and quality/timely reports as required by the Strategic Advisory Group and Operational Steering Committee for the purpose of monitoring and evaluation. </w:t>
      </w:r>
    </w:p>
    <w:p w14:paraId="69E3B567"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lastRenderedPageBreak/>
        <w:t>An independent evaluation report to assess the progress of the Joint SDG Fund will be conducted in 2021.</w:t>
      </w:r>
    </w:p>
    <w:p w14:paraId="5FB3212F" w14:textId="77777777" w:rsidR="00D66A1D" w:rsidRPr="00F36109" w:rsidRDefault="00D66A1D" w:rsidP="00D66A1D">
      <w:pPr>
        <w:spacing w:after="396" w:line="312" w:lineRule="auto"/>
        <w:jc w:val="both"/>
        <w:rPr>
          <w:rFonts w:ascii="Times New Roman" w:eastAsia="Times New Roman" w:hAnsi="Times New Roman" w:cs="Times New Roman"/>
          <w:b/>
        </w:rPr>
      </w:pPr>
      <w:r w:rsidRPr="00F36109">
        <w:rPr>
          <w:rFonts w:ascii="Times New Roman" w:eastAsia="Times New Roman" w:hAnsi="Times New Roman" w:cs="Times New Roman"/>
          <w:b/>
        </w:rPr>
        <w:t>Annual Stakeholder Meeting</w:t>
      </w:r>
    </w:p>
    <w:p w14:paraId="229AD6D9" w14:textId="0CF0E965" w:rsidR="00EF225D" w:rsidRPr="002834D3" w:rsidRDefault="00EF225D" w:rsidP="00EF225D">
      <w:pPr>
        <w:spacing w:after="396" w:line="312" w:lineRule="auto"/>
        <w:jc w:val="both"/>
      </w:pPr>
      <w:r w:rsidRPr="009C5205">
        <w:rPr>
          <w:rFonts w:ascii="Times New Roman" w:hAnsi="Times New Roman"/>
          <w:lang w:val="en"/>
        </w:rPr>
        <w:t xml:space="preserve">An annual meeting with key stakeholders, including all donors to the fund, will be conducted prior to, or in direct conjunction with the </w:t>
      </w:r>
      <w:r>
        <w:rPr>
          <w:rFonts w:ascii="Times New Roman" w:hAnsi="Times New Roman"/>
          <w:lang w:val="en"/>
        </w:rPr>
        <w:t>Operational Steering Committee</w:t>
      </w:r>
      <w:r w:rsidRPr="009C5205">
        <w:rPr>
          <w:rFonts w:ascii="Times New Roman" w:hAnsi="Times New Roman"/>
          <w:lang w:val="en"/>
        </w:rPr>
        <w:t xml:space="preserve">. This meeting will review progress and discuss significant changes in circumstances and major risks including any substantive revisions to the Fund. The annual review meetings will be undertaken under the leadership of the </w:t>
      </w:r>
      <w:r>
        <w:rPr>
          <w:rFonts w:ascii="Times New Roman" w:hAnsi="Times New Roman"/>
          <w:lang w:val="en"/>
        </w:rPr>
        <w:t>Operation Steering Committee</w:t>
      </w:r>
      <w:r w:rsidRPr="009C5205">
        <w:rPr>
          <w:rFonts w:ascii="Times New Roman" w:hAnsi="Times New Roman"/>
          <w:lang w:val="en"/>
        </w:rPr>
        <w:t xml:space="preserve"> and will focus on</w:t>
      </w:r>
      <w:r>
        <w:rPr>
          <w:rFonts w:ascii="Times New Roman" w:hAnsi="Times New Roman"/>
          <w:lang w:val="en"/>
        </w:rPr>
        <w:t xml:space="preserve"> the</w:t>
      </w:r>
      <w:r w:rsidRPr="009C5205">
        <w:rPr>
          <w:rFonts w:ascii="Times New Roman" w:hAnsi="Times New Roman"/>
          <w:lang w:val="en"/>
        </w:rPr>
        <w:t xml:space="preserve"> overall progress</w:t>
      </w:r>
      <w:r>
        <w:rPr>
          <w:rFonts w:ascii="Times New Roman" w:hAnsi="Times New Roman"/>
          <w:lang w:val="en"/>
        </w:rPr>
        <w:t xml:space="preserve"> the Fund</w:t>
      </w:r>
      <w:r w:rsidRPr="009C5205">
        <w:rPr>
          <w:rFonts w:ascii="Times New Roman" w:hAnsi="Times New Roman"/>
          <w:lang w:val="en"/>
        </w:rPr>
        <w:t xml:space="preserve"> made against the SDGs, </w:t>
      </w:r>
      <w:r>
        <w:rPr>
          <w:rFonts w:ascii="Times New Roman" w:hAnsi="Times New Roman"/>
          <w:lang w:val="en"/>
        </w:rPr>
        <w:t>progress against</w:t>
      </w:r>
      <w:r w:rsidRPr="009C5205">
        <w:rPr>
          <w:rFonts w:ascii="Times New Roman" w:hAnsi="Times New Roman"/>
          <w:lang w:val="en"/>
        </w:rPr>
        <w:t xml:space="preserve"> </w:t>
      </w:r>
      <w:r>
        <w:rPr>
          <w:rFonts w:ascii="Times New Roman" w:hAnsi="Times New Roman"/>
          <w:lang w:val="en"/>
        </w:rPr>
        <w:t>the Joint SDG Fund’s results framework</w:t>
      </w:r>
      <w:r w:rsidRPr="009C5205">
        <w:rPr>
          <w:rFonts w:ascii="Times New Roman" w:hAnsi="Times New Roman"/>
          <w:lang w:val="en"/>
        </w:rPr>
        <w:t>, the funding situation</w:t>
      </w:r>
      <w:r w:rsidRPr="002834D3">
        <w:rPr>
          <w:rFonts w:ascii="Times New Roman" w:hAnsi="Times New Roman"/>
          <w:lang w:val="en"/>
        </w:rPr>
        <w:t>, challenges in implementing the T</w:t>
      </w:r>
      <w:r w:rsidR="00AC4D97">
        <w:rPr>
          <w:rFonts w:ascii="Times New Roman" w:hAnsi="Times New Roman"/>
          <w:lang w:val="en"/>
        </w:rPr>
        <w:t>OR</w:t>
      </w:r>
      <w:r w:rsidRPr="002834D3">
        <w:rPr>
          <w:rFonts w:ascii="Times New Roman" w:hAnsi="Times New Roman"/>
          <w:lang w:val="en"/>
        </w:rPr>
        <w:t xml:space="preserve"> for the Joint </w:t>
      </w:r>
      <w:r w:rsidR="00AC4D97">
        <w:rPr>
          <w:rFonts w:ascii="Times New Roman" w:hAnsi="Times New Roman"/>
          <w:lang w:val="en"/>
        </w:rPr>
        <w:t xml:space="preserve">SDG </w:t>
      </w:r>
      <w:r w:rsidRPr="002834D3">
        <w:rPr>
          <w:rFonts w:ascii="Times New Roman" w:hAnsi="Times New Roman"/>
          <w:lang w:val="en"/>
        </w:rPr>
        <w:t xml:space="preserve">Fund and possible needs for adjustments as well as an in-depth assessment of selected country cases. Key stakeholders will receive the annual report and all other documentation three weeks prior to the annual meeting and be invited to provide comments, questions and recommendations. The secretariat will prepare and convene the meeting. All SAA signatories to the fund will be invited to participate. </w:t>
      </w:r>
      <w:proofErr w:type="gramStart"/>
      <w:r w:rsidRPr="002834D3">
        <w:rPr>
          <w:rFonts w:ascii="Times New Roman" w:hAnsi="Times New Roman"/>
          <w:lang w:val="en"/>
        </w:rPr>
        <w:t>Also</w:t>
      </w:r>
      <w:proofErr w:type="gramEnd"/>
      <w:r w:rsidRPr="002834D3">
        <w:rPr>
          <w:rFonts w:ascii="Times New Roman" w:hAnsi="Times New Roman"/>
          <w:lang w:val="en"/>
        </w:rPr>
        <w:t xml:space="preserve"> a limited number of partner countries will be invited, with priority given to   countries relevant for the case studies selected. Depending on the agenda for a </w:t>
      </w:r>
      <w:proofErr w:type="gramStart"/>
      <w:r w:rsidRPr="002834D3">
        <w:rPr>
          <w:rFonts w:ascii="Times New Roman" w:hAnsi="Times New Roman"/>
          <w:lang w:val="en"/>
        </w:rPr>
        <w:t>particular annual</w:t>
      </w:r>
      <w:proofErr w:type="gramEnd"/>
      <w:r w:rsidRPr="002834D3">
        <w:rPr>
          <w:rFonts w:ascii="Times New Roman" w:hAnsi="Times New Roman"/>
          <w:lang w:val="en"/>
        </w:rPr>
        <w:t xml:space="preserve"> meeting, it may also be considered to invite major donors to other relevant SDG funding</w:t>
      </w:r>
      <w:r>
        <w:rPr>
          <w:rFonts w:ascii="Times New Roman" w:hAnsi="Times New Roman"/>
          <w:lang w:val="en"/>
        </w:rPr>
        <w:t>.</w:t>
      </w:r>
      <w:r w:rsidRPr="002834D3">
        <w:rPr>
          <w:rFonts w:ascii="Times New Roman" w:hAnsi="Times New Roman"/>
          <w:lang w:val="en"/>
        </w:rPr>
        <w:t xml:space="preserve"> </w:t>
      </w:r>
    </w:p>
    <w:p w14:paraId="124DDD04" w14:textId="77777777" w:rsidR="00D66A1D" w:rsidRPr="00F36109" w:rsidRDefault="00D66A1D" w:rsidP="00D66A1D">
      <w:pPr>
        <w:pStyle w:val="Heading1"/>
        <w:jc w:val="both"/>
        <w:rPr>
          <w:rFonts w:ascii="Times New Roman" w:eastAsia="Times New Roman" w:hAnsi="Times New Roman" w:cs="Times New Roman"/>
        </w:rPr>
      </w:pPr>
      <w:bookmarkStart w:id="98" w:name="_Toc530577728"/>
      <w:r w:rsidRPr="00F36109">
        <w:rPr>
          <w:rFonts w:ascii="Times New Roman" w:eastAsia="Times New Roman" w:hAnsi="Times New Roman" w:cs="Times New Roman"/>
        </w:rPr>
        <w:t>8. AUDIT</w:t>
      </w:r>
      <w:bookmarkEnd w:id="98"/>
    </w:p>
    <w:p w14:paraId="50248B5D" w14:textId="77777777" w:rsidR="00D66A1D" w:rsidRPr="00F36109" w:rsidRDefault="00D66A1D" w:rsidP="00D66A1D">
      <w:pPr>
        <w:keepNext/>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Administrative Agent and Participating UN Organizations will be audited in accordance with their own Financial Regulations and Rules and, in accordance with the </w:t>
      </w:r>
      <w:hyperlink r:id="rId14">
        <w:r w:rsidRPr="00F36109">
          <w:rPr>
            <w:rFonts w:ascii="Times New Roman" w:eastAsia="Times New Roman" w:hAnsi="Times New Roman" w:cs="Times New Roman"/>
          </w:rPr>
          <w:t>Framework for Joint Internal Audits of UN Joint Activities</w:t>
        </w:r>
      </w:hyperlink>
      <w:r w:rsidRPr="00F36109">
        <w:rPr>
          <w:rFonts w:ascii="Times New Roman" w:eastAsia="Times New Roman" w:hAnsi="Times New Roman" w:cs="Times New Roman"/>
        </w:rPr>
        <w:t xml:space="preserve"> which has been agreed to by the Internal Audit Services of Participating UN Organizations and endorsed by the UNDG in 2014. Joint audits will be conducted, as appropriate.</w:t>
      </w:r>
    </w:p>
    <w:p w14:paraId="25034F5F" w14:textId="77777777" w:rsidR="00D66A1D" w:rsidRPr="00F36109" w:rsidRDefault="00D66A1D" w:rsidP="00D66A1D">
      <w:pPr>
        <w:pStyle w:val="Heading1"/>
        <w:jc w:val="both"/>
        <w:rPr>
          <w:rFonts w:ascii="Times New Roman" w:eastAsia="Times New Roman" w:hAnsi="Times New Roman" w:cs="Times New Roman"/>
        </w:rPr>
      </w:pPr>
      <w:bookmarkStart w:id="99" w:name="_Toc530577729"/>
      <w:r w:rsidRPr="00F36109">
        <w:rPr>
          <w:rFonts w:ascii="Times New Roman" w:eastAsia="Times New Roman" w:hAnsi="Times New Roman" w:cs="Times New Roman"/>
        </w:rPr>
        <w:t>9. PUBLIC DISCLOSURE</w:t>
      </w:r>
      <w:bookmarkEnd w:id="99"/>
    </w:p>
    <w:p w14:paraId="0B08A829" w14:textId="1136749D"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Each Participating Organization will take appropriate measures to publicize the Joint SDG Fund and give due credit to the other Participating Organizations. All related publicity material, official notices, reports and publications, provided to the press or Fund beneficiaries, will acknowledge the role of the host Government, donors, Participating Organizations, the AA, and any other relevant entities. In particular, the AA will include and ensure due recognition of the role of each Participating Organization and partners in all external communications related to the Joint SDG Fund. </w:t>
      </w:r>
    </w:p>
    <w:p w14:paraId="6627ECA8"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AA, in consultation with the Participating Organizations, will ensure that decisions regarding the review and approval of the Joint SDG Fund, periodic reports on the progress of implementation of the Joint SDG Fund, or associated external evaluations are posted, where appropriate, for public information on the website of the Joint SDG Fund and the AA (</w:t>
      </w:r>
      <w:hyperlink r:id="rId15">
        <w:r w:rsidRPr="00F36109">
          <w:rPr>
            <w:rFonts w:ascii="Times New Roman" w:eastAsia="Times New Roman" w:hAnsi="Times New Roman" w:cs="Times New Roman"/>
            <w:color w:val="0000FF"/>
            <w:u w:val="single"/>
          </w:rPr>
          <w:t>http://mptf.undp.org/</w:t>
        </w:r>
      </w:hyperlink>
      <w:r w:rsidRPr="00F36109">
        <w:rPr>
          <w:rFonts w:ascii="Times New Roman" w:eastAsia="Times New Roman" w:hAnsi="Times New Roman" w:cs="Times New Roman"/>
        </w:rPr>
        <w:t xml:space="preserve">). Such reports and documents may include approved </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and </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awaiting approval, funding levels, annual financial and progress reports, and external evaluations, as appropriate. Transparency of the Fund will be ensured by its inclusion in the MPTFO’s online Gateway which can be publicly accessed.</w:t>
      </w:r>
    </w:p>
    <w:p w14:paraId="24AED8FA" w14:textId="77777777" w:rsidR="00D66A1D" w:rsidRPr="00F36109" w:rsidRDefault="00D66A1D" w:rsidP="00D66A1D">
      <w:pPr>
        <w:pStyle w:val="Heading1"/>
        <w:jc w:val="both"/>
        <w:rPr>
          <w:rFonts w:ascii="Times New Roman" w:eastAsia="Times New Roman" w:hAnsi="Times New Roman" w:cs="Times New Roman"/>
        </w:rPr>
      </w:pPr>
      <w:bookmarkStart w:id="100" w:name="_Toc530577730"/>
      <w:r w:rsidRPr="00F36109">
        <w:rPr>
          <w:rFonts w:ascii="Times New Roman" w:eastAsia="Times New Roman" w:hAnsi="Times New Roman" w:cs="Times New Roman"/>
        </w:rPr>
        <w:lastRenderedPageBreak/>
        <w:t>10. MODIFICATION AND EXPIRATION OF THE MDTF</w:t>
      </w:r>
      <w:bookmarkEnd w:id="100"/>
    </w:p>
    <w:p w14:paraId="62C6B088" w14:textId="77777777" w:rsidR="00D66A1D" w:rsidRPr="00F36109" w:rsidRDefault="00D66A1D" w:rsidP="00D66A1D">
      <w:pPr>
        <w:spacing w:after="396" w:line="312" w:lineRule="auto"/>
        <w:jc w:val="both"/>
        <w:rPr>
          <w:rFonts w:ascii="Times New Roman" w:eastAsia="Times New Roman" w:hAnsi="Times New Roman" w:cs="Times New Roman"/>
        </w:rPr>
      </w:pPr>
      <w:bookmarkStart w:id="101" w:name="_1pxezwc" w:colFirst="0" w:colLast="0"/>
      <w:bookmarkEnd w:id="101"/>
      <w:r w:rsidRPr="00F36109">
        <w:rPr>
          <w:rFonts w:ascii="Times New Roman" w:eastAsia="Times New Roman" w:hAnsi="Times New Roman" w:cs="Times New Roman"/>
        </w:rPr>
        <w:t>The present Terms of Reference may be modified at any time by the Operational Steering Committee.</w:t>
      </w:r>
    </w:p>
    <w:p w14:paraId="528A1D59" w14:textId="77777777" w:rsidR="009776C8" w:rsidRDefault="00D66A1D" w:rsidP="009776C8">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Joint SDG Fund will be able to establish thematic, country and multi-country</w:t>
      </w:r>
      <w:r w:rsidR="00AC4D97">
        <w:rPr>
          <w:rFonts w:ascii="Times New Roman" w:eastAsia="Times New Roman" w:hAnsi="Times New Roman" w:cs="Times New Roman"/>
        </w:rPr>
        <w:t>-</w:t>
      </w:r>
      <w:r w:rsidRPr="00F36109">
        <w:rPr>
          <w:rFonts w:ascii="Times New Roman" w:eastAsia="Times New Roman" w:hAnsi="Times New Roman" w:cs="Times New Roman"/>
        </w:rPr>
        <w:t>based windows. Detailed guidelines will be approved by the Operational Steering Committee including criteria, thresholds and management arrangements. Thematic and multi-country windows shall help to nurture a variety of partnership platforms at global, multi-country and national levels enabling diverse institutions to support member States to address significant trends in a more coordinated manner. The UNCTs will be able to draw upon the technical resource of these partnerships to assist governments and other non-State actors promote integrated approaches to sustainable development. The thematic windows will also enhance resources mobilization for the fund, particularly from donors that have these themes as strategic priorities.</w:t>
      </w:r>
      <w:r w:rsidR="009776C8">
        <w:rPr>
          <w:rFonts w:ascii="Times New Roman" w:eastAsia="Times New Roman" w:hAnsi="Times New Roman" w:cs="Times New Roman"/>
        </w:rPr>
        <w:t xml:space="preserve"> They will </w:t>
      </w:r>
      <w:r w:rsidRPr="00F36109">
        <w:rPr>
          <w:rFonts w:ascii="Times New Roman" w:eastAsia="Times New Roman" w:hAnsi="Times New Roman" w:cs="Times New Roman"/>
        </w:rPr>
        <w:t>address cross-cutting issues in a holistic manner, while reducing donor fragmentation, bolstering inter-agency coordination and enhancing medium to long term country-led planning processes for more resilient results.</w:t>
      </w:r>
    </w:p>
    <w:p w14:paraId="3A214DB0" w14:textId="431688C7" w:rsidR="00D66A1D" w:rsidRPr="00F36109" w:rsidRDefault="00D66A1D" w:rsidP="009776C8">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Country based Joint SDG Funds, complimented from global funding from the Joint SDG Fund, Peacebuilding Fund and other pooled funds will focus on the highest priority items, that can accelerate progress towards the SDGs through integrated policy and SDG financing. The Country based Joint SDG Funds will serve as an ‘integrator’ which promotes joint strength of UN Country Team towards the achievement of UNDAF results, and country-led SDG actions overall, in close coordination with national stakeholders.</w:t>
      </w:r>
    </w:p>
    <w:p w14:paraId="2AAE1ACD"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 xml:space="preserve">The last date to transfer funds to Participating Organizations will be 31 December 2029. Completion of all operational activities will be 30 June 2030, in alignment with the timelines established by Member States to implement the 2030 Agenda. The dissemination of the final narrative report will be 30 June 2031. </w:t>
      </w:r>
    </w:p>
    <w:p w14:paraId="7446F759"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All PUNOs will provide certified final financial reports on financially closed projects by 31 May 2032, or no later than five (5) months (31 May) after the end of the calendar year in which the financial closure of the activities in the approved programmatic document occurs, or according to the period specified in the financial regulations and rules of the Participating UN Organization, whichever is earlier.</w:t>
      </w:r>
    </w:p>
    <w:p w14:paraId="618BF91B" w14:textId="77777777" w:rsidR="00D66A1D" w:rsidRPr="00F36109" w:rsidRDefault="00D66A1D" w:rsidP="00D66A1D">
      <w:pPr>
        <w:spacing w:after="396" w:line="312" w:lineRule="auto"/>
        <w:jc w:val="both"/>
        <w:rPr>
          <w:rFonts w:ascii="Times New Roman" w:eastAsia="Times New Roman" w:hAnsi="Times New Roman" w:cs="Times New Roman"/>
        </w:rPr>
      </w:pPr>
      <w:r w:rsidRPr="00F36109">
        <w:rPr>
          <w:rFonts w:ascii="Times New Roman" w:eastAsia="Times New Roman" w:hAnsi="Times New Roman" w:cs="Times New Roman"/>
        </w:rPr>
        <w:t>The dissemination of the certified final financial statement (“Source and Use of Funds”) is to be provided no later than 31 July 2033; that is, seven months after the end of the calendar year in which the financial closing of the Joint SDG Fund occurs.</w:t>
      </w:r>
    </w:p>
    <w:p w14:paraId="51E070AD" w14:textId="77777777" w:rsidR="00D66A1D" w:rsidRPr="00F36109" w:rsidRDefault="00D66A1D" w:rsidP="00D66A1D">
      <w:pPr>
        <w:jc w:val="both"/>
        <w:rPr>
          <w:rFonts w:ascii="Times New Roman" w:eastAsia="Times New Roman" w:hAnsi="Times New Roman" w:cs="Times New Roman"/>
        </w:rPr>
      </w:pPr>
      <w:r w:rsidRPr="00F36109">
        <w:rPr>
          <w:rFonts w:ascii="Times New Roman" w:eastAsia="Times New Roman" w:hAnsi="Times New Roman" w:cs="Times New Roman"/>
        </w:rPr>
        <w:t xml:space="preserve">The Joint SDG Fund will terminate upon completion of all </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funded through the Joint SDG Fund and after satisfaction of all commitments and liabilities. Notwithstanding the completion of the initiatives financed from the Joint SDG Fund, any unutilized balances will continue to be held in the Joint SDG Fund account until all commitments and liabilities incurred in implementation of the projects/</w:t>
      </w:r>
      <w:proofErr w:type="spellStart"/>
      <w:r w:rsidRPr="00F36109">
        <w:rPr>
          <w:rFonts w:ascii="Times New Roman" w:eastAsia="Times New Roman" w:hAnsi="Times New Roman" w:cs="Times New Roman"/>
        </w:rPr>
        <w:t>programmes</w:t>
      </w:r>
      <w:proofErr w:type="spellEnd"/>
      <w:r w:rsidRPr="00F36109">
        <w:rPr>
          <w:rFonts w:ascii="Times New Roman" w:eastAsia="Times New Roman" w:hAnsi="Times New Roman" w:cs="Times New Roman"/>
        </w:rPr>
        <w:t xml:space="preserve"> have been satisfied and project activities have been brought to an orderly conclusion </w:t>
      </w:r>
    </w:p>
    <w:p w14:paraId="2A4F7DF5" w14:textId="77777777" w:rsidR="00D66A1D" w:rsidRPr="00F36109" w:rsidRDefault="00D66A1D" w:rsidP="00D66A1D">
      <w:pPr>
        <w:jc w:val="both"/>
        <w:rPr>
          <w:rFonts w:ascii="Times New Roman" w:eastAsia="Times New Roman" w:hAnsi="Times New Roman" w:cs="Times New Roman"/>
        </w:rPr>
      </w:pPr>
      <w:r w:rsidRPr="00F36109">
        <w:rPr>
          <w:rFonts w:ascii="Times New Roman" w:eastAsia="Times New Roman" w:hAnsi="Times New Roman" w:cs="Times New Roman"/>
        </w:rPr>
        <w:lastRenderedPageBreak/>
        <w:t>The Strategic Advisory Group will decide on the use of any unutilized balance of the Joint SDG Fund. Any balance remaining in the Joint SDG Fund Account, upon closure of the Joint SDG Fund, will be used for a purpose mutually agreed upon, or returned to the Donor(s) in proportion to their contribution to the Fund as agreed upon by the donor(s) and the Strategic Advisory Group and Operational Steering Committee.</w:t>
      </w:r>
    </w:p>
    <w:p w14:paraId="469FE311" w14:textId="75FC0FFF" w:rsidR="00D66A1D" w:rsidRDefault="00D66A1D" w:rsidP="00D66A1D">
      <w:pPr>
        <w:jc w:val="both"/>
        <w:rPr>
          <w:rFonts w:ascii="Times New Roman" w:eastAsia="Times New Roman" w:hAnsi="Times New Roman" w:cs="Times New Roman"/>
        </w:rPr>
      </w:pPr>
    </w:p>
    <w:p w14:paraId="61FEB048" w14:textId="232D3422" w:rsidR="006E6BAE" w:rsidRDefault="006E6BAE" w:rsidP="00D66A1D">
      <w:pPr>
        <w:jc w:val="both"/>
        <w:rPr>
          <w:rFonts w:ascii="Times New Roman" w:eastAsia="Times New Roman" w:hAnsi="Times New Roman" w:cs="Times New Roman"/>
        </w:rPr>
      </w:pPr>
    </w:p>
    <w:p w14:paraId="1835CFAD" w14:textId="0396F0C5" w:rsidR="006C5580" w:rsidRDefault="006C5580" w:rsidP="00D66A1D">
      <w:pPr>
        <w:jc w:val="both"/>
        <w:rPr>
          <w:rFonts w:ascii="Times New Roman" w:eastAsia="Times New Roman" w:hAnsi="Times New Roman" w:cs="Times New Roman"/>
        </w:rPr>
      </w:pPr>
    </w:p>
    <w:p w14:paraId="509F6106" w14:textId="0D5A0A82" w:rsidR="00383C5C" w:rsidRDefault="00383C5C" w:rsidP="00D66A1D">
      <w:pPr>
        <w:jc w:val="both"/>
        <w:rPr>
          <w:rFonts w:ascii="Times New Roman" w:eastAsia="Times New Roman" w:hAnsi="Times New Roman" w:cs="Times New Roman"/>
        </w:rPr>
      </w:pPr>
    </w:p>
    <w:p w14:paraId="5251E335" w14:textId="2A865B1F" w:rsidR="00383C5C" w:rsidRDefault="00383C5C" w:rsidP="00D66A1D">
      <w:pPr>
        <w:jc w:val="both"/>
        <w:rPr>
          <w:rFonts w:ascii="Times New Roman" w:eastAsia="Times New Roman" w:hAnsi="Times New Roman" w:cs="Times New Roman"/>
        </w:rPr>
      </w:pPr>
    </w:p>
    <w:p w14:paraId="7F627931" w14:textId="6449EC55" w:rsidR="00383C5C" w:rsidRDefault="00383C5C" w:rsidP="00D66A1D">
      <w:pPr>
        <w:jc w:val="both"/>
        <w:rPr>
          <w:rFonts w:ascii="Times New Roman" w:eastAsia="Times New Roman" w:hAnsi="Times New Roman" w:cs="Times New Roman"/>
        </w:rPr>
      </w:pPr>
    </w:p>
    <w:p w14:paraId="02FC5246" w14:textId="3F98CEFB" w:rsidR="000707FB" w:rsidRDefault="000707FB" w:rsidP="00D66A1D">
      <w:pPr>
        <w:jc w:val="both"/>
        <w:rPr>
          <w:rFonts w:ascii="Times New Roman" w:eastAsia="Times New Roman" w:hAnsi="Times New Roman" w:cs="Times New Roman"/>
        </w:rPr>
      </w:pPr>
    </w:p>
    <w:p w14:paraId="64494AFF" w14:textId="6ACF1457" w:rsidR="000707FB" w:rsidRDefault="000707FB" w:rsidP="00D66A1D">
      <w:pPr>
        <w:jc w:val="both"/>
        <w:rPr>
          <w:rFonts w:ascii="Times New Roman" w:eastAsia="Times New Roman" w:hAnsi="Times New Roman" w:cs="Times New Roman"/>
        </w:rPr>
      </w:pPr>
    </w:p>
    <w:p w14:paraId="254C498A" w14:textId="7AADF764" w:rsidR="000707FB" w:rsidRDefault="000707FB" w:rsidP="00D66A1D">
      <w:pPr>
        <w:jc w:val="both"/>
        <w:rPr>
          <w:rFonts w:ascii="Times New Roman" w:eastAsia="Times New Roman" w:hAnsi="Times New Roman" w:cs="Times New Roman"/>
        </w:rPr>
      </w:pPr>
    </w:p>
    <w:p w14:paraId="7EF8A35F" w14:textId="23A07105" w:rsidR="000707FB" w:rsidRDefault="000707FB" w:rsidP="00D66A1D">
      <w:pPr>
        <w:jc w:val="both"/>
        <w:rPr>
          <w:rFonts w:ascii="Times New Roman" w:eastAsia="Times New Roman" w:hAnsi="Times New Roman" w:cs="Times New Roman"/>
        </w:rPr>
      </w:pPr>
    </w:p>
    <w:p w14:paraId="5D1C89E2" w14:textId="2AE27E5E" w:rsidR="000707FB" w:rsidRDefault="000707FB" w:rsidP="00D66A1D">
      <w:pPr>
        <w:jc w:val="both"/>
        <w:rPr>
          <w:rFonts w:ascii="Times New Roman" w:eastAsia="Times New Roman" w:hAnsi="Times New Roman" w:cs="Times New Roman"/>
        </w:rPr>
      </w:pPr>
    </w:p>
    <w:p w14:paraId="4E1698C4" w14:textId="53EF6F05" w:rsidR="000707FB" w:rsidRDefault="000707FB" w:rsidP="00D66A1D">
      <w:pPr>
        <w:jc w:val="both"/>
        <w:rPr>
          <w:rFonts w:ascii="Times New Roman" w:eastAsia="Times New Roman" w:hAnsi="Times New Roman" w:cs="Times New Roman"/>
        </w:rPr>
      </w:pPr>
    </w:p>
    <w:p w14:paraId="2382E829" w14:textId="70114276" w:rsidR="000707FB" w:rsidRDefault="000707FB" w:rsidP="00D66A1D">
      <w:pPr>
        <w:jc w:val="both"/>
        <w:rPr>
          <w:rFonts w:ascii="Times New Roman" w:eastAsia="Times New Roman" w:hAnsi="Times New Roman" w:cs="Times New Roman"/>
        </w:rPr>
      </w:pPr>
    </w:p>
    <w:p w14:paraId="612F9357" w14:textId="79344ECA" w:rsidR="000707FB" w:rsidRDefault="000707FB" w:rsidP="00D66A1D">
      <w:pPr>
        <w:jc w:val="both"/>
        <w:rPr>
          <w:rFonts w:ascii="Times New Roman" w:eastAsia="Times New Roman" w:hAnsi="Times New Roman" w:cs="Times New Roman"/>
        </w:rPr>
      </w:pPr>
    </w:p>
    <w:p w14:paraId="66BF8195" w14:textId="5BDB280A" w:rsidR="000707FB" w:rsidRDefault="000707FB" w:rsidP="00D66A1D">
      <w:pPr>
        <w:jc w:val="both"/>
        <w:rPr>
          <w:rFonts w:ascii="Times New Roman" w:eastAsia="Times New Roman" w:hAnsi="Times New Roman" w:cs="Times New Roman"/>
        </w:rPr>
      </w:pPr>
    </w:p>
    <w:p w14:paraId="019BEB97" w14:textId="55A9BF2B" w:rsidR="000707FB" w:rsidRDefault="000707FB" w:rsidP="00D66A1D">
      <w:pPr>
        <w:jc w:val="both"/>
        <w:rPr>
          <w:rFonts w:ascii="Times New Roman" w:eastAsia="Times New Roman" w:hAnsi="Times New Roman" w:cs="Times New Roman"/>
        </w:rPr>
      </w:pPr>
    </w:p>
    <w:p w14:paraId="6C17C11E" w14:textId="665881CD" w:rsidR="000707FB" w:rsidRDefault="000707FB" w:rsidP="00D66A1D">
      <w:pPr>
        <w:jc w:val="both"/>
        <w:rPr>
          <w:rFonts w:ascii="Times New Roman" w:eastAsia="Times New Roman" w:hAnsi="Times New Roman" w:cs="Times New Roman"/>
        </w:rPr>
      </w:pPr>
    </w:p>
    <w:p w14:paraId="6C787082" w14:textId="63811FAA" w:rsidR="000707FB" w:rsidRDefault="000707FB" w:rsidP="00D66A1D">
      <w:pPr>
        <w:jc w:val="both"/>
        <w:rPr>
          <w:rFonts w:ascii="Times New Roman" w:eastAsia="Times New Roman" w:hAnsi="Times New Roman" w:cs="Times New Roman"/>
        </w:rPr>
      </w:pPr>
    </w:p>
    <w:p w14:paraId="6BA8A116" w14:textId="3F38AB26" w:rsidR="000707FB" w:rsidRDefault="000707FB" w:rsidP="00D66A1D">
      <w:pPr>
        <w:jc w:val="both"/>
        <w:rPr>
          <w:rFonts w:ascii="Times New Roman" w:eastAsia="Times New Roman" w:hAnsi="Times New Roman" w:cs="Times New Roman"/>
        </w:rPr>
      </w:pPr>
    </w:p>
    <w:p w14:paraId="7C0AA8D8" w14:textId="3FFC50B8" w:rsidR="000707FB" w:rsidRDefault="000707FB" w:rsidP="00D66A1D">
      <w:pPr>
        <w:jc w:val="both"/>
        <w:rPr>
          <w:rFonts w:ascii="Times New Roman" w:eastAsia="Times New Roman" w:hAnsi="Times New Roman" w:cs="Times New Roman"/>
        </w:rPr>
      </w:pPr>
    </w:p>
    <w:p w14:paraId="4DB16C33" w14:textId="2A90B3B3" w:rsidR="000707FB" w:rsidRDefault="000707FB" w:rsidP="00D66A1D">
      <w:pPr>
        <w:jc w:val="both"/>
        <w:rPr>
          <w:rFonts w:ascii="Times New Roman" w:eastAsia="Times New Roman" w:hAnsi="Times New Roman" w:cs="Times New Roman"/>
        </w:rPr>
      </w:pPr>
    </w:p>
    <w:p w14:paraId="0C4AA555" w14:textId="26B57669" w:rsidR="000707FB" w:rsidRDefault="000707FB" w:rsidP="00D66A1D">
      <w:pPr>
        <w:jc w:val="both"/>
        <w:rPr>
          <w:rFonts w:ascii="Times New Roman" w:eastAsia="Times New Roman" w:hAnsi="Times New Roman" w:cs="Times New Roman"/>
        </w:rPr>
      </w:pPr>
    </w:p>
    <w:p w14:paraId="1A8C6D64" w14:textId="184D679A" w:rsidR="000707FB" w:rsidRDefault="000707FB" w:rsidP="00D66A1D">
      <w:pPr>
        <w:jc w:val="both"/>
        <w:rPr>
          <w:rFonts w:ascii="Times New Roman" w:eastAsia="Times New Roman" w:hAnsi="Times New Roman" w:cs="Times New Roman"/>
        </w:rPr>
      </w:pPr>
    </w:p>
    <w:p w14:paraId="6C8C435A" w14:textId="77777777" w:rsidR="000707FB" w:rsidRDefault="000707FB" w:rsidP="00D66A1D">
      <w:pPr>
        <w:jc w:val="both"/>
        <w:rPr>
          <w:rFonts w:ascii="Times New Roman" w:eastAsia="Times New Roman" w:hAnsi="Times New Roman" w:cs="Times New Roman"/>
        </w:rPr>
      </w:pPr>
    </w:p>
    <w:p w14:paraId="60DCE9DB" w14:textId="160470EB" w:rsidR="006C5580" w:rsidRDefault="006C5580" w:rsidP="00D66A1D">
      <w:pPr>
        <w:jc w:val="both"/>
        <w:rPr>
          <w:rFonts w:ascii="Times New Roman" w:eastAsia="Times New Roman" w:hAnsi="Times New Roman" w:cs="Times New Roman"/>
        </w:rPr>
      </w:pPr>
    </w:p>
    <w:p w14:paraId="436CB299" w14:textId="3C0C7F82" w:rsidR="006C5580" w:rsidRDefault="006C5580" w:rsidP="00D66A1D">
      <w:pPr>
        <w:jc w:val="both"/>
        <w:rPr>
          <w:rFonts w:ascii="Times New Roman" w:eastAsia="Times New Roman" w:hAnsi="Times New Roman" w:cs="Times New Roman"/>
        </w:rPr>
      </w:pPr>
    </w:p>
    <w:p w14:paraId="46847598" w14:textId="77777777" w:rsidR="006C5580" w:rsidRDefault="006C5580" w:rsidP="00D66A1D">
      <w:pPr>
        <w:jc w:val="both"/>
        <w:rPr>
          <w:rFonts w:ascii="Times New Roman" w:eastAsia="Times New Roman" w:hAnsi="Times New Roman" w:cs="Times New Roman"/>
        </w:rPr>
      </w:pPr>
    </w:p>
    <w:p w14:paraId="403F1427" w14:textId="77777777" w:rsidR="006E6BAE" w:rsidRPr="00F36109" w:rsidRDefault="006E6BAE" w:rsidP="00D66A1D">
      <w:pPr>
        <w:jc w:val="both"/>
        <w:rPr>
          <w:rFonts w:ascii="Times New Roman" w:eastAsia="Times New Roman" w:hAnsi="Times New Roman" w:cs="Times New Roman"/>
        </w:rPr>
      </w:pPr>
    </w:p>
    <w:p w14:paraId="3C88C145" w14:textId="676EDD50" w:rsidR="00D66A1D" w:rsidRPr="00F36109" w:rsidRDefault="00D66A1D" w:rsidP="00D66A1D">
      <w:pPr>
        <w:pStyle w:val="ToRsJointFund"/>
        <w:outlineLvl w:val="0"/>
      </w:pPr>
      <w:bookmarkStart w:id="102" w:name="_Toc477253648"/>
      <w:bookmarkStart w:id="103" w:name="_Toc513064715"/>
      <w:bookmarkStart w:id="104" w:name="_Toc521939081"/>
      <w:bookmarkStart w:id="105" w:name="_Toc530577731"/>
      <w:r w:rsidRPr="00F36109">
        <w:lastRenderedPageBreak/>
        <w:t>ANNEX 1: RISK MANAGEMENT</w:t>
      </w:r>
      <w:bookmarkEnd w:id="102"/>
      <w:r w:rsidRPr="00F36109">
        <w:t xml:space="preserve"> LOG</w:t>
      </w:r>
      <w:bookmarkEnd w:id="103"/>
      <w:bookmarkEnd w:id="104"/>
      <w:bookmarkEnd w:id="105"/>
    </w:p>
    <w:p w14:paraId="656B5180" w14:textId="77777777" w:rsidR="00D66A1D" w:rsidRPr="00F36109" w:rsidRDefault="00D66A1D" w:rsidP="00D66A1D">
      <w:pPr>
        <w:autoSpaceDE w:val="0"/>
        <w:autoSpaceDN w:val="0"/>
        <w:adjustRightInd w:val="0"/>
        <w:jc w:val="both"/>
        <w:rPr>
          <w:rFonts w:ascii="Times New Roman" w:hAnsi="Times New Roman" w:cs="Times New Roman"/>
          <w:lang w:val="en"/>
        </w:rPr>
      </w:pPr>
      <w:r w:rsidRPr="00F36109">
        <w:rPr>
          <w:rFonts w:ascii="Times New Roman" w:hAnsi="Times New Roman" w:cs="Times New Roman"/>
          <w:lang w:val="en"/>
        </w:rPr>
        <w:t>The following risk ranking matrix captures the hierarchy of risks, allowing an assessment of the most appropriate responses to the identified risks, particularly to those risks most likely to impede success (very high and high).</w:t>
      </w:r>
    </w:p>
    <w:p w14:paraId="612288BE" w14:textId="77777777" w:rsidR="00D66A1D" w:rsidRPr="00F36109" w:rsidRDefault="00D66A1D" w:rsidP="00D66A1D">
      <w:pPr>
        <w:pStyle w:val="Body"/>
        <w:widowControl w:val="0"/>
        <w:spacing w:after="0"/>
        <w:jc w:val="both"/>
        <w:rPr>
          <w:rFonts w:ascii="Times New Roman" w:hAnsi="Times New Roman" w:cs="Times New Roman"/>
          <w:color w:val="auto"/>
          <w:bdr w:val="none" w:sz="0" w:space="0" w:color="auto"/>
          <w:lang w:val="en"/>
        </w:rPr>
      </w:pPr>
      <w:r w:rsidRPr="00F36109">
        <w:rPr>
          <w:rFonts w:ascii="Times New Roman" w:hAnsi="Times New Roman" w:cs="Times New Roman"/>
          <w:b/>
          <w:color w:val="auto"/>
          <w:bdr w:val="none" w:sz="0" w:space="0" w:color="auto"/>
          <w:lang w:val="en"/>
        </w:rPr>
        <w:t>Probability/likelihood:</w:t>
      </w:r>
      <w:r w:rsidRPr="00F36109">
        <w:rPr>
          <w:rFonts w:ascii="Times New Roman" w:hAnsi="Times New Roman" w:cs="Times New Roman"/>
          <w:color w:val="auto"/>
          <w:bdr w:val="none" w:sz="0" w:space="0" w:color="auto"/>
          <w:lang w:val="en"/>
        </w:rPr>
        <w:t xml:space="preserve">  Very Likely (5), Likely (4), Possible (3), Unlikely (2), Rare (1)</w:t>
      </w:r>
    </w:p>
    <w:p w14:paraId="04E4DAC9" w14:textId="567F5964" w:rsidR="00D66A1D" w:rsidRDefault="00D66A1D" w:rsidP="00D66A1D">
      <w:pPr>
        <w:pStyle w:val="Body"/>
        <w:widowControl w:val="0"/>
        <w:spacing w:after="0"/>
        <w:jc w:val="both"/>
        <w:rPr>
          <w:rFonts w:ascii="Times New Roman" w:hAnsi="Times New Roman" w:cs="Times New Roman"/>
          <w:color w:val="auto"/>
          <w:bdr w:val="none" w:sz="0" w:space="0" w:color="auto"/>
          <w:lang w:val="en"/>
        </w:rPr>
      </w:pPr>
      <w:r w:rsidRPr="00F36109">
        <w:rPr>
          <w:rFonts w:ascii="Times New Roman" w:hAnsi="Times New Roman" w:cs="Times New Roman"/>
          <w:b/>
          <w:color w:val="auto"/>
          <w:bdr w:val="none" w:sz="0" w:space="0" w:color="auto"/>
          <w:lang w:val="en"/>
        </w:rPr>
        <w:t>Impact:</w:t>
      </w:r>
      <w:r w:rsidRPr="00F36109">
        <w:rPr>
          <w:rFonts w:ascii="Times New Roman" w:hAnsi="Times New Roman" w:cs="Times New Roman"/>
          <w:color w:val="auto"/>
          <w:bdr w:val="none" w:sz="0" w:space="0" w:color="auto"/>
          <w:lang w:val="en"/>
        </w:rPr>
        <w:t xml:space="preserve">  Insignificant (1), Minor (2), Moderate (3), Major (4), Extreme (5)</w:t>
      </w:r>
    </w:p>
    <w:p w14:paraId="6E954444" w14:textId="77777777" w:rsidR="00BC0817" w:rsidRPr="00F36109" w:rsidRDefault="00BC0817" w:rsidP="00D66A1D">
      <w:pPr>
        <w:pStyle w:val="Body"/>
        <w:widowControl w:val="0"/>
        <w:spacing w:after="0"/>
        <w:jc w:val="both"/>
        <w:rPr>
          <w:rFonts w:ascii="Times New Roman" w:hAnsi="Times New Roman" w:cs="Times New Roman"/>
          <w:color w:val="auto"/>
          <w:bdr w:val="none" w:sz="0" w:space="0" w:color="auto"/>
          <w:lang w:val="en"/>
        </w:rPr>
      </w:pPr>
    </w:p>
    <w:tbl>
      <w:tblPr>
        <w:tblW w:w="5141" w:type="pct"/>
        <w:tblLayout w:type="fixed"/>
        <w:tblLook w:val="04A0" w:firstRow="1" w:lastRow="0" w:firstColumn="1" w:lastColumn="0" w:noHBand="0" w:noVBand="1"/>
      </w:tblPr>
      <w:tblGrid>
        <w:gridCol w:w="318"/>
        <w:gridCol w:w="1386"/>
        <w:gridCol w:w="1081"/>
        <w:gridCol w:w="2455"/>
        <w:gridCol w:w="3184"/>
        <w:gridCol w:w="1190"/>
      </w:tblGrid>
      <w:tr w:rsidR="00D66A1D" w:rsidRPr="00F36109" w14:paraId="0039DFAC" w14:textId="77777777" w:rsidTr="00CF2BF7">
        <w:trPr>
          <w:trHeight w:val="440"/>
          <w:tblHeader/>
        </w:trPr>
        <w:tc>
          <w:tcPr>
            <w:tcW w:w="165" w:type="pct"/>
            <w:tcBorders>
              <w:top w:val="single" w:sz="4" w:space="0" w:color="auto"/>
              <w:left w:val="single" w:sz="4" w:space="0" w:color="auto"/>
              <w:bottom w:val="single" w:sz="4" w:space="0" w:color="auto"/>
              <w:right w:val="single" w:sz="4" w:space="0" w:color="auto"/>
            </w:tcBorders>
            <w:shd w:val="clear" w:color="000000" w:fill="FFCC00"/>
            <w:vAlign w:val="center"/>
            <w:hideMark/>
          </w:tcPr>
          <w:p w14:paraId="5AAA0ADD" w14:textId="77777777" w:rsidR="00D66A1D" w:rsidRPr="00F36109" w:rsidRDefault="00D66A1D" w:rsidP="00CF2BF7">
            <w:pPr>
              <w:spacing w:after="0"/>
              <w:jc w:val="both"/>
              <w:rPr>
                <w:rFonts w:ascii="Times New Roman" w:hAnsi="Times New Roman" w:cs="Times New Roman"/>
                <w:b/>
                <w:bCs/>
                <w:color w:val="0D0D0D"/>
                <w:sz w:val="20"/>
                <w:szCs w:val="20"/>
              </w:rPr>
            </w:pPr>
            <w:r w:rsidRPr="00F36109">
              <w:rPr>
                <w:rFonts w:ascii="Times New Roman" w:hAnsi="Times New Roman" w:cs="Times New Roman"/>
                <w:b/>
                <w:bCs/>
                <w:color w:val="0D0D0D"/>
                <w:sz w:val="20"/>
                <w:szCs w:val="20"/>
              </w:rPr>
              <w:t>#</w:t>
            </w:r>
          </w:p>
        </w:tc>
        <w:tc>
          <w:tcPr>
            <w:tcW w:w="721" w:type="pct"/>
            <w:tcBorders>
              <w:top w:val="single" w:sz="4" w:space="0" w:color="auto"/>
              <w:left w:val="nil"/>
              <w:bottom w:val="single" w:sz="4" w:space="0" w:color="auto"/>
              <w:right w:val="single" w:sz="4" w:space="0" w:color="auto"/>
            </w:tcBorders>
            <w:shd w:val="clear" w:color="000000" w:fill="FFCC00"/>
            <w:vAlign w:val="center"/>
            <w:hideMark/>
          </w:tcPr>
          <w:p w14:paraId="486FA2D1" w14:textId="77777777" w:rsidR="00D66A1D" w:rsidRPr="00F36109" w:rsidRDefault="00D66A1D" w:rsidP="00CF2BF7">
            <w:pPr>
              <w:spacing w:after="0"/>
              <w:jc w:val="both"/>
              <w:rPr>
                <w:rFonts w:ascii="Times New Roman" w:hAnsi="Times New Roman" w:cs="Times New Roman"/>
                <w:b/>
                <w:bCs/>
                <w:color w:val="0D0D0D"/>
                <w:sz w:val="20"/>
                <w:szCs w:val="20"/>
              </w:rPr>
            </w:pPr>
            <w:r w:rsidRPr="00F36109">
              <w:rPr>
                <w:rFonts w:ascii="Times New Roman" w:hAnsi="Times New Roman" w:cs="Times New Roman"/>
                <w:b/>
                <w:bCs/>
                <w:color w:val="0D0D0D"/>
                <w:sz w:val="20"/>
                <w:szCs w:val="20"/>
              </w:rPr>
              <w:t>Description</w:t>
            </w:r>
          </w:p>
        </w:tc>
        <w:tc>
          <w:tcPr>
            <w:tcW w:w="562" w:type="pct"/>
            <w:tcBorders>
              <w:top w:val="single" w:sz="4" w:space="0" w:color="auto"/>
              <w:left w:val="nil"/>
              <w:bottom w:val="single" w:sz="4" w:space="0" w:color="auto"/>
              <w:right w:val="single" w:sz="4" w:space="0" w:color="auto"/>
            </w:tcBorders>
            <w:shd w:val="clear" w:color="000000" w:fill="FFCC00"/>
            <w:vAlign w:val="center"/>
            <w:hideMark/>
          </w:tcPr>
          <w:p w14:paraId="7DC6004B" w14:textId="77777777" w:rsidR="00D66A1D" w:rsidRPr="00F36109" w:rsidRDefault="00D66A1D" w:rsidP="00CF2BF7">
            <w:pPr>
              <w:spacing w:after="0"/>
              <w:jc w:val="both"/>
              <w:rPr>
                <w:rFonts w:ascii="Times New Roman" w:hAnsi="Times New Roman" w:cs="Times New Roman"/>
                <w:b/>
                <w:bCs/>
                <w:color w:val="0D0D0D"/>
                <w:sz w:val="20"/>
                <w:szCs w:val="20"/>
              </w:rPr>
            </w:pPr>
            <w:r w:rsidRPr="00F36109">
              <w:rPr>
                <w:rFonts w:ascii="Times New Roman" w:hAnsi="Times New Roman" w:cs="Times New Roman"/>
                <w:b/>
                <w:bCs/>
                <w:color w:val="0D0D0D"/>
                <w:sz w:val="20"/>
                <w:szCs w:val="20"/>
              </w:rPr>
              <w:t>Type</w:t>
            </w:r>
          </w:p>
        </w:tc>
        <w:tc>
          <w:tcPr>
            <w:tcW w:w="1277" w:type="pct"/>
            <w:tcBorders>
              <w:top w:val="single" w:sz="4" w:space="0" w:color="auto"/>
              <w:left w:val="nil"/>
              <w:bottom w:val="single" w:sz="4" w:space="0" w:color="auto"/>
              <w:right w:val="single" w:sz="4" w:space="0" w:color="auto"/>
            </w:tcBorders>
            <w:shd w:val="clear" w:color="000000" w:fill="FFCC00"/>
            <w:vAlign w:val="center"/>
            <w:hideMark/>
          </w:tcPr>
          <w:p w14:paraId="30062B51" w14:textId="77777777" w:rsidR="00D66A1D" w:rsidRPr="00F36109" w:rsidRDefault="00D66A1D" w:rsidP="00CF2BF7">
            <w:pPr>
              <w:spacing w:after="0"/>
              <w:jc w:val="both"/>
              <w:rPr>
                <w:rFonts w:ascii="Times New Roman" w:hAnsi="Times New Roman" w:cs="Times New Roman"/>
                <w:b/>
                <w:bCs/>
                <w:color w:val="0D0D0D"/>
                <w:sz w:val="20"/>
                <w:szCs w:val="20"/>
              </w:rPr>
            </w:pPr>
            <w:r w:rsidRPr="00F36109">
              <w:rPr>
                <w:rFonts w:ascii="Times New Roman" w:hAnsi="Times New Roman" w:cs="Times New Roman"/>
                <w:b/>
                <w:bCs/>
                <w:color w:val="0D0D0D"/>
                <w:sz w:val="20"/>
                <w:szCs w:val="20"/>
              </w:rPr>
              <w:t>Impact/Probability</w:t>
            </w:r>
          </w:p>
        </w:tc>
        <w:tc>
          <w:tcPr>
            <w:tcW w:w="1656" w:type="pct"/>
            <w:tcBorders>
              <w:top w:val="single" w:sz="4" w:space="0" w:color="auto"/>
              <w:left w:val="nil"/>
              <w:bottom w:val="single" w:sz="4" w:space="0" w:color="auto"/>
              <w:right w:val="single" w:sz="4" w:space="0" w:color="auto"/>
            </w:tcBorders>
            <w:shd w:val="clear" w:color="000000" w:fill="FFCC00"/>
            <w:vAlign w:val="center"/>
            <w:hideMark/>
          </w:tcPr>
          <w:p w14:paraId="77B895D1" w14:textId="77777777" w:rsidR="00D66A1D" w:rsidRPr="00F36109" w:rsidRDefault="00D66A1D" w:rsidP="00CF2BF7">
            <w:pPr>
              <w:spacing w:after="0"/>
              <w:jc w:val="both"/>
              <w:rPr>
                <w:rFonts w:ascii="Times New Roman" w:hAnsi="Times New Roman" w:cs="Times New Roman"/>
                <w:b/>
                <w:bCs/>
                <w:color w:val="0D0D0D"/>
                <w:sz w:val="20"/>
                <w:szCs w:val="20"/>
              </w:rPr>
            </w:pPr>
            <w:r w:rsidRPr="00F36109">
              <w:rPr>
                <w:rFonts w:ascii="Times New Roman" w:hAnsi="Times New Roman" w:cs="Times New Roman"/>
                <w:b/>
                <w:bCs/>
                <w:color w:val="0D0D0D"/>
                <w:sz w:val="20"/>
                <w:szCs w:val="20"/>
              </w:rPr>
              <w:t>Countermeasures / Management response</w:t>
            </w:r>
          </w:p>
        </w:tc>
        <w:tc>
          <w:tcPr>
            <w:tcW w:w="619" w:type="pct"/>
            <w:tcBorders>
              <w:top w:val="single" w:sz="4" w:space="0" w:color="auto"/>
              <w:left w:val="nil"/>
              <w:bottom w:val="single" w:sz="4" w:space="0" w:color="auto"/>
              <w:right w:val="single" w:sz="4" w:space="0" w:color="auto"/>
            </w:tcBorders>
            <w:shd w:val="clear" w:color="000000" w:fill="FFCC00"/>
            <w:vAlign w:val="center"/>
            <w:hideMark/>
          </w:tcPr>
          <w:p w14:paraId="7F58797E" w14:textId="77777777" w:rsidR="00D66A1D" w:rsidRPr="00F36109" w:rsidRDefault="00D66A1D" w:rsidP="00CF2BF7">
            <w:pPr>
              <w:spacing w:after="0"/>
              <w:jc w:val="both"/>
              <w:rPr>
                <w:rFonts w:ascii="Times New Roman" w:hAnsi="Times New Roman" w:cs="Times New Roman"/>
                <w:b/>
                <w:bCs/>
                <w:color w:val="0D0D0D"/>
                <w:sz w:val="20"/>
                <w:szCs w:val="20"/>
              </w:rPr>
            </w:pPr>
            <w:r w:rsidRPr="00F36109">
              <w:rPr>
                <w:rFonts w:ascii="Times New Roman" w:hAnsi="Times New Roman" w:cs="Times New Roman"/>
                <w:b/>
                <w:bCs/>
                <w:color w:val="0D0D0D"/>
                <w:sz w:val="20"/>
                <w:szCs w:val="20"/>
              </w:rPr>
              <w:t>Owner</w:t>
            </w:r>
          </w:p>
        </w:tc>
      </w:tr>
      <w:tr w:rsidR="00D66A1D" w:rsidRPr="00F36109" w14:paraId="46C0E8CF" w14:textId="77777777" w:rsidTr="00CF2BF7">
        <w:trPr>
          <w:trHeight w:val="3635"/>
        </w:trPr>
        <w:tc>
          <w:tcPr>
            <w:tcW w:w="165" w:type="pct"/>
            <w:tcBorders>
              <w:top w:val="nil"/>
              <w:left w:val="single" w:sz="4" w:space="0" w:color="auto"/>
              <w:bottom w:val="single" w:sz="4" w:space="0" w:color="auto"/>
              <w:right w:val="single" w:sz="4" w:space="0" w:color="auto"/>
            </w:tcBorders>
            <w:shd w:val="clear" w:color="auto" w:fill="auto"/>
            <w:vAlign w:val="center"/>
            <w:hideMark/>
          </w:tcPr>
          <w:p w14:paraId="47467791"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1</w:t>
            </w:r>
          </w:p>
        </w:tc>
        <w:tc>
          <w:tcPr>
            <w:tcW w:w="721" w:type="pct"/>
            <w:tcBorders>
              <w:top w:val="nil"/>
              <w:left w:val="nil"/>
              <w:bottom w:val="single" w:sz="4" w:space="0" w:color="auto"/>
              <w:right w:val="single" w:sz="4" w:space="0" w:color="auto"/>
            </w:tcBorders>
            <w:shd w:val="clear" w:color="auto" w:fill="auto"/>
            <w:vAlign w:val="center"/>
          </w:tcPr>
          <w:p w14:paraId="7565C459" w14:textId="54E6A476" w:rsidR="00D66A1D" w:rsidRPr="00F36109" w:rsidRDefault="00D66A1D" w:rsidP="00CF2BF7">
            <w:pPr>
              <w:spacing w:after="0" w:line="240" w:lineRule="auto"/>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The Joint SDG Fund is not able to mobilize </w:t>
            </w:r>
            <w:proofErr w:type="gramStart"/>
            <w:r w:rsidRPr="00F36109">
              <w:rPr>
                <w:rFonts w:ascii="Times New Roman" w:hAnsi="Times New Roman" w:cs="Times New Roman"/>
                <w:color w:val="0D0D0D"/>
                <w:sz w:val="18"/>
                <w:szCs w:val="18"/>
              </w:rPr>
              <w:t>sufficient</w:t>
            </w:r>
            <w:proofErr w:type="gramEnd"/>
            <w:r w:rsidRPr="00F36109">
              <w:rPr>
                <w:rFonts w:ascii="Times New Roman" w:hAnsi="Times New Roman" w:cs="Times New Roman"/>
                <w:color w:val="0D0D0D"/>
                <w:sz w:val="18"/>
                <w:szCs w:val="18"/>
              </w:rPr>
              <w:t xml:space="preserve"> resources from </w:t>
            </w:r>
            <w:r w:rsidR="009776C8">
              <w:rPr>
                <w:rFonts w:ascii="Times New Roman" w:hAnsi="Times New Roman" w:cs="Times New Roman"/>
                <w:color w:val="0D0D0D"/>
                <w:sz w:val="18"/>
                <w:szCs w:val="18"/>
              </w:rPr>
              <w:t>contributors</w:t>
            </w:r>
            <w:r w:rsidRPr="00F36109">
              <w:rPr>
                <w:rFonts w:ascii="Times New Roman" w:hAnsi="Times New Roman" w:cs="Times New Roman"/>
                <w:color w:val="0D0D0D"/>
                <w:sz w:val="18"/>
                <w:szCs w:val="18"/>
              </w:rPr>
              <w:t xml:space="preserve"> to reach optimal operational levels </w:t>
            </w:r>
          </w:p>
        </w:tc>
        <w:tc>
          <w:tcPr>
            <w:tcW w:w="562" w:type="pct"/>
            <w:tcBorders>
              <w:top w:val="nil"/>
              <w:left w:val="nil"/>
              <w:bottom w:val="single" w:sz="4" w:space="0" w:color="auto"/>
              <w:right w:val="single" w:sz="4" w:space="0" w:color="auto"/>
            </w:tcBorders>
            <w:shd w:val="clear" w:color="auto" w:fill="auto"/>
            <w:vAlign w:val="center"/>
          </w:tcPr>
          <w:p w14:paraId="5C2A8E48"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Financial</w:t>
            </w:r>
          </w:p>
          <w:p w14:paraId="67A1350C"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Political</w:t>
            </w:r>
          </w:p>
          <w:p w14:paraId="2E7D05D8"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Strategic</w:t>
            </w:r>
          </w:p>
        </w:tc>
        <w:tc>
          <w:tcPr>
            <w:tcW w:w="1277" w:type="pct"/>
            <w:tcBorders>
              <w:top w:val="nil"/>
              <w:left w:val="nil"/>
              <w:bottom w:val="single" w:sz="4" w:space="0" w:color="auto"/>
              <w:right w:val="single" w:sz="4" w:space="0" w:color="auto"/>
            </w:tcBorders>
            <w:shd w:val="clear" w:color="auto" w:fill="auto"/>
            <w:vAlign w:val="center"/>
          </w:tcPr>
          <w:p w14:paraId="0D560C4F" w14:textId="77777777" w:rsidR="00D66A1D" w:rsidRPr="00F36109" w:rsidRDefault="00D66A1D" w:rsidP="00D66A1D">
            <w:pPr>
              <w:pStyle w:val="ListParagraph"/>
              <w:numPr>
                <w:ilvl w:val="0"/>
                <w:numId w:val="26"/>
              </w:numPr>
              <w:tabs>
                <w:tab w:val="left" w:pos="176"/>
              </w:tabs>
              <w:spacing w:after="0" w:line="240" w:lineRule="auto"/>
              <w:ind w:left="0" w:hanging="3"/>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The Fund operates below full capacity </w:t>
            </w:r>
          </w:p>
          <w:p w14:paraId="3922E833" w14:textId="77777777" w:rsidR="00D66A1D" w:rsidRPr="00F36109" w:rsidRDefault="00D66A1D" w:rsidP="00CF2BF7">
            <w:pPr>
              <w:pStyle w:val="ListParagraph"/>
              <w:tabs>
                <w:tab w:val="left" w:pos="176"/>
              </w:tabs>
              <w:spacing w:after="0" w:line="240" w:lineRule="auto"/>
              <w:ind w:left="179" w:hanging="179"/>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 xml:space="preserve">Probability: 3 </w:t>
            </w:r>
            <w:proofErr w:type="gramStart"/>
            <w:r w:rsidRPr="00F36109">
              <w:rPr>
                <w:rFonts w:ascii="Times New Roman" w:hAnsi="Times New Roman" w:cs="Times New Roman"/>
                <w:b/>
                <w:color w:val="0D0D0D"/>
                <w:sz w:val="18"/>
                <w:szCs w:val="18"/>
              </w:rPr>
              <w:t>/  Impact</w:t>
            </w:r>
            <w:proofErr w:type="gramEnd"/>
            <w:r w:rsidRPr="00F36109">
              <w:rPr>
                <w:rFonts w:ascii="Times New Roman" w:hAnsi="Times New Roman" w:cs="Times New Roman"/>
                <w:b/>
                <w:color w:val="0D0D0D"/>
                <w:sz w:val="18"/>
                <w:szCs w:val="18"/>
              </w:rPr>
              <w:t>: 3 = Moderate</w:t>
            </w:r>
          </w:p>
          <w:p w14:paraId="0B32BA88" w14:textId="77777777" w:rsidR="00D66A1D" w:rsidRPr="00F36109" w:rsidRDefault="00D66A1D" w:rsidP="00CF2BF7">
            <w:pPr>
              <w:spacing w:after="0" w:line="240" w:lineRule="auto"/>
              <w:jc w:val="both"/>
              <w:rPr>
                <w:rFonts w:ascii="Times New Roman" w:hAnsi="Times New Roman" w:cs="Times New Roman"/>
                <w:color w:val="0D0D0D"/>
                <w:sz w:val="18"/>
                <w:szCs w:val="18"/>
              </w:rPr>
            </w:pPr>
          </w:p>
          <w:p w14:paraId="342AAA41" w14:textId="77777777" w:rsidR="00D66A1D" w:rsidRPr="00F36109" w:rsidRDefault="00D66A1D" w:rsidP="00D66A1D">
            <w:pPr>
              <w:pStyle w:val="ListParagraph"/>
              <w:numPr>
                <w:ilvl w:val="0"/>
                <w:numId w:val="26"/>
              </w:numPr>
              <w:tabs>
                <w:tab w:val="left" w:pos="244"/>
              </w:tabs>
              <w:spacing w:after="0" w:line="240" w:lineRule="auto"/>
              <w:ind w:left="269" w:hanging="272"/>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The fund is unable to generate </w:t>
            </w:r>
            <w:proofErr w:type="gramStart"/>
            <w:r w:rsidRPr="00F36109">
              <w:rPr>
                <w:rFonts w:ascii="Times New Roman" w:hAnsi="Times New Roman" w:cs="Times New Roman"/>
                <w:color w:val="0D0D0D"/>
                <w:sz w:val="18"/>
                <w:szCs w:val="18"/>
              </w:rPr>
              <w:t>sufficient</w:t>
            </w:r>
            <w:proofErr w:type="gramEnd"/>
            <w:r w:rsidRPr="00F36109">
              <w:rPr>
                <w:rFonts w:ascii="Times New Roman" w:hAnsi="Times New Roman" w:cs="Times New Roman"/>
                <w:color w:val="0D0D0D"/>
                <w:sz w:val="18"/>
                <w:szCs w:val="18"/>
              </w:rPr>
              <w:t xml:space="preserve"> revenue to cover secretariat costs</w:t>
            </w:r>
          </w:p>
          <w:p w14:paraId="63D257F4" w14:textId="77777777" w:rsidR="00D66A1D" w:rsidRPr="00F36109" w:rsidRDefault="00D66A1D" w:rsidP="00CF2BF7">
            <w:pPr>
              <w:pStyle w:val="ListParagraph"/>
              <w:tabs>
                <w:tab w:val="left" w:pos="244"/>
              </w:tabs>
              <w:spacing w:after="0" w:line="240" w:lineRule="auto"/>
              <w:ind w:left="0"/>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Probability: 3 / Impact: 3</w:t>
            </w:r>
          </w:p>
          <w:p w14:paraId="17850B67" w14:textId="77777777" w:rsidR="00D66A1D" w:rsidRPr="00F36109" w:rsidRDefault="00D66A1D" w:rsidP="00CF2BF7">
            <w:pPr>
              <w:pStyle w:val="ListParagraph"/>
              <w:tabs>
                <w:tab w:val="left" w:pos="244"/>
              </w:tabs>
              <w:spacing w:after="0" w:line="240" w:lineRule="auto"/>
              <w:ind w:left="0"/>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 xml:space="preserve">= moderate </w:t>
            </w:r>
          </w:p>
        </w:tc>
        <w:tc>
          <w:tcPr>
            <w:tcW w:w="1656" w:type="pct"/>
            <w:tcBorders>
              <w:top w:val="nil"/>
              <w:left w:val="nil"/>
              <w:bottom w:val="single" w:sz="4" w:space="0" w:color="auto"/>
              <w:right w:val="single" w:sz="4" w:space="0" w:color="auto"/>
            </w:tcBorders>
            <w:shd w:val="clear" w:color="auto" w:fill="auto"/>
            <w:vAlign w:val="center"/>
          </w:tcPr>
          <w:p w14:paraId="66132723" w14:textId="4D8DEFE7" w:rsidR="00D66A1D" w:rsidRPr="00F36109" w:rsidRDefault="00D66A1D" w:rsidP="00D66A1D">
            <w:pPr>
              <w:pStyle w:val="ListParagraph"/>
              <w:numPr>
                <w:ilvl w:val="0"/>
                <w:numId w:val="27"/>
              </w:numPr>
              <w:spacing w:before="120" w:after="120" w:line="240" w:lineRule="auto"/>
              <w:ind w:left="346"/>
              <w:contextualSpacing w:val="0"/>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Build consensus among participating UN agencies of the importance of the fund, </w:t>
            </w:r>
            <w:r w:rsidR="009776C8" w:rsidRPr="00F36109">
              <w:rPr>
                <w:rFonts w:ascii="Times New Roman" w:hAnsi="Times New Roman" w:cs="Times New Roman"/>
                <w:color w:val="0D0D0D"/>
                <w:sz w:val="18"/>
                <w:szCs w:val="18"/>
              </w:rPr>
              <w:t>to</w:t>
            </w:r>
            <w:r w:rsidRPr="00F36109">
              <w:rPr>
                <w:rFonts w:ascii="Times New Roman" w:hAnsi="Times New Roman" w:cs="Times New Roman"/>
                <w:color w:val="0D0D0D"/>
                <w:sz w:val="18"/>
                <w:szCs w:val="18"/>
              </w:rPr>
              <w:t xml:space="preserve"> present strong UN-wide ownership message to potential donors.</w:t>
            </w:r>
          </w:p>
          <w:p w14:paraId="07D156D0" w14:textId="77777777" w:rsidR="00D66A1D" w:rsidRPr="00F36109" w:rsidRDefault="00D66A1D" w:rsidP="00D66A1D">
            <w:pPr>
              <w:pStyle w:val="ListParagraph"/>
              <w:numPr>
                <w:ilvl w:val="0"/>
                <w:numId w:val="27"/>
              </w:numPr>
              <w:spacing w:after="120" w:line="240" w:lineRule="auto"/>
              <w:ind w:left="346"/>
              <w:contextualSpacing w:val="0"/>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Resource mobilization plan developed and implemented by </w:t>
            </w:r>
            <w:r w:rsidRPr="009776C8">
              <w:rPr>
                <w:rFonts w:ascii="Times New Roman" w:hAnsi="Times New Roman" w:cs="Times New Roman"/>
                <w:color w:val="0D0D0D"/>
                <w:sz w:val="18"/>
                <w:szCs w:val="18"/>
              </w:rPr>
              <w:t>Strategic Advisory Group</w:t>
            </w:r>
            <w:r w:rsidRPr="00F36109">
              <w:rPr>
                <w:rFonts w:ascii="Times New Roman" w:hAnsi="Times New Roman" w:cs="Times New Roman"/>
                <w:color w:val="0D0D0D"/>
                <w:sz w:val="18"/>
                <w:szCs w:val="18"/>
              </w:rPr>
              <w:t xml:space="preserve"> and Operational Steering Committee</w:t>
            </w:r>
          </w:p>
          <w:p w14:paraId="59A4BB44" w14:textId="77777777" w:rsidR="00D66A1D" w:rsidRPr="00F36109" w:rsidRDefault="00D66A1D" w:rsidP="00D66A1D">
            <w:pPr>
              <w:pStyle w:val="ListParagraph"/>
              <w:numPr>
                <w:ilvl w:val="0"/>
                <w:numId w:val="27"/>
              </w:numPr>
              <w:spacing w:after="120" w:line="240" w:lineRule="auto"/>
              <w:ind w:left="346"/>
              <w:contextualSpacing w:val="0"/>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Adjust disbursement targets to reflect available resources.</w:t>
            </w:r>
          </w:p>
        </w:tc>
        <w:tc>
          <w:tcPr>
            <w:tcW w:w="619" w:type="pct"/>
            <w:tcBorders>
              <w:top w:val="nil"/>
              <w:left w:val="nil"/>
              <w:bottom w:val="single" w:sz="4" w:space="0" w:color="auto"/>
              <w:right w:val="single" w:sz="4" w:space="0" w:color="auto"/>
            </w:tcBorders>
            <w:shd w:val="clear" w:color="auto" w:fill="auto"/>
            <w:vAlign w:val="center"/>
          </w:tcPr>
          <w:p w14:paraId="1FB1017D" w14:textId="101C2830" w:rsidR="00D66A1D" w:rsidRPr="00F36109" w:rsidRDefault="00D66A1D" w:rsidP="00CF2BF7">
            <w:pPr>
              <w:spacing w:after="120" w:line="240" w:lineRule="auto"/>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JF </w:t>
            </w:r>
            <w:r w:rsidR="009776C8">
              <w:rPr>
                <w:rFonts w:ascii="Times New Roman" w:hAnsi="Times New Roman" w:cs="Times New Roman"/>
                <w:color w:val="0D0D0D"/>
                <w:sz w:val="18"/>
                <w:szCs w:val="18"/>
              </w:rPr>
              <w:t>SAG</w:t>
            </w:r>
          </w:p>
          <w:p w14:paraId="6492CD75" w14:textId="77777777" w:rsidR="00D66A1D" w:rsidRPr="00F36109" w:rsidRDefault="00D66A1D" w:rsidP="00CF2BF7">
            <w:pPr>
              <w:spacing w:after="120" w:line="240" w:lineRule="auto"/>
              <w:rPr>
                <w:rFonts w:ascii="Times New Roman" w:hAnsi="Times New Roman" w:cs="Times New Roman"/>
                <w:color w:val="0D0D0D"/>
                <w:sz w:val="18"/>
                <w:szCs w:val="18"/>
              </w:rPr>
            </w:pPr>
            <w:r w:rsidRPr="00F36109">
              <w:rPr>
                <w:rFonts w:ascii="Times New Roman" w:hAnsi="Times New Roman" w:cs="Times New Roman"/>
                <w:color w:val="0D0D0D"/>
                <w:sz w:val="18"/>
                <w:szCs w:val="18"/>
              </w:rPr>
              <w:t>JF OSC</w:t>
            </w:r>
          </w:p>
          <w:p w14:paraId="6EE0F26B" w14:textId="77777777" w:rsidR="00D66A1D" w:rsidRPr="00F36109" w:rsidRDefault="00D66A1D" w:rsidP="00CF2BF7">
            <w:pPr>
              <w:spacing w:after="120" w:line="240" w:lineRule="auto"/>
              <w:rPr>
                <w:rFonts w:ascii="Times New Roman" w:hAnsi="Times New Roman" w:cs="Times New Roman"/>
                <w:color w:val="0D0D0D"/>
                <w:sz w:val="18"/>
                <w:szCs w:val="18"/>
              </w:rPr>
            </w:pPr>
            <w:r w:rsidRPr="00F36109">
              <w:rPr>
                <w:rFonts w:ascii="Times New Roman" w:hAnsi="Times New Roman" w:cs="Times New Roman"/>
                <w:color w:val="0D0D0D"/>
                <w:sz w:val="18"/>
                <w:szCs w:val="18"/>
              </w:rPr>
              <w:t>JF Secretariat</w:t>
            </w:r>
          </w:p>
        </w:tc>
      </w:tr>
      <w:tr w:rsidR="00D66A1D" w:rsidRPr="00F36109" w14:paraId="2E543E11" w14:textId="77777777" w:rsidTr="00CF2BF7">
        <w:trPr>
          <w:trHeight w:val="2978"/>
        </w:trPr>
        <w:tc>
          <w:tcPr>
            <w:tcW w:w="165" w:type="pct"/>
            <w:tcBorders>
              <w:top w:val="nil"/>
              <w:left w:val="single" w:sz="4" w:space="0" w:color="auto"/>
              <w:bottom w:val="single" w:sz="4" w:space="0" w:color="auto"/>
              <w:right w:val="single" w:sz="4" w:space="0" w:color="auto"/>
            </w:tcBorders>
            <w:shd w:val="clear" w:color="auto" w:fill="auto"/>
            <w:vAlign w:val="center"/>
          </w:tcPr>
          <w:p w14:paraId="71B02370" w14:textId="77777777" w:rsidR="00D66A1D" w:rsidRPr="00F36109" w:rsidRDefault="00D66A1D" w:rsidP="00CF2BF7">
            <w:pPr>
              <w:spacing w:after="0" w:line="240" w:lineRule="auto"/>
              <w:jc w:val="both"/>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2</w:t>
            </w:r>
          </w:p>
        </w:tc>
        <w:tc>
          <w:tcPr>
            <w:tcW w:w="721" w:type="pct"/>
            <w:tcBorders>
              <w:top w:val="nil"/>
              <w:left w:val="nil"/>
              <w:bottom w:val="single" w:sz="4" w:space="0" w:color="auto"/>
              <w:right w:val="single" w:sz="4" w:space="0" w:color="auto"/>
            </w:tcBorders>
            <w:shd w:val="clear" w:color="auto" w:fill="auto"/>
            <w:vAlign w:val="center"/>
          </w:tcPr>
          <w:p w14:paraId="0D4C8284" w14:textId="77777777" w:rsidR="00D66A1D" w:rsidRPr="00F36109" w:rsidRDefault="00D66A1D" w:rsidP="00CF2BF7">
            <w:pPr>
              <w:spacing w:after="0" w:line="240" w:lineRule="auto"/>
              <w:rPr>
                <w:rFonts w:ascii="Times New Roman" w:hAnsi="Times New Roman" w:cs="Times New Roman"/>
                <w:color w:val="000000"/>
                <w:sz w:val="18"/>
                <w:szCs w:val="18"/>
              </w:rPr>
            </w:pPr>
            <w:r w:rsidRPr="00F36109">
              <w:rPr>
                <w:rFonts w:ascii="Times New Roman" w:hAnsi="Times New Roman" w:cs="Times New Roman"/>
                <w:color w:val="000000"/>
                <w:sz w:val="18"/>
                <w:szCs w:val="18"/>
              </w:rPr>
              <w:t>Weak involvement of participating UN organizations (PUNOS) in Joint SDG Fund</w:t>
            </w:r>
          </w:p>
        </w:tc>
        <w:tc>
          <w:tcPr>
            <w:tcW w:w="562" w:type="pct"/>
            <w:tcBorders>
              <w:top w:val="nil"/>
              <w:left w:val="nil"/>
              <w:bottom w:val="single" w:sz="4" w:space="0" w:color="auto"/>
              <w:right w:val="single" w:sz="4" w:space="0" w:color="auto"/>
            </w:tcBorders>
            <w:shd w:val="clear" w:color="auto" w:fill="auto"/>
            <w:vAlign w:val="center"/>
          </w:tcPr>
          <w:p w14:paraId="4B37BB20" w14:textId="77777777" w:rsidR="00D66A1D" w:rsidRPr="00F36109" w:rsidRDefault="00D66A1D" w:rsidP="00CF2BF7">
            <w:pPr>
              <w:spacing w:before="120"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Programmatic</w:t>
            </w:r>
          </w:p>
          <w:p w14:paraId="341284CE" w14:textId="77777777" w:rsidR="00D66A1D" w:rsidRPr="00F36109" w:rsidRDefault="00D66A1D" w:rsidP="00CF2BF7">
            <w:pPr>
              <w:spacing w:before="120"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Strategic</w:t>
            </w:r>
          </w:p>
        </w:tc>
        <w:tc>
          <w:tcPr>
            <w:tcW w:w="1277" w:type="pct"/>
            <w:tcBorders>
              <w:top w:val="nil"/>
              <w:left w:val="nil"/>
              <w:bottom w:val="single" w:sz="4" w:space="0" w:color="auto"/>
              <w:right w:val="single" w:sz="4" w:space="0" w:color="auto"/>
            </w:tcBorders>
            <w:shd w:val="clear" w:color="auto" w:fill="auto"/>
            <w:vAlign w:val="center"/>
          </w:tcPr>
          <w:p w14:paraId="457DA5EE" w14:textId="77777777" w:rsidR="00D66A1D" w:rsidRPr="00F36109" w:rsidRDefault="00D66A1D" w:rsidP="00D66A1D">
            <w:pPr>
              <w:pStyle w:val="ListParagraph"/>
              <w:numPr>
                <w:ilvl w:val="0"/>
                <w:numId w:val="28"/>
              </w:numPr>
              <w:spacing w:before="120" w:after="0" w:line="240" w:lineRule="auto"/>
              <w:ind w:left="331" w:hanging="331"/>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The Fund is unable to draw from system-wide expertise to develop and deliver quality integrated policy services</w:t>
            </w:r>
          </w:p>
          <w:p w14:paraId="0053862A" w14:textId="77777777" w:rsidR="00D66A1D" w:rsidRPr="00F36109" w:rsidRDefault="00D66A1D" w:rsidP="00CF2BF7">
            <w:pPr>
              <w:pStyle w:val="ListParagraph"/>
              <w:spacing w:after="0" w:line="240" w:lineRule="auto"/>
              <w:ind w:left="0"/>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Probability: 3 / Impact: 3</w:t>
            </w:r>
          </w:p>
          <w:p w14:paraId="1F4E9F8C" w14:textId="77777777" w:rsidR="00D66A1D" w:rsidRPr="00F36109" w:rsidRDefault="00D66A1D" w:rsidP="00CF2BF7">
            <w:pPr>
              <w:pStyle w:val="ListParagraph"/>
              <w:spacing w:after="0" w:line="240" w:lineRule="auto"/>
              <w:ind w:left="0"/>
              <w:rPr>
                <w:rFonts w:ascii="Times New Roman" w:hAnsi="Times New Roman" w:cs="Times New Roman"/>
                <w:b/>
                <w:color w:val="000000"/>
                <w:sz w:val="18"/>
                <w:szCs w:val="18"/>
              </w:rPr>
            </w:pPr>
            <w:r w:rsidRPr="00F36109">
              <w:rPr>
                <w:rFonts w:ascii="Times New Roman" w:hAnsi="Times New Roman" w:cs="Times New Roman"/>
                <w:b/>
                <w:color w:val="0D0D0D"/>
                <w:sz w:val="18"/>
                <w:szCs w:val="18"/>
              </w:rPr>
              <w:t>= moderate</w:t>
            </w:r>
          </w:p>
          <w:p w14:paraId="264B90BC" w14:textId="77777777" w:rsidR="00D66A1D" w:rsidRPr="00F36109" w:rsidRDefault="00D66A1D" w:rsidP="00CF2BF7">
            <w:pPr>
              <w:pStyle w:val="ListParagraph"/>
              <w:spacing w:before="120" w:after="0" w:line="240" w:lineRule="auto"/>
              <w:ind w:left="331"/>
              <w:rPr>
                <w:rFonts w:ascii="Times New Roman" w:hAnsi="Times New Roman" w:cs="Times New Roman"/>
                <w:color w:val="000000"/>
                <w:sz w:val="18"/>
                <w:szCs w:val="18"/>
              </w:rPr>
            </w:pPr>
          </w:p>
          <w:p w14:paraId="3BFC3A1D" w14:textId="77777777" w:rsidR="00D66A1D" w:rsidRPr="00F36109" w:rsidRDefault="00D66A1D" w:rsidP="00D66A1D">
            <w:pPr>
              <w:pStyle w:val="ListParagraph"/>
              <w:numPr>
                <w:ilvl w:val="0"/>
                <w:numId w:val="28"/>
              </w:numPr>
              <w:spacing w:before="120" w:after="0" w:line="240" w:lineRule="auto"/>
              <w:ind w:left="331" w:hanging="331"/>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The Fund is unable to achieve its objective of greater UN coherence</w:t>
            </w:r>
          </w:p>
          <w:p w14:paraId="564E3EC1" w14:textId="77777777" w:rsidR="00D66A1D" w:rsidRPr="00F36109" w:rsidRDefault="00D66A1D" w:rsidP="00CF2BF7">
            <w:pPr>
              <w:spacing w:after="0" w:line="240" w:lineRule="auto"/>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Probability: 1 / Impact: 2</w:t>
            </w:r>
          </w:p>
          <w:p w14:paraId="12CA5240" w14:textId="77777777" w:rsidR="00D66A1D" w:rsidRPr="00F36109" w:rsidRDefault="00D66A1D" w:rsidP="00CF2BF7">
            <w:pPr>
              <w:pStyle w:val="ListParagraph"/>
              <w:spacing w:after="0" w:line="240" w:lineRule="auto"/>
              <w:ind w:left="331"/>
              <w:contextualSpacing w:val="0"/>
              <w:rPr>
                <w:rFonts w:ascii="Times New Roman" w:hAnsi="Times New Roman" w:cs="Times New Roman"/>
                <w:color w:val="000000"/>
                <w:sz w:val="18"/>
                <w:szCs w:val="18"/>
              </w:rPr>
            </w:pPr>
            <w:r w:rsidRPr="00F36109">
              <w:rPr>
                <w:rFonts w:ascii="Times New Roman" w:hAnsi="Times New Roman" w:cs="Times New Roman"/>
                <w:b/>
                <w:color w:val="000000"/>
                <w:sz w:val="18"/>
                <w:szCs w:val="18"/>
              </w:rPr>
              <w:t>= low risk</w:t>
            </w:r>
          </w:p>
        </w:tc>
        <w:tc>
          <w:tcPr>
            <w:tcW w:w="1656" w:type="pct"/>
            <w:tcBorders>
              <w:top w:val="nil"/>
              <w:left w:val="nil"/>
              <w:bottom w:val="single" w:sz="4" w:space="0" w:color="auto"/>
              <w:right w:val="single" w:sz="4" w:space="0" w:color="auto"/>
            </w:tcBorders>
            <w:shd w:val="clear" w:color="auto" w:fill="auto"/>
            <w:vAlign w:val="center"/>
          </w:tcPr>
          <w:p w14:paraId="76C21672" w14:textId="77777777" w:rsidR="00D66A1D" w:rsidRPr="00F36109" w:rsidRDefault="00D66A1D" w:rsidP="00CF2BF7">
            <w:pPr>
              <w:spacing w:before="120" w:after="120" w:line="240" w:lineRule="auto"/>
              <w:ind w:left="8"/>
              <w:jc w:val="both"/>
              <w:rPr>
                <w:rFonts w:ascii="Times New Roman" w:hAnsi="Times New Roman" w:cs="Times New Roman"/>
                <w:sz w:val="18"/>
                <w:szCs w:val="18"/>
              </w:rPr>
            </w:pPr>
            <w:r w:rsidRPr="00F36109">
              <w:rPr>
                <w:rFonts w:ascii="Times New Roman" w:hAnsi="Times New Roman" w:cs="Times New Roman"/>
                <w:sz w:val="18"/>
                <w:szCs w:val="18"/>
              </w:rPr>
              <w:t>1. Ensure full buy-in and engagement of PUNOs at senior and technical levels throughout Joint SDG Fund implementation phases by ensuring:</w:t>
            </w:r>
          </w:p>
          <w:p w14:paraId="0EE41245" w14:textId="77777777" w:rsidR="00D66A1D" w:rsidRPr="00F36109" w:rsidRDefault="00D66A1D" w:rsidP="00CF2BF7">
            <w:pPr>
              <w:spacing w:before="120" w:after="120" w:line="240" w:lineRule="auto"/>
              <w:ind w:left="8"/>
              <w:jc w:val="both"/>
              <w:rPr>
                <w:rFonts w:ascii="Times New Roman" w:hAnsi="Times New Roman" w:cs="Times New Roman"/>
                <w:sz w:val="18"/>
                <w:szCs w:val="18"/>
              </w:rPr>
            </w:pPr>
            <w:r w:rsidRPr="00F36109">
              <w:rPr>
                <w:rFonts w:ascii="Times New Roman" w:hAnsi="Times New Roman" w:cs="Times New Roman"/>
                <w:sz w:val="18"/>
                <w:szCs w:val="18"/>
              </w:rPr>
              <w:t>a. Robust financial incentives for PUNOs engagement</w:t>
            </w:r>
          </w:p>
          <w:p w14:paraId="5E9DA879" w14:textId="77777777" w:rsidR="00D66A1D" w:rsidRPr="00F36109" w:rsidRDefault="00D66A1D" w:rsidP="00CF2BF7">
            <w:pPr>
              <w:spacing w:before="120" w:after="120" w:line="240" w:lineRule="auto"/>
              <w:ind w:left="8"/>
              <w:jc w:val="both"/>
              <w:rPr>
                <w:rFonts w:ascii="Times New Roman" w:hAnsi="Times New Roman" w:cs="Times New Roman"/>
                <w:sz w:val="18"/>
                <w:szCs w:val="18"/>
              </w:rPr>
            </w:pPr>
            <w:r w:rsidRPr="00F36109">
              <w:rPr>
                <w:rFonts w:ascii="Times New Roman" w:hAnsi="Times New Roman" w:cs="Times New Roman"/>
                <w:sz w:val="18"/>
                <w:szCs w:val="18"/>
              </w:rPr>
              <w:t xml:space="preserve">b. Drawing on expertise of HQ and Regional policy support </w:t>
            </w:r>
          </w:p>
        </w:tc>
        <w:tc>
          <w:tcPr>
            <w:tcW w:w="619" w:type="pct"/>
            <w:tcBorders>
              <w:top w:val="nil"/>
              <w:left w:val="nil"/>
              <w:bottom w:val="single" w:sz="4" w:space="0" w:color="auto"/>
              <w:right w:val="single" w:sz="4" w:space="0" w:color="auto"/>
            </w:tcBorders>
            <w:shd w:val="clear" w:color="auto" w:fill="auto"/>
            <w:vAlign w:val="center"/>
          </w:tcPr>
          <w:p w14:paraId="615507C4" w14:textId="77777777" w:rsidR="00D66A1D" w:rsidRPr="00F36109" w:rsidRDefault="00D66A1D" w:rsidP="00CF2BF7">
            <w:pPr>
              <w:spacing w:after="120" w:line="240" w:lineRule="auto"/>
              <w:rPr>
                <w:rFonts w:ascii="Times New Roman" w:hAnsi="Times New Roman" w:cs="Times New Roman"/>
                <w:color w:val="0D0D0D"/>
                <w:sz w:val="18"/>
                <w:szCs w:val="18"/>
              </w:rPr>
            </w:pPr>
          </w:p>
          <w:p w14:paraId="1617D3EE" w14:textId="77777777" w:rsidR="00D66A1D" w:rsidRPr="00F36109" w:rsidRDefault="00D66A1D" w:rsidP="00CF2BF7">
            <w:pPr>
              <w:spacing w:after="120" w:line="240" w:lineRule="auto"/>
              <w:rPr>
                <w:rFonts w:ascii="Times New Roman" w:hAnsi="Times New Roman" w:cs="Times New Roman"/>
                <w:color w:val="0D0D0D"/>
                <w:sz w:val="18"/>
                <w:szCs w:val="18"/>
              </w:rPr>
            </w:pPr>
          </w:p>
          <w:p w14:paraId="2B2A1041" w14:textId="77777777" w:rsidR="00D66A1D" w:rsidRPr="00F36109" w:rsidRDefault="00D66A1D" w:rsidP="00CF2BF7">
            <w:pPr>
              <w:spacing w:after="120" w:line="240" w:lineRule="auto"/>
              <w:rPr>
                <w:rFonts w:ascii="Times New Roman" w:hAnsi="Times New Roman" w:cs="Times New Roman"/>
                <w:color w:val="0D0D0D"/>
                <w:sz w:val="18"/>
                <w:szCs w:val="18"/>
              </w:rPr>
            </w:pPr>
          </w:p>
          <w:p w14:paraId="07BE4956" w14:textId="77777777" w:rsidR="00D66A1D" w:rsidRPr="00F36109" w:rsidRDefault="00D66A1D" w:rsidP="00CF2BF7">
            <w:pPr>
              <w:spacing w:after="120" w:line="240" w:lineRule="auto"/>
              <w:rPr>
                <w:rFonts w:ascii="Times New Roman" w:hAnsi="Times New Roman" w:cs="Times New Roman"/>
                <w:color w:val="0D0D0D"/>
                <w:sz w:val="18"/>
                <w:szCs w:val="18"/>
              </w:rPr>
            </w:pPr>
          </w:p>
          <w:p w14:paraId="2A1012CE" w14:textId="77777777" w:rsidR="00D66A1D" w:rsidRPr="00F36109" w:rsidRDefault="00D66A1D" w:rsidP="00CF2BF7">
            <w:pPr>
              <w:spacing w:after="120" w:line="240" w:lineRule="auto"/>
              <w:rPr>
                <w:rFonts w:ascii="Times New Roman" w:hAnsi="Times New Roman" w:cs="Times New Roman"/>
                <w:color w:val="000000"/>
                <w:sz w:val="18"/>
                <w:szCs w:val="18"/>
              </w:rPr>
            </w:pPr>
            <w:r w:rsidRPr="00F36109">
              <w:rPr>
                <w:rFonts w:ascii="Times New Roman" w:hAnsi="Times New Roman" w:cs="Times New Roman"/>
                <w:color w:val="0D0D0D"/>
                <w:sz w:val="18"/>
                <w:szCs w:val="18"/>
              </w:rPr>
              <w:t>JF OSC</w:t>
            </w:r>
            <w:r w:rsidRPr="00F36109">
              <w:rPr>
                <w:rFonts w:ascii="Times New Roman" w:hAnsi="Times New Roman" w:cs="Times New Roman"/>
                <w:color w:val="000000"/>
                <w:sz w:val="18"/>
                <w:szCs w:val="18"/>
              </w:rPr>
              <w:t xml:space="preserve"> </w:t>
            </w:r>
          </w:p>
          <w:p w14:paraId="45AE22E8" w14:textId="77777777" w:rsidR="00D66A1D" w:rsidRPr="00F36109" w:rsidRDefault="00D66A1D" w:rsidP="00CF2BF7">
            <w:pPr>
              <w:spacing w:after="120" w:line="240" w:lineRule="auto"/>
              <w:rPr>
                <w:rFonts w:ascii="Times New Roman" w:hAnsi="Times New Roman" w:cs="Times New Roman"/>
                <w:color w:val="000000"/>
                <w:sz w:val="18"/>
                <w:szCs w:val="18"/>
              </w:rPr>
            </w:pPr>
            <w:r w:rsidRPr="00F36109">
              <w:rPr>
                <w:rFonts w:ascii="Times New Roman" w:hAnsi="Times New Roman" w:cs="Times New Roman"/>
                <w:color w:val="000000"/>
                <w:sz w:val="18"/>
                <w:szCs w:val="18"/>
              </w:rPr>
              <w:t>JF Secretariat</w:t>
            </w:r>
          </w:p>
          <w:p w14:paraId="447DEF5B" w14:textId="77777777" w:rsidR="00D66A1D" w:rsidRPr="00F36109" w:rsidRDefault="00D66A1D" w:rsidP="00CF2BF7">
            <w:pPr>
              <w:spacing w:after="120" w:line="240" w:lineRule="auto"/>
              <w:rPr>
                <w:rFonts w:ascii="Times New Roman" w:hAnsi="Times New Roman" w:cs="Times New Roman"/>
                <w:color w:val="000000"/>
                <w:sz w:val="18"/>
                <w:szCs w:val="18"/>
              </w:rPr>
            </w:pPr>
          </w:p>
        </w:tc>
      </w:tr>
      <w:tr w:rsidR="00D66A1D" w:rsidRPr="00F36109" w14:paraId="67F11FB8" w14:textId="77777777" w:rsidTr="00CF2BF7">
        <w:trPr>
          <w:trHeight w:val="966"/>
        </w:trPr>
        <w:tc>
          <w:tcPr>
            <w:tcW w:w="165" w:type="pct"/>
            <w:tcBorders>
              <w:top w:val="nil"/>
              <w:left w:val="single" w:sz="4" w:space="0" w:color="auto"/>
              <w:bottom w:val="single" w:sz="4" w:space="0" w:color="auto"/>
              <w:right w:val="single" w:sz="4" w:space="0" w:color="auto"/>
            </w:tcBorders>
            <w:shd w:val="clear" w:color="auto" w:fill="auto"/>
            <w:vAlign w:val="center"/>
            <w:hideMark/>
          </w:tcPr>
          <w:p w14:paraId="70DDDB01"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3</w:t>
            </w:r>
          </w:p>
        </w:tc>
        <w:tc>
          <w:tcPr>
            <w:tcW w:w="721" w:type="pct"/>
            <w:tcBorders>
              <w:top w:val="nil"/>
              <w:left w:val="nil"/>
              <w:bottom w:val="single" w:sz="4" w:space="0" w:color="auto"/>
              <w:right w:val="single" w:sz="4" w:space="0" w:color="auto"/>
            </w:tcBorders>
            <w:shd w:val="clear" w:color="auto" w:fill="auto"/>
            <w:vAlign w:val="center"/>
          </w:tcPr>
          <w:p w14:paraId="0A27A47C" w14:textId="77777777" w:rsidR="00D66A1D" w:rsidRPr="00F36109" w:rsidRDefault="00D66A1D" w:rsidP="00CF2BF7">
            <w:pPr>
              <w:spacing w:after="0" w:line="240" w:lineRule="auto"/>
              <w:rPr>
                <w:rFonts w:ascii="Times New Roman" w:hAnsi="Times New Roman" w:cs="Times New Roman"/>
                <w:color w:val="000000"/>
                <w:sz w:val="18"/>
                <w:szCs w:val="18"/>
              </w:rPr>
            </w:pPr>
            <w:r w:rsidRPr="00F36109">
              <w:rPr>
                <w:rFonts w:ascii="Times New Roman" w:hAnsi="Times New Roman" w:cs="Times New Roman"/>
                <w:color w:val="000000"/>
                <w:sz w:val="18"/>
                <w:szCs w:val="18"/>
              </w:rPr>
              <w:t>Fund implementation is delayed due to decisions and changes introduced by government counterparts</w:t>
            </w:r>
          </w:p>
        </w:tc>
        <w:tc>
          <w:tcPr>
            <w:tcW w:w="562" w:type="pct"/>
            <w:tcBorders>
              <w:top w:val="nil"/>
              <w:left w:val="nil"/>
              <w:bottom w:val="single" w:sz="4" w:space="0" w:color="auto"/>
              <w:right w:val="single" w:sz="4" w:space="0" w:color="auto"/>
            </w:tcBorders>
            <w:shd w:val="clear" w:color="auto" w:fill="auto"/>
            <w:vAlign w:val="center"/>
          </w:tcPr>
          <w:p w14:paraId="2DDDEAE9" w14:textId="77777777" w:rsidR="00D66A1D" w:rsidRPr="00F36109" w:rsidRDefault="00D66A1D" w:rsidP="00CF2BF7">
            <w:pPr>
              <w:spacing w:before="120"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Contextual</w:t>
            </w:r>
          </w:p>
          <w:p w14:paraId="3589B986" w14:textId="77777777" w:rsidR="00D66A1D" w:rsidRPr="00F36109" w:rsidRDefault="00D66A1D" w:rsidP="00CF2BF7">
            <w:pPr>
              <w:spacing w:before="120"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Programmatic</w:t>
            </w:r>
          </w:p>
          <w:p w14:paraId="7F9F0B17" w14:textId="77777777" w:rsidR="00D66A1D" w:rsidRPr="00F36109" w:rsidRDefault="00D66A1D" w:rsidP="00CF2BF7">
            <w:pPr>
              <w:spacing w:before="120"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Political</w:t>
            </w:r>
          </w:p>
        </w:tc>
        <w:tc>
          <w:tcPr>
            <w:tcW w:w="1277" w:type="pct"/>
            <w:tcBorders>
              <w:top w:val="nil"/>
              <w:left w:val="nil"/>
              <w:bottom w:val="single" w:sz="4" w:space="0" w:color="auto"/>
              <w:right w:val="single" w:sz="4" w:space="0" w:color="auto"/>
            </w:tcBorders>
            <w:shd w:val="clear" w:color="auto" w:fill="auto"/>
            <w:vAlign w:val="center"/>
          </w:tcPr>
          <w:p w14:paraId="13796127" w14:textId="77777777" w:rsidR="00D66A1D" w:rsidRPr="00F36109" w:rsidRDefault="00D66A1D" w:rsidP="00D66A1D">
            <w:pPr>
              <w:pStyle w:val="ListParagraph"/>
              <w:numPr>
                <w:ilvl w:val="0"/>
                <w:numId w:val="28"/>
              </w:numPr>
              <w:spacing w:before="120" w:after="0" w:line="240" w:lineRule="auto"/>
              <w:ind w:left="331" w:hanging="331"/>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JP implementation is delayed</w:t>
            </w:r>
          </w:p>
          <w:p w14:paraId="3290C8F2" w14:textId="77777777" w:rsidR="00D66A1D" w:rsidRPr="00F36109" w:rsidRDefault="00D66A1D" w:rsidP="00CF2BF7">
            <w:pPr>
              <w:pStyle w:val="ListParagraph"/>
              <w:spacing w:after="0" w:line="240" w:lineRule="auto"/>
              <w:ind w:left="0"/>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Probability: 3 / Impact: 4</w:t>
            </w:r>
          </w:p>
          <w:p w14:paraId="7779B318" w14:textId="77777777" w:rsidR="00D66A1D" w:rsidRPr="00F36109" w:rsidRDefault="00D66A1D" w:rsidP="00CF2BF7">
            <w:pPr>
              <w:pStyle w:val="ListParagraph"/>
              <w:spacing w:after="0" w:line="240" w:lineRule="auto"/>
              <w:ind w:left="0"/>
              <w:rPr>
                <w:rFonts w:ascii="Times New Roman" w:hAnsi="Times New Roman" w:cs="Times New Roman"/>
                <w:b/>
                <w:color w:val="000000"/>
                <w:sz w:val="18"/>
                <w:szCs w:val="18"/>
              </w:rPr>
            </w:pPr>
            <w:r w:rsidRPr="00F36109">
              <w:rPr>
                <w:rFonts w:ascii="Times New Roman" w:hAnsi="Times New Roman" w:cs="Times New Roman"/>
                <w:b/>
                <w:color w:val="0D0D0D"/>
                <w:sz w:val="18"/>
                <w:szCs w:val="18"/>
              </w:rPr>
              <w:t>= high risk</w:t>
            </w:r>
          </w:p>
          <w:p w14:paraId="12D88EFE" w14:textId="77777777" w:rsidR="00D66A1D" w:rsidRPr="00F36109" w:rsidRDefault="00D66A1D" w:rsidP="00CF2BF7">
            <w:pPr>
              <w:pStyle w:val="ListParagraph"/>
              <w:spacing w:after="0" w:line="240" w:lineRule="auto"/>
              <w:ind w:left="332"/>
              <w:rPr>
                <w:rFonts w:ascii="Times New Roman" w:hAnsi="Times New Roman" w:cs="Times New Roman"/>
                <w:color w:val="000000"/>
                <w:sz w:val="18"/>
                <w:szCs w:val="18"/>
              </w:rPr>
            </w:pPr>
          </w:p>
          <w:p w14:paraId="18F24FB6" w14:textId="77777777" w:rsidR="00D66A1D" w:rsidRPr="00F36109" w:rsidRDefault="00D66A1D" w:rsidP="00D66A1D">
            <w:pPr>
              <w:pStyle w:val="ListParagraph"/>
              <w:numPr>
                <w:ilvl w:val="0"/>
                <w:numId w:val="28"/>
              </w:numPr>
              <w:spacing w:after="0" w:line="240" w:lineRule="auto"/>
              <w:ind w:left="332" w:hanging="332"/>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Joint SDG Fund funds remain unspent </w:t>
            </w:r>
          </w:p>
          <w:p w14:paraId="22E8BDC1" w14:textId="77777777" w:rsidR="00D66A1D" w:rsidRPr="00F36109" w:rsidRDefault="00D66A1D" w:rsidP="00CF2BF7">
            <w:pPr>
              <w:spacing w:after="120" w:line="240" w:lineRule="auto"/>
              <w:jc w:val="both"/>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 xml:space="preserve">Probability: 3 / Impact: 4/ </w:t>
            </w:r>
            <w:r w:rsidRPr="00F36109">
              <w:rPr>
                <w:rFonts w:ascii="Times New Roman" w:hAnsi="Times New Roman" w:cs="Times New Roman"/>
                <w:b/>
                <w:color w:val="0D0D0D"/>
                <w:sz w:val="18"/>
                <w:szCs w:val="18"/>
              </w:rPr>
              <w:t>= high risk</w:t>
            </w:r>
          </w:p>
        </w:tc>
        <w:tc>
          <w:tcPr>
            <w:tcW w:w="1656" w:type="pct"/>
            <w:tcBorders>
              <w:top w:val="nil"/>
              <w:left w:val="nil"/>
              <w:bottom w:val="single" w:sz="4" w:space="0" w:color="auto"/>
              <w:right w:val="single" w:sz="4" w:space="0" w:color="auto"/>
            </w:tcBorders>
            <w:shd w:val="clear" w:color="auto" w:fill="auto"/>
            <w:vAlign w:val="center"/>
          </w:tcPr>
          <w:p w14:paraId="55C45746" w14:textId="77777777" w:rsidR="00D66A1D" w:rsidRPr="00F36109" w:rsidRDefault="00D66A1D" w:rsidP="00CF2BF7">
            <w:pPr>
              <w:spacing w:before="120" w:after="120" w:line="240" w:lineRule="auto"/>
              <w:ind w:left="360" w:hanging="308"/>
              <w:jc w:val="both"/>
              <w:rPr>
                <w:rFonts w:ascii="Times New Roman" w:hAnsi="Times New Roman" w:cs="Times New Roman"/>
                <w:sz w:val="18"/>
                <w:szCs w:val="18"/>
              </w:rPr>
            </w:pPr>
            <w:r w:rsidRPr="00F36109">
              <w:rPr>
                <w:rFonts w:ascii="Times New Roman" w:hAnsi="Times New Roman" w:cs="Times New Roman"/>
                <w:sz w:val="18"/>
                <w:szCs w:val="18"/>
              </w:rPr>
              <w:t>1. Ensure regular communication with relevant government officials through JP Steering Committee.</w:t>
            </w:r>
          </w:p>
          <w:p w14:paraId="6855012D" w14:textId="32F9F8D1" w:rsidR="00D66A1D" w:rsidRPr="00F36109" w:rsidRDefault="00D66A1D" w:rsidP="00CF2BF7">
            <w:pPr>
              <w:spacing w:after="120" w:line="240" w:lineRule="auto"/>
              <w:ind w:left="360" w:hanging="308"/>
              <w:jc w:val="both"/>
              <w:rPr>
                <w:rFonts w:ascii="Times New Roman" w:hAnsi="Times New Roman" w:cs="Times New Roman"/>
                <w:sz w:val="18"/>
                <w:szCs w:val="18"/>
              </w:rPr>
            </w:pPr>
            <w:r w:rsidRPr="00F36109">
              <w:rPr>
                <w:rFonts w:ascii="Times New Roman" w:hAnsi="Times New Roman" w:cs="Times New Roman"/>
                <w:sz w:val="18"/>
                <w:szCs w:val="18"/>
              </w:rPr>
              <w:t xml:space="preserve">2. Installment </w:t>
            </w:r>
            <w:r w:rsidR="009776C8">
              <w:rPr>
                <w:rFonts w:ascii="Times New Roman" w:hAnsi="Times New Roman" w:cs="Times New Roman"/>
                <w:sz w:val="18"/>
                <w:szCs w:val="18"/>
              </w:rPr>
              <w:t xml:space="preserve">of </w:t>
            </w:r>
            <w:r w:rsidRPr="00F36109">
              <w:rPr>
                <w:rFonts w:ascii="Times New Roman" w:hAnsi="Times New Roman" w:cs="Times New Roman"/>
                <w:sz w:val="18"/>
                <w:szCs w:val="18"/>
              </w:rPr>
              <w:t>payments based on progress towards WP milestones.</w:t>
            </w:r>
          </w:p>
          <w:p w14:paraId="201B1901" w14:textId="77777777" w:rsidR="00D66A1D" w:rsidRPr="00F36109" w:rsidRDefault="00D66A1D" w:rsidP="00CF2BF7">
            <w:pPr>
              <w:spacing w:after="120" w:line="240" w:lineRule="auto"/>
              <w:ind w:left="360" w:hanging="308"/>
              <w:jc w:val="both"/>
              <w:rPr>
                <w:rFonts w:ascii="Times New Roman" w:hAnsi="Times New Roman" w:cs="Times New Roman"/>
              </w:rPr>
            </w:pPr>
            <w:r w:rsidRPr="00F36109">
              <w:rPr>
                <w:rFonts w:ascii="Times New Roman" w:hAnsi="Times New Roman" w:cs="Times New Roman"/>
                <w:sz w:val="18"/>
                <w:szCs w:val="18"/>
              </w:rPr>
              <w:t>3.</w:t>
            </w:r>
            <w:r w:rsidRPr="00F36109">
              <w:rPr>
                <w:rFonts w:ascii="Times New Roman" w:hAnsi="Times New Roman" w:cs="Times New Roman"/>
              </w:rPr>
              <w:t xml:space="preserve"> </w:t>
            </w:r>
            <w:r w:rsidRPr="00F36109">
              <w:rPr>
                <w:rFonts w:ascii="Times New Roman" w:hAnsi="Times New Roman" w:cs="Times New Roman"/>
                <w:sz w:val="18"/>
                <w:szCs w:val="18"/>
              </w:rPr>
              <w:t>Undertake rigorous monitoring and MTR of JP to ensure that existing program implementation framework is still</w:t>
            </w:r>
            <w:r w:rsidRPr="00F36109">
              <w:rPr>
                <w:rFonts w:ascii="Times New Roman" w:hAnsi="Times New Roman" w:cs="Times New Roman"/>
              </w:rPr>
              <w:t xml:space="preserve"> </w:t>
            </w:r>
            <w:r w:rsidRPr="00F36109">
              <w:rPr>
                <w:rFonts w:ascii="Times New Roman" w:hAnsi="Times New Roman" w:cs="Times New Roman"/>
                <w:sz w:val="18"/>
                <w:szCs w:val="18"/>
              </w:rPr>
              <w:t>appropriate and necessary adjustments incorporated</w:t>
            </w:r>
          </w:p>
        </w:tc>
        <w:tc>
          <w:tcPr>
            <w:tcW w:w="619" w:type="pct"/>
            <w:tcBorders>
              <w:top w:val="nil"/>
              <w:left w:val="nil"/>
              <w:bottom w:val="single" w:sz="4" w:space="0" w:color="auto"/>
              <w:right w:val="single" w:sz="4" w:space="0" w:color="auto"/>
            </w:tcBorders>
            <w:shd w:val="clear" w:color="auto" w:fill="auto"/>
            <w:vAlign w:val="center"/>
          </w:tcPr>
          <w:p w14:paraId="4A9B064B"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JP National St.Com.</w:t>
            </w:r>
          </w:p>
          <w:p w14:paraId="384D374D"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JF Secretariat </w:t>
            </w:r>
          </w:p>
          <w:p w14:paraId="054F4677"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JP National St.Com.</w:t>
            </w:r>
          </w:p>
          <w:p w14:paraId="4D4EED44" w14:textId="77777777" w:rsidR="00D66A1D" w:rsidRPr="00F36109" w:rsidRDefault="00D66A1D" w:rsidP="00CF2BF7">
            <w:pPr>
              <w:spacing w:after="120" w:line="240" w:lineRule="auto"/>
              <w:jc w:val="both"/>
              <w:rPr>
                <w:rFonts w:ascii="Times New Roman" w:hAnsi="Times New Roman" w:cs="Times New Roman"/>
                <w:color w:val="000000"/>
                <w:sz w:val="18"/>
                <w:szCs w:val="18"/>
              </w:rPr>
            </w:pPr>
          </w:p>
        </w:tc>
      </w:tr>
      <w:tr w:rsidR="00D66A1D" w:rsidRPr="00F36109" w14:paraId="643F9BB4" w14:textId="77777777" w:rsidTr="00CF2BF7">
        <w:trPr>
          <w:trHeight w:val="994"/>
        </w:trPr>
        <w:tc>
          <w:tcPr>
            <w:tcW w:w="165" w:type="pct"/>
            <w:tcBorders>
              <w:top w:val="nil"/>
              <w:left w:val="single" w:sz="4" w:space="0" w:color="auto"/>
              <w:bottom w:val="single" w:sz="4" w:space="0" w:color="auto"/>
              <w:right w:val="single" w:sz="4" w:space="0" w:color="auto"/>
            </w:tcBorders>
            <w:shd w:val="clear" w:color="auto" w:fill="auto"/>
            <w:vAlign w:val="center"/>
            <w:hideMark/>
          </w:tcPr>
          <w:p w14:paraId="285AC3C4" w14:textId="77777777" w:rsidR="00D66A1D" w:rsidRPr="00F36109" w:rsidRDefault="00D66A1D" w:rsidP="00CF2BF7">
            <w:pPr>
              <w:spacing w:after="0" w:line="240" w:lineRule="auto"/>
              <w:jc w:val="both"/>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4</w:t>
            </w:r>
          </w:p>
        </w:tc>
        <w:tc>
          <w:tcPr>
            <w:tcW w:w="721" w:type="pct"/>
            <w:tcBorders>
              <w:top w:val="nil"/>
              <w:left w:val="nil"/>
              <w:bottom w:val="single" w:sz="4" w:space="0" w:color="auto"/>
              <w:right w:val="single" w:sz="4" w:space="0" w:color="auto"/>
            </w:tcBorders>
            <w:shd w:val="clear" w:color="auto" w:fill="auto"/>
            <w:vAlign w:val="center"/>
          </w:tcPr>
          <w:p w14:paraId="3D14FB96" w14:textId="77777777" w:rsidR="00D66A1D" w:rsidRPr="00F36109" w:rsidRDefault="00D66A1D" w:rsidP="00CF2BF7">
            <w:pPr>
              <w:spacing w:after="0" w:line="240" w:lineRule="auto"/>
              <w:rPr>
                <w:rFonts w:ascii="Times New Roman" w:hAnsi="Times New Roman" w:cs="Times New Roman"/>
                <w:color w:val="000000"/>
                <w:sz w:val="18"/>
                <w:szCs w:val="18"/>
              </w:rPr>
            </w:pPr>
            <w:r w:rsidRPr="00F36109">
              <w:rPr>
                <w:rFonts w:ascii="Times New Roman" w:hAnsi="Times New Roman" w:cs="Times New Roman"/>
                <w:color w:val="000000"/>
                <w:sz w:val="18"/>
                <w:szCs w:val="18"/>
              </w:rPr>
              <w:t>Fund implementation is delayed due to constraints with PUNOS</w:t>
            </w:r>
          </w:p>
        </w:tc>
        <w:tc>
          <w:tcPr>
            <w:tcW w:w="562" w:type="pct"/>
            <w:tcBorders>
              <w:top w:val="nil"/>
              <w:left w:val="nil"/>
              <w:bottom w:val="single" w:sz="4" w:space="0" w:color="auto"/>
              <w:right w:val="single" w:sz="4" w:space="0" w:color="auto"/>
            </w:tcBorders>
            <w:shd w:val="clear" w:color="auto" w:fill="auto"/>
            <w:vAlign w:val="center"/>
          </w:tcPr>
          <w:p w14:paraId="69048AF9" w14:textId="77777777" w:rsidR="00D66A1D" w:rsidRPr="00F36109" w:rsidRDefault="00D66A1D" w:rsidP="00CF2BF7">
            <w:pPr>
              <w:spacing w:before="120"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Programmatic</w:t>
            </w:r>
          </w:p>
          <w:p w14:paraId="6E54585B" w14:textId="77777777" w:rsidR="00D66A1D" w:rsidRPr="00F36109" w:rsidRDefault="00D66A1D" w:rsidP="00CF2BF7">
            <w:pPr>
              <w:spacing w:before="120"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Operational</w:t>
            </w:r>
          </w:p>
          <w:p w14:paraId="34CE9C76" w14:textId="77777777" w:rsidR="00D66A1D" w:rsidRPr="00F36109" w:rsidRDefault="00D66A1D" w:rsidP="00CF2BF7">
            <w:pPr>
              <w:spacing w:before="120" w:after="120" w:line="240" w:lineRule="auto"/>
              <w:jc w:val="both"/>
              <w:rPr>
                <w:rFonts w:ascii="Times New Roman" w:hAnsi="Times New Roman" w:cs="Times New Roman"/>
                <w:color w:val="0D0D0D"/>
                <w:sz w:val="16"/>
                <w:szCs w:val="16"/>
              </w:rPr>
            </w:pPr>
            <w:r w:rsidRPr="00F36109">
              <w:rPr>
                <w:rFonts w:ascii="Times New Roman" w:hAnsi="Times New Roman" w:cs="Times New Roman"/>
                <w:color w:val="000000"/>
                <w:sz w:val="18"/>
                <w:szCs w:val="18"/>
              </w:rPr>
              <w:t>Regulatory</w:t>
            </w:r>
          </w:p>
        </w:tc>
        <w:tc>
          <w:tcPr>
            <w:tcW w:w="1277" w:type="pct"/>
            <w:tcBorders>
              <w:top w:val="nil"/>
              <w:left w:val="nil"/>
              <w:bottom w:val="single" w:sz="4" w:space="0" w:color="auto"/>
              <w:right w:val="single" w:sz="4" w:space="0" w:color="auto"/>
            </w:tcBorders>
            <w:shd w:val="clear" w:color="auto" w:fill="auto"/>
            <w:vAlign w:val="center"/>
          </w:tcPr>
          <w:p w14:paraId="75552904" w14:textId="77777777" w:rsidR="00D66A1D" w:rsidRPr="00F36109" w:rsidRDefault="00D66A1D" w:rsidP="00D66A1D">
            <w:pPr>
              <w:pStyle w:val="ListParagraph"/>
              <w:numPr>
                <w:ilvl w:val="0"/>
                <w:numId w:val="30"/>
              </w:numPr>
              <w:spacing w:before="120" w:after="0" w:line="240" w:lineRule="auto"/>
              <w:ind w:left="421"/>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JP implementation is delayed</w:t>
            </w:r>
          </w:p>
          <w:p w14:paraId="5F136999" w14:textId="77777777" w:rsidR="00D66A1D" w:rsidRPr="00F36109" w:rsidRDefault="00D66A1D" w:rsidP="00CF2BF7">
            <w:pPr>
              <w:pStyle w:val="ListParagraph"/>
              <w:spacing w:after="0" w:line="240" w:lineRule="auto"/>
              <w:ind w:left="-29"/>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Probability: 3 / Impact: 4</w:t>
            </w:r>
          </w:p>
          <w:p w14:paraId="06C70933" w14:textId="77777777" w:rsidR="00D66A1D" w:rsidRPr="00F36109" w:rsidRDefault="00D66A1D" w:rsidP="00CF2BF7">
            <w:pPr>
              <w:pStyle w:val="ListParagraph"/>
              <w:spacing w:after="0" w:line="240" w:lineRule="auto"/>
              <w:ind w:left="-29"/>
              <w:rPr>
                <w:rFonts w:ascii="Times New Roman" w:hAnsi="Times New Roman" w:cs="Times New Roman"/>
                <w:b/>
                <w:color w:val="000000"/>
                <w:sz w:val="18"/>
                <w:szCs w:val="18"/>
              </w:rPr>
            </w:pPr>
            <w:r w:rsidRPr="00F36109">
              <w:rPr>
                <w:rFonts w:ascii="Times New Roman" w:hAnsi="Times New Roman" w:cs="Times New Roman"/>
                <w:b/>
                <w:color w:val="0D0D0D"/>
                <w:sz w:val="18"/>
                <w:szCs w:val="18"/>
              </w:rPr>
              <w:t>= high risk</w:t>
            </w:r>
          </w:p>
          <w:p w14:paraId="1CB88B3F" w14:textId="77777777" w:rsidR="00D66A1D" w:rsidRPr="00F36109" w:rsidRDefault="00D66A1D" w:rsidP="00CF2BF7">
            <w:pPr>
              <w:pStyle w:val="ListParagraph"/>
              <w:spacing w:after="0" w:line="240" w:lineRule="auto"/>
              <w:ind w:left="421"/>
              <w:rPr>
                <w:rFonts w:ascii="Times New Roman" w:hAnsi="Times New Roman" w:cs="Times New Roman"/>
                <w:color w:val="000000"/>
                <w:sz w:val="18"/>
                <w:szCs w:val="18"/>
              </w:rPr>
            </w:pPr>
          </w:p>
          <w:p w14:paraId="6EC2BFAF" w14:textId="77777777" w:rsidR="00D66A1D" w:rsidRPr="00F36109" w:rsidRDefault="00D66A1D" w:rsidP="00D66A1D">
            <w:pPr>
              <w:pStyle w:val="ListParagraph"/>
              <w:numPr>
                <w:ilvl w:val="0"/>
                <w:numId w:val="30"/>
              </w:numPr>
              <w:spacing w:after="0" w:line="240" w:lineRule="auto"/>
              <w:ind w:left="421"/>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Joint SDG Fund funds remain unspent </w:t>
            </w:r>
          </w:p>
          <w:p w14:paraId="40408792" w14:textId="77777777" w:rsidR="00D66A1D" w:rsidRPr="00F36109" w:rsidRDefault="00D66A1D" w:rsidP="00CF2BF7">
            <w:pPr>
              <w:spacing w:after="0" w:line="240" w:lineRule="auto"/>
              <w:jc w:val="both"/>
              <w:rPr>
                <w:rFonts w:ascii="Times New Roman" w:hAnsi="Times New Roman" w:cs="Times New Roman"/>
                <w:b/>
                <w:color w:val="000000"/>
                <w:sz w:val="18"/>
                <w:szCs w:val="18"/>
              </w:rPr>
            </w:pPr>
            <w:r w:rsidRPr="00F36109">
              <w:rPr>
                <w:rFonts w:ascii="Times New Roman" w:hAnsi="Times New Roman" w:cs="Times New Roman"/>
                <w:b/>
                <w:color w:val="000000"/>
                <w:sz w:val="18"/>
                <w:szCs w:val="18"/>
              </w:rPr>
              <w:lastRenderedPageBreak/>
              <w:t>Probability: 3 / Impact: 4</w:t>
            </w:r>
          </w:p>
          <w:p w14:paraId="069DD491" w14:textId="77777777" w:rsidR="00D66A1D" w:rsidRPr="00F36109" w:rsidRDefault="00D66A1D" w:rsidP="00CF2BF7">
            <w:pPr>
              <w:spacing w:after="0" w:line="240" w:lineRule="auto"/>
              <w:jc w:val="both"/>
              <w:rPr>
                <w:rFonts w:ascii="Times New Roman" w:hAnsi="Times New Roman" w:cs="Times New Roman"/>
                <w:color w:val="0D0D0D"/>
                <w:sz w:val="16"/>
                <w:szCs w:val="16"/>
              </w:rPr>
            </w:pPr>
            <w:r w:rsidRPr="00F36109">
              <w:rPr>
                <w:rFonts w:ascii="Times New Roman" w:hAnsi="Times New Roman" w:cs="Times New Roman"/>
                <w:b/>
                <w:color w:val="0D0D0D"/>
                <w:sz w:val="18"/>
                <w:szCs w:val="18"/>
              </w:rPr>
              <w:t>= high risk</w:t>
            </w:r>
          </w:p>
        </w:tc>
        <w:tc>
          <w:tcPr>
            <w:tcW w:w="1656" w:type="pct"/>
            <w:tcBorders>
              <w:top w:val="nil"/>
              <w:left w:val="nil"/>
              <w:bottom w:val="single" w:sz="4" w:space="0" w:color="auto"/>
              <w:right w:val="single" w:sz="4" w:space="0" w:color="auto"/>
            </w:tcBorders>
            <w:shd w:val="clear" w:color="auto" w:fill="auto"/>
            <w:vAlign w:val="center"/>
          </w:tcPr>
          <w:p w14:paraId="6FF0810F" w14:textId="77777777" w:rsidR="00D66A1D" w:rsidRPr="00F36109" w:rsidRDefault="00D66A1D" w:rsidP="00D66A1D">
            <w:pPr>
              <w:pStyle w:val="ListParagraph"/>
              <w:numPr>
                <w:ilvl w:val="0"/>
                <w:numId w:val="29"/>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lastRenderedPageBreak/>
              <w:t>Installment payments based on progress towards WP milestones</w:t>
            </w:r>
          </w:p>
          <w:p w14:paraId="78941A1A" w14:textId="77777777" w:rsidR="00D66A1D" w:rsidRPr="00F36109" w:rsidRDefault="00D66A1D" w:rsidP="00D66A1D">
            <w:pPr>
              <w:pStyle w:val="ListParagraph"/>
              <w:numPr>
                <w:ilvl w:val="0"/>
                <w:numId w:val="29"/>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 xml:space="preserve">Operational Steering Committee is kept informed of JPs that fall behind milestones so that funds can be </w:t>
            </w:r>
            <w:r w:rsidRPr="00F36109">
              <w:rPr>
                <w:rFonts w:ascii="Times New Roman" w:hAnsi="Times New Roman" w:cs="Times New Roman"/>
                <w:sz w:val="18"/>
                <w:szCs w:val="18"/>
              </w:rPr>
              <w:lastRenderedPageBreak/>
              <w:t xml:space="preserve">reallocated to different </w:t>
            </w:r>
            <w:proofErr w:type="spellStart"/>
            <w:r w:rsidRPr="00F36109">
              <w:rPr>
                <w:rFonts w:ascii="Times New Roman" w:hAnsi="Times New Roman" w:cs="Times New Roman"/>
                <w:sz w:val="18"/>
                <w:szCs w:val="18"/>
              </w:rPr>
              <w:t>programmes</w:t>
            </w:r>
            <w:proofErr w:type="spellEnd"/>
            <w:r w:rsidRPr="00F36109">
              <w:rPr>
                <w:rFonts w:ascii="Times New Roman" w:hAnsi="Times New Roman" w:cs="Times New Roman"/>
                <w:sz w:val="18"/>
                <w:szCs w:val="18"/>
              </w:rPr>
              <w:t xml:space="preserve"> if necessary</w:t>
            </w:r>
          </w:p>
          <w:p w14:paraId="64BA48CF" w14:textId="77777777" w:rsidR="00D66A1D" w:rsidRPr="00F36109" w:rsidRDefault="00D66A1D" w:rsidP="00D66A1D">
            <w:pPr>
              <w:pStyle w:val="ListParagraph"/>
              <w:numPr>
                <w:ilvl w:val="0"/>
                <w:numId w:val="29"/>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Ensure strong oversight from UNDAF Results Group</w:t>
            </w:r>
          </w:p>
          <w:p w14:paraId="598826A8" w14:textId="77777777" w:rsidR="00D66A1D" w:rsidRPr="00F36109" w:rsidRDefault="00D66A1D" w:rsidP="00D66A1D">
            <w:pPr>
              <w:pStyle w:val="ListParagraph"/>
              <w:numPr>
                <w:ilvl w:val="0"/>
                <w:numId w:val="29"/>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Undertake rigorous monitoring and MTR of JP to ensure that existing program implementation framework is still appropriate and needed adjustments are incorporated</w:t>
            </w:r>
          </w:p>
          <w:p w14:paraId="573FE5BA" w14:textId="77777777" w:rsidR="00D66A1D" w:rsidRPr="00F36109" w:rsidRDefault="00D66A1D" w:rsidP="00D66A1D">
            <w:pPr>
              <w:pStyle w:val="ListParagraph"/>
              <w:numPr>
                <w:ilvl w:val="0"/>
                <w:numId w:val="29"/>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Ensure direct linkage of JP to UNDAF (and CPD) outcomes</w:t>
            </w:r>
          </w:p>
          <w:p w14:paraId="495D0396" w14:textId="77777777" w:rsidR="00D66A1D" w:rsidRPr="00F36109" w:rsidRDefault="00D66A1D" w:rsidP="00D66A1D">
            <w:pPr>
              <w:pStyle w:val="ListParagraph"/>
              <w:numPr>
                <w:ilvl w:val="0"/>
                <w:numId w:val="29"/>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Ensure HQ and Regional policy support by participating agencies</w:t>
            </w:r>
          </w:p>
        </w:tc>
        <w:tc>
          <w:tcPr>
            <w:tcW w:w="619" w:type="pct"/>
            <w:tcBorders>
              <w:top w:val="nil"/>
              <w:left w:val="nil"/>
              <w:bottom w:val="single" w:sz="4" w:space="0" w:color="auto"/>
              <w:right w:val="single" w:sz="4" w:space="0" w:color="auto"/>
            </w:tcBorders>
            <w:shd w:val="clear" w:color="auto" w:fill="auto"/>
            <w:vAlign w:val="center"/>
          </w:tcPr>
          <w:p w14:paraId="105F645E"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lastRenderedPageBreak/>
              <w:t>JF Secretariat</w:t>
            </w:r>
          </w:p>
          <w:p w14:paraId="369A1994"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JF Secretariat </w:t>
            </w:r>
          </w:p>
          <w:p w14:paraId="50D41BC8" w14:textId="77777777" w:rsidR="00D66A1D" w:rsidRPr="00F36109" w:rsidRDefault="00D66A1D" w:rsidP="00CF2BF7">
            <w:pPr>
              <w:spacing w:after="120" w:line="240" w:lineRule="auto"/>
              <w:jc w:val="both"/>
              <w:rPr>
                <w:rFonts w:ascii="Times New Roman" w:hAnsi="Times New Roman" w:cs="Times New Roman"/>
                <w:color w:val="000000"/>
                <w:sz w:val="18"/>
                <w:szCs w:val="18"/>
              </w:rPr>
            </w:pPr>
          </w:p>
          <w:p w14:paraId="071BE4C8"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JP </w:t>
            </w:r>
            <w:proofErr w:type="gramStart"/>
            <w:r w:rsidRPr="00F36109">
              <w:rPr>
                <w:rFonts w:ascii="Times New Roman" w:hAnsi="Times New Roman" w:cs="Times New Roman"/>
                <w:color w:val="000000"/>
                <w:sz w:val="18"/>
                <w:szCs w:val="18"/>
              </w:rPr>
              <w:t>National  St.Com.</w:t>
            </w:r>
            <w:proofErr w:type="gramEnd"/>
          </w:p>
          <w:p w14:paraId="5424708C" w14:textId="77777777" w:rsidR="00D66A1D" w:rsidRPr="00F36109" w:rsidRDefault="00D66A1D" w:rsidP="00CF2BF7">
            <w:pPr>
              <w:spacing w:after="120" w:line="240" w:lineRule="auto"/>
              <w:jc w:val="both"/>
              <w:rPr>
                <w:rFonts w:ascii="Times New Roman" w:hAnsi="Times New Roman" w:cs="Times New Roman"/>
                <w:color w:val="000000"/>
                <w:sz w:val="18"/>
                <w:szCs w:val="18"/>
              </w:rPr>
            </w:pPr>
          </w:p>
          <w:p w14:paraId="14FE84ED"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UN Results Group</w:t>
            </w:r>
          </w:p>
          <w:p w14:paraId="033E3851" w14:textId="77777777" w:rsidR="00D66A1D" w:rsidRPr="00F36109" w:rsidRDefault="00D66A1D" w:rsidP="00CF2BF7">
            <w:pPr>
              <w:spacing w:after="120" w:line="240" w:lineRule="auto"/>
              <w:jc w:val="both"/>
              <w:rPr>
                <w:rFonts w:ascii="Times New Roman" w:hAnsi="Times New Roman" w:cs="Times New Roman"/>
                <w:color w:val="0D0D0D"/>
                <w:sz w:val="16"/>
                <w:szCs w:val="16"/>
              </w:rPr>
            </w:pPr>
          </w:p>
          <w:p w14:paraId="05032218" w14:textId="77777777" w:rsidR="00D66A1D" w:rsidRPr="00F36109" w:rsidRDefault="00D66A1D" w:rsidP="00CF2BF7">
            <w:pPr>
              <w:spacing w:after="120" w:line="240" w:lineRule="auto"/>
              <w:jc w:val="both"/>
              <w:rPr>
                <w:rFonts w:ascii="Times New Roman" w:hAnsi="Times New Roman" w:cs="Times New Roman"/>
                <w:color w:val="0D0D0D"/>
                <w:sz w:val="16"/>
                <w:szCs w:val="16"/>
              </w:rPr>
            </w:pPr>
            <w:r w:rsidRPr="00F36109">
              <w:rPr>
                <w:rFonts w:ascii="Times New Roman" w:hAnsi="Times New Roman" w:cs="Times New Roman"/>
                <w:color w:val="0D0D0D"/>
                <w:sz w:val="16"/>
                <w:szCs w:val="16"/>
              </w:rPr>
              <w:t>JF OSC</w:t>
            </w:r>
          </w:p>
        </w:tc>
      </w:tr>
      <w:tr w:rsidR="00D66A1D" w:rsidRPr="00F36109" w14:paraId="5E6031CC" w14:textId="77777777" w:rsidTr="00CF2BF7">
        <w:trPr>
          <w:trHeight w:val="868"/>
        </w:trPr>
        <w:tc>
          <w:tcPr>
            <w:tcW w:w="165" w:type="pct"/>
            <w:tcBorders>
              <w:top w:val="nil"/>
              <w:left w:val="single" w:sz="4" w:space="0" w:color="auto"/>
              <w:bottom w:val="single" w:sz="4" w:space="0" w:color="auto"/>
              <w:right w:val="single" w:sz="4" w:space="0" w:color="auto"/>
            </w:tcBorders>
            <w:shd w:val="clear" w:color="auto" w:fill="auto"/>
            <w:vAlign w:val="center"/>
            <w:hideMark/>
          </w:tcPr>
          <w:p w14:paraId="774546EF"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5</w:t>
            </w:r>
          </w:p>
        </w:tc>
        <w:tc>
          <w:tcPr>
            <w:tcW w:w="721" w:type="pct"/>
            <w:tcBorders>
              <w:top w:val="nil"/>
              <w:left w:val="nil"/>
              <w:bottom w:val="single" w:sz="4" w:space="0" w:color="auto"/>
              <w:right w:val="single" w:sz="4" w:space="0" w:color="auto"/>
            </w:tcBorders>
            <w:shd w:val="clear" w:color="auto" w:fill="auto"/>
            <w:vAlign w:val="center"/>
          </w:tcPr>
          <w:p w14:paraId="37BF27BA" w14:textId="77777777" w:rsidR="00D66A1D" w:rsidRPr="00F36109" w:rsidRDefault="00D66A1D" w:rsidP="00CF2BF7">
            <w:pPr>
              <w:spacing w:after="0" w:line="240" w:lineRule="auto"/>
              <w:rPr>
                <w:rFonts w:ascii="Times New Roman" w:hAnsi="Times New Roman" w:cs="Times New Roman"/>
                <w:color w:val="000000"/>
                <w:sz w:val="18"/>
                <w:szCs w:val="18"/>
              </w:rPr>
            </w:pPr>
            <w:r w:rsidRPr="00F36109">
              <w:rPr>
                <w:rFonts w:ascii="Times New Roman" w:hAnsi="Times New Roman" w:cs="Times New Roman"/>
                <w:color w:val="000000"/>
                <w:sz w:val="18"/>
                <w:szCs w:val="18"/>
              </w:rPr>
              <w:t>Fund implementation is delayed due to constraints with implementing partners</w:t>
            </w:r>
          </w:p>
        </w:tc>
        <w:tc>
          <w:tcPr>
            <w:tcW w:w="562" w:type="pct"/>
            <w:tcBorders>
              <w:top w:val="nil"/>
              <w:left w:val="nil"/>
              <w:bottom w:val="single" w:sz="4" w:space="0" w:color="auto"/>
              <w:right w:val="single" w:sz="4" w:space="0" w:color="auto"/>
            </w:tcBorders>
            <w:shd w:val="clear" w:color="auto" w:fill="auto"/>
            <w:vAlign w:val="center"/>
          </w:tcPr>
          <w:p w14:paraId="3B63C970" w14:textId="77777777" w:rsidR="00D66A1D" w:rsidRPr="00F36109" w:rsidRDefault="00D66A1D" w:rsidP="00CF2BF7">
            <w:pPr>
              <w:spacing w:after="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Programmatic</w:t>
            </w:r>
          </w:p>
          <w:p w14:paraId="7E33905F" w14:textId="77777777" w:rsidR="00D66A1D" w:rsidRPr="00F36109" w:rsidRDefault="00D66A1D" w:rsidP="00CF2BF7">
            <w:pPr>
              <w:spacing w:after="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Operational</w:t>
            </w:r>
          </w:p>
          <w:p w14:paraId="1B367FAE" w14:textId="77777777" w:rsidR="00D66A1D" w:rsidRPr="00F36109" w:rsidRDefault="00D66A1D" w:rsidP="00CF2BF7">
            <w:pPr>
              <w:spacing w:after="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Regulatory</w:t>
            </w:r>
          </w:p>
        </w:tc>
        <w:tc>
          <w:tcPr>
            <w:tcW w:w="1277" w:type="pct"/>
            <w:tcBorders>
              <w:top w:val="nil"/>
              <w:left w:val="nil"/>
              <w:bottom w:val="single" w:sz="4" w:space="0" w:color="auto"/>
              <w:right w:val="single" w:sz="4" w:space="0" w:color="auto"/>
            </w:tcBorders>
            <w:shd w:val="clear" w:color="auto" w:fill="auto"/>
            <w:vAlign w:val="bottom"/>
          </w:tcPr>
          <w:p w14:paraId="14CCF0BC" w14:textId="77777777" w:rsidR="00D66A1D" w:rsidRPr="00F36109" w:rsidRDefault="00D66A1D" w:rsidP="00D66A1D">
            <w:pPr>
              <w:pStyle w:val="ListParagraph"/>
              <w:numPr>
                <w:ilvl w:val="0"/>
                <w:numId w:val="32"/>
              </w:numPr>
              <w:spacing w:before="120" w:after="0" w:line="240" w:lineRule="auto"/>
              <w:ind w:left="331"/>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JP implementation is delayed</w:t>
            </w:r>
          </w:p>
          <w:p w14:paraId="153C0A75" w14:textId="77777777" w:rsidR="00D66A1D" w:rsidRPr="00F36109" w:rsidRDefault="00D66A1D" w:rsidP="00CF2BF7">
            <w:pPr>
              <w:pStyle w:val="ListParagraph"/>
              <w:spacing w:after="0" w:line="240" w:lineRule="auto"/>
              <w:ind w:left="0"/>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Probability: 3 / Impact: 4</w:t>
            </w:r>
          </w:p>
          <w:p w14:paraId="3B69D9C9" w14:textId="77777777" w:rsidR="00D66A1D" w:rsidRPr="00F36109" w:rsidRDefault="00D66A1D" w:rsidP="00CF2BF7">
            <w:pPr>
              <w:pStyle w:val="ListParagraph"/>
              <w:spacing w:after="0" w:line="240" w:lineRule="auto"/>
              <w:ind w:left="0"/>
              <w:rPr>
                <w:rFonts w:ascii="Times New Roman" w:hAnsi="Times New Roman" w:cs="Times New Roman"/>
                <w:b/>
                <w:color w:val="000000"/>
                <w:sz w:val="18"/>
                <w:szCs w:val="18"/>
              </w:rPr>
            </w:pPr>
            <w:r w:rsidRPr="00F36109">
              <w:rPr>
                <w:rFonts w:ascii="Times New Roman" w:hAnsi="Times New Roman" w:cs="Times New Roman"/>
                <w:b/>
                <w:color w:val="0D0D0D"/>
                <w:sz w:val="18"/>
                <w:szCs w:val="18"/>
              </w:rPr>
              <w:t>= high risk</w:t>
            </w:r>
          </w:p>
          <w:p w14:paraId="66D4BF18" w14:textId="77777777" w:rsidR="00D66A1D" w:rsidRPr="00F36109" w:rsidRDefault="00D66A1D" w:rsidP="00CF2BF7">
            <w:pPr>
              <w:pStyle w:val="ListParagraph"/>
              <w:spacing w:after="0" w:line="240" w:lineRule="auto"/>
              <w:ind w:left="331"/>
              <w:rPr>
                <w:rFonts w:ascii="Times New Roman" w:hAnsi="Times New Roman" w:cs="Times New Roman"/>
                <w:b/>
                <w:color w:val="000000"/>
                <w:sz w:val="18"/>
                <w:szCs w:val="18"/>
              </w:rPr>
            </w:pPr>
          </w:p>
          <w:p w14:paraId="0AB3FC13" w14:textId="77777777" w:rsidR="00D66A1D" w:rsidRPr="00F36109" w:rsidRDefault="00D66A1D" w:rsidP="00D66A1D">
            <w:pPr>
              <w:pStyle w:val="ListParagraph"/>
              <w:numPr>
                <w:ilvl w:val="0"/>
                <w:numId w:val="32"/>
              </w:numPr>
              <w:spacing w:after="0" w:line="240" w:lineRule="auto"/>
              <w:ind w:left="331"/>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Joint SDG Fund funds remain unspent </w:t>
            </w:r>
          </w:p>
          <w:p w14:paraId="35DA1E26" w14:textId="77777777" w:rsidR="00D66A1D" w:rsidRPr="00F36109" w:rsidRDefault="00D66A1D" w:rsidP="00CF2BF7">
            <w:pPr>
              <w:spacing w:after="0" w:line="240" w:lineRule="auto"/>
              <w:jc w:val="both"/>
              <w:rPr>
                <w:rFonts w:ascii="Times New Roman" w:hAnsi="Times New Roman" w:cs="Times New Roman"/>
                <w:b/>
                <w:color w:val="000000"/>
                <w:sz w:val="18"/>
                <w:szCs w:val="18"/>
              </w:rPr>
            </w:pPr>
            <w:r w:rsidRPr="00F36109">
              <w:rPr>
                <w:rFonts w:ascii="Times New Roman" w:hAnsi="Times New Roman" w:cs="Times New Roman"/>
                <w:b/>
                <w:color w:val="000000"/>
                <w:sz w:val="18"/>
                <w:szCs w:val="18"/>
              </w:rPr>
              <w:t>Probability: 1 / Impact: 2</w:t>
            </w:r>
          </w:p>
          <w:p w14:paraId="0BC368F5" w14:textId="77777777" w:rsidR="00D66A1D" w:rsidRPr="00F36109" w:rsidRDefault="00D66A1D" w:rsidP="00CF2BF7">
            <w:pPr>
              <w:jc w:val="both"/>
              <w:rPr>
                <w:rFonts w:ascii="Times New Roman" w:hAnsi="Times New Roman" w:cs="Times New Roman"/>
                <w:color w:val="000000"/>
                <w:sz w:val="18"/>
                <w:szCs w:val="18"/>
              </w:rPr>
            </w:pPr>
          </w:p>
        </w:tc>
        <w:tc>
          <w:tcPr>
            <w:tcW w:w="1656" w:type="pct"/>
            <w:tcBorders>
              <w:top w:val="nil"/>
              <w:left w:val="nil"/>
              <w:bottom w:val="single" w:sz="4" w:space="0" w:color="auto"/>
              <w:right w:val="single" w:sz="4" w:space="0" w:color="auto"/>
            </w:tcBorders>
            <w:shd w:val="clear" w:color="auto" w:fill="auto"/>
            <w:vAlign w:val="center"/>
          </w:tcPr>
          <w:p w14:paraId="629E279D" w14:textId="77777777" w:rsidR="00D66A1D" w:rsidRPr="00F36109" w:rsidRDefault="00D66A1D" w:rsidP="00D66A1D">
            <w:pPr>
              <w:pStyle w:val="ListParagraph"/>
              <w:numPr>
                <w:ilvl w:val="0"/>
                <w:numId w:val="31"/>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Installment payments to JPs on meeting WP milestones.</w:t>
            </w:r>
          </w:p>
          <w:p w14:paraId="68629D1B" w14:textId="77777777" w:rsidR="00D66A1D" w:rsidRPr="00F36109" w:rsidRDefault="00D66A1D" w:rsidP="00D66A1D">
            <w:pPr>
              <w:pStyle w:val="ListParagraph"/>
              <w:numPr>
                <w:ilvl w:val="0"/>
                <w:numId w:val="31"/>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Ensure strong oversight from UNDAF Results Group</w:t>
            </w:r>
          </w:p>
          <w:p w14:paraId="2A32044E" w14:textId="77777777" w:rsidR="00D66A1D" w:rsidRPr="00F36109" w:rsidRDefault="00D66A1D" w:rsidP="00D66A1D">
            <w:pPr>
              <w:pStyle w:val="ListParagraph"/>
              <w:numPr>
                <w:ilvl w:val="0"/>
                <w:numId w:val="31"/>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Ensure regular monitoring of JP implementation so issues can be addressed from early stages.</w:t>
            </w:r>
          </w:p>
          <w:p w14:paraId="5BDBE29A" w14:textId="77777777" w:rsidR="00D66A1D" w:rsidRPr="00F36109" w:rsidRDefault="00D66A1D" w:rsidP="00D66A1D">
            <w:pPr>
              <w:pStyle w:val="ListParagraph"/>
              <w:numPr>
                <w:ilvl w:val="0"/>
                <w:numId w:val="31"/>
              </w:numPr>
              <w:spacing w:before="120" w:after="120" w:line="240" w:lineRule="auto"/>
              <w:ind w:left="331"/>
              <w:contextualSpacing w:val="0"/>
              <w:jc w:val="both"/>
              <w:rPr>
                <w:rFonts w:ascii="Times New Roman" w:hAnsi="Times New Roman" w:cs="Times New Roman"/>
                <w:sz w:val="18"/>
                <w:szCs w:val="18"/>
              </w:rPr>
            </w:pPr>
            <w:r w:rsidRPr="00F36109">
              <w:rPr>
                <w:rFonts w:ascii="Times New Roman" w:hAnsi="Times New Roman" w:cs="Times New Roman"/>
                <w:sz w:val="18"/>
                <w:szCs w:val="18"/>
              </w:rPr>
              <w:t>Ensure strong project management capacity of JP</w:t>
            </w:r>
          </w:p>
        </w:tc>
        <w:tc>
          <w:tcPr>
            <w:tcW w:w="619" w:type="pct"/>
            <w:tcBorders>
              <w:top w:val="nil"/>
              <w:left w:val="nil"/>
              <w:bottom w:val="single" w:sz="4" w:space="0" w:color="auto"/>
              <w:right w:val="single" w:sz="4" w:space="0" w:color="auto"/>
            </w:tcBorders>
            <w:shd w:val="clear" w:color="auto" w:fill="auto"/>
            <w:vAlign w:val="center"/>
          </w:tcPr>
          <w:p w14:paraId="1D91059D"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JF Secretariat </w:t>
            </w:r>
          </w:p>
          <w:p w14:paraId="5F911F71"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UN Results Group</w:t>
            </w:r>
          </w:p>
          <w:p w14:paraId="5D700FDC"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JP National </w:t>
            </w:r>
            <w:proofErr w:type="gramStart"/>
            <w:r w:rsidRPr="00F36109">
              <w:rPr>
                <w:rFonts w:ascii="Times New Roman" w:hAnsi="Times New Roman" w:cs="Times New Roman"/>
                <w:color w:val="000000"/>
                <w:sz w:val="18"/>
                <w:szCs w:val="18"/>
              </w:rPr>
              <w:t>St.Com</w:t>
            </w:r>
            <w:proofErr w:type="gramEnd"/>
          </w:p>
          <w:p w14:paraId="2F1D54A6" w14:textId="77777777" w:rsidR="00D66A1D" w:rsidRPr="00F36109" w:rsidRDefault="00D66A1D" w:rsidP="00CF2BF7">
            <w:pPr>
              <w:spacing w:after="120" w:line="240" w:lineRule="auto"/>
              <w:jc w:val="both"/>
              <w:rPr>
                <w:rFonts w:ascii="Times New Roman" w:hAnsi="Times New Roman" w:cs="Times New Roman"/>
                <w:color w:val="000000"/>
                <w:sz w:val="18"/>
                <w:szCs w:val="18"/>
              </w:rPr>
            </w:pPr>
            <w:r w:rsidRPr="00F36109">
              <w:rPr>
                <w:rFonts w:ascii="Times New Roman" w:hAnsi="Times New Roman" w:cs="Times New Roman"/>
                <w:color w:val="000000"/>
                <w:sz w:val="18"/>
                <w:szCs w:val="18"/>
              </w:rPr>
              <w:t xml:space="preserve">JP National </w:t>
            </w:r>
            <w:proofErr w:type="gramStart"/>
            <w:r w:rsidRPr="00F36109">
              <w:rPr>
                <w:rFonts w:ascii="Times New Roman" w:hAnsi="Times New Roman" w:cs="Times New Roman"/>
                <w:color w:val="000000"/>
                <w:sz w:val="18"/>
                <w:szCs w:val="18"/>
              </w:rPr>
              <w:t>St.Com</w:t>
            </w:r>
            <w:proofErr w:type="gramEnd"/>
          </w:p>
          <w:p w14:paraId="13452319" w14:textId="77777777" w:rsidR="00D66A1D" w:rsidRPr="00F36109" w:rsidRDefault="00D66A1D" w:rsidP="00CF2BF7">
            <w:pPr>
              <w:spacing w:after="120" w:line="240" w:lineRule="auto"/>
              <w:jc w:val="both"/>
              <w:rPr>
                <w:rFonts w:ascii="Times New Roman" w:hAnsi="Times New Roman" w:cs="Times New Roman"/>
                <w:color w:val="0D0D0D"/>
                <w:sz w:val="16"/>
                <w:szCs w:val="16"/>
              </w:rPr>
            </w:pPr>
          </w:p>
        </w:tc>
      </w:tr>
      <w:tr w:rsidR="00D66A1D" w:rsidRPr="00F36109" w14:paraId="513F5A5F" w14:textId="77777777" w:rsidTr="00CF2BF7">
        <w:trPr>
          <w:trHeight w:val="2483"/>
        </w:trPr>
        <w:tc>
          <w:tcPr>
            <w:tcW w:w="165" w:type="pct"/>
            <w:tcBorders>
              <w:top w:val="nil"/>
              <w:left w:val="single" w:sz="4" w:space="0" w:color="auto"/>
              <w:bottom w:val="single" w:sz="4" w:space="0" w:color="auto"/>
              <w:right w:val="single" w:sz="4" w:space="0" w:color="auto"/>
            </w:tcBorders>
            <w:shd w:val="clear" w:color="auto" w:fill="auto"/>
            <w:vAlign w:val="center"/>
            <w:hideMark/>
          </w:tcPr>
          <w:p w14:paraId="2B635666"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6</w:t>
            </w:r>
          </w:p>
        </w:tc>
        <w:tc>
          <w:tcPr>
            <w:tcW w:w="721" w:type="pct"/>
            <w:tcBorders>
              <w:top w:val="nil"/>
              <w:left w:val="nil"/>
              <w:bottom w:val="single" w:sz="4" w:space="0" w:color="auto"/>
              <w:right w:val="single" w:sz="4" w:space="0" w:color="auto"/>
            </w:tcBorders>
            <w:shd w:val="clear" w:color="auto" w:fill="auto"/>
            <w:vAlign w:val="center"/>
          </w:tcPr>
          <w:p w14:paraId="1CF64120" w14:textId="77777777" w:rsidR="00D66A1D" w:rsidRPr="00F36109" w:rsidRDefault="00D66A1D" w:rsidP="00CF2BF7">
            <w:pPr>
              <w:spacing w:after="0" w:line="240" w:lineRule="auto"/>
              <w:rPr>
                <w:rFonts w:ascii="Times New Roman" w:hAnsi="Times New Roman" w:cs="Times New Roman"/>
                <w:color w:val="0D0D0D"/>
                <w:sz w:val="18"/>
                <w:szCs w:val="18"/>
              </w:rPr>
            </w:pPr>
            <w:r w:rsidRPr="00F36109">
              <w:rPr>
                <w:rFonts w:ascii="Times New Roman" w:hAnsi="Times New Roman" w:cs="Times New Roman"/>
                <w:color w:val="0D0D0D"/>
                <w:sz w:val="18"/>
                <w:szCs w:val="18"/>
              </w:rPr>
              <w:t>JP and UNDAF Results undermined due to poor quality of policy support provided through JP</w:t>
            </w:r>
          </w:p>
        </w:tc>
        <w:tc>
          <w:tcPr>
            <w:tcW w:w="562" w:type="pct"/>
            <w:tcBorders>
              <w:top w:val="nil"/>
              <w:left w:val="nil"/>
              <w:bottom w:val="single" w:sz="4" w:space="0" w:color="auto"/>
              <w:right w:val="single" w:sz="4" w:space="0" w:color="auto"/>
            </w:tcBorders>
            <w:shd w:val="clear" w:color="auto" w:fill="auto"/>
            <w:vAlign w:val="center"/>
          </w:tcPr>
          <w:p w14:paraId="2E2D39B3"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Programmatic</w:t>
            </w:r>
          </w:p>
          <w:p w14:paraId="180B5009"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Institutional</w:t>
            </w:r>
          </w:p>
        </w:tc>
        <w:tc>
          <w:tcPr>
            <w:tcW w:w="1277" w:type="pct"/>
            <w:tcBorders>
              <w:top w:val="nil"/>
              <w:left w:val="nil"/>
              <w:bottom w:val="single" w:sz="4" w:space="0" w:color="auto"/>
              <w:right w:val="single" w:sz="4" w:space="0" w:color="auto"/>
            </w:tcBorders>
            <w:shd w:val="clear" w:color="auto" w:fill="auto"/>
            <w:vAlign w:val="center"/>
          </w:tcPr>
          <w:p w14:paraId="050A321B" w14:textId="77777777" w:rsidR="00D66A1D" w:rsidRPr="00F36109" w:rsidRDefault="00D66A1D" w:rsidP="00D66A1D">
            <w:pPr>
              <w:pStyle w:val="ListParagraph"/>
              <w:numPr>
                <w:ilvl w:val="0"/>
                <w:numId w:val="33"/>
              </w:numPr>
              <w:spacing w:after="0" w:line="240" w:lineRule="auto"/>
              <w:ind w:left="331"/>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Quality of JP and UNDAF results undermined </w:t>
            </w:r>
          </w:p>
          <w:p w14:paraId="7330D833"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Probability: 3 / Impact: 5</w:t>
            </w:r>
          </w:p>
          <w:p w14:paraId="33E304AE"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 high risk</w:t>
            </w:r>
          </w:p>
          <w:p w14:paraId="27374D45" w14:textId="77777777" w:rsidR="00D66A1D" w:rsidRPr="00F36109" w:rsidRDefault="00D66A1D" w:rsidP="00CF2BF7">
            <w:pPr>
              <w:spacing w:after="0" w:line="240" w:lineRule="auto"/>
              <w:jc w:val="both"/>
              <w:rPr>
                <w:rFonts w:ascii="Times New Roman" w:hAnsi="Times New Roman" w:cs="Times New Roman"/>
                <w:color w:val="0D0D0D"/>
                <w:sz w:val="18"/>
                <w:szCs w:val="18"/>
              </w:rPr>
            </w:pPr>
          </w:p>
          <w:p w14:paraId="0F9C238A" w14:textId="77777777" w:rsidR="00D66A1D" w:rsidRPr="00F36109" w:rsidRDefault="00D66A1D" w:rsidP="00D66A1D">
            <w:pPr>
              <w:pStyle w:val="ListParagraph"/>
              <w:numPr>
                <w:ilvl w:val="0"/>
                <w:numId w:val="33"/>
              </w:numPr>
              <w:spacing w:after="0" w:line="240" w:lineRule="auto"/>
              <w:ind w:left="331"/>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Joint SDG Fund reputation is compromised</w:t>
            </w:r>
          </w:p>
          <w:p w14:paraId="740C25F1"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Probability: 3 / Impact: 4</w:t>
            </w:r>
          </w:p>
          <w:p w14:paraId="11189354"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 high risk</w:t>
            </w:r>
          </w:p>
        </w:tc>
        <w:tc>
          <w:tcPr>
            <w:tcW w:w="1656" w:type="pct"/>
            <w:tcBorders>
              <w:top w:val="nil"/>
              <w:left w:val="nil"/>
              <w:bottom w:val="single" w:sz="4" w:space="0" w:color="auto"/>
              <w:right w:val="single" w:sz="4" w:space="0" w:color="auto"/>
            </w:tcBorders>
            <w:shd w:val="clear" w:color="auto" w:fill="auto"/>
            <w:vAlign w:val="center"/>
          </w:tcPr>
          <w:p w14:paraId="22F9479E" w14:textId="77777777" w:rsidR="009776C8" w:rsidRDefault="00D66A1D" w:rsidP="00CF2BF7">
            <w:pPr>
              <w:spacing w:after="0" w:line="240" w:lineRule="auto"/>
              <w:ind w:left="-38"/>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1.     PUNOS ensure critical minimum in-country policy capacity </w:t>
            </w:r>
          </w:p>
          <w:p w14:paraId="76D8ABE5" w14:textId="3ACB43EA" w:rsidR="00D66A1D" w:rsidRPr="00F36109" w:rsidRDefault="00D66A1D" w:rsidP="00CF2BF7">
            <w:pPr>
              <w:spacing w:after="0" w:line="240" w:lineRule="auto"/>
              <w:ind w:left="-38"/>
              <w:jc w:val="both"/>
              <w:rPr>
                <w:rFonts w:ascii="Times New Roman" w:hAnsi="Times New Roman" w:cs="Times New Roman"/>
                <w:sz w:val="18"/>
                <w:szCs w:val="18"/>
              </w:rPr>
            </w:pPr>
            <w:r w:rsidRPr="00F36109">
              <w:rPr>
                <w:rFonts w:ascii="Times New Roman" w:hAnsi="Times New Roman" w:cs="Times New Roman"/>
                <w:color w:val="0D0D0D"/>
                <w:sz w:val="18"/>
                <w:szCs w:val="18"/>
              </w:rPr>
              <w:t xml:space="preserve">2.     </w:t>
            </w:r>
            <w:r w:rsidRPr="00F36109">
              <w:rPr>
                <w:rFonts w:ascii="Times New Roman" w:hAnsi="Times New Roman" w:cs="Times New Roman"/>
                <w:sz w:val="18"/>
                <w:szCs w:val="18"/>
              </w:rPr>
              <w:t>Strong, ‘back office’ policy support in JF Secretariat</w:t>
            </w:r>
          </w:p>
          <w:p w14:paraId="71475ABD" w14:textId="77777777" w:rsidR="00D66A1D" w:rsidRPr="00F36109" w:rsidRDefault="00D66A1D" w:rsidP="00CF2BF7">
            <w:pPr>
              <w:spacing w:after="0" w:line="240" w:lineRule="auto"/>
              <w:rPr>
                <w:rFonts w:ascii="Times New Roman" w:hAnsi="Times New Roman" w:cs="Times New Roman"/>
                <w:sz w:val="18"/>
                <w:szCs w:val="18"/>
              </w:rPr>
            </w:pPr>
            <w:r w:rsidRPr="00F36109">
              <w:rPr>
                <w:rFonts w:ascii="Times New Roman" w:hAnsi="Times New Roman" w:cs="Times New Roman"/>
                <w:sz w:val="18"/>
                <w:szCs w:val="18"/>
              </w:rPr>
              <w:t>3.    Effective regional and HQ policy support network of participating UN agencies to the JP</w:t>
            </w:r>
          </w:p>
          <w:p w14:paraId="5970E9E3" w14:textId="77777777" w:rsidR="00D66A1D" w:rsidRPr="00F36109" w:rsidRDefault="00D66A1D" w:rsidP="00CF2BF7">
            <w:pPr>
              <w:spacing w:after="0" w:line="240" w:lineRule="auto"/>
              <w:rPr>
                <w:rFonts w:ascii="Times New Roman" w:hAnsi="Times New Roman" w:cs="Times New Roman"/>
              </w:rPr>
            </w:pPr>
            <w:r w:rsidRPr="00F36109">
              <w:rPr>
                <w:rFonts w:ascii="Times New Roman" w:hAnsi="Times New Roman" w:cs="Times New Roman"/>
                <w:sz w:val="18"/>
                <w:szCs w:val="18"/>
              </w:rPr>
              <w:t xml:space="preserve">4.    Strong partnerships with global, regional and </w:t>
            </w:r>
            <w:proofErr w:type="gramStart"/>
            <w:r w:rsidRPr="00F36109">
              <w:rPr>
                <w:rFonts w:ascii="Times New Roman" w:hAnsi="Times New Roman" w:cs="Times New Roman"/>
                <w:sz w:val="18"/>
                <w:szCs w:val="18"/>
              </w:rPr>
              <w:t>national  policy</w:t>
            </w:r>
            <w:proofErr w:type="gramEnd"/>
            <w:r w:rsidRPr="00F36109">
              <w:rPr>
                <w:rFonts w:ascii="Times New Roman" w:hAnsi="Times New Roman" w:cs="Times New Roman"/>
                <w:sz w:val="18"/>
                <w:szCs w:val="18"/>
              </w:rPr>
              <w:t xml:space="preserve"> experts</w:t>
            </w:r>
          </w:p>
        </w:tc>
        <w:tc>
          <w:tcPr>
            <w:tcW w:w="619" w:type="pct"/>
            <w:tcBorders>
              <w:top w:val="nil"/>
              <w:left w:val="nil"/>
              <w:bottom w:val="single" w:sz="4" w:space="0" w:color="auto"/>
              <w:right w:val="single" w:sz="4" w:space="0" w:color="auto"/>
            </w:tcBorders>
            <w:shd w:val="clear" w:color="auto" w:fill="auto"/>
            <w:vAlign w:val="center"/>
          </w:tcPr>
          <w:p w14:paraId="5BC99296"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00000"/>
                <w:sz w:val="18"/>
                <w:szCs w:val="18"/>
              </w:rPr>
              <w:t>PUNOs</w:t>
            </w:r>
          </w:p>
          <w:p w14:paraId="5F097EA0"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Operational Steering Committee</w:t>
            </w:r>
          </w:p>
          <w:p w14:paraId="0A4B9CD1"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proofErr w:type="gramStart"/>
            <w:r w:rsidRPr="00F36109">
              <w:rPr>
                <w:rFonts w:ascii="Times New Roman" w:hAnsi="Times New Roman" w:cs="Times New Roman"/>
                <w:color w:val="0D0D0D"/>
                <w:sz w:val="18"/>
                <w:szCs w:val="18"/>
              </w:rPr>
              <w:t>JF  Secretariat</w:t>
            </w:r>
            <w:proofErr w:type="gramEnd"/>
          </w:p>
          <w:p w14:paraId="11CBA57E"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JF Secretariat</w:t>
            </w:r>
          </w:p>
          <w:p w14:paraId="4C9882A7"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p>
          <w:p w14:paraId="11D91D22"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p>
        </w:tc>
      </w:tr>
      <w:tr w:rsidR="00D66A1D" w:rsidRPr="00F36109" w14:paraId="6BEBCB39" w14:textId="77777777" w:rsidTr="00CF2BF7">
        <w:trPr>
          <w:trHeight w:val="1664"/>
        </w:trPr>
        <w:tc>
          <w:tcPr>
            <w:tcW w:w="165" w:type="pct"/>
            <w:tcBorders>
              <w:top w:val="nil"/>
              <w:left w:val="single" w:sz="4" w:space="0" w:color="auto"/>
              <w:bottom w:val="single" w:sz="4" w:space="0" w:color="auto"/>
              <w:right w:val="single" w:sz="4" w:space="0" w:color="auto"/>
            </w:tcBorders>
            <w:shd w:val="clear" w:color="auto" w:fill="auto"/>
            <w:vAlign w:val="center"/>
            <w:hideMark/>
          </w:tcPr>
          <w:p w14:paraId="067AD11F" w14:textId="77777777" w:rsidR="00D66A1D" w:rsidRPr="00F36109" w:rsidRDefault="00D66A1D" w:rsidP="00CF2BF7">
            <w:pPr>
              <w:spacing w:after="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7</w:t>
            </w:r>
          </w:p>
        </w:tc>
        <w:tc>
          <w:tcPr>
            <w:tcW w:w="721" w:type="pct"/>
            <w:tcBorders>
              <w:top w:val="nil"/>
              <w:left w:val="nil"/>
              <w:bottom w:val="single" w:sz="4" w:space="0" w:color="auto"/>
              <w:right w:val="single" w:sz="4" w:space="0" w:color="auto"/>
            </w:tcBorders>
            <w:shd w:val="clear" w:color="auto" w:fill="auto"/>
            <w:vAlign w:val="center"/>
          </w:tcPr>
          <w:p w14:paraId="30B5473D" w14:textId="77777777" w:rsidR="00D66A1D" w:rsidRPr="00F36109" w:rsidRDefault="00D66A1D" w:rsidP="00CF2BF7">
            <w:pPr>
              <w:spacing w:after="0" w:line="240" w:lineRule="auto"/>
              <w:rPr>
                <w:rFonts w:ascii="Times New Roman" w:hAnsi="Times New Roman" w:cs="Times New Roman"/>
                <w:color w:val="0D0D0D"/>
                <w:sz w:val="18"/>
                <w:szCs w:val="18"/>
              </w:rPr>
            </w:pPr>
            <w:r w:rsidRPr="00F36109">
              <w:rPr>
                <w:rFonts w:ascii="Times New Roman" w:hAnsi="Times New Roman" w:cs="Times New Roman"/>
                <w:color w:val="0D0D0D"/>
                <w:sz w:val="18"/>
                <w:szCs w:val="18"/>
              </w:rPr>
              <w:t>Joint SDG Fund JP funding is mis-managed</w:t>
            </w:r>
          </w:p>
        </w:tc>
        <w:tc>
          <w:tcPr>
            <w:tcW w:w="562" w:type="pct"/>
            <w:tcBorders>
              <w:top w:val="nil"/>
              <w:left w:val="nil"/>
              <w:bottom w:val="single" w:sz="4" w:space="0" w:color="auto"/>
              <w:right w:val="single" w:sz="4" w:space="0" w:color="auto"/>
            </w:tcBorders>
            <w:shd w:val="clear" w:color="auto" w:fill="auto"/>
            <w:vAlign w:val="center"/>
          </w:tcPr>
          <w:p w14:paraId="357AB2BF" w14:textId="77777777" w:rsidR="00D66A1D" w:rsidRPr="00F36109" w:rsidRDefault="00D66A1D" w:rsidP="00CF2BF7">
            <w:pPr>
              <w:spacing w:after="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Programmatic</w:t>
            </w:r>
          </w:p>
          <w:p w14:paraId="3F281D15" w14:textId="77777777" w:rsidR="00D66A1D" w:rsidRPr="00F36109" w:rsidRDefault="00D66A1D" w:rsidP="00CF2BF7">
            <w:pPr>
              <w:spacing w:after="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Institutional</w:t>
            </w:r>
          </w:p>
          <w:p w14:paraId="00F0845A" w14:textId="77777777" w:rsidR="00D66A1D" w:rsidRPr="00F36109" w:rsidRDefault="00D66A1D" w:rsidP="00CF2BF7">
            <w:pPr>
              <w:spacing w:after="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Operational</w:t>
            </w:r>
          </w:p>
        </w:tc>
        <w:tc>
          <w:tcPr>
            <w:tcW w:w="1277" w:type="pct"/>
            <w:tcBorders>
              <w:top w:val="nil"/>
              <w:left w:val="nil"/>
              <w:bottom w:val="single" w:sz="4" w:space="0" w:color="auto"/>
              <w:right w:val="single" w:sz="4" w:space="0" w:color="auto"/>
            </w:tcBorders>
            <w:shd w:val="clear" w:color="auto" w:fill="auto"/>
            <w:vAlign w:val="center"/>
          </w:tcPr>
          <w:p w14:paraId="26121C61" w14:textId="77777777" w:rsidR="00D66A1D" w:rsidRPr="00F36109" w:rsidRDefault="00D66A1D" w:rsidP="00D66A1D">
            <w:pPr>
              <w:pStyle w:val="ListParagraph"/>
              <w:numPr>
                <w:ilvl w:val="0"/>
                <w:numId w:val="34"/>
              </w:numPr>
              <w:spacing w:before="120" w:after="0" w:line="240" w:lineRule="auto"/>
              <w:ind w:left="331"/>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 xml:space="preserve">Joint </w:t>
            </w:r>
            <w:proofErr w:type="spellStart"/>
            <w:r w:rsidRPr="00F36109">
              <w:rPr>
                <w:rFonts w:ascii="Times New Roman" w:hAnsi="Times New Roman" w:cs="Times New Roman"/>
                <w:color w:val="0D0D0D"/>
                <w:sz w:val="18"/>
                <w:szCs w:val="18"/>
              </w:rPr>
              <w:t>programme</w:t>
            </w:r>
            <w:proofErr w:type="spellEnd"/>
            <w:r w:rsidRPr="00F36109">
              <w:rPr>
                <w:rFonts w:ascii="Times New Roman" w:hAnsi="Times New Roman" w:cs="Times New Roman"/>
                <w:color w:val="0D0D0D"/>
                <w:sz w:val="18"/>
                <w:szCs w:val="18"/>
              </w:rPr>
              <w:t xml:space="preserve"> compromised and potentially put on hold</w:t>
            </w:r>
          </w:p>
          <w:p w14:paraId="1FD78B1C" w14:textId="77777777" w:rsidR="00D66A1D" w:rsidRPr="00F36109" w:rsidRDefault="00D66A1D" w:rsidP="00CF2BF7">
            <w:pPr>
              <w:pStyle w:val="ListParagraph"/>
              <w:spacing w:before="120" w:after="0" w:line="240" w:lineRule="auto"/>
              <w:ind w:left="331"/>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Probability: 1 / Impact 5</w:t>
            </w:r>
          </w:p>
          <w:p w14:paraId="2B00764B" w14:textId="77777777" w:rsidR="00D66A1D" w:rsidRPr="00F36109" w:rsidRDefault="00D66A1D" w:rsidP="00CF2BF7">
            <w:pPr>
              <w:pStyle w:val="ListParagraph"/>
              <w:spacing w:before="120" w:after="0" w:line="240" w:lineRule="auto"/>
              <w:ind w:left="331"/>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 high risk</w:t>
            </w:r>
          </w:p>
          <w:p w14:paraId="4BC6F785" w14:textId="77777777" w:rsidR="00D66A1D" w:rsidRPr="00F36109" w:rsidRDefault="00D66A1D" w:rsidP="00CF2BF7">
            <w:pPr>
              <w:pStyle w:val="ListParagraph"/>
              <w:spacing w:before="120" w:after="0" w:line="240" w:lineRule="auto"/>
              <w:ind w:left="331"/>
              <w:rPr>
                <w:rFonts w:ascii="Times New Roman" w:hAnsi="Times New Roman" w:cs="Times New Roman"/>
                <w:color w:val="0D0D0D"/>
                <w:sz w:val="18"/>
                <w:szCs w:val="18"/>
              </w:rPr>
            </w:pPr>
          </w:p>
          <w:p w14:paraId="2B128A76" w14:textId="77777777" w:rsidR="00D66A1D" w:rsidRPr="00F36109" w:rsidRDefault="00D66A1D" w:rsidP="00D66A1D">
            <w:pPr>
              <w:pStyle w:val="ListParagraph"/>
              <w:numPr>
                <w:ilvl w:val="0"/>
                <w:numId w:val="34"/>
              </w:numPr>
              <w:spacing w:before="120" w:after="0" w:line="240" w:lineRule="auto"/>
              <w:ind w:left="331"/>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Joint SDG Fund, UNCT and UN’s reputation is compromised</w:t>
            </w:r>
          </w:p>
          <w:p w14:paraId="0156AAA3" w14:textId="77777777" w:rsidR="00D66A1D" w:rsidRPr="00F36109" w:rsidRDefault="00D66A1D" w:rsidP="00CF2BF7">
            <w:pPr>
              <w:spacing w:after="120" w:line="240" w:lineRule="auto"/>
              <w:jc w:val="both"/>
              <w:rPr>
                <w:rFonts w:ascii="Times New Roman" w:hAnsi="Times New Roman" w:cs="Times New Roman"/>
                <w:b/>
                <w:color w:val="0D0D0D"/>
                <w:sz w:val="18"/>
                <w:szCs w:val="18"/>
              </w:rPr>
            </w:pPr>
            <w:r w:rsidRPr="00F36109">
              <w:rPr>
                <w:rFonts w:ascii="Times New Roman" w:hAnsi="Times New Roman" w:cs="Times New Roman"/>
                <w:b/>
                <w:color w:val="0D0D0D"/>
                <w:sz w:val="18"/>
                <w:szCs w:val="18"/>
              </w:rPr>
              <w:t>Probability: 1 / Impact 5</w:t>
            </w:r>
          </w:p>
          <w:p w14:paraId="74DCD38D" w14:textId="77777777" w:rsidR="00D66A1D" w:rsidRPr="00F36109" w:rsidRDefault="00D66A1D" w:rsidP="00CF2BF7">
            <w:pPr>
              <w:spacing w:after="120" w:line="240" w:lineRule="auto"/>
              <w:jc w:val="both"/>
              <w:rPr>
                <w:rFonts w:ascii="Times New Roman" w:hAnsi="Times New Roman" w:cs="Times New Roman"/>
                <w:color w:val="0D0D0D"/>
                <w:sz w:val="16"/>
                <w:szCs w:val="16"/>
              </w:rPr>
            </w:pPr>
            <w:r w:rsidRPr="00F36109">
              <w:rPr>
                <w:rFonts w:ascii="Times New Roman" w:hAnsi="Times New Roman" w:cs="Times New Roman"/>
                <w:b/>
                <w:color w:val="0D0D0D"/>
                <w:sz w:val="18"/>
                <w:szCs w:val="18"/>
              </w:rPr>
              <w:t>= high risk</w:t>
            </w:r>
          </w:p>
        </w:tc>
        <w:tc>
          <w:tcPr>
            <w:tcW w:w="1656" w:type="pct"/>
            <w:tcBorders>
              <w:top w:val="nil"/>
              <w:left w:val="nil"/>
              <w:bottom w:val="single" w:sz="4" w:space="0" w:color="auto"/>
              <w:right w:val="single" w:sz="4" w:space="0" w:color="auto"/>
            </w:tcBorders>
            <w:shd w:val="clear" w:color="auto" w:fill="auto"/>
            <w:vAlign w:val="center"/>
          </w:tcPr>
          <w:p w14:paraId="56ACCC19" w14:textId="77777777" w:rsidR="00D66A1D" w:rsidRPr="00F36109" w:rsidRDefault="00D66A1D" w:rsidP="00D66A1D">
            <w:pPr>
              <w:pStyle w:val="ListParagraph"/>
              <w:numPr>
                <w:ilvl w:val="0"/>
                <w:numId w:val="35"/>
              </w:numPr>
              <w:spacing w:after="0" w:line="240" w:lineRule="auto"/>
              <w:ind w:left="331"/>
              <w:contextualSpacing w:val="0"/>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Strong project management capacity in JP</w:t>
            </w:r>
          </w:p>
          <w:p w14:paraId="3E1EB479" w14:textId="77777777" w:rsidR="00D66A1D" w:rsidRPr="00F36109" w:rsidRDefault="00D66A1D" w:rsidP="00D66A1D">
            <w:pPr>
              <w:pStyle w:val="ListParagraph"/>
              <w:numPr>
                <w:ilvl w:val="0"/>
                <w:numId w:val="35"/>
              </w:numPr>
              <w:spacing w:after="0" w:line="240" w:lineRule="auto"/>
              <w:ind w:left="331"/>
              <w:contextualSpacing w:val="0"/>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Strong oversight by JP Steering committee</w:t>
            </w:r>
          </w:p>
          <w:p w14:paraId="3AFE542F" w14:textId="77777777" w:rsidR="00D66A1D" w:rsidRPr="00F36109" w:rsidRDefault="00D66A1D" w:rsidP="00D66A1D">
            <w:pPr>
              <w:pStyle w:val="ListParagraph"/>
              <w:numPr>
                <w:ilvl w:val="0"/>
                <w:numId w:val="35"/>
              </w:numPr>
              <w:spacing w:after="0" w:line="240" w:lineRule="auto"/>
              <w:ind w:left="331"/>
              <w:contextualSpacing w:val="0"/>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Disclosure of information according to IATI standards. In addition to publishing information on the JF website, information should be shared broadly at country level.</w:t>
            </w:r>
          </w:p>
          <w:p w14:paraId="49F05AD4" w14:textId="77777777" w:rsidR="00D66A1D" w:rsidRPr="00F36109" w:rsidRDefault="00D66A1D" w:rsidP="00D66A1D">
            <w:pPr>
              <w:pStyle w:val="ListParagraph"/>
              <w:numPr>
                <w:ilvl w:val="0"/>
                <w:numId w:val="35"/>
              </w:numPr>
              <w:spacing w:after="0" w:line="240" w:lineRule="auto"/>
              <w:ind w:left="331"/>
              <w:contextualSpacing w:val="0"/>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JP management closely follows operational policies and procedures of managing agent and participating agencies</w:t>
            </w:r>
          </w:p>
        </w:tc>
        <w:tc>
          <w:tcPr>
            <w:tcW w:w="619" w:type="pct"/>
            <w:tcBorders>
              <w:top w:val="nil"/>
              <w:left w:val="nil"/>
              <w:bottom w:val="single" w:sz="4" w:space="0" w:color="auto"/>
              <w:right w:val="single" w:sz="4" w:space="0" w:color="auto"/>
            </w:tcBorders>
            <w:shd w:val="clear" w:color="auto" w:fill="auto"/>
            <w:vAlign w:val="center"/>
          </w:tcPr>
          <w:p w14:paraId="24D942FF"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JP National St Com</w:t>
            </w:r>
          </w:p>
          <w:p w14:paraId="3DEBEB28"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JP National St Com</w:t>
            </w:r>
          </w:p>
          <w:p w14:paraId="1EA9320D"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r w:rsidRPr="00F36109">
              <w:rPr>
                <w:rFonts w:ascii="Times New Roman" w:hAnsi="Times New Roman" w:cs="Times New Roman"/>
                <w:color w:val="0D0D0D"/>
                <w:sz w:val="18"/>
                <w:szCs w:val="18"/>
              </w:rPr>
              <w:t>PUNOs</w:t>
            </w:r>
          </w:p>
          <w:p w14:paraId="5BF1F25D" w14:textId="77777777" w:rsidR="00D66A1D" w:rsidRPr="00F36109" w:rsidRDefault="00D66A1D" w:rsidP="00CF2BF7">
            <w:pPr>
              <w:spacing w:before="120" w:after="120" w:line="240" w:lineRule="auto"/>
              <w:jc w:val="both"/>
              <w:rPr>
                <w:rFonts w:ascii="Times New Roman" w:hAnsi="Times New Roman" w:cs="Times New Roman"/>
                <w:color w:val="0D0D0D"/>
                <w:sz w:val="18"/>
                <w:szCs w:val="18"/>
              </w:rPr>
            </w:pPr>
          </w:p>
        </w:tc>
      </w:tr>
    </w:tbl>
    <w:p w14:paraId="4FE04A0F" w14:textId="77777777" w:rsidR="00D66A1D" w:rsidRPr="00F36109" w:rsidRDefault="00D66A1D" w:rsidP="00D66A1D">
      <w:pPr>
        <w:pStyle w:val="Body"/>
        <w:widowControl w:val="0"/>
        <w:spacing w:after="0"/>
        <w:jc w:val="both"/>
        <w:rPr>
          <w:rFonts w:ascii="Times New Roman" w:hAnsi="Times New Roman" w:cs="Times New Roman"/>
          <w:b/>
          <w:iCs/>
          <w:sz w:val="20"/>
          <w:szCs w:val="20"/>
        </w:rPr>
      </w:pPr>
    </w:p>
    <w:p w14:paraId="6A860121" w14:textId="0429752D" w:rsidR="00D66A1D" w:rsidRDefault="00D66A1D" w:rsidP="00D66A1D">
      <w:pPr>
        <w:spacing w:after="120"/>
        <w:jc w:val="both"/>
        <w:rPr>
          <w:rFonts w:ascii="Times New Roman" w:hAnsi="Times New Roman" w:cs="Times New Roman"/>
          <w:b/>
        </w:rPr>
      </w:pPr>
    </w:p>
    <w:p w14:paraId="4580DF31" w14:textId="77777777" w:rsidR="00417804" w:rsidRDefault="00417804" w:rsidP="00D66A1D">
      <w:pPr>
        <w:spacing w:after="120"/>
        <w:jc w:val="both"/>
        <w:rPr>
          <w:rFonts w:ascii="Times New Roman" w:hAnsi="Times New Roman" w:cs="Times New Roman"/>
          <w:b/>
        </w:rPr>
      </w:pPr>
    </w:p>
    <w:p w14:paraId="240BC216" w14:textId="0FFCC34C" w:rsidR="00BC0817" w:rsidRDefault="00BC0817" w:rsidP="00D66A1D">
      <w:pPr>
        <w:spacing w:after="120"/>
        <w:jc w:val="both"/>
        <w:rPr>
          <w:rFonts w:ascii="Times New Roman" w:hAnsi="Times New Roman" w:cs="Times New Roman"/>
          <w:b/>
        </w:rPr>
      </w:pPr>
    </w:p>
    <w:p w14:paraId="6EDCF460" w14:textId="2D9808CD" w:rsidR="000707FB" w:rsidRDefault="000707FB" w:rsidP="00D66A1D">
      <w:pPr>
        <w:spacing w:after="120"/>
        <w:jc w:val="both"/>
        <w:rPr>
          <w:rFonts w:ascii="Times New Roman" w:hAnsi="Times New Roman" w:cs="Times New Roman"/>
          <w:b/>
        </w:rPr>
      </w:pPr>
    </w:p>
    <w:p w14:paraId="43052FB7" w14:textId="0DF7ED35" w:rsidR="00567B44" w:rsidRPr="00417804" w:rsidRDefault="00D66A1D" w:rsidP="00567B44">
      <w:pPr>
        <w:pStyle w:val="Heading1"/>
        <w:rPr>
          <w:rFonts w:ascii="Times New Roman" w:eastAsia="Calibri" w:hAnsi="Times New Roman" w:cs="Times New Roman"/>
          <w:b/>
          <w:bCs/>
          <w:iCs/>
          <w:color w:val="auto"/>
          <w:spacing w:val="-2"/>
          <w:sz w:val="22"/>
          <w:szCs w:val="22"/>
          <w:lang w:eastAsia="en-US"/>
        </w:rPr>
      </w:pPr>
      <w:bookmarkStart w:id="106" w:name="_Toc521939082"/>
      <w:bookmarkStart w:id="107" w:name="_Toc530577732"/>
      <w:r w:rsidRPr="00F36109">
        <w:rPr>
          <w:rFonts w:ascii="Times New Roman" w:eastAsia="Calibri" w:hAnsi="Times New Roman" w:cs="Times New Roman"/>
          <w:b/>
          <w:bCs/>
          <w:iCs/>
          <w:color w:val="auto"/>
          <w:spacing w:val="-2"/>
          <w:sz w:val="22"/>
          <w:szCs w:val="22"/>
          <w:lang w:eastAsia="en-US"/>
        </w:rPr>
        <w:lastRenderedPageBreak/>
        <w:t xml:space="preserve">ANNEX 2: </w:t>
      </w:r>
      <w:r w:rsidR="006C5580">
        <w:rPr>
          <w:rFonts w:ascii="Times New Roman" w:eastAsia="Calibri" w:hAnsi="Times New Roman" w:cs="Times New Roman"/>
          <w:b/>
          <w:bCs/>
          <w:iCs/>
          <w:color w:val="auto"/>
          <w:spacing w:val="-2"/>
          <w:sz w:val="22"/>
          <w:szCs w:val="22"/>
          <w:lang w:eastAsia="en-US"/>
        </w:rPr>
        <w:t xml:space="preserve">DETAILED </w:t>
      </w:r>
      <w:r w:rsidRPr="00F36109">
        <w:rPr>
          <w:rFonts w:ascii="Times New Roman" w:eastAsia="Calibri" w:hAnsi="Times New Roman" w:cs="Times New Roman"/>
          <w:b/>
          <w:bCs/>
          <w:iCs/>
          <w:color w:val="auto"/>
          <w:spacing w:val="-2"/>
          <w:sz w:val="22"/>
          <w:szCs w:val="22"/>
          <w:lang w:eastAsia="en-US"/>
        </w:rPr>
        <w:t>THEORY OF CHANGE</w:t>
      </w:r>
      <w:bookmarkEnd w:id="106"/>
      <w:bookmarkEnd w:id="107"/>
      <w:r w:rsidRPr="00F36109">
        <w:rPr>
          <w:rFonts w:ascii="Times New Roman" w:eastAsia="Calibri" w:hAnsi="Times New Roman" w:cs="Times New Roman"/>
          <w:b/>
          <w:bCs/>
          <w:iCs/>
          <w:color w:val="auto"/>
          <w:spacing w:val="-2"/>
          <w:sz w:val="22"/>
          <w:szCs w:val="22"/>
          <w:lang w:eastAsia="en-US"/>
        </w:rPr>
        <w:t xml:space="preserve"> </w:t>
      </w:r>
    </w:p>
    <w:p w14:paraId="71D97B32" w14:textId="77777777" w:rsidR="00567B44" w:rsidRPr="00417804" w:rsidRDefault="00567B44" w:rsidP="00567B44">
      <w:pPr>
        <w:spacing w:after="120"/>
        <w:ind w:firstLine="720"/>
        <w:jc w:val="both"/>
        <w:rPr>
          <w:rFonts w:ascii="Times New Roman" w:eastAsia="Calibri" w:hAnsi="Times New Roman" w:cs="Times New Roman"/>
          <w:b/>
          <w:bCs/>
          <w:iCs/>
          <w:spacing w:val="-2"/>
          <w:lang w:eastAsia="en-US"/>
        </w:rPr>
      </w:pPr>
    </w:p>
    <w:p w14:paraId="6B36BF72" w14:textId="3F5818BA" w:rsidR="00D66A1D" w:rsidRPr="00F36109" w:rsidRDefault="00D66A1D" w:rsidP="00567B44">
      <w:pPr>
        <w:spacing w:after="120"/>
        <w:ind w:firstLine="720"/>
        <w:jc w:val="both"/>
        <w:rPr>
          <w:rFonts w:ascii="Times New Roman" w:hAnsi="Times New Roman" w:cs="Times New Roman"/>
          <w:b/>
          <w:color w:val="000000"/>
        </w:rPr>
      </w:pPr>
      <w:r w:rsidRPr="00F36109">
        <w:rPr>
          <w:rFonts w:ascii="Times New Roman" w:hAnsi="Times New Roman" w:cs="Times New Roman"/>
          <w:b/>
          <w:color w:val="000000"/>
        </w:rPr>
        <w:t xml:space="preserve">Rationale </w:t>
      </w:r>
    </w:p>
    <w:p w14:paraId="72677F2F" w14:textId="5009AD28"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Traditionally, the United Nations (UN) and development partners have supported policy development by sector, mandate, or area of specialization.  The 2030 Agenda for Sustainable Development requires an integrated approach to the Sustainable Development Goals (SDGs) that cuts across sectoral and institutional domains. To achieve the </w:t>
      </w:r>
      <w:proofErr w:type="gramStart"/>
      <w:r w:rsidRPr="00F36109">
        <w:rPr>
          <w:rFonts w:ascii="Times New Roman" w:hAnsi="Times New Roman" w:cs="Times New Roman"/>
          <w:color w:val="000000"/>
        </w:rPr>
        <w:t>SDGs</w:t>
      </w:r>
      <w:proofErr w:type="gramEnd"/>
      <w:r w:rsidRPr="00F36109">
        <w:rPr>
          <w:rFonts w:ascii="Times New Roman" w:hAnsi="Times New Roman" w:cs="Times New Roman"/>
          <w:color w:val="000000"/>
        </w:rPr>
        <w:t xml:space="preserve"> it is </w:t>
      </w:r>
      <w:r w:rsidR="00A95BB6">
        <w:rPr>
          <w:rFonts w:ascii="Times New Roman" w:hAnsi="Times New Roman" w:cs="Times New Roman"/>
          <w:color w:val="000000"/>
        </w:rPr>
        <w:t>essential</w:t>
      </w:r>
      <w:r w:rsidRPr="00F36109">
        <w:rPr>
          <w:rFonts w:ascii="Times New Roman" w:hAnsi="Times New Roman" w:cs="Times New Roman"/>
          <w:color w:val="000000"/>
        </w:rPr>
        <w:t xml:space="preserve"> to integrate social, economic and environmental aspects, and incorporate the 5Ps (People, Prosperity, Planet, Peace and Partnerships). For accelerated progress towards the SDGs, thoughtful changes need to be made in policy and financing, and governments must engage with key stakeholders to jointly develop and implement the integrated 2030 Agenda. Moreover, a fundamentally new set of inclusive financing strategies and frameworks is required. The Addis Ababa Action Agenda (AAAA) provides a global framework for financing sustainable development— by aligning financing flows and policies with economic, social and environmental priorities. To transform billions of dollars into SDG investments worth trillions, we need new financing models, strategic investments, and national SDG partnerships, while safeguarding international norms and standards and mainstreaming the principle of Leaving No One Behind. </w:t>
      </w:r>
    </w:p>
    <w:p w14:paraId="0C02E30D" w14:textId="7A6D2129"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To be successful, we must improve the ways in which the UN’s convening power is used for supporting integrated policy solutions and financing strategies.  The UN must build on its role and experience as a neutral and credible partner to secure national ownership and leadership, and to facilitate capacity development of national governments as </w:t>
      </w:r>
      <w:r w:rsidR="00A95BB6">
        <w:rPr>
          <w:rFonts w:ascii="Times New Roman" w:hAnsi="Times New Roman" w:cs="Times New Roman"/>
          <w:color w:val="000000"/>
        </w:rPr>
        <w:t xml:space="preserve">the </w:t>
      </w:r>
      <w:r w:rsidRPr="00F36109">
        <w:rPr>
          <w:rFonts w:ascii="Times New Roman" w:hAnsi="Times New Roman" w:cs="Times New Roman"/>
          <w:color w:val="000000"/>
        </w:rPr>
        <w:t xml:space="preserve">main lever for achieving the SDGs. For this to happen, the UN </w:t>
      </w:r>
      <w:proofErr w:type="gramStart"/>
      <w:r w:rsidRPr="00F36109">
        <w:rPr>
          <w:rFonts w:ascii="Times New Roman" w:hAnsi="Times New Roman" w:cs="Times New Roman"/>
          <w:color w:val="000000"/>
        </w:rPr>
        <w:t>has to</w:t>
      </w:r>
      <w:proofErr w:type="gramEnd"/>
      <w:r w:rsidRPr="00F36109">
        <w:rPr>
          <w:rFonts w:ascii="Times New Roman" w:hAnsi="Times New Roman" w:cs="Times New Roman"/>
          <w:color w:val="000000"/>
        </w:rPr>
        <w:t xml:space="preserve"> change the way it works and promotes more systemic and catalytic change. Despite improved collaboration across organizations and sectors, work at the country-level is often fragmented, with partners compartmentalizing issues into ‘silos’ or competing for resources and access to policy arenas. This represents a challenge for UN Country Teams, that should instead be integrating programming and implementation, facilitating the development of integrated mechanisms, boosting the capacity of domestic stakeholders, and nurturing new and existing partnerships with traditional and non-traditional actors at global, regional, and local levels.</w:t>
      </w:r>
    </w:p>
    <w:p w14:paraId="0BD85FB5" w14:textId="05BF1C28"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Given the current pace of policy reforms, accelerated efforts are essential. An integrated UN approach to the SDGs should include funding and technical support to UN Country Offices (led by the UN Resident Coordinator) and national and sub-national partners for the development of integrated policies and financing solutions that </w:t>
      </w:r>
      <w:r w:rsidR="00A95BB6">
        <w:rPr>
          <w:rFonts w:ascii="Times New Roman" w:hAnsi="Times New Roman" w:cs="Times New Roman"/>
          <w:color w:val="000000"/>
        </w:rPr>
        <w:t>accelerate</w:t>
      </w:r>
      <w:r w:rsidRPr="00F36109">
        <w:rPr>
          <w:rFonts w:ascii="Times New Roman" w:hAnsi="Times New Roman" w:cs="Times New Roman"/>
          <w:color w:val="000000"/>
        </w:rPr>
        <w:t xml:space="preserve"> progress on the SDGs. Support should be accompanied by pooling expertise across the UN Development System to address specific, contextual SDG challenges. By working more closely together with a strategic focus on priorities, the UN can improve its support to national stakeholders. This must also involve supporting the capacity development of national authorities for policy change and systemic transformation that, in cooperation with relevant national partners, promote behavioral and systems change and increases the investments that lead to the achievement of the SDGs. </w:t>
      </w:r>
    </w:p>
    <w:p w14:paraId="3012F3E8" w14:textId="77777777" w:rsidR="00567B44" w:rsidRDefault="00567B44" w:rsidP="00567B44">
      <w:pPr>
        <w:spacing w:after="120" w:line="276" w:lineRule="auto"/>
        <w:jc w:val="both"/>
        <w:rPr>
          <w:rFonts w:ascii="Times New Roman" w:hAnsi="Times New Roman" w:cs="Times New Roman"/>
          <w:color w:val="000000"/>
        </w:rPr>
      </w:pPr>
    </w:p>
    <w:p w14:paraId="66DA2511" w14:textId="77777777" w:rsidR="00567B44" w:rsidRDefault="00D66A1D" w:rsidP="00567B44">
      <w:pPr>
        <w:spacing w:after="120" w:line="276" w:lineRule="auto"/>
        <w:ind w:firstLine="720"/>
        <w:jc w:val="both"/>
        <w:rPr>
          <w:rFonts w:ascii="Times New Roman" w:hAnsi="Times New Roman" w:cs="Times New Roman"/>
          <w:color w:val="000000"/>
        </w:rPr>
      </w:pPr>
      <w:r w:rsidRPr="00567B44">
        <w:rPr>
          <w:rFonts w:ascii="Times New Roman" w:hAnsi="Times New Roman" w:cs="Times New Roman"/>
          <w:b/>
          <w:i/>
          <w:color w:val="000000"/>
        </w:rPr>
        <w:t>Strategic response</w:t>
      </w:r>
    </w:p>
    <w:p w14:paraId="2E05933E" w14:textId="1C5C7D8E"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The Joint SDG Fund is designed specifically to support accelerated catalytic change towards the SDGs at national level. It complements existing funding mechanisms by providing specific added value based on the UN’s comparative advantage in enabling transformative actions on the SDGs through linking integrated policy and financing, and balancing between the social, economic and environmental aspects of sustainable development. The Joint SDG Fund will incentivize collaboration among UN Country Team under the </w:t>
      </w:r>
      <w:r w:rsidRPr="00F36109">
        <w:rPr>
          <w:rFonts w:ascii="Times New Roman" w:hAnsi="Times New Roman" w:cs="Times New Roman"/>
          <w:color w:val="000000"/>
        </w:rPr>
        <w:lastRenderedPageBreak/>
        <w:t xml:space="preserve">leadership of the UN Resident Coordinator in order to support </w:t>
      </w:r>
      <w:r w:rsidR="00A95BB6">
        <w:rPr>
          <w:rFonts w:ascii="Times New Roman" w:hAnsi="Times New Roman" w:cs="Times New Roman"/>
          <w:color w:val="000000"/>
        </w:rPr>
        <w:t>an</w:t>
      </w:r>
      <w:r w:rsidRPr="00F36109">
        <w:rPr>
          <w:rFonts w:ascii="Times New Roman" w:hAnsi="Times New Roman" w:cs="Times New Roman"/>
          <w:color w:val="000000"/>
        </w:rPr>
        <w:t xml:space="preserve"> integrated approach to the SDGs at the country-level and leverage the convening and partnership development role of the UN. This will further help bring together and improve collaboration among diverse stakeholders and development </w:t>
      </w:r>
      <w:proofErr w:type="gramStart"/>
      <w:r w:rsidRPr="00F36109">
        <w:rPr>
          <w:rFonts w:ascii="Times New Roman" w:hAnsi="Times New Roman" w:cs="Times New Roman"/>
          <w:color w:val="000000"/>
        </w:rPr>
        <w:t>partners, and</w:t>
      </w:r>
      <w:proofErr w:type="gramEnd"/>
      <w:r w:rsidRPr="00F36109">
        <w:rPr>
          <w:rFonts w:ascii="Times New Roman" w:hAnsi="Times New Roman" w:cs="Times New Roman"/>
          <w:color w:val="000000"/>
        </w:rPr>
        <w:t xml:space="preserve"> improve the synergy between their individual efforts and initiatives. </w:t>
      </w:r>
    </w:p>
    <w:p w14:paraId="0103D650" w14:textId="2077376C"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To strengthen the capacity of country-led SDG actions on integrated policy and financing</w:t>
      </w:r>
      <w:r w:rsidR="00567B44">
        <w:rPr>
          <w:rFonts w:ascii="Times New Roman" w:hAnsi="Times New Roman" w:cs="Times New Roman"/>
          <w:color w:val="000000"/>
        </w:rPr>
        <w:t>,</w:t>
      </w:r>
      <w:r w:rsidRPr="00F36109">
        <w:rPr>
          <w:rFonts w:ascii="Times New Roman" w:hAnsi="Times New Roman" w:cs="Times New Roman"/>
          <w:color w:val="000000"/>
        </w:rPr>
        <w:t xml:space="preserve"> the Joint SDG Fund will ensure that supported </w:t>
      </w:r>
      <w:proofErr w:type="spellStart"/>
      <w:r w:rsidRPr="00F36109">
        <w:rPr>
          <w:rFonts w:ascii="Times New Roman" w:hAnsi="Times New Roman" w:cs="Times New Roman"/>
          <w:color w:val="000000"/>
        </w:rPr>
        <w:t>programmes</w:t>
      </w:r>
      <w:proofErr w:type="spellEnd"/>
      <w:r w:rsidRPr="00F36109">
        <w:rPr>
          <w:rFonts w:ascii="Times New Roman" w:hAnsi="Times New Roman" w:cs="Times New Roman"/>
          <w:color w:val="000000"/>
        </w:rPr>
        <w:t xml:space="preserve"> are embedded in UNDAFs</w:t>
      </w:r>
      <w:r w:rsidRPr="00567B44">
        <w:rPr>
          <w:vertAlign w:val="superscript"/>
        </w:rPr>
        <w:footnoteReference w:id="5"/>
      </w:r>
      <w:r w:rsidR="00A95BB6">
        <w:rPr>
          <w:rFonts w:ascii="Times New Roman" w:hAnsi="Times New Roman" w:cs="Times New Roman"/>
          <w:color w:val="000000"/>
        </w:rPr>
        <w:t xml:space="preserve"> an</w:t>
      </w:r>
      <w:r w:rsidRPr="00F36109">
        <w:rPr>
          <w:rFonts w:ascii="Times New Roman" w:hAnsi="Times New Roman" w:cs="Times New Roman"/>
          <w:color w:val="000000"/>
        </w:rPr>
        <w:t xml:space="preserve">d enhance national ownership, leadership and capacities. UN Country Teams will be responsible for strategic coordination and effective collaboration with domestic and international </w:t>
      </w:r>
      <w:r w:rsidR="00A95BB6" w:rsidRPr="00F36109">
        <w:rPr>
          <w:rFonts w:ascii="Times New Roman" w:hAnsi="Times New Roman" w:cs="Times New Roman"/>
          <w:color w:val="000000"/>
        </w:rPr>
        <w:t>partners and</w:t>
      </w:r>
      <w:r w:rsidRPr="00F36109">
        <w:rPr>
          <w:rFonts w:ascii="Times New Roman" w:hAnsi="Times New Roman" w:cs="Times New Roman"/>
          <w:color w:val="000000"/>
        </w:rPr>
        <w:t xml:space="preserve"> help to build new coalitions around SDG policy and financing. </w:t>
      </w:r>
      <w:proofErr w:type="spellStart"/>
      <w:r w:rsidRPr="00F36109">
        <w:rPr>
          <w:rFonts w:ascii="Times New Roman" w:hAnsi="Times New Roman" w:cs="Times New Roman"/>
          <w:color w:val="000000"/>
        </w:rPr>
        <w:t>Programmes</w:t>
      </w:r>
      <w:proofErr w:type="spellEnd"/>
      <w:r w:rsidRPr="00F36109">
        <w:rPr>
          <w:rFonts w:ascii="Times New Roman" w:hAnsi="Times New Roman" w:cs="Times New Roman"/>
          <w:color w:val="000000"/>
        </w:rPr>
        <w:t xml:space="preserve"> will mainstream human rights, gender, youth, and environment, and operationalize the principle of Leaving No One Behind. This is particularly relevant for promoting innovation, but at the same time safeguard international norms and standards. Aside from providing funds to joint </w:t>
      </w:r>
      <w:proofErr w:type="spellStart"/>
      <w:r w:rsidRPr="00F36109">
        <w:rPr>
          <w:rFonts w:ascii="Times New Roman" w:hAnsi="Times New Roman" w:cs="Times New Roman"/>
          <w:color w:val="000000"/>
        </w:rPr>
        <w:t>programmes</w:t>
      </w:r>
      <w:proofErr w:type="spellEnd"/>
      <w:r w:rsidRPr="00F36109">
        <w:rPr>
          <w:rFonts w:ascii="Times New Roman" w:hAnsi="Times New Roman" w:cs="Times New Roman"/>
          <w:color w:val="000000"/>
        </w:rPr>
        <w:t xml:space="preserve"> at the country level, the Joint SDG Fund will pool expertise across the UN Development System and create strategic partnerships within and outside the UN at global, regional and local levels</w:t>
      </w:r>
      <w:r w:rsidR="00567B44">
        <w:rPr>
          <w:rStyle w:val="FootnoteReference"/>
          <w:rFonts w:ascii="Times New Roman" w:hAnsi="Times New Roman" w:cs="Times New Roman"/>
          <w:color w:val="000000"/>
        </w:rPr>
        <w:footnoteReference w:id="6"/>
      </w:r>
      <w:r w:rsidRPr="00F36109">
        <w:rPr>
          <w:rFonts w:ascii="Times New Roman" w:hAnsi="Times New Roman" w:cs="Times New Roman"/>
          <w:color w:val="000000"/>
        </w:rPr>
        <w:t>.</w:t>
      </w:r>
    </w:p>
    <w:p w14:paraId="3FAFC3F3" w14:textId="77777777"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The focus will be on improving collaboration within UN Country Teams (under the leadership of UN Resident Coordinators), which will be done through demand-driven and context-specific joint </w:t>
      </w:r>
      <w:proofErr w:type="spellStart"/>
      <w:r w:rsidRPr="00F36109">
        <w:rPr>
          <w:rFonts w:ascii="Times New Roman" w:hAnsi="Times New Roman" w:cs="Times New Roman"/>
          <w:color w:val="000000"/>
        </w:rPr>
        <w:t>programmes</w:t>
      </w:r>
      <w:proofErr w:type="spellEnd"/>
      <w:r w:rsidRPr="00F36109">
        <w:rPr>
          <w:rFonts w:ascii="Times New Roman" w:hAnsi="Times New Roman" w:cs="Times New Roman"/>
          <w:color w:val="000000"/>
        </w:rPr>
        <w:t xml:space="preserve"> designed and delivered by the stakeholders involved. </w:t>
      </w:r>
      <w:proofErr w:type="spellStart"/>
      <w:r w:rsidRPr="00F36109">
        <w:rPr>
          <w:rFonts w:ascii="Times New Roman" w:hAnsi="Times New Roman" w:cs="Times New Roman"/>
          <w:color w:val="000000"/>
        </w:rPr>
        <w:t>Programmes</w:t>
      </w:r>
      <w:proofErr w:type="spellEnd"/>
      <w:r w:rsidRPr="00F36109">
        <w:rPr>
          <w:rFonts w:ascii="Times New Roman" w:hAnsi="Times New Roman" w:cs="Times New Roman"/>
          <w:color w:val="000000"/>
        </w:rPr>
        <w:t xml:space="preserve"> will support the development of mechanisms for integrated policy and financing that reflect the interdependent nature of the SDGs. Increased cohesion of policy and development results - accompanied by the focus on levers for systemic change and catalytic finance and investment – is expected to lead to accelerated accomplishment of the SDGs at the national level, which will contribute to the accomplishment of the SDGs at the global level.</w:t>
      </w:r>
    </w:p>
    <w:p w14:paraId="151CB351" w14:textId="5B1D0A85" w:rsidR="00567B44" w:rsidRDefault="00D66A1D" w:rsidP="00D66A1D">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The overarching justification for the Joint Fund for the 2030 Agenda is to strengthen national capacities for country-led processes and actions in line with the 2030 Agenda, by supporting integrated approaches to multi and cross-sectorial policies that accelerate the process of achieving the SDG. The underlying assumption is that the combination of integrated transformative policies and leveraging of resources from a variety of partners will help national governments and national institutions develop sustainable solutions that may expand the scale and the scope of their interventions and investments for achieving the SDGs. The second assumption is that the UN</w:t>
      </w:r>
      <w:r w:rsidR="00F2335F">
        <w:rPr>
          <w:rFonts w:ascii="Times New Roman" w:hAnsi="Times New Roman" w:cs="Times New Roman"/>
          <w:color w:val="000000"/>
        </w:rPr>
        <w:t>,</w:t>
      </w:r>
      <w:r w:rsidRPr="00F36109">
        <w:rPr>
          <w:rFonts w:ascii="Times New Roman" w:hAnsi="Times New Roman" w:cs="Times New Roman"/>
          <w:color w:val="000000"/>
        </w:rPr>
        <w:t xml:space="preserve"> </w:t>
      </w:r>
      <w:proofErr w:type="gramStart"/>
      <w:r w:rsidRPr="00F36109">
        <w:rPr>
          <w:rFonts w:ascii="Times New Roman" w:hAnsi="Times New Roman" w:cs="Times New Roman"/>
          <w:color w:val="000000"/>
        </w:rPr>
        <w:t>at this point in time</w:t>
      </w:r>
      <w:proofErr w:type="gramEnd"/>
      <w:r w:rsidR="00F2335F">
        <w:rPr>
          <w:rFonts w:ascii="Times New Roman" w:hAnsi="Times New Roman" w:cs="Times New Roman"/>
          <w:color w:val="000000"/>
        </w:rPr>
        <w:t>,</w:t>
      </w:r>
      <w:r w:rsidRPr="00F36109">
        <w:rPr>
          <w:rFonts w:ascii="Times New Roman" w:hAnsi="Times New Roman" w:cs="Times New Roman"/>
          <w:color w:val="000000"/>
        </w:rPr>
        <w:t xml:space="preserve"> is better positioned to support governments and relevant partners due to, amongst others, the new country and global dynamics based on the 2030 Agenda, the UN Country Teams’ accumulated experience in joint programming, the next generation of UNDAFs, and the ongoing reform of the UN Development System.</w:t>
      </w:r>
    </w:p>
    <w:p w14:paraId="7C48030E" w14:textId="77777777" w:rsidR="00567B44" w:rsidRDefault="00D66A1D" w:rsidP="00567B44">
      <w:pPr>
        <w:spacing w:after="120" w:line="276" w:lineRule="auto"/>
        <w:ind w:firstLine="720"/>
        <w:jc w:val="both"/>
        <w:rPr>
          <w:rFonts w:ascii="Times New Roman" w:hAnsi="Times New Roman" w:cs="Times New Roman"/>
          <w:color w:val="000000"/>
        </w:rPr>
      </w:pPr>
      <w:r w:rsidRPr="00F36109">
        <w:rPr>
          <w:rFonts w:ascii="Times New Roman" w:hAnsi="Times New Roman" w:cs="Times New Roman"/>
          <w:b/>
          <w:color w:val="000000"/>
        </w:rPr>
        <w:t>Results logic</w:t>
      </w:r>
    </w:p>
    <w:p w14:paraId="3375F5E6" w14:textId="2EF8BABD"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Overall, the Joint SDG Fund is expected to contribute to the acceleration of the SDGs by supporting inter-agency, joint </w:t>
      </w:r>
      <w:proofErr w:type="spellStart"/>
      <w:r w:rsidRPr="00F36109">
        <w:rPr>
          <w:rFonts w:ascii="Times New Roman" w:hAnsi="Times New Roman" w:cs="Times New Roman"/>
          <w:color w:val="000000"/>
        </w:rPr>
        <w:t>programmes</w:t>
      </w:r>
      <w:proofErr w:type="spellEnd"/>
      <w:r w:rsidRPr="00F36109">
        <w:rPr>
          <w:rFonts w:ascii="Times New Roman" w:hAnsi="Times New Roman" w:cs="Times New Roman"/>
          <w:color w:val="000000"/>
        </w:rPr>
        <w:t xml:space="preserve"> of UN Country Teams that facilitate domestic capacity and partnerships. It will provide funding, partnership opportunities, and access to expertise to UN Country Teams. This is expected to prepare the ground for accelerated achievement of the SDGs through innovative and transformative approaches to integrated SDG policy and SDG financing. Joint </w:t>
      </w:r>
      <w:proofErr w:type="spellStart"/>
      <w:r w:rsidRPr="00F36109">
        <w:rPr>
          <w:rFonts w:ascii="Times New Roman" w:hAnsi="Times New Roman" w:cs="Times New Roman"/>
          <w:color w:val="000000"/>
        </w:rPr>
        <w:t>programme</w:t>
      </w:r>
      <w:proofErr w:type="spellEnd"/>
      <w:r w:rsidRPr="00F36109">
        <w:rPr>
          <w:rFonts w:ascii="Times New Roman" w:hAnsi="Times New Roman" w:cs="Times New Roman"/>
          <w:color w:val="000000"/>
        </w:rPr>
        <w:t xml:space="preserve"> results will be measurable (based on robust SDG data), catalytic (producing ‘chain-reactions’ in development and financial terms, and sustainable (ensuring the preconditions for continued change). Each </w:t>
      </w:r>
      <w:r w:rsidR="00567B44">
        <w:rPr>
          <w:rFonts w:ascii="Times New Roman" w:hAnsi="Times New Roman" w:cs="Times New Roman"/>
          <w:color w:val="000000"/>
        </w:rPr>
        <w:t>J</w:t>
      </w:r>
      <w:r w:rsidRPr="00F36109">
        <w:rPr>
          <w:rFonts w:ascii="Times New Roman" w:hAnsi="Times New Roman" w:cs="Times New Roman"/>
          <w:color w:val="000000"/>
        </w:rPr>
        <w:t xml:space="preserve">oint </w:t>
      </w:r>
      <w:proofErr w:type="spellStart"/>
      <w:r w:rsidRPr="00F36109">
        <w:rPr>
          <w:rFonts w:ascii="Times New Roman" w:hAnsi="Times New Roman" w:cs="Times New Roman"/>
          <w:color w:val="000000"/>
        </w:rPr>
        <w:t>programme</w:t>
      </w:r>
      <w:proofErr w:type="spellEnd"/>
      <w:r w:rsidRPr="00F36109">
        <w:rPr>
          <w:rFonts w:ascii="Times New Roman" w:hAnsi="Times New Roman" w:cs="Times New Roman"/>
          <w:color w:val="000000"/>
        </w:rPr>
        <w:t xml:space="preserve"> will have its own </w:t>
      </w:r>
      <w:r w:rsidRPr="00F36109">
        <w:rPr>
          <w:rFonts w:ascii="Times New Roman" w:hAnsi="Times New Roman" w:cs="Times New Roman"/>
          <w:color w:val="000000"/>
        </w:rPr>
        <w:lastRenderedPageBreak/>
        <w:t xml:space="preserve">Theory of Change aligned with the overall Theory of Change of the Joint SDG Fund, and it will include selected indicators to enable the aggregate measurement of the Joint SDG Fund results at the global level. </w:t>
      </w:r>
    </w:p>
    <w:p w14:paraId="6061D4B0" w14:textId="77777777"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The Joint SDG Fund will operate in three interwoven domains of change: unleashing policy accelerators to </w:t>
      </w:r>
      <w:proofErr w:type="spellStart"/>
      <w:r w:rsidRPr="00F36109">
        <w:rPr>
          <w:rFonts w:ascii="Times New Roman" w:hAnsi="Times New Roman" w:cs="Times New Roman"/>
          <w:color w:val="000000"/>
        </w:rPr>
        <w:t>catalyse</w:t>
      </w:r>
      <w:proofErr w:type="spellEnd"/>
      <w:r w:rsidRPr="00F36109">
        <w:rPr>
          <w:rFonts w:ascii="Times New Roman" w:hAnsi="Times New Roman" w:cs="Times New Roman"/>
          <w:color w:val="000000"/>
        </w:rPr>
        <w:t xml:space="preserve"> integrated, transformative policy change, creating new SDG financing architecture, through developing investment strategies and plans and piloting innovative financing instruments (with both public and private actors), and </w:t>
      </w:r>
      <w:proofErr w:type="spellStart"/>
      <w:r w:rsidRPr="00F36109">
        <w:rPr>
          <w:rFonts w:ascii="Times New Roman" w:hAnsi="Times New Roman" w:cs="Times New Roman"/>
          <w:color w:val="000000"/>
        </w:rPr>
        <w:t>catalysing</w:t>
      </w:r>
      <w:proofErr w:type="spellEnd"/>
      <w:r w:rsidRPr="00F36109">
        <w:rPr>
          <w:rFonts w:ascii="Times New Roman" w:hAnsi="Times New Roman" w:cs="Times New Roman"/>
          <w:color w:val="000000"/>
        </w:rPr>
        <w:t xml:space="preserve"> SDG programming and investments. These three domains are absolutely interlinked – to convert integrated policy changes into transformative action, which must be accompanied by new, more coordinated, more inclusive financing strategies and catalytic investments</w:t>
      </w:r>
      <w:r w:rsidR="00567B44">
        <w:rPr>
          <w:rFonts w:ascii="Times New Roman" w:hAnsi="Times New Roman" w:cs="Times New Roman"/>
          <w:color w:val="000000"/>
        </w:rPr>
        <w:t>.</w:t>
      </w:r>
    </w:p>
    <w:p w14:paraId="61CF1051" w14:textId="77777777"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The investments of the Joint SDG Fund for achieving results at the level of the outcomes and impact that are common to all joint </w:t>
      </w:r>
      <w:proofErr w:type="spellStart"/>
      <w:r w:rsidRPr="00F36109">
        <w:rPr>
          <w:rFonts w:ascii="Times New Roman" w:hAnsi="Times New Roman" w:cs="Times New Roman"/>
          <w:color w:val="000000"/>
        </w:rPr>
        <w:t>programmes</w:t>
      </w:r>
      <w:proofErr w:type="spellEnd"/>
      <w:r w:rsidRPr="00F36109">
        <w:rPr>
          <w:rFonts w:ascii="Times New Roman" w:hAnsi="Times New Roman" w:cs="Times New Roman"/>
          <w:color w:val="000000"/>
        </w:rPr>
        <w:t xml:space="preserve"> will be organized around Readiness and Implementation. Pillars 1 and 2 will be addressed during the Readiness phase when UN Country Teams will be expected to produce the following results: 1) identification of integrated policy accelerators, and designing innovative solutions and strategies, and 2) mapping the financing landscape, and designing innovative SDG financing strategies and partnerships. This Readiness phase will end with proofs of </w:t>
      </w:r>
      <w:proofErr w:type="gramStart"/>
      <w:r w:rsidRPr="00F36109">
        <w:rPr>
          <w:rFonts w:ascii="Times New Roman" w:hAnsi="Times New Roman" w:cs="Times New Roman"/>
          <w:color w:val="000000"/>
        </w:rPr>
        <w:t>concepts, and</w:t>
      </w:r>
      <w:proofErr w:type="gramEnd"/>
      <w:r w:rsidRPr="00F36109">
        <w:rPr>
          <w:rFonts w:ascii="Times New Roman" w:hAnsi="Times New Roman" w:cs="Times New Roman"/>
          <w:color w:val="000000"/>
        </w:rPr>
        <w:t xml:space="preserve"> securing preconditions for full-fledged implementation of integrated policy and financing solutions. </w:t>
      </w:r>
    </w:p>
    <w:p w14:paraId="7D00B22A" w14:textId="77777777"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During the implementation phase UN Country Teams will address Pillar 3 and results will be contextual, i.e. they will depend on the kind of solutions proposed for a specific country context. Expected results in this phase include: 3) implementation of catalytic SDG programming tailored to the context and based on relevant statistics, data collection and mapping, used to undertake robust analysis and provide evidence that integrated policy solutions are expected to have an accelerating effect on the SDGs,  and 4) development of scalable mechanisms for catalytic SDG finance that leverage diverse sources of finance and investment, incorporate the Leaving No One Behind principle, and safeguard international norms and standards. </w:t>
      </w:r>
    </w:p>
    <w:p w14:paraId="1829B1CC" w14:textId="77777777"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Underlying all country-level planning and implementation is the critical use of data and evidence, development of national capacity, stakeholder engagement, and inclusive coalitions. In the Readiness phase, data and evidence are required for strong analysis and to identify data gaps—this may include assessing and upgrading data systems (collection, analysis, sharing and use) and improving data capacities. During the implementation phase, relevant and disaggregated data and evidence-based analysis are needed to ensure interventions reach those left furthest behind, and to further ensure that monitoring systems are responsive, inclusive and accountable. Capacity development and national ownership is vital for national stakeholders to </w:t>
      </w:r>
      <w:proofErr w:type="spellStart"/>
      <w:r w:rsidRPr="00F36109">
        <w:rPr>
          <w:rFonts w:ascii="Times New Roman" w:hAnsi="Times New Roman" w:cs="Times New Roman"/>
          <w:color w:val="000000"/>
        </w:rPr>
        <w:t>analyse</w:t>
      </w:r>
      <w:proofErr w:type="spellEnd"/>
      <w:r w:rsidRPr="00F36109">
        <w:rPr>
          <w:rFonts w:ascii="Times New Roman" w:hAnsi="Times New Roman" w:cs="Times New Roman"/>
          <w:color w:val="000000"/>
        </w:rPr>
        <w:t xml:space="preserve">, identify, and devise strategies in the readiness phase, implement policy solutions and secure investments in the Implementation phase, and sustainably follow-up in the longer-term. Stakeholder engagement and coalition building is critical to an integrated approach for achieving the SDGs in both phases as every partner has a unique skill set and role to play in contributing to (or hindering) SDG progress. </w:t>
      </w:r>
    </w:p>
    <w:p w14:paraId="4DCF38A9" w14:textId="5534E311" w:rsidR="00567B44"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The Joint SDG Fund support to the country level responds to the critical need to develop innovative and inclusive solutions for addressing the interdependent nature of the SDGs. It implies a necessity to formulate and implement policies that transcend sectoral domains and institutional responsibilities, and that enable integrated multi and cross-sectoral action and catalytic finance. This requires addressing the silo practices and mentality to which national institutions and UN agencies are accustomed to, and to help develop national and sub-national capacity for dealing with complex problems in the way that produces systemic and sustainable results toward the 2030 Agenda. </w:t>
      </w:r>
    </w:p>
    <w:p w14:paraId="66B1AD52" w14:textId="483D65E8" w:rsidR="00455A43" w:rsidRDefault="00D66A1D" w:rsidP="00567B44">
      <w:pPr>
        <w:spacing w:after="120" w:line="276" w:lineRule="auto"/>
        <w:jc w:val="both"/>
        <w:rPr>
          <w:rFonts w:ascii="Times New Roman" w:hAnsi="Times New Roman" w:cs="Times New Roman"/>
          <w:color w:val="000000"/>
        </w:rPr>
      </w:pPr>
      <w:r w:rsidRPr="00F36109">
        <w:rPr>
          <w:rFonts w:ascii="Times New Roman" w:hAnsi="Times New Roman" w:cs="Times New Roman"/>
          <w:color w:val="000000"/>
        </w:rPr>
        <w:t xml:space="preserve">UN Country Teams and national partners may choose different pathways within the </w:t>
      </w:r>
      <w:r w:rsidR="00567B44">
        <w:rPr>
          <w:rFonts w:ascii="Times New Roman" w:hAnsi="Times New Roman" w:cs="Times New Roman"/>
          <w:color w:val="000000"/>
        </w:rPr>
        <w:t>two</w:t>
      </w:r>
      <w:r w:rsidRPr="00F36109">
        <w:rPr>
          <w:rFonts w:ascii="Times New Roman" w:hAnsi="Times New Roman" w:cs="Times New Roman"/>
          <w:color w:val="000000"/>
        </w:rPr>
        <w:t xml:space="preserve"> phases of the Joint SDG Fund. Those that meet the requirements for Readiness without previous Joint SDG Fund support, can enter the process directly at the Implementation phase. UN Country Teams that receive Joint SDG Fund </w:t>
      </w:r>
      <w:r w:rsidRPr="00F36109">
        <w:rPr>
          <w:rFonts w:ascii="Times New Roman" w:hAnsi="Times New Roman" w:cs="Times New Roman"/>
          <w:color w:val="000000"/>
        </w:rPr>
        <w:lastRenderedPageBreak/>
        <w:t xml:space="preserve">support at the readiness phase do not need to continue through to the end of the implementation phases. Moreover, a country can engage with the Joint SDG Fund in an iterative manner (e.g. after completing an Implementation phase in one area it can go back to the Readiness phase to focus on another strategic priority). </w:t>
      </w:r>
    </w:p>
    <w:p w14:paraId="2D9AAC28" w14:textId="187FFB84" w:rsidR="006933D1" w:rsidRDefault="006933D1" w:rsidP="00567B44">
      <w:pPr>
        <w:spacing w:after="120" w:line="276" w:lineRule="auto"/>
        <w:jc w:val="both"/>
        <w:rPr>
          <w:rFonts w:ascii="Times New Roman" w:hAnsi="Times New Roman" w:cs="Times New Roman"/>
          <w:color w:val="000000"/>
        </w:rPr>
      </w:pPr>
    </w:p>
    <w:p w14:paraId="00E0BB97" w14:textId="48895204" w:rsidR="00704642" w:rsidRDefault="00704642" w:rsidP="00567B44">
      <w:pPr>
        <w:spacing w:after="120" w:line="276" w:lineRule="auto"/>
        <w:jc w:val="both"/>
        <w:rPr>
          <w:rFonts w:ascii="Times New Roman" w:hAnsi="Times New Roman" w:cs="Times New Roman"/>
          <w:color w:val="000000"/>
        </w:rPr>
      </w:pPr>
    </w:p>
    <w:p w14:paraId="571C4C34" w14:textId="1AD5A7C4" w:rsidR="00704642" w:rsidRDefault="00704642" w:rsidP="00567B44">
      <w:pPr>
        <w:spacing w:after="120" w:line="276" w:lineRule="auto"/>
        <w:jc w:val="both"/>
        <w:rPr>
          <w:rFonts w:ascii="Times New Roman" w:hAnsi="Times New Roman" w:cs="Times New Roman"/>
          <w:color w:val="000000"/>
        </w:rPr>
      </w:pPr>
    </w:p>
    <w:p w14:paraId="1191BF42" w14:textId="6D1AF279" w:rsidR="00704642" w:rsidRDefault="00704642" w:rsidP="00567B44">
      <w:pPr>
        <w:spacing w:after="120" w:line="276" w:lineRule="auto"/>
        <w:jc w:val="both"/>
        <w:rPr>
          <w:rFonts w:ascii="Times New Roman" w:hAnsi="Times New Roman" w:cs="Times New Roman"/>
          <w:color w:val="000000"/>
        </w:rPr>
      </w:pPr>
    </w:p>
    <w:p w14:paraId="3DD4EDA0" w14:textId="25CB0AB9" w:rsidR="00704642" w:rsidRDefault="00704642" w:rsidP="00567B44">
      <w:pPr>
        <w:spacing w:after="120" w:line="276" w:lineRule="auto"/>
        <w:jc w:val="both"/>
        <w:rPr>
          <w:rFonts w:ascii="Times New Roman" w:hAnsi="Times New Roman" w:cs="Times New Roman"/>
          <w:color w:val="000000"/>
        </w:rPr>
      </w:pPr>
    </w:p>
    <w:p w14:paraId="79671068" w14:textId="11326E1F" w:rsidR="00704642" w:rsidRDefault="00704642" w:rsidP="00567B44">
      <w:pPr>
        <w:spacing w:after="120" w:line="276" w:lineRule="auto"/>
        <w:jc w:val="both"/>
        <w:rPr>
          <w:rFonts w:ascii="Times New Roman" w:hAnsi="Times New Roman" w:cs="Times New Roman"/>
          <w:color w:val="000000"/>
        </w:rPr>
      </w:pPr>
    </w:p>
    <w:p w14:paraId="56B7534C" w14:textId="05995CF1" w:rsidR="00704642" w:rsidRDefault="00704642" w:rsidP="00567B44">
      <w:pPr>
        <w:spacing w:after="120" w:line="276" w:lineRule="auto"/>
        <w:jc w:val="both"/>
        <w:rPr>
          <w:rFonts w:ascii="Times New Roman" w:hAnsi="Times New Roman" w:cs="Times New Roman"/>
          <w:color w:val="000000"/>
        </w:rPr>
      </w:pPr>
    </w:p>
    <w:p w14:paraId="678F2DAA" w14:textId="404FAB2C" w:rsidR="00704642" w:rsidRDefault="00704642" w:rsidP="00567B44">
      <w:pPr>
        <w:spacing w:after="120" w:line="276" w:lineRule="auto"/>
        <w:jc w:val="both"/>
        <w:rPr>
          <w:rFonts w:ascii="Times New Roman" w:hAnsi="Times New Roman" w:cs="Times New Roman"/>
          <w:color w:val="000000"/>
        </w:rPr>
      </w:pPr>
    </w:p>
    <w:p w14:paraId="4B667BC5" w14:textId="5C00CDAD" w:rsidR="00704642" w:rsidRDefault="00704642" w:rsidP="00567B44">
      <w:pPr>
        <w:spacing w:after="120" w:line="276" w:lineRule="auto"/>
        <w:jc w:val="both"/>
        <w:rPr>
          <w:rFonts w:ascii="Times New Roman" w:hAnsi="Times New Roman" w:cs="Times New Roman"/>
          <w:color w:val="000000"/>
        </w:rPr>
      </w:pPr>
    </w:p>
    <w:p w14:paraId="25DF5AF6" w14:textId="6BDD03D8" w:rsidR="000707FB" w:rsidRDefault="000707FB" w:rsidP="00567B44">
      <w:pPr>
        <w:spacing w:after="120" w:line="276" w:lineRule="auto"/>
        <w:jc w:val="both"/>
        <w:rPr>
          <w:rFonts w:ascii="Times New Roman" w:hAnsi="Times New Roman" w:cs="Times New Roman"/>
          <w:color w:val="000000"/>
        </w:rPr>
      </w:pPr>
    </w:p>
    <w:p w14:paraId="18E957B4" w14:textId="4AD64CF6" w:rsidR="000707FB" w:rsidRDefault="000707FB" w:rsidP="00567B44">
      <w:pPr>
        <w:spacing w:after="120" w:line="276" w:lineRule="auto"/>
        <w:jc w:val="both"/>
        <w:rPr>
          <w:rFonts w:ascii="Times New Roman" w:hAnsi="Times New Roman" w:cs="Times New Roman"/>
          <w:color w:val="000000"/>
        </w:rPr>
      </w:pPr>
    </w:p>
    <w:p w14:paraId="1A535887" w14:textId="0A7800BF" w:rsidR="000707FB" w:rsidRDefault="000707FB" w:rsidP="00567B44">
      <w:pPr>
        <w:spacing w:after="120" w:line="276" w:lineRule="auto"/>
        <w:jc w:val="both"/>
        <w:rPr>
          <w:rFonts w:ascii="Times New Roman" w:hAnsi="Times New Roman" w:cs="Times New Roman"/>
          <w:color w:val="000000"/>
        </w:rPr>
      </w:pPr>
    </w:p>
    <w:p w14:paraId="38C160BA" w14:textId="6DA88207" w:rsidR="000707FB" w:rsidRDefault="000707FB" w:rsidP="00567B44">
      <w:pPr>
        <w:spacing w:after="120" w:line="276" w:lineRule="auto"/>
        <w:jc w:val="both"/>
        <w:rPr>
          <w:rFonts w:ascii="Times New Roman" w:hAnsi="Times New Roman" w:cs="Times New Roman"/>
          <w:color w:val="000000"/>
        </w:rPr>
      </w:pPr>
    </w:p>
    <w:p w14:paraId="74914B2A" w14:textId="04FD7795" w:rsidR="000707FB" w:rsidRDefault="000707FB" w:rsidP="00567B44">
      <w:pPr>
        <w:spacing w:after="120" w:line="276" w:lineRule="auto"/>
        <w:jc w:val="both"/>
        <w:rPr>
          <w:rFonts w:ascii="Times New Roman" w:hAnsi="Times New Roman" w:cs="Times New Roman"/>
          <w:color w:val="000000"/>
        </w:rPr>
      </w:pPr>
    </w:p>
    <w:p w14:paraId="0AE14335" w14:textId="7EDC04F1" w:rsidR="000707FB" w:rsidRDefault="000707FB" w:rsidP="00567B44">
      <w:pPr>
        <w:spacing w:after="120" w:line="276" w:lineRule="auto"/>
        <w:jc w:val="both"/>
        <w:rPr>
          <w:rFonts w:ascii="Times New Roman" w:hAnsi="Times New Roman" w:cs="Times New Roman"/>
          <w:color w:val="000000"/>
        </w:rPr>
      </w:pPr>
    </w:p>
    <w:p w14:paraId="59B696B2" w14:textId="4CC02253" w:rsidR="000707FB" w:rsidRDefault="000707FB" w:rsidP="00567B44">
      <w:pPr>
        <w:spacing w:after="120" w:line="276" w:lineRule="auto"/>
        <w:jc w:val="both"/>
        <w:rPr>
          <w:rFonts w:ascii="Times New Roman" w:hAnsi="Times New Roman" w:cs="Times New Roman"/>
          <w:color w:val="000000"/>
        </w:rPr>
      </w:pPr>
    </w:p>
    <w:p w14:paraId="01F1A711" w14:textId="2EA2F3A5" w:rsidR="000707FB" w:rsidRDefault="000707FB" w:rsidP="00567B44">
      <w:pPr>
        <w:spacing w:after="120" w:line="276" w:lineRule="auto"/>
        <w:jc w:val="both"/>
        <w:rPr>
          <w:rFonts w:ascii="Times New Roman" w:hAnsi="Times New Roman" w:cs="Times New Roman"/>
          <w:color w:val="000000"/>
        </w:rPr>
      </w:pPr>
    </w:p>
    <w:p w14:paraId="3C69CAD3" w14:textId="4196CEE1" w:rsidR="000707FB" w:rsidRDefault="000707FB" w:rsidP="00567B44">
      <w:pPr>
        <w:spacing w:after="120" w:line="276" w:lineRule="auto"/>
        <w:jc w:val="both"/>
        <w:rPr>
          <w:rFonts w:ascii="Times New Roman" w:hAnsi="Times New Roman" w:cs="Times New Roman"/>
          <w:color w:val="000000"/>
        </w:rPr>
      </w:pPr>
    </w:p>
    <w:p w14:paraId="518B597D" w14:textId="69F502C0" w:rsidR="000707FB" w:rsidRDefault="000707FB" w:rsidP="00567B44">
      <w:pPr>
        <w:spacing w:after="120" w:line="276" w:lineRule="auto"/>
        <w:jc w:val="both"/>
        <w:rPr>
          <w:rFonts w:ascii="Times New Roman" w:hAnsi="Times New Roman" w:cs="Times New Roman"/>
          <w:color w:val="000000"/>
        </w:rPr>
      </w:pPr>
    </w:p>
    <w:p w14:paraId="777760A1" w14:textId="39C2FB5F" w:rsidR="000707FB" w:rsidRDefault="000707FB" w:rsidP="00567B44">
      <w:pPr>
        <w:spacing w:after="120" w:line="276" w:lineRule="auto"/>
        <w:jc w:val="both"/>
        <w:rPr>
          <w:rFonts w:ascii="Times New Roman" w:hAnsi="Times New Roman" w:cs="Times New Roman"/>
          <w:color w:val="000000"/>
        </w:rPr>
      </w:pPr>
    </w:p>
    <w:p w14:paraId="08324129" w14:textId="0AFA669D" w:rsidR="000707FB" w:rsidRDefault="000707FB" w:rsidP="00567B44">
      <w:pPr>
        <w:spacing w:after="120" w:line="276" w:lineRule="auto"/>
        <w:jc w:val="both"/>
        <w:rPr>
          <w:rFonts w:ascii="Times New Roman" w:hAnsi="Times New Roman" w:cs="Times New Roman"/>
          <w:color w:val="000000"/>
        </w:rPr>
      </w:pPr>
    </w:p>
    <w:p w14:paraId="433F48A9" w14:textId="6DD35B00" w:rsidR="000707FB" w:rsidRDefault="000707FB" w:rsidP="00567B44">
      <w:pPr>
        <w:spacing w:after="120" w:line="276" w:lineRule="auto"/>
        <w:jc w:val="both"/>
        <w:rPr>
          <w:rFonts w:ascii="Times New Roman" w:hAnsi="Times New Roman" w:cs="Times New Roman"/>
          <w:color w:val="000000"/>
        </w:rPr>
      </w:pPr>
    </w:p>
    <w:p w14:paraId="60570682" w14:textId="05A19EA5" w:rsidR="000707FB" w:rsidRDefault="000707FB" w:rsidP="00567B44">
      <w:pPr>
        <w:spacing w:after="120" w:line="276" w:lineRule="auto"/>
        <w:jc w:val="both"/>
        <w:rPr>
          <w:rFonts w:ascii="Times New Roman" w:hAnsi="Times New Roman" w:cs="Times New Roman"/>
          <w:color w:val="000000"/>
        </w:rPr>
      </w:pPr>
    </w:p>
    <w:p w14:paraId="244FC542" w14:textId="234F39FD" w:rsidR="000707FB" w:rsidRDefault="000707FB" w:rsidP="00567B44">
      <w:pPr>
        <w:spacing w:after="120" w:line="276" w:lineRule="auto"/>
        <w:jc w:val="both"/>
        <w:rPr>
          <w:rFonts w:ascii="Times New Roman" w:hAnsi="Times New Roman" w:cs="Times New Roman"/>
          <w:color w:val="000000"/>
        </w:rPr>
      </w:pPr>
    </w:p>
    <w:p w14:paraId="31705D8D" w14:textId="3EC1BE5E" w:rsidR="000707FB" w:rsidRDefault="000707FB" w:rsidP="00567B44">
      <w:pPr>
        <w:spacing w:after="120" w:line="276" w:lineRule="auto"/>
        <w:jc w:val="both"/>
        <w:rPr>
          <w:rFonts w:ascii="Times New Roman" w:hAnsi="Times New Roman" w:cs="Times New Roman"/>
          <w:color w:val="000000"/>
        </w:rPr>
      </w:pPr>
    </w:p>
    <w:p w14:paraId="29B0F551" w14:textId="77777777" w:rsidR="000707FB" w:rsidRDefault="000707FB" w:rsidP="00567B44">
      <w:pPr>
        <w:spacing w:after="120" w:line="276" w:lineRule="auto"/>
        <w:jc w:val="both"/>
        <w:rPr>
          <w:rFonts w:ascii="Times New Roman" w:hAnsi="Times New Roman" w:cs="Times New Roman"/>
          <w:color w:val="000000"/>
        </w:rPr>
      </w:pPr>
    </w:p>
    <w:p w14:paraId="78A90945" w14:textId="77777777" w:rsidR="00704642" w:rsidRDefault="00704642" w:rsidP="00567B44">
      <w:pPr>
        <w:spacing w:after="120" w:line="276" w:lineRule="auto"/>
        <w:jc w:val="both"/>
        <w:rPr>
          <w:rFonts w:ascii="Times New Roman" w:hAnsi="Times New Roman" w:cs="Times New Roman"/>
          <w:color w:val="000000"/>
        </w:rPr>
      </w:pPr>
    </w:p>
    <w:p w14:paraId="139F52B4" w14:textId="7D21A187" w:rsidR="00D66A1D" w:rsidRPr="00417804" w:rsidRDefault="00D66A1D" w:rsidP="00D66A1D">
      <w:pPr>
        <w:pStyle w:val="Heading1"/>
        <w:rPr>
          <w:rFonts w:ascii="Times New Roman" w:eastAsia="Calibri" w:hAnsi="Times New Roman" w:cs="Times New Roman"/>
          <w:b/>
          <w:bCs/>
          <w:iCs/>
          <w:color w:val="auto"/>
          <w:spacing w:val="-2"/>
          <w:sz w:val="22"/>
          <w:szCs w:val="22"/>
          <w:lang w:eastAsia="en-US"/>
        </w:rPr>
      </w:pPr>
      <w:bookmarkStart w:id="108" w:name="_Toc530577733"/>
      <w:r w:rsidRPr="00F36109">
        <w:rPr>
          <w:rFonts w:ascii="Times New Roman" w:eastAsia="Calibri" w:hAnsi="Times New Roman" w:cs="Times New Roman"/>
          <w:b/>
          <w:bCs/>
          <w:iCs/>
          <w:color w:val="auto"/>
          <w:spacing w:val="-2"/>
          <w:sz w:val="22"/>
          <w:szCs w:val="22"/>
          <w:lang w:eastAsia="en-US"/>
        </w:rPr>
        <w:lastRenderedPageBreak/>
        <w:t xml:space="preserve">ANNEX </w:t>
      </w:r>
      <w:r w:rsidR="00704642">
        <w:rPr>
          <w:rFonts w:ascii="Times New Roman" w:eastAsia="Calibri" w:hAnsi="Times New Roman" w:cs="Times New Roman"/>
          <w:b/>
          <w:bCs/>
          <w:iCs/>
          <w:color w:val="auto"/>
          <w:spacing w:val="-2"/>
          <w:sz w:val="22"/>
          <w:szCs w:val="22"/>
          <w:lang w:eastAsia="en-US"/>
        </w:rPr>
        <w:t>3</w:t>
      </w:r>
      <w:r w:rsidRPr="00F36109">
        <w:rPr>
          <w:rFonts w:ascii="Times New Roman" w:eastAsia="Calibri" w:hAnsi="Times New Roman" w:cs="Times New Roman"/>
          <w:b/>
          <w:bCs/>
          <w:iCs/>
          <w:color w:val="auto"/>
          <w:spacing w:val="-2"/>
          <w:sz w:val="22"/>
          <w:szCs w:val="22"/>
          <w:lang w:eastAsia="en-US"/>
        </w:rPr>
        <w:t xml:space="preserve">: </w:t>
      </w:r>
      <w:r w:rsidRPr="00417804">
        <w:rPr>
          <w:rFonts w:ascii="Times New Roman" w:eastAsia="Calibri" w:hAnsi="Times New Roman" w:cs="Times New Roman"/>
          <w:b/>
          <w:bCs/>
          <w:iCs/>
          <w:color w:val="auto"/>
          <w:spacing w:val="-2"/>
          <w:sz w:val="22"/>
          <w:szCs w:val="22"/>
          <w:lang w:eastAsia="en-US"/>
        </w:rPr>
        <w:t>FUND PROGRAMMATIC ANALYSIS</w:t>
      </w:r>
      <w:bookmarkEnd w:id="108"/>
    </w:p>
    <w:p w14:paraId="1DF41C56" w14:textId="77777777" w:rsidR="00545D87" w:rsidRDefault="00545D87" w:rsidP="00545D87">
      <w:pPr>
        <w:pStyle w:val="Heading1"/>
        <w:spacing w:before="0" w:line="240" w:lineRule="auto"/>
        <w:rPr>
          <w:rFonts w:ascii="Times New Roman" w:eastAsia="Calibri" w:hAnsi="Times New Roman" w:cs="Times New Roman"/>
          <w:i/>
          <w:color w:val="auto"/>
          <w:sz w:val="22"/>
          <w:szCs w:val="22"/>
        </w:rPr>
      </w:pPr>
      <w:bookmarkStart w:id="109" w:name="_Toc527975455"/>
      <w:bookmarkStart w:id="110" w:name="_Toc527975919"/>
      <w:bookmarkStart w:id="111" w:name="_Toc527976137"/>
      <w:bookmarkStart w:id="112" w:name="_Toc527976250"/>
    </w:p>
    <w:p w14:paraId="62348B2C" w14:textId="5C3FFDAF" w:rsidR="00D66A1D" w:rsidRPr="00545D87" w:rsidRDefault="00D66A1D" w:rsidP="00417804">
      <w:pPr>
        <w:pStyle w:val="Heading1"/>
        <w:spacing w:before="0" w:line="240" w:lineRule="auto"/>
        <w:rPr>
          <w:rFonts w:ascii="Times New Roman" w:hAnsi="Times New Roman" w:cs="Times New Roman"/>
          <w:b/>
          <w:i/>
          <w:color w:val="auto"/>
          <w:sz w:val="22"/>
          <w:szCs w:val="22"/>
        </w:rPr>
      </w:pPr>
      <w:bookmarkStart w:id="113" w:name="_Toc530497053"/>
      <w:bookmarkStart w:id="114" w:name="_Toc530577734"/>
      <w:r w:rsidRPr="00545D87">
        <w:rPr>
          <w:rFonts w:ascii="Times New Roman" w:eastAsia="Calibri" w:hAnsi="Times New Roman" w:cs="Times New Roman"/>
          <w:b/>
          <w:i/>
          <w:color w:val="auto"/>
          <w:sz w:val="22"/>
          <w:szCs w:val="22"/>
        </w:rPr>
        <w:t>Identify and activate SDG policy “accelerators”</w:t>
      </w:r>
      <w:bookmarkEnd w:id="109"/>
      <w:bookmarkEnd w:id="110"/>
      <w:bookmarkEnd w:id="111"/>
      <w:bookmarkEnd w:id="112"/>
      <w:bookmarkEnd w:id="113"/>
      <w:bookmarkEnd w:id="114"/>
    </w:p>
    <w:p w14:paraId="14CBF147" w14:textId="77777777" w:rsidR="00D66A1D" w:rsidRPr="00F36109" w:rsidRDefault="00D66A1D" w:rsidP="00545D87">
      <w:pPr>
        <w:spacing w:after="0" w:line="240" w:lineRule="auto"/>
        <w:rPr>
          <w:rFonts w:ascii="Times New Roman" w:hAnsi="Times New Roman" w:cs="Times New Roman"/>
        </w:rPr>
      </w:pPr>
    </w:p>
    <w:p w14:paraId="1CD3E4E3" w14:textId="2999E481" w:rsidR="00D66A1D" w:rsidRPr="00F36109" w:rsidRDefault="00545D87" w:rsidP="000F6FE1">
      <w:pPr>
        <w:spacing w:after="0" w:line="240" w:lineRule="auto"/>
        <w:jc w:val="both"/>
        <w:rPr>
          <w:rFonts w:ascii="Times New Roman" w:hAnsi="Times New Roman" w:cs="Times New Roman"/>
          <w:lang w:val="en"/>
        </w:rPr>
      </w:pPr>
      <w:r w:rsidRPr="00F36109">
        <w:rPr>
          <w:rFonts w:ascii="Times New Roman" w:hAnsi="Times New Roman" w:cs="Times New Roman"/>
          <w:noProof/>
        </w:rPr>
        <w:drawing>
          <wp:anchor distT="0" distB="0" distL="114300" distR="114300" simplePos="0" relativeHeight="251662336" behindDoc="1" locked="0" layoutInCell="1" allowOverlap="1" wp14:anchorId="31937184" wp14:editId="4216AC35">
            <wp:simplePos x="0" y="0"/>
            <wp:positionH relativeFrom="column">
              <wp:posOffset>3758565</wp:posOffset>
            </wp:positionH>
            <wp:positionV relativeFrom="paragraph">
              <wp:posOffset>272358</wp:posOffset>
            </wp:positionV>
            <wp:extent cx="2804160" cy="2011045"/>
            <wp:effectExtent l="0" t="0" r="0" b="8255"/>
            <wp:wrapTight wrapText="bothSides">
              <wp:wrapPolygon edited="0">
                <wp:start x="0" y="0"/>
                <wp:lineTo x="0" y="21484"/>
                <wp:lineTo x="21424" y="21484"/>
                <wp:lineTo x="21424" y="0"/>
                <wp:lineTo x="0" y="0"/>
              </wp:wrapPolygon>
            </wp:wrapTight>
            <wp:docPr id="17" name="Picture 1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AC38B9.tmp"/>
                    <pic:cNvPicPr/>
                  </pic:nvPicPr>
                  <pic:blipFill>
                    <a:blip r:embed="rId16">
                      <a:extLst>
                        <a:ext uri="{28A0092B-C50C-407E-A947-70E740481C1C}">
                          <a14:useLocalDpi xmlns:a14="http://schemas.microsoft.com/office/drawing/2010/main" val="0"/>
                        </a:ext>
                      </a:extLst>
                    </a:blip>
                    <a:stretch>
                      <a:fillRect/>
                    </a:stretch>
                  </pic:blipFill>
                  <pic:spPr>
                    <a:xfrm>
                      <a:off x="0" y="0"/>
                      <a:ext cx="2804160" cy="2011045"/>
                    </a:xfrm>
                    <a:prstGeom prst="rect">
                      <a:avLst/>
                    </a:prstGeom>
                  </pic:spPr>
                </pic:pic>
              </a:graphicData>
            </a:graphic>
          </wp:anchor>
        </w:drawing>
      </w:r>
      <w:r w:rsidR="00D66A1D" w:rsidRPr="00F36109">
        <w:rPr>
          <w:rFonts w:ascii="Times New Roman" w:hAnsi="Times New Roman" w:cs="Times New Roman"/>
          <w:lang w:val="en"/>
        </w:rPr>
        <w:t>This domain of change will support joint multi-sectoral interventions that complement agency-specific initiatives at the following steps of the policy cycle:</w:t>
      </w:r>
    </w:p>
    <w:p w14:paraId="0800A904" w14:textId="2B279C0A" w:rsidR="00D66A1D" w:rsidRPr="00F36109" w:rsidRDefault="00545D87" w:rsidP="00545D87">
      <w:pPr>
        <w:spacing w:after="0" w:line="240" w:lineRule="auto"/>
        <w:jc w:val="both"/>
        <w:rPr>
          <w:rFonts w:ascii="Times New Roman" w:hAnsi="Times New Roman" w:cs="Times New Roman"/>
        </w:rPr>
      </w:pPr>
      <w:r w:rsidRPr="00F36109">
        <w:rPr>
          <w:rFonts w:ascii="Times New Roman" w:hAnsi="Times New Roman" w:cs="Times New Roman"/>
          <w:noProof/>
        </w:rPr>
        <mc:AlternateContent>
          <mc:Choice Requires="wps">
            <w:drawing>
              <wp:anchor distT="45720" distB="45720" distL="114300" distR="114300" simplePos="0" relativeHeight="251661312" behindDoc="1" locked="0" layoutInCell="1" allowOverlap="1" wp14:anchorId="7BD4A159" wp14:editId="5178C059">
                <wp:simplePos x="0" y="0"/>
                <wp:positionH relativeFrom="page">
                  <wp:posOffset>297473</wp:posOffset>
                </wp:positionH>
                <wp:positionV relativeFrom="paragraph">
                  <wp:posOffset>172520</wp:posOffset>
                </wp:positionV>
                <wp:extent cx="4364990" cy="1674495"/>
                <wp:effectExtent l="0" t="0" r="16510" b="20955"/>
                <wp:wrapTight wrapText="bothSides">
                  <wp:wrapPolygon edited="0">
                    <wp:start x="0" y="0"/>
                    <wp:lineTo x="0" y="21625"/>
                    <wp:lineTo x="21587" y="21625"/>
                    <wp:lineTo x="21587"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674495"/>
                        </a:xfrm>
                        <a:prstGeom prst="rect">
                          <a:avLst/>
                        </a:prstGeom>
                        <a:solidFill>
                          <a:srgbClr val="FFFFFF"/>
                        </a:solidFill>
                        <a:ln w="9525">
                          <a:solidFill>
                            <a:schemeClr val="bg1"/>
                          </a:solidFill>
                          <a:miter lim="800000"/>
                          <a:headEnd/>
                          <a:tailEnd/>
                        </a:ln>
                      </wps:spPr>
                      <wps:txbx>
                        <w:txbxContent>
                          <w:p w14:paraId="10A88116"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 xml:space="preserve">Incorporation of international norms and standards into national legal and policy frameworks (including UN programming principles such us “Leave No One Behind” and gender equality); </w:t>
                            </w:r>
                          </w:p>
                          <w:p w14:paraId="2B6CE9F5"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Collection of data and statistics;</w:t>
                            </w:r>
                          </w:p>
                          <w:p w14:paraId="0C5821FE"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 xml:space="preserve">Policy diagnostics, analysis and research; </w:t>
                            </w:r>
                          </w:p>
                          <w:p w14:paraId="2C1CB36A"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Design of policy approaches, tools and methodologies;</w:t>
                            </w:r>
                          </w:p>
                          <w:p w14:paraId="641BAE71"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Implementation of innovative policy interventions and policy implementation;</w:t>
                            </w:r>
                          </w:p>
                          <w:p w14:paraId="3C833B42" w14:textId="2F40CD1F" w:rsidR="00721831" w:rsidRPr="005A7C03" w:rsidRDefault="00721831" w:rsidP="00D66A1D">
                            <w:pPr>
                              <w:pStyle w:val="ListParagraph"/>
                              <w:numPr>
                                <w:ilvl w:val="0"/>
                                <w:numId w:val="36"/>
                              </w:numPr>
                              <w:tabs>
                                <w:tab w:val="left" w:pos="810"/>
                              </w:tabs>
                              <w:spacing w:afterLines="165" w:after="396" w:line="312" w:lineRule="auto"/>
                              <w:ind w:left="806" w:hanging="446"/>
                              <w:jc w:val="both"/>
                              <w:rPr>
                                <w:rFonts w:ascii="Times New Roman" w:hAnsi="Times New Roman" w:cs="Times New Roman"/>
                                <w:sz w:val="18"/>
                              </w:rPr>
                            </w:pPr>
                            <w:r w:rsidRPr="005A7C03">
                              <w:rPr>
                                <w:rFonts w:ascii="Times New Roman" w:hAnsi="Times New Roman" w:cs="Times New Roman"/>
                                <w:sz w:val="18"/>
                              </w:rPr>
                              <w:t>Monitoring and evaluation, reporting, follow-up, and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4A159" id="_x0000_t202" coordsize="21600,21600" o:spt="202" path="m,l,21600r21600,l21600,xe">
                <v:stroke joinstyle="miter"/>
                <v:path gradientshapeok="t" o:connecttype="rect"/>
              </v:shapetype>
              <v:shape id="Text Box 2" o:spid="_x0000_s1026" type="#_x0000_t202" style="position:absolute;left:0;text-align:left;margin-left:23.4pt;margin-top:13.6pt;width:343.7pt;height:131.8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" strokecolor="white [3212]">
                <v:textbox>
                  <w:txbxContent>
                    <w:p w14:paraId="10A88116"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 xml:space="preserve">Incorporation of international norms and standards into national legal and policy frameworks (including UN programming principles such us “Leave No One Behind” and gender equality); </w:t>
                      </w:r>
                    </w:p>
                    <w:p w14:paraId="2B6CE9F5"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Collection of data and statistics;</w:t>
                      </w:r>
                    </w:p>
                    <w:p w14:paraId="0C5821FE"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 xml:space="preserve">Policy diagnostics, analysis and research; </w:t>
                      </w:r>
                    </w:p>
                    <w:p w14:paraId="2C1CB36A"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Design of policy approaches, tools and methodologies;</w:t>
                      </w:r>
                    </w:p>
                    <w:p w14:paraId="641BAE71" w14:textId="77777777" w:rsidR="00721831" w:rsidRPr="005A7C03" w:rsidRDefault="00721831" w:rsidP="00D66A1D">
                      <w:pPr>
                        <w:pStyle w:val="ListParagraph"/>
                        <w:numPr>
                          <w:ilvl w:val="0"/>
                          <w:numId w:val="36"/>
                        </w:numPr>
                        <w:tabs>
                          <w:tab w:val="left" w:pos="810"/>
                        </w:tabs>
                        <w:spacing w:afterLines="165" w:after="396" w:line="312" w:lineRule="auto"/>
                        <w:ind w:left="806" w:hanging="450"/>
                        <w:jc w:val="both"/>
                        <w:rPr>
                          <w:rFonts w:ascii="Times New Roman" w:hAnsi="Times New Roman" w:cs="Times New Roman"/>
                          <w:sz w:val="18"/>
                        </w:rPr>
                      </w:pPr>
                      <w:r w:rsidRPr="005A7C03">
                        <w:rPr>
                          <w:rFonts w:ascii="Times New Roman" w:hAnsi="Times New Roman" w:cs="Times New Roman"/>
                          <w:sz w:val="18"/>
                        </w:rPr>
                        <w:t>Implementation of innovative policy interventions and policy implementation;</w:t>
                      </w:r>
                    </w:p>
                    <w:p w14:paraId="3C833B42" w14:textId="2F40CD1F" w:rsidR="00721831" w:rsidRPr="005A7C03" w:rsidRDefault="00721831" w:rsidP="00D66A1D">
                      <w:pPr>
                        <w:pStyle w:val="ListParagraph"/>
                        <w:numPr>
                          <w:ilvl w:val="0"/>
                          <w:numId w:val="36"/>
                        </w:numPr>
                        <w:tabs>
                          <w:tab w:val="left" w:pos="810"/>
                        </w:tabs>
                        <w:spacing w:afterLines="165" w:after="396" w:line="312" w:lineRule="auto"/>
                        <w:ind w:left="806" w:hanging="446"/>
                        <w:jc w:val="both"/>
                        <w:rPr>
                          <w:rFonts w:ascii="Times New Roman" w:hAnsi="Times New Roman" w:cs="Times New Roman"/>
                          <w:sz w:val="18"/>
                        </w:rPr>
                      </w:pPr>
                      <w:r w:rsidRPr="005A7C03">
                        <w:rPr>
                          <w:rFonts w:ascii="Times New Roman" w:hAnsi="Times New Roman" w:cs="Times New Roman"/>
                          <w:sz w:val="18"/>
                        </w:rPr>
                        <w:t>Monitoring and evaluation, reporting, follow-up, and review.</w:t>
                      </w:r>
                    </w:p>
                  </w:txbxContent>
                </v:textbox>
                <w10:wrap type="tight" anchorx="page"/>
              </v:shape>
            </w:pict>
          </mc:Fallback>
        </mc:AlternateContent>
      </w:r>
    </w:p>
    <w:p w14:paraId="1C60BC0C" w14:textId="6700F543" w:rsidR="00D66A1D" w:rsidRDefault="00D66A1D" w:rsidP="00545D87">
      <w:pPr>
        <w:spacing w:after="0" w:line="240" w:lineRule="auto"/>
        <w:jc w:val="both"/>
        <w:rPr>
          <w:rFonts w:ascii="Times New Roman" w:hAnsi="Times New Roman" w:cs="Times New Roman"/>
          <w:lang w:val="en"/>
        </w:rPr>
      </w:pPr>
      <w:r w:rsidRPr="00F36109">
        <w:rPr>
          <w:rFonts w:ascii="Times New Roman" w:hAnsi="Times New Roman" w:cs="Times New Roman"/>
        </w:rPr>
        <w:t>T</w:t>
      </w:r>
      <w:proofErr w:type="spellStart"/>
      <w:r w:rsidR="00CF2BF7" w:rsidRPr="00F36109">
        <w:rPr>
          <w:rFonts w:ascii="Times New Roman" w:hAnsi="Times New Roman" w:cs="Times New Roman"/>
          <w:lang w:val="en"/>
        </w:rPr>
        <w:t>hroughout</w:t>
      </w:r>
      <w:proofErr w:type="spellEnd"/>
      <w:r w:rsidRPr="00F36109">
        <w:rPr>
          <w:rFonts w:ascii="Times New Roman" w:hAnsi="Times New Roman" w:cs="Times New Roman"/>
          <w:lang w:val="en"/>
        </w:rPr>
        <w:t xml:space="preserve"> the policy cycle, the Joint SDG Fund will develop national capacity to ensure the work across different steps and policy domains is conducted in an integrated manner.</w:t>
      </w:r>
    </w:p>
    <w:p w14:paraId="2ACDF6CA" w14:textId="77777777" w:rsidR="005A7C03" w:rsidRPr="00F36109" w:rsidRDefault="005A7C03" w:rsidP="00545D87">
      <w:pPr>
        <w:spacing w:after="0" w:line="240" w:lineRule="auto"/>
        <w:jc w:val="both"/>
        <w:rPr>
          <w:rFonts w:ascii="Times New Roman" w:hAnsi="Times New Roman" w:cs="Times New Roman"/>
        </w:rPr>
      </w:pPr>
    </w:p>
    <w:p w14:paraId="461AD7AC" w14:textId="0FF1F90B" w:rsidR="00D66A1D" w:rsidRDefault="00D66A1D" w:rsidP="00545D87">
      <w:pPr>
        <w:spacing w:after="0" w:line="240" w:lineRule="auto"/>
        <w:jc w:val="both"/>
        <w:rPr>
          <w:rFonts w:ascii="Times New Roman" w:hAnsi="Times New Roman" w:cs="Times New Roman"/>
          <w:lang w:val="en"/>
        </w:rPr>
      </w:pPr>
      <w:r w:rsidRPr="00F36109">
        <w:rPr>
          <w:rFonts w:ascii="Times New Roman" w:hAnsi="Times New Roman" w:cs="Times New Roman"/>
          <w:lang w:val="en"/>
        </w:rPr>
        <w:t>Activities supported by the Joint SDG Fund under this domain of change are expected to meet the following criteria:</w:t>
      </w:r>
    </w:p>
    <w:p w14:paraId="50EBD43E" w14:textId="77777777" w:rsidR="00545D87" w:rsidRPr="00F36109" w:rsidRDefault="00545D87" w:rsidP="00545D87">
      <w:pPr>
        <w:spacing w:after="0" w:line="240" w:lineRule="auto"/>
        <w:jc w:val="both"/>
        <w:rPr>
          <w:rFonts w:ascii="Times New Roman" w:hAnsi="Times New Roman" w:cs="Times New Roman"/>
          <w:lang w:val="en"/>
        </w:rPr>
      </w:pPr>
    </w:p>
    <w:p w14:paraId="0ED0CDFC" w14:textId="77777777" w:rsidR="00D66A1D" w:rsidRPr="00F36109" w:rsidRDefault="00D66A1D" w:rsidP="00545D87">
      <w:pPr>
        <w:pStyle w:val="ListParagraph"/>
        <w:numPr>
          <w:ilvl w:val="0"/>
          <w:numId w:val="37"/>
        </w:numPr>
        <w:spacing w:after="0" w:line="240" w:lineRule="auto"/>
        <w:ind w:left="633" w:hanging="446"/>
        <w:jc w:val="both"/>
        <w:rPr>
          <w:rFonts w:ascii="Times New Roman" w:hAnsi="Times New Roman" w:cs="Times New Roman"/>
        </w:rPr>
      </w:pPr>
      <w:r w:rsidRPr="00F36109">
        <w:rPr>
          <w:rFonts w:ascii="Times New Roman" w:hAnsi="Times New Roman" w:cs="Times New Roman"/>
        </w:rPr>
        <w:t xml:space="preserve">Interventions that have been identified by governments, Resident Coordinators, UNCTs and additional partners </w:t>
      </w:r>
      <w:r w:rsidRPr="00F36109">
        <w:rPr>
          <w:rStyle w:val="FootnoteReference"/>
          <w:rFonts w:ascii="Times New Roman" w:hAnsi="Times New Roman" w:cs="Times New Roman"/>
        </w:rPr>
        <w:footnoteReference w:id="7"/>
      </w:r>
      <w:r w:rsidRPr="00F36109">
        <w:rPr>
          <w:rFonts w:ascii="Times New Roman" w:hAnsi="Times New Roman" w:cs="Times New Roman"/>
        </w:rPr>
        <w:t xml:space="preserve"> at the country level, as critical to accelerating progress towards achieving the SDGs.</w:t>
      </w:r>
    </w:p>
    <w:p w14:paraId="7B7AF09E" w14:textId="77777777" w:rsidR="00D66A1D" w:rsidRPr="00F36109" w:rsidRDefault="00D66A1D" w:rsidP="00545D87">
      <w:pPr>
        <w:pStyle w:val="ListParagraph"/>
        <w:numPr>
          <w:ilvl w:val="0"/>
          <w:numId w:val="37"/>
        </w:numPr>
        <w:spacing w:after="0" w:line="240" w:lineRule="auto"/>
        <w:ind w:left="630" w:hanging="446"/>
        <w:jc w:val="both"/>
        <w:rPr>
          <w:rFonts w:ascii="Times New Roman" w:hAnsi="Times New Roman" w:cs="Times New Roman"/>
        </w:rPr>
      </w:pPr>
      <w:r w:rsidRPr="00F36109">
        <w:rPr>
          <w:rFonts w:ascii="Times New Roman" w:hAnsi="Times New Roman" w:cs="Times New Roman"/>
        </w:rPr>
        <w:t>Interventions that address national development priorities and strengthen national capacities for policy making and implementation, without substituting the core responsibilities of government.</w:t>
      </w:r>
    </w:p>
    <w:p w14:paraId="366DE6D1" w14:textId="77777777" w:rsidR="00D66A1D" w:rsidRPr="00F36109" w:rsidRDefault="00D66A1D" w:rsidP="00545D87">
      <w:pPr>
        <w:pStyle w:val="ListParagraph"/>
        <w:numPr>
          <w:ilvl w:val="0"/>
          <w:numId w:val="37"/>
        </w:numPr>
        <w:spacing w:after="0" w:line="240" w:lineRule="auto"/>
        <w:ind w:left="630" w:hanging="446"/>
        <w:jc w:val="both"/>
        <w:rPr>
          <w:rFonts w:ascii="Times New Roman" w:hAnsi="Times New Roman" w:cs="Times New Roman"/>
        </w:rPr>
      </w:pPr>
      <w:r w:rsidRPr="00F36109">
        <w:rPr>
          <w:rFonts w:ascii="Times New Roman" w:hAnsi="Times New Roman" w:cs="Times New Roman"/>
        </w:rPr>
        <w:t>Integrated interventions that are multidimensional or multi-sectoral in nature, working with diverse partners that seek to achieve a common set of objectives.</w:t>
      </w:r>
    </w:p>
    <w:p w14:paraId="313CBEDC" w14:textId="77777777" w:rsidR="00D66A1D" w:rsidRPr="00F36109" w:rsidRDefault="00D66A1D" w:rsidP="00545D87">
      <w:pPr>
        <w:pStyle w:val="ListParagraph"/>
        <w:numPr>
          <w:ilvl w:val="0"/>
          <w:numId w:val="37"/>
        </w:numPr>
        <w:spacing w:after="0" w:line="240" w:lineRule="auto"/>
        <w:ind w:left="633" w:hanging="446"/>
        <w:jc w:val="both"/>
        <w:rPr>
          <w:rFonts w:ascii="Times New Roman" w:hAnsi="Times New Roman" w:cs="Times New Roman"/>
        </w:rPr>
      </w:pPr>
      <w:r w:rsidRPr="00F36109">
        <w:rPr>
          <w:rFonts w:ascii="Times New Roman" w:hAnsi="Times New Roman" w:cs="Times New Roman"/>
        </w:rPr>
        <w:t>Interventions contributing to the achievement of key national development outcomes as jointly agreed in the UNDAF.</w:t>
      </w:r>
    </w:p>
    <w:p w14:paraId="0272DD16" w14:textId="77777777" w:rsidR="00D66A1D" w:rsidRPr="00F36109" w:rsidRDefault="00D66A1D" w:rsidP="00545D87">
      <w:pPr>
        <w:pStyle w:val="ListParagraph"/>
        <w:numPr>
          <w:ilvl w:val="0"/>
          <w:numId w:val="37"/>
        </w:numPr>
        <w:spacing w:after="0" w:line="240" w:lineRule="auto"/>
        <w:ind w:left="633" w:hanging="446"/>
        <w:jc w:val="both"/>
        <w:rPr>
          <w:rFonts w:ascii="Times New Roman" w:hAnsi="Times New Roman" w:cs="Times New Roman"/>
        </w:rPr>
      </w:pPr>
      <w:r w:rsidRPr="00F36109">
        <w:rPr>
          <w:rFonts w:ascii="Times New Roman" w:hAnsi="Times New Roman" w:cs="Times New Roman"/>
        </w:rPr>
        <w:t>Interventions that recognize the interlinkages between poverty, gender-inequality, social exclusion, and disability, encouraging the development and implementation of inclusive policies to have a positive impact on those left furthest behind (e.g. focusing on specific disadvantaged groups, including women).</w:t>
      </w:r>
    </w:p>
    <w:p w14:paraId="0B983C55" w14:textId="77777777" w:rsidR="00D66A1D" w:rsidRPr="00F36109" w:rsidRDefault="00D66A1D" w:rsidP="00545D87">
      <w:pPr>
        <w:pStyle w:val="ListParagraph"/>
        <w:numPr>
          <w:ilvl w:val="0"/>
          <w:numId w:val="37"/>
        </w:numPr>
        <w:spacing w:after="0" w:line="240" w:lineRule="auto"/>
        <w:ind w:left="633" w:hanging="446"/>
        <w:jc w:val="both"/>
        <w:rPr>
          <w:rFonts w:ascii="Times New Roman" w:hAnsi="Times New Roman" w:cs="Times New Roman"/>
        </w:rPr>
      </w:pPr>
      <w:r w:rsidRPr="00F36109">
        <w:rPr>
          <w:rFonts w:ascii="Times New Roman" w:hAnsi="Times New Roman" w:cs="Times New Roman"/>
        </w:rPr>
        <w:t>Interventions that have a clear prospect of supporting viable and durable development impact on people and planet.</w:t>
      </w:r>
    </w:p>
    <w:p w14:paraId="72EB6CE3" w14:textId="711D8D78" w:rsidR="00545D87" w:rsidRDefault="00545D87" w:rsidP="00545D87">
      <w:pPr>
        <w:spacing w:after="0" w:line="240" w:lineRule="auto"/>
        <w:rPr>
          <w:rFonts w:ascii="Times New Roman" w:hAnsi="Times New Roman" w:cs="Times New Roman"/>
          <w:i/>
        </w:rPr>
      </w:pPr>
    </w:p>
    <w:p w14:paraId="6A4F4A37" w14:textId="7BC5EB93" w:rsidR="00D66A1D" w:rsidRPr="00545D87" w:rsidRDefault="00D66A1D" w:rsidP="00545D87">
      <w:pPr>
        <w:spacing w:after="0" w:line="240" w:lineRule="auto"/>
        <w:ind w:firstLine="187"/>
        <w:rPr>
          <w:rFonts w:ascii="Times New Roman" w:hAnsi="Times New Roman" w:cs="Times New Roman"/>
          <w:b/>
          <w:i/>
        </w:rPr>
      </w:pPr>
      <w:r w:rsidRPr="00545D87">
        <w:rPr>
          <w:rFonts w:ascii="Times New Roman" w:hAnsi="Times New Roman" w:cs="Times New Roman"/>
          <w:b/>
          <w:i/>
        </w:rPr>
        <w:t>Reinforce the SDG financing architecture and ecosystem</w:t>
      </w:r>
    </w:p>
    <w:p w14:paraId="11614926" w14:textId="77777777" w:rsidR="00545D87" w:rsidRDefault="00545D87" w:rsidP="00545D87">
      <w:pPr>
        <w:spacing w:after="0" w:line="240" w:lineRule="auto"/>
        <w:jc w:val="both"/>
        <w:rPr>
          <w:rFonts w:ascii="Times New Roman" w:hAnsi="Times New Roman" w:cs="Times New Roman"/>
          <w:lang w:val="en"/>
        </w:rPr>
      </w:pPr>
    </w:p>
    <w:p w14:paraId="7EDF1FCC" w14:textId="4CBD332E" w:rsidR="00D66A1D" w:rsidRPr="00F36109" w:rsidRDefault="00D66A1D" w:rsidP="00545D87">
      <w:pPr>
        <w:spacing w:after="0" w:line="240" w:lineRule="auto"/>
        <w:jc w:val="both"/>
        <w:rPr>
          <w:rFonts w:ascii="Times New Roman" w:hAnsi="Times New Roman" w:cs="Times New Roman"/>
          <w:lang w:val="en"/>
        </w:rPr>
      </w:pPr>
      <w:r w:rsidRPr="00F36109">
        <w:rPr>
          <w:rFonts w:ascii="Times New Roman" w:hAnsi="Times New Roman" w:cs="Times New Roman"/>
          <w:lang w:val="en"/>
        </w:rPr>
        <w:t xml:space="preserve">This domain of change will use the convening power of the UN in an unprecedented way to design new SDG investment strategies, and create new networks of partnerships between Government, development banks, commercial banks, impact investors, pension funds and other sources of private and public capital. </w:t>
      </w:r>
    </w:p>
    <w:p w14:paraId="50D3C161" w14:textId="19EFC6F6" w:rsidR="00D66A1D" w:rsidRDefault="00D66A1D" w:rsidP="00545D87">
      <w:pPr>
        <w:spacing w:after="0" w:line="240" w:lineRule="auto"/>
        <w:jc w:val="both"/>
        <w:rPr>
          <w:rFonts w:ascii="Times New Roman" w:hAnsi="Times New Roman" w:cs="Times New Roman"/>
          <w:lang w:val="en"/>
        </w:rPr>
      </w:pPr>
      <w:r w:rsidRPr="00F36109">
        <w:rPr>
          <w:rFonts w:ascii="Times New Roman" w:hAnsi="Times New Roman" w:cs="Times New Roman"/>
          <w:lang w:val="en"/>
        </w:rPr>
        <w:t>Priorities will include:</w:t>
      </w:r>
    </w:p>
    <w:p w14:paraId="1EB08CEF" w14:textId="77777777" w:rsidR="00545D87" w:rsidRPr="00F36109" w:rsidRDefault="00545D87" w:rsidP="00545D87">
      <w:pPr>
        <w:spacing w:after="0" w:line="240" w:lineRule="auto"/>
        <w:jc w:val="both"/>
        <w:rPr>
          <w:rFonts w:ascii="Times New Roman" w:hAnsi="Times New Roman" w:cs="Times New Roman"/>
        </w:rPr>
      </w:pPr>
    </w:p>
    <w:p w14:paraId="66AE9235" w14:textId="438997E3" w:rsidR="00D66A1D" w:rsidRPr="00F36109" w:rsidRDefault="00D66A1D" w:rsidP="00545D87">
      <w:pPr>
        <w:pStyle w:val="ListParagraph"/>
        <w:numPr>
          <w:ilvl w:val="0"/>
          <w:numId w:val="38"/>
        </w:numPr>
        <w:spacing w:after="0" w:line="240" w:lineRule="auto"/>
        <w:jc w:val="both"/>
        <w:rPr>
          <w:rFonts w:ascii="Times New Roman" w:hAnsi="Times New Roman" w:cs="Times New Roman"/>
        </w:rPr>
      </w:pPr>
      <w:r w:rsidRPr="00F36109">
        <w:rPr>
          <w:rFonts w:ascii="Times New Roman" w:hAnsi="Times New Roman" w:cs="Times New Roman"/>
        </w:rPr>
        <w:t>Broadening and deepening existing partnerships platforms to include all potential SDG investment actors;</w:t>
      </w:r>
    </w:p>
    <w:p w14:paraId="522BF1A4" w14:textId="77777777" w:rsidR="00D66A1D" w:rsidRPr="00F36109" w:rsidRDefault="00D66A1D" w:rsidP="00545D87">
      <w:pPr>
        <w:pStyle w:val="ListParagraph"/>
        <w:numPr>
          <w:ilvl w:val="0"/>
          <w:numId w:val="38"/>
        </w:numPr>
        <w:spacing w:after="0" w:line="240" w:lineRule="auto"/>
        <w:jc w:val="both"/>
        <w:rPr>
          <w:rFonts w:ascii="Times New Roman" w:hAnsi="Times New Roman" w:cs="Times New Roman"/>
        </w:rPr>
      </w:pPr>
      <w:r w:rsidRPr="00F36109">
        <w:rPr>
          <w:rFonts w:ascii="Times New Roman" w:hAnsi="Times New Roman" w:cs="Times New Roman"/>
        </w:rPr>
        <w:t>Creating and implementing country development finance assessments;</w:t>
      </w:r>
    </w:p>
    <w:p w14:paraId="7AE1FA1D" w14:textId="77777777" w:rsidR="00D66A1D" w:rsidRPr="00F36109" w:rsidRDefault="00D66A1D" w:rsidP="00545D87">
      <w:pPr>
        <w:pStyle w:val="ListParagraph"/>
        <w:numPr>
          <w:ilvl w:val="0"/>
          <w:numId w:val="38"/>
        </w:numPr>
        <w:spacing w:after="0" w:line="240" w:lineRule="auto"/>
        <w:jc w:val="both"/>
        <w:rPr>
          <w:rFonts w:ascii="Times New Roman" w:hAnsi="Times New Roman" w:cs="Times New Roman"/>
        </w:rPr>
      </w:pPr>
      <w:r w:rsidRPr="00F36109">
        <w:rPr>
          <w:rFonts w:ascii="Times New Roman" w:hAnsi="Times New Roman" w:cs="Times New Roman"/>
        </w:rPr>
        <w:lastRenderedPageBreak/>
        <w:t>Designing a national financing architecture for the SDGs;</w:t>
      </w:r>
    </w:p>
    <w:p w14:paraId="4A452D0F" w14:textId="77777777" w:rsidR="00D66A1D" w:rsidRPr="00F36109" w:rsidRDefault="00D66A1D" w:rsidP="00545D87">
      <w:pPr>
        <w:pStyle w:val="ListParagraph"/>
        <w:numPr>
          <w:ilvl w:val="0"/>
          <w:numId w:val="38"/>
        </w:numPr>
        <w:spacing w:after="0" w:line="240" w:lineRule="auto"/>
        <w:jc w:val="both"/>
        <w:rPr>
          <w:rFonts w:ascii="Times New Roman" w:hAnsi="Times New Roman" w:cs="Times New Roman"/>
        </w:rPr>
      </w:pPr>
      <w:r w:rsidRPr="00F36109">
        <w:rPr>
          <w:rFonts w:ascii="Times New Roman" w:hAnsi="Times New Roman" w:cs="Times New Roman"/>
        </w:rPr>
        <w:t>Developing and ensuring national commitment to medium and long-term SDG investment roadmaps (3/5/10/15 years).</w:t>
      </w:r>
    </w:p>
    <w:p w14:paraId="62023385" w14:textId="77777777" w:rsidR="00545D87" w:rsidRDefault="00545D87" w:rsidP="00545D87">
      <w:pPr>
        <w:spacing w:after="0" w:line="240" w:lineRule="auto"/>
        <w:rPr>
          <w:rFonts w:ascii="Times New Roman" w:hAnsi="Times New Roman" w:cs="Times New Roman"/>
          <w:i/>
        </w:rPr>
      </w:pPr>
    </w:p>
    <w:p w14:paraId="5ADE8279" w14:textId="38EFC916" w:rsidR="00D66A1D" w:rsidRPr="00545D87" w:rsidRDefault="00D66A1D" w:rsidP="00545D87">
      <w:pPr>
        <w:spacing w:after="0" w:line="240" w:lineRule="auto"/>
        <w:rPr>
          <w:rFonts w:ascii="Times New Roman" w:hAnsi="Times New Roman" w:cs="Times New Roman"/>
          <w:b/>
          <w:i/>
        </w:rPr>
      </w:pPr>
      <w:r w:rsidRPr="00545D87">
        <w:rPr>
          <w:rFonts w:ascii="Times New Roman" w:hAnsi="Times New Roman" w:cs="Times New Roman"/>
          <w:b/>
          <w:i/>
        </w:rPr>
        <w:t xml:space="preserve">Catalyze strategic SDG </w:t>
      </w:r>
      <w:proofErr w:type="spellStart"/>
      <w:r w:rsidRPr="00545D87">
        <w:rPr>
          <w:rFonts w:ascii="Times New Roman" w:hAnsi="Times New Roman" w:cs="Times New Roman"/>
          <w:b/>
          <w:i/>
        </w:rPr>
        <w:t>programmes</w:t>
      </w:r>
      <w:proofErr w:type="spellEnd"/>
      <w:r w:rsidRPr="00545D87">
        <w:rPr>
          <w:rFonts w:ascii="Times New Roman" w:hAnsi="Times New Roman" w:cs="Times New Roman"/>
          <w:b/>
          <w:i/>
        </w:rPr>
        <w:t xml:space="preserve"> and investments</w:t>
      </w:r>
    </w:p>
    <w:p w14:paraId="41569065" w14:textId="77777777" w:rsidR="00545D87" w:rsidRDefault="00545D87" w:rsidP="00545D87">
      <w:pPr>
        <w:spacing w:after="0" w:line="240" w:lineRule="auto"/>
        <w:jc w:val="both"/>
        <w:rPr>
          <w:rFonts w:ascii="Times New Roman" w:eastAsia="Times New Roman" w:hAnsi="Times New Roman" w:cs="Times New Roman"/>
          <w:color w:val="000000"/>
        </w:rPr>
      </w:pPr>
    </w:p>
    <w:p w14:paraId="2540369F" w14:textId="30EE5958" w:rsidR="00D66A1D" w:rsidRDefault="00D66A1D" w:rsidP="00545D87">
      <w:pPr>
        <w:spacing w:after="0" w:line="240" w:lineRule="auto"/>
        <w:jc w:val="both"/>
        <w:rPr>
          <w:rFonts w:ascii="Times New Roman" w:eastAsia="Times New Roman" w:hAnsi="Times New Roman" w:cs="Times New Roman"/>
          <w:color w:val="000000"/>
        </w:rPr>
      </w:pPr>
      <w:r w:rsidRPr="00F36109">
        <w:rPr>
          <w:rFonts w:ascii="Times New Roman" w:eastAsia="Times New Roman" w:hAnsi="Times New Roman" w:cs="Times New Roman"/>
          <w:color w:val="000000"/>
        </w:rPr>
        <w:t>This domain of change will invest in catalytic initiatives that emerge from (1) and (2) and are key to advancing the SDGs, and that provide a demonstration of concept, and could be scalable both in country and elsewhere.  Key priorities include:</w:t>
      </w:r>
    </w:p>
    <w:p w14:paraId="42E658F7" w14:textId="77777777" w:rsidR="00545D87" w:rsidRPr="00F36109" w:rsidRDefault="00545D87" w:rsidP="00545D87">
      <w:pPr>
        <w:spacing w:after="0" w:line="240" w:lineRule="auto"/>
        <w:jc w:val="both"/>
        <w:rPr>
          <w:rFonts w:ascii="Times New Roman" w:hAnsi="Times New Roman" w:cs="Times New Roman"/>
        </w:rPr>
      </w:pPr>
    </w:p>
    <w:p w14:paraId="2B7C435C" w14:textId="77777777" w:rsidR="00D66A1D" w:rsidRPr="00F36109" w:rsidRDefault="00D66A1D" w:rsidP="00545D87">
      <w:pPr>
        <w:pStyle w:val="ListParagraph"/>
        <w:numPr>
          <w:ilvl w:val="0"/>
          <w:numId w:val="39"/>
        </w:numPr>
        <w:spacing w:after="0" w:line="240" w:lineRule="auto"/>
        <w:jc w:val="both"/>
        <w:rPr>
          <w:rFonts w:ascii="Times New Roman" w:hAnsi="Times New Roman" w:cs="Times New Roman"/>
        </w:rPr>
      </w:pPr>
      <w:r w:rsidRPr="00F36109">
        <w:rPr>
          <w:rFonts w:ascii="Times New Roman" w:hAnsi="Times New Roman" w:cs="Times New Roman"/>
        </w:rPr>
        <w:t xml:space="preserve">Provide catalytic funding to already existing strategies or priorities (for example, the Sahel Support Plan, or Nationally-Determined Contributions). </w:t>
      </w:r>
    </w:p>
    <w:p w14:paraId="5930F2D7" w14:textId="77777777" w:rsidR="00D66A1D" w:rsidRPr="00F36109" w:rsidRDefault="00D66A1D" w:rsidP="00545D87">
      <w:pPr>
        <w:pStyle w:val="ListParagraph"/>
        <w:numPr>
          <w:ilvl w:val="0"/>
          <w:numId w:val="39"/>
        </w:numPr>
        <w:spacing w:after="0" w:line="240" w:lineRule="auto"/>
        <w:jc w:val="both"/>
        <w:rPr>
          <w:rFonts w:ascii="Times New Roman" w:hAnsi="Times New Roman" w:cs="Times New Roman"/>
        </w:rPr>
      </w:pPr>
      <w:r w:rsidRPr="00F36109">
        <w:rPr>
          <w:rFonts w:ascii="Times New Roman" w:hAnsi="Times New Roman" w:cs="Times New Roman"/>
        </w:rPr>
        <w:t xml:space="preserve">Identifying and incubating new financial instruments for the UN that complement and accelerate existing private sector efforts to achieve the SDGs.   </w:t>
      </w:r>
    </w:p>
    <w:p w14:paraId="45E11AD1" w14:textId="77777777" w:rsidR="00D66A1D" w:rsidRPr="00F36109" w:rsidRDefault="00D66A1D" w:rsidP="00545D87">
      <w:pPr>
        <w:pStyle w:val="ListParagraph"/>
        <w:numPr>
          <w:ilvl w:val="0"/>
          <w:numId w:val="39"/>
        </w:numPr>
        <w:spacing w:after="0" w:line="240" w:lineRule="auto"/>
        <w:jc w:val="both"/>
        <w:rPr>
          <w:rFonts w:ascii="Times New Roman" w:hAnsi="Times New Roman" w:cs="Times New Roman"/>
        </w:rPr>
      </w:pPr>
      <w:r w:rsidRPr="00F36109">
        <w:rPr>
          <w:rFonts w:ascii="Times New Roman" w:hAnsi="Times New Roman" w:cs="Times New Roman"/>
        </w:rPr>
        <w:t>Strengthening capacities and funding the establishment of innovative financing ecosystems at the national level, through for example, an SDG innovation lab platform, or the deployment of innovative financing expertise.</w:t>
      </w:r>
    </w:p>
    <w:p w14:paraId="67CE8F4D" w14:textId="77777777" w:rsidR="00D66A1D" w:rsidRPr="00F36109" w:rsidRDefault="00D66A1D" w:rsidP="00545D87">
      <w:pPr>
        <w:pStyle w:val="ListParagraph"/>
        <w:numPr>
          <w:ilvl w:val="0"/>
          <w:numId w:val="39"/>
        </w:numPr>
        <w:spacing w:after="0" w:line="240" w:lineRule="auto"/>
        <w:jc w:val="both"/>
        <w:rPr>
          <w:rFonts w:ascii="Times New Roman" w:hAnsi="Times New Roman" w:cs="Times New Roman"/>
        </w:rPr>
      </w:pPr>
      <w:r w:rsidRPr="00F36109">
        <w:rPr>
          <w:rFonts w:ascii="Times New Roman" w:hAnsi="Times New Roman" w:cs="Times New Roman"/>
        </w:rPr>
        <w:t>Developing global partnerships with IFIs, investment banks, private equity funds, pensions and other large capital pools to steer investment towards the SDGs in developing countries.</w:t>
      </w:r>
    </w:p>
    <w:p w14:paraId="7A5C72D5" w14:textId="77777777" w:rsidR="00D66A1D" w:rsidRPr="00F36109" w:rsidRDefault="00D66A1D" w:rsidP="00545D87">
      <w:pPr>
        <w:pStyle w:val="ListParagraph"/>
        <w:numPr>
          <w:ilvl w:val="0"/>
          <w:numId w:val="39"/>
        </w:numPr>
        <w:spacing w:after="0" w:line="240" w:lineRule="auto"/>
        <w:jc w:val="both"/>
        <w:rPr>
          <w:rFonts w:ascii="Times New Roman" w:hAnsi="Times New Roman" w:cs="Times New Roman"/>
        </w:rPr>
      </w:pPr>
      <w:r w:rsidRPr="00F36109">
        <w:rPr>
          <w:rFonts w:ascii="Times New Roman" w:hAnsi="Times New Roman" w:cs="Times New Roman"/>
        </w:rPr>
        <w:t xml:space="preserve">Fund certification and advisory capacity to enable the UN to certify and incentivize SDG investment efforts from domestic and global capital markets, including public investments. </w:t>
      </w:r>
    </w:p>
    <w:p w14:paraId="49A358EC" w14:textId="77777777" w:rsidR="00BC0817" w:rsidRDefault="00BC0817" w:rsidP="00545D87">
      <w:pPr>
        <w:pStyle w:val="Heading1"/>
        <w:spacing w:before="0" w:line="240" w:lineRule="auto"/>
        <w:rPr>
          <w:rFonts w:ascii="Times New Roman" w:eastAsia="Calibri" w:hAnsi="Times New Roman" w:cs="Times New Roman"/>
          <w:b/>
          <w:bCs/>
          <w:iCs/>
          <w:color w:val="auto"/>
          <w:spacing w:val="-2"/>
          <w:sz w:val="22"/>
          <w:szCs w:val="22"/>
        </w:rPr>
      </w:pPr>
    </w:p>
    <w:p w14:paraId="372B1381" w14:textId="77777777" w:rsidR="00BC0817" w:rsidRDefault="00BC0817" w:rsidP="00545D87">
      <w:pPr>
        <w:pStyle w:val="Heading1"/>
        <w:spacing w:before="0" w:line="240" w:lineRule="auto"/>
        <w:rPr>
          <w:rFonts w:ascii="Times New Roman" w:eastAsia="Calibri" w:hAnsi="Times New Roman" w:cs="Times New Roman"/>
          <w:b/>
          <w:bCs/>
          <w:iCs/>
          <w:color w:val="auto"/>
          <w:spacing w:val="-2"/>
          <w:sz w:val="22"/>
          <w:szCs w:val="22"/>
        </w:rPr>
      </w:pPr>
    </w:p>
    <w:p w14:paraId="1D0EE480" w14:textId="761B5DD3" w:rsidR="00BC0817" w:rsidRDefault="00BC0817" w:rsidP="00BC0817"/>
    <w:p w14:paraId="12EB5FEA" w14:textId="6ACB5C03" w:rsidR="00545D87" w:rsidRDefault="00545D87" w:rsidP="00BC0817"/>
    <w:p w14:paraId="1695CE49" w14:textId="0C178F47" w:rsidR="00545D87" w:rsidRDefault="00545D87" w:rsidP="00BC0817"/>
    <w:p w14:paraId="7EE05894" w14:textId="7FB31209" w:rsidR="00545D87" w:rsidRDefault="00545D87" w:rsidP="00BC0817"/>
    <w:p w14:paraId="13C7CF3F" w14:textId="73664D9E" w:rsidR="00545D87" w:rsidRDefault="00545D87" w:rsidP="00BC0817"/>
    <w:p w14:paraId="36BCAD45" w14:textId="7F50081B" w:rsidR="00545D87" w:rsidRDefault="00545D87" w:rsidP="00BC0817"/>
    <w:p w14:paraId="3C53DE0F" w14:textId="787AAECD" w:rsidR="00545D87" w:rsidRDefault="00545D87" w:rsidP="00BC0817"/>
    <w:p w14:paraId="1590E802" w14:textId="00593C33" w:rsidR="00545D87" w:rsidRDefault="00545D87" w:rsidP="00BC0817"/>
    <w:p w14:paraId="7A670DD2" w14:textId="5E8A3251" w:rsidR="00704642" w:rsidRDefault="00704642" w:rsidP="00BC0817"/>
    <w:p w14:paraId="76B92D68" w14:textId="390FE2C5" w:rsidR="00704642" w:rsidRDefault="00704642" w:rsidP="00BC0817"/>
    <w:p w14:paraId="317B804D" w14:textId="69F5D08E" w:rsidR="00704642" w:rsidRDefault="00704642" w:rsidP="00BC0817"/>
    <w:p w14:paraId="36C8AA8D" w14:textId="77777777" w:rsidR="00704642" w:rsidRDefault="00704642" w:rsidP="00BC0817"/>
    <w:p w14:paraId="62739B2D" w14:textId="0814FEDE" w:rsidR="00545D87" w:rsidRDefault="00545D87" w:rsidP="00BC0817"/>
    <w:p w14:paraId="2882453E" w14:textId="28A73703" w:rsidR="00545D87" w:rsidRDefault="00545D87" w:rsidP="00BC0817"/>
    <w:p w14:paraId="31F63F9D" w14:textId="4EF3357D" w:rsidR="00545D87" w:rsidRDefault="00545D87" w:rsidP="00BC0817"/>
    <w:p w14:paraId="47AE4ADE" w14:textId="0203719E" w:rsidR="00D66A1D" w:rsidRPr="00F36109" w:rsidRDefault="00D66A1D" w:rsidP="00D66A1D">
      <w:pPr>
        <w:pStyle w:val="Heading1"/>
        <w:rPr>
          <w:rFonts w:ascii="Times New Roman" w:hAnsi="Times New Roman" w:cs="Times New Roman"/>
          <w:b/>
          <w:bCs/>
          <w:iCs/>
          <w:color w:val="auto"/>
          <w:spacing w:val="-2"/>
          <w:sz w:val="22"/>
          <w:szCs w:val="22"/>
        </w:rPr>
      </w:pPr>
      <w:bookmarkStart w:id="115" w:name="_Toc530577735"/>
      <w:r w:rsidRPr="00F36109">
        <w:rPr>
          <w:rFonts w:ascii="Times New Roman" w:eastAsia="Calibri" w:hAnsi="Times New Roman" w:cs="Times New Roman"/>
          <w:b/>
          <w:bCs/>
          <w:iCs/>
          <w:color w:val="auto"/>
          <w:spacing w:val="-2"/>
          <w:sz w:val="22"/>
          <w:szCs w:val="22"/>
        </w:rPr>
        <w:lastRenderedPageBreak/>
        <w:t xml:space="preserve">ANNEX </w:t>
      </w:r>
      <w:r w:rsidR="00704642">
        <w:rPr>
          <w:rFonts w:ascii="Times New Roman" w:eastAsia="Calibri" w:hAnsi="Times New Roman" w:cs="Times New Roman"/>
          <w:b/>
          <w:bCs/>
          <w:iCs/>
          <w:color w:val="auto"/>
          <w:spacing w:val="-2"/>
          <w:sz w:val="22"/>
          <w:szCs w:val="22"/>
        </w:rPr>
        <w:t>4</w:t>
      </w:r>
      <w:r w:rsidRPr="00F36109">
        <w:rPr>
          <w:rFonts w:ascii="Times New Roman" w:eastAsia="Calibri" w:hAnsi="Times New Roman" w:cs="Times New Roman"/>
          <w:b/>
          <w:bCs/>
          <w:iCs/>
          <w:color w:val="auto"/>
          <w:spacing w:val="-2"/>
          <w:sz w:val="22"/>
          <w:szCs w:val="22"/>
        </w:rPr>
        <w:t xml:space="preserve">: </w:t>
      </w:r>
      <w:r w:rsidRPr="00F36109">
        <w:rPr>
          <w:rFonts w:ascii="Times New Roman" w:hAnsi="Times New Roman" w:cs="Times New Roman"/>
          <w:b/>
          <w:bCs/>
          <w:iCs/>
          <w:color w:val="auto"/>
          <w:spacing w:val="-2"/>
          <w:sz w:val="22"/>
          <w:szCs w:val="22"/>
        </w:rPr>
        <w:t>RESULTS FRAMEWORK 2019-2023</w:t>
      </w:r>
      <w:bookmarkEnd w:id="115"/>
    </w:p>
    <w:p w14:paraId="41692330" w14:textId="77777777" w:rsidR="00D66A1D" w:rsidRPr="00F36109" w:rsidRDefault="00D66A1D" w:rsidP="00D17C9E">
      <w:pPr>
        <w:pStyle w:val="Heading2"/>
        <w:spacing w:before="0" w:line="240" w:lineRule="auto"/>
        <w:rPr>
          <w:rFonts w:ascii="Times New Roman" w:hAnsi="Times New Roman" w:cs="Times New Roman"/>
        </w:rPr>
      </w:pPr>
    </w:p>
    <w:p w14:paraId="23B24AB8" w14:textId="47CB6E5C" w:rsidR="000F0864" w:rsidRDefault="000F0864" w:rsidP="00D17C9E">
      <w:pPr>
        <w:spacing w:after="0" w:line="240" w:lineRule="auto"/>
        <w:jc w:val="both"/>
        <w:rPr>
          <w:rFonts w:ascii="Times New Roman" w:hAnsi="Times New Roman" w:cs="Times New Roman"/>
        </w:rPr>
      </w:pPr>
      <w:r w:rsidRPr="00F36109">
        <w:rPr>
          <w:rFonts w:ascii="Times New Roman" w:hAnsi="Times New Roman" w:cs="Times New Roman"/>
        </w:rPr>
        <w:t xml:space="preserve">The results framework for the Joint SDG Fund is based on the objectives/purpose of the Joint SDG Fund and </w:t>
      </w:r>
      <w:r w:rsidR="00F9207A" w:rsidRPr="00F36109">
        <w:rPr>
          <w:rFonts w:ascii="Times New Roman" w:hAnsi="Times New Roman" w:cs="Times New Roman"/>
        </w:rPr>
        <w:t>T</w:t>
      </w:r>
      <w:r w:rsidRPr="00F36109">
        <w:rPr>
          <w:rFonts w:ascii="Times New Roman" w:hAnsi="Times New Roman" w:cs="Times New Roman"/>
        </w:rPr>
        <w:t xml:space="preserve">heory of </w:t>
      </w:r>
      <w:r w:rsidR="00F9207A" w:rsidRPr="00F36109">
        <w:rPr>
          <w:rFonts w:ascii="Times New Roman" w:hAnsi="Times New Roman" w:cs="Times New Roman"/>
        </w:rPr>
        <w:t>C</w:t>
      </w:r>
      <w:r w:rsidRPr="00F36109">
        <w:rPr>
          <w:rFonts w:ascii="Times New Roman" w:hAnsi="Times New Roman" w:cs="Times New Roman"/>
        </w:rPr>
        <w:t>hange articulated in the ToR</w:t>
      </w:r>
      <w:r w:rsidR="00765C03" w:rsidRPr="00F36109">
        <w:rPr>
          <w:rFonts w:ascii="Times New Roman" w:hAnsi="Times New Roman" w:cs="Times New Roman"/>
        </w:rPr>
        <w:t>.</w:t>
      </w:r>
      <w:r w:rsidRPr="00F36109">
        <w:rPr>
          <w:rFonts w:ascii="Times New Roman" w:hAnsi="Times New Roman" w:cs="Times New Roman"/>
        </w:rPr>
        <w:t xml:space="preserve"> The underlying premises for its architecture are:</w:t>
      </w:r>
    </w:p>
    <w:p w14:paraId="6255942A" w14:textId="77777777" w:rsidR="00545D87" w:rsidRPr="00F36109" w:rsidRDefault="00545D87" w:rsidP="00D17C9E">
      <w:pPr>
        <w:spacing w:after="0" w:line="240" w:lineRule="auto"/>
        <w:jc w:val="both"/>
        <w:rPr>
          <w:rFonts w:ascii="Times New Roman" w:hAnsi="Times New Roman" w:cs="Times New Roman"/>
        </w:rPr>
      </w:pPr>
    </w:p>
    <w:p w14:paraId="09E942D9" w14:textId="320094C1" w:rsidR="008D00A0" w:rsidRPr="00F36109" w:rsidRDefault="004B15A2" w:rsidP="00D17C9E">
      <w:pPr>
        <w:numPr>
          <w:ilvl w:val="0"/>
          <w:numId w:val="7"/>
        </w:numPr>
        <w:spacing w:after="0" w:line="240" w:lineRule="auto"/>
        <w:jc w:val="both"/>
        <w:rPr>
          <w:rFonts w:ascii="Times New Roman" w:hAnsi="Times New Roman" w:cs="Times New Roman"/>
        </w:rPr>
      </w:pPr>
      <w:r w:rsidRPr="00F36109">
        <w:rPr>
          <w:rFonts w:ascii="Times New Roman" w:hAnsi="Times New Roman" w:cs="Times New Roman"/>
        </w:rPr>
        <w:t xml:space="preserve">Results framework should encompass development results from </w:t>
      </w:r>
      <w:r w:rsidR="005B6B57">
        <w:rPr>
          <w:rFonts w:ascii="Times New Roman" w:hAnsi="Times New Roman" w:cs="Times New Roman"/>
        </w:rPr>
        <w:t>J</w:t>
      </w:r>
      <w:r w:rsidRPr="00F36109">
        <w:rPr>
          <w:rFonts w:ascii="Times New Roman" w:hAnsi="Times New Roman" w:cs="Times New Roman"/>
        </w:rPr>
        <w:t xml:space="preserve">oint </w:t>
      </w:r>
      <w:proofErr w:type="spellStart"/>
      <w:r w:rsidRPr="00F36109">
        <w:rPr>
          <w:rFonts w:ascii="Times New Roman" w:hAnsi="Times New Roman" w:cs="Times New Roman"/>
        </w:rPr>
        <w:t>programmes</w:t>
      </w:r>
      <w:proofErr w:type="spellEnd"/>
      <w:r w:rsidRPr="00F36109">
        <w:rPr>
          <w:rFonts w:ascii="Times New Roman" w:hAnsi="Times New Roman" w:cs="Times New Roman"/>
        </w:rPr>
        <w:t xml:space="preserve"> and other initiatives supported by the Fund (which are not necessarily directly attributable to the Fund), and operational performance; </w:t>
      </w:r>
    </w:p>
    <w:p w14:paraId="54B635AE" w14:textId="7CBF1932" w:rsidR="008D00A0" w:rsidRPr="00F36109" w:rsidRDefault="004B15A2" w:rsidP="00D17C9E">
      <w:pPr>
        <w:numPr>
          <w:ilvl w:val="0"/>
          <w:numId w:val="7"/>
        </w:numPr>
        <w:spacing w:after="0" w:line="240" w:lineRule="auto"/>
        <w:jc w:val="both"/>
        <w:rPr>
          <w:rFonts w:ascii="Times New Roman" w:hAnsi="Times New Roman" w:cs="Times New Roman"/>
        </w:rPr>
      </w:pPr>
      <w:r w:rsidRPr="00F36109">
        <w:rPr>
          <w:rFonts w:ascii="Times New Roman" w:hAnsi="Times New Roman" w:cs="Times New Roman"/>
        </w:rPr>
        <w:t>Development results need to be captured at the global level (e.g. # of countries…) as well as the country levels for aggregation (e.g. SDG indicator x …</w:t>
      </w:r>
      <w:r w:rsidR="0059637F" w:rsidRPr="00F36109">
        <w:rPr>
          <w:rFonts w:ascii="Times New Roman" w:hAnsi="Times New Roman" w:cs="Times New Roman"/>
        </w:rPr>
        <w:t>)</w:t>
      </w:r>
      <w:r w:rsidRPr="00F36109">
        <w:rPr>
          <w:rFonts w:ascii="Times New Roman" w:hAnsi="Times New Roman" w:cs="Times New Roman"/>
        </w:rPr>
        <w:t xml:space="preserve">; </w:t>
      </w:r>
    </w:p>
    <w:p w14:paraId="6D362C8D" w14:textId="7951E547" w:rsidR="008D00A0" w:rsidRPr="00F36109" w:rsidRDefault="004B15A2" w:rsidP="00D17C9E">
      <w:pPr>
        <w:numPr>
          <w:ilvl w:val="0"/>
          <w:numId w:val="7"/>
        </w:numPr>
        <w:spacing w:after="0" w:line="240" w:lineRule="auto"/>
        <w:jc w:val="both"/>
        <w:rPr>
          <w:rFonts w:ascii="Times New Roman" w:hAnsi="Times New Roman" w:cs="Times New Roman"/>
        </w:rPr>
      </w:pPr>
      <w:r w:rsidRPr="00F36109">
        <w:rPr>
          <w:rFonts w:ascii="Times New Roman" w:hAnsi="Times New Roman" w:cs="Times New Roman"/>
        </w:rPr>
        <w:t xml:space="preserve">Global level results need to demonstrate the value-add of the Fund (i.e. integrated approach leading to accelerated progress on multiple SDGs); </w:t>
      </w:r>
      <w:r w:rsidR="00F36462" w:rsidRPr="00F36109">
        <w:rPr>
          <w:rFonts w:ascii="Times New Roman" w:hAnsi="Times New Roman" w:cs="Times New Roman"/>
        </w:rPr>
        <w:t>and</w:t>
      </w:r>
    </w:p>
    <w:p w14:paraId="5257FCFB" w14:textId="72A210C1" w:rsidR="008D00A0" w:rsidRPr="00F36109" w:rsidRDefault="004B15A2" w:rsidP="00D17C9E">
      <w:pPr>
        <w:numPr>
          <w:ilvl w:val="0"/>
          <w:numId w:val="7"/>
        </w:numPr>
        <w:spacing w:after="0" w:line="240" w:lineRule="auto"/>
        <w:jc w:val="both"/>
        <w:rPr>
          <w:rFonts w:ascii="Times New Roman" w:hAnsi="Times New Roman" w:cs="Times New Roman"/>
        </w:rPr>
      </w:pPr>
      <w:r w:rsidRPr="00F36109">
        <w:rPr>
          <w:rFonts w:ascii="Times New Roman" w:hAnsi="Times New Roman" w:cs="Times New Roman"/>
        </w:rPr>
        <w:t>Aggregated country results need to reflect the diversity of results coming from context-specific interventions</w:t>
      </w:r>
      <w:r w:rsidR="00F36462" w:rsidRPr="00F36109">
        <w:rPr>
          <w:rFonts w:ascii="Times New Roman" w:hAnsi="Times New Roman" w:cs="Times New Roman"/>
        </w:rPr>
        <w:t>.</w:t>
      </w:r>
    </w:p>
    <w:p w14:paraId="4E69AB28" w14:textId="46D7FEDD" w:rsidR="00770A5F" w:rsidRPr="00F36109" w:rsidRDefault="00770A5F" w:rsidP="00D17C9E">
      <w:pPr>
        <w:numPr>
          <w:ilvl w:val="0"/>
          <w:numId w:val="7"/>
        </w:numPr>
        <w:spacing w:after="0" w:line="240" w:lineRule="auto"/>
        <w:jc w:val="both"/>
        <w:rPr>
          <w:rFonts w:ascii="Times New Roman" w:hAnsi="Times New Roman" w:cs="Times New Roman"/>
        </w:rPr>
      </w:pPr>
      <w:r w:rsidRPr="00F36109">
        <w:rPr>
          <w:rFonts w:ascii="Times New Roman" w:hAnsi="Times New Roman" w:cs="Times New Roman"/>
        </w:rPr>
        <w:t>The results framework shall capture how well the UN work together in countries to deliver better together.</w:t>
      </w:r>
    </w:p>
    <w:p w14:paraId="57F02256" w14:textId="77777777" w:rsidR="00D17C9E" w:rsidRPr="00F36109" w:rsidRDefault="00D17C9E" w:rsidP="00D17C9E">
      <w:pPr>
        <w:spacing w:after="0" w:line="240" w:lineRule="auto"/>
        <w:jc w:val="both"/>
        <w:rPr>
          <w:rFonts w:ascii="Times New Roman" w:hAnsi="Times New Roman" w:cs="Times New Roman"/>
        </w:rPr>
      </w:pPr>
    </w:p>
    <w:p w14:paraId="1491086C" w14:textId="0821F9CF" w:rsidR="000F0864" w:rsidRDefault="000F0864" w:rsidP="00D17C9E">
      <w:pPr>
        <w:spacing w:after="0" w:line="240" w:lineRule="auto"/>
        <w:jc w:val="both"/>
        <w:rPr>
          <w:rFonts w:ascii="Times New Roman" w:hAnsi="Times New Roman" w:cs="Times New Roman"/>
        </w:rPr>
      </w:pPr>
      <w:r w:rsidRPr="00F36109">
        <w:rPr>
          <w:rFonts w:ascii="Times New Roman" w:hAnsi="Times New Roman" w:cs="Times New Roman"/>
        </w:rPr>
        <w:t>Thus, the approach taken to address some of the inherent challenges are as follows:</w:t>
      </w:r>
    </w:p>
    <w:p w14:paraId="1A7938EB" w14:textId="77777777" w:rsidR="00545D87" w:rsidRPr="00F36109" w:rsidRDefault="00545D87" w:rsidP="00D17C9E">
      <w:pPr>
        <w:spacing w:after="0" w:line="240" w:lineRule="auto"/>
        <w:jc w:val="both"/>
        <w:rPr>
          <w:rFonts w:ascii="Times New Roman" w:hAnsi="Times New Roman" w:cs="Times New Roman"/>
        </w:rPr>
      </w:pPr>
    </w:p>
    <w:p w14:paraId="1AFCC58B" w14:textId="4602A095" w:rsidR="008D00A0" w:rsidRPr="00F36109" w:rsidRDefault="004B15A2" w:rsidP="00D17C9E">
      <w:pPr>
        <w:numPr>
          <w:ilvl w:val="0"/>
          <w:numId w:val="8"/>
        </w:numPr>
        <w:spacing w:after="0" w:line="240" w:lineRule="auto"/>
        <w:jc w:val="both"/>
        <w:rPr>
          <w:rFonts w:ascii="Times New Roman" w:hAnsi="Times New Roman" w:cs="Times New Roman"/>
        </w:rPr>
      </w:pPr>
      <w:r w:rsidRPr="00F36109">
        <w:rPr>
          <w:rFonts w:ascii="Times New Roman" w:hAnsi="Times New Roman" w:cs="Times New Roman"/>
        </w:rPr>
        <w:t xml:space="preserve">Global level results will be captured at the impact, outcome and output levels through </w:t>
      </w:r>
      <w:r w:rsidR="00765C03" w:rsidRPr="00F36109">
        <w:rPr>
          <w:rFonts w:ascii="Times New Roman" w:hAnsi="Times New Roman" w:cs="Times New Roman"/>
        </w:rPr>
        <w:t>standardized</w:t>
      </w:r>
      <w:r w:rsidRPr="00F36109">
        <w:rPr>
          <w:rFonts w:ascii="Times New Roman" w:hAnsi="Times New Roman" w:cs="Times New Roman"/>
        </w:rPr>
        <w:t xml:space="preserve"> indicators;   </w:t>
      </w:r>
    </w:p>
    <w:p w14:paraId="6E3322B6" w14:textId="77777777" w:rsidR="008D00A0" w:rsidRPr="00F36109" w:rsidRDefault="004B15A2" w:rsidP="00D17C9E">
      <w:pPr>
        <w:numPr>
          <w:ilvl w:val="0"/>
          <w:numId w:val="8"/>
        </w:numPr>
        <w:spacing w:after="0" w:line="240" w:lineRule="auto"/>
        <w:jc w:val="both"/>
        <w:rPr>
          <w:rFonts w:ascii="Times New Roman" w:hAnsi="Times New Roman" w:cs="Times New Roman"/>
        </w:rPr>
      </w:pPr>
      <w:r w:rsidRPr="00F36109">
        <w:rPr>
          <w:rFonts w:ascii="Times New Roman" w:hAnsi="Times New Roman" w:cs="Times New Roman"/>
        </w:rPr>
        <w:t xml:space="preserve">Country results will be captured at the impact level through SDG indicators that allow for global aggregation, complemented by narratives / stories on how these results were achieved; </w:t>
      </w:r>
    </w:p>
    <w:p w14:paraId="3AC78951" w14:textId="2B64FA76" w:rsidR="008D00A0" w:rsidRPr="00F36109" w:rsidRDefault="004B15A2" w:rsidP="00D17C9E">
      <w:pPr>
        <w:numPr>
          <w:ilvl w:val="0"/>
          <w:numId w:val="8"/>
        </w:numPr>
        <w:spacing w:after="0" w:line="240" w:lineRule="auto"/>
        <w:jc w:val="both"/>
        <w:rPr>
          <w:rFonts w:ascii="Times New Roman" w:hAnsi="Times New Roman" w:cs="Times New Roman"/>
        </w:rPr>
      </w:pPr>
      <w:r w:rsidRPr="00F36109">
        <w:rPr>
          <w:rFonts w:ascii="Times New Roman" w:hAnsi="Times New Roman" w:cs="Times New Roman"/>
        </w:rPr>
        <w:t xml:space="preserve">The operational aspects of the Joint SDG Fund will be assessed through specific performance indicators; </w:t>
      </w:r>
    </w:p>
    <w:p w14:paraId="3EFA803B" w14:textId="77777777" w:rsidR="00587825" w:rsidRPr="00F36109" w:rsidRDefault="004B15A2" w:rsidP="00D17C9E">
      <w:pPr>
        <w:numPr>
          <w:ilvl w:val="0"/>
          <w:numId w:val="8"/>
        </w:numPr>
        <w:spacing w:after="0" w:line="240" w:lineRule="auto"/>
        <w:jc w:val="both"/>
        <w:rPr>
          <w:rFonts w:ascii="Times New Roman" w:hAnsi="Times New Roman" w:cs="Times New Roman"/>
        </w:rPr>
      </w:pPr>
      <w:r w:rsidRPr="00F36109">
        <w:rPr>
          <w:rFonts w:ascii="Times New Roman" w:hAnsi="Times New Roman" w:cs="Times New Roman"/>
        </w:rPr>
        <w:t xml:space="preserve">All joint </w:t>
      </w:r>
      <w:proofErr w:type="spellStart"/>
      <w:r w:rsidRPr="00F36109">
        <w:rPr>
          <w:rFonts w:ascii="Times New Roman" w:hAnsi="Times New Roman" w:cs="Times New Roman"/>
        </w:rPr>
        <w:t>programmes</w:t>
      </w:r>
      <w:proofErr w:type="spellEnd"/>
      <w:r w:rsidRPr="00F36109">
        <w:rPr>
          <w:rFonts w:ascii="Times New Roman" w:hAnsi="Times New Roman" w:cs="Times New Roman"/>
        </w:rPr>
        <w:t xml:space="preserve"> and initiatives supported by the Joint SDG Fund will include a combination of the above indicators in their results frameworks, and be required to report on an annual basis; </w:t>
      </w:r>
    </w:p>
    <w:p w14:paraId="13EBC32B" w14:textId="07F3C9A5" w:rsidR="008D00A0" w:rsidRPr="00F36109" w:rsidRDefault="00587825" w:rsidP="00D17C9E">
      <w:pPr>
        <w:numPr>
          <w:ilvl w:val="0"/>
          <w:numId w:val="8"/>
        </w:numPr>
        <w:spacing w:after="0" w:line="240" w:lineRule="auto"/>
        <w:jc w:val="both"/>
        <w:rPr>
          <w:rFonts w:ascii="Times New Roman" w:hAnsi="Times New Roman" w:cs="Times New Roman"/>
        </w:rPr>
      </w:pPr>
      <w:r w:rsidRPr="00F36109">
        <w:rPr>
          <w:rFonts w:ascii="Times New Roman" w:hAnsi="Times New Roman" w:cs="Times New Roman"/>
        </w:rPr>
        <w:t xml:space="preserve">Targets for some indicators </w:t>
      </w:r>
      <w:r w:rsidR="00E25B3B" w:rsidRPr="00F36109">
        <w:rPr>
          <w:rFonts w:ascii="Times New Roman" w:hAnsi="Times New Roman" w:cs="Times New Roman"/>
        </w:rPr>
        <w:t>may be</w:t>
      </w:r>
      <w:r w:rsidRPr="00F36109">
        <w:rPr>
          <w:rFonts w:ascii="Times New Roman" w:hAnsi="Times New Roman" w:cs="Times New Roman"/>
        </w:rPr>
        <w:t xml:space="preserve"> </w:t>
      </w:r>
      <w:r w:rsidR="00EA1826" w:rsidRPr="00F36109">
        <w:rPr>
          <w:rFonts w:ascii="Times New Roman" w:hAnsi="Times New Roman" w:cs="Times New Roman"/>
        </w:rPr>
        <w:t>a</w:t>
      </w:r>
      <w:r w:rsidRPr="00F36109">
        <w:rPr>
          <w:rFonts w:ascii="Times New Roman" w:hAnsi="Times New Roman" w:cs="Times New Roman"/>
        </w:rPr>
        <w:t xml:space="preserve">djusted </w:t>
      </w:r>
      <w:r w:rsidR="00EA1826" w:rsidRPr="00F36109">
        <w:rPr>
          <w:rFonts w:ascii="Times New Roman" w:hAnsi="Times New Roman" w:cs="Times New Roman"/>
        </w:rPr>
        <w:t>annually</w:t>
      </w:r>
      <w:r w:rsidR="00E25B3B" w:rsidRPr="00F36109">
        <w:rPr>
          <w:rFonts w:ascii="Times New Roman" w:hAnsi="Times New Roman" w:cs="Times New Roman"/>
        </w:rPr>
        <w:t xml:space="preserve"> through the Operational Steering Committee</w:t>
      </w:r>
      <w:r w:rsidRPr="00F36109">
        <w:rPr>
          <w:rFonts w:ascii="Times New Roman" w:hAnsi="Times New Roman" w:cs="Times New Roman"/>
        </w:rPr>
        <w:t xml:space="preserve">; </w:t>
      </w:r>
      <w:r w:rsidR="004B15A2" w:rsidRPr="00F36109">
        <w:rPr>
          <w:rFonts w:ascii="Times New Roman" w:hAnsi="Times New Roman" w:cs="Times New Roman"/>
        </w:rPr>
        <w:t xml:space="preserve">and </w:t>
      </w:r>
    </w:p>
    <w:p w14:paraId="56AAFAD2" w14:textId="75199451" w:rsidR="008D00A0" w:rsidRPr="00F36109" w:rsidRDefault="004B15A2" w:rsidP="00D17C9E">
      <w:pPr>
        <w:numPr>
          <w:ilvl w:val="0"/>
          <w:numId w:val="8"/>
        </w:numPr>
        <w:spacing w:after="0" w:line="240" w:lineRule="auto"/>
        <w:jc w:val="both"/>
        <w:rPr>
          <w:rFonts w:ascii="Times New Roman" w:hAnsi="Times New Roman" w:cs="Times New Roman"/>
        </w:rPr>
      </w:pPr>
      <w:r w:rsidRPr="00F36109">
        <w:rPr>
          <w:rFonts w:ascii="Times New Roman" w:hAnsi="Times New Roman" w:cs="Times New Roman"/>
        </w:rPr>
        <w:t>At the end of 202</w:t>
      </w:r>
      <w:r w:rsidR="0014650B" w:rsidRPr="00F36109">
        <w:rPr>
          <w:rFonts w:ascii="Times New Roman" w:hAnsi="Times New Roman" w:cs="Times New Roman"/>
        </w:rPr>
        <w:t>1</w:t>
      </w:r>
      <w:r w:rsidRPr="00F36109">
        <w:rPr>
          <w:rFonts w:ascii="Times New Roman" w:hAnsi="Times New Roman" w:cs="Times New Roman"/>
        </w:rPr>
        <w:t xml:space="preserve">, the Joint SDG Fund results framework will be reviewed and adjusted to capture lessons learned from the 2019-2020 </w:t>
      </w:r>
      <w:r w:rsidR="00765C03" w:rsidRPr="00F36109">
        <w:rPr>
          <w:rFonts w:ascii="Times New Roman" w:hAnsi="Times New Roman" w:cs="Times New Roman"/>
        </w:rPr>
        <w:t>operationalization</w:t>
      </w:r>
      <w:r w:rsidRPr="00F36109">
        <w:rPr>
          <w:rFonts w:ascii="Times New Roman" w:hAnsi="Times New Roman" w:cs="Times New Roman"/>
        </w:rPr>
        <w:t xml:space="preserve"> of the Joint SDG Fund. </w:t>
      </w:r>
    </w:p>
    <w:p w14:paraId="21AFC366" w14:textId="77777777" w:rsidR="00E412E3" w:rsidRPr="00F36109" w:rsidRDefault="00E412E3" w:rsidP="00D17C9E">
      <w:pPr>
        <w:spacing w:after="0" w:line="240" w:lineRule="auto"/>
        <w:jc w:val="both"/>
        <w:rPr>
          <w:rFonts w:ascii="Times New Roman" w:hAnsi="Times New Roman" w:cs="Times New Roman"/>
        </w:rPr>
      </w:pPr>
    </w:p>
    <w:p w14:paraId="185BBAF1" w14:textId="77777777" w:rsidR="00C85ED8" w:rsidRPr="00F36109" w:rsidRDefault="00C85ED8" w:rsidP="00D17C9E">
      <w:pPr>
        <w:spacing w:after="0" w:line="240" w:lineRule="auto"/>
        <w:jc w:val="both"/>
        <w:rPr>
          <w:rFonts w:ascii="Times New Roman" w:hAnsi="Times New Roman" w:cs="Times New Roman"/>
          <w:sz w:val="28"/>
        </w:rPr>
      </w:pPr>
    </w:p>
    <w:p w14:paraId="121F6D12" w14:textId="16452143" w:rsidR="00C85ED8" w:rsidRPr="00F36109" w:rsidRDefault="00C85ED8" w:rsidP="00D17C9E">
      <w:pPr>
        <w:spacing w:after="0" w:line="240" w:lineRule="auto"/>
        <w:rPr>
          <w:rFonts w:ascii="Times New Roman" w:hAnsi="Times New Roman" w:cs="Times New Roman"/>
          <w:b/>
          <w:i/>
        </w:rPr>
      </w:pPr>
      <w:r w:rsidRPr="00F36109">
        <w:rPr>
          <w:rFonts w:ascii="Times New Roman" w:hAnsi="Times New Roman" w:cs="Times New Roman"/>
          <w:b/>
          <w:i/>
        </w:rPr>
        <w:t xml:space="preserve">See table </w:t>
      </w:r>
      <w:r w:rsidR="0083136D" w:rsidRPr="00F36109">
        <w:rPr>
          <w:rFonts w:ascii="Times New Roman" w:hAnsi="Times New Roman" w:cs="Times New Roman"/>
          <w:b/>
          <w:i/>
        </w:rPr>
        <w:t>at the end</w:t>
      </w:r>
      <w:r w:rsidRPr="00F36109">
        <w:rPr>
          <w:rFonts w:ascii="Times New Roman" w:hAnsi="Times New Roman" w:cs="Times New Roman"/>
          <w:b/>
          <w:i/>
        </w:rPr>
        <w:t xml:space="preserve"> for breakdown of funding targets and proposed allocation of resources</w:t>
      </w:r>
    </w:p>
    <w:p w14:paraId="448C48CB" w14:textId="5798B4C4" w:rsidR="00452DF9" w:rsidRPr="00F36109" w:rsidRDefault="00FF7E24" w:rsidP="00D17C9E">
      <w:pPr>
        <w:spacing w:after="0" w:line="240" w:lineRule="auto"/>
        <w:jc w:val="both"/>
        <w:rPr>
          <w:rFonts w:ascii="Times New Roman" w:eastAsia="Times New Roman" w:hAnsi="Times New Roman" w:cs="Times New Roman"/>
          <w:b/>
          <w:sz w:val="28"/>
          <w:szCs w:val="24"/>
          <w:lang w:eastAsia="en-US"/>
        </w:rPr>
      </w:pPr>
      <w:r w:rsidRPr="00F36109">
        <w:rPr>
          <w:rFonts w:ascii="Times New Roman" w:hAnsi="Times New Roman" w:cs="Times New Roman"/>
          <w:sz w:val="28"/>
        </w:rPr>
        <w:br w:type="page"/>
      </w:r>
    </w:p>
    <w:p w14:paraId="03F8278D" w14:textId="77777777" w:rsidR="00452DF9" w:rsidRPr="00F36109" w:rsidRDefault="00452DF9" w:rsidP="00D17C9E">
      <w:pPr>
        <w:spacing w:after="0" w:line="240" w:lineRule="auto"/>
        <w:jc w:val="both"/>
        <w:rPr>
          <w:rFonts w:ascii="Times New Roman" w:eastAsia="Times New Roman" w:hAnsi="Times New Roman" w:cs="Times New Roman"/>
          <w:b/>
          <w:sz w:val="28"/>
          <w:szCs w:val="24"/>
          <w:lang w:eastAsia="en-US"/>
        </w:rPr>
      </w:pPr>
    </w:p>
    <w:p w14:paraId="369B2B5F" w14:textId="452EA7B0" w:rsidR="00C85ED8" w:rsidRPr="00F36109" w:rsidRDefault="00DA2950" w:rsidP="00D17C9E">
      <w:pPr>
        <w:pStyle w:val="Heading6"/>
        <w:spacing w:before="0" w:line="240" w:lineRule="auto"/>
        <w:rPr>
          <w:rFonts w:ascii="Times New Roman" w:hAnsi="Times New Roman" w:cs="Times New Roman"/>
          <w:b/>
        </w:rPr>
      </w:pPr>
      <w:bookmarkStart w:id="116" w:name="_Toc527975457"/>
      <w:bookmarkStart w:id="117" w:name="_Toc527975921"/>
      <w:bookmarkStart w:id="118" w:name="_Toc527976139"/>
      <w:bookmarkStart w:id="119" w:name="_Toc527976252"/>
      <w:bookmarkStart w:id="120" w:name="_Toc530497055"/>
      <w:bookmarkStart w:id="121" w:name="_Toc530577736"/>
      <w:r w:rsidRPr="00F36109">
        <w:rPr>
          <w:rFonts w:ascii="Times New Roman" w:hAnsi="Times New Roman" w:cs="Times New Roman"/>
          <w:b/>
        </w:rPr>
        <w:t>Impact: Progress towards SDGs</w:t>
      </w:r>
      <w:r w:rsidR="007D7E9D" w:rsidRPr="00F36109">
        <w:rPr>
          <w:rFonts w:ascii="Times New Roman" w:hAnsi="Times New Roman" w:cs="Times New Roman"/>
          <w:b/>
        </w:rPr>
        <w:t xml:space="preserve"> on track</w:t>
      </w:r>
      <w:bookmarkEnd w:id="116"/>
      <w:bookmarkEnd w:id="117"/>
      <w:bookmarkEnd w:id="118"/>
      <w:bookmarkEnd w:id="119"/>
      <w:bookmarkEnd w:id="120"/>
      <w:bookmarkEnd w:id="121"/>
    </w:p>
    <w:p w14:paraId="29E3E6A4" w14:textId="77777777" w:rsidR="000B046F" w:rsidRPr="00F36109" w:rsidRDefault="000B046F" w:rsidP="000B046F">
      <w:pPr>
        <w:rPr>
          <w:rFonts w:ascii="Times New Roman" w:hAnsi="Times New Roman" w:cs="Times New Roman"/>
        </w:rPr>
      </w:pPr>
    </w:p>
    <w:tbl>
      <w:tblPr>
        <w:tblStyle w:val="TableGrid"/>
        <w:tblpPr w:leftFromText="180" w:rightFromText="180" w:vertAnchor="text" w:tblpXSpec="center" w:tblpY="1"/>
        <w:tblOverlap w:val="never"/>
        <w:tblW w:w="9270" w:type="dxa"/>
        <w:tblLook w:val="04A0" w:firstRow="1" w:lastRow="0" w:firstColumn="1" w:lastColumn="0" w:noHBand="0" w:noVBand="1"/>
      </w:tblPr>
      <w:tblGrid>
        <w:gridCol w:w="9270"/>
      </w:tblGrid>
      <w:tr w:rsidR="006E7424" w:rsidRPr="00F36109" w14:paraId="070B691C" w14:textId="6DAB068C" w:rsidTr="006E7424">
        <w:trPr>
          <w:trHeight w:val="76"/>
        </w:trPr>
        <w:tc>
          <w:tcPr>
            <w:tcW w:w="9270" w:type="dxa"/>
            <w:shd w:val="clear" w:color="auto" w:fill="D9E2F3" w:themeFill="accent1" w:themeFillTint="33"/>
            <w:vAlign w:val="center"/>
          </w:tcPr>
          <w:p w14:paraId="1C28D8B9" w14:textId="15F3A8E3" w:rsidR="006E7424" w:rsidRPr="00F36109" w:rsidRDefault="00A42A51" w:rsidP="00D17C9E">
            <w:pPr>
              <w:rPr>
                <w:rFonts w:ascii="Times New Roman" w:hAnsi="Times New Roman"/>
                <w:b/>
                <w:color w:val="000000" w:themeColor="text1"/>
              </w:rPr>
            </w:pPr>
            <w:r w:rsidRPr="00F36109">
              <w:rPr>
                <w:rFonts w:ascii="Times New Roman" w:hAnsi="Times New Roman"/>
                <w:b/>
                <w:color w:val="000000" w:themeColor="text1"/>
              </w:rPr>
              <w:t xml:space="preserve">Global </w:t>
            </w:r>
            <w:r w:rsidR="00C11816" w:rsidRPr="00F36109">
              <w:rPr>
                <w:rFonts w:ascii="Times New Roman" w:hAnsi="Times New Roman"/>
                <w:b/>
                <w:color w:val="000000" w:themeColor="text1"/>
              </w:rPr>
              <w:t>SDG</w:t>
            </w:r>
            <w:r w:rsidR="006E7424" w:rsidRPr="00F36109">
              <w:rPr>
                <w:rFonts w:ascii="Times New Roman" w:hAnsi="Times New Roman"/>
                <w:b/>
                <w:color w:val="000000" w:themeColor="text1"/>
              </w:rPr>
              <w:t xml:space="preserve"> indicators</w:t>
            </w:r>
          </w:p>
        </w:tc>
      </w:tr>
      <w:tr w:rsidR="006E7424" w:rsidRPr="00F36109" w14:paraId="19C1AA19" w14:textId="55B63227" w:rsidTr="006E7424">
        <w:trPr>
          <w:trHeight w:val="54"/>
        </w:trPr>
        <w:tc>
          <w:tcPr>
            <w:tcW w:w="9270" w:type="dxa"/>
            <w:vAlign w:val="center"/>
          </w:tcPr>
          <w:p w14:paraId="24F7D5B2" w14:textId="668C2B0D" w:rsidR="006E7424" w:rsidRPr="00F36109" w:rsidRDefault="00D34641" w:rsidP="00D17C9E">
            <w:pPr>
              <w:rPr>
                <w:rFonts w:ascii="Times New Roman" w:hAnsi="Times New Roman"/>
                <w:color w:val="000000" w:themeColor="text1"/>
              </w:rPr>
            </w:pPr>
            <w:r w:rsidRPr="00F36109">
              <w:rPr>
                <w:rFonts w:ascii="Times New Roman" w:hAnsi="Times New Roman"/>
                <w:color w:val="000000" w:themeColor="text1"/>
              </w:rPr>
              <w:t>Aggregate</w:t>
            </w:r>
            <w:r w:rsidR="00012829" w:rsidRPr="00F36109">
              <w:rPr>
                <w:rFonts w:ascii="Times New Roman" w:hAnsi="Times New Roman"/>
                <w:color w:val="000000" w:themeColor="text1"/>
              </w:rPr>
              <w:t>d</w:t>
            </w:r>
            <w:r w:rsidRPr="00F36109">
              <w:rPr>
                <w:rFonts w:ascii="Times New Roman" w:hAnsi="Times New Roman"/>
                <w:color w:val="000000" w:themeColor="text1"/>
              </w:rPr>
              <w:t xml:space="preserve"> results</w:t>
            </w:r>
            <w:r w:rsidR="00160A4F" w:rsidRPr="00F36109">
              <w:rPr>
                <w:rFonts w:ascii="Times New Roman" w:hAnsi="Times New Roman"/>
                <w:color w:val="000000" w:themeColor="text1"/>
              </w:rPr>
              <w:t>,</w:t>
            </w:r>
            <w:r w:rsidRPr="00F36109">
              <w:rPr>
                <w:rFonts w:ascii="Times New Roman" w:hAnsi="Times New Roman"/>
                <w:color w:val="000000" w:themeColor="text1"/>
              </w:rPr>
              <w:t xml:space="preserve"> against</w:t>
            </w:r>
            <w:r w:rsidR="006E7424" w:rsidRPr="00F36109">
              <w:rPr>
                <w:rFonts w:ascii="Times New Roman" w:hAnsi="Times New Roman"/>
                <w:color w:val="000000" w:themeColor="text1"/>
              </w:rPr>
              <w:t xml:space="preserve"> SDG indicators</w:t>
            </w:r>
            <w:r w:rsidR="00160A4F" w:rsidRPr="00F36109">
              <w:rPr>
                <w:rFonts w:ascii="Times New Roman" w:hAnsi="Times New Roman"/>
                <w:color w:val="000000" w:themeColor="text1"/>
              </w:rPr>
              <w:t>,</w:t>
            </w:r>
            <w:r w:rsidR="006E7424" w:rsidRPr="00F36109">
              <w:rPr>
                <w:rFonts w:ascii="Times New Roman" w:hAnsi="Times New Roman"/>
                <w:color w:val="000000" w:themeColor="text1"/>
              </w:rPr>
              <w:t xml:space="preserve"> supported by the Joint SDG Fund</w:t>
            </w:r>
            <w:r w:rsidR="006E7424" w:rsidRPr="00F36109">
              <w:rPr>
                <w:rStyle w:val="FootnoteReference"/>
                <w:rFonts w:ascii="Times New Roman" w:hAnsi="Times New Roman"/>
                <w:color w:val="000000" w:themeColor="text1"/>
              </w:rPr>
              <w:footnoteReference w:id="8"/>
            </w:r>
            <w:r w:rsidRPr="00F36109">
              <w:rPr>
                <w:rFonts w:ascii="Times New Roman" w:hAnsi="Times New Roman"/>
                <w:color w:val="000000" w:themeColor="text1"/>
              </w:rPr>
              <w:t>.</w:t>
            </w:r>
          </w:p>
        </w:tc>
      </w:tr>
    </w:tbl>
    <w:p w14:paraId="6CFE8B8A" w14:textId="2A1D1F94" w:rsidR="00C85ED8" w:rsidRPr="00F36109" w:rsidRDefault="00C85ED8" w:rsidP="00D17C9E">
      <w:pPr>
        <w:spacing w:after="0" w:line="240" w:lineRule="auto"/>
        <w:rPr>
          <w:rFonts w:ascii="Times New Roman" w:eastAsiaTheme="majorEastAsia" w:hAnsi="Times New Roman" w:cs="Times New Roman"/>
          <w:b/>
          <w:color w:val="1F3763" w:themeColor="accent1" w:themeShade="7F"/>
          <w:sz w:val="18"/>
        </w:rPr>
      </w:pPr>
    </w:p>
    <w:tbl>
      <w:tblPr>
        <w:tblStyle w:val="TableGrid"/>
        <w:tblpPr w:leftFromText="180" w:rightFromText="180" w:vertAnchor="text" w:tblpY="1"/>
        <w:tblOverlap w:val="never"/>
        <w:tblW w:w="9355" w:type="dxa"/>
        <w:tblLook w:val="04A0" w:firstRow="1" w:lastRow="0" w:firstColumn="1" w:lastColumn="0" w:noHBand="0" w:noVBand="1"/>
      </w:tblPr>
      <w:tblGrid>
        <w:gridCol w:w="6655"/>
        <w:gridCol w:w="900"/>
        <w:gridCol w:w="589"/>
        <w:gridCol w:w="581"/>
        <w:gridCol w:w="630"/>
      </w:tblGrid>
      <w:tr w:rsidR="005F58F8" w:rsidRPr="00F36109" w14:paraId="6B0EA071" w14:textId="77777777" w:rsidTr="007D4BC7">
        <w:tc>
          <w:tcPr>
            <w:tcW w:w="6655" w:type="dxa"/>
            <w:shd w:val="clear" w:color="auto" w:fill="D9E2F3" w:themeFill="accent1" w:themeFillTint="33"/>
            <w:vAlign w:val="center"/>
          </w:tcPr>
          <w:p w14:paraId="605C728A" w14:textId="77777777" w:rsidR="009E57AB" w:rsidRPr="00F36109" w:rsidRDefault="009E57AB" w:rsidP="00D17C9E">
            <w:pPr>
              <w:rPr>
                <w:rFonts w:ascii="Times New Roman" w:hAnsi="Times New Roman"/>
                <w:b/>
                <w:color w:val="000000" w:themeColor="text1"/>
              </w:rPr>
            </w:pPr>
            <w:r w:rsidRPr="00F36109">
              <w:rPr>
                <w:rFonts w:ascii="Times New Roman" w:hAnsi="Times New Roman"/>
                <w:b/>
                <w:color w:val="000000" w:themeColor="text1"/>
              </w:rPr>
              <w:t>Global indicators</w:t>
            </w:r>
          </w:p>
        </w:tc>
        <w:tc>
          <w:tcPr>
            <w:tcW w:w="900" w:type="dxa"/>
            <w:shd w:val="clear" w:color="auto" w:fill="D9E2F3" w:themeFill="accent1" w:themeFillTint="33"/>
            <w:vAlign w:val="center"/>
          </w:tcPr>
          <w:p w14:paraId="55A2F139" w14:textId="77777777" w:rsidR="009E57AB" w:rsidRPr="00F36109" w:rsidRDefault="009E57AB"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Baseline</w:t>
            </w:r>
          </w:p>
        </w:tc>
        <w:tc>
          <w:tcPr>
            <w:tcW w:w="589" w:type="dxa"/>
            <w:shd w:val="clear" w:color="auto" w:fill="D9E2F3" w:themeFill="accent1" w:themeFillTint="33"/>
            <w:vAlign w:val="center"/>
          </w:tcPr>
          <w:p w14:paraId="670CF06C" w14:textId="77777777" w:rsidR="009E57AB" w:rsidRPr="00F36109" w:rsidRDefault="009E57AB"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 xml:space="preserve">2019 </w:t>
            </w:r>
          </w:p>
        </w:tc>
        <w:tc>
          <w:tcPr>
            <w:tcW w:w="581" w:type="dxa"/>
            <w:shd w:val="clear" w:color="auto" w:fill="D9E2F3" w:themeFill="accent1" w:themeFillTint="33"/>
          </w:tcPr>
          <w:p w14:paraId="76703B78" w14:textId="77777777" w:rsidR="009E57AB" w:rsidRPr="00F36109" w:rsidRDefault="009E57AB"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2020</w:t>
            </w:r>
          </w:p>
        </w:tc>
        <w:tc>
          <w:tcPr>
            <w:tcW w:w="630" w:type="dxa"/>
            <w:shd w:val="clear" w:color="auto" w:fill="D9E2F3" w:themeFill="accent1" w:themeFillTint="33"/>
          </w:tcPr>
          <w:p w14:paraId="4AA65B6F" w14:textId="77777777" w:rsidR="009E57AB" w:rsidRPr="00F36109" w:rsidRDefault="009E57AB"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2021</w:t>
            </w:r>
          </w:p>
        </w:tc>
      </w:tr>
      <w:tr w:rsidR="005F58F8" w:rsidRPr="00F36109" w14:paraId="75261A14" w14:textId="77777777" w:rsidTr="007D4BC7">
        <w:tc>
          <w:tcPr>
            <w:tcW w:w="6655" w:type="dxa"/>
            <w:shd w:val="clear" w:color="auto" w:fill="auto"/>
            <w:vAlign w:val="center"/>
          </w:tcPr>
          <w:p w14:paraId="6AF9B3CB" w14:textId="1946D5CD" w:rsidR="005F58F8" w:rsidRPr="00F36109" w:rsidRDefault="00225285" w:rsidP="00D17C9E">
            <w:pPr>
              <w:rPr>
                <w:rFonts w:ascii="Times New Roman" w:hAnsi="Times New Roman"/>
                <w:b/>
                <w:color w:val="000000" w:themeColor="text1"/>
              </w:rPr>
            </w:pPr>
            <w:r w:rsidRPr="00F36109">
              <w:rPr>
                <w:rFonts w:ascii="Times New Roman" w:hAnsi="Times New Roman"/>
                <w:color w:val="000000" w:themeColor="text1"/>
              </w:rPr>
              <w:t xml:space="preserve"># and </w:t>
            </w:r>
            <w:r w:rsidR="005F58F8" w:rsidRPr="00F36109">
              <w:rPr>
                <w:rFonts w:ascii="Times New Roman" w:hAnsi="Times New Roman"/>
                <w:color w:val="000000" w:themeColor="text1"/>
              </w:rPr>
              <w:t>% of Joint SDG Fund-supported countries where there is progress</w:t>
            </w:r>
            <w:r w:rsidRPr="00F36109">
              <w:rPr>
                <w:rFonts w:ascii="Times New Roman" w:hAnsi="Times New Roman"/>
                <w:color w:val="000000" w:themeColor="text1"/>
              </w:rPr>
              <w:t xml:space="preserve"> </w:t>
            </w:r>
            <w:r w:rsidR="005F58F8" w:rsidRPr="00F36109">
              <w:rPr>
                <w:rFonts w:ascii="Times New Roman" w:hAnsi="Times New Roman"/>
                <w:color w:val="000000" w:themeColor="text1"/>
              </w:rPr>
              <w:t>towards targets</w:t>
            </w:r>
            <w:r w:rsidR="005F58F8" w:rsidRPr="00F36109">
              <w:rPr>
                <w:rStyle w:val="FootnoteReference"/>
                <w:rFonts w:ascii="Times New Roman" w:hAnsi="Times New Roman"/>
                <w:color w:val="000000" w:themeColor="text1"/>
              </w:rPr>
              <w:footnoteReference w:id="9"/>
            </w:r>
            <w:r w:rsidR="005F58F8" w:rsidRPr="00F36109">
              <w:rPr>
                <w:rFonts w:ascii="Times New Roman" w:hAnsi="Times New Roman"/>
                <w:color w:val="000000" w:themeColor="text1"/>
              </w:rPr>
              <w:t xml:space="preserve">  linked to at least 2 SDGs</w:t>
            </w:r>
            <w:r w:rsidR="005F58F8" w:rsidRPr="00F36109">
              <w:rPr>
                <w:rStyle w:val="FootnoteReference"/>
                <w:rFonts w:ascii="Times New Roman" w:hAnsi="Times New Roman"/>
                <w:color w:val="000000" w:themeColor="text1"/>
              </w:rPr>
              <w:footnoteReference w:id="10"/>
            </w:r>
            <w:r w:rsidR="005F58F8" w:rsidRPr="00F36109">
              <w:rPr>
                <w:rFonts w:ascii="Times New Roman" w:hAnsi="Times New Roman"/>
                <w:color w:val="000000" w:themeColor="text1"/>
              </w:rPr>
              <w:t xml:space="preserve"> relevant to the Joint </w:t>
            </w:r>
            <w:proofErr w:type="spellStart"/>
            <w:r w:rsidRPr="00F36109">
              <w:rPr>
                <w:rFonts w:ascii="Times New Roman" w:hAnsi="Times New Roman"/>
                <w:color w:val="000000" w:themeColor="text1"/>
              </w:rPr>
              <w:t>Pr</w:t>
            </w:r>
            <w:r w:rsidR="005F58F8" w:rsidRPr="00F36109">
              <w:rPr>
                <w:rFonts w:ascii="Times New Roman" w:hAnsi="Times New Roman"/>
                <w:color w:val="000000" w:themeColor="text1"/>
              </w:rPr>
              <w:t>ogrammes</w:t>
            </w:r>
            <w:proofErr w:type="spellEnd"/>
            <w:r w:rsidR="005F58F8" w:rsidRPr="00F36109">
              <w:rPr>
                <w:rFonts w:ascii="Times New Roman" w:hAnsi="Times New Roman"/>
                <w:color w:val="000000" w:themeColor="text1"/>
              </w:rPr>
              <w:t xml:space="preserve"> (disaggregated by SDG to capture portfolio of JP)</w:t>
            </w:r>
          </w:p>
        </w:tc>
        <w:tc>
          <w:tcPr>
            <w:tcW w:w="900" w:type="dxa"/>
            <w:shd w:val="clear" w:color="auto" w:fill="auto"/>
            <w:vAlign w:val="center"/>
          </w:tcPr>
          <w:p w14:paraId="087366E4" w14:textId="7E860828" w:rsidR="005F58F8" w:rsidRPr="00F36109" w:rsidRDefault="005F58F8" w:rsidP="00D17C9E">
            <w:pPr>
              <w:jc w:val="center"/>
              <w:rPr>
                <w:rFonts w:ascii="Times New Roman" w:hAnsi="Times New Roman"/>
                <w:b/>
                <w:color w:val="000000" w:themeColor="text1"/>
                <w:sz w:val="18"/>
              </w:rPr>
            </w:pPr>
            <w:r w:rsidRPr="00F36109">
              <w:rPr>
                <w:rFonts w:ascii="Times New Roman" w:hAnsi="Times New Roman"/>
                <w:color w:val="000000" w:themeColor="text1"/>
              </w:rPr>
              <w:t>0</w:t>
            </w:r>
          </w:p>
        </w:tc>
        <w:tc>
          <w:tcPr>
            <w:tcW w:w="589" w:type="dxa"/>
            <w:shd w:val="clear" w:color="auto" w:fill="auto"/>
            <w:vAlign w:val="center"/>
          </w:tcPr>
          <w:p w14:paraId="4E3EDAEC" w14:textId="525A2E99" w:rsidR="005F58F8" w:rsidRPr="00F36109" w:rsidRDefault="005F58F8" w:rsidP="00D17C9E">
            <w:pPr>
              <w:jc w:val="center"/>
              <w:rPr>
                <w:rFonts w:ascii="Times New Roman" w:hAnsi="Times New Roman"/>
                <w:b/>
                <w:color w:val="000000" w:themeColor="text1"/>
                <w:sz w:val="18"/>
              </w:rPr>
            </w:pPr>
            <w:r w:rsidRPr="00F36109">
              <w:rPr>
                <w:rFonts w:ascii="Times New Roman" w:hAnsi="Times New Roman"/>
                <w:color w:val="000000" w:themeColor="text1"/>
              </w:rPr>
              <w:t>-</w:t>
            </w:r>
          </w:p>
        </w:tc>
        <w:tc>
          <w:tcPr>
            <w:tcW w:w="581" w:type="dxa"/>
            <w:shd w:val="clear" w:color="auto" w:fill="auto"/>
          </w:tcPr>
          <w:p w14:paraId="5B5DE7AD" w14:textId="4D0A204F" w:rsidR="005F58F8" w:rsidRPr="00F36109" w:rsidRDefault="005F58F8" w:rsidP="00D17C9E">
            <w:pPr>
              <w:rPr>
                <w:rFonts w:ascii="Times New Roman" w:hAnsi="Times New Roman"/>
                <w:b/>
                <w:color w:val="000000" w:themeColor="text1"/>
                <w:sz w:val="18"/>
              </w:rPr>
            </w:pPr>
          </w:p>
          <w:p w14:paraId="5C615C03" w14:textId="77110A2B" w:rsidR="005F58F8" w:rsidRPr="00F36109" w:rsidRDefault="00D54784"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w:t>
            </w:r>
          </w:p>
        </w:tc>
        <w:tc>
          <w:tcPr>
            <w:tcW w:w="630" w:type="dxa"/>
            <w:shd w:val="clear" w:color="auto" w:fill="auto"/>
          </w:tcPr>
          <w:p w14:paraId="506BF285" w14:textId="77777777" w:rsidR="005F58F8" w:rsidRPr="00F36109" w:rsidRDefault="005F58F8" w:rsidP="00D17C9E">
            <w:pPr>
              <w:jc w:val="center"/>
              <w:rPr>
                <w:rFonts w:ascii="Times New Roman" w:hAnsi="Times New Roman"/>
                <w:b/>
                <w:color w:val="000000" w:themeColor="text1"/>
                <w:sz w:val="18"/>
              </w:rPr>
            </w:pPr>
          </w:p>
          <w:p w14:paraId="08F4C098" w14:textId="7489FB98" w:rsidR="005F58F8" w:rsidRPr="00F36109" w:rsidRDefault="00225285" w:rsidP="00D17C9E">
            <w:pPr>
              <w:jc w:val="center"/>
              <w:rPr>
                <w:rFonts w:ascii="Times New Roman" w:hAnsi="Times New Roman"/>
                <w:color w:val="000000" w:themeColor="text1"/>
                <w:sz w:val="18"/>
              </w:rPr>
            </w:pPr>
            <w:r w:rsidRPr="00F36109">
              <w:rPr>
                <w:rFonts w:ascii="Times New Roman" w:hAnsi="Times New Roman"/>
                <w:color w:val="000000" w:themeColor="text1"/>
                <w:sz w:val="18"/>
              </w:rPr>
              <w:t>5</w:t>
            </w:r>
            <w:r w:rsidR="00E1201E" w:rsidRPr="00F36109">
              <w:rPr>
                <w:rFonts w:ascii="Times New Roman" w:hAnsi="Times New Roman"/>
                <w:color w:val="000000" w:themeColor="text1"/>
                <w:sz w:val="18"/>
              </w:rPr>
              <w:t xml:space="preserve"> / </w:t>
            </w:r>
          </w:p>
          <w:p w14:paraId="1E13B57C" w14:textId="25987568" w:rsidR="00225285" w:rsidRPr="00F36109" w:rsidRDefault="00225285" w:rsidP="00D17C9E">
            <w:pPr>
              <w:jc w:val="center"/>
              <w:rPr>
                <w:rFonts w:ascii="Times New Roman" w:hAnsi="Times New Roman"/>
                <w:b/>
                <w:color w:val="000000" w:themeColor="text1"/>
                <w:sz w:val="18"/>
              </w:rPr>
            </w:pPr>
            <w:r w:rsidRPr="00F36109">
              <w:rPr>
                <w:rFonts w:ascii="Times New Roman" w:hAnsi="Times New Roman"/>
                <w:color w:val="000000" w:themeColor="text1"/>
                <w:sz w:val="18"/>
              </w:rPr>
              <w:t>83%</w:t>
            </w:r>
          </w:p>
        </w:tc>
      </w:tr>
    </w:tbl>
    <w:p w14:paraId="7A95A8B6" w14:textId="77777777" w:rsidR="00C85ED8" w:rsidRPr="00F36109" w:rsidRDefault="00C85ED8" w:rsidP="00D17C9E">
      <w:pPr>
        <w:spacing w:after="0" w:line="240" w:lineRule="auto"/>
        <w:rPr>
          <w:rFonts w:ascii="Times New Roman" w:eastAsiaTheme="majorEastAsia" w:hAnsi="Times New Roman" w:cs="Times New Roman"/>
          <w:b/>
          <w:color w:val="1F3763" w:themeColor="accent1" w:themeShade="7F"/>
          <w:sz w:val="24"/>
        </w:rPr>
      </w:pPr>
    </w:p>
    <w:p w14:paraId="6733770A" w14:textId="2713F8B9" w:rsidR="00EE769B" w:rsidRPr="00F36109" w:rsidRDefault="007D7E9D" w:rsidP="00D17C9E">
      <w:pPr>
        <w:spacing w:after="0" w:line="240" w:lineRule="auto"/>
        <w:rPr>
          <w:rFonts w:ascii="Times New Roman" w:eastAsiaTheme="majorEastAsia" w:hAnsi="Times New Roman" w:cs="Times New Roman"/>
          <w:b/>
          <w:color w:val="1F3763" w:themeColor="accent1" w:themeShade="7F"/>
        </w:rPr>
      </w:pPr>
      <w:r w:rsidRPr="00F36109">
        <w:rPr>
          <w:rFonts w:ascii="Times New Roman" w:eastAsiaTheme="majorEastAsia" w:hAnsi="Times New Roman" w:cs="Times New Roman"/>
          <w:b/>
          <w:color w:val="1F3763" w:themeColor="accent1" w:themeShade="7F"/>
        </w:rPr>
        <w:t>Outcome</w:t>
      </w:r>
      <w:r w:rsidR="003B79FF" w:rsidRPr="00F36109">
        <w:rPr>
          <w:rFonts w:ascii="Times New Roman" w:eastAsiaTheme="majorEastAsia" w:hAnsi="Times New Roman" w:cs="Times New Roman"/>
          <w:b/>
          <w:color w:val="1F3763" w:themeColor="accent1" w:themeShade="7F"/>
        </w:rPr>
        <w:t xml:space="preserve"> </w:t>
      </w:r>
      <w:r w:rsidRPr="00F36109">
        <w:rPr>
          <w:rFonts w:ascii="Times New Roman" w:eastAsiaTheme="majorEastAsia" w:hAnsi="Times New Roman" w:cs="Times New Roman"/>
          <w:b/>
          <w:color w:val="1F3763" w:themeColor="accent1" w:themeShade="7F"/>
        </w:rPr>
        <w:t>1: Integrated multi-sectoral policies to accelerate SDG achievement implemented with greater scope and scale</w:t>
      </w:r>
      <w:r w:rsidR="009958D2" w:rsidRPr="00F36109">
        <w:rPr>
          <w:rStyle w:val="FootnoteReference"/>
          <w:rFonts w:ascii="Times New Roman" w:eastAsiaTheme="majorEastAsia" w:hAnsi="Times New Roman" w:cs="Times New Roman"/>
          <w:b/>
          <w:color w:val="1F3763" w:themeColor="accent1" w:themeShade="7F"/>
        </w:rPr>
        <w:footnoteReference w:id="11"/>
      </w:r>
    </w:p>
    <w:p w14:paraId="44398E33" w14:textId="77777777" w:rsidR="000B046F" w:rsidRPr="00F36109" w:rsidRDefault="000B046F" w:rsidP="00D17C9E">
      <w:pPr>
        <w:spacing w:after="0" w:line="240" w:lineRule="auto"/>
        <w:rPr>
          <w:rFonts w:ascii="Times New Roman" w:eastAsiaTheme="majorEastAsia" w:hAnsi="Times New Roman" w:cs="Times New Roman"/>
          <w:b/>
          <w:color w:val="1F3763" w:themeColor="accent1" w:themeShade="7F"/>
        </w:rPr>
      </w:pPr>
    </w:p>
    <w:tbl>
      <w:tblPr>
        <w:tblStyle w:val="TableGrid"/>
        <w:tblpPr w:leftFromText="180" w:rightFromText="180" w:vertAnchor="text" w:tblpY="1"/>
        <w:tblOverlap w:val="never"/>
        <w:tblW w:w="9355" w:type="dxa"/>
        <w:tblLook w:val="04A0" w:firstRow="1" w:lastRow="0" w:firstColumn="1" w:lastColumn="0" w:noHBand="0" w:noVBand="1"/>
      </w:tblPr>
      <w:tblGrid>
        <w:gridCol w:w="524"/>
        <w:gridCol w:w="6131"/>
        <w:gridCol w:w="900"/>
        <w:gridCol w:w="589"/>
        <w:gridCol w:w="581"/>
        <w:gridCol w:w="630"/>
      </w:tblGrid>
      <w:tr w:rsidR="004D7591" w:rsidRPr="00F36109" w14:paraId="0AD37823" w14:textId="2250F0CF" w:rsidTr="007D4BC7">
        <w:tc>
          <w:tcPr>
            <w:tcW w:w="6655" w:type="dxa"/>
            <w:gridSpan w:val="2"/>
            <w:shd w:val="clear" w:color="auto" w:fill="D9E2F3" w:themeFill="accent1" w:themeFillTint="33"/>
            <w:vAlign w:val="center"/>
          </w:tcPr>
          <w:p w14:paraId="7A056DF2" w14:textId="134C7639" w:rsidR="004D7591" w:rsidRPr="00F36109" w:rsidRDefault="00B37CA5" w:rsidP="00D17C9E">
            <w:pPr>
              <w:rPr>
                <w:rFonts w:ascii="Times New Roman" w:hAnsi="Times New Roman"/>
                <w:b/>
                <w:color w:val="000000" w:themeColor="text1"/>
              </w:rPr>
            </w:pPr>
            <w:r w:rsidRPr="00F36109">
              <w:rPr>
                <w:rFonts w:ascii="Times New Roman" w:hAnsi="Times New Roman"/>
                <w:b/>
                <w:color w:val="000000" w:themeColor="text1"/>
              </w:rPr>
              <w:t>Global indicators</w:t>
            </w:r>
          </w:p>
        </w:tc>
        <w:tc>
          <w:tcPr>
            <w:tcW w:w="900" w:type="dxa"/>
            <w:shd w:val="clear" w:color="auto" w:fill="D9E2F3" w:themeFill="accent1" w:themeFillTint="33"/>
            <w:vAlign w:val="center"/>
          </w:tcPr>
          <w:p w14:paraId="3D57E37C" w14:textId="5073F86E" w:rsidR="004D7591" w:rsidRPr="00F36109" w:rsidRDefault="00B37CA5"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Baseline</w:t>
            </w:r>
          </w:p>
        </w:tc>
        <w:tc>
          <w:tcPr>
            <w:tcW w:w="589" w:type="dxa"/>
            <w:shd w:val="clear" w:color="auto" w:fill="D9E2F3" w:themeFill="accent1" w:themeFillTint="33"/>
            <w:vAlign w:val="center"/>
          </w:tcPr>
          <w:p w14:paraId="6FBEEE93" w14:textId="0FBBE32F" w:rsidR="004D7591" w:rsidRPr="00F36109" w:rsidRDefault="004D7591"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 xml:space="preserve">2019 </w:t>
            </w:r>
          </w:p>
        </w:tc>
        <w:tc>
          <w:tcPr>
            <w:tcW w:w="581" w:type="dxa"/>
            <w:shd w:val="clear" w:color="auto" w:fill="D9E2F3" w:themeFill="accent1" w:themeFillTint="33"/>
          </w:tcPr>
          <w:p w14:paraId="25B167D3" w14:textId="61D637A6" w:rsidR="004D7591" w:rsidRPr="00F36109" w:rsidRDefault="004D7591"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2020</w:t>
            </w:r>
          </w:p>
        </w:tc>
        <w:tc>
          <w:tcPr>
            <w:tcW w:w="630" w:type="dxa"/>
            <w:shd w:val="clear" w:color="auto" w:fill="D9E2F3" w:themeFill="accent1" w:themeFillTint="33"/>
          </w:tcPr>
          <w:p w14:paraId="24F11037" w14:textId="0DFD7E65" w:rsidR="004D7591" w:rsidRPr="00F36109" w:rsidRDefault="004D7591"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2021</w:t>
            </w:r>
          </w:p>
        </w:tc>
      </w:tr>
      <w:tr w:rsidR="004D7591" w:rsidRPr="00F36109" w14:paraId="3EA531BE" w14:textId="58546548" w:rsidTr="007D4BC7">
        <w:tc>
          <w:tcPr>
            <w:tcW w:w="524" w:type="dxa"/>
            <w:shd w:val="clear" w:color="auto" w:fill="auto"/>
            <w:vAlign w:val="center"/>
          </w:tcPr>
          <w:p w14:paraId="781A6694" w14:textId="59695175" w:rsidR="004D7591" w:rsidRPr="00F36109" w:rsidRDefault="004D7591" w:rsidP="00D17C9E">
            <w:pPr>
              <w:jc w:val="center"/>
              <w:rPr>
                <w:rFonts w:ascii="Times New Roman" w:hAnsi="Times New Roman"/>
                <w:color w:val="000000" w:themeColor="text1"/>
                <w:sz w:val="16"/>
              </w:rPr>
            </w:pPr>
            <w:r w:rsidRPr="00F36109">
              <w:rPr>
                <w:rFonts w:ascii="Times New Roman" w:hAnsi="Times New Roman"/>
                <w:color w:val="000000" w:themeColor="text1"/>
                <w:sz w:val="16"/>
              </w:rPr>
              <w:t>1.1</w:t>
            </w:r>
          </w:p>
        </w:tc>
        <w:tc>
          <w:tcPr>
            <w:tcW w:w="6131" w:type="dxa"/>
            <w:vAlign w:val="center"/>
          </w:tcPr>
          <w:p w14:paraId="27DE3C1F" w14:textId="449B5A54" w:rsidR="00073333" w:rsidRPr="00F36109" w:rsidRDefault="004D7591" w:rsidP="00D17C9E">
            <w:pPr>
              <w:rPr>
                <w:rFonts w:ascii="Times New Roman" w:hAnsi="Times New Roman"/>
              </w:rPr>
            </w:pPr>
            <w:r w:rsidRPr="00F36109">
              <w:rPr>
                <w:rFonts w:ascii="Times New Roman" w:hAnsi="Times New Roman"/>
              </w:rPr>
              <w:t># and % of</w:t>
            </w:r>
            <w:r w:rsidR="0069566F" w:rsidRPr="00F36109">
              <w:rPr>
                <w:rFonts w:ascii="Times New Roman" w:hAnsi="Times New Roman"/>
                <w:color w:val="000000" w:themeColor="text1"/>
              </w:rPr>
              <w:t xml:space="preserve"> Joint </w:t>
            </w:r>
            <w:proofErr w:type="spellStart"/>
            <w:r w:rsidR="0069566F" w:rsidRPr="00F36109">
              <w:rPr>
                <w:rFonts w:ascii="Times New Roman" w:hAnsi="Times New Roman"/>
                <w:color w:val="000000" w:themeColor="text1"/>
              </w:rPr>
              <w:t>Programmes</w:t>
            </w:r>
            <w:proofErr w:type="spellEnd"/>
            <w:r w:rsidR="00AB4879" w:rsidRPr="00F36109">
              <w:rPr>
                <w:rFonts w:ascii="Times New Roman" w:hAnsi="Times New Roman"/>
              </w:rPr>
              <w:t xml:space="preserve"> in which </w:t>
            </w:r>
            <w:r w:rsidR="00016C6A" w:rsidRPr="00F36109">
              <w:rPr>
                <w:rFonts w:ascii="Times New Roman" w:hAnsi="Times New Roman"/>
              </w:rPr>
              <w:t>i</w:t>
            </w:r>
            <w:r w:rsidRPr="00F36109">
              <w:rPr>
                <w:rFonts w:ascii="Times New Roman" w:eastAsiaTheme="majorEastAsia" w:hAnsi="Times New Roman"/>
              </w:rPr>
              <w:t>ntegrated multi-sectoral</w:t>
            </w:r>
            <w:r w:rsidR="000600AD" w:rsidRPr="00F36109">
              <w:rPr>
                <w:rFonts w:ascii="Times New Roman" w:eastAsiaTheme="majorEastAsia" w:hAnsi="Times New Roman"/>
              </w:rPr>
              <w:t xml:space="preserve"> policies </w:t>
            </w:r>
            <w:r w:rsidR="00120F2E" w:rsidRPr="00F36109">
              <w:rPr>
                <w:rFonts w:ascii="Times New Roman" w:eastAsiaTheme="majorEastAsia" w:hAnsi="Times New Roman"/>
              </w:rPr>
              <w:t>have</w:t>
            </w:r>
            <w:r w:rsidR="000600AD" w:rsidRPr="00F36109">
              <w:rPr>
                <w:rFonts w:ascii="Times New Roman" w:eastAsiaTheme="majorEastAsia" w:hAnsi="Times New Roman"/>
              </w:rPr>
              <w:t xml:space="preserve"> </w:t>
            </w:r>
            <w:r w:rsidRPr="00F36109">
              <w:rPr>
                <w:rFonts w:ascii="Times New Roman" w:hAnsi="Times New Roman"/>
              </w:rPr>
              <w:t>accelerate</w:t>
            </w:r>
            <w:r w:rsidR="00120F2E" w:rsidRPr="00F36109">
              <w:rPr>
                <w:rFonts w:ascii="Times New Roman" w:hAnsi="Times New Roman"/>
              </w:rPr>
              <w:t>d</w:t>
            </w:r>
            <w:r w:rsidRPr="00F36109">
              <w:rPr>
                <w:rFonts w:ascii="Times New Roman" w:hAnsi="Times New Roman"/>
              </w:rPr>
              <w:t xml:space="preserve"> SDG progress in terms of scope</w:t>
            </w:r>
            <w:r w:rsidR="00611B18" w:rsidRPr="00F36109">
              <w:rPr>
                <w:rStyle w:val="FootnoteReference"/>
                <w:rFonts w:ascii="Times New Roman" w:hAnsi="Times New Roman"/>
              </w:rPr>
              <w:footnoteReference w:id="12"/>
            </w:r>
            <w:r w:rsidRPr="00F36109">
              <w:rPr>
                <w:rFonts w:ascii="Times New Roman" w:hAnsi="Times New Roman"/>
              </w:rPr>
              <w:t xml:space="preserve"> </w:t>
            </w:r>
          </w:p>
        </w:tc>
        <w:tc>
          <w:tcPr>
            <w:tcW w:w="900" w:type="dxa"/>
            <w:vAlign w:val="center"/>
          </w:tcPr>
          <w:p w14:paraId="13B52A96" w14:textId="75901A6B" w:rsidR="004D7591" w:rsidRPr="00F36109" w:rsidRDefault="004D7591"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589" w:type="dxa"/>
            <w:vAlign w:val="center"/>
          </w:tcPr>
          <w:p w14:paraId="282F6E3F" w14:textId="57296909" w:rsidR="004D7591" w:rsidRPr="00F36109" w:rsidRDefault="004D7591" w:rsidP="007D4BC7">
            <w:pPr>
              <w:jc w:val="center"/>
              <w:rPr>
                <w:rFonts w:ascii="Times New Roman" w:hAnsi="Times New Roman"/>
                <w:color w:val="000000" w:themeColor="text1"/>
              </w:rPr>
            </w:pPr>
            <w:r w:rsidRPr="00F36109">
              <w:rPr>
                <w:rFonts w:ascii="Times New Roman" w:hAnsi="Times New Roman"/>
                <w:color w:val="000000" w:themeColor="text1"/>
              </w:rPr>
              <w:t>-</w:t>
            </w:r>
          </w:p>
        </w:tc>
        <w:tc>
          <w:tcPr>
            <w:tcW w:w="581" w:type="dxa"/>
            <w:vAlign w:val="center"/>
          </w:tcPr>
          <w:p w14:paraId="5DF0DEBD" w14:textId="7D2A253E" w:rsidR="004D7591" w:rsidRPr="00F36109" w:rsidRDefault="00BA21E9" w:rsidP="007D4BC7">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433A0F33" w14:textId="09934B58" w:rsidR="00F63CDF" w:rsidRPr="00F36109" w:rsidRDefault="00296CAD" w:rsidP="00D17C9E">
            <w:pPr>
              <w:jc w:val="center"/>
              <w:rPr>
                <w:rFonts w:ascii="Times New Roman" w:hAnsi="Times New Roman"/>
                <w:color w:val="000000" w:themeColor="text1"/>
              </w:rPr>
            </w:pPr>
            <w:r w:rsidRPr="00F36109">
              <w:rPr>
                <w:rFonts w:ascii="Times New Roman" w:hAnsi="Times New Roman"/>
                <w:color w:val="000000" w:themeColor="text1"/>
              </w:rPr>
              <w:t>5</w:t>
            </w:r>
            <w:r w:rsidR="0069566F" w:rsidRPr="00F36109">
              <w:rPr>
                <w:rFonts w:ascii="Times New Roman" w:hAnsi="Times New Roman"/>
                <w:color w:val="000000" w:themeColor="text1"/>
              </w:rPr>
              <w:t xml:space="preserve"> / </w:t>
            </w:r>
          </w:p>
          <w:p w14:paraId="0A700C59" w14:textId="7E3F8B3E" w:rsidR="001D62BE" w:rsidRPr="00F36109" w:rsidRDefault="00296CAD" w:rsidP="00D17C9E">
            <w:pPr>
              <w:jc w:val="center"/>
              <w:rPr>
                <w:rFonts w:ascii="Times New Roman" w:hAnsi="Times New Roman"/>
                <w:color w:val="000000" w:themeColor="text1"/>
              </w:rPr>
            </w:pPr>
            <w:r w:rsidRPr="00F36109">
              <w:rPr>
                <w:rFonts w:ascii="Times New Roman" w:hAnsi="Times New Roman"/>
                <w:color w:val="000000" w:themeColor="text1"/>
              </w:rPr>
              <w:t>83</w:t>
            </w:r>
            <w:r w:rsidR="001D62BE" w:rsidRPr="00F36109">
              <w:rPr>
                <w:rFonts w:ascii="Times New Roman" w:hAnsi="Times New Roman"/>
                <w:color w:val="000000" w:themeColor="text1"/>
              </w:rPr>
              <w:t>%</w:t>
            </w:r>
          </w:p>
        </w:tc>
      </w:tr>
      <w:tr w:rsidR="004D7591" w:rsidRPr="00F36109" w14:paraId="15A514ED" w14:textId="77777777" w:rsidTr="007D4BC7">
        <w:tc>
          <w:tcPr>
            <w:tcW w:w="524" w:type="dxa"/>
            <w:shd w:val="clear" w:color="auto" w:fill="auto"/>
            <w:vAlign w:val="center"/>
          </w:tcPr>
          <w:p w14:paraId="3C7C4942" w14:textId="2EFC419B" w:rsidR="004D7591" w:rsidRPr="00F36109" w:rsidDel="009F38C6" w:rsidRDefault="004D7591" w:rsidP="00D17C9E">
            <w:pPr>
              <w:jc w:val="center"/>
              <w:rPr>
                <w:rFonts w:ascii="Times New Roman" w:hAnsi="Times New Roman"/>
                <w:color w:val="000000" w:themeColor="text1"/>
                <w:sz w:val="16"/>
              </w:rPr>
            </w:pPr>
            <w:r w:rsidRPr="00F36109">
              <w:rPr>
                <w:rFonts w:ascii="Times New Roman" w:hAnsi="Times New Roman"/>
                <w:color w:val="000000" w:themeColor="text1"/>
                <w:sz w:val="16"/>
              </w:rPr>
              <w:t>1.2</w:t>
            </w:r>
          </w:p>
        </w:tc>
        <w:tc>
          <w:tcPr>
            <w:tcW w:w="6131" w:type="dxa"/>
            <w:vAlign w:val="center"/>
          </w:tcPr>
          <w:p w14:paraId="07133209" w14:textId="4CE337A1" w:rsidR="00073333" w:rsidRPr="00F36109" w:rsidDel="009F38C6" w:rsidRDefault="004D7591" w:rsidP="00D17C9E">
            <w:pPr>
              <w:rPr>
                <w:rFonts w:ascii="Times New Roman" w:hAnsi="Times New Roman"/>
              </w:rPr>
            </w:pPr>
            <w:r w:rsidRPr="00F36109">
              <w:rPr>
                <w:rFonts w:ascii="Times New Roman" w:hAnsi="Times New Roman"/>
              </w:rPr>
              <w:t># and %</w:t>
            </w:r>
            <w:r w:rsidR="00016C6A" w:rsidRPr="00F36109">
              <w:rPr>
                <w:rFonts w:ascii="Times New Roman" w:hAnsi="Times New Roman"/>
              </w:rPr>
              <w:t xml:space="preserve"> of</w:t>
            </w:r>
            <w:r w:rsidR="0069566F" w:rsidRPr="00F36109">
              <w:rPr>
                <w:rFonts w:ascii="Times New Roman" w:hAnsi="Times New Roman"/>
                <w:color w:val="000000" w:themeColor="text1"/>
              </w:rPr>
              <w:t xml:space="preserve"> Joint </w:t>
            </w:r>
            <w:proofErr w:type="spellStart"/>
            <w:r w:rsidR="0069566F" w:rsidRPr="00F36109">
              <w:rPr>
                <w:rFonts w:ascii="Times New Roman" w:hAnsi="Times New Roman"/>
                <w:color w:val="000000" w:themeColor="text1"/>
              </w:rPr>
              <w:t>Programmes</w:t>
            </w:r>
            <w:proofErr w:type="spellEnd"/>
            <w:r w:rsidRPr="00F36109">
              <w:rPr>
                <w:rFonts w:ascii="Times New Roman" w:hAnsi="Times New Roman"/>
              </w:rPr>
              <w:t xml:space="preserve"> </w:t>
            </w:r>
            <w:r w:rsidR="00AB4879" w:rsidRPr="00F36109">
              <w:rPr>
                <w:rFonts w:ascii="Times New Roman" w:hAnsi="Times New Roman"/>
              </w:rPr>
              <w:t>in which</w:t>
            </w:r>
            <w:r w:rsidRPr="00F36109">
              <w:rPr>
                <w:rFonts w:ascii="Times New Roman" w:hAnsi="Times New Roman"/>
              </w:rPr>
              <w:t xml:space="preserve"> </w:t>
            </w:r>
            <w:r w:rsidR="00016C6A" w:rsidRPr="00F36109">
              <w:rPr>
                <w:rFonts w:ascii="Times New Roman" w:hAnsi="Times New Roman"/>
              </w:rPr>
              <w:t>i</w:t>
            </w:r>
            <w:r w:rsidRPr="00F36109">
              <w:rPr>
                <w:rFonts w:ascii="Times New Roman" w:eastAsiaTheme="majorEastAsia" w:hAnsi="Times New Roman"/>
              </w:rPr>
              <w:t xml:space="preserve">ntegrated multi-sectoral </w:t>
            </w:r>
            <w:r w:rsidR="000600AD" w:rsidRPr="00F36109">
              <w:rPr>
                <w:rFonts w:ascii="Times New Roman" w:eastAsiaTheme="majorEastAsia" w:hAnsi="Times New Roman"/>
              </w:rPr>
              <w:t xml:space="preserve">policies </w:t>
            </w:r>
            <w:r w:rsidR="00120F2E" w:rsidRPr="00F36109">
              <w:rPr>
                <w:rFonts w:ascii="Times New Roman" w:eastAsiaTheme="majorEastAsia" w:hAnsi="Times New Roman"/>
              </w:rPr>
              <w:t>have</w:t>
            </w:r>
            <w:r w:rsidR="000600AD" w:rsidRPr="00F36109">
              <w:rPr>
                <w:rFonts w:ascii="Times New Roman" w:eastAsiaTheme="majorEastAsia" w:hAnsi="Times New Roman"/>
              </w:rPr>
              <w:t xml:space="preserve"> </w:t>
            </w:r>
            <w:r w:rsidRPr="00F36109">
              <w:rPr>
                <w:rFonts w:ascii="Times New Roman" w:hAnsi="Times New Roman"/>
              </w:rPr>
              <w:t>accelerate</w:t>
            </w:r>
            <w:r w:rsidR="00120F2E" w:rsidRPr="00F36109">
              <w:rPr>
                <w:rFonts w:ascii="Times New Roman" w:hAnsi="Times New Roman"/>
              </w:rPr>
              <w:t>d</w:t>
            </w:r>
            <w:r w:rsidRPr="00F36109">
              <w:rPr>
                <w:rFonts w:ascii="Times New Roman" w:hAnsi="Times New Roman"/>
              </w:rPr>
              <w:t xml:space="preserve"> SDG progress in terms of scale</w:t>
            </w:r>
            <w:r w:rsidR="00D06AFB" w:rsidRPr="00F36109">
              <w:rPr>
                <w:rStyle w:val="FootnoteReference"/>
                <w:rFonts w:ascii="Times New Roman" w:hAnsi="Times New Roman"/>
              </w:rPr>
              <w:footnoteReference w:id="13"/>
            </w:r>
          </w:p>
        </w:tc>
        <w:tc>
          <w:tcPr>
            <w:tcW w:w="900" w:type="dxa"/>
            <w:vAlign w:val="center"/>
          </w:tcPr>
          <w:p w14:paraId="06733A92" w14:textId="51BEB42B" w:rsidR="004D7591" w:rsidRPr="00F36109" w:rsidDel="009F38C6" w:rsidRDefault="004D7591" w:rsidP="00D17C9E">
            <w:pPr>
              <w:jc w:val="center"/>
              <w:rPr>
                <w:rFonts w:ascii="Times New Roman" w:hAnsi="Times New Roman"/>
                <w:color w:val="000000" w:themeColor="text1"/>
              </w:rPr>
            </w:pPr>
            <w:r w:rsidRPr="00F36109">
              <w:rPr>
                <w:rFonts w:ascii="Times New Roman" w:hAnsi="Times New Roman"/>
                <w:color w:val="000000" w:themeColor="text1"/>
              </w:rPr>
              <w:t xml:space="preserve"> 0</w:t>
            </w:r>
          </w:p>
        </w:tc>
        <w:tc>
          <w:tcPr>
            <w:tcW w:w="589" w:type="dxa"/>
            <w:vAlign w:val="center"/>
          </w:tcPr>
          <w:p w14:paraId="0D9AA877" w14:textId="13EE34C4" w:rsidR="004D7591" w:rsidRPr="00F36109" w:rsidDel="009F38C6" w:rsidRDefault="004D7591" w:rsidP="007D4BC7">
            <w:pPr>
              <w:jc w:val="center"/>
              <w:rPr>
                <w:rFonts w:ascii="Times New Roman" w:hAnsi="Times New Roman"/>
                <w:color w:val="000000" w:themeColor="text1"/>
              </w:rPr>
            </w:pPr>
            <w:r w:rsidRPr="00F36109">
              <w:rPr>
                <w:rFonts w:ascii="Times New Roman" w:hAnsi="Times New Roman"/>
                <w:color w:val="000000" w:themeColor="text1"/>
              </w:rPr>
              <w:t>-</w:t>
            </w:r>
          </w:p>
        </w:tc>
        <w:tc>
          <w:tcPr>
            <w:tcW w:w="581" w:type="dxa"/>
            <w:vAlign w:val="center"/>
          </w:tcPr>
          <w:p w14:paraId="013DA444" w14:textId="1C12AC17" w:rsidR="004D7591" w:rsidRPr="00F36109" w:rsidDel="009F38C6" w:rsidRDefault="004D7591" w:rsidP="007D4BC7">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54CC4758" w14:textId="1CE4748D" w:rsidR="001D62BE" w:rsidRPr="00F36109" w:rsidRDefault="00AB4879" w:rsidP="00D17C9E">
            <w:pPr>
              <w:jc w:val="center"/>
              <w:rPr>
                <w:rFonts w:ascii="Times New Roman" w:hAnsi="Times New Roman"/>
                <w:color w:val="000000" w:themeColor="text1"/>
              </w:rPr>
            </w:pPr>
            <w:r w:rsidRPr="00F36109">
              <w:rPr>
                <w:rFonts w:ascii="Times New Roman" w:hAnsi="Times New Roman"/>
                <w:color w:val="000000" w:themeColor="text1"/>
              </w:rPr>
              <w:t>5</w:t>
            </w:r>
            <w:r w:rsidR="0069566F" w:rsidRPr="00F36109">
              <w:rPr>
                <w:rFonts w:ascii="Times New Roman" w:hAnsi="Times New Roman"/>
                <w:color w:val="000000" w:themeColor="text1"/>
              </w:rPr>
              <w:t xml:space="preserve"> / </w:t>
            </w:r>
          </w:p>
          <w:p w14:paraId="34D37FAC" w14:textId="399E1BBE" w:rsidR="004D7591" w:rsidRPr="00F36109" w:rsidDel="009F38C6" w:rsidRDefault="00AB4879" w:rsidP="00D17C9E">
            <w:pPr>
              <w:jc w:val="center"/>
              <w:rPr>
                <w:rFonts w:ascii="Times New Roman" w:hAnsi="Times New Roman"/>
                <w:color w:val="000000" w:themeColor="text1"/>
              </w:rPr>
            </w:pPr>
            <w:r w:rsidRPr="00F36109">
              <w:rPr>
                <w:rFonts w:ascii="Times New Roman" w:hAnsi="Times New Roman"/>
                <w:color w:val="000000" w:themeColor="text1"/>
              </w:rPr>
              <w:t>83</w:t>
            </w:r>
            <w:r w:rsidR="001D62BE" w:rsidRPr="00F36109">
              <w:rPr>
                <w:rFonts w:ascii="Times New Roman" w:hAnsi="Times New Roman"/>
                <w:color w:val="000000" w:themeColor="text1"/>
              </w:rPr>
              <w:t>%</w:t>
            </w:r>
          </w:p>
        </w:tc>
      </w:tr>
    </w:tbl>
    <w:p w14:paraId="07EC6E70" w14:textId="77777777" w:rsidR="00C85ED8" w:rsidRPr="00F36109" w:rsidRDefault="00C85ED8" w:rsidP="00D17C9E">
      <w:pPr>
        <w:spacing w:after="0" w:line="240" w:lineRule="auto"/>
        <w:rPr>
          <w:rFonts w:ascii="Times New Roman" w:eastAsiaTheme="majorEastAsia" w:hAnsi="Times New Roman" w:cs="Times New Roman"/>
          <w:b/>
          <w:color w:val="1F3763" w:themeColor="accent1" w:themeShade="7F"/>
          <w:sz w:val="24"/>
        </w:rPr>
      </w:pPr>
    </w:p>
    <w:p w14:paraId="3F2278A0" w14:textId="6F110ED2" w:rsidR="007D7E9D" w:rsidRPr="00F36109" w:rsidRDefault="007D7E9D" w:rsidP="00D17C9E">
      <w:pPr>
        <w:spacing w:after="0" w:line="240" w:lineRule="auto"/>
        <w:rPr>
          <w:rFonts w:ascii="Times New Roman" w:eastAsiaTheme="majorEastAsia" w:hAnsi="Times New Roman" w:cs="Times New Roman"/>
          <w:b/>
          <w:color w:val="1F3763" w:themeColor="accent1" w:themeShade="7F"/>
        </w:rPr>
      </w:pPr>
      <w:r w:rsidRPr="00F36109">
        <w:rPr>
          <w:rFonts w:ascii="Times New Roman" w:eastAsiaTheme="majorEastAsia" w:hAnsi="Times New Roman" w:cs="Times New Roman"/>
          <w:b/>
          <w:color w:val="1F3763" w:themeColor="accent1" w:themeShade="7F"/>
          <w:sz w:val="24"/>
        </w:rPr>
        <w:t>Outcome 2</w:t>
      </w:r>
      <w:r w:rsidRPr="00F36109">
        <w:rPr>
          <w:rFonts w:ascii="Times New Roman" w:eastAsiaTheme="majorEastAsia" w:hAnsi="Times New Roman" w:cs="Times New Roman"/>
          <w:b/>
          <w:color w:val="1F3763" w:themeColor="accent1" w:themeShade="7F"/>
        </w:rPr>
        <w:t>: Additional financing leveraged to accelerate SDG achievement</w:t>
      </w:r>
      <w:r w:rsidR="009958D2" w:rsidRPr="00F36109">
        <w:rPr>
          <w:rStyle w:val="FootnoteReference"/>
          <w:rFonts w:ascii="Times New Roman" w:eastAsiaTheme="majorEastAsia" w:hAnsi="Times New Roman" w:cs="Times New Roman"/>
          <w:b/>
          <w:color w:val="1F3763" w:themeColor="accent1" w:themeShade="7F"/>
        </w:rPr>
        <w:footnoteReference w:id="14"/>
      </w:r>
    </w:p>
    <w:p w14:paraId="7C727563" w14:textId="77777777" w:rsidR="000B046F" w:rsidRPr="00F36109" w:rsidRDefault="000B046F" w:rsidP="00D17C9E">
      <w:pPr>
        <w:spacing w:after="0" w:line="240" w:lineRule="auto"/>
        <w:rPr>
          <w:rFonts w:ascii="Times New Roman" w:eastAsiaTheme="majorEastAsia" w:hAnsi="Times New Roman" w:cs="Times New Roman"/>
          <w:b/>
          <w:color w:val="1F3763" w:themeColor="accent1" w:themeShade="7F"/>
        </w:rPr>
      </w:pPr>
    </w:p>
    <w:tbl>
      <w:tblPr>
        <w:tblStyle w:val="TableGrid"/>
        <w:tblpPr w:leftFromText="180" w:rightFromText="180" w:vertAnchor="text" w:tblpY="1"/>
        <w:tblOverlap w:val="never"/>
        <w:tblW w:w="9355" w:type="dxa"/>
        <w:tblLook w:val="04A0" w:firstRow="1" w:lastRow="0" w:firstColumn="1" w:lastColumn="0" w:noHBand="0" w:noVBand="1"/>
      </w:tblPr>
      <w:tblGrid>
        <w:gridCol w:w="524"/>
        <w:gridCol w:w="6131"/>
        <w:gridCol w:w="900"/>
        <w:gridCol w:w="589"/>
        <w:gridCol w:w="581"/>
        <w:gridCol w:w="630"/>
      </w:tblGrid>
      <w:tr w:rsidR="00E57ADA" w:rsidRPr="00F36109" w14:paraId="093A13A9" w14:textId="77777777" w:rsidTr="007D4BC7">
        <w:tc>
          <w:tcPr>
            <w:tcW w:w="6655" w:type="dxa"/>
            <w:gridSpan w:val="2"/>
            <w:shd w:val="clear" w:color="auto" w:fill="D9E2F3" w:themeFill="accent1" w:themeFillTint="33"/>
            <w:vAlign w:val="center"/>
          </w:tcPr>
          <w:p w14:paraId="44B248CD" w14:textId="77777777" w:rsidR="00E57ADA" w:rsidRPr="00F36109" w:rsidRDefault="00E57ADA" w:rsidP="00D17C9E">
            <w:pPr>
              <w:rPr>
                <w:rFonts w:ascii="Times New Roman" w:hAnsi="Times New Roman"/>
                <w:b/>
                <w:color w:val="000000" w:themeColor="text1"/>
              </w:rPr>
            </w:pPr>
            <w:r w:rsidRPr="00F36109">
              <w:rPr>
                <w:rFonts w:ascii="Times New Roman" w:hAnsi="Times New Roman"/>
                <w:b/>
                <w:color w:val="000000" w:themeColor="text1"/>
              </w:rPr>
              <w:t>Global indicators</w:t>
            </w:r>
          </w:p>
        </w:tc>
        <w:tc>
          <w:tcPr>
            <w:tcW w:w="900" w:type="dxa"/>
            <w:shd w:val="clear" w:color="auto" w:fill="D9E2F3" w:themeFill="accent1" w:themeFillTint="33"/>
            <w:vAlign w:val="center"/>
          </w:tcPr>
          <w:p w14:paraId="069FB55F" w14:textId="77777777" w:rsidR="00E57ADA" w:rsidRPr="00F36109" w:rsidRDefault="00E57ADA"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Baseline</w:t>
            </w:r>
          </w:p>
        </w:tc>
        <w:tc>
          <w:tcPr>
            <w:tcW w:w="589" w:type="dxa"/>
            <w:shd w:val="clear" w:color="auto" w:fill="D9E2F3" w:themeFill="accent1" w:themeFillTint="33"/>
            <w:vAlign w:val="center"/>
          </w:tcPr>
          <w:p w14:paraId="37FDA945" w14:textId="77777777" w:rsidR="00E57ADA" w:rsidRPr="00F36109" w:rsidRDefault="00E57ADA"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 xml:space="preserve">2019 </w:t>
            </w:r>
          </w:p>
        </w:tc>
        <w:tc>
          <w:tcPr>
            <w:tcW w:w="581" w:type="dxa"/>
            <w:shd w:val="clear" w:color="auto" w:fill="D9E2F3" w:themeFill="accent1" w:themeFillTint="33"/>
          </w:tcPr>
          <w:p w14:paraId="195398E8" w14:textId="77777777" w:rsidR="00E57ADA" w:rsidRPr="00F36109" w:rsidRDefault="00E57ADA"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2020</w:t>
            </w:r>
          </w:p>
        </w:tc>
        <w:tc>
          <w:tcPr>
            <w:tcW w:w="630" w:type="dxa"/>
            <w:shd w:val="clear" w:color="auto" w:fill="D9E2F3" w:themeFill="accent1" w:themeFillTint="33"/>
          </w:tcPr>
          <w:p w14:paraId="371DB1C8" w14:textId="77777777" w:rsidR="00E57ADA" w:rsidRPr="00F36109" w:rsidRDefault="00E57ADA"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2021</w:t>
            </w:r>
          </w:p>
        </w:tc>
      </w:tr>
      <w:tr w:rsidR="006B7FD4" w:rsidRPr="00F36109" w14:paraId="655E79CA" w14:textId="77777777" w:rsidTr="007D4BC7">
        <w:tc>
          <w:tcPr>
            <w:tcW w:w="524" w:type="dxa"/>
            <w:shd w:val="clear" w:color="auto" w:fill="auto"/>
            <w:vAlign w:val="center"/>
          </w:tcPr>
          <w:p w14:paraId="513FEA92" w14:textId="4DAC39B5" w:rsidR="006B7FD4" w:rsidRPr="00F36109" w:rsidDel="009F38C6" w:rsidRDefault="006B7FD4" w:rsidP="00D17C9E">
            <w:pPr>
              <w:jc w:val="center"/>
              <w:rPr>
                <w:rFonts w:ascii="Times New Roman" w:hAnsi="Times New Roman"/>
                <w:color w:val="000000" w:themeColor="text1"/>
                <w:sz w:val="16"/>
              </w:rPr>
            </w:pPr>
            <w:r w:rsidRPr="00F36109">
              <w:rPr>
                <w:rFonts w:ascii="Times New Roman" w:hAnsi="Times New Roman"/>
                <w:color w:val="000000" w:themeColor="text1"/>
                <w:sz w:val="16"/>
              </w:rPr>
              <w:t>2.1</w:t>
            </w:r>
          </w:p>
        </w:tc>
        <w:tc>
          <w:tcPr>
            <w:tcW w:w="6131" w:type="dxa"/>
            <w:vAlign w:val="center"/>
          </w:tcPr>
          <w:p w14:paraId="1C16D3F5" w14:textId="75BB8650" w:rsidR="006B7FD4" w:rsidRPr="00F36109" w:rsidDel="009F38C6" w:rsidRDefault="006B7FD4" w:rsidP="00D17C9E">
            <w:pPr>
              <w:rPr>
                <w:rFonts w:ascii="Times New Roman" w:hAnsi="Times New Roman"/>
                <w:color w:val="000000" w:themeColor="text1"/>
              </w:rPr>
            </w:pPr>
            <w:r w:rsidRPr="00F36109">
              <w:rPr>
                <w:rFonts w:ascii="Times New Roman" w:hAnsi="Times New Roman"/>
                <w:color w:val="000000" w:themeColor="text1"/>
              </w:rPr>
              <w:t>Ratio of financing for i</w:t>
            </w:r>
            <w:r w:rsidRPr="00F36109">
              <w:rPr>
                <w:rFonts w:ascii="Times New Roman" w:eastAsiaTheme="majorEastAsia" w:hAnsi="Times New Roman"/>
              </w:rPr>
              <w:t xml:space="preserve">ntegrated multi-sectoral solutions leveraged </w:t>
            </w:r>
            <w:r w:rsidRPr="00F36109">
              <w:rPr>
                <w:rFonts w:ascii="Times New Roman" w:hAnsi="Times New Roman"/>
              </w:rPr>
              <w:t xml:space="preserve">in terms of scope </w:t>
            </w:r>
            <w:r w:rsidRPr="00F36109">
              <w:rPr>
                <w:rStyle w:val="FootnoteReference"/>
                <w:rFonts w:ascii="Times New Roman" w:hAnsi="Times New Roman"/>
              </w:rPr>
              <w:footnoteReference w:id="15"/>
            </w:r>
            <w:r w:rsidRPr="00F36109">
              <w:rPr>
                <w:rFonts w:ascii="Times New Roman" w:hAnsi="Times New Roman"/>
                <w:color w:val="000000" w:themeColor="text1"/>
              </w:rPr>
              <w:t xml:space="preserve"> (disaggregated by source of funding)</w:t>
            </w:r>
          </w:p>
        </w:tc>
        <w:tc>
          <w:tcPr>
            <w:tcW w:w="900" w:type="dxa"/>
            <w:vAlign w:val="center"/>
          </w:tcPr>
          <w:p w14:paraId="32CE2D94" w14:textId="595E4DEE" w:rsidR="006B7FD4" w:rsidRPr="00F36109" w:rsidDel="009F38C6" w:rsidRDefault="006B7FD4" w:rsidP="00D17C9E">
            <w:pPr>
              <w:jc w:val="center"/>
              <w:rPr>
                <w:rFonts w:ascii="Times New Roman" w:hAnsi="Times New Roman"/>
                <w:color w:val="000000" w:themeColor="text1"/>
              </w:rPr>
            </w:pPr>
            <w:r w:rsidRPr="00F36109">
              <w:rPr>
                <w:rFonts w:ascii="Times New Roman" w:hAnsi="Times New Roman"/>
                <w:color w:val="000000" w:themeColor="text1"/>
              </w:rPr>
              <w:t xml:space="preserve"> 0</w:t>
            </w:r>
          </w:p>
        </w:tc>
        <w:tc>
          <w:tcPr>
            <w:tcW w:w="589" w:type="dxa"/>
            <w:vAlign w:val="center"/>
          </w:tcPr>
          <w:p w14:paraId="2AB75CDC" w14:textId="6DE2F13E" w:rsidR="006B7FD4" w:rsidRPr="00F36109" w:rsidDel="009F38C6" w:rsidRDefault="006B7FD4"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581" w:type="dxa"/>
            <w:vAlign w:val="center"/>
          </w:tcPr>
          <w:p w14:paraId="57723272" w14:textId="62A1D498" w:rsidR="006B7FD4" w:rsidRPr="00F36109" w:rsidDel="009F38C6" w:rsidRDefault="006B7FD4"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2E148C7E" w14:textId="6703BC36" w:rsidR="006B7FD4" w:rsidRPr="00F36109" w:rsidDel="009F38C6" w:rsidRDefault="006B7FD4" w:rsidP="00D17C9E">
            <w:pPr>
              <w:jc w:val="center"/>
              <w:rPr>
                <w:rFonts w:ascii="Times New Roman" w:hAnsi="Times New Roman"/>
                <w:color w:val="000000" w:themeColor="text1"/>
              </w:rPr>
            </w:pPr>
            <w:r w:rsidRPr="00F36109">
              <w:rPr>
                <w:rFonts w:ascii="Times New Roman" w:hAnsi="Times New Roman"/>
                <w:color w:val="000000" w:themeColor="text1"/>
              </w:rPr>
              <w:t>1:3</w:t>
            </w:r>
          </w:p>
        </w:tc>
      </w:tr>
      <w:tr w:rsidR="006B7FD4" w:rsidRPr="00F36109" w14:paraId="0A908B28" w14:textId="77777777" w:rsidTr="007D4BC7">
        <w:tc>
          <w:tcPr>
            <w:tcW w:w="524" w:type="dxa"/>
            <w:shd w:val="clear" w:color="auto" w:fill="auto"/>
            <w:vAlign w:val="center"/>
          </w:tcPr>
          <w:p w14:paraId="21D60447" w14:textId="10AAB1DE" w:rsidR="006B7FD4" w:rsidRPr="00F36109" w:rsidRDefault="006B7FD4" w:rsidP="00D17C9E">
            <w:pPr>
              <w:jc w:val="center"/>
              <w:rPr>
                <w:rFonts w:ascii="Times New Roman" w:hAnsi="Times New Roman"/>
                <w:color w:val="000000" w:themeColor="text1"/>
                <w:sz w:val="16"/>
              </w:rPr>
            </w:pPr>
            <w:r w:rsidRPr="00F36109">
              <w:rPr>
                <w:rFonts w:ascii="Times New Roman" w:hAnsi="Times New Roman"/>
                <w:color w:val="000000" w:themeColor="text1"/>
                <w:sz w:val="16"/>
              </w:rPr>
              <w:t>2.2</w:t>
            </w:r>
          </w:p>
        </w:tc>
        <w:tc>
          <w:tcPr>
            <w:tcW w:w="6131" w:type="dxa"/>
            <w:vAlign w:val="center"/>
          </w:tcPr>
          <w:p w14:paraId="2A6ECD5E" w14:textId="032571C9" w:rsidR="006B7FD4" w:rsidRPr="00F36109" w:rsidRDefault="006B7FD4" w:rsidP="00D17C9E">
            <w:pPr>
              <w:rPr>
                <w:rFonts w:ascii="Times New Roman" w:hAnsi="Times New Roman"/>
                <w:color w:val="000000" w:themeColor="text1"/>
              </w:rPr>
            </w:pPr>
            <w:r w:rsidRPr="00F36109">
              <w:rPr>
                <w:rFonts w:ascii="Times New Roman" w:hAnsi="Times New Roman"/>
                <w:color w:val="000000" w:themeColor="text1"/>
              </w:rPr>
              <w:t>Ratio of financing for i</w:t>
            </w:r>
            <w:r w:rsidRPr="00F36109">
              <w:rPr>
                <w:rFonts w:ascii="Times New Roman" w:eastAsiaTheme="majorEastAsia" w:hAnsi="Times New Roman"/>
              </w:rPr>
              <w:t>ntegrated multi-sectoral solutions leveraged</w:t>
            </w:r>
            <w:r w:rsidRPr="00F36109">
              <w:rPr>
                <w:rFonts w:ascii="Times New Roman" w:hAnsi="Times New Roman"/>
              </w:rPr>
              <w:t xml:space="preserve"> in terms of scale</w:t>
            </w:r>
            <w:r w:rsidRPr="00F36109">
              <w:rPr>
                <w:rStyle w:val="FootnoteReference"/>
                <w:rFonts w:ascii="Times New Roman" w:hAnsi="Times New Roman"/>
              </w:rPr>
              <w:footnoteReference w:id="16"/>
            </w:r>
            <w:r w:rsidRPr="00F36109">
              <w:rPr>
                <w:rFonts w:ascii="Times New Roman" w:hAnsi="Times New Roman"/>
                <w:color w:val="000000" w:themeColor="text1"/>
              </w:rPr>
              <w:t xml:space="preserve"> (disaggregated by source of funding)</w:t>
            </w:r>
          </w:p>
        </w:tc>
        <w:tc>
          <w:tcPr>
            <w:tcW w:w="900" w:type="dxa"/>
            <w:vAlign w:val="center"/>
          </w:tcPr>
          <w:p w14:paraId="77C9641D" w14:textId="1F0D9845" w:rsidR="006B7FD4" w:rsidRPr="00F36109" w:rsidRDefault="006B7FD4"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589" w:type="dxa"/>
            <w:vAlign w:val="center"/>
          </w:tcPr>
          <w:p w14:paraId="0412ABFE" w14:textId="318A388A" w:rsidR="006B7FD4" w:rsidRPr="00F36109" w:rsidRDefault="006B7FD4"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581" w:type="dxa"/>
            <w:vAlign w:val="center"/>
          </w:tcPr>
          <w:p w14:paraId="5B5CE1B3" w14:textId="27459C48" w:rsidR="006B7FD4" w:rsidRPr="00F36109" w:rsidRDefault="006B7FD4"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154B733C" w14:textId="0E4E0F2C" w:rsidR="006B7FD4" w:rsidRPr="00F36109" w:rsidDel="009F38C6" w:rsidRDefault="006B7FD4" w:rsidP="00D17C9E">
            <w:pPr>
              <w:jc w:val="center"/>
              <w:rPr>
                <w:rFonts w:ascii="Times New Roman" w:hAnsi="Times New Roman"/>
                <w:color w:val="000000" w:themeColor="text1"/>
              </w:rPr>
            </w:pPr>
            <w:r w:rsidRPr="00F36109">
              <w:rPr>
                <w:rFonts w:ascii="Times New Roman" w:hAnsi="Times New Roman"/>
                <w:color w:val="000000" w:themeColor="text1"/>
              </w:rPr>
              <w:t>1:5</w:t>
            </w:r>
          </w:p>
        </w:tc>
      </w:tr>
    </w:tbl>
    <w:p w14:paraId="4B0CA363" w14:textId="77777777" w:rsidR="00016C6A" w:rsidRPr="00F36109" w:rsidRDefault="00016C6A" w:rsidP="00D17C9E">
      <w:pPr>
        <w:spacing w:after="0" w:line="240" w:lineRule="auto"/>
        <w:rPr>
          <w:rFonts w:ascii="Times New Roman" w:eastAsiaTheme="majorEastAsia" w:hAnsi="Times New Roman" w:cs="Times New Roman"/>
          <w:i/>
          <w:color w:val="000000" w:themeColor="text1"/>
        </w:rPr>
      </w:pPr>
    </w:p>
    <w:p w14:paraId="0F4F5BAB" w14:textId="77777777" w:rsidR="00631B4D" w:rsidRPr="00F36109" w:rsidRDefault="00631B4D" w:rsidP="00D66A1D">
      <w:pPr>
        <w:spacing w:after="0" w:line="240" w:lineRule="auto"/>
        <w:rPr>
          <w:rFonts w:ascii="Times New Roman" w:eastAsiaTheme="majorEastAsia" w:hAnsi="Times New Roman" w:cs="Times New Roman"/>
          <w:b/>
          <w:i/>
          <w:color w:val="000000" w:themeColor="text1"/>
        </w:rPr>
      </w:pPr>
    </w:p>
    <w:p w14:paraId="5A0DBEB3" w14:textId="732937D2" w:rsidR="00C85ED8" w:rsidRPr="00F36109" w:rsidRDefault="0009467F" w:rsidP="007D4BC7">
      <w:pPr>
        <w:spacing w:after="0" w:line="240" w:lineRule="auto"/>
        <w:ind w:firstLine="720"/>
        <w:rPr>
          <w:rFonts w:ascii="Times New Roman" w:eastAsiaTheme="majorEastAsia" w:hAnsi="Times New Roman" w:cs="Times New Roman"/>
          <w:b/>
          <w:i/>
          <w:color w:val="000000" w:themeColor="text1"/>
        </w:rPr>
      </w:pPr>
      <w:r w:rsidRPr="00F36109">
        <w:rPr>
          <w:rFonts w:ascii="Times New Roman" w:eastAsiaTheme="majorEastAsia" w:hAnsi="Times New Roman" w:cs="Times New Roman"/>
          <w:b/>
          <w:i/>
          <w:color w:val="000000" w:themeColor="text1"/>
        </w:rPr>
        <w:t xml:space="preserve">Readiness Phase </w:t>
      </w:r>
    </w:p>
    <w:p w14:paraId="71BBEAD7" w14:textId="77777777" w:rsidR="000B046F" w:rsidRPr="00F36109" w:rsidRDefault="000B046F" w:rsidP="007D4BC7">
      <w:pPr>
        <w:spacing w:after="0" w:line="240" w:lineRule="auto"/>
        <w:ind w:firstLine="720"/>
        <w:rPr>
          <w:rFonts w:ascii="Times New Roman" w:eastAsiaTheme="majorEastAsia" w:hAnsi="Times New Roman" w:cs="Times New Roman"/>
          <w:b/>
          <w:i/>
          <w:color w:val="000000" w:themeColor="text1"/>
        </w:rPr>
      </w:pPr>
    </w:p>
    <w:p w14:paraId="2E0B7C8D" w14:textId="4E0E54C5" w:rsidR="007D7E9D" w:rsidRPr="00F36109" w:rsidRDefault="007D7E9D" w:rsidP="00D17C9E">
      <w:pPr>
        <w:spacing w:after="0" w:line="240" w:lineRule="auto"/>
        <w:rPr>
          <w:rFonts w:ascii="Times New Roman" w:eastAsiaTheme="majorEastAsia" w:hAnsi="Times New Roman" w:cs="Times New Roman"/>
          <w:b/>
          <w:color w:val="1F3763" w:themeColor="accent1" w:themeShade="7F"/>
        </w:rPr>
      </w:pPr>
      <w:r w:rsidRPr="00F36109">
        <w:rPr>
          <w:rFonts w:ascii="Times New Roman" w:eastAsiaTheme="majorEastAsia" w:hAnsi="Times New Roman" w:cs="Times New Roman"/>
          <w:b/>
          <w:color w:val="1F3763" w:themeColor="accent1" w:themeShade="7F"/>
        </w:rPr>
        <w:t xml:space="preserve">Output 1: Integrated policy solutions to accelerate SDGs developed </w:t>
      </w:r>
    </w:p>
    <w:p w14:paraId="16D6E282" w14:textId="77777777" w:rsidR="000B046F" w:rsidRPr="00F36109" w:rsidRDefault="000B046F" w:rsidP="00D17C9E">
      <w:pPr>
        <w:spacing w:after="0" w:line="240" w:lineRule="auto"/>
        <w:rPr>
          <w:rFonts w:ascii="Times New Roman" w:eastAsiaTheme="majorEastAsia" w:hAnsi="Times New Roman" w:cs="Times New Roman"/>
          <w:b/>
          <w:color w:val="1F3763" w:themeColor="accent1" w:themeShade="7F"/>
        </w:rPr>
      </w:pPr>
    </w:p>
    <w:tbl>
      <w:tblPr>
        <w:tblStyle w:val="TableGrid"/>
        <w:tblW w:w="0" w:type="auto"/>
        <w:jc w:val="center"/>
        <w:tblLook w:val="04A0" w:firstRow="1" w:lastRow="0" w:firstColumn="1" w:lastColumn="0" w:noHBand="0" w:noVBand="1"/>
      </w:tblPr>
      <w:tblGrid>
        <w:gridCol w:w="537"/>
        <w:gridCol w:w="6118"/>
        <w:gridCol w:w="900"/>
        <w:gridCol w:w="592"/>
        <w:gridCol w:w="581"/>
        <w:gridCol w:w="622"/>
      </w:tblGrid>
      <w:tr w:rsidR="0031100B" w:rsidRPr="00F36109" w14:paraId="6F5C3848" w14:textId="002199E7" w:rsidTr="00F359B8">
        <w:trPr>
          <w:jc w:val="center"/>
        </w:trPr>
        <w:tc>
          <w:tcPr>
            <w:tcW w:w="6655" w:type="dxa"/>
            <w:gridSpan w:val="2"/>
            <w:shd w:val="clear" w:color="auto" w:fill="D9E2F3" w:themeFill="accent1" w:themeFillTint="33"/>
            <w:vAlign w:val="center"/>
          </w:tcPr>
          <w:p w14:paraId="0D9B11B3" w14:textId="77777777" w:rsidR="00505523" w:rsidRPr="00F36109" w:rsidRDefault="00505523" w:rsidP="00D17C9E">
            <w:pPr>
              <w:jc w:val="center"/>
              <w:rPr>
                <w:rFonts w:ascii="Times New Roman" w:hAnsi="Times New Roman"/>
                <w:b/>
                <w:color w:val="000000" w:themeColor="text1"/>
              </w:rPr>
            </w:pPr>
          </w:p>
          <w:p w14:paraId="1ABCD95F" w14:textId="4E18199A" w:rsidR="0031100B" w:rsidRPr="00F36109" w:rsidRDefault="0031100B" w:rsidP="00D17C9E">
            <w:pPr>
              <w:jc w:val="center"/>
              <w:rPr>
                <w:rFonts w:ascii="Times New Roman" w:hAnsi="Times New Roman"/>
                <w:b/>
                <w:color w:val="000000" w:themeColor="text1"/>
              </w:rPr>
            </w:pPr>
            <w:r w:rsidRPr="00F36109">
              <w:rPr>
                <w:rFonts w:ascii="Times New Roman" w:hAnsi="Times New Roman"/>
                <w:b/>
                <w:color w:val="000000" w:themeColor="text1"/>
              </w:rPr>
              <w:t>Global indicators</w:t>
            </w:r>
          </w:p>
        </w:tc>
        <w:tc>
          <w:tcPr>
            <w:tcW w:w="900" w:type="dxa"/>
            <w:shd w:val="clear" w:color="auto" w:fill="D9E2F3" w:themeFill="accent1" w:themeFillTint="33"/>
            <w:vAlign w:val="center"/>
          </w:tcPr>
          <w:p w14:paraId="59EBE08F" w14:textId="77777777" w:rsidR="0031100B" w:rsidRPr="00F36109" w:rsidRDefault="0031100B"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Baseline</w:t>
            </w:r>
          </w:p>
        </w:tc>
        <w:tc>
          <w:tcPr>
            <w:tcW w:w="1795" w:type="dxa"/>
            <w:gridSpan w:val="3"/>
            <w:shd w:val="clear" w:color="auto" w:fill="D9E2F3" w:themeFill="accent1" w:themeFillTint="33"/>
            <w:vAlign w:val="center"/>
          </w:tcPr>
          <w:p w14:paraId="2419D9CF" w14:textId="51297D8F" w:rsidR="0031100B" w:rsidRPr="00F36109" w:rsidRDefault="00B536F8"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Cumulative</w:t>
            </w:r>
            <w:r w:rsidR="00CB0260" w:rsidRPr="00F36109">
              <w:rPr>
                <w:rFonts w:ascii="Times New Roman" w:hAnsi="Times New Roman"/>
                <w:b/>
                <w:color w:val="000000" w:themeColor="text1"/>
                <w:sz w:val="18"/>
              </w:rPr>
              <w:t xml:space="preserve"> </w:t>
            </w:r>
            <w:r w:rsidR="0031100B" w:rsidRPr="00F36109">
              <w:rPr>
                <w:rFonts w:ascii="Times New Roman" w:hAnsi="Times New Roman"/>
                <w:b/>
                <w:color w:val="000000" w:themeColor="text1"/>
                <w:sz w:val="18"/>
              </w:rPr>
              <w:t xml:space="preserve">Target </w:t>
            </w:r>
          </w:p>
        </w:tc>
      </w:tr>
      <w:tr w:rsidR="008F5193" w:rsidRPr="00F36109" w14:paraId="75387513" w14:textId="0EC59818" w:rsidTr="00F359B8">
        <w:trPr>
          <w:jc w:val="center"/>
        </w:trPr>
        <w:tc>
          <w:tcPr>
            <w:tcW w:w="6655" w:type="dxa"/>
            <w:gridSpan w:val="2"/>
            <w:shd w:val="clear" w:color="auto" w:fill="D9E2F3" w:themeFill="accent1" w:themeFillTint="33"/>
            <w:vAlign w:val="center"/>
          </w:tcPr>
          <w:p w14:paraId="35597E8B" w14:textId="77777777" w:rsidR="008F5193" w:rsidRPr="00F36109" w:rsidRDefault="008F5193" w:rsidP="00D17C9E">
            <w:pPr>
              <w:jc w:val="center"/>
              <w:rPr>
                <w:rFonts w:ascii="Times New Roman" w:hAnsi="Times New Roman"/>
                <w:b/>
                <w:color w:val="000000" w:themeColor="text1"/>
              </w:rPr>
            </w:pPr>
          </w:p>
        </w:tc>
        <w:tc>
          <w:tcPr>
            <w:tcW w:w="900" w:type="dxa"/>
            <w:shd w:val="clear" w:color="auto" w:fill="D9E2F3" w:themeFill="accent1" w:themeFillTint="33"/>
            <w:vAlign w:val="center"/>
          </w:tcPr>
          <w:p w14:paraId="4558620D" w14:textId="77777777" w:rsidR="008F5193" w:rsidRPr="00F36109" w:rsidRDefault="008F5193" w:rsidP="00D17C9E">
            <w:pPr>
              <w:jc w:val="center"/>
              <w:rPr>
                <w:rFonts w:ascii="Times New Roman" w:hAnsi="Times New Roman"/>
                <w:b/>
                <w:color w:val="000000" w:themeColor="text1"/>
                <w:sz w:val="18"/>
              </w:rPr>
            </w:pPr>
          </w:p>
        </w:tc>
        <w:tc>
          <w:tcPr>
            <w:tcW w:w="592" w:type="dxa"/>
            <w:shd w:val="clear" w:color="auto" w:fill="D9E2F3" w:themeFill="accent1" w:themeFillTint="33"/>
            <w:vAlign w:val="center"/>
          </w:tcPr>
          <w:p w14:paraId="6AB67878" w14:textId="76D916B8" w:rsidR="008F5193" w:rsidRPr="00F36109" w:rsidRDefault="008F5193"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2019</w:t>
            </w:r>
          </w:p>
        </w:tc>
        <w:tc>
          <w:tcPr>
            <w:tcW w:w="581" w:type="dxa"/>
            <w:shd w:val="clear" w:color="auto" w:fill="D9E2F3" w:themeFill="accent1" w:themeFillTint="33"/>
          </w:tcPr>
          <w:p w14:paraId="660A88B4" w14:textId="6D34EFEC" w:rsidR="008F5193" w:rsidRPr="00F36109" w:rsidRDefault="008F5193"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2020</w:t>
            </w:r>
          </w:p>
        </w:tc>
        <w:tc>
          <w:tcPr>
            <w:tcW w:w="622" w:type="dxa"/>
            <w:shd w:val="clear" w:color="auto" w:fill="D9E2F3" w:themeFill="accent1" w:themeFillTint="33"/>
          </w:tcPr>
          <w:p w14:paraId="282D6BC8" w14:textId="5AB5E2C2" w:rsidR="008F5193" w:rsidRPr="00F36109" w:rsidRDefault="008F5193"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2021</w:t>
            </w:r>
          </w:p>
        </w:tc>
      </w:tr>
      <w:tr w:rsidR="008F5193" w:rsidRPr="00F36109" w14:paraId="6619FCEF" w14:textId="3FFFE8AE" w:rsidTr="00F359B8">
        <w:trPr>
          <w:jc w:val="center"/>
        </w:trPr>
        <w:tc>
          <w:tcPr>
            <w:tcW w:w="537" w:type="dxa"/>
            <w:vAlign w:val="center"/>
          </w:tcPr>
          <w:p w14:paraId="3FE80729" w14:textId="43C54A27" w:rsidR="008F5193" w:rsidRPr="00F36109" w:rsidRDefault="008F5193" w:rsidP="00D17C9E">
            <w:pPr>
              <w:jc w:val="center"/>
              <w:rPr>
                <w:rFonts w:ascii="Times New Roman" w:hAnsi="Times New Roman"/>
                <w:color w:val="000000" w:themeColor="text1"/>
                <w:sz w:val="16"/>
              </w:rPr>
            </w:pPr>
            <w:r w:rsidRPr="00F36109">
              <w:rPr>
                <w:rFonts w:ascii="Times New Roman" w:hAnsi="Times New Roman"/>
                <w:color w:val="000000" w:themeColor="text1"/>
                <w:sz w:val="16"/>
              </w:rPr>
              <w:t>1.1</w:t>
            </w:r>
          </w:p>
        </w:tc>
        <w:tc>
          <w:tcPr>
            <w:tcW w:w="6118" w:type="dxa"/>
            <w:vAlign w:val="center"/>
          </w:tcPr>
          <w:p w14:paraId="4367840A" w14:textId="14D76DA9" w:rsidR="008F5193" w:rsidRPr="00F36109" w:rsidRDefault="00016C6A" w:rsidP="00D17C9E">
            <w:pPr>
              <w:rPr>
                <w:rFonts w:ascii="Times New Roman" w:hAnsi="Times New Roman"/>
                <w:color w:val="000000" w:themeColor="text1"/>
              </w:rPr>
            </w:pPr>
            <w:r w:rsidRPr="00F36109">
              <w:rPr>
                <w:rFonts w:ascii="Times New Roman" w:hAnsi="Times New Roman"/>
                <w:color w:val="000000" w:themeColor="text1"/>
              </w:rPr>
              <w:t>#</w:t>
            </w:r>
            <w:r w:rsidR="008F5193" w:rsidRPr="00F36109">
              <w:rPr>
                <w:rFonts w:ascii="Times New Roman" w:hAnsi="Times New Roman"/>
                <w:color w:val="000000" w:themeColor="text1"/>
              </w:rPr>
              <w:t xml:space="preserve"> of countries which meet their targets for the relevant </w:t>
            </w:r>
            <w:r w:rsidR="00073333" w:rsidRPr="00F36109">
              <w:rPr>
                <w:rFonts w:ascii="Times New Roman" w:hAnsi="Times New Roman"/>
                <w:color w:val="000000" w:themeColor="text1"/>
              </w:rPr>
              <w:t xml:space="preserve">SDG policy </w:t>
            </w:r>
            <w:r w:rsidR="0069566F" w:rsidRPr="00F36109">
              <w:rPr>
                <w:rFonts w:ascii="Times New Roman" w:hAnsi="Times New Roman"/>
                <w:color w:val="000000" w:themeColor="text1"/>
              </w:rPr>
              <w:t>“R</w:t>
            </w:r>
            <w:r w:rsidR="008F5193" w:rsidRPr="00F36109">
              <w:rPr>
                <w:rFonts w:ascii="Times New Roman" w:hAnsi="Times New Roman"/>
                <w:color w:val="000000" w:themeColor="text1"/>
              </w:rPr>
              <w:t>eadiness</w:t>
            </w:r>
            <w:r w:rsidR="0069566F" w:rsidRPr="00F36109">
              <w:rPr>
                <w:rFonts w:ascii="Times New Roman" w:hAnsi="Times New Roman"/>
                <w:color w:val="000000" w:themeColor="text1"/>
              </w:rPr>
              <w:t>”</w:t>
            </w:r>
            <w:r w:rsidR="008F5193" w:rsidRPr="00F36109">
              <w:rPr>
                <w:rFonts w:ascii="Times New Roman" w:hAnsi="Times New Roman"/>
                <w:color w:val="000000" w:themeColor="text1"/>
              </w:rPr>
              <w:t xml:space="preserve"> indicators</w:t>
            </w:r>
            <w:r w:rsidR="008F5193" w:rsidRPr="00F36109">
              <w:rPr>
                <w:rStyle w:val="FootnoteReference"/>
                <w:rFonts w:ascii="Times New Roman" w:hAnsi="Times New Roman"/>
                <w:color w:val="000000" w:themeColor="text1"/>
              </w:rPr>
              <w:footnoteReference w:id="17"/>
            </w:r>
          </w:p>
        </w:tc>
        <w:tc>
          <w:tcPr>
            <w:tcW w:w="900" w:type="dxa"/>
            <w:vAlign w:val="center"/>
          </w:tcPr>
          <w:p w14:paraId="75414CCB" w14:textId="7FBDCEE5" w:rsidR="008F5193" w:rsidRPr="00F36109" w:rsidRDefault="008F519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592" w:type="dxa"/>
            <w:vAlign w:val="center"/>
          </w:tcPr>
          <w:p w14:paraId="652C0DCA" w14:textId="14140A82" w:rsidR="008F5193" w:rsidRPr="00F36109" w:rsidRDefault="008F5193" w:rsidP="00D17C9E">
            <w:pPr>
              <w:jc w:val="center"/>
              <w:rPr>
                <w:rFonts w:ascii="Times New Roman" w:hAnsi="Times New Roman"/>
                <w:color w:val="000000" w:themeColor="text1"/>
              </w:rPr>
            </w:pPr>
            <w:r w:rsidRPr="00F36109">
              <w:rPr>
                <w:rFonts w:ascii="Times New Roman" w:hAnsi="Times New Roman"/>
                <w:color w:val="000000" w:themeColor="text1"/>
              </w:rPr>
              <w:t>30</w:t>
            </w:r>
            <w:r w:rsidRPr="00F36109">
              <w:rPr>
                <w:rStyle w:val="FootnoteReference"/>
                <w:rFonts w:ascii="Times New Roman" w:hAnsi="Times New Roman"/>
                <w:color w:val="000000" w:themeColor="text1"/>
              </w:rPr>
              <w:footnoteReference w:id="18"/>
            </w:r>
          </w:p>
        </w:tc>
        <w:tc>
          <w:tcPr>
            <w:tcW w:w="581" w:type="dxa"/>
            <w:vAlign w:val="center"/>
          </w:tcPr>
          <w:p w14:paraId="410D1B44" w14:textId="48AE1E50" w:rsidR="008F5193" w:rsidRPr="00F36109" w:rsidRDefault="008F5193" w:rsidP="00D17C9E">
            <w:pPr>
              <w:jc w:val="center"/>
              <w:rPr>
                <w:rFonts w:ascii="Times New Roman" w:hAnsi="Times New Roman"/>
                <w:color w:val="000000" w:themeColor="text1"/>
              </w:rPr>
            </w:pPr>
            <w:r w:rsidRPr="00F36109">
              <w:rPr>
                <w:rFonts w:ascii="Times New Roman" w:hAnsi="Times New Roman"/>
                <w:color w:val="000000" w:themeColor="text1"/>
              </w:rPr>
              <w:t>60</w:t>
            </w:r>
          </w:p>
        </w:tc>
        <w:tc>
          <w:tcPr>
            <w:tcW w:w="622" w:type="dxa"/>
            <w:vAlign w:val="center"/>
          </w:tcPr>
          <w:p w14:paraId="3B34E152" w14:textId="3FC2A4F3" w:rsidR="008F5193" w:rsidRPr="00F36109" w:rsidRDefault="008F5193" w:rsidP="00D17C9E">
            <w:pPr>
              <w:jc w:val="center"/>
              <w:rPr>
                <w:rFonts w:ascii="Times New Roman" w:hAnsi="Times New Roman"/>
                <w:color w:val="000000" w:themeColor="text1"/>
              </w:rPr>
            </w:pPr>
            <w:r w:rsidRPr="00F36109">
              <w:rPr>
                <w:rFonts w:ascii="Times New Roman" w:hAnsi="Times New Roman"/>
                <w:color w:val="000000" w:themeColor="text1"/>
              </w:rPr>
              <w:t>90</w:t>
            </w:r>
          </w:p>
        </w:tc>
      </w:tr>
      <w:tr w:rsidR="008F5193" w:rsidRPr="00F36109" w14:paraId="618D0DEE" w14:textId="024EAB29" w:rsidTr="00F359B8">
        <w:trPr>
          <w:jc w:val="center"/>
        </w:trPr>
        <w:tc>
          <w:tcPr>
            <w:tcW w:w="537" w:type="dxa"/>
            <w:vAlign w:val="center"/>
          </w:tcPr>
          <w:p w14:paraId="0E095503" w14:textId="2BAC7D4C" w:rsidR="008F5193" w:rsidRPr="00F36109" w:rsidRDefault="008F5193" w:rsidP="00D17C9E">
            <w:pPr>
              <w:jc w:val="center"/>
              <w:rPr>
                <w:rFonts w:ascii="Times New Roman" w:hAnsi="Times New Roman"/>
                <w:color w:val="000000" w:themeColor="text1"/>
                <w:sz w:val="16"/>
              </w:rPr>
            </w:pPr>
            <w:r w:rsidRPr="00F36109">
              <w:rPr>
                <w:rFonts w:ascii="Times New Roman" w:hAnsi="Times New Roman"/>
                <w:color w:val="000000" w:themeColor="text1"/>
                <w:sz w:val="16"/>
              </w:rPr>
              <w:lastRenderedPageBreak/>
              <w:t>1.2</w:t>
            </w:r>
          </w:p>
        </w:tc>
        <w:tc>
          <w:tcPr>
            <w:tcW w:w="6118" w:type="dxa"/>
            <w:vAlign w:val="center"/>
          </w:tcPr>
          <w:p w14:paraId="170F150E" w14:textId="3CDD4194" w:rsidR="008F5193" w:rsidRPr="00F36109" w:rsidRDefault="008F5193" w:rsidP="00D17C9E">
            <w:pPr>
              <w:rPr>
                <w:rFonts w:ascii="Times New Roman" w:hAnsi="Times New Roman"/>
                <w:color w:val="000000" w:themeColor="text1"/>
              </w:rPr>
            </w:pPr>
            <w:r w:rsidRPr="00F36109">
              <w:rPr>
                <w:rFonts w:ascii="Times New Roman" w:hAnsi="Times New Roman"/>
              </w:rPr>
              <w:t xml:space="preserve"># of </w:t>
            </w:r>
            <w:r w:rsidR="005F45A9" w:rsidRPr="00F36109">
              <w:rPr>
                <w:rFonts w:ascii="Times New Roman" w:hAnsi="Times New Roman"/>
              </w:rPr>
              <w:t xml:space="preserve">integrated policy </w:t>
            </w:r>
            <w:r w:rsidRPr="00F36109">
              <w:rPr>
                <w:rFonts w:ascii="Times New Roman" w:hAnsi="Times New Roman"/>
              </w:rPr>
              <w:t xml:space="preserve">solutions for which government actors have taken </w:t>
            </w:r>
            <w:r w:rsidR="005F45A9" w:rsidRPr="00F36109">
              <w:rPr>
                <w:rFonts w:ascii="Times New Roman" w:hAnsi="Times New Roman"/>
              </w:rPr>
              <w:t>the</w:t>
            </w:r>
            <w:r w:rsidRPr="00F36109">
              <w:rPr>
                <w:rFonts w:ascii="Times New Roman" w:hAnsi="Times New Roman"/>
              </w:rPr>
              <w:t xml:space="preserve"> lead</w:t>
            </w:r>
            <w:r w:rsidRPr="00F36109">
              <w:rPr>
                <w:rStyle w:val="FootnoteReference"/>
                <w:rFonts w:ascii="Times New Roman" w:hAnsi="Times New Roman"/>
              </w:rPr>
              <w:footnoteReference w:id="19"/>
            </w:r>
          </w:p>
        </w:tc>
        <w:tc>
          <w:tcPr>
            <w:tcW w:w="900" w:type="dxa"/>
            <w:vAlign w:val="center"/>
          </w:tcPr>
          <w:p w14:paraId="38A78012" w14:textId="210D3867" w:rsidR="008F5193" w:rsidRPr="00F36109" w:rsidRDefault="008F519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592" w:type="dxa"/>
            <w:vAlign w:val="center"/>
          </w:tcPr>
          <w:p w14:paraId="0CE8FF0B" w14:textId="6B7722C0" w:rsidR="008F5193" w:rsidRPr="00F36109" w:rsidRDefault="008F5193" w:rsidP="00D17C9E">
            <w:pPr>
              <w:jc w:val="center"/>
              <w:rPr>
                <w:rFonts w:ascii="Times New Roman" w:hAnsi="Times New Roman"/>
                <w:color w:val="000000" w:themeColor="text1"/>
              </w:rPr>
            </w:pPr>
            <w:r w:rsidRPr="00F36109">
              <w:rPr>
                <w:rFonts w:ascii="Times New Roman" w:hAnsi="Times New Roman"/>
                <w:color w:val="000000" w:themeColor="text1"/>
              </w:rPr>
              <w:t>30</w:t>
            </w:r>
          </w:p>
        </w:tc>
        <w:tc>
          <w:tcPr>
            <w:tcW w:w="581" w:type="dxa"/>
            <w:vAlign w:val="center"/>
          </w:tcPr>
          <w:p w14:paraId="436658F8" w14:textId="547CFF82" w:rsidR="008F5193" w:rsidRPr="00F36109" w:rsidRDefault="008F5193" w:rsidP="00D17C9E">
            <w:pPr>
              <w:jc w:val="center"/>
              <w:rPr>
                <w:rFonts w:ascii="Times New Roman" w:hAnsi="Times New Roman"/>
                <w:color w:val="000000" w:themeColor="text1"/>
              </w:rPr>
            </w:pPr>
            <w:r w:rsidRPr="00F36109">
              <w:rPr>
                <w:rFonts w:ascii="Times New Roman" w:hAnsi="Times New Roman"/>
                <w:color w:val="000000" w:themeColor="text1"/>
              </w:rPr>
              <w:t>60</w:t>
            </w:r>
          </w:p>
        </w:tc>
        <w:tc>
          <w:tcPr>
            <w:tcW w:w="622" w:type="dxa"/>
            <w:vAlign w:val="center"/>
          </w:tcPr>
          <w:p w14:paraId="142B9163" w14:textId="5A62FD76" w:rsidR="008F5193" w:rsidRPr="00F36109" w:rsidRDefault="008F5193" w:rsidP="00D17C9E">
            <w:pPr>
              <w:jc w:val="center"/>
              <w:rPr>
                <w:rFonts w:ascii="Times New Roman" w:hAnsi="Times New Roman"/>
                <w:color w:val="000000" w:themeColor="text1"/>
              </w:rPr>
            </w:pPr>
            <w:r w:rsidRPr="00F36109">
              <w:rPr>
                <w:rFonts w:ascii="Times New Roman" w:hAnsi="Times New Roman"/>
                <w:color w:val="000000" w:themeColor="text1"/>
              </w:rPr>
              <w:t>90</w:t>
            </w:r>
          </w:p>
        </w:tc>
      </w:tr>
      <w:tr w:rsidR="00AB7FD3" w:rsidRPr="00F36109" w14:paraId="1EB38F3E" w14:textId="77777777" w:rsidTr="00F359B8">
        <w:trPr>
          <w:jc w:val="center"/>
        </w:trPr>
        <w:tc>
          <w:tcPr>
            <w:tcW w:w="537" w:type="dxa"/>
            <w:vAlign w:val="center"/>
          </w:tcPr>
          <w:p w14:paraId="31F5C08E" w14:textId="487FA7B8" w:rsidR="00AB7FD3" w:rsidRPr="00F36109" w:rsidRDefault="00EB6870" w:rsidP="00D17C9E">
            <w:pPr>
              <w:jc w:val="center"/>
              <w:rPr>
                <w:rFonts w:ascii="Times New Roman" w:hAnsi="Times New Roman"/>
                <w:color w:val="000000" w:themeColor="text1"/>
                <w:sz w:val="16"/>
              </w:rPr>
            </w:pPr>
            <w:r w:rsidRPr="00F36109">
              <w:rPr>
                <w:rFonts w:ascii="Times New Roman" w:hAnsi="Times New Roman"/>
                <w:color w:val="000000" w:themeColor="text1"/>
                <w:sz w:val="16"/>
              </w:rPr>
              <w:t>1.3</w:t>
            </w:r>
          </w:p>
        </w:tc>
        <w:tc>
          <w:tcPr>
            <w:tcW w:w="6118" w:type="dxa"/>
            <w:vAlign w:val="center"/>
          </w:tcPr>
          <w:p w14:paraId="3BE8E698" w14:textId="310313E0" w:rsidR="00AB7FD3" w:rsidRPr="00F36109" w:rsidRDefault="00AB7FD3" w:rsidP="00D17C9E">
            <w:pPr>
              <w:rPr>
                <w:rFonts w:ascii="Times New Roman" w:hAnsi="Times New Roman"/>
              </w:rPr>
            </w:pPr>
            <w:r w:rsidRPr="00F36109">
              <w:rPr>
                <w:rFonts w:ascii="Times New Roman" w:hAnsi="Times New Roman"/>
              </w:rPr>
              <w:t xml:space="preserve"># of countries where national capacities to identify integrated, cross-sectoral SDG accelerators has been strengthened.   </w:t>
            </w:r>
          </w:p>
        </w:tc>
        <w:tc>
          <w:tcPr>
            <w:tcW w:w="900" w:type="dxa"/>
            <w:vAlign w:val="center"/>
          </w:tcPr>
          <w:p w14:paraId="70E33B58" w14:textId="2AD67A53" w:rsidR="00AB7FD3" w:rsidRPr="00F36109" w:rsidRDefault="00667075"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592" w:type="dxa"/>
            <w:vAlign w:val="center"/>
          </w:tcPr>
          <w:p w14:paraId="58688EE9" w14:textId="33E6FA00" w:rsidR="00AB7FD3" w:rsidRPr="00F36109" w:rsidRDefault="00667075" w:rsidP="00D17C9E">
            <w:pPr>
              <w:jc w:val="center"/>
              <w:rPr>
                <w:rFonts w:ascii="Times New Roman" w:hAnsi="Times New Roman"/>
                <w:color w:val="000000" w:themeColor="text1"/>
              </w:rPr>
            </w:pPr>
            <w:r w:rsidRPr="00F36109">
              <w:rPr>
                <w:rFonts w:ascii="Times New Roman" w:hAnsi="Times New Roman"/>
                <w:color w:val="000000" w:themeColor="text1"/>
              </w:rPr>
              <w:t>30</w:t>
            </w:r>
          </w:p>
        </w:tc>
        <w:tc>
          <w:tcPr>
            <w:tcW w:w="581" w:type="dxa"/>
            <w:vAlign w:val="center"/>
          </w:tcPr>
          <w:p w14:paraId="3E3F68DF" w14:textId="2125D4DF" w:rsidR="00AB7FD3" w:rsidRPr="00F36109" w:rsidRDefault="00667075" w:rsidP="00D17C9E">
            <w:pPr>
              <w:jc w:val="center"/>
              <w:rPr>
                <w:rFonts w:ascii="Times New Roman" w:hAnsi="Times New Roman"/>
                <w:color w:val="000000" w:themeColor="text1"/>
              </w:rPr>
            </w:pPr>
            <w:r w:rsidRPr="00F36109">
              <w:rPr>
                <w:rFonts w:ascii="Times New Roman" w:hAnsi="Times New Roman"/>
                <w:color w:val="000000" w:themeColor="text1"/>
              </w:rPr>
              <w:t>60</w:t>
            </w:r>
          </w:p>
        </w:tc>
        <w:tc>
          <w:tcPr>
            <w:tcW w:w="622" w:type="dxa"/>
            <w:vAlign w:val="center"/>
          </w:tcPr>
          <w:p w14:paraId="21A6FFE4" w14:textId="7612A9FB" w:rsidR="00AB7FD3" w:rsidRPr="00F36109" w:rsidRDefault="00667075" w:rsidP="00D17C9E">
            <w:pPr>
              <w:jc w:val="center"/>
              <w:rPr>
                <w:rFonts w:ascii="Times New Roman" w:hAnsi="Times New Roman"/>
                <w:color w:val="000000" w:themeColor="text1"/>
              </w:rPr>
            </w:pPr>
            <w:r w:rsidRPr="00F36109">
              <w:rPr>
                <w:rFonts w:ascii="Times New Roman" w:hAnsi="Times New Roman"/>
                <w:color w:val="000000" w:themeColor="text1"/>
              </w:rPr>
              <w:t>90</w:t>
            </w:r>
          </w:p>
        </w:tc>
      </w:tr>
    </w:tbl>
    <w:p w14:paraId="459DE63B" w14:textId="55963D06" w:rsidR="00F359B8" w:rsidRPr="00F36109" w:rsidRDefault="00F359B8" w:rsidP="00D17C9E">
      <w:pPr>
        <w:spacing w:after="0" w:line="240" w:lineRule="auto"/>
        <w:rPr>
          <w:rFonts w:ascii="Times New Roman" w:eastAsiaTheme="majorEastAsia" w:hAnsi="Times New Roman" w:cs="Times New Roman"/>
          <w:i/>
          <w:color w:val="000000" w:themeColor="text1"/>
        </w:rPr>
      </w:pPr>
    </w:p>
    <w:p w14:paraId="485CC3A6" w14:textId="512D2A33" w:rsidR="00F359B8" w:rsidRPr="00F36109" w:rsidRDefault="00F359B8" w:rsidP="00F359B8">
      <w:pPr>
        <w:spacing w:after="0" w:line="240" w:lineRule="auto"/>
        <w:rPr>
          <w:rFonts w:ascii="Times New Roman" w:eastAsiaTheme="majorEastAsia" w:hAnsi="Times New Roman" w:cs="Times New Roman"/>
          <w:b/>
          <w:color w:val="1F3763" w:themeColor="accent1" w:themeShade="7F"/>
        </w:rPr>
      </w:pPr>
      <w:r w:rsidRPr="00F36109">
        <w:rPr>
          <w:rFonts w:ascii="Times New Roman" w:eastAsiaTheme="majorEastAsia" w:hAnsi="Times New Roman" w:cs="Times New Roman"/>
          <w:b/>
          <w:color w:val="1F3763" w:themeColor="accent1" w:themeShade="7F"/>
        </w:rPr>
        <w:t>Output 2: Financing strategies for SDGs developed and SDG financing partnerships established</w:t>
      </w:r>
    </w:p>
    <w:p w14:paraId="4CB8B62D" w14:textId="77777777" w:rsidR="000B046F" w:rsidRPr="00F36109" w:rsidRDefault="000B046F" w:rsidP="00F359B8">
      <w:pPr>
        <w:spacing w:after="0" w:line="240" w:lineRule="auto"/>
        <w:rPr>
          <w:rFonts w:ascii="Times New Roman" w:eastAsiaTheme="majorEastAsia" w:hAnsi="Times New Roman" w:cs="Times New Roman"/>
          <w:b/>
          <w:color w:val="1F3763" w:themeColor="accent1" w:themeShade="7F"/>
        </w:rPr>
      </w:pPr>
    </w:p>
    <w:tbl>
      <w:tblPr>
        <w:tblStyle w:val="TableGrid"/>
        <w:tblW w:w="0" w:type="auto"/>
        <w:jc w:val="center"/>
        <w:tblLayout w:type="fixed"/>
        <w:tblLook w:val="04A0" w:firstRow="1" w:lastRow="0" w:firstColumn="1" w:lastColumn="0" w:noHBand="0" w:noVBand="1"/>
      </w:tblPr>
      <w:tblGrid>
        <w:gridCol w:w="540"/>
        <w:gridCol w:w="6025"/>
        <w:gridCol w:w="900"/>
        <w:gridCol w:w="630"/>
        <w:gridCol w:w="630"/>
        <w:gridCol w:w="625"/>
      </w:tblGrid>
      <w:tr w:rsidR="00F359B8" w:rsidRPr="00F36109" w14:paraId="745D94D2" w14:textId="77777777" w:rsidTr="00F359B8">
        <w:trPr>
          <w:jc w:val="center"/>
        </w:trPr>
        <w:tc>
          <w:tcPr>
            <w:tcW w:w="6565" w:type="dxa"/>
            <w:gridSpan w:val="2"/>
            <w:shd w:val="clear" w:color="auto" w:fill="D9E2F3" w:themeFill="accent1" w:themeFillTint="33"/>
            <w:vAlign w:val="center"/>
          </w:tcPr>
          <w:p w14:paraId="29CA83A9" w14:textId="77777777" w:rsidR="00F359B8" w:rsidRPr="00F36109" w:rsidRDefault="00F359B8" w:rsidP="00CF2BF7">
            <w:pPr>
              <w:jc w:val="center"/>
              <w:rPr>
                <w:rFonts w:ascii="Times New Roman" w:hAnsi="Times New Roman"/>
                <w:b/>
                <w:color w:val="000000" w:themeColor="text1"/>
              </w:rPr>
            </w:pPr>
            <w:r w:rsidRPr="00F36109">
              <w:rPr>
                <w:rFonts w:ascii="Times New Roman" w:hAnsi="Times New Roman"/>
                <w:b/>
                <w:color w:val="000000" w:themeColor="text1"/>
              </w:rPr>
              <w:t>Global indicators</w:t>
            </w:r>
          </w:p>
        </w:tc>
        <w:tc>
          <w:tcPr>
            <w:tcW w:w="900" w:type="dxa"/>
            <w:shd w:val="clear" w:color="auto" w:fill="D9E2F3" w:themeFill="accent1" w:themeFillTint="33"/>
            <w:vAlign w:val="center"/>
          </w:tcPr>
          <w:p w14:paraId="5929A164" w14:textId="77777777" w:rsidR="00F359B8" w:rsidRPr="00F36109" w:rsidRDefault="00F359B8" w:rsidP="00CF2BF7">
            <w:pPr>
              <w:jc w:val="center"/>
              <w:rPr>
                <w:rFonts w:ascii="Times New Roman" w:hAnsi="Times New Roman"/>
                <w:b/>
                <w:color w:val="000000" w:themeColor="text1"/>
                <w:sz w:val="18"/>
              </w:rPr>
            </w:pPr>
            <w:r w:rsidRPr="00F36109">
              <w:rPr>
                <w:rFonts w:ascii="Times New Roman" w:hAnsi="Times New Roman"/>
                <w:b/>
                <w:color w:val="000000" w:themeColor="text1"/>
                <w:sz w:val="18"/>
              </w:rPr>
              <w:t>Baseline</w:t>
            </w:r>
          </w:p>
        </w:tc>
        <w:tc>
          <w:tcPr>
            <w:tcW w:w="1885" w:type="dxa"/>
            <w:gridSpan w:val="3"/>
            <w:shd w:val="clear" w:color="auto" w:fill="D9E2F3" w:themeFill="accent1" w:themeFillTint="33"/>
            <w:vAlign w:val="center"/>
          </w:tcPr>
          <w:p w14:paraId="2D215F9B" w14:textId="77777777" w:rsidR="00F359B8" w:rsidRPr="00F36109" w:rsidRDefault="00F359B8" w:rsidP="00CF2BF7">
            <w:pPr>
              <w:jc w:val="center"/>
              <w:rPr>
                <w:rFonts w:ascii="Times New Roman" w:hAnsi="Times New Roman"/>
                <w:b/>
                <w:color w:val="000000" w:themeColor="text1"/>
                <w:sz w:val="18"/>
              </w:rPr>
            </w:pPr>
            <w:r w:rsidRPr="00F36109">
              <w:rPr>
                <w:rFonts w:ascii="Times New Roman" w:hAnsi="Times New Roman"/>
                <w:b/>
                <w:color w:val="000000" w:themeColor="text1"/>
                <w:sz w:val="18"/>
              </w:rPr>
              <w:t xml:space="preserve">Cumulative Target </w:t>
            </w:r>
          </w:p>
        </w:tc>
      </w:tr>
      <w:tr w:rsidR="00F359B8" w:rsidRPr="00F36109" w14:paraId="5E2E1178" w14:textId="77777777" w:rsidTr="00F359B8">
        <w:trPr>
          <w:jc w:val="center"/>
        </w:trPr>
        <w:tc>
          <w:tcPr>
            <w:tcW w:w="6565" w:type="dxa"/>
            <w:gridSpan w:val="2"/>
            <w:shd w:val="clear" w:color="auto" w:fill="D9E2F3" w:themeFill="accent1" w:themeFillTint="33"/>
            <w:vAlign w:val="center"/>
          </w:tcPr>
          <w:p w14:paraId="4523427C" w14:textId="77777777" w:rsidR="00F359B8" w:rsidRPr="00F36109" w:rsidRDefault="00F359B8" w:rsidP="00CF2BF7">
            <w:pPr>
              <w:jc w:val="center"/>
              <w:rPr>
                <w:rFonts w:ascii="Times New Roman" w:hAnsi="Times New Roman"/>
                <w:b/>
                <w:color w:val="000000" w:themeColor="text1"/>
              </w:rPr>
            </w:pPr>
          </w:p>
        </w:tc>
        <w:tc>
          <w:tcPr>
            <w:tcW w:w="900" w:type="dxa"/>
            <w:shd w:val="clear" w:color="auto" w:fill="D9E2F3" w:themeFill="accent1" w:themeFillTint="33"/>
            <w:vAlign w:val="center"/>
          </w:tcPr>
          <w:p w14:paraId="74BA752C" w14:textId="77777777" w:rsidR="00F359B8" w:rsidRPr="00F36109" w:rsidRDefault="00F359B8" w:rsidP="00CF2BF7">
            <w:pPr>
              <w:jc w:val="center"/>
              <w:rPr>
                <w:rFonts w:ascii="Times New Roman" w:hAnsi="Times New Roman"/>
                <w:b/>
                <w:color w:val="000000" w:themeColor="text1"/>
                <w:sz w:val="18"/>
              </w:rPr>
            </w:pPr>
          </w:p>
        </w:tc>
        <w:tc>
          <w:tcPr>
            <w:tcW w:w="630" w:type="dxa"/>
            <w:shd w:val="clear" w:color="auto" w:fill="D9E2F3" w:themeFill="accent1" w:themeFillTint="33"/>
            <w:vAlign w:val="center"/>
          </w:tcPr>
          <w:p w14:paraId="302E08EE" w14:textId="77777777" w:rsidR="00F359B8" w:rsidRPr="00F36109" w:rsidRDefault="00F359B8" w:rsidP="00CF2BF7">
            <w:pPr>
              <w:jc w:val="center"/>
              <w:rPr>
                <w:rFonts w:ascii="Times New Roman" w:hAnsi="Times New Roman"/>
                <w:b/>
                <w:color w:val="000000" w:themeColor="text1"/>
                <w:sz w:val="18"/>
              </w:rPr>
            </w:pPr>
            <w:r w:rsidRPr="00F36109">
              <w:rPr>
                <w:rFonts w:ascii="Times New Roman" w:hAnsi="Times New Roman"/>
                <w:b/>
                <w:color w:val="000000" w:themeColor="text1"/>
                <w:sz w:val="18"/>
              </w:rPr>
              <w:t>2019</w:t>
            </w:r>
          </w:p>
        </w:tc>
        <w:tc>
          <w:tcPr>
            <w:tcW w:w="630" w:type="dxa"/>
            <w:shd w:val="clear" w:color="auto" w:fill="D9E2F3" w:themeFill="accent1" w:themeFillTint="33"/>
          </w:tcPr>
          <w:p w14:paraId="71195452" w14:textId="77777777" w:rsidR="00F359B8" w:rsidRPr="00F36109" w:rsidRDefault="00F359B8" w:rsidP="00CF2BF7">
            <w:pPr>
              <w:jc w:val="center"/>
              <w:rPr>
                <w:rFonts w:ascii="Times New Roman" w:hAnsi="Times New Roman"/>
                <w:b/>
                <w:color w:val="000000" w:themeColor="text1"/>
                <w:sz w:val="18"/>
              </w:rPr>
            </w:pPr>
            <w:r w:rsidRPr="00F36109">
              <w:rPr>
                <w:rFonts w:ascii="Times New Roman" w:hAnsi="Times New Roman"/>
                <w:b/>
                <w:color w:val="000000" w:themeColor="text1"/>
                <w:sz w:val="18"/>
              </w:rPr>
              <w:t>2020</w:t>
            </w:r>
          </w:p>
        </w:tc>
        <w:tc>
          <w:tcPr>
            <w:tcW w:w="625" w:type="dxa"/>
            <w:shd w:val="clear" w:color="auto" w:fill="D9E2F3" w:themeFill="accent1" w:themeFillTint="33"/>
          </w:tcPr>
          <w:p w14:paraId="73C4C107" w14:textId="77777777" w:rsidR="00F359B8" w:rsidRPr="00F36109" w:rsidRDefault="00F359B8" w:rsidP="00CF2BF7">
            <w:pPr>
              <w:jc w:val="center"/>
              <w:rPr>
                <w:rFonts w:ascii="Times New Roman" w:hAnsi="Times New Roman"/>
                <w:b/>
                <w:color w:val="000000" w:themeColor="text1"/>
                <w:sz w:val="18"/>
              </w:rPr>
            </w:pPr>
            <w:r w:rsidRPr="00F36109">
              <w:rPr>
                <w:rFonts w:ascii="Times New Roman" w:hAnsi="Times New Roman"/>
                <w:b/>
                <w:color w:val="000000" w:themeColor="text1"/>
                <w:sz w:val="18"/>
              </w:rPr>
              <w:t>2021</w:t>
            </w:r>
          </w:p>
        </w:tc>
      </w:tr>
      <w:tr w:rsidR="008109D3" w:rsidRPr="00F36109" w14:paraId="33D07374" w14:textId="50C15E45" w:rsidTr="00F359B8">
        <w:trPr>
          <w:jc w:val="center"/>
        </w:trPr>
        <w:tc>
          <w:tcPr>
            <w:tcW w:w="540" w:type="dxa"/>
            <w:vAlign w:val="center"/>
          </w:tcPr>
          <w:p w14:paraId="6EDE6774" w14:textId="3918BA06" w:rsidR="008109D3" w:rsidRPr="00F36109" w:rsidRDefault="008109D3" w:rsidP="00D17C9E">
            <w:pPr>
              <w:jc w:val="center"/>
              <w:rPr>
                <w:rFonts w:ascii="Times New Roman" w:hAnsi="Times New Roman"/>
                <w:color w:val="000000" w:themeColor="text1"/>
                <w:sz w:val="16"/>
              </w:rPr>
            </w:pPr>
            <w:r w:rsidRPr="00F36109">
              <w:rPr>
                <w:rFonts w:ascii="Times New Roman" w:hAnsi="Times New Roman"/>
                <w:color w:val="000000" w:themeColor="text1"/>
                <w:sz w:val="16"/>
              </w:rPr>
              <w:t>2.1</w:t>
            </w:r>
          </w:p>
        </w:tc>
        <w:tc>
          <w:tcPr>
            <w:tcW w:w="6025" w:type="dxa"/>
            <w:vAlign w:val="center"/>
          </w:tcPr>
          <w:p w14:paraId="6533AE05" w14:textId="1492345E" w:rsidR="008109D3" w:rsidRPr="00F36109" w:rsidRDefault="00F41FCD" w:rsidP="00D17C9E">
            <w:pPr>
              <w:rPr>
                <w:rFonts w:ascii="Times New Roman" w:hAnsi="Times New Roman"/>
                <w:color w:val="000000" w:themeColor="text1"/>
              </w:rPr>
            </w:pPr>
            <w:r w:rsidRPr="00F36109">
              <w:rPr>
                <w:rFonts w:ascii="Times New Roman" w:hAnsi="Times New Roman"/>
                <w:color w:val="000000" w:themeColor="text1"/>
              </w:rPr>
              <w:t>#</w:t>
            </w:r>
            <w:r w:rsidR="008109D3" w:rsidRPr="00F36109">
              <w:rPr>
                <w:rFonts w:ascii="Times New Roman" w:hAnsi="Times New Roman"/>
                <w:color w:val="000000" w:themeColor="text1"/>
              </w:rPr>
              <w:t xml:space="preserve"> of countries which meet their targets for the relevant SDG </w:t>
            </w:r>
            <w:r w:rsidR="00073333" w:rsidRPr="00F36109">
              <w:rPr>
                <w:rFonts w:ascii="Times New Roman" w:hAnsi="Times New Roman"/>
                <w:color w:val="000000" w:themeColor="text1"/>
              </w:rPr>
              <w:t xml:space="preserve">financing </w:t>
            </w:r>
            <w:r w:rsidR="0069566F" w:rsidRPr="00F36109">
              <w:rPr>
                <w:rFonts w:ascii="Times New Roman" w:hAnsi="Times New Roman"/>
                <w:color w:val="000000" w:themeColor="text1"/>
              </w:rPr>
              <w:t>“R</w:t>
            </w:r>
            <w:r w:rsidR="008109D3" w:rsidRPr="00F36109">
              <w:rPr>
                <w:rFonts w:ascii="Times New Roman" w:hAnsi="Times New Roman"/>
                <w:color w:val="000000" w:themeColor="text1"/>
              </w:rPr>
              <w:t>eadiness</w:t>
            </w:r>
            <w:r w:rsidR="0069566F" w:rsidRPr="00F36109">
              <w:rPr>
                <w:rFonts w:ascii="Times New Roman" w:hAnsi="Times New Roman"/>
                <w:color w:val="000000" w:themeColor="text1"/>
              </w:rPr>
              <w:t>”</w:t>
            </w:r>
            <w:r w:rsidR="00073333" w:rsidRPr="00F36109">
              <w:rPr>
                <w:rFonts w:ascii="Times New Roman" w:hAnsi="Times New Roman"/>
                <w:color w:val="000000" w:themeColor="text1"/>
              </w:rPr>
              <w:t xml:space="preserve"> </w:t>
            </w:r>
            <w:r w:rsidR="008109D3" w:rsidRPr="00F36109">
              <w:rPr>
                <w:rFonts w:ascii="Times New Roman" w:hAnsi="Times New Roman"/>
                <w:color w:val="000000" w:themeColor="text1"/>
              </w:rPr>
              <w:t>indicators</w:t>
            </w:r>
            <w:r w:rsidR="008109D3" w:rsidRPr="00F36109">
              <w:rPr>
                <w:rStyle w:val="FootnoteReference"/>
                <w:rFonts w:ascii="Times New Roman" w:hAnsi="Times New Roman"/>
                <w:color w:val="000000" w:themeColor="text1"/>
              </w:rPr>
              <w:footnoteReference w:id="20"/>
            </w:r>
          </w:p>
        </w:tc>
        <w:tc>
          <w:tcPr>
            <w:tcW w:w="900" w:type="dxa"/>
            <w:vAlign w:val="center"/>
          </w:tcPr>
          <w:p w14:paraId="0AA7F0C7" w14:textId="69DD60D9" w:rsidR="008109D3" w:rsidRPr="00F36109" w:rsidRDefault="008109D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630" w:type="dxa"/>
            <w:vAlign w:val="center"/>
          </w:tcPr>
          <w:p w14:paraId="67CCB88A" w14:textId="7E5B15FF" w:rsidR="008109D3" w:rsidRPr="00F36109" w:rsidRDefault="008109D3" w:rsidP="00D17C9E">
            <w:pPr>
              <w:jc w:val="center"/>
              <w:rPr>
                <w:rFonts w:ascii="Times New Roman" w:hAnsi="Times New Roman"/>
                <w:color w:val="000000" w:themeColor="text1"/>
              </w:rPr>
            </w:pPr>
            <w:r w:rsidRPr="00F36109">
              <w:rPr>
                <w:rFonts w:ascii="Times New Roman" w:hAnsi="Times New Roman"/>
                <w:color w:val="000000" w:themeColor="text1"/>
              </w:rPr>
              <w:t>30</w:t>
            </w:r>
          </w:p>
        </w:tc>
        <w:tc>
          <w:tcPr>
            <w:tcW w:w="630" w:type="dxa"/>
            <w:vAlign w:val="center"/>
          </w:tcPr>
          <w:p w14:paraId="161CD439" w14:textId="23BDA1CB" w:rsidR="008109D3" w:rsidRPr="00F36109" w:rsidRDefault="008109D3" w:rsidP="00D17C9E">
            <w:pPr>
              <w:jc w:val="center"/>
              <w:rPr>
                <w:rFonts w:ascii="Times New Roman" w:hAnsi="Times New Roman"/>
                <w:color w:val="000000" w:themeColor="text1"/>
              </w:rPr>
            </w:pPr>
            <w:r w:rsidRPr="00F36109">
              <w:rPr>
                <w:rFonts w:ascii="Times New Roman" w:hAnsi="Times New Roman"/>
                <w:color w:val="000000" w:themeColor="text1"/>
              </w:rPr>
              <w:t>60</w:t>
            </w:r>
          </w:p>
        </w:tc>
        <w:tc>
          <w:tcPr>
            <w:tcW w:w="625" w:type="dxa"/>
            <w:vAlign w:val="center"/>
          </w:tcPr>
          <w:p w14:paraId="5278FE10" w14:textId="3CF4A6F0" w:rsidR="008109D3" w:rsidRPr="00F36109" w:rsidRDefault="008109D3" w:rsidP="00D17C9E">
            <w:pPr>
              <w:jc w:val="center"/>
              <w:rPr>
                <w:rFonts w:ascii="Times New Roman" w:hAnsi="Times New Roman"/>
                <w:color w:val="000000" w:themeColor="text1"/>
              </w:rPr>
            </w:pPr>
            <w:r w:rsidRPr="00F36109">
              <w:rPr>
                <w:rFonts w:ascii="Times New Roman" w:hAnsi="Times New Roman"/>
                <w:color w:val="000000" w:themeColor="text1"/>
              </w:rPr>
              <w:t>90</w:t>
            </w:r>
          </w:p>
        </w:tc>
      </w:tr>
      <w:tr w:rsidR="008109D3" w:rsidRPr="00F36109" w14:paraId="204B64A0" w14:textId="77777777" w:rsidTr="00F359B8">
        <w:trPr>
          <w:jc w:val="center"/>
        </w:trPr>
        <w:tc>
          <w:tcPr>
            <w:tcW w:w="540" w:type="dxa"/>
            <w:vAlign w:val="center"/>
          </w:tcPr>
          <w:p w14:paraId="7CC745F4" w14:textId="51396812" w:rsidR="008109D3" w:rsidRPr="00F36109" w:rsidRDefault="008109D3" w:rsidP="00D17C9E">
            <w:pPr>
              <w:jc w:val="center"/>
              <w:rPr>
                <w:rFonts w:ascii="Times New Roman" w:hAnsi="Times New Roman"/>
                <w:color w:val="000000" w:themeColor="text1"/>
                <w:sz w:val="16"/>
              </w:rPr>
            </w:pPr>
            <w:r w:rsidRPr="00F36109">
              <w:rPr>
                <w:rFonts w:ascii="Times New Roman" w:hAnsi="Times New Roman"/>
                <w:color w:val="000000" w:themeColor="text1"/>
                <w:sz w:val="16"/>
              </w:rPr>
              <w:t>2.2</w:t>
            </w:r>
          </w:p>
        </w:tc>
        <w:tc>
          <w:tcPr>
            <w:tcW w:w="6025" w:type="dxa"/>
            <w:vAlign w:val="center"/>
          </w:tcPr>
          <w:p w14:paraId="03D39AE1" w14:textId="0F298EE1" w:rsidR="008109D3" w:rsidRPr="00F36109" w:rsidRDefault="008109D3" w:rsidP="00D17C9E">
            <w:pPr>
              <w:rPr>
                <w:rFonts w:ascii="Times New Roman" w:hAnsi="Times New Roman"/>
                <w:color w:val="000000" w:themeColor="text1"/>
              </w:rPr>
            </w:pPr>
            <w:r w:rsidRPr="00F36109">
              <w:rPr>
                <w:rFonts w:ascii="Times New Roman" w:hAnsi="Times New Roman"/>
              </w:rPr>
              <w:t># of SDG financing strategies for which government actors have taken the lead</w:t>
            </w:r>
            <w:r w:rsidRPr="00F36109">
              <w:rPr>
                <w:rStyle w:val="FootnoteReference"/>
                <w:rFonts w:ascii="Times New Roman" w:hAnsi="Times New Roman"/>
              </w:rPr>
              <w:footnoteReference w:id="21"/>
            </w:r>
          </w:p>
        </w:tc>
        <w:tc>
          <w:tcPr>
            <w:tcW w:w="900" w:type="dxa"/>
            <w:vAlign w:val="center"/>
          </w:tcPr>
          <w:p w14:paraId="67E95951" w14:textId="7CC98FA5" w:rsidR="008109D3" w:rsidRPr="00F36109" w:rsidRDefault="001550A1"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630" w:type="dxa"/>
            <w:vAlign w:val="center"/>
          </w:tcPr>
          <w:p w14:paraId="7E145F60" w14:textId="0A120362" w:rsidR="008109D3" w:rsidRPr="00F36109" w:rsidRDefault="001550A1" w:rsidP="00D17C9E">
            <w:pPr>
              <w:jc w:val="center"/>
              <w:rPr>
                <w:rFonts w:ascii="Times New Roman" w:hAnsi="Times New Roman"/>
                <w:color w:val="000000" w:themeColor="text1"/>
              </w:rPr>
            </w:pPr>
            <w:r w:rsidRPr="00F36109">
              <w:rPr>
                <w:rFonts w:ascii="Times New Roman" w:hAnsi="Times New Roman"/>
                <w:color w:val="000000" w:themeColor="text1"/>
              </w:rPr>
              <w:t>30</w:t>
            </w:r>
          </w:p>
        </w:tc>
        <w:tc>
          <w:tcPr>
            <w:tcW w:w="630" w:type="dxa"/>
            <w:vAlign w:val="center"/>
          </w:tcPr>
          <w:p w14:paraId="6E9BD5BE" w14:textId="76CAFA87" w:rsidR="008109D3" w:rsidRPr="00F36109" w:rsidRDefault="001550A1" w:rsidP="00D17C9E">
            <w:pPr>
              <w:jc w:val="center"/>
              <w:rPr>
                <w:rFonts w:ascii="Times New Roman" w:hAnsi="Times New Roman"/>
                <w:color w:val="000000" w:themeColor="text1"/>
              </w:rPr>
            </w:pPr>
            <w:r w:rsidRPr="00F36109">
              <w:rPr>
                <w:rFonts w:ascii="Times New Roman" w:hAnsi="Times New Roman"/>
                <w:color w:val="000000" w:themeColor="text1"/>
              </w:rPr>
              <w:t>60</w:t>
            </w:r>
          </w:p>
        </w:tc>
        <w:tc>
          <w:tcPr>
            <w:tcW w:w="625" w:type="dxa"/>
            <w:vAlign w:val="center"/>
          </w:tcPr>
          <w:p w14:paraId="6B63BB34" w14:textId="0AE67B1F" w:rsidR="008109D3" w:rsidRPr="00F36109" w:rsidRDefault="001550A1" w:rsidP="00D17C9E">
            <w:pPr>
              <w:jc w:val="center"/>
              <w:rPr>
                <w:rFonts w:ascii="Times New Roman" w:hAnsi="Times New Roman"/>
                <w:color w:val="000000" w:themeColor="text1"/>
              </w:rPr>
            </w:pPr>
            <w:r w:rsidRPr="00F36109">
              <w:rPr>
                <w:rFonts w:ascii="Times New Roman" w:hAnsi="Times New Roman"/>
                <w:color w:val="000000" w:themeColor="text1"/>
              </w:rPr>
              <w:t>90</w:t>
            </w:r>
          </w:p>
        </w:tc>
      </w:tr>
      <w:tr w:rsidR="008109D3" w:rsidRPr="00F36109" w14:paraId="60EBE3D7" w14:textId="77777777" w:rsidTr="00F359B8">
        <w:trPr>
          <w:jc w:val="center"/>
        </w:trPr>
        <w:tc>
          <w:tcPr>
            <w:tcW w:w="540" w:type="dxa"/>
            <w:vAlign w:val="center"/>
          </w:tcPr>
          <w:p w14:paraId="478DD696" w14:textId="31779FB4" w:rsidR="008109D3" w:rsidRPr="00F36109" w:rsidRDefault="008109D3" w:rsidP="00D17C9E">
            <w:pPr>
              <w:jc w:val="center"/>
              <w:rPr>
                <w:rFonts w:ascii="Times New Roman" w:hAnsi="Times New Roman"/>
                <w:color w:val="000000" w:themeColor="text1"/>
                <w:sz w:val="16"/>
              </w:rPr>
            </w:pPr>
            <w:r w:rsidRPr="00F36109">
              <w:rPr>
                <w:rFonts w:ascii="Times New Roman" w:hAnsi="Times New Roman"/>
                <w:color w:val="000000" w:themeColor="text1"/>
                <w:sz w:val="16"/>
              </w:rPr>
              <w:t>2.3</w:t>
            </w:r>
          </w:p>
        </w:tc>
        <w:tc>
          <w:tcPr>
            <w:tcW w:w="6025" w:type="dxa"/>
          </w:tcPr>
          <w:p w14:paraId="276E1AA6" w14:textId="0FBBBC24" w:rsidR="008109D3" w:rsidRPr="00F36109" w:rsidRDefault="008109D3" w:rsidP="00D17C9E">
            <w:pPr>
              <w:rPr>
                <w:rFonts w:ascii="Times New Roman" w:hAnsi="Times New Roman"/>
                <w:color w:val="000000" w:themeColor="text1"/>
              </w:rPr>
            </w:pPr>
            <w:r w:rsidRPr="00F36109">
              <w:rPr>
                <w:rFonts w:ascii="Times New Roman" w:hAnsi="Times New Roman"/>
                <w:color w:val="000000" w:themeColor="text1"/>
              </w:rPr>
              <w:t xml:space="preserve"># of SDG financing strategies that </w:t>
            </w:r>
            <w:r w:rsidR="00F41FCD" w:rsidRPr="00F36109">
              <w:rPr>
                <w:rFonts w:ascii="Times New Roman" w:hAnsi="Times New Roman"/>
                <w:color w:val="000000" w:themeColor="text1"/>
              </w:rPr>
              <w:t xml:space="preserve">meet </w:t>
            </w:r>
            <w:r w:rsidRPr="00F36109">
              <w:rPr>
                <w:rFonts w:ascii="Times New Roman" w:hAnsi="Times New Roman"/>
                <w:color w:val="000000" w:themeColor="text1"/>
              </w:rPr>
              <w:t>predefined</w:t>
            </w:r>
            <w:r w:rsidRPr="00F36109">
              <w:rPr>
                <w:rStyle w:val="FootnoteReference"/>
                <w:rFonts w:ascii="Times New Roman" w:hAnsi="Times New Roman"/>
                <w:color w:val="000000" w:themeColor="text1"/>
              </w:rPr>
              <w:footnoteReference w:id="22"/>
            </w:r>
            <w:r w:rsidRPr="00F36109">
              <w:rPr>
                <w:rFonts w:ascii="Times New Roman" w:hAnsi="Times New Roman"/>
                <w:color w:val="000000" w:themeColor="text1"/>
              </w:rPr>
              <w:t xml:space="preserve"> investment standards</w:t>
            </w:r>
          </w:p>
        </w:tc>
        <w:tc>
          <w:tcPr>
            <w:tcW w:w="900" w:type="dxa"/>
            <w:vAlign w:val="center"/>
          </w:tcPr>
          <w:p w14:paraId="46012A32" w14:textId="231CAFBF" w:rsidR="008109D3" w:rsidRPr="00F36109" w:rsidRDefault="008109D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630" w:type="dxa"/>
            <w:vAlign w:val="center"/>
          </w:tcPr>
          <w:p w14:paraId="35BC9C7A" w14:textId="11441DC9" w:rsidR="008109D3" w:rsidRPr="00F36109" w:rsidRDefault="008109D3" w:rsidP="00D17C9E">
            <w:pPr>
              <w:jc w:val="center"/>
              <w:rPr>
                <w:rFonts w:ascii="Times New Roman" w:hAnsi="Times New Roman"/>
                <w:color w:val="000000" w:themeColor="text1"/>
              </w:rPr>
            </w:pPr>
            <w:r w:rsidRPr="00F36109">
              <w:rPr>
                <w:rFonts w:ascii="Times New Roman" w:hAnsi="Times New Roman"/>
                <w:color w:val="000000" w:themeColor="text1"/>
              </w:rPr>
              <w:t>30</w:t>
            </w:r>
          </w:p>
        </w:tc>
        <w:tc>
          <w:tcPr>
            <w:tcW w:w="630" w:type="dxa"/>
            <w:vAlign w:val="center"/>
          </w:tcPr>
          <w:p w14:paraId="1FCBC5C5" w14:textId="45CAD46C" w:rsidR="008109D3" w:rsidRPr="00F36109" w:rsidRDefault="008109D3" w:rsidP="00D17C9E">
            <w:pPr>
              <w:jc w:val="center"/>
              <w:rPr>
                <w:rFonts w:ascii="Times New Roman" w:hAnsi="Times New Roman"/>
                <w:color w:val="000000" w:themeColor="text1"/>
              </w:rPr>
            </w:pPr>
            <w:r w:rsidRPr="00F36109">
              <w:rPr>
                <w:rFonts w:ascii="Times New Roman" w:hAnsi="Times New Roman"/>
                <w:color w:val="000000" w:themeColor="text1"/>
              </w:rPr>
              <w:t>60</w:t>
            </w:r>
          </w:p>
        </w:tc>
        <w:tc>
          <w:tcPr>
            <w:tcW w:w="625" w:type="dxa"/>
            <w:vAlign w:val="center"/>
          </w:tcPr>
          <w:p w14:paraId="676EDB0C" w14:textId="7D3766BB" w:rsidR="008109D3" w:rsidRPr="00F36109" w:rsidRDefault="008109D3" w:rsidP="00D17C9E">
            <w:pPr>
              <w:jc w:val="center"/>
              <w:rPr>
                <w:rFonts w:ascii="Times New Roman" w:hAnsi="Times New Roman"/>
                <w:color w:val="000000" w:themeColor="text1"/>
              </w:rPr>
            </w:pPr>
            <w:r w:rsidRPr="00F36109">
              <w:rPr>
                <w:rFonts w:ascii="Times New Roman" w:hAnsi="Times New Roman"/>
                <w:color w:val="000000" w:themeColor="text1"/>
              </w:rPr>
              <w:t>90</w:t>
            </w:r>
          </w:p>
        </w:tc>
      </w:tr>
    </w:tbl>
    <w:p w14:paraId="77C9C637" w14:textId="77777777" w:rsidR="00E468A2" w:rsidRPr="00F36109" w:rsidRDefault="00E468A2" w:rsidP="00D17C9E">
      <w:pPr>
        <w:spacing w:after="0" w:line="240" w:lineRule="auto"/>
        <w:rPr>
          <w:rFonts w:ascii="Times New Roman" w:eastAsiaTheme="majorEastAsia" w:hAnsi="Times New Roman" w:cs="Times New Roman"/>
          <w:color w:val="1F3763" w:themeColor="accent1" w:themeShade="7F"/>
        </w:rPr>
      </w:pPr>
    </w:p>
    <w:p w14:paraId="04E17119" w14:textId="6101D1DC" w:rsidR="00C85ED8" w:rsidRPr="00F36109" w:rsidRDefault="00BC7DFF" w:rsidP="007D4BC7">
      <w:pPr>
        <w:spacing w:after="0" w:line="240" w:lineRule="auto"/>
        <w:ind w:firstLine="720"/>
        <w:rPr>
          <w:rFonts w:ascii="Times New Roman" w:eastAsiaTheme="majorEastAsia" w:hAnsi="Times New Roman" w:cs="Times New Roman"/>
          <w:b/>
          <w:i/>
          <w:color w:val="000000" w:themeColor="text1"/>
        </w:rPr>
      </w:pPr>
      <w:r w:rsidRPr="00F36109">
        <w:rPr>
          <w:rFonts w:ascii="Times New Roman" w:eastAsiaTheme="majorEastAsia" w:hAnsi="Times New Roman" w:cs="Times New Roman"/>
          <w:b/>
          <w:i/>
          <w:color w:val="000000" w:themeColor="text1"/>
        </w:rPr>
        <w:t xml:space="preserve">Implementation Phase </w:t>
      </w:r>
    </w:p>
    <w:p w14:paraId="1DDCC342" w14:textId="77777777" w:rsidR="000B046F" w:rsidRPr="00F36109" w:rsidRDefault="000B046F" w:rsidP="007D4BC7">
      <w:pPr>
        <w:spacing w:after="0" w:line="240" w:lineRule="auto"/>
        <w:ind w:firstLine="720"/>
        <w:rPr>
          <w:rFonts w:ascii="Times New Roman" w:eastAsiaTheme="majorEastAsia" w:hAnsi="Times New Roman" w:cs="Times New Roman"/>
          <w:b/>
          <w:i/>
          <w:color w:val="000000" w:themeColor="text1"/>
        </w:rPr>
      </w:pPr>
    </w:p>
    <w:p w14:paraId="033E09A1" w14:textId="77777777" w:rsidR="00D075DF" w:rsidRDefault="00D075DF" w:rsidP="00D17C9E">
      <w:pPr>
        <w:spacing w:after="0" w:line="240" w:lineRule="auto"/>
        <w:rPr>
          <w:rFonts w:ascii="Times New Roman" w:eastAsiaTheme="majorEastAsia" w:hAnsi="Times New Roman" w:cs="Times New Roman"/>
          <w:b/>
          <w:color w:val="1F3763" w:themeColor="accent1" w:themeShade="7F"/>
        </w:rPr>
      </w:pPr>
    </w:p>
    <w:p w14:paraId="7BF7CF1C" w14:textId="3D51B949" w:rsidR="003A3F6B" w:rsidRPr="00F36109" w:rsidRDefault="003A3F6B" w:rsidP="00D17C9E">
      <w:pPr>
        <w:spacing w:after="0" w:line="240" w:lineRule="auto"/>
        <w:rPr>
          <w:rFonts w:ascii="Times New Roman" w:eastAsiaTheme="majorEastAsia" w:hAnsi="Times New Roman" w:cs="Times New Roman"/>
          <w:b/>
          <w:color w:val="1F3763" w:themeColor="accent1" w:themeShade="7F"/>
        </w:rPr>
      </w:pPr>
      <w:r w:rsidRPr="00F36109">
        <w:rPr>
          <w:rFonts w:ascii="Times New Roman" w:eastAsiaTheme="majorEastAsia" w:hAnsi="Times New Roman" w:cs="Times New Roman"/>
          <w:b/>
          <w:color w:val="1F3763" w:themeColor="accent1" w:themeShade="7F"/>
        </w:rPr>
        <w:t>Output 3:  Integrated policy solutions for accelerating SDG progress implemented</w:t>
      </w:r>
    </w:p>
    <w:p w14:paraId="3FA2BB8C" w14:textId="77777777" w:rsidR="000B046F" w:rsidRPr="00F36109" w:rsidRDefault="000B046F" w:rsidP="00D17C9E">
      <w:pPr>
        <w:spacing w:after="0" w:line="240" w:lineRule="auto"/>
        <w:rPr>
          <w:rFonts w:ascii="Times New Roman" w:eastAsiaTheme="majorEastAsia" w:hAnsi="Times New Roman" w:cs="Times New Roman"/>
          <w:b/>
          <w:color w:val="1F3763" w:themeColor="accent1" w:themeShade="7F"/>
        </w:rPr>
      </w:pPr>
    </w:p>
    <w:tbl>
      <w:tblPr>
        <w:tblStyle w:val="TableGrid"/>
        <w:tblW w:w="0" w:type="auto"/>
        <w:jc w:val="center"/>
        <w:tblLayout w:type="fixed"/>
        <w:tblLook w:val="04A0" w:firstRow="1" w:lastRow="0" w:firstColumn="1" w:lastColumn="0" w:noHBand="0" w:noVBand="1"/>
      </w:tblPr>
      <w:tblGrid>
        <w:gridCol w:w="590"/>
        <w:gridCol w:w="5975"/>
        <w:gridCol w:w="900"/>
        <w:gridCol w:w="630"/>
        <w:gridCol w:w="630"/>
        <w:gridCol w:w="625"/>
      </w:tblGrid>
      <w:tr w:rsidR="00981F32" w:rsidRPr="00F36109" w14:paraId="02E6F2E2" w14:textId="77777777" w:rsidTr="00F359B8">
        <w:trPr>
          <w:jc w:val="center"/>
        </w:trPr>
        <w:tc>
          <w:tcPr>
            <w:tcW w:w="6565" w:type="dxa"/>
            <w:gridSpan w:val="2"/>
            <w:shd w:val="clear" w:color="auto" w:fill="D9E2F3" w:themeFill="accent1" w:themeFillTint="33"/>
            <w:vAlign w:val="center"/>
          </w:tcPr>
          <w:p w14:paraId="0B572E68" w14:textId="77777777" w:rsidR="00981F32" w:rsidRPr="00F36109" w:rsidRDefault="00981F32" w:rsidP="00D17C9E">
            <w:pPr>
              <w:jc w:val="center"/>
              <w:rPr>
                <w:rFonts w:ascii="Times New Roman" w:hAnsi="Times New Roman"/>
                <w:b/>
                <w:color w:val="000000" w:themeColor="text1"/>
              </w:rPr>
            </w:pPr>
            <w:r w:rsidRPr="00F36109">
              <w:rPr>
                <w:rFonts w:ascii="Times New Roman" w:hAnsi="Times New Roman"/>
                <w:b/>
                <w:color w:val="000000" w:themeColor="text1"/>
              </w:rPr>
              <w:t>Global indicators</w:t>
            </w:r>
          </w:p>
        </w:tc>
        <w:tc>
          <w:tcPr>
            <w:tcW w:w="900" w:type="dxa"/>
            <w:shd w:val="clear" w:color="auto" w:fill="D9E2F3" w:themeFill="accent1" w:themeFillTint="33"/>
            <w:vAlign w:val="center"/>
          </w:tcPr>
          <w:p w14:paraId="2A9BF8F7" w14:textId="77777777" w:rsidR="00981F32" w:rsidRPr="00F36109" w:rsidRDefault="00981F32"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Baseline</w:t>
            </w:r>
          </w:p>
        </w:tc>
        <w:tc>
          <w:tcPr>
            <w:tcW w:w="1885" w:type="dxa"/>
            <w:gridSpan w:val="3"/>
            <w:shd w:val="clear" w:color="auto" w:fill="D9E2F3" w:themeFill="accent1" w:themeFillTint="33"/>
            <w:vAlign w:val="center"/>
          </w:tcPr>
          <w:p w14:paraId="3CAAE383" w14:textId="1A564E1E" w:rsidR="00981F32" w:rsidRPr="00F36109" w:rsidRDefault="00194068"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 xml:space="preserve">Cumulative </w:t>
            </w:r>
            <w:r w:rsidR="00981F32" w:rsidRPr="00F36109">
              <w:rPr>
                <w:rFonts w:ascii="Times New Roman" w:hAnsi="Times New Roman"/>
                <w:b/>
                <w:color w:val="000000" w:themeColor="text1"/>
                <w:sz w:val="18"/>
              </w:rPr>
              <w:t xml:space="preserve">Target </w:t>
            </w:r>
          </w:p>
        </w:tc>
      </w:tr>
      <w:tr w:rsidR="00862B2C" w:rsidRPr="00F36109" w14:paraId="1CE3AAAC" w14:textId="77777777" w:rsidTr="00F359B8">
        <w:trPr>
          <w:jc w:val="center"/>
        </w:trPr>
        <w:tc>
          <w:tcPr>
            <w:tcW w:w="6565" w:type="dxa"/>
            <w:gridSpan w:val="2"/>
            <w:shd w:val="clear" w:color="auto" w:fill="D9E2F3" w:themeFill="accent1" w:themeFillTint="33"/>
            <w:vAlign w:val="center"/>
          </w:tcPr>
          <w:p w14:paraId="710076DB" w14:textId="77777777" w:rsidR="00862B2C" w:rsidRPr="00F36109" w:rsidRDefault="00862B2C" w:rsidP="00D17C9E">
            <w:pPr>
              <w:jc w:val="center"/>
              <w:rPr>
                <w:rFonts w:ascii="Times New Roman" w:hAnsi="Times New Roman"/>
                <w:b/>
                <w:color w:val="000000" w:themeColor="text1"/>
              </w:rPr>
            </w:pPr>
          </w:p>
        </w:tc>
        <w:tc>
          <w:tcPr>
            <w:tcW w:w="900" w:type="dxa"/>
            <w:shd w:val="clear" w:color="auto" w:fill="D9E2F3" w:themeFill="accent1" w:themeFillTint="33"/>
            <w:vAlign w:val="center"/>
          </w:tcPr>
          <w:p w14:paraId="39DC9697" w14:textId="77777777" w:rsidR="00862B2C" w:rsidRPr="00F36109" w:rsidRDefault="00862B2C" w:rsidP="00D17C9E">
            <w:pPr>
              <w:jc w:val="center"/>
              <w:rPr>
                <w:rFonts w:ascii="Times New Roman" w:hAnsi="Times New Roman"/>
                <w:b/>
                <w:color w:val="000000" w:themeColor="text1"/>
                <w:sz w:val="18"/>
              </w:rPr>
            </w:pPr>
          </w:p>
        </w:tc>
        <w:tc>
          <w:tcPr>
            <w:tcW w:w="630" w:type="dxa"/>
            <w:shd w:val="clear" w:color="auto" w:fill="D9E2F3" w:themeFill="accent1" w:themeFillTint="33"/>
            <w:vAlign w:val="center"/>
          </w:tcPr>
          <w:p w14:paraId="5E89DFF7" w14:textId="77777777" w:rsidR="00862B2C" w:rsidRPr="00F36109" w:rsidRDefault="00862B2C"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2019</w:t>
            </w:r>
          </w:p>
        </w:tc>
        <w:tc>
          <w:tcPr>
            <w:tcW w:w="630" w:type="dxa"/>
            <w:shd w:val="clear" w:color="auto" w:fill="D9E2F3" w:themeFill="accent1" w:themeFillTint="33"/>
          </w:tcPr>
          <w:p w14:paraId="6A620103" w14:textId="77777777" w:rsidR="00862B2C" w:rsidRPr="00F36109" w:rsidRDefault="00862B2C"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2020</w:t>
            </w:r>
          </w:p>
        </w:tc>
        <w:tc>
          <w:tcPr>
            <w:tcW w:w="625" w:type="dxa"/>
            <w:shd w:val="clear" w:color="auto" w:fill="D9E2F3" w:themeFill="accent1" w:themeFillTint="33"/>
          </w:tcPr>
          <w:p w14:paraId="4CCDBAB6" w14:textId="77777777" w:rsidR="00862B2C" w:rsidRPr="00F36109" w:rsidRDefault="00862B2C"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2021</w:t>
            </w:r>
          </w:p>
        </w:tc>
      </w:tr>
      <w:tr w:rsidR="00862B2C" w:rsidRPr="00F36109" w14:paraId="08622EA4" w14:textId="77777777" w:rsidTr="00F359B8">
        <w:trPr>
          <w:jc w:val="center"/>
        </w:trPr>
        <w:tc>
          <w:tcPr>
            <w:tcW w:w="590" w:type="dxa"/>
            <w:vAlign w:val="center"/>
          </w:tcPr>
          <w:p w14:paraId="65173EA8" w14:textId="1991403E" w:rsidR="00862B2C" w:rsidRPr="00F36109" w:rsidRDefault="00862B2C" w:rsidP="00D17C9E">
            <w:pPr>
              <w:jc w:val="center"/>
              <w:rPr>
                <w:rFonts w:ascii="Times New Roman" w:hAnsi="Times New Roman"/>
                <w:color w:val="000000" w:themeColor="text1"/>
                <w:sz w:val="16"/>
              </w:rPr>
            </w:pPr>
            <w:r w:rsidRPr="00F36109">
              <w:rPr>
                <w:rFonts w:ascii="Times New Roman" w:hAnsi="Times New Roman"/>
                <w:color w:val="000000" w:themeColor="text1"/>
                <w:sz w:val="16"/>
              </w:rPr>
              <w:t>3.1</w:t>
            </w:r>
          </w:p>
        </w:tc>
        <w:tc>
          <w:tcPr>
            <w:tcW w:w="5975" w:type="dxa"/>
            <w:vAlign w:val="center"/>
          </w:tcPr>
          <w:p w14:paraId="47CB9962" w14:textId="322E640E" w:rsidR="00862B2C" w:rsidRPr="00F36109" w:rsidRDefault="00862B2C" w:rsidP="00D17C9E">
            <w:pPr>
              <w:rPr>
                <w:rFonts w:ascii="Times New Roman" w:hAnsi="Times New Roman"/>
                <w:color w:val="000000" w:themeColor="text1"/>
              </w:rPr>
            </w:pPr>
            <w:r w:rsidRPr="00F36109">
              <w:rPr>
                <w:rFonts w:ascii="Times New Roman" w:hAnsi="Times New Roman"/>
                <w:color w:val="000000" w:themeColor="text1"/>
              </w:rPr>
              <w:t># of innovative solutions that were tested (disaggregated by % successful-unsuccessful</w:t>
            </w:r>
            <w:r w:rsidRPr="00F36109">
              <w:rPr>
                <w:rStyle w:val="FootnoteReference"/>
                <w:rFonts w:ascii="Times New Roman" w:hAnsi="Times New Roman"/>
                <w:color w:val="000000" w:themeColor="text1"/>
              </w:rPr>
              <w:footnoteReference w:id="23"/>
            </w:r>
            <w:r w:rsidRPr="00F36109">
              <w:rPr>
                <w:rFonts w:ascii="Times New Roman" w:hAnsi="Times New Roman"/>
                <w:color w:val="000000" w:themeColor="text1"/>
              </w:rPr>
              <w:t>)</w:t>
            </w:r>
          </w:p>
        </w:tc>
        <w:tc>
          <w:tcPr>
            <w:tcW w:w="900" w:type="dxa"/>
            <w:vAlign w:val="center"/>
          </w:tcPr>
          <w:p w14:paraId="68C82315" w14:textId="77777777" w:rsidR="00862B2C" w:rsidRPr="00F36109" w:rsidRDefault="00862B2C"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630" w:type="dxa"/>
            <w:vAlign w:val="center"/>
          </w:tcPr>
          <w:p w14:paraId="60F6DEB4" w14:textId="2B90AF69" w:rsidR="00862B2C" w:rsidRPr="00F36109" w:rsidRDefault="00F21A6E" w:rsidP="00D17C9E">
            <w:pPr>
              <w:jc w:val="center"/>
              <w:rPr>
                <w:rFonts w:ascii="Times New Roman" w:hAnsi="Times New Roman"/>
                <w:color w:val="000000" w:themeColor="text1"/>
              </w:rPr>
            </w:pPr>
            <w:r w:rsidRPr="00F36109">
              <w:rPr>
                <w:rFonts w:ascii="Times New Roman" w:hAnsi="Times New Roman"/>
                <w:color w:val="000000" w:themeColor="text1"/>
              </w:rPr>
              <w:t>12</w:t>
            </w:r>
          </w:p>
        </w:tc>
        <w:tc>
          <w:tcPr>
            <w:tcW w:w="630" w:type="dxa"/>
            <w:vAlign w:val="center"/>
          </w:tcPr>
          <w:p w14:paraId="79CA85D0" w14:textId="4972EB6F" w:rsidR="00862B2C" w:rsidRPr="00F36109" w:rsidRDefault="00F21A6E" w:rsidP="00D17C9E">
            <w:pPr>
              <w:jc w:val="center"/>
              <w:rPr>
                <w:rFonts w:ascii="Times New Roman" w:hAnsi="Times New Roman"/>
                <w:color w:val="000000" w:themeColor="text1"/>
              </w:rPr>
            </w:pPr>
            <w:r w:rsidRPr="00F36109">
              <w:rPr>
                <w:rFonts w:ascii="Times New Roman" w:hAnsi="Times New Roman"/>
                <w:color w:val="000000" w:themeColor="text1"/>
              </w:rPr>
              <w:t>62</w:t>
            </w:r>
          </w:p>
        </w:tc>
        <w:tc>
          <w:tcPr>
            <w:tcW w:w="625" w:type="dxa"/>
            <w:vAlign w:val="center"/>
          </w:tcPr>
          <w:p w14:paraId="697C8860" w14:textId="228D9537" w:rsidR="00862B2C" w:rsidRPr="00F36109" w:rsidRDefault="00F21A6E" w:rsidP="00D17C9E">
            <w:pPr>
              <w:jc w:val="center"/>
              <w:rPr>
                <w:rFonts w:ascii="Times New Roman" w:hAnsi="Times New Roman"/>
                <w:color w:val="000000" w:themeColor="text1"/>
              </w:rPr>
            </w:pPr>
            <w:r w:rsidRPr="00F36109">
              <w:rPr>
                <w:rFonts w:ascii="Times New Roman" w:hAnsi="Times New Roman"/>
                <w:color w:val="000000" w:themeColor="text1"/>
              </w:rPr>
              <w:t>92</w:t>
            </w:r>
          </w:p>
        </w:tc>
      </w:tr>
      <w:tr w:rsidR="00862B2C" w:rsidRPr="00F36109" w14:paraId="5E4D846E" w14:textId="77777777" w:rsidTr="00F359B8">
        <w:trPr>
          <w:jc w:val="center"/>
        </w:trPr>
        <w:tc>
          <w:tcPr>
            <w:tcW w:w="590" w:type="dxa"/>
            <w:vAlign w:val="center"/>
          </w:tcPr>
          <w:p w14:paraId="39A40D50" w14:textId="47763BBD" w:rsidR="00862B2C" w:rsidRPr="00F36109" w:rsidRDefault="00862B2C" w:rsidP="00D17C9E">
            <w:pPr>
              <w:jc w:val="center"/>
              <w:rPr>
                <w:rFonts w:ascii="Times New Roman" w:hAnsi="Times New Roman"/>
                <w:color w:val="000000" w:themeColor="text1"/>
                <w:sz w:val="16"/>
              </w:rPr>
            </w:pPr>
            <w:r w:rsidRPr="00F36109">
              <w:rPr>
                <w:rFonts w:ascii="Times New Roman" w:hAnsi="Times New Roman"/>
                <w:color w:val="000000" w:themeColor="text1"/>
                <w:sz w:val="16"/>
              </w:rPr>
              <w:t>3.2</w:t>
            </w:r>
          </w:p>
        </w:tc>
        <w:tc>
          <w:tcPr>
            <w:tcW w:w="5975" w:type="dxa"/>
            <w:vAlign w:val="center"/>
          </w:tcPr>
          <w:p w14:paraId="659F97B1" w14:textId="469B4E85" w:rsidR="00862B2C" w:rsidRPr="00F36109" w:rsidRDefault="008C331A" w:rsidP="00D17C9E">
            <w:pPr>
              <w:rPr>
                <w:rFonts w:ascii="Times New Roman" w:hAnsi="Times New Roman"/>
                <w:color w:val="000000" w:themeColor="text1"/>
              </w:rPr>
            </w:pPr>
            <w:r w:rsidRPr="00F36109">
              <w:rPr>
                <w:rFonts w:ascii="Times New Roman" w:hAnsi="Times New Roman"/>
                <w:color w:val="000000" w:themeColor="text1"/>
              </w:rPr>
              <w:t>#</w:t>
            </w:r>
            <w:r w:rsidR="00862B2C" w:rsidRPr="00F36109">
              <w:rPr>
                <w:rFonts w:ascii="Times New Roman" w:hAnsi="Times New Roman"/>
                <w:color w:val="000000" w:themeColor="text1"/>
              </w:rPr>
              <w:t xml:space="preserve"> of integrated policy solutions that have been implemented with the national partners in lead</w:t>
            </w:r>
          </w:p>
        </w:tc>
        <w:tc>
          <w:tcPr>
            <w:tcW w:w="900" w:type="dxa"/>
            <w:vAlign w:val="center"/>
          </w:tcPr>
          <w:p w14:paraId="368B5524" w14:textId="77777777" w:rsidR="00862B2C" w:rsidRPr="00F36109" w:rsidRDefault="00862B2C"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630" w:type="dxa"/>
            <w:vAlign w:val="center"/>
          </w:tcPr>
          <w:p w14:paraId="1A4E18E0" w14:textId="22CAFE96" w:rsidR="00862B2C" w:rsidRPr="00F36109" w:rsidRDefault="00361A0C"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411D1833" w14:textId="3C1CBB5A" w:rsidR="00862B2C" w:rsidRPr="00F36109" w:rsidRDefault="00361A0C" w:rsidP="00D17C9E">
            <w:pPr>
              <w:jc w:val="center"/>
              <w:rPr>
                <w:rFonts w:ascii="Times New Roman" w:hAnsi="Times New Roman"/>
                <w:color w:val="000000" w:themeColor="text1"/>
              </w:rPr>
            </w:pPr>
            <w:r w:rsidRPr="00F36109">
              <w:rPr>
                <w:rFonts w:ascii="Times New Roman" w:hAnsi="Times New Roman"/>
                <w:color w:val="000000" w:themeColor="text1"/>
              </w:rPr>
              <w:t>6</w:t>
            </w:r>
          </w:p>
        </w:tc>
        <w:tc>
          <w:tcPr>
            <w:tcW w:w="625" w:type="dxa"/>
            <w:vAlign w:val="center"/>
          </w:tcPr>
          <w:p w14:paraId="143639AB" w14:textId="1AC08215" w:rsidR="00862B2C" w:rsidRPr="00F36109" w:rsidRDefault="00361A0C" w:rsidP="00D17C9E">
            <w:pPr>
              <w:jc w:val="center"/>
              <w:rPr>
                <w:rFonts w:ascii="Times New Roman" w:hAnsi="Times New Roman"/>
                <w:color w:val="000000" w:themeColor="text1"/>
              </w:rPr>
            </w:pPr>
            <w:r w:rsidRPr="00F36109">
              <w:rPr>
                <w:rFonts w:ascii="Times New Roman" w:hAnsi="Times New Roman"/>
                <w:color w:val="000000" w:themeColor="text1"/>
              </w:rPr>
              <w:t>31</w:t>
            </w:r>
          </w:p>
        </w:tc>
      </w:tr>
      <w:tr w:rsidR="00E06870" w:rsidRPr="00F36109" w14:paraId="403C5AA3" w14:textId="77777777" w:rsidTr="00F359B8">
        <w:trPr>
          <w:jc w:val="center"/>
        </w:trPr>
        <w:tc>
          <w:tcPr>
            <w:tcW w:w="590" w:type="dxa"/>
            <w:vAlign w:val="center"/>
          </w:tcPr>
          <w:p w14:paraId="02CF2267" w14:textId="558A8802" w:rsidR="00E06870" w:rsidRPr="00F36109" w:rsidRDefault="00DE6412" w:rsidP="00D17C9E">
            <w:pPr>
              <w:jc w:val="center"/>
              <w:rPr>
                <w:rFonts w:ascii="Times New Roman" w:hAnsi="Times New Roman"/>
                <w:color w:val="000000" w:themeColor="text1"/>
                <w:sz w:val="16"/>
              </w:rPr>
            </w:pPr>
            <w:r w:rsidRPr="00F36109">
              <w:rPr>
                <w:rFonts w:ascii="Times New Roman" w:hAnsi="Times New Roman"/>
                <w:color w:val="000000" w:themeColor="text1"/>
                <w:sz w:val="16"/>
              </w:rPr>
              <w:t>3.3</w:t>
            </w:r>
          </w:p>
        </w:tc>
        <w:tc>
          <w:tcPr>
            <w:tcW w:w="5975" w:type="dxa"/>
            <w:vAlign w:val="center"/>
          </w:tcPr>
          <w:p w14:paraId="5F67807D" w14:textId="327CFB56" w:rsidR="00E06870" w:rsidRPr="00F36109" w:rsidRDefault="00DE6412" w:rsidP="00D17C9E">
            <w:pPr>
              <w:rPr>
                <w:rFonts w:ascii="Times New Roman" w:hAnsi="Times New Roman"/>
                <w:color w:val="000000" w:themeColor="text1"/>
              </w:rPr>
            </w:pPr>
            <w:r w:rsidRPr="00F36109">
              <w:rPr>
                <w:rFonts w:ascii="Times New Roman" w:hAnsi="Times New Roman"/>
              </w:rPr>
              <w:t># and share of countries where national capacities to implement integrated, cross-sectoral SDG accelerators has been strengthened.</w:t>
            </w:r>
          </w:p>
        </w:tc>
        <w:tc>
          <w:tcPr>
            <w:tcW w:w="900" w:type="dxa"/>
            <w:vAlign w:val="center"/>
          </w:tcPr>
          <w:p w14:paraId="20B928A9" w14:textId="450FFB6B" w:rsidR="00E06870" w:rsidRPr="00F36109" w:rsidRDefault="00667075"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630" w:type="dxa"/>
            <w:vAlign w:val="center"/>
          </w:tcPr>
          <w:p w14:paraId="7A599F6D" w14:textId="112D0DD1" w:rsidR="00E06870" w:rsidRPr="00F36109" w:rsidRDefault="00667075"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5B46161A" w14:textId="0877CB85" w:rsidR="00E06870" w:rsidRPr="00F36109" w:rsidRDefault="00667075" w:rsidP="00D17C9E">
            <w:pPr>
              <w:jc w:val="center"/>
              <w:rPr>
                <w:rFonts w:ascii="Times New Roman" w:hAnsi="Times New Roman"/>
                <w:color w:val="000000" w:themeColor="text1"/>
              </w:rPr>
            </w:pPr>
            <w:r w:rsidRPr="00F36109">
              <w:rPr>
                <w:rFonts w:ascii="Times New Roman" w:hAnsi="Times New Roman"/>
                <w:color w:val="000000" w:themeColor="text1"/>
              </w:rPr>
              <w:t>6</w:t>
            </w:r>
          </w:p>
        </w:tc>
        <w:tc>
          <w:tcPr>
            <w:tcW w:w="625" w:type="dxa"/>
            <w:vAlign w:val="center"/>
          </w:tcPr>
          <w:p w14:paraId="2ACAC6E0" w14:textId="5766799C" w:rsidR="00E06870" w:rsidRPr="00F36109" w:rsidRDefault="00667075" w:rsidP="00D17C9E">
            <w:pPr>
              <w:jc w:val="center"/>
              <w:rPr>
                <w:rFonts w:ascii="Times New Roman" w:hAnsi="Times New Roman"/>
                <w:color w:val="000000" w:themeColor="text1"/>
              </w:rPr>
            </w:pPr>
            <w:r w:rsidRPr="00F36109">
              <w:rPr>
                <w:rFonts w:ascii="Times New Roman" w:hAnsi="Times New Roman"/>
                <w:color w:val="000000" w:themeColor="text1"/>
              </w:rPr>
              <w:t>31</w:t>
            </w:r>
          </w:p>
        </w:tc>
      </w:tr>
      <w:tr w:rsidR="006E2DD1" w:rsidRPr="00F36109" w14:paraId="5DF89235" w14:textId="77777777" w:rsidTr="00F359B8">
        <w:trPr>
          <w:jc w:val="center"/>
        </w:trPr>
        <w:tc>
          <w:tcPr>
            <w:tcW w:w="590" w:type="dxa"/>
            <w:vAlign w:val="center"/>
          </w:tcPr>
          <w:p w14:paraId="5EDE678C" w14:textId="7FC2D06E" w:rsidR="006E2DD1" w:rsidRPr="00F36109" w:rsidRDefault="006E2DD1" w:rsidP="00D17C9E">
            <w:pPr>
              <w:jc w:val="center"/>
              <w:rPr>
                <w:rFonts w:ascii="Times New Roman" w:hAnsi="Times New Roman"/>
                <w:color w:val="000000" w:themeColor="text1"/>
                <w:sz w:val="16"/>
              </w:rPr>
            </w:pPr>
            <w:r w:rsidRPr="00F36109">
              <w:rPr>
                <w:rFonts w:ascii="Times New Roman" w:hAnsi="Times New Roman"/>
                <w:color w:val="000000" w:themeColor="text1"/>
                <w:sz w:val="16"/>
              </w:rPr>
              <w:t>3.</w:t>
            </w:r>
            <w:r w:rsidR="00DE6412" w:rsidRPr="00F36109">
              <w:rPr>
                <w:rFonts w:ascii="Times New Roman" w:hAnsi="Times New Roman"/>
                <w:color w:val="000000" w:themeColor="text1"/>
                <w:sz w:val="16"/>
              </w:rPr>
              <w:t>4</w:t>
            </w:r>
          </w:p>
        </w:tc>
        <w:tc>
          <w:tcPr>
            <w:tcW w:w="5975" w:type="dxa"/>
            <w:vAlign w:val="center"/>
          </w:tcPr>
          <w:p w14:paraId="15373BCE" w14:textId="5365A7F5" w:rsidR="006E2DD1" w:rsidRPr="00F36109" w:rsidRDefault="006E2DD1" w:rsidP="00D17C9E">
            <w:pPr>
              <w:rPr>
                <w:rFonts w:ascii="Times New Roman" w:hAnsi="Times New Roman"/>
                <w:color w:val="000000" w:themeColor="text1"/>
              </w:rPr>
            </w:pPr>
            <w:r w:rsidRPr="00F36109">
              <w:rPr>
                <w:rFonts w:ascii="Times New Roman" w:hAnsi="Times New Roman"/>
                <w:color w:val="000000" w:themeColor="text1"/>
              </w:rPr>
              <w:t xml:space="preserve">% of </w:t>
            </w:r>
            <w:r w:rsidR="0069566F" w:rsidRPr="00F36109">
              <w:rPr>
                <w:rFonts w:ascii="Times New Roman" w:hAnsi="Times New Roman"/>
                <w:color w:val="000000" w:themeColor="text1"/>
              </w:rPr>
              <w:t xml:space="preserve">Joint </w:t>
            </w:r>
            <w:proofErr w:type="spellStart"/>
            <w:r w:rsidR="0069566F" w:rsidRPr="00F36109">
              <w:rPr>
                <w:rFonts w:ascii="Times New Roman" w:hAnsi="Times New Roman"/>
                <w:color w:val="000000" w:themeColor="text1"/>
              </w:rPr>
              <w:t>Programmes</w:t>
            </w:r>
            <w:proofErr w:type="spellEnd"/>
            <w:r w:rsidRPr="00F36109">
              <w:rPr>
                <w:rFonts w:ascii="Times New Roman" w:hAnsi="Times New Roman"/>
                <w:color w:val="000000" w:themeColor="text1"/>
              </w:rPr>
              <w:t xml:space="preserve"> that have </w:t>
            </w:r>
            <w:r w:rsidR="00707984" w:rsidRPr="00F36109">
              <w:rPr>
                <w:rFonts w:ascii="Times New Roman" w:hAnsi="Times New Roman"/>
                <w:color w:val="000000" w:themeColor="text1"/>
              </w:rPr>
              <w:t>a functioning</w:t>
            </w:r>
            <w:r w:rsidRPr="00F36109">
              <w:rPr>
                <w:rFonts w:ascii="Times New Roman" w:hAnsi="Times New Roman"/>
                <w:color w:val="000000" w:themeColor="text1"/>
              </w:rPr>
              <w:t xml:space="preserve"> partnership framework </w:t>
            </w:r>
            <w:r w:rsidR="00C539F3" w:rsidRPr="00F36109">
              <w:rPr>
                <w:rFonts w:ascii="Times New Roman" w:hAnsi="Times New Roman"/>
                <w:color w:val="000000" w:themeColor="text1"/>
              </w:rPr>
              <w:t xml:space="preserve">for integrated policy solutions to </w:t>
            </w:r>
            <w:r w:rsidRPr="00F36109">
              <w:rPr>
                <w:rFonts w:ascii="Times New Roman" w:hAnsi="Times New Roman"/>
                <w:color w:val="000000" w:themeColor="text1"/>
              </w:rPr>
              <w:t>accelerat</w:t>
            </w:r>
            <w:r w:rsidR="00C539F3" w:rsidRPr="00F36109">
              <w:rPr>
                <w:rFonts w:ascii="Times New Roman" w:hAnsi="Times New Roman"/>
                <w:color w:val="000000" w:themeColor="text1"/>
              </w:rPr>
              <w:t xml:space="preserve">e </w:t>
            </w:r>
            <w:r w:rsidRPr="00F36109">
              <w:rPr>
                <w:rFonts w:ascii="Times New Roman" w:hAnsi="Times New Roman"/>
                <w:color w:val="000000" w:themeColor="text1"/>
              </w:rPr>
              <w:t>progress on SDGs</w:t>
            </w:r>
          </w:p>
        </w:tc>
        <w:tc>
          <w:tcPr>
            <w:tcW w:w="900" w:type="dxa"/>
            <w:vAlign w:val="center"/>
          </w:tcPr>
          <w:p w14:paraId="02FE0E6E" w14:textId="77777777" w:rsidR="006E2DD1" w:rsidRPr="00F36109" w:rsidRDefault="006E2DD1" w:rsidP="00D17C9E">
            <w:pPr>
              <w:jc w:val="center"/>
              <w:rPr>
                <w:rFonts w:ascii="Times New Roman" w:hAnsi="Times New Roman"/>
                <w:color w:val="000000" w:themeColor="text1"/>
              </w:rPr>
            </w:pPr>
            <w:r w:rsidRPr="00F36109">
              <w:rPr>
                <w:rFonts w:ascii="Times New Roman" w:hAnsi="Times New Roman"/>
                <w:color w:val="000000" w:themeColor="text1"/>
              </w:rPr>
              <w:t xml:space="preserve">0 </w:t>
            </w:r>
          </w:p>
        </w:tc>
        <w:tc>
          <w:tcPr>
            <w:tcW w:w="630" w:type="dxa"/>
            <w:vAlign w:val="center"/>
          </w:tcPr>
          <w:p w14:paraId="677C351A" w14:textId="198D62DB" w:rsidR="006E2DD1" w:rsidRPr="00F36109" w:rsidRDefault="00981ED8"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230E078F" w14:textId="29ED3781" w:rsidR="006E2DD1" w:rsidRPr="00F36109" w:rsidRDefault="00981ED8" w:rsidP="00D17C9E">
            <w:pPr>
              <w:jc w:val="center"/>
              <w:rPr>
                <w:rFonts w:ascii="Times New Roman" w:hAnsi="Times New Roman"/>
                <w:color w:val="000000" w:themeColor="text1"/>
              </w:rPr>
            </w:pPr>
            <w:r w:rsidRPr="00F36109">
              <w:rPr>
                <w:rFonts w:ascii="Times New Roman" w:hAnsi="Times New Roman"/>
                <w:color w:val="000000" w:themeColor="text1"/>
              </w:rPr>
              <w:t>6</w:t>
            </w:r>
          </w:p>
        </w:tc>
        <w:tc>
          <w:tcPr>
            <w:tcW w:w="625" w:type="dxa"/>
            <w:vAlign w:val="center"/>
          </w:tcPr>
          <w:p w14:paraId="6C44ACA6" w14:textId="3F3360BE" w:rsidR="006E2DD1" w:rsidRPr="00F36109" w:rsidRDefault="00981ED8" w:rsidP="00D17C9E">
            <w:pPr>
              <w:jc w:val="center"/>
              <w:rPr>
                <w:rFonts w:ascii="Times New Roman" w:hAnsi="Times New Roman"/>
                <w:color w:val="000000" w:themeColor="text1"/>
              </w:rPr>
            </w:pPr>
            <w:r w:rsidRPr="00F36109">
              <w:rPr>
                <w:rFonts w:ascii="Times New Roman" w:hAnsi="Times New Roman"/>
                <w:color w:val="000000" w:themeColor="text1"/>
              </w:rPr>
              <w:t>31</w:t>
            </w:r>
          </w:p>
        </w:tc>
      </w:tr>
    </w:tbl>
    <w:p w14:paraId="240DDEB0" w14:textId="0FF42AA5" w:rsidR="00981F32" w:rsidRPr="00F36109" w:rsidRDefault="00981F32" w:rsidP="00D17C9E">
      <w:pPr>
        <w:spacing w:after="0" w:line="240" w:lineRule="auto"/>
        <w:rPr>
          <w:rFonts w:ascii="Times New Roman" w:hAnsi="Times New Roman" w:cs="Times New Roman"/>
          <w:b/>
          <w:spacing w:val="15"/>
          <w:sz w:val="24"/>
          <w:highlight w:val="yellow"/>
          <w:u w:val="single"/>
        </w:rPr>
      </w:pPr>
    </w:p>
    <w:p w14:paraId="644EC7BE" w14:textId="77777777" w:rsidR="00D075DF" w:rsidRDefault="00D075DF" w:rsidP="00D17C9E">
      <w:pPr>
        <w:spacing w:after="0" w:line="240" w:lineRule="auto"/>
        <w:rPr>
          <w:rFonts w:ascii="Times New Roman" w:eastAsiaTheme="majorEastAsia" w:hAnsi="Times New Roman" w:cs="Times New Roman"/>
          <w:b/>
          <w:color w:val="1F3763" w:themeColor="accent1" w:themeShade="7F"/>
        </w:rPr>
      </w:pPr>
    </w:p>
    <w:p w14:paraId="25A8CCE6" w14:textId="4252247E" w:rsidR="00E04E86" w:rsidRPr="00F36109" w:rsidRDefault="00E04E86" w:rsidP="00D17C9E">
      <w:pPr>
        <w:spacing w:after="0" w:line="240" w:lineRule="auto"/>
        <w:rPr>
          <w:rFonts w:ascii="Times New Roman" w:eastAsiaTheme="majorEastAsia" w:hAnsi="Times New Roman" w:cs="Times New Roman"/>
          <w:b/>
          <w:color w:val="1F3763" w:themeColor="accent1" w:themeShade="7F"/>
        </w:rPr>
      </w:pPr>
      <w:r w:rsidRPr="00F36109">
        <w:rPr>
          <w:rFonts w:ascii="Times New Roman" w:eastAsiaTheme="majorEastAsia" w:hAnsi="Times New Roman" w:cs="Times New Roman"/>
          <w:b/>
          <w:color w:val="1F3763" w:themeColor="accent1" w:themeShade="7F"/>
        </w:rPr>
        <w:t>Output 4:  Integrated Financing S</w:t>
      </w:r>
      <w:r w:rsidR="00073333" w:rsidRPr="00F36109">
        <w:rPr>
          <w:rFonts w:ascii="Times New Roman" w:eastAsiaTheme="majorEastAsia" w:hAnsi="Times New Roman" w:cs="Times New Roman"/>
          <w:b/>
          <w:color w:val="1F3763" w:themeColor="accent1" w:themeShade="7F"/>
        </w:rPr>
        <w:t>trategies</w:t>
      </w:r>
      <w:r w:rsidRPr="00F36109">
        <w:rPr>
          <w:rFonts w:ascii="Times New Roman" w:eastAsiaTheme="majorEastAsia" w:hAnsi="Times New Roman" w:cs="Times New Roman"/>
          <w:b/>
          <w:color w:val="1F3763" w:themeColor="accent1" w:themeShade="7F"/>
        </w:rPr>
        <w:t xml:space="preserve"> for accelerating SDG progress implemented</w:t>
      </w:r>
    </w:p>
    <w:p w14:paraId="3BFA1C6B" w14:textId="77777777" w:rsidR="000B046F" w:rsidRPr="00F36109" w:rsidRDefault="000B046F" w:rsidP="00D17C9E">
      <w:pPr>
        <w:spacing w:after="0" w:line="240" w:lineRule="auto"/>
        <w:rPr>
          <w:rFonts w:ascii="Times New Roman" w:eastAsiaTheme="majorEastAsia" w:hAnsi="Times New Roman" w:cs="Times New Roman"/>
          <w:b/>
          <w:color w:val="1F3763" w:themeColor="accent1" w:themeShade="7F"/>
        </w:rPr>
      </w:pPr>
    </w:p>
    <w:tbl>
      <w:tblPr>
        <w:tblStyle w:val="TableGrid"/>
        <w:tblW w:w="0" w:type="auto"/>
        <w:jc w:val="center"/>
        <w:tblLook w:val="04A0" w:firstRow="1" w:lastRow="0" w:firstColumn="1" w:lastColumn="0" w:noHBand="0" w:noVBand="1"/>
      </w:tblPr>
      <w:tblGrid>
        <w:gridCol w:w="590"/>
        <w:gridCol w:w="5975"/>
        <w:gridCol w:w="900"/>
        <w:gridCol w:w="630"/>
        <w:gridCol w:w="630"/>
        <w:gridCol w:w="625"/>
      </w:tblGrid>
      <w:tr w:rsidR="00E04E86" w:rsidRPr="00F36109" w14:paraId="320E3D99" w14:textId="77777777" w:rsidTr="000B046F">
        <w:trPr>
          <w:jc w:val="center"/>
        </w:trPr>
        <w:tc>
          <w:tcPr>
            <w:tcW w:w="6565" w:type="dxa"/>
            <w:gridSpan w:val="2"/>
            <w:shd w:val="clear" w:color="auto" w:fill="D9E2F3" w:themeFill="accent1" w:themeFillTint="33"/>
            <w:vAlign w:val="center"/>
          </w:tcPr>
          <w:p w14:paraId="57C95856" w14:textId="77777777" w:rsidR="00E04E86" w:rsidRPr="00F36109" w:rsidRDefault="00E04E86" w:rsidP="00D17C9E">
            <w:pPr>
              <w:jc w:val="center"/>
              <w:rPr>
                <w:rFonts w:ascii="Times New Roman" w:hAnsi="Times New Roman"/>
                <w:b/>
                <w:color w:val="000000" w:themeColor="text1"/>
              </w:rPr>
            </w:pPr>
            <w:r w:rsidRPr="00F36109">
              <w:rPr>
                <w:rFonts w:ascii="Times New Roman" w:hAnsi="Times New Roman"/>
                <w:b/>
                <w:color w:val="000000" w:themeColor="text1"/>
              </w:rPr>
              <w:t>Global indicators</w:t>
            </w:r>
          </w:p>
        </w:tc>
        <w:tc>
          <w:tcPr>
            <w:tcW w:w="900" w:type="dxa"/>
            <w:shd w:val="clear" w:color="auto" w:fill="D9E2F3" w:themeFill="accent1" w:themeFillTint="33"/>
            <w:vAlign w:val="center"/>
          </w:tcPr>
          <w:p w14:paraId="624ED1B4" w14:textId="77777777" w:rsidR="00E04E86" w:rsidRPr="00F36109" w:rsidRDefault="00E04E86"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Baseline</w:t>
            </w:r>
          </w:p>
        </w:tc>
        <w:tc>
          <w:tcPr>
            <w:tcW w:w="1885" w:type="dxa"/>
            <w:gridSpan w:val="3"/>
            <w:shd w:val="clear" w:color="auto" w:fill="D9E2F3" w:themeFill="accent1" w:themeFillTint="33"/>
            <w:vAlign w:val="center"/>
          </w:tcPr>
          <w:p w14:paraId="04CFC6E7" w14:textId="77777777" w:rsidR="00E04E86" w:rsidRPr="00F36109" w:rsidRDefault="00E04E86"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 xml:space="preserve">Cumulative Target </w:t>
            </w:r>
          </w:p>
        </w:tc>
      </w:tr>
      <w:tr w:rsidR="00E04E86" w:rsidRPr="00F36109" w14:paraId="04404568" w14:textId="77777777" w:rsidTr="000B046F">
        <w:trPr>
          <w:jc w:val="center"/>
        </w:trPr>
        <w:tc>
          <w:tcPr>
            <w:tcW w:w="6565" w:type="dxa"/>
            <w:gridSpan w:val="2"/>
            <w:shd w:val="clear" w:color="auto" w:fill="D9E2F3" w:themeFill="accent1" w:themeFillTint="33"/>
            <w:vAlign w:val="center"/>
          </w:tcPr>
          <w:p w14:paraId="675DDA77" w14:textId="77777777" w:rsidR="00E04E86" w:rsidRPr="00F36109" w:rsidRDefault="00E04E86" w:rsidP="00D17C9E">
            <w:pPr>
              <w:jc w:val="center"/>
              <w:rPr>
                <w:rFonts w:ascii="Times New Roman" w:hAnsi="Times New Roman"/>
                <w:b/>
                <w:color w:val="000000" w:themeColor="text1"/>
              </w:rPr>
            </w:pPr>
          </w:p>
        </w:tc>
        <w:tc>
          <w:tcPr>
            <w:tcW w:w="900" w:type="dxa"/>
            <w:shd w:val="clear" w:color="auto" w:fill="D9E2F3" w:themeFill="accent1" w:themeFillTint="33"/>
            <w:vAlign w:val="center"/>
          </w:tcPr>
          <w:p w14:paraId="1692F6CD" w14:textId="77777777" w:rsidR="00E04E86" w:rsidRPr="00F36109" w:rsidRDefault="00E04E86" w:rsidP="00D17C9E">
            <w:pPr>
              <w:jc w:val="center"/>
              <w:rPr>
                <w:rFonts w:ascii="Times New Roman" w:hAnsi="Times New Roman"/>
                <w:b/>
                <w:color w:val="000000" w:themeColor="text1"/>
                <w:sz w:val="18"/>
              </w:rPr>
            </w:pPr>
          </w:p>
        </w:tc>
        <w:tc>
          <w:tcPr>
            <w:tcW w:w="630" w:type="dxa"/>
            <w:shd w:val="clear" w:color="auto" w:fill="D9E2F3" w:themeFill="accent1" w:themeFillTint="33"/>
            <w:vAlign w:val="center"/>
          </w:tcPr>
          <w:p w14:paraId="1F12DBB5" w14:textId="77777777" w:rsidR="00E04E86" w:rsidRPr="00F36109" w:rsidRDefault="00E04E86"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2019</w:t>
            </w:r>
          </w:p>
        </w:tc>
        <w:tc>
          <w:tcPr>
            <w:tcW w:w="630" w:type="dxa"/>
            <w:shd w:val="clear" w:color="auto" w:fill="D9E2F3" w:themeFill="accent1" w:themeFillTint="33"/>
          </w:tcPr>
          <w:p w14:paraId="3183824D" w14:textId="77777777" w:rsidR="00E04E86" w:rsidRPr="00F36109" w:rsidRDefault="00E04E86"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2020</w:t>
            </w:r>
          </w:p>
        </w:tc>
        <w:tc>
          <w:tcPr>
            <w:tcW w:w="625" w:type="dxa"/>
            <w:shd w:val="clear" w:color="auto" w:fill="D9E2F3" w:themeFill="accent1" w:themeFillTint="33"/>
          </w:tcPr>
          <w:p w14:paraId="1D2A8BC2" w14:textId="77777777" w:rsidR="00E04E86" w:rsidRPr="00F36109" w:rsidRDefault="00E04E86" w:rsidP="00D17C9E">
            <w:pPr>
              <w:jc w:val="center"/>
              <w:rPr>
                <w:rFonts w:ascii="Times New Roman" w:hAnsi="Times New Roman"/>
                <w:b/>
                <w:color w:val="000000" w:themeColor="text1"/>
                <w:sz w:val="18"/>
              </w:rPr>
            </w:pPr>
            <w:r w:rsidRPr="00F36109">
              <w:rPr>
                <w:rFonts w:ascii="Times New Roman" w:hAnsi="Times New Roman"/>
                <w:b/>
                <w:color w:val="000000" w:themeColor="text1"/>
                <w:sz w:val="18"/>
              </w:rPr>
              <w:t>2021</w:t>
            </w:r>
          </w:p>
        </w:tc>
      </w:tr>
      <w:tr w:rsidR="00E04E86" w:rsidRPr="00F36109" w14:paraId="4DBA3941" w14:textId="77777777" w:rsidTr="000B046F">
        <w:trPr>
          <w:jc w:val="center"/>
        </w:trPr>
        <w:tc>
          <w:tcPr>
            <w:tcW w:w="590" w:type="dxa"/>
            <w:vAlign w:val="center"/>
          </w:tcPr>
          <w:p w14:paraId="30B3558A" w14:textId="77777777" w:rsidR="00E04E86" w:rsidRPr="00F36109" w:rsidRDefault="00E04E86" w:rsidP="00D17C9E">
            <w:pPr>
              <w:jc w:val="center"/>
              <w:rPr>
                <w:rFonts w:ascii="Times New Roman" w:hAnsi="Times New Roman"/>
                <w:color w:val="000000" w:themeColor="text1"/>
                <w:sz w:val="16"/>
              </w:rPr>
            </w:pPr>
            <w:r w:rsidRPr="00F36109">
              <w:rPr>
                <w:rFonts w:ascii="Times New Roman" w:hAnsi="Times New Roman"/>
                <w:color w:val="000000" w:themeColor="text1"/>
                <w:sz w:val="16"/>
              </w:rPr>
              <w:t>4.1</w:t>
            </w:r>
          </w:p>
        </w:tc>
        <w:tc>
          <w:tcPr>
            <w:tcW w:w="5975" w:type="dxa"/>
            <w:vAlign w:val="center"/>
          </w:tcPr>
          <w:p w14:paraId="6AE54FCB" w14:textId="3EC2022F" w:rsidR="00E04E86" w:rsidRPr="00F36109" w:rsidRDefault="00E04E86" w:rsidP="00D17C9E">
            <w:pPr>
              <w:rPr>
                <w:rFonts w:ascii="Times New Roman" w:hAnsi="Times New Roman"/>
                <w:color w:val="000000" w:themeColor="text1"/>
              </w:rPr>
            </w:pPr>
            <w:r w:rsidRPr="00F36109">
              <w:rPr>
                <w:rFonts w:ascii="Times New Roman" w:hAnsi="Times New Roman"/>
                <w:color w:val="000000" w:themeColor="text1"/>
              </w:rPr>
              <w:t xml:space="preserve"># of </w:t>
            </w:r>
            <w:r w:rsidR="00073333" w:rsidRPr="00F36109">
              <w:rPr>
                <w:rFonts w:ascii="Times New Roman" w:hAnsi="Times New Roman"/>
                <w:color w:val="000000" w:themeColor="text1"/>
              </w:rPr>
              <w:t xml:space="preserve">integrated </w:t>
            </w:r>
            <w:r w:rsidRPr="00F36109">
              <w:rPr>
                <w:rFonts w:ascii="Times New Roman" w:hAnsi="Times New Roman"/>
                <w:color w:val="000000" w:themeColor="text1"/>
              </w:rPr>
              <w:t>financing s</w:t>
            </w:r>
            <w:r w:rsidR="00073333" w:rsidRPr="00F36109">
              <w:rPr>
                <w:rFonts w:ascii="Times New Roman" w:hAnsi="Times New Roman"/>
                <w:color w:val="000000" w:themeColor="text1"/>
              </w:rPr>
              <w:t>trategies</w:t>
            </w:r>
            <w:r w:rsidRPr="00F36109">
              <w:rPr>
                <w:rFonts w:ascii="Times New Roman" w:hAnsi="Times New Roman"/>
                <w:color w:val="000000" w:themeColor="text1"/>
              </w:rPr>
              <w:t xml:space="preserve"> that were tested (disaggregated by % successful / unsuccessful)</w:t>
            </w:r>
          </w:p>
        </w:tc>
        <w:tc>
          <w:tcPr>
            <w:tcW w:w="900" w:type="dxa"/>
            <w:vAlign w:val="center"/>
          </w:tcPr>
          <w:p w14:paraId="7A331594"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630" w:type="dxa"/>
            <w:vAlign w:val="center"/>
          </w:tcPr>
          <w:p w14:paraId="14CFD245"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12</w:t>
            </w:r>
          </w:p>
        </w:tc>
        <w:tc>
          <w:tcPr>
            <w:tcW w:w="630" w:type="dxa"/>
            <w:vAlign w:val="center"/>
          </w:tcPr>
          <w:p w14:paraId="03C24C27"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62</w:t>
            </w:r>
          </w:p>
        </w:tc>
        <w:tc>
          <w:tcPr>
            <w:tcW w:w="625" w:type="dxa"/>
            <w:vAlign w:val="center"/>
          </w:tcPr>
          <w:p w14:paraId="4FF038A7"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92</w:t>
            </w:r>
          </w:p>
        </w:tc>
      </w:tr>
      <w:tr w:rsidR="00E04E86" w:rsidRPr="00F36109" w14:paraId="39E486AC" w14:textId="77777777" w:rsidTr="000B046F">
        <w:trPr>
          <w:jc w:val="center"/>
        </w:trPr>
        <w:tc>
          <w:tcPr>
            <w:tcW w:w="590" w:type="dxa"/>
            <w:vAlign w:val="center"/>
          </w:tcPr>
          <w:p w14:paraId="7C33639A" w14:textId="77777777" w:rsidR="00E04E86" w:rsidRPr="00F36109" w:rsidRDefault="00E04E86" w:rsidP="00D17C9E">
            <w:pPr>
              <w:jc w:val="center"/>
              <w:rPr>
                <w:rFonts w:ascii="Times New Roman" w:hAnsi="Times New Roman"/>
                <w:color w:val="000000" w:themeColor="text1"/>
                <w:sz w:val="16"/>
              </w:rPr>
            </w:pPr>
            <w:r w:rsidRPr="00F36109">
              <w:rPr>
                <w:rFonts w:ascii="Times New Roman" w:hAnsi="Times New Roman"/>
                <w:color w:val="000000" w:themeColor="text1"/>
                <w:sz w:val="16"/>
              </w:rPr>
              <w:t>4.2</w:t>
            </w:r>
          </w:p>
        </w:tc>
        <w:tc>
          <w:tcPr>
            <w:tcW w:w="5975" w:type="dxa"/>
            <w:vAlign w:val="center"/>
          </w:tcPr>
          <w:p w14:paraId="5A8107D9" w14:textId="6CEAAB55" w:rsidR="00E04E86" w:rsidRPr="00F36109" w:rsidRDefault="00E04E86" w:rsidP="00D17C9E">
            <w:pPr>
              <w:rPr>
                <w:rFonts w:ascii="Times New Roman" w:hAnsi="Times New Roman"/>
                <w:color w:val="000000" w:themeColor="text1"/>
              </w:rPr>
            </w:pPr>
            <w:r w:rsidRPr="00F36109">
              <w:rPr>
                <w:rFonts w:ascii="Times New Roman" w:hAnsi="Times New Roman"/>
                <w:color w:val="000000" w:themeColor="text1"/>
              </w:rPr>
              <w:t># of integrated financing s</w:t>
            </w:r>
            <w:r w:rsidR="00073333" w:rsidRPr="00F36109">
              <w:rPr>
                <w:rFonts w:ascii="Times New Roman" w:hAnsi="Times New Roman"/>
                <w:color w:val="000000" w:themeColor="text1"/>
              </w:rPr>
              <w:t>trategies</w:t>
            </w:r>
            <w:r w:rsidRPr="00F36109">
              <w:rPr>
                <w:rFonts w:ascii="Times New Roman" w:hAnsi="Times New Roman"/>
                <w:color w:val="000000" w:themeColor="text1"/>
              </w:rPr>
              <w:t xml:space="preserve"> that have been implemented with partners in lead</w:t>
            </w:r>
            <w:r w:rsidR="00667075" w:rsidRPr="00F36109">
              <w:rPr>
                <w:rStyle w:val="FootnoteReference"/>
                <w:rFonts w:ascii="Times New Roman" w:hAnsi="Times New Roman"/>
                <w:color w:val="000000" w:themeColor="text1"/>
              </w:rPr>
              <w:footnoteReference w:id="24"/>
            </w:r>
          </w:p>
        </w:tc>
        <w:tc>
          <w:tcPr>
            <w:tcW w:w="900" w:type="dxa"/>
            <w:vAlign w:val="center"/>
          </w:tcPr>
          <w:p w14:paraId="2317083E"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630" w:type="dxa"/>
            <w:vAlign w:val="center"/>
          </w:tcPr>
          <w:p w14:paraId="45A40864"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40E2C450"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6</w:t>
            </w:r>
          </w:p>
        </w:tc>
        <w:tc>
          <w:tcPr>
            <w:tcW w:w="625" w:type="dxa"/>
            <w:vAlign w:val="center"/>
          </w:tcPr>
          <w:p w14:paraId="5691FEB0"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31</w:t>
            </w:r>
          </w:p>
        </w:tc>
      </w:tr>
      <w:tr w:rsidR="00E04E86" w:rsidRPr="00F36109" w14:paraId="593F36A8" w14:textId="77777777" w:rsidTr="000B046F">
        <w:trPr>
          <w:jc w:val="center"/>
        </w:trPr>
        <w:tc>
          <w:tcPr>
            <w:tcW w:w="590" w:type="dxa"/>
            <w:vAlign w:val="center"/>
          </w:tcPr>
          <w:p w14:paraId="0F0F3B12" w14:textId="77777777" w:rsidR="00E04E86" w:rsidRPr="00F36109" w:rsidRDefault="00E04E86" w:rsidP="00D17C9E">
            <w:pPr>
              <w:jc w:val="center"/>
              <w:rPr>
                <w:rFonts w:ascii="Times New Roman" w:hAnsi="Times New Roman"/>
                <w:color w:val="000000" w:themeColor="text1"/>
                <w:sz w:val="16"/>
              </w:rPr>
            </w:pPr>
            <w:r w:rsidRPr="00F36109">
              <w:rPr>
                <w:rFonts w:ascii="Times New Roman" w:hAnsi="Times New Roman"/>
                <w:color w:val="000000" w:themeColor="text1"/>
                <w:sz w:val="16"/>
              </w:rPr>
              <w:t>4.3</w:t>
            </w:r>
          </w:p>
        </w:tc>
        <w:tc>
          <w:tcPr>
            <w:tcW w:w="5975" w:type="dxa"/>
            <w:vAlign w:val="center"/>
          </w:tcPr>
          <w:p w14:paraId="5659D90F" w14:textId="353F75D2" w:rsidR="00E04E86" w:rsidRPr="00F36109" w:rsidRDefault="008C331A" w:rsidP="00D17C9E">
            <w:pPr>
              <w:rPr>
                <w:rFonts w:ascii="Times New Roman" w:hAnsi="Times New Roman"/>
                <w:color w:val="000000" w:themeColor="text1"/>
              </w:rPr>
            </w:pPr>
            <w:r w:rsidRPr="00F36109">
              <w:rPr>
                <w:rFonts w:ascii="Times New Roman" w:hAnsi="Times New Roman"/>
                <w:color w:val="000000" w:themeColor="text1"/>
              </w:rPr>
              <w:t>#</w:t>
            </w:r>
            <w:r w:rsidR="00E04E86" w:rsidRPr="00F36109">
              <w:rPr>
                <w:rFonts w:ascii="Times New Roman" w:hAnsi="Times New Roman"/>
                <w:color w:val="000000" w:themeColor="text1"/>
              </w:rPr>
              <w:t xml:space="preserve"> of </w:t>
            </w:r>
            <w:r w:rsidR="0069566F" w:rsidRPr="00F36109">
              <w:rPr>
                <w:rFonts w:ascii="Times New Roman" w:hAnsi="Times New Roman"/>
                <w:color w:val="000000" w:themeColor="text1"/>
              </w:rPr>
              <w:t xml:space="preserve">Joint </w:t>
            </w:r>
            <w:proofErr w:type="spellStart"/>
            <w:r w:rsidR="0069566F" w:rsidRPr="00F36109">
              <w:rPr>
                <w:rFonts w:ascii="Times New Roman" w:hAnsi="Times New Roman"/>
                <w:color w:val="000000" w:themeColor="text1"/>
              </w:rPr>
              <w:t>Programmes</w:t>
            </w:r>
            <w:proofErr w:type="spellEnd"/>
            <w:r w:rsidR="00E04E86" w:rsidRPr="00F36109">
              <w:rPr>
                <w:rFonts w:ascii="Times New Roman" w:hAnsi="Times New Roman"/>
                <w:color w:val="000000" w:themeColor="text1"/>
              </w:rPr>
              <w:t xml:space="preserve"> that have a functioning partnership framework for integrated financing s</w:t>
            </w:r>
            <w:r w:rsidR="00073333" w:rsidRPr="00F36109">
              <w:rPr>
                <w:rFonts w:ascii="Times New Roman" w:hAnsi="Times New Roman"/>
                <w:color w:val="000000" w:themeColor="text1"/>
              </w:rPr>
              <w:t>trategies</w:t>
            </w:r>
            <w:r w:rsidR="00E04E86" w:rsidRPr="00F36109">
              <w:rPr>
                <w:rFonts w:ascii="Times New Roman" w:hAnsi="Times New Roman"/>
                <w:color w:val="000000" w:themeColor="text1"/>
              </w:rPr>
              <w:t xml:space="preserve"> to accelerate SDG progress</w:t>
            </w:r>
          </w:p>
        </w:tc>
        <w:tc>
          <w:tcPr>
            <w:tcW w:w="900" w:type="dxa"/>
            <w:vAlign w:val="center"/>
          </w:tcPr>
          <w:p w14:paraId="4FE90524"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 xml:space="preserve">0 </w:t>
            </w:r>
          </w:p>
        </w:tc>
        <w:tc>
          <w:tcPr>
            <w:tcW w:w="630" w:type="dxa"/>
            <w:vAlign w:val="center"/>
          </w:tcPr>
          <w:p w14:paraId="3977171C"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630" w:type="dxa"/>
            <w:vAlign w:val="center"/>
          </w:tcPr>
          <w:p w14:paraId="28BE6FA1"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6</w:t>
            </w:r>
          </w:p>
        </w:tc>
        <w:tc>
          <w:tcPr>
            <w:tcW w:w="625" w:type="dxa"/>
            <w:vAlign w:val="center"/>
          </w:tcPr>
          <w:p w14:paraId="2CCD40E4"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31</w:t>
            </w:r>
          </w:p>
        </w:tc>
      </w:tr>
    </w:tbl>
    <w:p w14:paraId="69209DFA" w14:textId="009409ED" w:rsidR="00E04E86" w:rsidRDefault="00E04E86" w:rsidP="00D17C9E">
      <w:pPr>
        <w:spacing w:after="0" w:line="240" w:lineRule="auto"/>
        <w:rPr>
          <w:rFonts w:ascii="Times New Roman" w:hAnsi="Times New Roman" w:cs="Times New Roman"/>
          <w:color w:val="5A5A5A" w:themeColor="text1" w:themeTint="A5"/>
          <w:spacing w:val="15"/>
          <w:sz w:val="28"/>
          <w:u w:val="single"/>
        </w:rPr>
      </w:pPr>
    </w:p>
    <w:p w14:paraId="4A4D8869" w14:textId="1B7710A5" w:rsidR="00D075DF" w:rsidRDefault="00D075DF" w:rsidP="00D17C9E">
      <w:pPr>
        <w:spacing w:after="0" w:line="240" w:lineRule="auto"/>
        <w:rPr>
          <w:rFonts w:ascii="Times New Roman" w:hAnsi="Times New Roman" w:cs="Times New Roman"/>
          <w:color w:val="5A5A5A" w:themeColor="text1" w:themeTint="A5"/>
          <w:spacing w:val="15"/>
          <w:sz w:val="28"/>
          <w:u w:val="single"/>
        </w:rPr>
      </w:pPr>
    </w:p>
    <w:p w14:paraId="41C6497B" w14:textId="6EFDCEB8" w:rsidR="00D075DF" w:rsidRDefault="00D075DF" w:rsidP="00D17C9E">
      <w:pPr>
        <w:spacing w:after="0" w:line="240" w:lineRule="auto"/>
        <w:rPr>
          <w:rFonts w:ascii="Times New Roman" w:hAnsi="Times New Roman" w:cs="Times New Roman"/>
          <w:color w:val="5A5A5A" w:themeColor="text1" w:themeTint="A5"/>
          <w:spacing w:val="15"/>
          <w:sz w:val="28"/>
          <w:u w:val="single"/>
        </w:rPr>
      </w:pPr>
    </w:p>
    <w:p w14:paraId="19F05D49" w14:textId="3537777C" w:rsidR="00D075DF" w:rsidRDefault="00D075DF" w:rsidP="00D17C9E">
      <w:pPr>
        <w:spacing w:after="0" w:line="240" w:lineRule="auto"/>
        <w:rPr>
          <w:rFonts w:ascii="Times New Roman" w:hAnsi="Times New Roman" w:cs="Times New Roman"/>
          <w:color w:val="5A5A5A" w:themeColor="text1" w:themeTint="A5"/>
          <w:spacing w:val="15"/>
          <w:sz w:val="28"/>
          <w:u w:val="single"/>
        </w:rPr>
      </w:pPr>
    </w:p>
    <w:p w14:paraId="4FAAC080" w14:textId="77777777" w:rsidR="000707FB" w:rsidRDefault="000707FB" w:rsidP="00D17C9E">
      <w:pPr>
        <w:spacing w:after="0" w:line="240" w:lineRule="auto"/>
        <w:rPr>
          <w:rFonts w:ascii="Times New Roman" w:eastAsiaTheme="majorEastAsia" w:hAnsi="Times New Roman" w:cs="Times New Roman"/>
          <w:b/>
          <w:color w:val="1F3763" w:themeColor="accent1" w:themeShade="7F"/>
        </w:rPr>
      </w:pPr>
    </w:p>
    <w:p w14:paraId="2514AFCB" w14:textId="04BFDDC0" w:rsidR="00E04E86" w:rsidRPr="00F36109" w:rsidRDefault="00E04E86" w:rsidP="00D17C9E">
      <w:pPr>
        <w:spacing w:after="0" w:line="240" w:lineRule="auto"/>
        <w:rPr>
          <w:rFonts w:ascii="Times New Roman" w:eastAsiaTheme="majorEastAsia" w:hAnsi="Times New Roman" w:cs="Times New Roman"/>
          <w:b/>
          <w:color w:val="1F3763" w:themeColor="accent1" w:themeShade="7F"/>
        </w:rPr>
      </w:pPr>
      <w:r w:rsidRPr="00F36109">
        <w:rPr>
          <w:rFonts w:ascii="Times New Roman" w:eastAsiaTheme="majorEastAsia" w:hAnsi="Times New Roman" w:cs="Times New Roman"/>
          <w:b/>
          <w:color w:val="1F3763" w:themeColor="accent1" w:themeShade="7F"/>
        </w:rPr>
        <w:t>Operational performance: Joint SDG Fund efficiently, coherently, and consistently managed</w:t>
      </w:r>
    </w:p>
    <w:tbl>
      <w:tblPr>
        <w:tblStyle w:val="TableGrid"/>
        <w:tblpPr w:leftFromText="180" w:rightFromText="180" w:vertAnchor="text" w:horzAnchor="margin" w:tblpXSpec="center" w:tblpY="278"/>
        <w:tblW w:w="10180" w:type="dxa"/>
        <w:tblLayout w:type="fixed"/>
        <w:tblLook w:val="04A0" w:firstRow="1" w:lastRow="0" w:firstColumn="1" w:lastColumn="0" w:noHBand="0" w:noVBand="1"/>
      </w:tblPr>
      <w:tblGrid>
        <w:gridCol w:w="805"/>
        <w:gridCol w:w="6396"/>
        <w:gridCol w:w="914"/>
        <w:gridCol w:w="716"/>
        <w:gridCol w:w="682"/>
        <w:gridCol w:w="667"/>
      </w:tblGrid>
      <w:tr w:rsidR="00D17C9E" w:rsidRPr="00F36109" w14:paraId="7151A957" w14:textId="77777777" w:rsidTr="00E12815">
        <w:trPr>
          <w:trHeight w:val="372"/>
        </w:trPr>
        <w:tc>
          <w:tcPr>
            <w:tcW w:w="805" w:type="dxa"/>
            <w:shd w:val="clear" w:color="auto" w:fill="D9E2F3" w:themeFill="accent1" w:themeFillTint="33"/>
            <w:vAlign w:val="center"/>
          </w:tcPr>
          <w:p w14:paraId="25A3602C" w14:textId="77777777" w:rsidR="00E04E86" w:rsidRPr="00F36109" w:rsidRDefault="00E04E86" w:rsidP="00D17C9E">
            <w:pPr>
              <w:jc w:val="center"/>
              <w:rPr>
                <w:rFonts w:ascii="Times New Roman" w:hAnsi="Times New Roman"/>
                <w:b/>
                <w:color w:val="000000" w:themeColor="text1"/>
              </w:rPr>
            </w:pPr>
            <w:r w:rsidRPr="00F36109">
              <w:rPr>
                <w:rFonts w:ascii="Times New Roman" w:hAnsi="Times New Roman"/>
                <w:b/>
                <w:color w:val="000000" w:themeColor="text1"/>
              </w:rPr>
              <w:t>Theme</w:t>
            </w:r>
          </w:p>
        </w:tc>
        <w:tc>
          <w:tcPr>
            <w:tcW w:w="6396" w:type="dxa"/>
            <w:shd w:val="clear" w:color="auto" w:fill="D9E2F3" w:themeFill="accent1" w:themeFillTint="33"/>
            <w:vAlign w:val="center"/>
          </w:tcPr>
          <w:p w14:paraId="07AD51D4" w14:textId="77777777" w:rsidR="00E04E86" w:rsidRPr="00F36109" w:rsidRDefault="00E04E86" w:rsidP="00D17C9E">
            <w:pPr>
              <w:jc w:val="center"/>
              <w:rPr>
                <w:rFonts w:ascii="Times New Roman" w:hAnsi="Times New Roman"/>
                <w:b/>
                <w:color w:val="000000" w:themeColor="text1"/>
              </w:rPr>
            </w:pPr>
            <w:r w:rsidRPr="00F36109">
              <w:rPr>
                <w:rFonts w:ascii="Times New Roman" w:hAnsi="Times New Roman"/>
                <w:b/>
                <w:color w:val="000000" w:themeColor="text1"/>
              </w:rPr>
              <w:t>Operational performance indicators</w:t>
            </w:r>
          </w:p>
        </w:tc>
        <w:tc>
          <w:tcPr>
            <w:tcW w:w="914" w:type="dxa"/>
            <w:shd w:val="clear" w:color="auto" w:fill="D9E2F3" w:themeFill="accent1" w:themeFillTint="33"/>
            <w:vAlign w:val="center"/>
          </w:tcPr>
          <w:p w14:paraId="1F28DD54" w14:textId="77777777" w:rsidR="00E04E86" w:rsidRPr="00F36109" w:rsidRDefault="00E04E86" w:rsidP="00D17C9E">
            <w:pPr>
              <w:jc w:val="center"/>
              <w:rPr>
                <w:rFonts w:ascii="Times New Roman" w:hAnsi="Times New Roman"/>
                <w:b/>
                <w:color w:val="000000" w:themeColor="text1"/>
              </w:rPr>
            </w:pPr>
            <w:r w:rsidRPr="00F36109">
              <w:rPr>
                <w:rFonts w:ascii="Times New Roman" w:hAnsi="Times New Roman"/>
                <w:b/>
                <w:color w:val="000000" w:themeColor="text1"/>
              </w:rPr>
              <w:t>Baseline</w:t>
            </w:r>
          </w:p>
        </w:tc>
        <w:tc>
          <w:tcPr>
            <w:tcW w:w="716" w:type="dxa"/>
            <w:shd w:val="clear" w:color="auto" w:fill="D9E2F3" w:themeFill="accent1" w:themeFillTint="33"/>
            <w:vAlign w:val="center"/>
          </w:tcPr>
          <w:p w14:paraId="7DBF928A" w14:textId="77777777" w:rsidR="00E04E86" w:rsidRPr="00F36109" w:rsidRDefault="00E04E86" w:rsidP="00D17C9E">
            <w:pPr>
              <w:jc w:val="center"/>
              <w:rPr>
                <w:rFonts w:ascii="Times New Roman" w:hAnsi="Times New Roman"/>
                <w:b/>
                <w:color w:val="000000" w:themeColor="text1"/>
              </w:rPr>
            </w:pPr>
            <w:r w:rsidRPr="00F36109">
              <w:rPr>
                <w:rFonts w:ascii="Times New Roman" w:hAnsi="Times New Roman"/>
                <w:b/>
                <w:color w:val="000000" w:themeColor="text1"/>
              </w:rPr>
              <w:t>2019</w:t>
            </w:r>
          </w:p>
        </w:tc>
        <w:tc>
          <w:tcPr>
            <w:tcW w:w="682" w:type="dxa"/>
            <w:shd w:val="clear" w:color="auto" w:fill="D9E2F3" w:themeFill="accent1" w:themeFillTint="33"/>
            <w:vAlign w:val="center"/>
          </w:tcPr>
          <w:p w14:paraId="3965ACB9" w14:textId="77777777" w:rsidR="00E04E86" w:rsidRPr="00F36109" w:rsidRDefault="00E04E86" w:rsidP="00D17C9E">
            <w:pPr>
              <w:jc w:val="center"/>
              <w:rPr>
                <w:rFonts w:ascii="Times New Roman" w:hAnsi="Times New Roman"/>
                <w:b/>
                <w:color w:val="000000" w:themeColor="text1"/>
              </w:rPr>
            </w:pPr>
            <w:r w:rsidRPr="00F36109">
              <w:rPr>
                <w:rFonts w:ascii="Times New Roman" w:hAnsi="Times New Roman"/>
                <w:b/>
                <w:color w:val="000000" w:themeColor="text1"/>
              </w:rPr>
              <w:t>2020</w:t>
            </w:r>
          </w:p>
        </w:tc>
        <w:tc>
          <w:tcPr>
            <w:tcW w:w="667" w:type="dxa"/>
            <w:shd w:val="clear" w:color="auto" w:fill="D9E2F3" w:themeFill="accent1" w:themeFillTint="33"/>
            <w:vAlign w:val="center"/>
          </w:tcPr>
          <w:p w14:paraId="0CA000F7" w14:textId="77777777" w:rsidR="00E04E86" w:rsidRPr="00F36109" w:rsidRDefault="00E04E86" w:rsidP="00D17C9E">
            <w:pPr>
              <w:jc w:val="center"/>
              <w:rPr>
                <w:rFonts w:ascii="Times New Roman" w:hAnsi="Times New Roman"/>
                <w:b/>
                <w:color w:val="000000" w:themeColor="text1"/>
              </w:rPr>
            </w:pPr>
            <w:r w:rsidRPr="00F36109">
              <w:rPr>
                <w:rFonts w:ascii="Times New Roman" w:hAnsi="Times New Roman"/>
                <w:b/>
                <w:color w:val="000000" w:themeColor="text1"/>
              </w:rPr>
              <w:t>2021</w:t>
            </w:r>
          </w:p>
        </w:tc>
      </w:tr>
      <w:tr w:rsidR="00D17C9E" w:rsidRPr="00F36109" w14:paraId="6D0645ED" w14:textId="77777777" w:rsidTr="00E12815">
        <w:trPr>
          <w:trHeight w:val="441"/>
        </w:trPr>
        <w:tc>
          <w:tcPr>
            <w:tcW w:w="805" w:type="dxa"/>
            <w:vMerge w:val="restart"/>
            <w:vAlign w:val="center"/>
          </w:tcPr>
          <w:p w14:paraId="64DA75D9" w14:textId="77777777"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Catalyzing UN Coherence</w:t>
            </w:r>
          </w:p>
        </w:tc>
        <w:tc>
          <w:tcPr>
            <w:tcW w:w="6396" w:type="dxa"/>
            <w:vAlign w:val="center"/>
          </w:tcPr>
          <w:p w14:paraId="2BE800CA" w14:textId="7FB9B93A"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xml:space="preserve">Average # of Standard Operating Procedures (out of the total of 15 core elements covered by SOPs) fully implemented by UNCTs in supported </w:t>
            </w:r>
            <w:proofErr w:type="spellStart"/>
            <w:r w:rsidRPr="00F36109">
              <w:rPr>
                <w:rFonts w:ascii="Times New Roman" w:hAnsi="Times New Roman"/>
                <w:color w:val="000000" w:themeColor="text1"/>
              </w:rPr>
              <w:t>programme</w:t>
            </w:r>
            <w:proofErr w:type="spellEnd"/>
            <w:r w:rsidRPr="00F36109">
              <w:rPr>
                <w:rFonts w:ascii="Times New Roman" w:hAnsi="Times New Roman"/>
                <w:color w:val="000000" w:themeColor="text1"/>
              </w:rPr>
              <w:t xml:space="preserve"> countries</w:t>
            </w:r>
          </w:p>
        </w:tc>
        <w:tc>
          <w:tcPr>
            <w:tcW w:w="914" w:type="dxa"/>
            <w:vAlign w:val="center"/>
          </w:tcPr>
          <w:p w14:paraId="7E7321FE" w14:textId="79B9976D"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9</w:t>
            </w:r>
            <w:r w:rsidRPr="00F36109">
              <w:rPr>
                <w:rStyle w:val="FootnoteReference"/>
                <w:rFonts w:ascii="Times New Roman" w:hAnsi="Times New Roman"/>
                <w:color w:val="000000" w:themeColor="text1"/>
              </w:rPr>
              <w:footnoteReference w:id="25"/>
            </w:r>
          </w:p>
        </w:tc>
        <w:tc>
          <w:tcPr>
            <w:tcW w:w="716" w:type="dxa"/>
            <w:vAlign w:val="center"/>
          </w:tcPr>
          <w:p w14:paraId="21EBFA99" w14:textId="537A500F"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w:t>
            </w:r>
          </w:p>
        </w:tc>
        <w:tc>
          <w:tcPr>
            <w:tcW w:w="682" w:type="dxa"/>
            <w:vAlign w:val="center"/>
          </w:tcPr>
          <w:p w14:paraId="74F973A7" w14:textId="395C5FC6"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12</w:t>
            </w:r>
          </w:p>
        </w:tc>
        <w:tc>
          <w:tcPr>
            <w:tcW w:w="667" w:type="dxa"/>
            <w:vAlign w:val="center"/>
          </w:tcPr>
          <w:p w14:paraId="20D6D717" w14:textId="65CAC1D3"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15</w:t>
            </w:r>
          </w:p>
        </w:tc>
      </w:tr>
      <w:tr w:rsidR="00D17C9E" w:rsidRPr="00F36109" w14:paraId="41EBAE76" w14:textId="77777777" w:rsidTr="00E12815">
        <w:trPr>
          <w:trHeight w:val="296"/>
        </w:trPr>
        <w:tc>
          <w:tcPr>
            <w:tcW w:w="805" w:type="dxa"/>
            <w:vMerge/>
            <w:vAlign w:val="center"/>
          </w:tcPr>
          <w:p w14:paraId="24B57442" w14:textId="77777777" w:rsidR="00D17C9E" w:rsidRPr="00F36109" w:rsidRDefault="00D17C9E" w:rsidP="00D17C9E">
            <w:pPr>
              <w:rPr>
                <w:rFonts w:ascii="Times New Roman" w:hAnsi="Times New Roman"/>
                <w:color w:val="000000" w:themeColor="text1"/>
              </w:rPr>
            </w:pPr>
          </w:p>
        </w:tc>
        <w:tc>
          <w:tcPr>
            <w:tcW w:w="6396" w:type="dxa"/>
            <w:vAlign w:val="center"/>
          </w:tcPr>
          <w:p w14:paraId="6039D5D3" w14:textId="4DE542E0"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of pooled funding of all funding going to UN agencies in supported countries (</w:t>
            </w:r>
            <w:r w:rsidR="003C5271" w:rsidRPr="00F36109">
              <w:rPr>
                <w:rFonts w:ascii="Times New Roman" w:hAnsi="Times New Roman"/>
                <w:color w:val="000000" w:themeColor="text1"/>
              </w:rPr>
              <w:t xml:space="preserve">global </w:t>
            </w:r>
            <w:r w:rsidRPr="00F36109">
              <w:rPr>
                <w:rFonts w:ascii="Times New Roman" w:hAnsi="Times New Roman"/>
                <w:color w:val="000000" w:themeColor="text1"/>
              </w:rPr>
              <w:t xml:space="preserve">target </w:t>
            </w:r>
            <w:r w:rsidR="003C5271" w:rsidRPr="00F36109">
              <w:rPr>
                <w:rFonts w:ascii="Times New Roman" w:hAnsi="Times New Roman"/>
                <w:color w:val="000000" w:themeColor="text1"/>
              </w:rPr>
              <w:t xml:space="preserve">for each country </w:t>
            </w:r>
            <w:r w:rsidRPr="00F36109">
              <w:rPr>
                <w:rFonts w:ascii="Times New Roman" w:hAnsi="Times New Roman"/>
                <w:color w:val="000000" w:themeColor="text1"/>
              </w:rPr>
              <w:t>is over 15%)</w:t>
            </w:r>
          </w:p>
        </w:tc>
        <w:tc>
          <w:tcPr>
            <w:tcW w:w="914" w:type="dxa"/>
            <w:vAlign w:val="center"/>
          </w:tcPr>
          <w:p w14:paraId="25CCF54B"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8</w:t>
            </w:r>
          </w:p>
        </w:tc>
        <w:tc>
          <w:tcPr>
            <w:tcW w:w="716" w:type="dxa"/>
            <w:vAlign w:val="center"/>
          </w:tcPr>
          <w:p w14:paraId="42EAF877" w14:textId="65F1604B"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w:t>
            </w:r>
          </w:p>
        </w:tc>
        <w:tc>
          <w:tcPr>
            <w:tcW w:w="682" w:type="dxa"/>
            <w:vAlign w:val="center"/>
          </w:tcPr>
          <w:p w14:paraId="4B4ACC3D" w14:textId="65487108"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12</w:t>
            </w:r>
          </w:p>
        </w:tc>
        <w:tc>
          <w:tcPr>
            <w:tcW w:w="667" w:type="dxa"/>
            <w:vAlign w:val="center"/>
          </w:tcPr>
          <w:p w14:paraId="0F8A264A" w14:textId="308F0B65"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15</w:t>
            </w:r>
          </w:p>
        </w:tc>
      </w:tr>
      <w:tr w:rsidR="00D17C9E" w:rsidRPr="00F36109" w14:paraId="5FDAF9D8" w14:textId="77777777" w:rsidTr="00E12815">
        <w:trPr>
          <w:trHeight w:val="287"/>
        </w:trPr>
        <w:tc>
          <w:tcPr>
            <w:tcW w:w="805" w:type="dxa"/>
            <w:vMerge/>
            <w:vAlign w:val="center"/>
          </w:tcPr>
          <w:p w14:paraId="0990CCF2" w14:textId="77777777" w:rsidR="00D17C9E" w:rsidRPr="00F36109" w:rsidRDefault="00D17C9E" w:rsidP="00D17C9E">
            <w:pPr>
              <w:rPr>
                <w:rFonts w:ascii="Times New Roman" w:hAnsi="Times New Roman"/>
                <w:color w:val="000000" w:themeColor="text1"/>
              </w:rPr>
            </w:pPr>
          </w:p>
        </w:tc>
        <w:tc>
          <w:tcPr>
            <w:tcW w:w="6396" w:type="dxa"/>
            <w:vAlign w:val="center"/>
          </w:tcPr>
          <w:p w14:paraId="38D0E3A9" w14:textId="60EFA0D0"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xml:space="preserve">Level of coherence of UN in implementing </w:t>
            </w:r>
            <w:proofErr w:type="spellStart"/>
            <w:r w:rsidRPr="00F36109">
              <w:rPr>
                <w:rFonts w:ascii="Times New Roman" w:hAnsi="Times New Roman"/>
                <w:color w:val="000000" w:themeColor="text1"/>
              </w:rPr>
              <w:t>programme</w:t>
            </w:r>
            <w:proofErr w:type="spellEnd"/>
            <w:r w:rsidRPr="00F36109">
              <w:rPr>
                <w:rFonts w:ascii="Times New Roman" w:hAnsi="Times New Roman"/>
                <w:color w:val="000000" w:themeColor="text1"/>
              </w:rPr>
              <w:t xml:space="preserve"> country </w:t>
            </w:r>
            <w:r w:rsidRPr="00F36109">
              <w:rPr>
                <w:rStyle w:val="FootnoteReference"/>
                <w:rFonts w:ascii="Times New Roman" w:hAnsi="Times New Roman"/>
                <w:color w:val="000000" w:themeColor="text1"/>
              </w:rPr>
              <w:footnoteReference w:id="26"/>
            </w:r>
          </w:p>
        </w:tc>
        <w:tc>
          <w:tcPr>
            <w:tcW w:w="914" w:type="dxa"/>
            <w:vAlign w:val="center"/>
          </w:tcPr>
          <w:p w14:paraId="40BAAB94" w14:textId="71B09319" w:rsidR="00D17C9E" w:rsidRPr="00F36109" w:rsidRDefault="00037B93" w:rsidP="00D17C9E">
            <w:pPr>
              <w:jc w:val="center"/>
              <w:rPr>
                <w:rFonts w:ascii="Times New Roman" w:hAnsi="Times New Roman"/>
                <w:color w:val="000000" w:themeColor="text1"/>
              </w:rPr>
            </w:pPr>
            <w:r w:rsidRPr="00F36109">
              <w:rPr>
                <w:rFonts w:ascii="Times New Roman" w:hAnsi="Times New Roman"/>
                <w:color w:val="000000" w:themeColor="text1"/>
              </w:rPr>
              <w:t>-</w:t>
            </w:r>
          </w:p>
        </w:tc>
        <w:tc>
          <w:tcPr>
            <w:tcW w:w="716" w:type="dxa"/>
            <w:vAlign w:val="center"/>
          </w:tcPr>
          <w:p w14:paraId="545516CB" w14:textId="774BF9C7" w:rsidR="00D17C9E" w:rsidRPr="00F36109" w:rsidRDefault="00037B93" w:rsidP="00D17C9E">
            <w:pPr>
              <w:jc w:val="center"/>
              <w:rPr>
                <w:rFonts w:ascii="Times New Roman" w:hAnsi="Times New Roman"/>
                <w:color w:val="000000" w:themeColor="text1"/>
              </w:rPr>
            </w:pPr>
            <w:r w:rsidRPr="00F36109">
              <w:rPr>
                <w:rFonts w:ascii="Times New Roman" w:hAnsi="Times New Roman"/>
                <w:color w:val="000000" w:themeColor="text1"/>
              </w:rPr>
              <w:t>TBD</w:t>
            </w:r>
          </w:p>
        </w:tc>
        <w:tc>
          <w:tcPr>
            <w:tcW w:w="682" w:type="dxa"/>
            <w:vAlign w:val="center"/>
          </w:tcPr>
          <w:p w14:paraId="5F585544" w14:textId="6B4366BE" w:rsidR="00D17C9E" w:rsidRPr="00F36109" w:rsidRDefault="00037B93" w:rsidP="00D17C9E">
            <w:pPr>
              <w:jc w:val="center"/>
              <w:rPr>
                <w:rFonts w:ascii="Times New Roman" w:hAnsi="Times New Roman"/>
                <w:color w:val="000000" w:themeColor="text1"/>
              </w:rPr>
            </w:pPr>
            <w:r w:rsidRPr="00F36109">
              <w:rPr>
                <w:rFonts w:ascii="Times New Roman" w:hAnsi="Times New Roman"/>
                <w:color w:val="000000" w:themeColor="text1"/>
              </w:rPr>
              <w:t>TBD</w:t>
            </w:r>
          </w:p>
        </w:tc>
        <w:tc>
          <w:tcPr>
            <w:tcW w:w="667" w:type="dxa"/>
            <w:vAlign w:val="center"/>
          </w:tcPr>
          <w:p w14:paraId="5ACC04A4" w14:textId="1904645F" w:rsidR="00D17C9E" w:rsidRPr="00F36109" w:rsidRDefault="00037B93" w:rsidP="00D17C9E">
            <w:pPr>
              <w:jc w:val="center"/>
              <w:rPr>
                <w:rFonts w:ascii="Times New Roman" w:hAnsi="Times New Roman"/>
                <w:color w:val="000000" w:themeColor="text1"/>
              </w:rPr>
            </w:pPr>
            <w:r w:rsidRPr="00F36109">
              <w:rPr>
                <w:rFonts w:ascii="Times New Roman" w:hAnsi="Times New Roman"/>
                <w:color w:val="000000" w:themeColor="text1"/>
              </w:rPr>
              <w:t>TBD</w:t>
            </w:r>
          </w:p>
        </w:tc>
      </w:tr>
      <w:tr w:rsidR="009F3D93" w:rsidRPr="00F36109" w14:paraId="5E8BF2AB" w14:textId="77777777" w:rsidTr="00E12815">
        <w:trPr>
          <w:trHeight w:val="287"/>
        </w:trPr>
        <w:tc>
          <w:tcPr>
            <w:tcW w:w="805" w:type="dxa"/>
            <w:vMerge/>
            <w:vAlign w:val="center"/>
          </w:tcPr>
          <w:p w14:paraId="6873105B" w14:textId="77777777" w:rsidR="009F3D93" w:rsidRPr="00F36109" w:rsidRDefault="009F3D93" w:rsidP="009F3D93">
            <w:pPr>
              <w:rPr>
                <w:rFonts w:ascii="Times New Roman" w:hAnsi="Times New Roman"/>
                <w:color w:val="000000" w:themeColor="text1"/>
              </w:rPr>
            </w:pPr>
          </w:p>
        </w:tc>
        <w:tc>
          <w:tcPr>
            <w:tcW w:w="6396" w:type="dxa"/>
            <w:vAlign w:val="center"/>
          </w:tcPr>
          <w:p w14:paraId="21476B8C" w14:textId="1D59806B" w:rsidR="009F3D93" w:rsidRPr="00F36109" w:rsidRDefault="009F3D93" w:rsidP="009F3D93">
            <w:pPr>
              <w:rPr>
                <w:rFonts w:ascii="Times New Roman" w:hAnsi="Times New Roman"/>
                <w:color w:val="000000" w:themeColor="text1"/>
              </w:rPr>
            </w:pPr>
            <w:r w:rsidRPr="00F36109">
              <w:rPr>
                <w:rFonts w:ascii="Times New Roman" w:hAnsi="Times New Roman"/>
              </w:rPr>
              <w:t># and % of</w:t>
            </w:r>
            <w:r w:rsidR="0069566F" w:rsidRPr="00F36109">
              <w:rPr>
                <w:rFonts w:ascii="Times New Roman" w:hAnsi="Times New Roman"/>
                <w:color w:val="000000" w:themeColor="text1"/>
              </w:rPr>
              <w:t xml:space="preserve"> Joint </w:t>
            </w:r>
            <w:proofErr w:type="spellStart"/>
            <w:r w:rsidR="0069566F" w:rsidRPr="00F36109">
              <w:rPr>
                <w:rFonts w:ascii="Times New Roman" w:hAnsi="Times New Roman"/>
                <w:color w:val="000000" w:themeColor="text1"/>
              </w:rPr>
              <w:t>Programmes</w:t>
            </w:r>
            <w:proofErr w:type="spellEnd"/>
            <w:r w:rsidRPr="00F36109">
              <w:rPr>
                <w:rFonts w:ascii="Times New Roman" w:hAnsi="Times New Roman"/>
              </w:rPr>
              <w:t xml:space="preserve"> with reduced transaction costs for the participating UN agencies in interaction with national/regional and local authorities and/or public entities compared to other joint </w:t>
            </w:r>
            <w:proofErr w:type="spellStart"/>
            <w:r w:rsidRPr="00F36109">
              <w:rPr>
                <w:rFonts w:ascii="Times New Roman" w:hAnsi="Times New Roman"/>
              </w:rPr>
              <w:t>programmes</w:t>
            </w:r>
            <w:proofErr w:type="spellEnd"/>
            <w:r w:rsidRPr="00F36109">
              <w:rPr>
                <w:rFonts w:ascii="Times New Roman" w:hAnsi="Times New Roman"/>
              </w:rPr>
              <w:t xml:space="preserve"> in the country in question.   </w:t>
            </w:r>
          </w:p>
        </w:tc>
        <w:tc>
          <w:tcPr>
            <w:tcW w:w="914" w:type="dxa"/>
            <w:vAlign w:val="center"/>
          </w:tcPr>
          <w:p w14:paraId="4BF59055" w14:textId="49E66270" w:rsidR="009F3D93" w:rsidRPr="00F36109" w:rsidRDefault="009F3D93" w:rsidP="009F3D93">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26AEE8BE" w14:textId="207BD4EC" w:rsidR="009F3D93" w:rsidRPr="00F36109" w:rsidRDefault="009F3D93" w:rsidP="009F3D93">
            <w:pPr>
              <w:jc w:val="center"/>
              <w:rPr>
                <w:rFonts w:ascii="Times New Roman" w:hAnsi="Times New Roman"/>
                <w:color w:val="000000" w:themeColor="text1"/>
              </w:rPr>
            </w:pPr>
            <w:r w:rsidRPr="00F36109">
              <w:rPr>
                <w:rFonts w:ascii="Times New Roman" w:hAnsi="Times New Roman"/>
                <w:color w:val="000000" w:themeColor="text1"/>
              </w:rPr>
              <w:t>N/A</w:t>
            </w:r>
          </w:p>
        </w:tc>
        <w:tc>
          <w:tcPr>
            <w:tcW w:w="682" w:type="dxa"/>
            <w:vAlign w:val="center"/>
          </w:tcPr>
          <w:p w14:paraId="1F238F07" w14:textId="1A232D2B" w:rsidR="009F3D93" w:rsidRPr="00F36109" w:rsidRDefault="009F3D93" w:rsidP="009F3D93">
            <w:pPr>
              <w:jc w:val="center"/>
              <w:rPr>
                <w:rFonts w:ascii="Times New Roman" w:hAnsi="Times New Roman"/>
                <w:color w:val="000000" w:themeColor="text1"/>
              </w:rPr>
            </w:pPr>
            <w:r w:rsidRPr="00F36109">
              <w:rPr>
                <w:rFonts w:ascii="Times New Roman" w:hAnsi="Times New Roman"/>
                <w:color w:val="000000" w:themeColor="text1"/>
              </w:rPr>
              <w:t>N/A</w:t>
            </w:r>
          </w:p>
        </w:tc>
        <w:tc>
          <w:tcPr>
            <w:tcW w:w="667" w:type="dxa"/>
            <w:vAlign w:val="center"/>
          </w:tcPr>
          <w:p w14:paraId="3232B664" w14:textId="623680C6" w:rsidR="009F3D93" w:rsidRPr="00F36109" w:rsidRDefault="009F3D93" w:rsidP="009F3D93">
            <w:pPr>
              <w:jc w:val="center"/>
              <w:rPr>
                <w:rFonts w:ascii="Times New Roman" w:hAnsi="Times New Roman"/>
                <w:color w:val="000000" w:themeColor="text1"/>
              </w:rPr>
            </w:pPr>
            <w:r w:rsidRPr="00F36109">
              <w:rPr>
                <w:rFonts w:ascii="Times New Roman" w:hAnsi="Times New Roman"/>
                <w:color w:val="000000" w:themeColor="text1"/>
              </w:rPr>
              <w:t>6 / 100%</w:t>
            </w:r>
          </w:p>
        </w:tc>
      </w:tr>
      <w:tr w:rsidR="00D17C9E" w:rsidRPr="00F36109" w14:paraId="378BBC7C" w14:textId="77777777" w:rsidTr="00E12815">
        <w:trPr>
          <w:trHeight w:val="323"/>
        </w:trPr>
        <w:tc>
          <w:tcPr>
            <w:tcW w:w="805" w:type="dxa"/>
            <w:vMerge w:val="restart"/>
            <w:vAlign w:val="center"/>
          </w:tcPr>
          <w:p w14:paraId="6EAFAD61" w14:textId="02C67FEF" w:rsidR="00E04E86" w:rsidRPr="00F36109" w:rsidRDefault="00E04E86" w:rsidP="00D17C9E">
            <w:pPr>
              <w:rPr>
                <w:rFonts w:ascii="Times New Roman" w:hAnsi="Times New Roman"/>
                <w:color w:val="000000" w:themeColor="text1"/>
              </w:rPr>
            </w:pPr>
            <w:r w:rsidRPr="00F36109">
              <w:rPr>
                <w:rFonts w:ascii="Times New Roman" w:hAnsi="Times New Roman"/>
                <w:color w:val="000000" w:themeColor="text1"/>
              </w:rPr>
              <w:t xml:space="preserve">Resource </w:t>
            </w:r>
            <w:r w:rsidR="00C85ED8" w:rsidRPr="00F36109">
              <w:rPr>
                <w:rFonts w:ascii="Times New Roman" w:hAnsi="Times New Roman"/>
                <w:color w:val="000000" w:themeColor="text1"/>
              </w:rPr>
              <w:t>Mobilization</w:t>
            </w:r>
          </w:p>
        </w:tc>
        <w:tc>
          <w:tcPr>
            <w:tcW w:w="6396" w:type="dxa"/>
            <w:vAlign w:val="center"/>
          </w:tcPr>
          <w:p w14:paraId="649B613D" w14:textId="03293F1D" w:rsidR="00E04E86" w:rsidRPr="00F36109" w:rsidRDefault="000518F9" w:rsidP="00D17C9E">
            <w:pPr>
              <w:rPr>
                <w:rFonts w:ascii="Times New Roman" w:hAnsi="Times New Roman"/>
                <w:color w:val="000000" w:themeColor="text1"/>
              </w:rPr>
            </w:pPr>
            <w:r w:rsidRPr="00F36109">
              <w:rPr>
                <w:rFonts w:ascii="Times New Roman" w:hAnsi="Times New Roman"/>
                <w:color w:val="000000" w:themeColor="text1"/>
              </w:rPr>
              <w:t xml:space="preserve">Volume of resources </w:t>
            </w:r>
            <w:r w:rsidR="00012829" w:rsidRPr="00F36109">
              <w:rPr>
                <w:rFonts w:ascii="Times New Roman" w:hAnsi="Times New Roman"/>
                <w:color w:val="000000" w:themeColor="text1"/>
              </w:rPr>
              <w:t xml:space="preserve">mobilized </w:t>
            </w:r>
            <w:r w:rsidR="008C331A" w:rsidRPr="00F36109">
              <w:rPr>
                <w:rFonts w:ascii="Times New Roman" w:hAnsi="Times New Roman"/>
                <w:color w:val="000000" w:themeColor="text1"/>
              </w:rPr>
              <w:t xml:space="preserve">annually </w:t>
            </w:r>
            <w:r w:rsidR="00012829" w:rsidRPr="00F36109">
              <w:rPr>
                <w:rFonts w:ascii="Times New Roman" w:hAnsi="Times New Roman"/>
                <w:color w:val="000000" w:themeColor="text1"/>
              </w:rPr>
              <w:t>(</w:t>
            </w:r>
            <w:r w:rsidR="008C331A" w:rsidRPr="00F36109">
              <w:rPr>
                <w:rFonts w:ascii="Times New Roman" w:hAnsi="Times New Roman"/>
                <w:color w:val="000000" w:themeColor="text1"/>
              </w:rPr>
              <w:t xml:space="preserve">in </w:t>
            </w:r>
            <w:r w:rsidR="00012829" w:rsidRPr="00F36109">
              <w:rPr>
                <w:rFonts w:ascii="Times New Roman" w:hAnsi="Times New Roman"/>
                <w:color w:val="000000" w:themeColor="text1"/>
              </w:rPr>
              <w:t>million USD)</w:t>
            </w:r>
          </w:p>
        </w:tc>
        <w:tc>
          <w:tcPr>
            <w:tcW w:w="914" w:type="dxa"/>
            <w:vAlign w:val="center"/>
          </w:tcPr>
          <w:p w14:paraId="37EE5CDE"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4E6D8637" w14:textId="72F69390"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10</w:t>
            </w:r>
            <w:r w:rsidR="000518F9" w:rsidRPr="00F36109">
              <w:rPr>
                <w:rFonts w:ascii="Times New Roman" w:hAnsi="Times New Roman"/>
                <w:color w:val="000000" w:themeColor="text1"/>
              </w:rPr>
              <w:t>0</w:t>
            </w:r>
          </w:p>
        </w:tc>
        <w:tc>
          <w:tcPr>
            <w:tcW w:w="682" w:type="dxa"/>
            <w:vAlign w:val="center"/>
          </w:tcPr>
          <w:p w14:paraId="5AC2D674" w14:textId="68213007" w:rsidR="00E04E86" w:rsidRPr="00F36109" w:rsidRDefault="000518F9" w:rsidP="00D17C9E">
            <w:pPr>
              <w:jc w:val="center"/>
              <w:rPr>
                <w:rFonts w:ascii="Times New Roman" w:hAnsi="Times New Roman"/>
                <w:color w:val="000000" w:themeColor="text1"/>
              </w:rPr>
            </w:pPr>
            <w:r w:rsidRPr="00F36109">
              <w:rPr>
                <w:rFonts w:ascii="Times New Roman" w:hAnsi="Times New Roman"/>
                <w:color w:val="000000" w:themeColor="text1"/>
              </w:rPr>
              <w:t>200</w:t>
            </w:r>
          </w:p>
        </w:tc>
        <w:tc>
          <w:tcPr>
            <w:tcW w:w="667" w:type="dxa"/>
            <w:vAlign w:val="center"/>
          </w:tcPr>
          <w:p w14:paraId="7FA9FE3F" w14:textId="3524BAE2" w:rsidR="00E04E86" w:rsidRPr="00F36109" w:rsidRDefault="000518F9" w:rsidP="00D17C9E">
            <w:pPr>
              <w:jc w:val="center"/>
              <w:rPr>
                <w:rFonts w:ascii="Times New Roman" w:hAnsi="Times New Roman"/>
                <w:color w:val="000000" w:themeColor="text1"/>
              </w:rPr>
            </w:pPr>
            <w:r w:rsidRPr="00F36109">
              <w:rPr>
                <w:rFonts w:ascii="Times New Roman" w:hAnsi="Times New Roman"/>
                <w:color w:val="000000" w:themeColor="text1"/>
              </w:rPr>
              <w:t>290</w:t>
            </w:r>
          </w:p>
        </w:tc>
      </w:tr>
      <w:tr w:rsidR="00D17C9E" w:rsidRPr="00F36109" w14:paraId="57E3ADE9" w14:textId="77777777" w:rsidTr="00E12815">
        <w:trPr>
          <w:trHeight w:val="231"/>
        </w:trPr>
        <w:tc>
          <w:tcPr>
            <w:tcW w:w="805" w:type="dxa"/>
            <w:vMerge/>
            <w:vAlign w:val="center"/>
          </w:tcPr>
          <w:p w14:paraId="06CAB5CB" w14:textId="77777777" w:rsidR="00E04E86" w:rsidRPr="00F36109" w:rsidRDefault="00E04E86" w:rsidP="00D17C9E">
            <w:pPr>
              <w:rPr>
                <w:rFonts w:ascii="Times New Roman" w:hAnsi="Times New Roman"/>
                <w:color w:val="000000" w:themeColor="text1"/>
              </w:rPr>
            </w:pPr>
          </w:p>
        </w:tc>
        <w:tc>
          <w:tcPr>
            <w:tcW w:w="6396" w:type="dxa"/>
            <w:vAlign w:val="center"/>
          </w:tcPr>
          <w:p w14:paraId="29ACF0EF" w14:textId="6387CF82" w:rsidR="00E04E86" w:rsidRPr="00F36109" w:rsidRDefault="00E04E86" w:rsidP="00D17C9E">
            <w:pPr>
              <w:rPr>
                <w:rFonts w:ascii="Times New Roman" w:hAnsi="Times New Roman"/>
                <w:color w:val="000000" w:themeColor="text1"/>
              </w:rPr>
            </w:pPr>
            <w:r w:rsidRPr="00F36109">
              <w:rPr>
                <w:rFonts w:ascii="Times New Roman" w:hAnsi="Times New Roman"/>
                <w:color w:val="000000" w:themeColor="text1"/>
              </w:rPr>
              <w:t># of J</w:t>
            </w:r>
            <w:r w:rsidR="0069566F" w:rsidRPr="00F36109">
              <w:rPr>
                <w:rFonts w:ascii="Times New Roman" w:hAnsi="Times New Roman"/>
                <w:color w:val="000000" w:themeColor="text1"/>
              </w:rPr>
              <w:t>oint SDG Fund</w:t>
            </w:r>
            <w:r w:rsidRPr="00F36109">
              <w:rPr>
                <w:rFonts w:ascii="Times New Roman" w:hAnsi="Times New Roman"/>
                <w:color w:val="000000" w:themeColor="text1"/>
              </w:rPr>
              <w:t xml:space="preserve"> contributors</w:t>
            </w:r>
          </w:p>
        </w:tc>
        <w:tc>
          <w:tcPr>
            <w:tcW w:w="914" w:type="dxa"/>
            <w:vAlign w:val="center"/>
          </w:tcPr>
          <w:p w14:paraId="6AA3BF89"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26F7EC3F" w14:textId="61438AA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8</w:t>
            </w:r>
          </w:p>
        </w:tc>
        <w:tc>
          <w:tcPr>
            <w:tcW w:w="682" w:type="dxa"/>
            <w:vAlign w:val="center"/>
          </w:tcPr>
          <w:p w14:paraId="102F01EF" w14:textId="499E74CB"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30</w:t>
            </w:r>
          </w:p>
        </w:tc>
        <w:tc>
          <w:tcPr>
            <w:tcW w:w="667" w:type="dxa"/>
            <w:vAlign w:val="center"/>
          </w:tcPr>
          <w:p w14:paraId="7669E784" w14:textId="0CCA637D"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45</w:t>
            </w:r>
          </w:p>
        </w:tc>
      </w:tr>
      <w:tr w:rsidR="00D17C9E" w:rsidRPr="00F36109" w14:paraId="48252785" w14:textId="77777777" w:rsidTr="00E12815">
        <w:trPr>
          <w:trHeight w:val="231"/>
        </w:trPr>
        <w:tc>
          <w:tcPr>
            <w:tcW w:w="805" w:type="dxa"/>
            <w:vMerge/>
            <w:vAlign w:val="center"/>
          </w:tcPr>
          <w:p w14:paraId="5493A054" w14:textId="77777777" w:rsidR="00E04E86" w:rsidRPr="00F36109" w:rsidRDefault="00E04E86" w:rsidP="00D17C9E">
            <w:pPr>
              <w:rPr>
                <w:rFonts w:ascii="Times New Roman" w:hAnsi="Times New Roman"/>
                <w:color w:val="000000" w:themeColor="text1"/>
              </w:rPr>
            </w:pPr>
          </w:p>
        </w:tc>
        <w:tc>
          <w:tcPr>
            <w:tcW w:w="6396" w:type="dxa"/>
            <w:vAlign w:val="center"/>
          </w:tcPr>
          <w:p w14:paraId="3E7AAACE" w14:textId="45FAF492" w:rsidR="00E04E86" w:rsidRPr="00F36109" w:rsidRDefault="00E04E86" w:rsidP="00D17C9E">
            <w:pPr>
              <w:rPr>
                <w:rFonts w:ascii="Times New Roman" w:hAnsi="Times New Roman"/>
                <w:color w:val="000000" w:themeColor="text1"/>
              </w:rPr>
            </w:pPr>
            <w:r w:rsidRPr="00F36109">
              <w:rPr>
                <w:rFonts w:ascii="Times New Roman" w:hAnsi="Times New Roman"/>
                <w:color w:val="000000" w:themeColor="text1"/>
              </w:rPr>
              <w:t>Volume of resources contributed from non-traditional donors</w:t>
            </w:r>
            <w:r w:rsidR="00BB5441" w:rsidRPr="00F36109">
              <w:rPr>
                <w:rFonts w:ascii="Times New Roman" w:hAnsi="Times New Roman"/>
                <w:color w:val="000000" w:themeColor="text1"/>
              </w:rPr>
              <w:t xml:space="preserve"> (</w:t>
            </w:r>
            <w:r w:rsidR="0069566F" w:rsidRPr="00F36109">
              <w:rPr>
                <w:rFonts w:ascii="Times New Roman" w:hAnsi="Times New Roman"/>
                <w:color w:val="000000" w:themeColor="text1"/>
              </w:rPr>
              <w:t xml:space="preserve">in </w:t>
            </w:r>
            <w:r w:rsidR="00BB5441" w:rsidRPr="00F36109">
              <w:rPr>
                <w:rFonts w:ascii="Times New Roman" w:hAnsi="Times New Roman"/>
                <w:color w:val="000000" w:themeColor="text1"/>
              </w:rPr>
              <w:t>million</w:t>
            </w:r>
            <w:r w:rsidR="00012829" w:rsidRPr="00F36109">
              <w:rPr>
                <w:rFonts w:ascii="Times New Roman" w:hAnsi="Times New Roman"/>
                <w:color w:val="000000" w:themeColor="text1"/>
              </w:rPr>
              <w:t xml:space="preserve"> USD)</w:t>
            </w:r>
          </w:p>
        </w:tc>
        <w:tc>
          <w:tcPr>
            <w:tcW w:w="914" w:type="dxa"/>
            <w:vAlign w:val="center"/>
          </w:tcPr>
          <w:p w14:paraId="02F77715"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6AA016BA" w14:textId="33E7EDD8" w:rsidR="00E04E86" w:rsidRPr="00F36109" w:rsidRDefault="00BB5441" w:rsidP="00D17C9E">
            <w:pPr>
              <w:jc w:val="center"/>
              <w:rPr>
                <w:rFonts w:ascii="Times New Roman" w:hAnsi="Times New Roman"/>
                <w:color w:val="000000" w:themeColor="text1"/>
              </w:rPr>
            </w:pPr>
            <w:r w:rsidRPr="00F36109">
              <w:rPr>
                <w:rFonts w:ascii="Times New Roman" w:hAnsi="Times New Roman"/>
                <w:color w:val="000000" w:themeColor="text1"/>
              </w:rPr>
              <w:t>3</w:t>
            </w:r>
          </w:p>
        </w:tc>
        <w:tc>
          <w:tcPr>
            <w:tcW w:w="682" w:type="dxa"/>
            <w:vAlign w:val="center"/>
          </w:tcPr>
          <w:p w14:paraId="1A94BCF5" w14:textId="639C4B76" w:rsidR="00E04E86" w:rsidRPr="00F36109" w:rsidRDefault="00BB5441" w:rsidP="00D17C9E">
            <w:pPr>
              <w:jc w:val="center"/>
              <w:rPr>
                <w:rFonts w:ascii="Times New Roman" w:hAnsi="Times New Roman"/>
                <w:color w:val="000000" w:themeColor="text1"/>
              </w:rPr>
            </w:pPr>
            <w:r w:rsidRPr="00F36109">
              <w:rPr>
                <w:rFonts w:ascii="Times New Roman" w:hAnsi="Times New Roman"/>
                <w:color w:val="000000" w:themeColor="text1"/>
              </w:rPr>
              <w:t>5</w:t>
            </w:r>
          </w:p>
        </w:tc>
        <w:tc>
          <w:tcPr>
            <w:tcW w:w="667" w:type="dxa"/>
            <w:vAlign w:val="center"/>
          </w:tcPr>
          <w:p w14:paraId="5721D640" w14:textId="0F14736F" w:rsidR="00E04E86" w:rsidRPr="00F36109" w:rsidRDefault="00BB5441" w:rsidP="00D17C9E">
            <w:pPr>
              <w:jc w:val="center"/>
              <w:rPr>
                <w:rFonts w:ascii="Times New Roman" w:hAnsi="Times New Roman"/>
                <w:color w:val="000000" w:themeColor="text1"/>
              </w:rPr>
            </w:pPr>
            <w:r w:rsidRPr="00F36109">
              <w:rPr>
                <w:rFonts w:ascii="Times New Roman" w:hAnsi="Times New Roman"/>
                <w:color w:val="000000" w:themeColor="text1"/>
              </w:rPr>
              <w:t>10</w:t>
            </w:r>
          </w:p>
        </w:tc>
      </w:tr>
      <w:tr w:rsidR="00D17C9E" w:rsidRPr="00F36109" w14:paraId="1A46E67F" w14:textId="77777777" w:rsidTr="00E12815">
        <w:trPr>
          <w:trHeight w:val="231"/>
        </w:trPr>
        <w:tc>
          <w:tcPr>
            <w:tcW w:w="805" w:type="dxa"/>
            <w:vMerge/>
            <w:vAlign w:val="center"/>
          </w:tcPr>
          <w:p w14:paraId="546A0417" w14:textId="77777777" w:rsidR="00E04E86" w:rsidRPr="00F36109" w:rsidRDefault="00E04E86" w:rsidP="00D17C9E">
            <w:pPr>
              <w:rPr>
                <w:rFonts w:ascii="Times New Roman" w:hAnsi="Times New Roman"/>
                <w:color w:val="000000" w:themeColor="text1"/>
              </w:rPr>
            </w:pPr>
          </w:p>
        </w:tc>
        <w:tc>
          <w:tcPr>
            <w:tcW w:w="6396" w:type="dxa"/>
            <w:vAlign w:val="center"/>
          </w:tcPr>
          <w:p w14:paraId="022BB9FB" w14:textId="33B59113" w:rsidR="00E04E86" w:rsidRPr="00F36109" w:rsidRDefault="00E04E86" w:rsidP="00D17C9E">
            <w:pPr>
              <w:rPr>
                <w:rFonts w:ascii="Times New Roman" w:hAnsi="Times New Roman"/>
                <w:color w:val="000000" w:themeColor="text1"/>
              </w:rPr>
            </w:pPr>
            <w:r w:rsidRPr="00F36109">
              <w:rPr>
                <w:rFonts w:ascii="Times New Roman" w:hAnsi="Times New Roman"/>
                <w:color w:val="000000" w:themeColor="text1"/>
              </w:rPr>
              <w:t>Volume of resource mobilized from the private sector (</w:t>
            </w:r>
            <w:r w:rsidR="0069566F" w:rsidRPr="00F36109">
              <w:rPr>
                <w:rFonts w:ascii="Times New Roman" w:hAnsi="Times New Roman"/>
                <w:color w:val="000000" w:themeColor="text1"/>
              </w:rPr>
              <w:t xml:space="preserve">in </w:t>
            </w:r>
            <w:r w:rsidRPr="00F36109">
              <w:rPr>
                <w:rFonts w:ascii="Times New Roman" w:hAnsi="Times New Roman"/>
                <w:color w:val="000000" w:themeColor="text1"/>
              </w:rPr>
              <w:t>million</w:t>
            </w:r>
            <w:r w:rsidR="00012829" w:rsidRPr="00F36109">
              <w:rPr>
                <w:rFonts w:ascii="Times New Roman" w:hAnsi="Times New Roman"/>
                <w:color w:val="000000" w:themeColor="text1"/>
              </w:rPr>
              <w:t xml:space="preserve"> USD</w:t>
            </w:r>
            <w:r w:rsidRPr="00F36109">
              <w:rPr>
                <w:rFonts w:ascii="Times New Roman" w:hAnsi="Times New Roman"/>
                <w:color w:val="000000" w:themeColor="text1"/>
              </w:rPr>
              <w:t>)</w:t>
            </w:r>
          </w:p>
        </w:tc>
        <w:tc>
          <w:tcPr>
            <w:tcW w:w="914" w:type="dxa"/>
            <w:vAlign w:val="center"/>
          </w:tcPr>
          <w:p w14:paraId="628A7A91" w14:textId="777777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758D0935" w14:textId="0E76D177"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1</w:t>
            </w:r>
          </w:p>
        </w:tc>
        <w:tc>
          <w:tcPr>
            <w:tcW w:w="682" w:type="dxa"/>
            <w:vAlign w:val="center"/>
          </w:tcPr>
          <w:p w14:paraId="3EA722C0" w14:textId="7F4E7EB2"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3</w:t>
            </w:r>
          </w:p>
        </w:tc>
        <w:tc>
          <w:tcPr>
            <w:tcW w:w="667" w:type="dxa"/>
            <w:vAlign w:val="center"/>
          </w:tcPr>
          <w:p w14:paraId="2CECFA31" w14:textId="015F62E9"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5</w:t>
            </w:r>
          </w:p>
        </w:tc>
      </w:tr>
      <w:tr w:rsidR="00D17C9E" w:rsidRPr="00F36109" w14:paraId="74C91F0F" w14:textId="77777777" w:rsidTr="00E12815">
        <w:trPr>
          <w:trHeight w:val="231"/>
        </w:trPr>
        <w:tc>
          <w:tcPr>
            <w:tcW w:w="805" w:type="dxa"/>
            <w:vMerge/>
            <w:vAlign w:val="center"/>
          </w:tcPr>
          <w:p w14:paraId="2D054E8F" w14:textId="77777777" w:rsidR="00E04E86" w:rsidRPr="00F36109" w:rsidRDefault="00E04E86" w:rsidP="00D17C9E">
            <w:pPr>
              <w:rPr>
                <w:rFonts w:ascii="Times New Roman" w:hAnsi="Times New Roman"/>
                <w:color w:val="000000" w:themeColor="text1"/>
              </w:rPr>
            </w:pPr>
          </w:p>
        </w:tc>
        <w:tc>
          <w:tcPr>
            <w:tcW w:w="6396" w:type="dxa"/>
            <w:vAlign w:val="center"/>
          </w:tcPr>
          <w:p w14:paraId="3FA3952C" w14:textId="55CAF60C" w:rsidR="00E04E86" w:rsidRPr="00F36109" w:rsidRDefault="00E04E86" w:rsidP="00D17C9E">
            <w:pPr>
              <w:rPr>
                <w:rFonts w:ascii="Times New Roman" w:hAnsi="Times New Roman"/>
                <w:color w:val="000000" w:themeColor="text1"/>
              </w:rPr>
            </w:pPr>
            <w:r w:rsidRPr="00F36109">
              <w:rPr>
                <w:rFonts w:ascii="Times New Roman" w:hAnsi="Times New Roman"/>
                <w:color w:val="000000" w:themeColor="text1"/>
              </w:rPr>
              <w:t>% of</w:t>
            </w:r>
            <w:r w:rsidR="006636B4" w:rsidRPr="00F36109">
              <w:rPr>
                <w:rFonts w:ascii="Times New Roman" w:hAnsi="Times New Roman"/>
                <w:color w:val="000000" w:themeColor="text1"/>
              </w:rPr>
              <w:t xml:space="preserve"> Joint </w:t>
            </w:r>
            <w:proofErr w:type="spellStart"/>
            <w:r w:rsidR="006636B4" w:rsidRPr="00F36109">
              <w:rPr>
                <w:rFonts w:ascii="Times New Roman" w:hAnsi="Times New Roman"/>
                <w:color w:val="000000" w:themeColor="text1"/>
              </w:rPr>
              <w:t>Programmes</w:t>
            </w:r>
            <w:proofErr w:type="spellEnd"/>
            <w:r w:rsidR="006636B4" w:rsidRPr="00F36109">
              <w:rPr>
                <w:rFonts w:ascii="Times New Roman" w:hAnsi="Times New Roman"/>
                <w:color w:val="000000" w:themeColor="text1"/>
              </w:rPr>
              <w:t xml:space="preserve"> </w:t>
            </w:r>
            <w:r w:rsidRPr="00F36109">
              <w:rPr>
                <w:rFonts w:ascii="Times New Roman" w:hAnsi="Times New Roman"/>
                <w:color w:val="000000" w:themeColor="text1"/>
              </w:rPr>
              <w:t xml:space="preserve">with matched funding (core/assessed resources, agency thematic funds, </w:t>
            </w:r>
            <w:r w:rsidR="00120F2E" w:rsidRPr="00F36109">
              <w:rPr>
                <w:rFonts w:ascii="Times New Roman" w:hAnsi="Times New Roman"/>
                <w:color w:val="000000" w:themeColor="text1"/>
              </w:rPr>
              <w:t xml:space="preserve">government cost sharing </w:t>
            </w:r>
            <w:r w:rsidRPr="00F36109">
              <w:rPr>
                <w:rFonts w:ascii="Times New Roman" w:hAnsi="Times New Roman"/>
                <w:color w:val="000000" w:themeColor="text1"/>
              </w:rPr>
              <w:t>and other agency-specific non-core resources)</w:t>
            </w:r>
            <w:r w:rsidRPr="00F36109">
              <w:rPr>
                <w:rFonts w:ascii="Times New Roman" w:hAnsi="Times New Roman"/>
                <w:color w:val="000000" w:themeColor="text1"/>
              </w:rPr>
              <w:tab/>
            </w:r>
          </w:p>
        </w:tc>
        <w:tc>
          <w:tcPr>
            <w:tcW w:w="914" w:type="dxa"/>
            <w:vAlign w:val="center"/>
          </w:tcPr>
          <w:p w14:paraId="019E8EEE" w14:textId="43623C04"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3ADE010D" w14:textId="45B5A2F6"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82" w:type="dxa"/>
            <w:vAlign w:val="center"/>
          </w:tcPr>
          <w:p w14:paraId="71DB193A" w14:textId="607672C2"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67" w:type="dxa"/>
            <w:vAlign w:val="center"/>
          </w:tcPr>
          <w:p w14:paraId="7D63B2A3" w14:textId="72FF05C4" w:rsidR="00E04E86" w:rsidRPr="00F36109" w:rsidRDefault="00E04E86" w:rsidP="00D17C9E">
            <w:pPr>
              <w:jc w:val="center"/>
              <w:rPr>
                <w:rFonts w:ascii="Times New Roman" w:hAnsi="Times New Roman"/>
                <w:color w:val="000000" w:themeColor="text1"/>
              </w:rPr>
            </w:pPr>
            <w:r w:rsidRPr="00F36109">
              <w:rPr>
                <w:rFonts w:ascii="Times New Roman" w:hAnsi="Times New Roman"/>
                <w:color w:val="000000" w:themeColor="text1"/>
              </w:rPr>
              <w:t>100</w:t>
            </w:r>
          </w:p>
        </w:tc>
      </w:tr>
      <w:tr w:rsidR="00D17C9E" w:rsidRPr="00F36109" w14:paraId="00E30768" w14:textId="77777777" w:rsidTr="00E12815">
        <w:trPr>
          <w:trHeight w:val="472"/>
        </w:trPr>
        <w:tc>
          <w:tcPr>
            <w:tcW w:w="805" w:type="dxa"/>
            <w:vMerge w:val="restart"/>
            <w:vAlign w:val="center"/>
          </w:tcPr>
          <w:p w14:paraId="62B9686D" w14:textId="77777777" w:rsidR="001A2FF3" w:rsidRPr="00F36109" w:rsidRDefault="001A2FF3" w:rsidP="00D17C9E">
            <w:pPr>
              <w:rPr>
                <w:rFonts w:ascii="Times New Roman" w:hAnsi="Times New Roman"/>
                <w:color w:val="000000" w:themeColor="text1"/>
              </w:rPr>
            </w:pPr>
            <w:r w:rsidRPr="00F36109">
              <w:rPr>
                <w:rFonts w:ascii="Times New Roman" w:hAnsi="Times New Roman"/>
                <w:color w:val="000000" w:themeColor="text1"/>
              </w:rPr>
              <w:t>Operational Effectiveness</w:t>
            </w:r>
          </w:p>
        </w:tc>
        <w:tc>
          <w:tcPr>
            <w:tcW w:w="6396" w:type="dxa"/>
            <w:shd w:val="clear" w:color="auto" w:fill="FFFFFF" w:themeFill="background1"/>
            <w:vAlign w:val="center"/>
          </w:tcPr>
          <w:p w14:paraId="7DE7FFAD" w14:textId="5DF7BCAD" w:rsidR="001A2FF3" w:rsidRPr="00F36109" w:rsidRDefault="001A2FF3" w:rsidP="00D17C9E">
            <w:pPr>
              <w:rPr>
                <w:rFonts w:ascii="Times New Roman" w:hAnsi="Times New Roman"/>
                <w:color w:val="000000" w:themeColor="text1"/>
              </w:rPr>
            </w:pPr>
            <w:r w:rsidRPr="00F36109">
              <w:rPr>
                <w:rFonts w:ascii="Times New Roman" w:hAnsi="Times New Roman"/>
                <w:color w:val="000000" w:themeColor="text1"/>
              </w:rPr>
              <w:t xml:space="preserve">% of </w:t>
            </w:r>
            <w:r w:rsidR="006636B4" w:rsidRPr="00F36109">
              <w:rPr>
                <w:rFonts w:ascii="Times New Roman" w:hAnsi="Times New Roman"/>
                <w:color w:val="000000" w:themeColor="text1"/>
              </w:rPr>
              <w:t xml:space="preserve">Joint </w:t>
            </w:r>
            <w:proofErr w:type="spellStart"/>
            <w:r w:rsidR="006636B4" w:rsidRPr="00F36109">
              <w:rPr>
                <w:rFonts w:ascii="Times New Roman" w:hAnsi="Times New Roman"/>
                <w:color w:val="000000" w:themeColor="text1"/>
              </w:rPr>
              <w:t>Programmes</w:t>
            </w:r>
            <w:proofErr w:type="spellEnd"/>
            <w:r w:rsidR="006636B4" w:rsidRPr="00F36109">
              <w:rPr>
                <w:rFonts w:ascii="Times New Roman" w:hAnsi="Times New Roman"/>
                <w:color w:val="000000" w:themeColor="text1"/>
              </w:rPr>
              <w:t xml:space="preserve"> </w:t>
            </w:r>
            <w:r w:rsidRPr="00F36109">
              <w:rPr>
                <w:rFonts w:ascii="Times New Roman" w:hAnsi="Times New Roman"/>
                <w:color w:val="000000" w:themeColor="text1"/>
              </w:rPr>
              <w:t>received first instalment within 6 months of call for proposals</w:t>
            </w:r>
          </w:p>
        </w:tc>
        <w:tc>
          <w:tcPr>
            <w:tcW w:w="914" w:type="dxa"/>
            <w:shd w:val="clear" w:color="auto" w:fill="FFFFFF" w:themeFill="background1"/>
            <w:vAlign w:val="center"/>
          </w:tcPr>
          <w:p w14:paraId="48488722" w14:textId="5C191825"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shd w:val="clear" w:color="auto" w:fill="FFFFFF" w:themeFill="background1"/>
            <w:vAlign w:val="center"/>
          </w:tcPr>
          <w:p w14:paraId="217503C9" w14:textId="5E1FAA28" w:rsidR="001A2FF3" w:rsidRPr="00F36109" w:rsidRDefault="004568E8" w:rsidP="00D17C9E">
            <w:pPr>
              <w:jc w:val="center"/>
              <w:rPr>
                <w:rFonts w:ascii="Times New Roman" w:hAnsi="Times New Roman"/>
                <w:color w:val="000000" w:themeColor="text1"/>
              </w:rPr>
            </w:pPr>
            <w:r w:rsidRPr="00F36109">
              <w:rPr>
                <w:rFonts w:ascii="Times New Roman" w:hAnsi="Times New Roman"/>
                <w:color w:val="000000" w:themeColor="text1"/>
              </w:rPr>
              <w:t>75</w:t>
            </w:r>
          </w:p>
        </w:tc>
        <w:tc>
          <w:tcPr>
            <w:tcW w:w="682" w:type="dxa"/>
            <w:shd w:val="clear" w:color="auto" w:fill="FFFFFF" w:themeFill="background1"/>
            <w:vAlign w:val="center"/>
          </w:tcPr>
          <w:p w14:paraId="211F0718" w14:textId="6ABC4209" w:rsidR="001A2FF3" w:rsidRPr="00F36109" w:rsidRDefault="004568E8" w:rsidP="00D17C9E">
            <w:pPr>
              <w:jc w:val="center"/>
              <w:rPr>
                <w:rFonts w:ascii="Times New Roman" w:hAnsi="Times New Roman"/>
                <w:color w:val="000000" w:themeColor="text1"/>
              </w:rPr>
            </w:pPr>
            <w:r w:rsidRPr="00F36109">
              <w:rPr>
                <w:rFonts w:ascii="Times New Roman" w:hAnsi="Times New Roman"/>
                <w:color w:val="000000" w:themeColor="text1"/>
              </w:rPr>
              <w:t>75</w:t>
            </w:r>
          </w:p>
        </w:tc>
        <w:tc>
          <w:tcPr>
            <w:tcW w:w="667" w:type="dxa"/>
            <w:shd w:val="clear" w:color="auto" w:fill="FFFFFF" w:themeFill="background1"/>
            <w:vAlign w:val="center"/>
          </w:tcPr>
          <w:p w14:paraId="3E5FEBBA" w14:textId="668FA274" w:rsidR="001A2FF3" w:rsidRPr="00F36109" w:rsidRDefault="004568E8" w:rsidP="00D17C9E">
            <w:pPr>
              <w:jc w:val="center"/>
              <w:rPr>
                <w:rFonts w:ascii="Times New Roman" w:hAnsi="Times New Roman"/>
                <w:color w:val="000000" w:themeColor="text1"/>
              </w:rPr>
            </w:pPr>
            <w:r w:rsidRPr="00F36109">
              <w:rPr>
                <w:rFonts w:ascii="Times New Roman" w:hAnsi="Times New Roman"/>
                <w:color w:val="000000" w:themeColor="text1"/>
              </w:rPr>
              <w:t>75</w:t>
            </w:r>
          </w:p>
        </w:tc>
      </w:tr>
      <w:tr w:rsidR="00D17C9E" w:rsidRPr="00F36109" w14:paraId="14C19B30" w14:textId="77777777" w:rsidTr="00E12815">
        <w:trPr>
          <w:trHeight w:val="463"/>
        </w:trPr>
        <w:tc>
          <w:tcPr>
            <w:tcW w:w="805" w:type="dxa"/>
            <w:vMerge/>
            <w:vAlign w:val="center"/>
          </w:tcPr>
          <w:p w14:paraId="5A41E863" w14:textId="77777777" w:rsidR="001A2FF3" w:rsidRPr="00F36109" w:rsidRDefault="001A2FF3" w:rsidP="00D17C9E">
            <w:pPr>
              <w:rPr>
                <w:rFonts w:ascii="Times New Roman" w:hAnsi="Times New Roman"/>
                <w:color w:val="000000" w:themeColor="text1"/>
              </w:rPr>
            </w:pPr>
          </w:p>
        </w:tc>
        <w:tc>
          <w:tcPr>
            <w:tcW w:w="6396" w:type="dxa"/>
            <w:vAlign w:val="center"/>
          </w:tcPr>
          <w:p w14:paraId="2D7D140E" w14:textId="77777777" w:rsidR="001A2FF3" w:rsidRPr="00F36109" w:rsidRDefault="001A2FF3" w:rsidP="00D17C9E">
            <w:pPr>
              <w:rPr>
                <w:rFonts w:ascii="Times New Roman" w:hAnsi="Times New Roman"/>
                <w:color w:val="000000" w:themeColor="text1"/>
              </w:rPr>
            </w:pPr>
            <w:r w:rsidRPr="00F36109">
              <w:rPr>
                <w:rFonts w:ascii="Times New Roman" w:hAnsi="Times New Roman"/>
                <w:color w:val="000000" w:themeColor="text1"/>
              </w:rPr>
              <w:t xml:space="preserve">No of </w:t>
            </w:r>
            <w:proofErr w:type="spellStart"/>
            <w:r w:rsidRPr="00F36109">
              <w:rPr>
                <w:rFonts w:ascii="Times New Roman" w:hAnsi="Times New Roman"/>
                <w:color w:val="000000" w:themeColor="text1"/>
              </w:rPr>
              <w:t>programmes</w:t>
            </w:r>
            <w:proofErr w:type="spellEnd"/>
            <w:r w:rsidRPr="00F36109">
              <w:rPr>
                <w:rFonts w:ascii="Times New Roman" w:hAnsi="Times New Roman"/>
                <w:color w:val="000000" w:themeColor="text1"/>
              </w:rPr>
              <w:t xml:space="preserve"> approved: </w:t>
            </w:r>
          </w:p>
          <w:p w14:paraId="32771AC1" w14:textId="77777777" w:rsidR="001A2FF3" w:rsidRPr="00F36109" w:rsidRDefault="001A2FF3" w:rsidP="00D17C9E">
            <w:pPr>
              <w:pStyle w:val="ListParagraph"/>
              <w:numPr>
                <w:ilvl w:val="0"/>
                <w:numId w:val="11"/>
              </w:numPr>
              <w:rPr>
                <w:rFonts w:ascii="Times New Roman" w:hAnsi="Times New Roman"/>
                <w:color w:val="000000" w:themeColor="text1"/>
              </w:rPr>
            </w:pPr>
            <w:r w:rsidRPr="00F36109">
              <w:rPr>
                <w:rFonts w:ascii="Times New Roman" w:hAnsi="Times New Roman"/>
                <w:color w:val="000000" w:themeColor="text1"/>
              </w:rPr>
              <w:t>Readiness</w:t>
            </w:r>
          </w:p>
          <w:p w14:paraId="1E4A2466" w14:textId="77777777" w:rsidR="001A2FF3" w:rsidRPr="00F36109" w:rsidRDefault="001A2FF3" w:rsidP="00D17C9E">
            <w:pPr>
              <w:pStyle w:val="ListParagraph"/>
              <w:numPr>
                <w:ilvl w:val="0"/>
                <w:numId w:val="11"/>
              </w:numPr>
              <w:rPr>
                <w:rFonts w:ascii="Times New Roman" w:hAnsi="Times New Roman"/>
                <w:color w:val="000000" w:themeColor="text1"/>
              </w:rPr>
            </w:pPr>
            <w:r w:rsidRPr="00F36109">
              <w:rPr>
                <w:rFonts w:ascii="Times New Roman" w:hAnsi="Times New Roman"/>
                <w:color w:val="000000" w:themeColor="text1"/>
              </w:rPr>
              <w:t>Implementation</w:t>
            </w:r>
          </w:p>
        </w:tc>
        <w:tc>
          <w:tcPr>
            <w:tcW w:w="914" w:type="dxa"/>
            <w:vAlign w:val="center"/>
          </w:tcPr>
          <w:p w14:paraId="1D631F12" w14:textId="41709A68"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05D2075E" w14:textId="77777777"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a 30</w:t>
            </w:r>
          </w:p>
          <w:p w14:paraId="7EABA9FC" w14:textId="76672421"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b. 6</w:t>
            </w:r>
          </w:p>
        </w:tc>
        <w:tc>
          <w:tcPr>
            <w:tcW w:w="682" w:type="dxa"/>
            <w:vAlign w:val="center"/>
          </w:tcPr>
          <w:p w14:paraId="12CC7ADC" w14:textId="77777777"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a 30</w:t>
            </w:r>
          </w:p>
          <w:p w14:paraId="1AA52E72" w14:textId="390722A6"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b 31</w:t>
            </w:r>
          </w:p>
        </w:tc>
        <w:tc>
          <w:tcPr>
            <w:tcW w:w="667" w:type="dxa"/>
            <w:vAlign w:val="center"/>
          </w:tcPr>
          <w:p w14:paraId="7AA4EABF" w14:textId="77777777"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a 30</w:t>
            </w:r>
          </w:p>
          <w:p w14:paraId="4DF395AB" w14:textId="16D18CB5"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c 46</w:t>
            </w:r>
          </w:p>
        </w:tc>
      </w:tr>
      <w:tr w:rsidR="00D17C9E" w:rsidRPr="00F36109" w14:paraId="0ED5B43B" w14:textId="77777777" w:rsidTr="00E12815">
        <w:trPr>
          <w:trHeight w:val="231"/>
        </w:trPr>
        <w:tc>
          <w:tcPr>
            <w:tcW w:w="805" w:type="dxa"/>
            <w:vMerge/>
            <w:vAlign w:val="center"/>
          </w:tcPr>
          <w:p w14:paraId="626B40A6" w14:textId="77777777" w:rsidR="001A2FF3" w:rsidRPr="00F36109" w:rsidRDefault="001A2FF3" w:rsidP="00D17C9E">
            <w:pPr>
              <w:rPr>
                <w:rFonts w:ascii="Times New Roman" w:hAnsi="Times New Roman"/>
                <w:color w:val="000000" w:themeColor="text1"/>
              </w:rPr>
            </w:pPr>
          </w:p>
        </w:tc>
        <w:tc>
          <w:tcPr>
            <w:tcW w:w="6396" w:type="dxa"/>
            <w:vAlign w:val="center"/>
          </w:tcPr>
          <w:p w14:paraId="479C13B2" w14:textId="531B8F6A" w:rsidR="001A2FF3" w:rsidRPr="00F36109" w:rsidRDefault="001A2FF3" w:rsidP="00D17C9E">
            <w:pPr>
              <w:rPr>
                <w:rFonts w:ascii="Times New Roman" w:hAnsi="Times New Roman"/>
                <w:color w:val="000000" w:themeColor="text1"/>
              </w:rPr>
            </w:pPr>
            <w:r w:rsidRPr="00F36109">
              <w:rPr>
                <w:rFonts w:ascii="Times New Roman" w:hAnsi="Times New Roman"/>
                <w:color w:val="000000" w:themeColor="text1"/>
              </w:rPr>
              <w:t>Annual % financial delivery</w:t>
            </w:r>
            <w:r w:rsidR="00770A5F" w:rsidRPr="00F36109">
              <w:rPr>
                <w:rStyle w:val="FootnoteReference"/>
                <w:rFonts w:ascii="Times New Roman" w:hAnsi="Times New Roman"/>
                <w:color w:val="000000" w:themeColor="text1"/>
              </w:rPr>
              <w:footnoteReference w:id="27"/>
            </w:r>
          </w:p>
        </w:tc>
        <w:tc>
          <w:tcPr>
            <w:tcW w:w="914" w:type="dxa"/>
            <w:vAlign w:val="center"/>
          </w:tcPr>
          <w:p w14:paraId="49AC6303" w14:textId="77777777"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755F51A3" w14:textId="73DC4673"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70%</w:t>
            </w:r>
          </w:p>
        </w:tc>
        <w:tc>
          <w:tcPr>
            <w:tcW w:w="682" w:type="dxa"/>
            <w:vAlign w:val="center"/>
          </w:tcPr>
          <w:p w14:paraId="64CBDB77" w14:textId="794DD5AD"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70%</w:t>
            </w:r>
          </w:p>
        </w:tc>
        <w:tc>
          <w:tcPr>
            <w:tcW w:w="667" w:type="dxa"/>
            <w:vAlign w:val="center"/>
          </w:tcPr>
          <w:p w14:paraId="7BAF4ACE" w14:textId="0AE38CCC"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70%</w:t>
            </w:r>
          </w:p>
        </w:tc>
      </w:tr>
      <w:tr w:rsidR="00D17C9E" w:rsidRPr="00F36109" w14:paraId="03929788" w14:textId="77777777" w:rsidTr="00E12815">
        <w:trPr>
          <w:trHeight w:val="231"/>
        </w:trPr>
        <w:tc>
          <w:tcPr>
            <w:tcW w:w="805" w:type="dxa"/>
            <w:vMerge/>
            <w:vAlign w:val="center"/>
          </w:tcPr>
          <w:p w14:paraId="376FE46C" w14:textId="77777777" w:rsidR="001A2FF3" w:rsidRPr="00F36109" w:rsidRDefault="001A2FF3" w:rsidP="00D17C9E">
            <w:pPr>
              <w:rPr>
                <w:rFonts w:ascii="Times New Roman" w:hAnsi="Times New Roman"/>
                <w:color w:val="000000" w:themeColor="text1"/>
              </w:rPr>
            </w:pPr>
          </w:p>
        </w:tc>
        <w:tc>
          <w:tcPr>
            <w:tcW w:w="6396" w:type="dxa"/>
            <w:vAlign w:val="center"/>
          </w:tcPr>
          <w:p w14:paraId="5A9AC46C" w14:textId="77777777" w:rsidR="001A2FF3" w:rsidRPr="00F36109" w:rsidRDefault="001A2FF3" w:rsidP="00D17C9E">
            <w:pPr>
              <w:rPr>
                <w:rFonts w:ascii="Times New Roman" w:hAnsi="Times New Roman"/>
                <w:color w:val="000000" w:themeColor="text1"/>
              </w:rPr>
            </w:pPr>
            <w:r w:rsidRPr="00F36109">
              <w:rPr>
                <w:rFonts w:ascii="Times New Roman" w:hAnsi="Times New Roman"/>
                <w:color w:val="000000" w:themeColor="text1"/>
              </w:rPr>
              <w:t xml:space="preserve">% of direct cost expenditures </w:t>
            </w:r>
          </w:p>
        </w:tc>
        <w:tc>
          <w:tcPr>
            <w:tcW w:w="914" w:type="dxa"/>
            <w:vAlign w:val="center"/>
          </w:tcPr>
          <w:p w14:paraId="7E6E3E1E" w14:textId="569D2E79"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665211C3" w14:textId="42255838"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&lt;</w:t>
            </w:r>
            <w:r w:rsidR="00F820A2" w:rsidRPr="00F36109">
              <w:rPr>
                <w:rFonts w:ascii="Times New Roman" w:hAnsi="Times New Roman"/>
                <w:color w:val="000000" w:themeColor="text1"/>
              </w:rPr>
              <w:t xml:space="preserve"> </w:t>
            </w:r>
            <w:r w:rsidRPr="00F36109">
              <w:rPr>
                <w:rFonts w:ascii="Times New Roman" w:hAnsi="Times New Roman"/>
                <w:color w:val="000000" w:themeColor="text1"/>
              </w:rPr>
              <w:t>3</w:t>
            </w:r>
            <w:r w:rsidR="00F820A2" w:rsidRPr="00F36109">
              <w:rPr>
                <w:rFonts w:ascii="Times New Roman" w:hAnsi="Times New Roman"/>
                <w:color w:val="000000" w:themeColor="text1"/>
              </w:rPr>
              <w:t>%</w:t>
            </w:r>
          </w:p>
        </w:tc>
        <w:tc>
          <w:tcPr>
            <w:tcW w:w="682" w:type="dxa"/>
            <w:vAlign w:val="center"/>
          </w:tcPr>
          <w:p w14:paraId="75805242" w14:textId="3D12A0D8" w:rsidR="001A2FF3" w:rsidRPr="00F36109" w:rsidRDefault="00F820A2" w:rsidP="00D17C9E">
            <w:pPr>
              <w:jc w:val="center"/>
              <w:rPr>
                <w:rFonts w:ascii="Times New Roman" w:hAnsi="Times New Roman"/>
                <w:color w:val="000000" w:themeColor="text1"/>
              </w:rPr>
            </w:pPr>
            <w:r w:rsidRPr="00F36109">
              <w:rPr>
                <w:rFonts w:ascii="Times New Roman" w:hAnsi="Times New Roman"/>
                <w:color w:val="000000" w:themeColor="text1"/>
              </w:rPr>
              <w:t>&lt; 3%</w:t>
            </w:r>
          </w:p>
        </w:tc>
        <w:tc>
          <w:tcPr>
            <w:tcW w:w="667" w:type="dxa"/>
            <w:vAlign w:val="center"/>
          </w:tcPr>
          <w:p w14:paraId="56E0A7CF" w14:textId="464D6C96" w:rsidR="001A2FF3" w:rsidRPr="00F36109" w:rsidRDefault="00F820A2" w:rsidP="00D17C9E">
            <w:pPr>
              <w:jc w:val="center"/>
              <w:rPr>
                <w:rFonts w:ascii="Times New Roman" w:hAnsi="Times New Roman"/>
                <w:color w:val="000000" w:themeColor="text1"/>
              </w:rPr>
            </w:pPr>
            <w:r w:rsidRPr="00F36109">
              <w:rPr>
                <w:rFonts w:ascii="Times New Roman" w:hAnsi="Times New Roman"/>
                <w:color w:val="000000" w:themeColor="text1"/>
              </w:rPr>
              <w:t>&lt; 3%</w:t>
            </w:r>
          </w:p>
        </w:tc>
      </w:tr>
      <w:tr w:rsidR="00D17C9E" w:rsidRPr="00F36109" w14:paraId="35E8D3C1" w14:textId="77777777" w:rsidTr="00E12815">
        <w:trPr>
          <w:trHeight w:val="98"/>
        </w:trPr>
        <w:tc>
          <w:tcPr>
            <w:tcW w:w="805" w:type="dxa"/>
            <w:vMerge/>
            <w:vAlign w:val="center"/>
          </w:tcPr>
          <w:p w14:paraId="29C3E887" w14:textId="77777777" w:rsidR="004D4B6F" w:rsidRPr="00F36109" w:rsidRDefault="004D4B6F" w:rsidP="00D17C9E">
            <w:pPr>
              <w:rPr>
                <w:rFonts w:ascii="Times New Roman" w:hAnsi="Times New Roman"/>
                <w:color w:val="000000" w:themeColor="text1"/>
              </w:rPr>
            </w:pPr>
          </w:p>
        </w:tc>
        <w:tc>
          <w:tcPr>
            <w:tcW w:w="6396" w:type="dxa"/>
            <w:vAlign w:val="center"/>
          </w:tcPr>
          <w:p w14:paraId="5BBC4880" w14:textId="155740B3" w:rsidR="004D4B6F" w:rsidRPr="00F36109" w:rsidRDefault="004D4B6F" w:rsidP="00D17C9E">
            <w:pPr>
              <w:rPr>
                <w:rFonts w:ascii="Times New Roman" w:hAnsi="Times New Roman"/>
                <w:color w:val="000000" w:themeColor="text1"/>
              </w:rPr>
            </w:pPr>
            <w:r w:rsidRPr="00F36109">
              <w:rPr>
                <w:rFonts w:ascii="Times New Roman" w:hAnsi="Times New Roman"/>
                <w:color w:val="000000" w:themeColor="text1"/>
              </w:rPr>
              <w:t>% of</w:t>
            </w:r>
            <w:r w:rsidR="006636B4" w:rsidRPr="00F36109">
              <w:rPr>
                <w:rFonts w:ascii="Times New Roman" w:hAnsi="Times New Roman"/>
                <w:color w:val="000000" w:themeColor="text1"/>
              </w:rPr>
              <w:t xml:space="preserve"> Joint </w:t>
            </w:r>
            <w:proofErr w:type="spellStart"/>
            <w:r w:rsidR="006636B4" w:rsidRPr="00F36109">
              <w:rPr>
                <w:rFonts w:ascii="Times New Roman" w:hAnsi="Times New Roman"/>
                <w:color w:val="000000" w:themeColor="text1"/>
              </w:rPr>
              <w:t>Programmes</w:t>
            </w:r>
            <w:proofErr w:type="spellEnd"/>
            <w:r w:rsidRPr="00F36109">
              <w:rPr>
                <w:rFonts w:ascii="Times New Roman" w:hAnsi="Times New Roman"/>
                <w:color w:val="000000" w:themeColor="text1"/>
              </w:rPr>
              <w:t xml:space="preserve"> supported JPs that are financially closed 18 months after their operational closure</w:t>
            </w:r>
            <w:r w:rsidRPr="00F36109">
              <w:rPr>
                <w:rStyle w:val="FootnoteReference"/>
                <w:rFonts w:ascii="Times New Roman" w:hAnsi="Times New Roman"/>
                <w:color w:val="000000" w:themeColor="text1"/>
              </w:rPr>
              <w:footnoteReference w:id="28"/>
            </w:r>
          </w:p>
        </w:tc>
        <w:tc>
          <w:tcPr>
            <w:tcW w:w="914" w:type="dxa"/>
            <w:vAlign w:val="center"/>
          </w:tcPr>
          <w:p w14:paraId="61363EF3" w14:textId="77777777" w:rsidR="004D4B6F" w:rsidRPr="00F36109" w:rsidRDefault="004D4B6F"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7919D20E" w14:textId="5F40AB55" w:rsidR="004D4B6F" w:rsidRPr="00F36109" w:rsidRDefault="004D4B6F" w:rsidP="00D17C9E">
            <w:pPr>
              <w:jc w:val="center"/>
              <w:rPr>
                <w:rFonts w:ascii="Times New Roman" w:hAnsi="Times New Roman"/>
                <w:color w:val="000000" w:themeColor="text1"/>
              </w:rPr>
            </w:pPr>
            <w:r w:rsidRPr="00F36109">
              <w:rPr>
                <w:rFonts w:ascii="Times New Roman" w:hAnsi="Times New Roman"/>
                <w:color w:val="000000" w:themeColor="text1"/>
              </w:rPr>
              <w:t>N/A</w:t>
            </w:r>
          </w:p>
        </w:tc>
        <w:tc>
          <w:tcPr>
            <w:tcW w:w="682" w:type="dxa"/>
            <w:vAlign w:val="center"/>
          </w:tcPr>
          <w:p w14:paraId="6E9C64DC" w14:textId="2015779F" w:rsidR="004D4B6F" w:rsidRPr="00F36109" w:rsidRDefault="004D4B6F" w:rsidP="00D17C9E">
            <w:pPr>
              <w:jc w:val="center"/>
              <w:rPr>
                <w:rFonts w:ascii="Times New Roman" w:hAnsi="Times New Roman"/>
                <w:color w:val="000000" w:themeColor="text1"/>
              </w:rPr>
            </w:pPr>
            <w:r w:rsidRPr="00F36109">
              <w:rPr>
                <w:rFonts w:ascii="Times New Roman" w:hAnsi="Times New Roman"/>
                <w:color w:val="000000" w:themeColor="text1"/>
              </w:rPr>
              <w:t>N/A</w:t>
            </w:r>
          </w:p>
        </w:tc>
        <w:tc>
          <w:tcPr>
            <w:tcW w:w="667" w:type="dxa"/>
            <w:vAlign w:val="center"/>
          </w:tcPr>
          <w:p w14:paraId="00D63CD8" w14:textId="382B5809" w:rsidR="004D4B6F" w:rsidRPr="00F36109" w:rsidRDefault="004D4B6F" w:rsidP="00D17C9E">
            <w:pPr>
              <w:jc w:val="center"/>
              <w:rPr>
                <w:rFonts w:ascii="Times New Roman" w:hAnsi="Times New Roman"/>
                <w:color w:val="000000" w:themeColor="text1"/>
              </w:rPr>
            </w:pPr>
            <w:r w:rsidRPr="00F36109">
              <w:rPr>
                <w:rFonts w:ascii="Times New Roman" w:hAnsi="Times New Roman"/>
                <w:color w:val="000000" w:themeColor="text1"/>
              </w:rPr>
              <w:t>N/A</w:t>
            </w:r>
          </w:p>
        </w:tc>
      </w:tr>
      <w:tr w:rsidR="00D17C9E" w:rsidRPr="00F36109" w14:paraId="42522F67" w14:textId="77777777" w:rsidTr="00E12815">
        <w:trPr>
          <w:trHeight w:val="231"/>
        </w:trPr>
        <w:tc>
          <w:tcPr>
            <w:tcW w:w="805" w:type="dxa"/>
            <w:vMerge/>
            <w:vAlign w:val="center"/>
          </w:tcPr>
          <w:p w14:paraId="4010702D" w14:textId="77777777" w:rsidR="001A2FF3" w:rsidRPr="00F36109" w:rsidRDefault="001A2FF3" w:rsidP="00D17C9E">
            <w:pPr>
              <w:rPr>
                <w:rFonts w:ascii="Times New Roman" w:hAnsi="Times New Roman"/>
                <w:color w:val="000000" w:themeColor="text1"/>
              </w:rPr>
            </w:pPr>
          </w:p>
        </w:tc>
        <w:tc>
          <w:tcPr>
            <w:tcW w:w="6396" w:type="dxa"/>
            <w:vAlign w:val="center"/>
          </w:tcPr>
          <w:p w14:paraId="51AC4437" w14:textId="25CF7E98" w:rsidR="001A2FF3" w:rsidRPr="00F36109" w:rsidRDefault="001A2FF3" w:rsidP="00D17C9E">
            <w:pPr>
              <w:rPr>
                <w:rFonts w:ascii="Times New Roman" w:hAnsi="Times New Roman"/>
                <w:color w:val="000000" w:themeColor="text1"/>
              </w:rPr>
            </w:pPr>
            <w:r w:rsidRPr="00F36109">
              <w:rPr>
                <w:rFonts w:ascii="Times New Roman" w:hAnsi="Times New Roman"/>
                <w:color w:val="000000" w:themeColor="text1"/>
              </w:rPr>
              <w:t>% of</w:t>
            </w:r>
            <w:r w:rsidR="006636B4" w:rsidRPr="00F36109">
              <w:rPr>
                <w:rFonts w:ascii="Times New Roman" w:hAnsi="Times New Roman"/>
                <w:color w:val="000000" w:themeColor="text1"/>
              </w:rPr>
              <w:t xml:space="preserve"> Joint </w:t>
            </w:r>
            <w:proofErr w:type="spellStart"/>
            <w:r w:rsidR="006636B4" w:rsidRPr="00F36109">
              <w:rPr>
                <w:rFonts w:ascii="Times New Roman" w:hAnsi="Times New Roman"/>
                <w:color w:val="000000" w:themeColor="text1"/>
              </w:rPr>
              <w:t>Programmes</w:t>
            </w:r>
            <w:proofErr w:type="spellEnd"/>
            <w:r w:rsidRPr="00F36109">
              <w:rPr>
                <w:rFonts w:ascii="Times New Roman" w:hAnsi="Times New Roman"/>
                <w:color w:val="000000" w:themeColor="text1"/>
              </w:rPr>
              <w:t xml:space="preserve"> operationally closed within original end date</w:t>
            </w:r>
          </w:p>
        </w:tc>
        <w:tc>
          <w:tcPr>
            <w:tcW w:w="914" w:type="dxa"/>
            <w:vAlign w:val="center"/>
          </w:tcPr>
          <w:p w14:paraId="58C1D1F6" w14:textId="77777777" w:rsidR="001A2FF3" w:rsidRPr="00F36109" w:rsidRDefault="001A2FF3"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1EA0BE5C" w14:textId="4C4B6275" w:rsidR="001A2FF3" w:rsidRPr="00F36109" w:rsidRDefault="00F373B7" w:rsidP="00D17C9E">
            <w:pPr>
              <w:jc w:val="center"/>
              <w:rPr>
                <w:rFonts w:ascii="Times New Roman" w:hAnsi="Times New Roman"/>
                <w:color w:val="000000" w:themeColor="text1"/>
              </w:rPr>
            </w:pPr>
            <w:r w:rsidRPr="00F36109">
              <w:rPr>
                <w:rFonts w:ascii="Times New Roman" w:hAnsi="Times New Roman"/>
                <w:color w:val="000000" w:themeColor="text1"/>
              </w:rPr>
              <w:t>N/A</w:t>
            </w:r>
          </w:p>
        </w:tc>
        <w:tc>
          <w:tcPr>
            <w:tcW w:w="682" w:type="dxa"/>
            <w:vAlign w:val="center"/>
          </w:tcPr>
          <w:p w14:paraId="17B389CB" w14:textId="0C5F8A17" w:rsidR="001A2FF3" w:rsidRPr="00F36109" w:rsidRDefault="00F373B7" w:rsidP="00D17C9E">
            <w:pPr>
              <w:jc w:val="center"/>
              <w:rPr>
                <w:rFonts w:ascii="Times New Roman" w:hAnsi="Times New Roman"/>
                <w:color w:val="000000" w:themeColor="text1"/>
              </w:rPr>
            </w:pPr>
            <w:r w:rsidRPr="00F36109">
              <w:rPr>
                <w:rFonts w:ascii="Times New Roman" w:hAnsi="Times New Roman"/>
                <w:color w:val="000000" w:themeColor="text1"/>
              </w:rPr>
              <w:t>8</w:t>
            </w:r>
            <w:r w:rsidR="001A2FF3" w:rsidRPr="00F36109">
              <w:rPr>
                <w:rFonts w:ascii="Times New Roman" w:hAnsi="Times New Roman"/>
                <w:color w:val="000000" w:themeColor="text1"/>
              </w:rPr>
              <w:t>0%</w:t>
            </w:r>
          </w:p>
        </w:tc>
        <w:tc>
          <w:tcPr>
            <w:tcW w:w="667" w:type="dxa"/>
            <w:vAlign w:val="center"/>
          </w:tcPr>
          <w:p w14:paraId="5DB9F754" w14:textId="4A73181F" w:rsidR="001A2FF3" w:rsidRPr="00F36109" w:rsidRDefault="00F373B7" w:rsidP="00D17C9E">
            <w:pPr>
              <w:jc w:val="center"/>
              <w:rPr>
                <w:rFonts w:ascii="Times New Roman" w:hAnsi="Times New Roman"/>
                <w:color w:val="000000" w:themeColor="text1"/>
              </w:rPr>
            </w:pPr>
            <w:r w:rsidRPr="00F36109">
              <w:rPr>
                <w:rFonts w:ascii="Times New Roman" w:hAnsi="Times New Roman"/>
                <w:color w:val="000000" w:themeColor="text1"/>
              </w:rPr>
              <w:t>8</w:t>
            </w:r>
            <w:r w:rsidR="001A2FF3" w:rsidRPr="00F36109">
              <w:rPr>
                <w:rFonts w:ascii="Times New Roman" w:hAnsi="Times New Roman"/>
                <w:color w:val="000000" w:themeColor="text1"/>
              </w:rPr>
              <w:t>0%</w:t>
            </w:r>
          </w:p>
        </w:tc>
      </w:tr>
      <w:tr w:rsidR="0069566F" w:rsidRPr="00F36109" w14:paraId="2153B35F" w14:textId="77777777" w:rsidTr="00E12815">
        <w:trPr>
          <w:trHeight w:val="231"/>
        </w:trPr>
        <w:tc>
          <w:tcPr>
            <w:tcW w:w="805" w:type="dxa"/>
            <w:vMerge w:val="restart"/>
            <w:vAlign w:val="center"/>
          </w:tcPr>
          <w:p w14:paraId="0B7B6303" w14:textId="1762E081"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Compliance with UN Standards</w:t>
            </w:r>
          </w:p>
        </w:tc>
        <w:tc>
          <w:tcPr>
            <w:tcW w:w="6396" w:type="dxa"/>
            <w:vAlign w:val="center"/>
          </w:tcPr>
          <w:p w14:paraId="17921986" w14:textId="47FB9439"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xml:space="preserve">Annual portfolio analysis informs the funding </w:t>
            </w:r>
            <w:proofErr w:type="spellStart"/>
            <w:r w:rsidRPr="00F36109">
              <w:rPr>
                <w:rFonts w:ascii="Times New Roman" w:hAnsi="Times New Roman"/>
                <w:color w:val="000000" w:themeColor="text1"/>
              </w:rPr>
              <w:t>prioritisation</w:t>
            </w:r>
            <w:proofErr w:type="spellEnd"/>
            <w:r w:rsidRPr="00F36109">
              <w:rPr>
                <w:rFonts w:ascii="Times New Roman" w:hAnsi="Times New Roman"/>
                <w:color w:val="000000" w:themeColor="text1"/>
              </w:rPr>
              <w:t xml:space="preserve"> by the Strategic Advisory Group </w:t>
            </w:r>
          </w:p>
        </w:tc>
        <w:tc>
          <w:tcPr>
            <w:tcW w:w="914" w:type="dxa"/>
            <w:vAlign w:val="center"/>
          </w:tcPr>
          <w:p w14:paraId="5AE9DC54" w14:textId="370F94BF"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58B67AA0" w14:textId="77777777" w:rsidR="00D17C9E" w:rsidRPr="00F36109" w:rsidRDefault="00D17C9E" w:rsidP="00D17C9E">
            <w:pPr>
              <w:pStyle w:val="ListParagraph"/>
              <w:numPr>
                <w:ilvl w:val="0"/>
                <w:numId w:val="13"/>
              </w:numPr>
              <w:jc w:val="center"/>
              <w:rPr>
                <w:rFonts w:ascii="Times New Roman" w:hAnsi="Times New Roman"/>
                <w:color w:val="000000" w:themeColor="text1"/>
              </w:rPr>
            </w:pPr>
          </w:p>
        </w:tc>
        <w:tc>
          <w:tcPr>
            <w:tcW w:w="682" w:type="dxa"/>
            <w:vAlign w:val="center"/>
          </w:tcPr>
          <w:p w14:paraId="6B8B2C7B" w14:textId="77777777" w:rsidR="00D17C9E" w:rsidRPr="00F36109" w:rsidRDefault="00D17C9E" w:rsidP="00D17C9E">
            <w:pPr>
              <w:pStyle w:val="ListParagraph"/>
              <w:numPr>
                <w:ilvl w:val="0"/>
                <w:numId w:val="13"/>
              </w:numPr>
              <w:jc w:val="center"/>
              <w:rPr>
                <w:rFonts w:ascii="Times New Roman" w:hAnsi="Times New Roman"/>
                <w:color w:val="000000" w:themeColor="text1"/>
              </w:rPr>
            </w:pPr>
          </w:p>
        </w:tc>
        <w:tc>
          <w:tcPr>
            <w:tcW w:w="667" w:type="dxa"/>
            <w:vAlign w:val="center"/>
          </w:tcPr>
          <w:p w14:paraId="55365B26" w14:textId="77777777" w:rsidR="00D17C9E" w:rsidRPr="00F36109" w:rsidRDefault="00D17C9E" w:rsidP="00D17C9E">
            <w:pPr>
              <w:pStyle w:val="ListParagraph"/>
              <w:numPr>
                <w:ilvl w:val="0"/>
                <w:numId w:val="13"/>
              </w:numPr>
              <w:jc w:val="center"/>
              <w:rPr>
                <w:rFonts w:ascii="Times New Roman" w:hAnsi="Times New Roman"/>
                <w:color w:val="000000" w:themeColor="text1"/>
              </w:rPr>
            </w:pPr>
          </w:p>
        </w:tc>
      </w:tr>
      <w:tr w:rsidR="0069566F" w:rsidRPr="00F36109" w14:paraId="0D94997D" w14:textId="77777777" w:rsidTr="00E12815">
        <w:trPr>
          <w:trHeight w:val="231"/>
        </w:trPr>
        <w:tc>
          <w:tcPr>
            <w:tcW w:w="805" w:type="dxa"/>
            <w:vMerge/>
            <w:vAlign w:val="center"/>
          </w:tcPr>
          <w:p w14:paraId="65F14CBF" w14:textId="1B4DD095" w:rsidR="00D17C9E" w:rsidRPr="00F36109" w:rsidRDefault="00D17C9E" w:rsidP="00D17C9E">
            <w:pPr>
              <w:rPr>
                <w:rFonts w:ascii="Times New Roman" w:hAnsi="Times New Roman"/>
                <w:color w:val="000000" w:themeColor="text1"/>
              </w:rPr>
            </w:pPr>
          </w:p>
        </w:tc>
        <w:tc>
          <w:tcPr>
            <w:tcW w:w="6396" w:type="dxa"/>
            <w:vAlign w:val="center"/>
          </w:tcPr>
          <w:p w14:paraId="5BA8BF11" w14:textId="7614EB6D"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of</w:t>
            </w:r>
            <w:r w:rsidR="006636B4" w:rsidRPr="00F36109">
              <w:rPr>
                <w:rFonts w:ascii="Times New Roman" w:hAnsi="Times New Roman"/>
                <w:color w:val="000000" w:themeColor="text1"/>
              </w:rPr>
              <w:t xml:space="preserve"> Joint </w:t>
            </w:r>
            <w:proofErr w:type="spellStart"/>
            <w:r w:rsidR="006636B4" w:rsidRPr="00F36109">
              <w:rPr>
                <w:rFonts w:ascii="Times New Roman" w:hAnsi="Times New Roman"/>
                <w:color w:val="000000" w:themeColor="text1"/>
              </w:rPr>
              <w:t>Programmes</w:t>
            </w:r>
            <w:proofErr w:type="spellEnd"/>
            <w:r w:rsidR="006636B4" w:rsidRPr="00F36109">
              <w:rPr>
                <w:rFonts w:ascii="Times New Roman" w:hAnsi="Times New Roman"/>
                <w:color w:val="000000" w:themeColor="text1"/>
              </w:rPr>
              <w:t xml:space="preserve"> </w:t>
            </w:r>
            <w:r w:rsidRPr="00F36109">
              <w:rPr>
                <w:rFonts w:ascii="Times New Roman" w:hAnsi="Times New Roman"/>
                <w:color w:val="000000" w:themeColor="text1"/>
              </w:rPr>
              <w:t>that facilitated engagement with diverse stakeholders (e.g. parliamentarians, civil society, IFIs, bilateral/multilateral actor, private sector) (QCPR)</w:t>
            </w:r>
          </w:p>
        </w:tc>
        <w:tc>
          <w:tcPr>
            <w:tcW w:w="914" w:type="dxa"/>
            <w:vAlign w:val="center"/>
          </w:tcPr>
          <w:p w14:paraId="73B6C8F0" w14:textId="0059F154" w:rsidR="00D17C9E" w:rsidRPr="00F36109" w:rsidRDefault="00D17C9E" w:rsidP="00D17C9E">
            <w:pPr>
              <w:jc w:val="center"/>
              <w:rPr>
                <w:rFonts w:ascii="Times New Roman" w:hAnsi="Times New Roman"/>
                <w:color w:val="000000" w:themeColor="text1"/>
                <w:highlight w:val="yellow"/>
              </w:rPr>
            </w:pPr>
            <w:r w:rsidRPr="00F36109">
              <w:rPr>
                <w:rFonts w:ascii="Times New Roman" w:hAnsi="Times New Roman"/>
                <w:color w:val="000000" w:themeColor="text1"/>
              </w:rPr>
              <w:t>0</w:t>
            </w:r>
          </w:p>
        </w:tc>
        <w:tc>
          <w:tcPr>
            <w:tcW w:w="716" w:type="dxa"/>
            <w:vAlign w:val="center"/>
          </w:tcPr>
          <w:p w14:paraId="46479041" w14:textId="77777777" w:rsidR="00D17C9E" w:rsidRPr="00F36109" w:rsidRDefault="00D17C9E" w:rsidP="00D17C9E">
            <w:pPr>
              <w:jc w:val="center"/>
              <w:rPr>
                <w:rFonts w:ascii="Times New Roman" w:hAnsi="Times New Roman"/>
                <w:color w:val="000000" w:themeColor="text1"/>
                <w:highlight w:val="yellow"/>
              </w:rPr>
            </w:pPr>
            <w:r w:rsidRPr="00F36109">
              <w:rPr>
                <w:rFonts w:ascii="Times New Roman" w:hAnsi="Times New Roman"/>
                <w:color w:val="000000" w:themeColor="text1"/>
              </w:rPr>
              <w:t>100%</w:t>
            </w:r>
          </w:p>
        </w:tc>
        <w:tc>
          <w:tcPr>
            <w:tcW w:w="682" w:type="dxa"/>
            <w:vAlign w:val="center"/>
          </w:tcPr>
          <w:p w14:paraId="4275EB33" w14:textId="1992DDF3"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67" w:type="dxa"/>
            <w:vAlign w:val="center"/>
          </w:tcPr>
          <w:p w14:paraId="40CCD859" w14:textId="2664F878"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r>
      <w:tr w:rsidR="0069566F" w:rsidRPr="00F36109" w14:paraId="129D9FB7" w14:textId="77777777" w:rsidTr="00E12815">
        <w:trPr>
          <w:trHeight w:val="231"/>
        </w:trPr>
        <w:tc>
          <w:tcPr>
            <w:tcW w:w="805" w:type="dxa"/>
            <w:vMerge/>
            <w:vAlign w:val="center"/>
          </w:tcPr>
          <w:p w14:paraId="2718BC14" w14:textId="77777777" w:rsidR="00D17C9E" w:rsidRPr="00F36109" w:rsidRDefault="00D17C9E" w:rsidP="00D17C9E">
            <w:pPr>
              <w:rPr>
                <w:rFonts w:ascii="Times New Roman" w:hAnsi="Times New Roman"/>
                <w:color w:val="000000" w:themeColor="text1"/>
              </w:rPr>
            </w:pPr>
          </w:p>
        </w:tc>
        <w:tc>
          <w:tcPr>
            <w:tcW w:w="6396" w:type="dxa"/>
            <w:vAlign w:val="center"/>
          </w:tcPr>
          <w:p w14:paraId="7AF41644" w14:textId="67AA4EFF"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of</w:t>
            </w:r>
            <w:r w:rsidR="006636B4" w:rsidRPr="00F36109">
              <w:rPr>
                <w:rFonts w:ascii="Times New Roman" w:hAnsi="Times New Roman"/>
                <w:color w:val="000000" w:themeColor="text1"/>
              </w:rPr>
              <w:t xml:space="preserve"> Joint </w:t>
            </w:r>
            <w:proofErr w:type="spellStart"/>
            <w:r w:rsidR="006636B4" w:rsidRPr="00F36109">
              <w:rPr>
                <w:rFonts w:ascii="Times New Roman" w:hAnsi="Times New Roman"/>
                <w:color w:val="000000" w:themeColor="text1"/>
              </w:rPr>
              <w:t>Programmes</w:t>
            </w:r>
            <w:proofErr w:type="spellEnd"/>
            <w:r w:rsidR="006636B4" w:rsidRPr="00F36109">
              <w:rPr>
                <w:rFonts w:ascii="Times New Roman" w:hAnsi="Times New Roman"/>
                <w:color w:val="000000" w:themeColor="text1"/>
              </w:rPr>
              <w:t xml:space="preserve"> </w:t>
            </w:r>
            <w:r w:rsidRPr="00F36109">
              <w:rPr>
                <w:rFonts w:ascii="Times New Roman" w:hAnsi="Times New Roman"/>
                <w:color w:val="000000" w:themeColor="text1"/>
              </w:rPr>
              <w:t xml:space="preserve">that include addressing inequalities (QCPR) and the principle of “Leaving No One Behind” </w:t>
            </w:r>
          </w:p>
        </w:tc>
        <w:tc>
          <w:tcPr>
            <w:tcW w:w="914" w:type="dxa"/>
            <w:vAlign w:val="center"/>
          </w:tcPr>
          <w:p w14:paraId="01072817"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0A99B7BA"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82" w:type="dxa"/>
            <w:vAlign w:val="center"/>
          </w:tcPr>
          <w:p w14:paraId="462A04FB" w14:textId="50BE2951"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67" w:type="dxa"/>
            <w:vAlign w:val="center"/>
          </w:tcPr>
          <w:p w14:paraId="550DEF2E" w14:textId="5CDA3E10"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r>
      <w:tr w:rsidR="0069566F" w:rsidRPr="00F36109" w14:paraId="46DA4B97" w14:textId="77777777" w:rsidTr="00E12815">
        <w:trPr>
          <w:trHeight w:val="231"/>
        </w:trPr>
        <w:tc>
          <w:tcPr>
            <w:tcW w:w="805" w:type="dxa"/>
            <w:vMerge/>
            <w:vAlign w:val="center"/>
          </w:tcPr>
          <w:p w14:paraId="4404E774" w14:textId="77777777" w:rsidR="00D17C9E" w:rsidRPr="00F36109" w:rsidRDefault="00D17C9E" w:rsidP="00D17C9E">
            <w:pPr>
              <w:rPr>
                <w:rFonts w:ascii="Times New Roman" w:hAnsi="Times New Roman"/>
                <w:color w:val="000000" w:themeColor="text1"/>
              </w:rPr>
            </w:pPr>
          </w:p>
        </w:tc>
        <w:tc>
          <w:tcPr>
            <w:tcW w:w="6396" w:type="dxa"/>
            <w:vAlign w:val="center"/>
          </w:tcPr>
          <w:p w14:paraId="0B301AEB" w14:textId="6551336F"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xml:space="preserve">% of </w:t>
            </w:r>
            <w:r w:rsidR="006636B4" w:rsidRPr="00F36109">
              <w:rPr>
                <w:rFonts w:ascii="Times New Roman" w:hAnsi="Times New Roman"/>
                <w:color w:val="000000" w:themeColor="text1"/>
              </w:rPr>
              <w:t xml:space="preserve">Joint </w:t>
            </w:r>
            <w:proofErr w:type="spellStart"/>
            <w:r w:rsidR="006636B4" w:rsidRPr="00F36109">
              <w:rPr>
                <w:rFonts w:ascii="Times New Roman" w:hAnsi="Times New Roman"/>
                <w:color w:val="000000" w:themeColor="text1"/>
              </w:rPr>
              <w:t>Programmes</w:t>
            </w:r>
            <w:proofErr w:type="spellEnd"/>
            <w:r w:rsidR="006636B4" w:rsidRPr="00F36109">
              <w:rPr>
                <w:rFonts w:ascii="Times New Roman" w:hAnsi="Times New Roman"/>
                <w:color w:val="000000" w:themeColor="text1"/>
              </w:rPr>
              <w:t xml:space="preserve"> </w:t>
            </w:r>
            <w:r w:rsidRPr="00F36109">
              <w:rPr>
                <w:rFonts w:ascii="Times New Roman" w:hAnsi="Times New Roman"/>
                <w:color w:val="000000" w:themeColor="text1"/>
              </w:rPr>
              <w:t>that featured gender results at the outcome level (QCPR)</w:t>
            </w:r>
          </w:p>
        </w:tc>
        <w:tc>
          <w:tcPr>
            <w:tcW w:w="914" w:type="dxa"/>
            <w:vAlign w:val="center"/>
          </w:tcPr>
          <w:p w14:paraId="4F8571AD"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4D66DE8D"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82" w:type="dxa"/>
            <w:vAlign w:val="center"/>
          </w:tcPr>
          <w:p w14:paraId="7E74A5DB" w14:textId="6472676B"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67" w:type="dxa"/>
            <w:vAlign w:val="center"/>
          </w:tcPr>
          <w:p w14:paraId="5C0BAC35" w14:textId="26F465B5"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r>
      <w:tr w:rsidR="0069566F" w:rsidRPr="00F36109" w14:paraId="0174F1C4" w14:textId="77777777" w:rsidTr="00E12815">
        <w:trPr>
          <w:trHeight w:val="302"/>
        </w:trPr>
        <w:tc>
          <w:tcPr>
            <w:tcW w:w="805" w:type="dxa"/>
            <w:vMerge/>
            <w:vAlign w:val="center"/>
          </w:tcPr>
          <w:p w14:paraId="3F92ADA2" w14:textId="77777777" w:rsidR="00D17C9E" w:rsidRPr="00F36109" w:rsidRDefault="00D17C9E" w:rsidP="00D17C9E">
            <w:pPr>
              <w:pStyle w:val="Heading4"/>
              <w:spacing w:before="0" w:line="240" w:lineRule="auto"/>
              <w:outlineLvl w:val="3"/>
              <w:rPr>
                <w:rFonts w:ascii="Times New Roman" w:eastAsia="Calibri" w:hAnsi="Times New Roman" w:cs="Times New Roman"/>
                <w:i w:val="0"/>
                <w:iCs w:val="0"/>
                <w:color w:val="000000" w:themeColor="text1"/>
              </w:rPr>
            </w:pPr>
          </w:p>
        </w:tc>
        <w:tc>
          <w:tcPr>
            <w:tcW w:w="6396" w:type="dxa"/>
            <w:vAlign w:val="center"/>
          </w:tcPr>
          <w:p w14:paraId="791BE827" w14:textId="35330560" w:rsidR="00D17C9E" w:rsidRPr="00F36109" w:rsidRDefault="00D17C9E" w:rsidP="00D17C9E">
            <w:pPr>
              <w:pStyle w:val="Heading4"/>
              <w:spacing w:before="0" w:line="240" w:lineRule="auto"/>
              <w:outlineLvl w:val="3"/>
              <w:rPr>
                <w:rFonts w:ascii="Times New Roman" w:hAnsi="Times New Roman" w:cs="Times New Roman"/>
                <w:i w:val="0"/>
              </w:rPr>
            </w:pPr>
            <w:bookmarkStart w:id="122" w:name="_Toc527975458"/>
            <w:bookmarkStart w:id="123" w:name="_Toc527975922"/>
            <w:bookmarkStart w:id="124" w:name="_Toc527976140"/>
            <w:bookmarkStart w:id="125" w:name="_Toc527976253"/>
            <w:bookmarkStart w:id="126" w:name="_Toc530497056"/>
            <w:bookmarkStart w:id="127" w:name="_Toc530577737"/>
            <w:r w:rsidRPr="00F36109">
              <w:rPr>
                <w:rFonts w:ascii="Times New Roman" w:eastAsia="Calibri" w:hAnsi="Times New Roman" w:cs="Times New Roman"/>
                <w:i w:val="0"/>
                <w:iCs w:val="0"/>
                <w:color w:val="000000" w:themeColor="text1"/>
              </w:rPr>
              <w:t>% of</w:t>
            </w:r>
            <w:r w:rsidR="006636B4" w:rsidRPr="00F36109">
              <w:rPr>
                <w:rFonts w:ascii="Times New Roman" w:hAnsi="Times New Roman" w:cs="Times New Roman"/>
                <w:i w:val="0"/>
                <w:color w:val="000000" w:themeColor="text1"/>
              </w:rPr>
              <w:t xml:space="preserve"> Joint </w:t>
            </w:r>
            <w:proofErr w:type="spellStart"/>
            <w:r w:rsidR="006636B4" w:rsidRPr="00F36109">
              <w:rPr>
                <w:rFonts w:ascii="Times New Roman" w:hAnsi="Times New Roman" w:cs="Times New Roman"/>
                <w:i w:val="0"/>
                <w:color w:val="000000" w:themeColor="text1"/>
              </w:rPr>
              <w:t>Programmes</w:t>
            </w:r>
            <w:proofErr w:type="spellEnd"/>
            <w:r w:rsidR="006636B4" w:rsidRPr="00F36109">
              <w:rPr>
                <w:rFonts w:ascii="Times New Roman" w:eastAsia="Calibri" w:hAnsi="Times New Roman" w:cs="Times New Roman"/>
                <w:i w:val="0"/>
                <w:iCs w:val="0"/>
                <w:color w:val="000000" w:themeColor="text1"/>
              </w:rPr>
              <w:t xml:space="preserve"> </w:t>
            </w:r>
            <w:r w:rsidRPr="00F36109">
              <w:rPr>
                <w:rFonts w:ascii="Times New Roman" w:eastAsia="Calibri" w:hAnsi="Times New Roman" w:cs="Times New Roman"/>
                <w:i w:val="0"/>
                <w:iCs w:val="0"/>
                <w:color w:val="000000" w:themeColor="text1"/>
              </w:rPr>
              <w:t>that undertake or draw upon relevant human rights analysis</w:t>
            </w:r>
            <w:r w:rsidR="00D4292C" w:rsidRPr="00F36109">
              <w:rPr>
                <w:rFonts w:ascii="Times New Roman" w:eastAsia="Calibri" w:hAnsi="Times New Roman" w:cs="Times New Roman"/>
                <w:i w:val="0"/>
                <w:iCs w:val="0"/>
                <w:color w:val="000000" w:themeColor="text1"/>
              </w:rPr>
              <w:t>, and</w:t>
            </w:r>
            <w:r w:rsidRPr="00F36109">
              <w:rPr>
                <w:rFonts w:ascii="Times New Roman" w:eastAsia="Calibri" w:hAnsi="Times New Roman" w:cs="Times New Roman"/>
                <w:i w:val="0"/>
                <w:iCs w:val="0"/>
                <w:color w:val="000000" w:themeColor="text1"/>
              </w:rPr>
              <w:t xml:space="preserve"> </w:t>
            </w:r>
            <w:r w:rsidR="00631B4D" w:rsidRPr="00F36109">
              <w:rPr>
                <w:rFonts w:ascii="Times New Roman" w:eastAsia="Calibri" w:hAnsi="Times New Roman" w:cs="Times New Roman"/>
                <w:i w:val="0"/>
                <w:iCs w:val="0"/>
                <w:color w:val="000000" w:themeColor="text1"/>
              </w:rPr>
              <w:t xml:space="preserve">have </w:t>
            </w:r>
            <w:r w:rsidRPr="00F36109">
              <w:rPr>
                <w:rFonts w:ascii="Times New Roman" w:eastAsia="Calibri" w:hAnsi="Times New Roman" w:cs="Times New Roman"/>
                <w:i w:val="0"/>
                <w:iCs w:val="0"/>
                <w:color w:val="000000" w:themeColor="text1"/>
              </w:rPr>
              <w:t xml:space="preserve">developed </w:t>
            </w:r>
            <w:r w:rsidR="00D4292C" w:rsidRPr="00F36109">
              <w:rPr>
                <w:rFonts w:ascii="Times New Roman" w:eastAsia="Calibri" w:hAnsi="Times New Roman" w:cs="Times New Roman"/>
                <w:i w:val="0"/>
                <w:iCs w:val="0"/>
                <w:color w:val="000000" w:themeColor="text1"/>
              </w:rPr>
              <w:t>or</w:t>
            </w:r>
            <w:r w:rsidRPr="00F36109">
              <w:rPr>
                <w:rFonts w:ascii="Times New Roman" w:eastAsia="Calibri" w:hAnsi="Times New Roman" w:cs="Times New Roman"/>
                <w:i w:val="0"/>
                <w:iCs w:val="0"/>
                <w:color w:val="000000" w:themeColor="text1"/>
              </w:rPr>
              <w:t xml:space="preserve"> implemented a strategy to address human rights</w:t>
            </w:r>
            <w:r w:rsidR="00D4292C" w:rsidRPr="00F36109">
              <w:rPr>
                <w:rFonts w:ascii="Times New Roman" w:eastAsia="Calibri" w:hAnsi="Times New Roman" w:cs="Times New Roman"/>
                <w:i w:val="0"/>
                <w:iCs w:val="0"/>
                <w:color w:val="000000" w:themeColor="text1"/>
              </w:rPr>
              <w:t xml:space="preserve"> issues</w:t>
            </w:r>
            <w:bookmarkEnd w:id="122"/>
            <w:bookmarkEnd w:id="123"/>
            <w:bookmarkEnd w:id="124"/>
            <w:bookmarkEnd w:id="125"/>
            <w:bookmarkEnd w:id="126"/>
            <w:bookmarkEnd w:id="127"/>
          </w:p>
        </w:tc>
        <w:tc>
          <w:tcPr>
            <w:tcW w:w="914" w:type="dxa"/>
            <w:vAlign w:val="center"/>
          </w:tcPr>
          <w:p w14:paraId="3EA62B3C" w14:textId="77777777" w:rsidR="00D17C9E" w:rsidRPr="00F36109" w:rsidRDefault="00D17C9E" w:rsidP="00D17C9E">
            <w:pPr>
              <w:pStyle w:val="Heading4"/>
              <w:spacing w:before="0" w:line="240" w:lineRule="auto"/>
              <w:jc w:val="center"/>
              <w:outlineLvl w:val="3"/>
              <w:rPr>
                <w:rFonts w:ascii="Times New Roman" w:eastAsia="Calibri" w:hAnsi="Times New Roman" w:cs="Times New Roman"/>
                <w:i w:val="0"/>
                <w:iCs w:val="0"/>
                <w:color w:val="000000" w:themeColor="text1"/>
              </w:rPr>
            </w:pPr>
            <w:bookmarkStart w:id="128" w:name="_Toc527975459"/>
            <w:bookmarkStart w:id="129" w:name="_Toc527975923"/>
            <w:bookmarkStart w:id="130" w:name="_Toc527976141"/>
            <w:bookmarkStart w:id="131" w:name="_Toc527976254"/>
            <w:bookmarkStart w:id="132" w:name="_Toc530497057"/>
            <w:bookmarkStart w:id="133" w:name="_Toc530577738"/>
            <w:r w:rsidRPr="00F36109">
              <w:rPr>
                <w:rFonts w:ascii="Times New Roman" w:eastAsia="Calibri" w:hAnsi="Times New Roman" w:cs="Times New Roman"/>
                <w:i w:val="0"/>
                <w:iCs w:val="0"/>
                <w:color w:val="000000" w:themeColor="text1"/>
              </w:rPr>
              <w:t>0</w:t>
            </w:r>
            <w:bookmarkEnd w:id="128"/>
            <w:bookmarkEnd w:id="129"/>
            <w:bookmarkEnd w:id="130"/>
            <w:bookmarkEnd w:id="131"/>
            <w:bookmarkEnd w:id="132"/>
            <w:bookmarkEnd w:id="133"/>
          </w:p>
        </w:tc>
        <w:tc>
          <w:tcPr>
            <w:tcW w:w="716" w:type="dxa"/>
            <w:vAlign w:val="center"/>
          </w:tcPr>
          <w:p w14:paraId="07D57B6F" w14:textId="77777777" w:rsidR="00D17C9E" w:rsidRPr="00F36109" w:rsidRDefault="00D17C9E" w:rsidP="00D17C9E">
            <w:pPr>
              <w:pStyle w:val="Heading4"/>
              <w:spacing w:before="0" w:line="240" w:lineRule="auto"/>
              <w:jc w:val="center"/>
              <w:outlineLvl w:val="3"/>
              <w:rPr>
                <w:rFonts w:ascii="Times New Roman" w:eastAsia="Calibri" w:hAnsi="Times New Roman" w:cs="Times New Roman"/>
                <w:i w:val="0"/>
                <w:iCs w:val="0"/>
                <w:color w:val="000000" w:themeColor="text1"/>
              </w:rPr>
            </w:pPr>
            <w:bookmarkStart w:id="134" w:name="_Toc527975460"/>
            <w:bookmarkStart w:id="135" w:name="_Toc527975924"/>
            <w:bookmarkStart w:id="136" w:name="_Toc527976142"/>
            <w:bookmarkStart w:id="137" w:name="_Toc527976255"/>
            <w:bookmarkStart w:id="138" w:name="_Toc530497058"/>
            <w:bookmarkStart w:id="139" w:name="_Toc530577739"/>
            <w:r w:rsidRPr="00F36109">
              <w:rPr>
                <w:rFonts w:ascii="Times New Roman" w:eastAsia="Calibri" w:hAnsi="Times New Roman" w:cs="Times New Roman"/>
                <w:i w:val="0"/>
                <w:iCs w:val="0"/>
                <w:color w:val="000000" w:themeColor="text1"/>
              </w:rPr>
              <w:t>60%</w:t>
            </w:r>
            <w:bookmarkEnd w:id="134"/>
            <w:bookmarkEnd w:id="135"/>
            <w:bookmarkEnd w:id="136"/>
            <w:bookmarkEnd w:id="137"/>
            <w:bookmarkEnd w:id="138"/>
            <w:bookmarkEnd w:id="139"/>
          </w:p>
        </w:tc>
        <w:tc>
          <w:tcPr>
            <w:tcW w:w="682" w:type="dxa"/>
            <w:vAlign w:val="center"/>
          </w:tcPr>
          <w:p w14:paraId="23ED149D" w14:textId="0E5FF400" w:rsidR="00D17C9E" w:rsidRPr="00F36109" w:rsidRDefault="00D17C9E" w:rsidP="00D17C9E">
            <w:pPr>
              <w:pStyle w:val="Heading4"/>
              <w:spacing w:before="0" w:line="240" w:lineRule="auto"/>
              <w:jc w:val="center"/>
              <w:outlineLvl w:val="3"/>
              <w:rPr>
                <w:rFonts w:ascii="Times New Roman" w:eastAsia="Calibri" w:hAnsi="Times New Roman" w:cs="Times New Roman"/>
                <w:i w:val="0"/>
                <w:iCs w:val="0"/>
                <w:color w:val="000000" w:themeColor="text1"/>
              </w:rPr>
            </w:pPr>
            <w:bookmarkStart w:id="140" w:name="_Toc527975461"/>
            <w:bookmarkStart w:id="141" w:name="_Toc527975925"/>
            <w:bookmarkStart w:id="142" w:name="_Toc527976143"/>
            <w:bookmarkStart w:id="143" w:name="_Toc527976256"/>
            <w:bookmarkStart w:id="144" w:name="_Toc530497059"/>
            <w:bookmarkStart w:id="145" w:name="_Toc530577740"/>
            <w:r w:rsidRPr="00F36109">
              <w:rPr>
                <w:rFonts w:ascii="Times New Roman" w:eastAsia="Calibri" w:hAnsi="Times New Roman" w:cs="Times New Roman"/>
                <w:i w:val="0"/>
                <w:iCs w:val="0"/>
                <w:color w:val="000000" w:themeColor="text1"/>
              </w:rPr>
              <w:t>60%</w:t>
            </w:r>
            <w:bookmarkEnd w:id="140"/>
            <w:bookmarkEnd w:id="141"/>
            <w:bookmarkEnd w:id="142"/>
            <w:bookmarkEnd w:id="143"/>
            <w:bookmarkEnd w:id="144"/>
            <w:bookmarkEnd w:id="145"/>
          </w:p>
        </w:tc>
        <w:tc>
          <w:tcPr>
            <w:tcW w:w="667" w:type="dxa"/>
            <w:vAlign w:val="center"/>
          </w:tcPr>
          <w:p w14:paraId="593C82DB" w14:textId="5C574D9B" w:rsidR="00D17C9E" w:rsidRPr="00F36109" w:rsidRDefault="00D17C9E" w:rsidP="00D17C9E">
            <w:pPr>
              <w:pStyle w:val="Heading4"/>
              <w:spacing w:before="0" w:line="240" w:lineRule="auto"/>
              <w:jc w:val="center"/>
              <w:outlineLvl w:val="3"/>
              <w:rPr>
                <w:rFonts w:ascii="Times New Roman" w:eastAsia="Calibri" w:hAnsi="Times New Roman" w:cs="Times New Roman"/>
                <w:i w:val="0"/>
                <w:iCs w:val="0"/>
                <w:color w:val="000000" w:themeColor="text1"/>
              </w:rPr>
            </w:pPr>
            <w:bookmarkStart w:id="146" w:name="_Toc527975462"/>
            <w:bookmarkStart w:id="147" w:name="_Toc527975926"/>
            <w:bookmarkStart w:id="148" w:name="_Toc527976144"/>
            <w:bookmarkStart w:id="149" w:name="_Toc527976257"/>
            <w:bookmarkStart w:id="150" w:name="_Toc530497060"/>
            <w:bookmarkStart w:id="151" w:name="_Toc530577741"/>
            <w:r w:rsidRPr="00F36109">
              <w:rPr>
                <w:rFonts w:ascii="Times New Roman" w:eastAsia="Calibri" w:hAnsi="Times New Roman" w:cs="Times New Roman"/>
                <w:i w:val="0"/>
                <w:iCs w:val="0"/>
                <w:color w:val="000000" w:themeColor="text1"/>
              </w:rPr>
              <w:t>60%</w:t>
            </w:r>
            <w:bookmarkEnd w:id="146"/>
            <w:bookmarkEnd w:id="147"/>
            <w:bookmarkEnd w:id="148"/>
            <w:bookmarkEnd w:id="149"/>
            <w:bookmarkEnd w:id="150"/>
            <w:bookmarkEnd w:id="151"/>
          </w:p>
        </w:tc>
      </w:tr>
      <w:tr w:rsidR="0069566F" w:rsidRPr="00F36109" w14:paraId="1165FA18" w14:textId="77777777" w:rsidTr="00E12815">
        <w:trPr>
          <w:trHeight w:val="231"/>
        </w:trPr>
        <w:tc>
          <w:tcPr>
            <w:tcW w:w="805" w:type="dxa"/>
            <w:vMerge/>
            <w:vAlign w:val="center"/>
          </w:tcPr>
          <w:p w14:paraId="7E6B9662" w14:textId="77777777" w:rsidR="00D17C9E" w:rsidRPr="00F36109" w:rsidRDefault="00D17C9E" w:rsidP="00D17C9E">
            <w:pPr>
              <w:rPr>
                <w:rFonts w:ascii="Times New Roman" w:hAnsi="Times New Roman"/>
                <w:color w:val="000000" w:themeColor="text1"/>
              </w:rPr>
            </w:pPr>
          </w:p>
        </w:tc>
        <w:tc>
          <w:tcPr>
            <w:tcW w:w="6396" w:type="dxa"/>
            <w:vAlign w:val="center"/>
          </w:tcPr>
          <w:p w14:paraId="007537ED" w14:textId="4B24B470" w:rsidR="00D17C9E" w:rsidRPr="00F36109" w:rsidRDefault="00D17C9E" w:rsidP="00D17C9E">
            <w:pPr>
              <w:rPr>
                <w:rFonts w:ascii="Times New Roman" w:hAnsi="Times New Roman"/>
                <w:color w:val="000000" w:themeColor="text1"/>
              </w:rPr>
            </w:pPr>
            <w:r w:rsidRPr="00F36109">
              <w:rPr>
                <w:rFonts w:ascii="Times New Roman" w:hAnsi="Times New Roman"/>
              </w:rPr>
              <w:t>% of</w:t>
            </w:r>
            <w:r w:rsidR="006636B4" w:rsidRPr="00F36109">
              <w:rPr>
                <w:rFonts w:ascii="Times New Roman" w:hAnsi="Times New Roman"/>
                <w:color w:val="000000" w:themeColor="text1"/>
              </w:rPr>
              <w:t xml:space="preserve"> Joint </w:t>
            </w:r>
            <w:proofErr w:type="spellStart"/>
            <w:r w:rsidR="006636B4" w:rsidRPr="00F36109">
              <w:rPr>
                <w:rFonts w:ascii="Times New Roman" w:hAnsi="Times New Roman"/>
                <w:color w:val="000000" w:themeColor="text1"/>
              </w:rPr>
              <w:t>Programmes</w:t>
            </w:r>
            <w:proofErr w:type="spellEnd"/>
            <w:r w:rsidR="006636B4" w:rsidRPr="00F36109">
              <w:rPr>
                <w:rFonts w:ascii="Times New Roman" w:hAnsi="Times New Roman"/>
              </w:rPr>
              <w:t xml:space="preserve"> </w:t>
            </w:r>
            <w:r w:rsidRPr="00F36109">
              <w:rPr>
                <w:rFonts w:ascii="Times New Roman" w:hAnsi="Times New Roman"/>
              </w:rPr>
              <w:t>that has planned for and can demonstrate positive results/effects for youth</w:t>
            </w:r>
            <w:r w:rsidRPr="00F36109">
              <w:rPr>
                <w:rFonts w:ascii="Times New Roman" w:hAnsi="Times New Roman"/>
                <w:b/>
              </w:rPr>
              <w:t xml:space="preserve"> </w:t>
            </w:r>
          </w:p>
        </w:tc>
        <w:tc>
          <w:tcPr>
            <w:tcW w:w="914" w:type="dxa"/>
            <w:vAlign w:val="center"/>
          </w:tcPr>
          <w:p w14:paraId="2BEF2397"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10351CF2"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40%</w:t>
            </w:r>
          </w:p>
        </w:tc>
        <w:tc>
          <w:tcPr>
            <w:tcW w:w="682" w:type="dxa"/>
            <w:vAlign w:val="center"/>
          </w:tcPr>
          <w:p w14:paraId="60A41AA9" w14:textId="0E7FEF8A"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40%</w:t>
            </w:r>
          </w:p>
        </w:tc>
        <w:tc>
          <w:tcPr>
            <w:tcW w:w="667" w:type="dxa"/>
            <w:vAlign w:val="center"/>
          </w:tcPr>
          <w:p w14:paraId="129FA412" w14:textId="3611BA85"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40%</w:t>
            </w:r>
          </w:p>
        </w:tc>
      </w:tr>
      <w:tr w:rsidR="0069566F" w:rsidRPr="00F36109" w14:paraId="308498A9" w14:textId="77777777" w:rsidTr="00E12815">
        <w:trPr>
          <w:trHeight w:val="231"/>
        </w:trPr>
        <w:tc>
          <w:tcPr>
            <w:tcW w:w="805" w:type="dxa"/>
            <w:vMerge/>
            <w:vAlign w:val="center"/>
          </w:tcPr>
          <w:p w14:paraId="10381D00" w14:textId="77777777" w:rsidR="00D17C9E" w:rsidRPr="00F36109" w:rsidRDefault="00D17C9E" w:rsidP="00D17C9E">
            <w:pPr>
              <w:rPr>
                <w:rFonts w:ascii="Times New Roman" w:hAnsi="Times New Roman"/>
                <w:color w:val="000000" w:themeColor="text1"/>
              </w:rPr>
            </w:pPr>
          </w:p>
        </w:tc>
        <w:tc>
          <w:tcPr>
            <w:tcW w:w="6396" w:type="dxa"/>
            <w:vAlign w:val="center"/>
          </w:tcPr>
          <w:p w14:paraId="53BD37E7" w14:textId="7B1948AB"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xml:space="preserve">% of </w:t>
            </w:r>
            <w:r w:rsidR="006636B4" w:rsidRPr="00F36109">
              <w:rPr>
                <w:rFonts w:ascii="Times New Roman" w:hAnsi="Times New Roman"/>
                <w:color w:val="000000" w:themeColor="text1"/>
              </w:rPr>
              <w:t xml:space="preserve">Joint </w:t>
            </w:r>
            <w:proofErr w:type="spellStart"/>
            <w:r w:rsidR="006636B4" w:rsidRPr="00F36109">
              <w:rPr>
                <w:rFonts w:ascii="Times New Roman" w:hAnsi="Times New Roman"/>
                <w:color w:val="000000" w:themeColor="text1"/>
              </w:rPr>
              <w:t>Programmes</w:t>
            </w:r>
            <w:proofErr w:type="spellEnd"/>
            <w:r w:rsidR="006636B4" w:rsidRPr="00F36109">
              <w:rPr>
                <w:rFonts w:ascii="Times New Roman" w:hAnsi="Times New Roman"/>
                <w:color w:val="000000" w:themeColor="text1"/>
              </w:rPr>
              <w:t xml:space="preserve"> </w:t>
            </w:r>
            <w:r w:rsidRPr="00F36109">
              <w:rPr>
                <w:rFonts w:ascii="Times New Roman" w:hAnsi="Times New Roman"/>
                <w:color w:val="000000" w:themeColor="text1"/>
              </w:rPr>
              <w:t>that have considered the needs of persons with disabilities (QCPR)</w:t>
            </w:r>
          </w:p>
        </w:tc>
        <w:tc>
          <w:tcPr>
            <w:tcW w:w="914" w:type="dxa"/>
            <w:vAlign w:val="center"/>
          </w:tcPr>
          <w:p w14:paraId="1D168DE2"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054DDF56" w14:textId="082C7906"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82" w:type="dxa"/>
            <w:vAlign w:val="center"/>
          </w:tcPr>
          <w:p w14:paraId="177D9D9E" w14:textId="3EA2A623"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67" w:type="dxa"/>
            <w:vAlign w:val="center"/>
          </w:tcPr>
          <w:p w14:paraId="491472CA" w14:textId="30DAEFB6"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r>
      <w:tr w:rsidR="0069566F" w:rsidRPr="00F36109" w14:paraId="1DB6342E" w14:textId="77777777" w:rsidTr="00E12815">
        <w:trPr>
          <w:trHeight w:val="231"/>
        </w:trPr>
        <w:tc>
          <w:tcPr>
            <w:tcW w:w="805" w:type="dxa"/>
            <w:vMerge/>
            <w:vAlign w:val="center"/>
          </w:tcPr>
          <w:p w14:paraId="69E146BC" w14:textId="77777777" w:rsidR="00D17C9E" w:rsidRPr="00F36109" w:rsidRDefault="00D17C9E" w:rsidP="00D17C9E">
            <w:pPr>
              <w:rPr>
                <w:rFonts w:ascii="Times New Roman" w:hAnsi="Times New Roman"/>
                <w:color w:val="000000" w:themeColor="text1"/>
              </w:rPr>
            </w:pPr>
          </w:p>
        </w:tc>
        <w:tc>
          <w:tcPr>
            <w:tcW w:w="6396" w:type="dxa"/>
            <w:vAlign w:val="center"/>
          </w:tcPr>
          <w:p w14:paraId="0263951C" w14:textId="1823BF9A"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xml:space="preserve">% of </w:t>
            </w:r>
            <w:r w:rsidR="006636B4" w:rsidRPr="00F36109">
              <w:rPr>
                <w:rFonts w:ascii="Times New Roman" w:hAnsi="Times New Roman"/>
                <w:color w:val="000000" w:themeColor="text1"/>
              </w:rPr>
              <w:t xml:space="preserve">Joint </w:t>
            </w:r>
            <w:proofErr w:type="spellStart"/>
            <w:r w:rsidR="006636B4" w:rsidRPr="00F36109">
              <w:rPr>
                <w:rFonts w:ascii="Times New Roman" w:hAnsi="Times New Roman"/>
                <w:color w:val="000000" w:themeColor="text1"/>
              </w:rPr>
              <w:t>Programmes</w:t>
            </w:r>
            <w:proofErr w:type="spellEnd"/>
            <w:r w:rsidRPr="00F36109">
              <w:rPr>
                <w:rFonts w:ascii="Times New Roman" w:hAnsi="Times New Roman"/>
                <w:color w:val="000000" w:themeColor="text1"/>
              </w:rPr>
              <w:t xml:space="preserve"> that have made use of</w:t>
            </w:r>
            <w:r w:rsidR="006636B4" w:rsidRPr="00F36109">
              <w:rPr>
                <w:rFonts w:ascii="Times New Roman" w:hAnsi="Times New Roman"/>
                <w:color w:val="000000" w:themeColor="text1"/>
              </w:rPr>
              <w:t xml:space="preserve"> </w:t>
            </w:r>
            <w:r w:rsidRPr="00F36109">
              <w:rPr>
                <w:rFonts w:ascii="Times New Roman" w:hAnsi="Times New Roman"/>
                <w:color w:val="000000" w:themeColor="text1"/>
              </w:rPr>
              <w:t xml:space="preserve">risk analysis in </w:t>
            </w:r>
            <w:proofErr w:type="spellStart"/>
            <w:r w:rsidRPr="00F36109">
              <w:rPr>
                <w:rFonts w:ascii="Times New Roman" w:hAnsi="Times New Roman"/>
                <w:color w:val="000000" w:themeColor="text1"/>
              </w:rPr>
              <w:t>programme</w:t>
            </w:r>
            <w:proofErr w:type="spellEnd"/>
            <w:r w:rsidRPr="00F36109">
              <w:rPr>
                <w:rFonts w:ascii="Times New Roman" w:hAnsi="Times New Roman"/>
                <w:color w:val="000000" w:themeColor="text1"/>
              </w:rPr>
              <w:t xml:space="preserve"> planning, when relevant (disaggregated by country)  </w:t>
            </w:r>
          </w:p>
        </w:tc>
        <w:tc>
          <w:tcPr>
            <w:tcW w:w="914" w:type="dxa"/>
            <w:vAlign w:val="center"/>
          </w:tcPr>
          <w:p w14:paraId="415BFB7C"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00CB9341" w14:textId="6BCF37CA"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82" w:type="dxa"/>
            <w:vAlign w:val="center"/>
          </w:tcPr>
          <w:p w14:paraId="1CDCC882" w14:textId="23897E81"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67" w:type="dxa"/>
            <w:vAlign w:val="center"/>
          </w:tcPr>
          <w:p w14:paraId="5D04D6ED" w14:textId="499DA76E"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r>
      <w:tr w:rsidR="0069566F" w:rsidRPr="00F36109" w14:paraId="46461471" w14:textId="77777777" w:rsidTr="00E12815">
        <w:trPr>
          <w:trHeight w:val="231"/>
        </w:trPr>
        <w:tc>
          <w:tcPr>
            <w:tcW w:w="805" w:type="dxa"/>
            <w:vMerge/>
            <w:vAlign w:val="center"/>
          </w:tcPr>
          <w:p w14:paraId="71FC7E0F" w14:textId="77777777" w:rsidR="00D17C9E" w:rsidRPr="00F36109" w:rsidRDefault="00D17C9E" w:rsidP="00D17C9E">
            <w:pPr>
              <w:rPr>
                <w:rFonts w:ascii="Times New Roman" w:hAnsi="Times New Roman"/>
                <w:color w:val="000000" w:themeColor="text1"/>
              </w:rPr>
            </w:pPr>
          </w:p>
        </w:tc>
        <w:tc>
          <w:tcPr>
            <w:tcW w:w="6396" w:type="dxa"/>
            <w:vAlign w:val="center"/>
          </w:tcPr>
          <w:p w14:paraId="7E7CEBDF" w14:textId="03DC6A5D" w:rsidR="00D17C9E" w:rsidRPr="00F36109" w:rsidRDefault="00D17C9E" w:rsidP="00D17C9E">
            <w:pPr>
              <w:rPr>
                <w:rFonts w:ascii="Times New Roman" w:hAnsi="Times New Roman"/>
                <w:color w:val="000000" w:themeColor="text1"/>
              </w:rPr>
            </w:pPr>
            <w:r w:rsidRPr="00F36109">
              <w:rPr>
                <w:rFonts w:ascii="Times New Roman" w:hAnsi="Times New Roman"/>
                <w:color w:val="000000" w:themeColor="text1"/>
              </w:rPr>
              <w:t xml:space="preserve">% of </w:t>
            </w:r>
            <w:r w:rsidR="006636B4" w:rsidRPr="00F36109">
              <w:rPr>
                <w:rFonts w:ascii="Times New Roman" w:hAnsi="Times New Roman"/>
                <w:color w:val="000000" w:themeColor="text1"/>
              </w:rPr>
              <w:t xml:space="preserve">Joint </w:t>
            </w:r>
            <w:proofErr w:type="spellStart"/>
            <w:r w:rsidR="006636B4" w:rsidRPr="00F36109">
              <w:rPr>
                <w:rFonts w:ascii="Times New Roman" w:hAnsi="Times New Roman"/>
                <w:color w:val="000000" w:themeColor="text1"/>
              </w:rPr>
              <w:t>Programmes</w:t>
            </w:r>
            <w:proofErr w:type="spellEnd"/>
            <w:r w:rsidR="006636B4" w:rsidRPr="00F36109">
              <w:rPr>
                <w:rFonts w:ascii="Times New Roman" w:hAnsi="Times New Roman"/>
                <w:color w:val="000000" w:themeColor="text1"/>
              </w:rPr>
              <w:t xml:space="preserve"> </w:t>
            </w:r>
            <w:r w:rsidRPr="00F36109">
              <w:rPr>
                <w:rFonts w:ascii="Times New Roman" w:hAnsi="Times New Roman"/>
                <w:color w:val="000000" w:themeColor="text1"/>
              </w:rPr>
              <w:t xml:space="preserve">that conducted do-no-harm / due diligence and </w:t>
            </w:r>
            <w:r w:rsidR="006636B4" w:rsidRPr="00F36109">
              <w:rPr>
                <w:rFonts w:ascii="Times New Roman" w:hAnsi="Times New Roman"/>
                <w:color w:val="000000" w:themeColor="text1"/>
              </w:rPr>
              <w:t xml:space="preserve">were </w:t>
            </w:r>
            <w:r w:rsidRPr="00F36109">
              <w:rPr>
                <w:rFonts w:ascii="Times New Roman" w:hAnsi="Times New Roman"/>
                <w:color w:val="000000" w:themeColor="text1"/>
              </w:rPr>
              <w:t>designed to take into consideration opportunities in the areas of the environment and climate change</w:t>
            </w:r>
          </w:p>
        </w:tc>
        <w:tc>
          <w:tcPr>
            <w:tcW w:w="914" w:type="dxa"/>
            <w:vAlign w:val="center"/>
          </w:tcPr>
          <w:p w14:paraId="1971D5E8" w14:textId="77777777"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0</w:t>
            </w:r>
          </w:p>
        </w:tc>
        <w:tc>
          <w:tcPr>
            <w:tcW w:w="716" w:type="dxa"/>
            <w:vAlign w:val="center"/>
          </w:tcPr>
          <w:p w14:paraId="3F27DD8E" w14:textId="1B5A6C06"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82" w:type="dxa"/>
            <w:vAlign w:val="center"/>
          </w:tcPr>
          <w:p w14:paraId="776B53DE" w14:textId="7A3D2292"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c>
          <w:tcPr>
            <w:tcW w:w="667" w:type="dxa"/>
            <w:vAlign w:val="center"/>
          </w:tcPr>
          <w:p w14:paraId="6B7D7032" w14:textId="73BB799B" w:rsidR="00D17C9E" w:rsidRPr="00F36109" w:rsidRDefault="00D17C9E" w:rsidP="00D17C9E">
            <w:pPr>
              <w:jc w:val="center"/>
              <w:rPr>
                <w:rFonts w:ascii="Times New Roman" w:hAnsi="Times New Roman"/>
                <w:color w:val="000000" w:themeColor="text1"/>
              </w:rPr>
            </w:pPr>
            <w:r w:rsidRPr="00F36109">
              <w:rPr>
                <w:rFonts w:ascii="Times New Roman" w:hAnsi="Times New Roman"/>
                <w:color w:val="000000" w:themeColor="text1"/>
              </w:rPr>
              <w:t>100%</w:t>
            </w:r>
          </w:p>
        </w:tc>
      </w:tr>
    </w:tbl>
    <w:p w14:paraId="2B5473CA" w14:textId="5ECC6235" w:rsidR="006B51C9" w:rsidRDefault="006B51C9" w:rsidP="00D17C9E">
      <w:pPr>
        <w:tabs>
          <w:tab w:val="left" w:pos="1269"/>
        </w:tabs>
        <w:spacing w:after="0" w:line="240" w:lineRule="auto"/>
        <w:rPr>
          <w:rFonts w:ascii="Times New Roman" w:hAnsi="Times New Roman" w:cs="Times New Roman"/>
        </w:rPr>
      </w:pPr>
    </w:p>
    <w:p w14:paraId="61E065FE" w14:textId="77777777" w:rsidR="00FD7F4C" w:rsidRPr="00F36109" w:rsidRDefault="00FD7F4C" w:rsidP="00D17C9E">
      <w:pPr>
        <w:tabs>
          <w:tab w:val="left" w:pos="1269"/>
        </w:tabs>
        <w:spacing w:after="0" w:line="240" w:lineRule="auto"/>
        <w:rPr>
          <w:rFonts w:ascii="Times New Roman" w:hAnsi="Times New Roman" w:cs="Times New Roman"/>
        </w:rPr>
      </w:pPr>
    </w:p>
    <w:p w14:paraId="0354D88F" w14:textId="77777777" w:rsidR="00DA439A" w:rsidRPr="00F36109" w:rsidRDefault="00DA439A" w:rsidP="00D17C9E">
      <w:pPr>
        <w:tabs>
          <w:tab w:val="left" w:pos="1269"/>
        </w:tabs>
        <w:spacing w:after="0" w:line="240" w:lineRule="auto"/>
        <w:rPr>
          <w:rFonts w:ascii="Times New Roman" w:hAnsi="Times New Roman" w:cs="Times New Roman"/>
        </w:rPr>
      </w:pPr>
    </w:p>
    <w:p w14:paraId="1706653F" w14:textId="79426620" w:rsidR="0029553A" w:rsidRPr="00F36109" w:rsidRDefault="00DA439A" w:rsidP="00D17C9E">
      <w:pPr>
        <w:tabs>
          <w:tab w:val="left" w:pos="1269"/>
        </w:tabs>
        <w:spacing w:after="0" w:line="240" w:lineRule="auto"/>
        <w:rPr>
          <w:rFonts w:ascii="Times New Roman" w:eastAsiaTheme="majorEastAsia" w:hAnsi="Times New Roman" w:cs="Times New Roman"/>
          <w:b/>
          <w:color w:val="1F3763" w:themeColor="accent1" w:themeShade="7F"/>
          <w:sz w:val="24"/>
        </w:rPr>
      </w:pPr>
      <w:r w:rsidRPr="00E12815">
        <w:rPr>
          <w:rFonts w:ascii="Times New Roman" w:eastAsiaTheme="majorEastAsia" w:hAnsi="Times New Roman" w:cs="Times New Roman"/>
          <w:b/>
          <w:color w:val="1F3763" w:themeColor="accent1" w:themeShade="7F"/>
          <w:sz w:val="24"/>
        </w:rPr>
        <w:t>F</w:t>
      </w:r>
      <w:r w:rsidRPr="00F36109">
        <w:rPr>
          <w:rFonts w:ascii="Times New Roman" w:eastAsiaTheme="majorEastAsia" w:hAnsi="Times New Roman" w:cs="Times New Roman"/>
          <w:b/>
          <w:color w:val="1F3763" w:themeColor="accent1" w:themeShade="7F"/>
          <w:sz w:val="24"/>
        </w:rPr>
        <w:t>unding</w:t>
      </w:r>
      <w:r w:rsidR="00DC5A6F" w:rsidRPr="00F36109">
        <w:rPr>
          <w:rFonts w:ascii="Times New Roman" w:eastAsiaTheme="majorEastAsia" w:hAnsi="Times New Roman" w:cs="Times New Roman"/>
          <w:b/>
          <w:color w:val="1F3763" w:themeColor="accent1" w:themeShade="7F"/>
          <w:sz w:val="24"/>
        </w:rPr>
        <w:t xml:space="preserve"> Targets, and proposed allocation</w:t>
      </w:r>
    </w:p>
    <w:p w14:paraId="4F2C00D7" w14:textId="77777777" w:rsidR="002002B6" w:rsidRPr="00F36109" w:rsidRDefault="002002B6" w:rsidP="00D17C9E">
      <w:pPr>
        <w:pStyle w:val="ListParagraph"/>
        <w:tabs>
          <w:tab w:val="left" w:pos="1269"/>
        </w:tabs>
        <w:spacing w:after="0" w:line="240" w:lineRule="auto"/>
        <w:jc w:val="both"/>
        <w:rPr>
          <w:rFonts w:ascii="Times New Roman" w:hAnsi="Times New Roman" w:cs="Times New Roman"/>
        </w:rPr>
      </w:pPr>
    </w:p>
    <w:p w14:paraId="399CF422" w14:textId="4F496EC9" w:rsidR="0029553A" w:rsidRPr="00F36109" w:rsidRDefault="0029553A" w:rsidP="00D17C9E">
      <w:pPr>
        <w:pStyle w:val="ListParagraph"/>
        <w:numPr>
          <w:ilvl w:val="0"/>
          <w:numId w:val="14"/>
        </w:numPr>
        <w:tabs>
          <w:tab w:val="left" w:pos="1269"/>
        </w:tabs>
        <w:spacing w:after="0" w:line="240" w:lineRule="auto"/>
        <w:jc w:val="both"/>
        <w:rPr>
          <w:rFonts w:ascii="Times New Roman" w:hAnsi="Times New Roman" w:cs="Times New Roman"/>
        </w:rPr>
      </w:pPr>
      <w:r w:rsidRPr="00F36109">
        <w:rPr>
          <w:rFonts w:ascii="Times New Roman" w:hAnsi="Times New Roman" w:cs="Times New Roman"/>
        </w:rPr>
        <w:t xml:space="preserve">The table below summarizes the pledges made so far to the Joint SDG Fund, the Fund’s funding targets, and the proposed allocation for the period 2018-2021. </w:t>
      </w:r>
    </w:p>
    <w:p w14:paraId="612D5CE1" w14:textId="09DB356B" w:rsidR="0029553A" w:rsidRPr="00F36109" w:rsidRDefault="0029553A" w:rsidP="00D17C9E">
      <w:pPr>
        <w:pStyle w:val="ListParagraph"/>
        <w:numPr>
          <w:ilvl w:val="0"/>
          <w:numId w:val="14"/>
        </w:numPr>
        <w:tabs>
          <w:tab w:val="left" w:pos="1269"/>
        </w:tabs>
        <w:spacing w:after="0" w:line="240" w:lineRule="auto"/>
        <w:jc w:val="both"/>
        <w:rPr>
          <w:rFonts w:ascii="Times New Roman" w:hAnsi="Times New Roman" w:cs="Times New Roman"/>
        </w:rPr>
      </w:pPr>
      <w:r w:rsidRPr="00F36109">
        <w:rPr>
          <w:rFonts w:ascii="Times New Roman" w:hAnsi="Times New Roman" w:cs="Times New Roman"/>
        </w:rPr>
        <w:t xml:space="preserve">The figures presented aren’t cumulative. </w:t>
      </w:r>
    </w:p>
    <w:p w14:paraId="5441EFBC" w14:textId="77777777" w:rsidR="0029553A" w:rsidRPr="00F36109" w:rsidRDefault="0029553A" w:rsidP="00D17C9E">
      <w:pPr>
        <w:pStyle w:val="ListParagraph"/>
        <w:numPr>
          <w:ilvl w:val="0"/>
          <w:numId w:val="14"/>
        </w:numPr>
        <w:tabs>
          <w:tab w:val="left" w:pos="1269"/>
        </w:tabs>
        <w:spacing w:after="0" w:line="240" w:lineRule="auto"/>
        <w:jc w:val="both"/>
        <w:rPr>
          <w:rFonts w:ascii="Times New Roman" w:hAnsi="Times New Roman" w:cs="Times New Roman"/>
        </w:rPr>
      </w:pPr>
      <w:r w:rsidRPr="00F36109">
        <w:rPr>
          <w:rFonts w:ascii="Times New Roman" w:hAnsi="Times New Roman" w:cs="Times New Roman"/>
        </w:rPr>
        <w:t xml:space="preserve">If the funding targets put forward are met, the Fund will be able to support 30 countries for the Readiness Phase, pillar 1, and 30 countries for the Readiness Phase, pillar 2, each year from 2019-2021 (totaling to 90 countries over three years). </w:t>
      </w:r>
    </w:p>
    <w:p w14:paraId="38C9A638" w14:textId="77777777" w:rsidR="0029553A" w:rsidRPr="00F36109" w:rsidRDefault="0029553A" w:rsidP="00D17C9E">
      <w:pPr>
        <w:pStyle w:val="ListParagraph"/>
        <w:numPr>
          <w:ilvl w:val="0"/>
          <w:numId w:val="14"/>
        </w:numPr>
        <w:tabs>
          <w:tab w:val="left" w:pos="1269"/>
        </w:tabs>
        <w:spacing w:after="0" w:line="240" w:lineRule="auto"/>
        <w:jc w:val="both"/>
        <w:rPr>
          <w:rFonts w:ascii="Times New Roman" w:hAnsi="Times New Roman" w:cs="Times New Roman"/>
        </w:rPr>
      </w:pPr>
      <w:r w:rsidRPr="00F36109">
        <w:rPr>
          <w:rFonts w:ascii="Times New Roman" w:hAnsi="Times New Roman" w:cs="Times New Roman"/>
        </w:rPr>
        <w:t xml:space="preserve">It is estimated that support for the Readiness Phase will cost 150,000$ per country, per pillar. </w:t>
      </w:r>
    </w:p>
    <w:p w14:paraId="69735D9D" w14:textId="77777777" w:rsidR="0029553A" w:rsidRPr="00F36109" w:rsidRDefault="0029553A" w:rsidP="00D17C9E">
      <w:pPr>
        <w:pStyle w:val="ListParagraph"/>
        <w:numPr>
          <w:ilvl w:val="0"/>
          <w:numId w:val="14"/>
        </w:numPr>
        <w:tabs>
          <w:tab w:val="left" w:pos="1269"/>
        </w:tabs>
        <w:spacing w:after="0" w:line="240" w:lineRule="auto"/>
        <w:jc w:val="both"/>
        <w:rPr>
          <w:rFonts w:ascii="Times New Roman" w:hAnsi="Times New Roman" w:cs="Times New Roman"/>
        </w:rPr>
      </w:pPr>
      <w:r w:rsidRPr="00F36109">
        <w:rPr>
          <w:rFonts w:ascii="Times New Roman" w:hAnsi="Times New Roman" w:cs="Times New Roman"/>
        </w:rPr>
        <w:t xml:space="preserve">If the funding targets are met, the Fund will also be able to start implementing 6 joint </w:t>
      </w:r>
      <w:proofErr w:type="spellStart"/>
      <w:r w:rsidRPr="00F36109">
        <w:rPr>
          <w:rFonts w:ascii="Times New Roman" w:hAnsi="Times New Roman" w:cs="Times New Roman"/>
        </w:rPr>
        <w:t>programmes</w:t>
      </w:r>
      <w:proofErr w:type="spellEnd"/>
      <w:r w:rsidRPr="00F36109">
        <w:rPr>
          <w:rFonts w:ascii="Times New Roman" w:hAnsi="Times New Roman" w:cs="Times New Roman"/>
        </w:rPr>
        <w:t xml:space="preserve"> in 2019, 31 in 2020, 46 in 2021. </w:t>
      </w:r>
    </w:p>
    <w:p w14:paraId="1CA0D3E3" w14:textId="72F1CE69" w:rsidR="0029553A" w:rsidRPr="00F36109" w:rsidRDefault="0029553A" w:rsidP="00D17C9E">
      <w:pPr>
        <w:pStyle w:val="ListParagraph"/>
        <w:numPr>
          <w:ilvl w:val="0"/>
          <w:numId w:val="14"/>
        </w:numPr>
        <w:tabs>
          <w:tab w:val="left" w:pos="1269"/>
        </w:tabs>
        <w:spacing w:after="0" w:line="240" w:lineRule="auto"/>
        <w:jc w:val="both"/>
        <w:rPr>
          <w:rFonts w:ascii="Times New Roman" w:hAnsi="Times New Roman" w:cs="Times New Roman"/>
          <w:b/>
        </w:rPr>
      </w:pPr>
      <w:r w:rsidRPr="00F36109">
        <w:rPr>
          <w:rFonts w:ascii="Times New Roman" w:hAnsi="Times New Roman" w:cs="Times New Roman"/>
        </w:rPr>
        <w:t>It is estimated that each joint program will be implemented over a period of 3 years, and it will receive a total of 6M$ from the Joint SDG Fund</w:t>
      </w:r>
      <w:r w:rsidR="009F3D93" w:rsidRPr="00F36109">
        <w:rPr>
          <w:rFonts w:ascii="Times New Roman" w:hAnsi="Times New Roman" w:cs="Times New Roman"/>
        </w:rPr>
        <w:t>.</w:t>
      </w:r>
    </w:p>
    <w:p w14:paraId="56F4FEB6" w14:textId="0B18AF56" w:rsidR="0029553A" w:rsidRDefault="0029553A" w:rsidP="00D17C9E">
      <w:pPr>
        <w:tabs>
          <w:tab w:val="left" w:pos="1269"/>
        </w:tabs>
        <w:spacing w:after="0" w:line="240" w:lineRule="auto"/>
        <w:jc w:val="both"/>
        <w:rPr>
          <w:rFonts w:ascii="Times New Roman" w:hAnsi="Times New Roman" w:cs="Times New Roman"/>
          <w:noProof/>
        </w:rPr>
      </w:pPr>
    </w:p>
    <w:p w14:paraId="4D0B3927" w14:textId="37F29A7D" w:rsidR="003B34FA" w:rsidRPr="00F36109" w:rsidRDefault="003B34FA" w:rsidP="003B34FA">
      <w:pPr>
        <w:tabs>
          <w:tab w:val="left" w:pos="1269"/>
        </w:tabs>
        <w:spacing w:after="0" w:line="240" w:lineRule="auto"/>
        <w:jc w:val="center"/>
        <w:rPr>
          <w:rFonts w:ascii="Times New Roman" w:hAnsi="Times New Roman" w:cs="Times New Roman"/>
          <w:b/>
        </w:rPr>
      </w:pPr>
      <w:r>
        <w:rPr>
          <w:noProof/>
        </w:rPr>
        <w:drawing>
          <wp:inline distT="0" distB="0" distL="0" distR="0" wp14:anchorId="15927967" wp14:editId="028B601B">
            <wp:extent cx="4457700" cy="42862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57700" cy="4286250"/>
                    </a:xfrm>
                    <a:prstGeom prst="rect">
                      <a:avLst/>
                    </a:prstGeom>
                    <a:noFill/>
                    <a:ln>
                      <a:noFill/>
                    </a:ln>
                  </pic:spPr>
                </pic:pic>
              </a:graphicData>
            </a:graphic>
          </wp:inline>
        </w:drawing>
      </w:r>
    </w:p>
    <w:p w14:paraId="335B5055" w14:textId="26D398EE" w:rsidR="000139B4" w:rsidRPr="00F36109" w:rsidRDefault="000139B4" w:rsidP="00D17C9E">
      <w:pPr>
        <w:tabs>
          <w:tab w:val="left" w:pos="1269"/>
        </w:tabs>
        <w:spacing w:after="0" w:line="240" w:lineRule="auto"/>
        <w:rPr>
          <w:rFonts w:ascii="Times New Roman" w:hAnsi="Times New Roman" w:cs="Times New Roman"/>
        </w:rPr>
      </w:pPr>
    </w:p>
    <w:p w14:paraId="2DA4A511" w14:textId="3B3517CA" w:rsidR="000139B4" w:rsidRPr="00F36109" w:rsidRDefault="000139B4" w:rsidP="00D17C9E">
      <w:pPr>
        <w:tabs>
          <w:tab w:val="left" w:pos="1269"/>
        </w:tabs>
        <w:spacing w:after="0" w:line="240" w:lineRule="auto"/>
        <w:rPr>
          <w:rFonts w:ascii="Times New Roman" w:hAnsi="Times New Roman" w:cs="Times New Roman"/>
        </w:rPr>
      </w:pPr>
    </w:p>
    <w:p w14:paraId="5A0A6C0B" w14:textId="159382A3" w:rsidR="006B51C9" w:rsidRPr="00F36109" w:rsidRDefault="006B51C9" w:rsidP="00D17C9E">
      <w:pPr>
        <w:tabs>
          <w:tab w:val="left" w:pos="1269"/>
        </w:tabs>
        <w:spacing w:after="0" w:line="240" w:lineRule="auto"/>
        <w:rPr>
          <w:rFonts w:ascii="Times New Roman" w:hAnsi="Times New Roman" w:cs="Times New Roman"/>
        </w:rPr>
      </w:pPr>
    </w:p>
    <w:p w14:paraId="09AC96F4" w14:textId="77777777" w:rsidR="00CF2BF7" w:rsidRPr="00F36109" w:rsidRDefault="002C0031" w:rsidP="00CF2BF7">
      <w:pPr>
        <w:spacing w:after="0" w:line="240" w:lineRule="auto"/>
        <w:jc w:val="both"/>
        <w:rPr>
          <w:rFonts w:ascii="Times New Roman" w:hAnsi="Times New Roman" w:cs="Times New Roman"/>
          <w:sz w:val="28"/>
        </w:rPr>
      </w:pPr>
      <w:r w:rsidRPr="00F36109">
        <w:rPr>
          <w:rFonts w:ascii="Times New Roman" w:eastAsia="Times New Roman" w:hAnsi="Times New Roman" w:cs="Times New Roman"/>
          <w:color w:val="000000"/>
          <w:lang w:eastAsia="en-US"/>
        </w:rPr>
        <w:t> </w:t>
      </w:r>
    </w:p>
    <w:p w14:paraId="3D27C20B" w14:textId="19267661" w:rsidR="00CF2BF7" w:rsidRDefault="00CF2BF7" w:rsidP="00CF2BF7">
      <w:pPr>
        <w:spacing w:after="0" w:line="240" w:lineRule="auto"/>
        <w:jc w:val="both"/>
        <w:rPr>
          <w:rFonts w:ascii="Times New Roman" w:hAnsi="Times New Roman" w:cs="Times New Roman"/>
          <w:sz w:val="28"/>
        </w:rPr>
      </w:pPr>
    </w:p>
    <w:p w14:paraId="3077B28A" w14:textId="49AC743C" w:rsidR="00CF2BF7" w:rsidRDefault="00CF2BF7" w:rsidP="0014618D">
      <w:pPr>
        <w:pStyle w:val="Heading1"/>
        <w:rPr>
          <w:rFonts w:ascii="Times New Roman" w:eastAsia="Calibri" w:hAnsi="Times New Roman" w:cs="Times New Roman"/>
          <w:b/>
          <w:bCs/>
          <w:iCs/>
          <w:color w:val="auto"/>
          <w:spacing w:val="-2"/>
          <w:sz w:val="22"/>
          <w:szCs w:val="22"/>
        </w:rPr>
      </w:pPr>
      <w:bookmarkStart w:id="152" w:name="_Toc530577742"/>
      <w:r w:rsidRPr="0014618D">
        <w:rPr>
          <w:rFonts w:ascii="Times New Roman" w:eastAsia="Calibri" w:hAnsi="Times New Roman" w:cs="Times New Roman"/>
          <w:b/>
          <w:bCs/>
          <w:iCs/>
          <w:color w:val="auto"/>
          <w:spacing w:val="-2"/>
          <w:sz w:val="22"/>
          <w:szCs w:val="22"/>
        </w:rPr>
        <w:t xml:space="preserve">ANNEX </w:t>
      </w:r>
      <w:r w:rsidR="00704642">
        <w:rPr>
          <w:rFonts w:ascii="Times New Roman" w:eastAsia="Calibri" w:hAnsi="Times New Roman" w:cs="Times New Roman"/>
          <w:b/>
          <w:bCs/>
          <w:iCs/>
          <w:color w:val="auto"/>
          <w:spacing w:val="-2"/>
          <w:sz w:val="22"/>
          <w:szCs w:val="22"/>
        </w:rPr>
        <w:t>5</w:t>
      </w:r>
      <w:r w:rsidRPr="0014618D">
        <w:rPr>
          <w:rFonts w:ascii="Times New Roman" w:eastAsia="Calibri" w:hAnsi="Times New Roman" w:cs="Times New Roman"/>
          <w:b/>
          <w:bCs/>
          <w:iCs/>
          <w:color w:val="auto"/>
          <w:spacing w:val="-2"/>
          <w:sz w:val="22"/>
          <w:szCs w:val="22"/>
        </w:rPr>
        <w:t>: LESSONS LEARNED FROM THE DRT-F AND APPLIED TO THE DESIGN OF THE JOINT SDG FUND</w:t>
      </w:r>
      <w:bookmarkEnd w:id="152"/>
    </w:p>
    <w:p w14:paraId="7A0EF3D7" w14:textId="77777777" w:rsidR="00BC0817" w:rsidRPr="00BC0817" w:rsidRDefault="00BC0817" w:rsidP="00BC0817"/>
    <w:tbl>
      <w:tblPr>
        <w:tblW w:w="0" w:type="auto"/>
        <w:tblCellMar>
          <w:top w:w="15" w:type="dxa"/>
          <w:left w:w="15" w:type="dxa"/>
          <w:bottom w:w="15" w:type="dxa"/>
          <w:right w:w="15" w:type="dxa"/>
        </w:tblCellMar>
        <w:tblLook w:val="04A0" w:firstRow="1" w:lastRow="0" w:firstColumn="1" w:lastColumn="0" w:noHBand="0" w:noVBand="1"/>
      </w:tblPr>
      <w:tblGrid>
        <w:gridCol w:w="4046"/>
        <w:gridCol w:w="5304"/>
      </w:tblGrid>
      <w:tr w:rsidR="00CF2BF7" w:rsidRPr="00F36109" w14:paraId="73B67005" w14:textId="77777777" w:rsidTr="00CF2BF7">
        <w:trPr>
          <w:trHeight w:val="1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B0925FB" w14:textId="77777777" w:rsidR="00CF2BF7" w:rsidRPr="00F36109" w:rsidRDefault="00CF2BF7" w:rsidP="00CF2BF7">
            <w:pPr>
              <w:spacing w:after="0" w:line="240" w:lineRule="auto"/>
              <w:jc w:val="center"/>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LESSONS LEARNED FROM DRT-F</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90303D3" w14:textId="77777777" w:rsidR="00CF2BF7" w:rsidRPr="00F36109" w:rsidRDefault="00CF2BF7" w:rsidP="00CF2BF7">
            <w:pPr>
              <w:spacing w:after="0" w:line="240" w:lineRule="auto"/>
              <w:jc w:val="center"/>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JOINT SDG FUND DESIGN ‘RESPONSE’ </w:t>
            </w:r>
          </w:p>
        </w:tc>
      </w:tr>
      <w:tr w:rsidR="00CF2BF7" w:rsidRPr="00F36109" w14:paraId="119782E1" w14:textId="77777777" w:rsidTr="00CF2BF7">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38F45CC3" w14:textId="77777777" w:rsidR="00CF2BF7" w:rsidRPr="00F36109" w:rsidRDefault="00CF2BF7" w:rsidP="00CF2BF7">
            <w:pPr>
              <w:spacing w:before="120" w:after="120" w:line="240" w:lineRule="auto"/>
              <w:jc w:val="center"/>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OPERATIONAL EXCELLENCE FOR INTEGRATED POLICY SUPPORT</w:t>
            </w:r>
          </w:p>
        </w:tc>
      </w:tr>
      <w:tr w:rsidR="00CF2BF7" w:rsidRPr="00F36109" w14:paraId="5336306D" w14:textId="77777777" w:rsidTr="00CF2BF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4A3A3"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1. Existing coordination and communication platforms in DAO countries are instrumental to enable UN coherence and joint implementation of integrated policy support.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6A35F"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The Joint SDG Fund relies on UNDAF/SOPs platforms for programmatic and policy coordination, such as UNDAF Results Groups and JPs to ensure that the implementation of beneficiary projects is done in a coherent and integrated way and support the attainment of UNDAF results.</w:t>
            </w:r>
          </w:p>
        </w:tc>
      </w:tr>
      <w:tr w:rsidR="00CF2BF7" w:rsidRPr="00F36109" w14:paraId="62C82017" w14:textId="77777777" w:rsidTr="00CF2BF7">
        <w:trPr>
          <w:trHeight w:val="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CB949"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2. Integrated policy support requires a new operational framework that moves from mere comparative advantages of individual agencies to “collaborative advantages”.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D10BD"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The Joint SDG Fund seeks to foster integrated approaches to policy support that build on both horizontal (i.e. country level) and vertical (HQ-regional) inter-agency policy collaboration in support of beneficiary projects</w:t>
            </w:r>
          </w:p>
        </w:tc>
      </w:tr>
      <w:tr w:rsidR="00CF2BF7" w:rsidRPr="00F36109" w14:paraId="19FECE33" w14:textId="77777777" w:rsidTr="00CF2BF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83EEE5"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3. Frequent monitoring and support enabled </w:t>
            </w:r>
            <w:proofErr w:type="gramStart"/>
            <w:r w:rsidRPr="00F36109">
              <w:rPr>
                <w:rFonts w:ascii="Times New Roman" w:eastAsia="Times New Roman" w:hAnsi="Times New Roman" w:cs="Times New Roman"/>
                <w:b/>
                <w:bCs/>
                <w:color w:val="000000"/>
                <w:sz w:val="19"/>
                <w:szCs w:val="19"/>
              </w:rPr>
              <w:t>joint collaboration</w:t>
            </w:r>
            <w:proofErr w:type="gramEnd"/>
            <w:r w:rsidRPr="00F36109">
              <w:rPr>
                <w:rFonts w:ascii="Times New Roman" w:eastAsia="Times New Roman" w:hAnsi="Times New Roman" w:cs="Times New Roman"/>
                <w:b/>
                <w:bCs/>
                <w:color w:val="000000"/>
                <w:sz w:val="19"/>
                <w:szCs w:val="19"/>
              </w:rPr>
              <w:t xml:space="preserve"> and dialogue among UN agencies and stakeholders.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0872F"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Complexity of Integrated policy support – feedback loop: The design of the Joint SDG Fund seeks to strengthen its M&amp;E function by having dedicated M&amp;E support as part of its Secretariat. In addition, the M&amp;E function for the Joint SDG Fund benefits from having beneficiary projects embedded in country-level UNDAFs and, therefore, from UNDAF M&amp;E frameworks.  </w:t>
            </w:r>
          </w:p>
        </w:tc>
      </w:tr>
      <w:tr w:rsidR="00CF2BF7" w:rsidRPr="00F36109" w14:paraId="6D4FBFEC" w14:textId="77777777" w:rsidTr="00CF2BF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392FE0"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4. Country teams need more capacities to design good quality proposals for integrated policy support for the SDGs.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E8ACE"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 xml:space="preserve">The design of the Joint SDG Fund contemplates having support capacities as part of its Secretariat, capacities that can support UNCTs submitting their proposals for funding. These capacities can also support UNCTs with </w:t>
            </w:r>
            <w:proofErr w:type="spellStart"/>
            <w:r w:rsidRPr="00F36109">
              <w:rPr>
                <w:rFonts w:ascii="Times New Roman" w:eastAsia="Times New Roman" w:hAnsi="Times New Roman" w:cs="Times New Roman"/>
                <w:color w:val="000000"/>
                <w:sz w:val="19"/>
                <w:szCs w:val="19"/>
              </w:rPr>
              <w:t>programme</w:t>
            </w:r>
            <w:proofErr w:type="spellEnd"/>
            <w:r w:rsidRPr="00F36109">
              <w:rPr>
                <w:rFonts w:ascii="Times New Roman" w:eastAsia="Times New Roman" w:hAnsi="Times New Roman" w:cs="Times New Roman"/>
                <w:color w:val="000000"/>
                <w:sz w:val="19"/>
                <w:szCs w:val="19"/>
              </w:rPr>
              <w:t xml:space="preserve"> design, once proposals have been approved by </w:t>
            </w:r>
            <w:r w:rsidRPr="004E3A6A">
              <w:rPr>
                <w:rFonts w:ascii="Times New Roman" w:eastAsia="Times New Roman" w:hAnsi="Times New Roman" w:cs="Times New Roman"/>
                <w:color w:val="000000"/>
                <w:sz w:val="19"/>
                <w:szCs w:val="19"/>
              </w:rPr>
              <w:t>the Strategic Advisory Group and Operational Steering Committee. The Joint SDG Fund Secretariat</w:t>
            </w:r>
            <w:r w:rsidRPr="00F36109">
              <w:rPr>
                <w:rFonts w:ascii="Times New Roman" w:eastAsia="Times New Roman" w:hAnsi="Times New Roman" w:cs="Times New Roman"/>
                <w:color w:val="000000"/>
                <w:sz w:val="19"/>
                <w:szCs w:val="19"/>
              </w:rPr>
              <w:t xml:space="preserve"> should perhaps also have some funds available (e.g. in the form of seed funding) to help UNCTs with </w:t>
            </w:r>
            <w:proofErr w:type="spellStart"/>
            <w:r w:rsidRPr="00F36109">
              <w:rPr>
                <w:rFonts w:ascii="Times New Roman" w:eastAsia="Times New Roman" w:hAnsi="Times New Roman" w:cs="Times New Roman"/>
                <w:color w:val="000000"/>
                <w:sz w:val="19"/>
                <w:szCs w:val="19"/>
              </w:rPr>
              <w:t>programme</w:t>
            </w:r>
            <w:proofErr w:type="spellEnd"/>
            <w:r w:rsidRPr="00F36109">
              <w:rPr>
                <w:rFonts w:ascii="Times New Roman" w:eastAsia="Times New Roman" w:hAnsi="Times New Roman" w:cs="Times New Roman"/>
                <w:color w:val="000000"/>
                <w:sz w:val="19"/>
                <w:szCs w:val="19"/>
              </w:rPr>
              <w:t xml:space="preserve"> design. </w:t>
            </w:r>
          </w:p>
        </w:tc>
      </w:tr>
      <w:tr w:rsidR="00CF2BF7" w:rsidRPr="00F36109" w14:paraId="5DDA4CD0" w14:textId="77777777" w:rsidTr="00CF2BF7">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2782BEB1" w14:textId="77777777" w:rsidR="00CF2BF7" w:rsidRPr="00F36109" w:rsidRDefault="00CF2BF7" w:rsidP="00CF2BF7">
            <w:pPr>
              <w:spacing w:before="120" w:after="120" w:line="240" w:lineRule="auto"/>
              <w:jc w:val="center"/>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FOSTER COMMUNITIES OF POLICY INNOVATORS, STRATEGISTS, BROKERS, AND PARTNERS SUPPORTING THE SDGS</w:t>
            </w:r>
          </w:p>
        </w:tc>
      </w:tr>
      <w:tr w:rsidR="00CF2BF7" w:rsidRPr="00F36109" w14:paraId="502775C4" w14:textId="77777777" w:rsidTr="00CF2BF7">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C1B077"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5. Governments are more receptive to discuss policy issues when the UN facilitates multi-stakeholder dialogue platforms of civil society, private sector, government, domestic and international experts to discuss sensitive policy issues.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9B8419"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 xml:space="preserve">The Joint SDG Fund supports policy initiatives that are core components of the UNDAF and which therefore reflect the UN’s contribution to policy development (including policy dialogue on sensitive issues) in host countries. Moreover, as part of its partnership approach, the Joint SDG Fund supports projects which seek to leverage global, regional and national partnerships to maximize support and ensure catalytic effect of the funds. Finally, the Joint SDG Fund contemplates longer implementation cycles, 2-3 years long, recognizing that policy work takes time to take effect. </w:t>
            </w:r>
          </w:p>
        </w:tc>
      </w:tr>
      <w:tr w:rsidR="00CF2BF7" w:rsidRPr="00F36109" w14:paraId="08728D8F" w14:textId="77777777" w:rsidTr="00CF2BF7">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DDD35F"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6. Innovative methodologies and triangulation of instruments are critical to position difficult policy issues in the public </w:t>
            </w:r>
            <w:proofErr w:type="gramStart"/>
            <w:r w:rsidRPr="00F36109">
              <w:rPr>
                <w:rFonts w:ascii="Times New Roman" w:eastAsia="Times New Roman" w:hAnsi="Times New Roman" w:cs="Times New Roman"/>
                <w:b/>
                <w:bCs/>
                <w:color w:val="000000"/>
                <w:sz w:val="19"/>
                <w:szCs w:val="19"/>
              </w:rPr>
              <w:t>agenda, and</w:t>
            </w:r>
            <w:proofErr w:type="gramEnd"/>
            <w:r w:rsidRPr="00F36109">
              <w:rPr>
                <w:rFonts w:ascii="Times New Roman" w:eastAsia="Times New Roman" w:hAnsi="Times New Roman" w:cs="Times New Roman"/>
                <w:b/>
                <w:bCs/>
                <w:color w:val="000000"/>
                <w:sz w:val="19"/>
                <w:szCs w:val="19"/>
              </w:rPr>
              <w:t xml:space="preserve"> help design new policy solutions.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29DF5"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 xml:space="preserve">The Joint SDG Fund seeks to provide funding (and funding conditions) that enable UNCTs to go beyond the normative and policy analysis &amp; dialogue level and engage deeper into the policy cycle, for instance by supporting policy </w:t>
            </w:r>
            <w:proofErr w:type="gramStart"/>
            <w:r w:rsidRPr="00F36109">
              <w:rPr>
                <w:rFonts w:ascii="Times New Roman" w:eastAsia="Times New Roman" w:hAnsi="Times New Roman" w:cs="Times New Roman"/>
                <w:color w:val="000000"/>
                <w:sz w:val="19"/>
                <w:szCs w:val="19"/>
              </w:rPr>
              <w:t>design  and</w:t>
            </w:r>
            <w:proofErr w:type="gramEnd"/>
            <w:r w:rsidRPr="00F36109">
              <w:rPr>
                <w:rFonts w:ascii="Times New Roman" w:eastAsia="Times New Roman" w:hAnsi="Times New Roman" w:cs="Times New Roman"/>
                <w:color w:val="000000"/>
                <w:sz w:val="19"/>
                <w:szCs w:val="19"/>
              </w:rPr>
              <w:t xml:space="preserve"> piloting of policy-related </w:t>
            </w:r>
            <w:proofErr w:type="spellStart"/>
            <w:r w:rsidRPr="00F36109">
              <w:rPr>
                <w:rFonts w:ascii="Times New Roman" w:eastAsia="Times New Roman" w:hAnsi="Times New Roman" w:cs="Times New Roman"/>
                <w:color w:val="000000"/>
                <w:sz w:val="19"/>
                <w:szCs w:val="19"/>
              </w:rPr>
              <w:t>programmes</w:t>
            </w:r>
            <w:proofErr w:type="spellEnd"/>
            <w:r w:rsidRPr="00F36109">
              <w:rPr>
                <w:rFonts w:ascii="Times New Roman" w:eastAsia="Times New Roman" w:hAnsi="Times New Roman" w:cs="Times New Roman"/>
                <w:color w:val="000000"/>
                <w:sz w:val="19"/>
                <w:szCs w:val="19"/>
              </w:rPr>
              <w:t xml:space="preserve">, as well as innovative efforts in the field of data and statistics for SD. </w:t>
            </w:r>
          </w:p>
        </w:tc>
      </w:tr>
      <w:tr w:rsidR="00CF2BF7" w:rsidRPr="00F36109" w14:paraId="58BF9B90" w14:textId="77777777" w:rsidTr="00CF2BF7">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AD5A5A"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lastRenderedPageBreak/>
              <w:t xml:space="preserve">7. Strategic and meaningful communication is key to connect to the general public and reposition the role of the UN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FF965"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 xml:space="preserve">The successful operationalization of the Joint SDG Fund rests on the development of robust global and country level results frameworks that </w:t>
            </w:r>
            <w:proofErr w:type="gramStart"/>
            <w:r w:rsidRPr="00F36109">
              <w:rPr>
                <w:rFonts w:ascii="Times New Roman" w:eastAsia="Times New Roman" w:hAnsi="Times New Roman" w:cs="Times New Roman"/>
                <w:color w:val="000000"/>
                <w:sz w:val="19"/>
                <w:szCs w:val="19"/>
              </w:rPr>
              <w:t>are able to</w:t>
            </w:r>
            <w:proofErr w:type="gramEnd"/>
            <w:r w:rsidRPr="00F36109">
              <w:rPr>
                <w:rFonts w:ascii="Times New Roman" w:eastAsia="Times New Roman" w:hAnsi="Times New Roman" w:cs="Times New Roman"/>
                <w:color w:val="000000"/>
                <w:sz w:val="19"/>
                <w:szCs w:val="19"/>
              </w:rPr>
              <w:t xml:space="preserve"> capture and effectively communicate results achieved along the policymaking chain, results which often only have medium-term effects. </w:t>
            </w:r>
          </w:p>
        </w:tc>
      </w:tr>
      <w:tr w:rsidR="00CF2BF7" w:rsidRPr="00F36109" w14:paraId="4FF07502" w14:textId="77777777" w:rsidTr="00CF2BF7">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BFD787"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8. National champions with deep understanding on multi-sector, integrated policy support </w:t>
            </w:r>
            <w:proofErr w:type="gramStart"/>
            <w:r w:rsidRPr="00F36109">
              <w:rPr>
                <w:rFonts w:ascii="Times New Roman" w:eastAsia="Times New Roman" w:hAnsi="Times New Roman" w:cs="Times New Roman"/>
                <w:b/>
                <w:bCs/>
                <w:color w:val="000000"/>
                <w:sz w:val="19"/>
                <w:szCs w:val="19"/>
              </w:rPr>
              <w:t>are</w:t>
            </w:r>
            <w:proofErr w:type="gramEnd"/>
            <w:r w:rsidRPr="00F36109">
              <w:rPr>
                <w:rFonts w:ascii="Times New Roman" w:eastAsia="Times New Roman" w:hAnsi="Times New Roman" w:cs="Times New Roman"/>
                <w:b/>
                <w:bCs/>
                <w:color w:val="000000"/>
                <w:sz w:val="19"/>
                <w:szCs w:val="19"/>
              </w:rPr>
              <w:t xml:space="preserve"> pivotal for effective change.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C2551"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 xml:space="preserve">The Joint SDG Fund seeks to take a partnership approach that engages external partners, including national champions, in </w:t>
            </w:r>
            <w:proofErr w:type="spellStart"/>
            <w:r w:rsidRPr="00F36109">
              <w:rPr>
                <w:rFonts w:ascii="Times New Roman" w:eastAsia="Times New Roman" w:hAnsi="Times New Roman" w:cs="Times New Roman"/>
                <w:color w:val="000000"/>
                <w:sz w:val="19"/>
                <w:szCs w:val="19"/>
              </w:rPr>
              <w:t>programme</w:t>
            </w:r>
            <w:proofErr w:type="spellEnd"/>
            <w:r w:rsidRPr="00F36109">
              <w:rPr>
                <w:rFonts w:ascii="Times New Roman" w:eastAsia="Times New Roman" w:hAnsi="Times New Roman" w:cs="Times New Roman"/>
                <w:color w:val="000000"/>
                <w:sz w:val="19"/>
                <w:szCs w:val="19"/>
              </w:rPr>
              <w:t xml:space="preserve"> implementation, thus allowing it to tap into policy expertise and knowledge not available in the UN. </w:t>
            </w:r>
          </w:p>
        </w:tc>
      </w:tr>
      <w:tr w:rsidR="00CF2BF7" w:rsidRPr="00F36109" w14:paraId="78808E6C" w14:textId="77777777" w:rsidTr="00CF2BF7">
        <w:trPr>
          <w:trHeight w:val="3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6C5ACBC" w14:textId="77777777" w:rsidR="00CF2BF7" w:rsidRPr="00F36109" w:rsidRDefault="00CF2BF7" w:rsidP="00CF2BF7">
            <w:pPr>
              <w:spacing w:before="120" w:after="120" w:line="240" w:lineRule="auto"/>
              <w:jc w:val="center"/>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INTEGRATED POLICY APPROACHES FOR THE SDGs </w:t>
            </w:r>
          </w:p>
        </w:tc>
      </w:tr>
      <w:tr w:rsidR="00CF2BF7" w:rsidRPr="00F36109" w14:paraId="1A1D3F5B" w14:textId="77777777" w:rsidTr="00CF2BF7">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E4B52D"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9. Sustainable interventions require both sound policies and capable institutions.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76793"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Integrated policy support financed through The Joint SDG Fund seeks to “</w:t>
            </w:r>
            <w:r w:rsidRPr="00F36109">
              <w:rPr>
                <w:rFonts w:ascii="Times New Roman" w:eastAsia="Times New Roman" w:hAnsi="Times New Roman" w:cs="Times New Roman"/>
                <w:i/>
                <w:iCs/>
                <w:color w:val="000000"/>
                <w:sz w:val="19"/>
                <w:szCs w:val="19"/>
              </w:rPr>
              <w:t>promote policy coherence for sustainable development</w:t>
            </w:r>
            <w:r w:rsidRPr="00F36109">
              <w:rPr>
                <w:rFonts w:ascii="Times New Roman" w:eastAsia="Times New Roman" w:hAnsi="Times New Roman" w:cs="Times New Roman"/>
                <w:color w:val="000000"/>
                <w:sz w:val="19"/>
                <w:szCs w:val="19"/>
              </w:rPr>
              <w:t>” and to “</w:t>
            </w:r>
            <w:r w:rsidRPr="00F36109">
              <w:rPr>
                <w:rFonts w:ascii="Times New Roman" w:eastAsia="Times New Roman" w:hAnsi="Times New Roman" w:cs="Times New Roman"/>
                <w:i/>
                <w:iCs/>
                <w:color w:val="000000"/>
                <w:sz w:val="19"/>
                <w:szCs w:val="19"/>
                <w:u w:val="single"/>
              </w:rPr>
              <w:t>strengthen national systems</w:t>
            </w:r>
            <w:r w:rsidRPr="00F36109">
              <w:rPr>
                <w:rFonts w:ascii="Times New Roman" w:eastAsia="Times New Roman" w:hAnsi="Times New Roman" w:cs="Times New Roman"/>
                <w:i/>
                <w:iCs/>
                <w:color w:val="000000"/>
                <w:sz w:val="19"/>
                <w:szCs w:val="19"/>
              </w:rPr>
              <w:t>: develop long-lasting policy solutions and to strengthen national systems for integrated policymaking and implementation for sustainable development</w:t>
            </w:r>
            <w:r w:rsidRPr="00F36109">
              <w:rPr>
                <w:rFonts w:ascii="Times New Roman" w:eastAsia="Times New Roman" w:hAnsi="Times New Roman" w:cs="Times New Roman"/>
                <w:color w:val="000000"/>
                <w:sz w:val="19"/>
                <w:szCs w:val="19"/>
              </w:rPr>
              <w:t>” (see Section 1 of the Joint SDG Fund Concept Note: Fund Functions).</w:t>
            </w:r>
          </w:p>
        </w:tc>
      </w:tr>
      <w:tr w:rsidR="00CF2BF7" w:rsidRPr="00F36109" w14:paraId="44244603" w14:textId="77777777" w:rsidTr="00CF2BF7">
        <w:trPr>
          <w:trHeight w:val="7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144E70"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10. Governments are in the lead for SDGs implementation and the UN’s role should be focused on coordination, evidence-based support, and advocacy and, monitoring of implementation.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20A5B" w14:textId="77777777" w:rsidR="00CF2BF7" w:rsidRPr="00F36109" w:rsidRDefault="00CF2BF7" w:rsidP="00CF2BF7">
            <w:pPr>
              <w:spacing w:before="120" w:after="120" w:line="240" w:lineRule="auto"/>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As a fund that supports integrated policy support interventions, national Member State Governments are key SDG owners with support provided by the UN.</w:t>
            </w:r>
          </w:p>
        </w:tc>
      </w:tr>
      <w:tr w:rsidR="00CF2BF7" w:rsidRPr="00F36109" w14:paraId="4A7979D4" w14:textId="77777777" w:rsidTr="00CF2BF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9EABCB"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11. Policy cycles around the SDGs are highly dynamic, creating new opportunities for continuous revision of the conditions/assumptions from the perspectives of different partners.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16841"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A core function of the Joint SDG Fund is to strengthen national systems for integrated policymaking and implementation for sustainable development. Such systems are critical to enable governments to effectively respond to highly dynamic policy environments.</w:t>
            </w:r>
          </w:p>
        </w:tc>
      </w:tr>
      <w:tr w:rsidR="00CF2BF7" w:rsidRPr="00F36109" w14:paraId="687B0A49" w14:textId="77777777" w:rsidTr="00CF2BF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43894A"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12. The SDGs bring in opportunities to work at regional level and on trans-border policy issues.</w:t>
            </w:r>
          </w:p>
          <w:p w14:paraId="06F6BC78" w14:textId="77777777" w:rsidR="00CF2BF7" w:rsidRPr="00F36109" w:rsidRDefault="00CF2BF7" w:rsidP="00CF2BF7">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9003D" w14:textId="77777777" w:rsidR="00CF2BF7" w:rsidRPr="00F36109" w:rsidRDefault="00CF2BF7" w:rsidP="00CF2BF7">
            <w:pPr>
              <w:spacing w:before="120" w:after="120" w:line="240" w:lineRule="auto"/>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The Joint SDG Fund welcomes regional, sub-regional, and trans-border policy initiatives.</w:t>
            </w:r>
          </w:p>
        </w:tc>
      </w:tr>
      <w:tr w:rsidR="00CF2BF7" w:rsidRPr="00F36109" w14:paraId="5307D0F1" w14:textId="77777777" w:rsidTr="00CF2BF7">
        <w:trPr>
          <w:trHeight w:val="3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3468276" w14:textId="77777777" w:rsidR="00CF2BF7" w:rsidRPr="00F36109" w:rsidRDefault="00CF2BF7" w:rsidP="00CF2BF7">
            <w:pPr>
              <w:spacing w:before="120" w:after="120" w:line="240" w:lineRule="auto"/>
              <w:jc w:val="center"/>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PROGRAMME AND FUNDING CONSIDERATIONS</w:t>
            </w:r>
          </w:p>
        </w:tc>
      </w:tr>
      <w:tr w:rsidR="00CF2BF7" w:rsidRPr="00F36109" w14:paraId="5689C936" w14:textId="77777777" w:rsidTr="00CF2BF7">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E792DA"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13. </w:t>
            </w:r>
            <w:proofErr w:type="gramStart"/>
            <w:r w:rsidRPr="00F36109">
              <w:rPr>
                <w:rFonts w:ascii="Times New Roman" w:eastAsia="Times New Roman" w:hAnsi="Times New Roman" w:cs="Times New Roman"/>
                <w:b/>
                <w:bCs/>
                <w:color w:val="000000"/>
                <w:sz w:val="19"/>
                <w:szCs w:val="19"/>
              </w:rPr>
              <w:t>In order for</w:t>
            </w:r>
            <w:proofErr w:type="gramEnd"/>
            <w:r w:rsidRPr="00F36109">
              <w:rPr>
                <w:rFonts w:ascii="Times New Roman" w:eastAsia="Times New Roman" w:hAnsi="Times New Roman" w:cs="Times New Roman"/>
                <w:b/>
                <w:bCs/>
                <w:color w:val="000000"/>
                <w:sz w:val="19"/>
                <w:szCs w:val="19"/>
              </w:rPr>
              <w:t xml:space="preserve"> interventions to be catalytic they need to be fully aligned with Government processes and institutional mechanisms.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9A536" w14:textId="77777777" w:rsidR="00CF2BF7" w:rsidRPr="00F36109" w:rsidRDefault="00CF2BF7" w:rsidP="00CF2BF7">
            <w:pPr>
              <w:spacing w:before="120" w:after="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Alignment with national priorities and government processes is ensured through:</w:t>
            </w:r>
          </w:p>
          <w:p w14:paraId="6F43F7BC" w14:textId="77777777" w:rsidR="00CF2BF7" w:rsidRPr="00F36109" w:rsidRDefault="00CF2BF7" w:rsidP="00CF2BF7">
            <w:pPr>
              <w:numPr>
                <w:ilvl w:val="0"/>
                <w:numId w:val="40"/>
              </w:numPr>
              <w:spacing w:after="120" w:line="240" w:lineRule="auto"/>
              <w:ind w:left="432"/>
              <w:jc w:val="both"/>
              <w:textAlignment w:val="baseline"/>
              <w:rPr>
                <w:rFonts w:ascii="Times New Roman" w:eastAsia="Times New Roman" w:hAnsi="Times New Roman" w:cs="Times New Roman"/>
                <w:color w:val="000000"/>
                <w:sz w:val="19"/>
                <w:szCs w:val="19"/>
              </w:rPr>
            </w:pPr>
            <w:r w:rsidRPr="00F36109">
              <w:rPr>
                <w:rFonts w:ascii="Times New Roman" w:eastAsia="Times New Roman" w:hAnsi="Times New Roman" w:cs="Times New Roman"/>
                <w:color w:val="000000"/>
                <w:sz w:val="19"/>
                <w:szCs w:val="19"/>
              </w:rPr>
              <w:t>As a policy fund, most initiatives will involve working with governments and supporting policy-related initiatives that seek to address national priorities.</w:t>
            </w:r>
          </w:p>
          <w:p w14:paraId="1D83CF73" w14:textId="77777777" w:rsidR="00CF2BF7" w:rsidRPr="00F36109" w:rsidRDefault="00CF2BF7" w:rsidP="00CF2BF7">
            <w:pPr>
              <w:numPr>
                <w:ilvl w:val="0"/>
                <w:numId w:val="40"/>
              </w:numPr>
              <w:spacing w:after="120" w:line="240" w:lineRule="auto"/>
              <w:ind w:left="432"/>
              <w:jc w:val="both"/>
              <w:textAlignment w:val="baseline"/>
              <w:rPr>
                <w:rFonts w:ascii="Times New Roman" w:eastAsia="Times New Roman" w:hAnsi="Times New Roman" w:cs="Times New Roman"/>
                <w:color w:val="000000"/>
                <w:sz w:val="19"/>
                <w:szCs w:val="19"/>
              </w:rPr>
            </w:pPr>
            <w:r w:rsidRPr="00F36109">
              <w:rPr>
                <w:rFonts w:ascii="Times New Roman" w:eastAsia="Times New Roman" w:hAnsi="Times New Roman" w:cs="Times New Roman"/>
                <w:color w:val="000000"/>
                <w:sz w:val="19"/>
                <w:szCs w:val="19"/>
              </w:rPr>
              <w:t>Initiatives benefitting from funding from the Joint SDG Fund are expected to be fully embedded in the UNDAF, which is signed-off with government, contributes to national priorities, and managed as part of UNDAF implementation, which entails regular engagement with government.</w:t>
            </w:r>
          </w:p>
          <w:p w14:paraId="64BA34D5" w14:textId="77777777" w:rsidR="00CF2BF7" w:rsidRPr="00F36109" w:rsidRDefault="00CF2BF7" w:rsidP="00CF2BF7">
            <w:pPr>
              <w:numPr>
                <w:ilvl w:val="0"/>
                <w:numId w:val="40"/>
              </w:numPr>
              <w:spacing w:after="120" w:line="240" w:lineRule="auto"/>
              <w:ind w:left="432"/>
              <w:jc w:val="both"/>
              <w:textAlignment w:val="baseline"/>
              <w:rPr>
                <w:rFonts w:ascii="Times New Roman" w:eastAsia="Times New Roman" w:hAnsi="Times New Roman" w:cs="Times New Roman"/>
                <w:color w:val="000000"/>
                <w:sz w:val="19"/>
                <w:szCs w:val="19"/>
              </w:rPr>
            </w:pPr>
            <w:r w:rsidRPr="00F36109">
              <w:rPr>
                <w:rFonts w:ascii="Times New Roman" w:eastAsia="Times New Roman" w:hAnsi="Times New Roman" w:cs="Times New Roman"/>
                <w:color w:val="000000"/>
                <w:sz w:val="19"/>
                <w:szCs w:val="19"/>
              </w:rPr>
              <w:t xml:space="preserve">Given their policy focus, Joint </w:t>
            </w:r>
            <w:proofErr w:type="spellStart"/>
            <w:r w:rsidRPr="00F36109">
              <w:rPr>
                <w:rFonts w:ascii="Times New Roman" w:eastAsia="Times New Roman" w:hAnsi="Times New Roman" w:cs="Times New Roman"/>
                <w:color w:val="000000"/>
                <w:sz w:val="19"/>
                <w:szCs w:val="19"/>
              </w:rPr>
              <w:t>Programmes</w:t>
            </w:r>
            <w:proofErr w:type="spellEnd"/>
            <w:r w:rsidRPr="00F36109">
              <w:rPr>
                <w:rFonts w:ascii="Times New Roman" w:eastAsia="Times New Roman" w:hAnsi="Times New Roman" w:cs="Times New Roman"/>
                <w:color w:val="000000"/>
                <w:sz w:val="19"/>
                <w:szCs w:val="19"/>
              </w:rPr>
              <w:t xml:space="preserve"> are likely to have government representatives in their steering committees. </w:t>
            </w:r>
          </w:p>
        </w:tc>
      </w:tr>
      <w:tr w:rsidR="00CF2BF7" w:rsidRPr="00F36109" w14:paraId="2C831047" w14:textId="77777777" w:rsidTr="00CF2BF7">
        <w:trPr>
          <w:trHeight w:val="7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903CA"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14. Future funding design needs to incorporate plans for resource mobilization in order to maximize the catalytic potential of the individual initiatives.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36128"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 xml:space="preserve">The Joint SDG Fund encourages matching fund approaches that mobilize additional resources from other sources for project implementation. The Joint SDG Fund Secretariat is also expected to have a role in and capacities for resource mobilization. In supporting UNCTs in the design of funding proposals, the Secretariat could also provide advice on resource mobilization opportunities. </w:t>
            </w:r>
          </w:p>
        </w:tc>
      </w:tr>
      <w:tr w:rsidR="00CF2BF7" w:rsidRPr="00F36109" w14:paraId="4E7690AB" w14:textId="77777777" w:rsidTr="00CF2BF7">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1437FA"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lastRenderedPageBreak/>
              <w:t xml:space="preserve">15. Resource mobilization capacities depend on the existence of strong accountability and effective delivery of results.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456E7"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 xml:space="preserve">The Joint SDG Fund finances projects benefit from HQ and regional policy support networks that can contribute to quality design of proposals, strengthening theories of change, and results frameworks. The Joint SDG Fund Secretariat is also expected to play an important role in supporting UNCTs to document results, through the provision of M&amp;E advice. Finally, having initiatives fully embedded in the UNDAF will enable them to benefit from UNDAF accountability and results framework management. </w:t>
            </w:r>
          </w:p>
        </w:tc>
      </w:tr>
      <w:tr w:rsidR="00CF2BF7" w:rsidRPr="00F36109" w14:paraId="22D54406" w14:textId="77777777" w:rsidTr="00CF2BF7">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8C52A"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b/>
                <w:bCs/>
                <w:color w:val="000000"/>
                <w:sz w:val="19"/>
                <w:szCs w:val="19"/>
              </w:rPr>
              <w:t xml:space="preserve">16. More time is required for advanced preparation, consultations, prioritization and implementation of policy initiatives and funding.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0BC51" w14:textId="77777777" w:rsidR="00CF2BF7" w:rsidRPr="00F36109" w:rsidRDefault="00CF2BF7" w:rsidP="00CF2BF7">
            <w:pPr>
              <w:spacing w:before="120" w:after="120" w:line="240" w:lineRule="auto"/>
              <w:jc w:val="both"/>
              <w:rPr>
                <w:rFonts w:ascii="Times New Roman" w:eastAsia="Times New Roman" w:hAnsi="Times New Roman" w:cs="Times New Roman"/>
                <w:sz w:val="24"/>
                <w:szCs w:val="24"/>
              </w:rPr>
            </w:pPr>
            <w:r w:rsidRPr="00F36109">
              <w:rPr>
                <w:rFonts w:ascii="Times New Roman" w:eastAsia="Times New Roman" w:hAnsi="Times New Roman" w:cs="Times New Roman"/>
                <w:color w:val="000000"/>
                <w:sz w:val="19"/>
                <w:szCs w:val="19"/>
              </w:rPr>
              <w:t>The Joint SDG Fund allocates funds for a period of 2-3 years, acknowledging that policy work requires time, especially when engaging deeper into the policy cycle. Moreover, UNDAF 5 year-cycles give ample time for conceptualization, consultation, project implementation, monitoring, and results, especially if projects are funded at the outset of a new UNDAF cycle.</w:t>
            </w:r>
          </w:p>
        </w:tc>
      </w:tr>
    </w:tbl>
    <w:p w14:paraId="6A9F506D" w14:textId="77777777" w:rsidR="00CF2BF7" w:rsidRPr="00F36109" w:rsidRDefault="00CF2BF7" w:rsidP="00CF2BF7">
      <w:pPr>
        <w:jc w:val="both"/>
        <w:rPr>
          <w:rFonts w:ascii="Times New Roman" w:eastAsia="Times New Roman" w:hAnsi="Times New Roman" w:cs="Times New Roman"/>
        </w:rPr>
      </w:pP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r w:rsidRPr="00F36109">
        <w:rPr>
          <w:rFonts w:ascii="Times New Roman" w:eastAsia="Times New Roman" w:hAnsi="Times New Roman" w:cs="Times New Roman"/>
          <w:sz w:val="24"/>
          <w:szCs w:val="24"/>
        </w:rPr>
        <w:br/>
      </w:r>
    </w:p>
    <w:p w14:paraId="3496A9E3" w14:textId="6A8F20D2" w:rsidR="002C0031" w:rsidRPr="00F36109" w:rsidRDefault="002C0031" w:rsidP="00D17C9E">
      <w:pPr>
        <w:spacing w:after="0" w:line="240" w:lineRule="auto"/>
        <w:rPr>
          <w:rFonts w:ascii="Times New Roman" w:eastAsia="Times New Roman" w:hAnsi="Times New Roman" w:cs="Times New Roman"/>
          <w:color w:val="000000"/>
          <w:lang w:eastAsia="en-US"/>
        </w:rPr>
      </w:pPr>
    </w:p>
    <w:sectPr w:rsidR="002C0031" w:rsidRPr="00F36109" w:rsidSect="002002B6">
      <w:footerReference w:type="defaul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DCBE" w14:textId="77777777" w:rsidR="003345B8" w:rsidRDefault="003345B8" w:rsidP="00DA2950">
      <w:pPr>
        <w:spacing w:after="0" w:line="240" w:lineRule="auto"/>
      </w:pPr>
      <w:r>
        <w:separator/>
      </w:r>
    </w:p>
  </w:endnote>
  <w:endnote w:type="continuationSeparator" w:id="0">
    <w:p w14:paraId="03182D6D" w14:textId="77777777" w:rsidR="003345B8" w:rsidRDefault="003345B8" w:rsidP="00DA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altName w:val="Courier New"/>
    <w:panose1 w:val="02070409020205020404"/>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112155"/>
      <w:docPartObj>
        <w:docPartGallery w:val="Page Numbers (Bottom of Page)"/>
        <w:docPartUnique/>
      </w:docPartObj>
    </w:sdtPr>
    <w:sdtEndPr>
      <w:rPr>
        <w:noProof/>
      </w:rPr>
    </w:sdtEndPr>
    <w:sdtContent>
      <w:p w14:paraId="441476EF" w14:textId="196AE4CA" w:rsidR="00721831" w:rsidRDefault="0072183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02393FA" w14:textId="77777777" w:rsidR="00721831" w:rsidRDefault="0072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CB68" w14:textId="77777777" w:rsidR="003345B8" w:rsidRDefault="003345B8" w:rsidP="00DA2950">
      <w:pPr>
        <w:spacing w:after="0" w:line="240" w:lineRule="auto"/>
      </w:pPr>
      <w:r>
        <w:separator/>
      </w:r>
    </w:p>
  </w:footnote>
  <w:footnote w:type="continuationSeparator" w:id="0">
    <w:p w14:paraId="14E48701" w14:textId="77777777" w:rsidR="003345B8" w:rsidRDefault="003345B8" w:rsidP="00DA2950">
      <w:pPr>
        <w:spacing w:after="0" w:line="240" w:lineRule="auto"/>
      </w:pPr>
      <w:r>
        <w:continuationSeparator/>
      </w:r>
    </w:p>
  </w:footnote>
  <w:footnote w:id="1">
    <w:p w14:paraId="627026B0" w14:textId="77777777" w:rsidR="00721831" w:rsidRPr="00567B44" w:rsidRDefault="00721831" w:rsidP="00567B44">
      <w:pPr>
        <w:pBdr>
          <w:top w:val="nil"/>
          <w:left w:val="nil"/>
          <w:bottom w:val="nil"/>
          <w:right w:val="nil"/>
          <w:between w:val="nil"/>
        </w:pBdr>
        <w:spacing w:after="0" w:line="240" w:lineRule="auto"/>
        <w:rPr>
          <w:rFonts w:eastAsia="Courier" w:cstheme="minorHAnsi"/>
          <w:color w:val="000000"/>
          <w:sz w:val="16"/>
          <w:szCs w:val="16"/>
        </w:rPr>
      </w:pPr>
      <w:r w:rsidRPr="00567B44">
        <w:rPr>
          <w:rFonts w:cstheme="minorHAnsi"/>
          <w:sz w:val="16"/>
          <w:szCs w:val="16"/>
          <w:vertAlign w:val="superscript"/>
        </w:rPr>
        <w:footnoteRef/>
      </w:r>
      <w:r w:rsidRPr="00567B44">
        <w:rPr>
          <w:rFonts w:eastAsia="Courier" w:cstheme="minorHAnsi"/>
          <w:color w:val="000000"/>
          <w:sz w:val="16"/>
          <w:szCs w:val="16"/>
        </w:rPr>
        <w:t xml:space="preserve"> </w:t>
      </w:r>
      <w:r w:rsidRPr="00567B44">
        <w:rPr>
          <w:rFonts w:eastAsia="Times New Roman" w:cstheme="minorHAnsi"/>
          <w:color w:val="000000"/>
          <w:sz w:val="16"/>
          <w:szCs w:val="16"/>
        </w:rPr>
        <w:t>For the period 2018-2023. The TOR will be reviewed periodically by the Operational Steering Committee</w:t>
      </w:r>
    </w:p>
  </w:footnote>
  <w:footnote w:id="2">
    <w:p w14:paraId="0389078F" w14:textId="77777777" w:rsidR="00721831" w:rsidRPr="00567B44" w:rsidRDefault="00721831" w:rsidP="00567B44">
      <w:pPr>
        <w:pBdr>
          <w:top w:val="nil"/>
          <w:left w:val="nil"/>
          <w:bottom w:val="nil"/>
          <w:right w:val="nil"/>
          <w:between w:val="nil"/>
        </w:pBdr>
        <w:spacing w:after="0" w:line="240" w:lineRule="auto"/>
        <w:rPr>
          <w:rFonts w:eastAsia="Courier" w:cstheme="minorHAnsi"/>
          <w:color w:val="000000"/>
          <w:sz w:val="16"/>
          <w:szCs w:val="16"/>
        </w:rPr>
      </w:pPr>
      <w:r w:rsidRPr="00567B44">
        <w:rPr>
          <w:rFonts w:cstheme="minorHAnsi"/>
          <w:sz w:val="16"/>
          <w:szCs w:val="16"/>
          <w:vertAlign w:val="superscript"/>
        </w:rPr>
        <w:footnoteRef/>
      </w:r>
      <w:r w:rsidRPr="00567B44">
        <w:rPr>
          <w:rFonts w:eastAsia="Times New Roman" w:cstheme="minorHAnsi"/>
          <w:color w:val="000000"/>
          <w:sz w:val="16"/>
          <w:szCs w:val="16"/>
        </w:rPr>
        <w:t>The current TOR covers 2018-2023.</w:t>
      </w:r>
    </w:p>
  </w:footnote>
  <w:footnote w:id="3">
    <w:p w14:paraId="7A073EED" w14:textId="7223EE46" w:rsidR="006079B0" w:rsidRDefault="006079B0">
      <w:pPr>
        <w:pStyle w:val="FootnoteText"/>
      </w:pPr>
      <w:r>
        <w:rPr>
          <w:rStyle w:val="FootnoteReference"/>
          <w:rFonts w:hint="eastAsia"/>
        </w:rPr>
        <w:footnoteRef/>
      </w:r>
      <w:r>
        <w:rPr>
          <w:rFonts w:hint="eastAsia"/>
        </w:rPr>
        <w:t xml:space="preserve"> </w:t>
      </w:r>
      <w:r w:rsidR="00F60DA3" w:rsidRPr="00F60DA3">
        <w:rPr>
          <w:rFonts w:asciiTheme="minorHAnsi" w:eastAsia="Times New Roman" w:hAnsiTheme="minorHAnsi" w:cstheme="minorHAnsi"/>
          <w:color w:val="000000"/>
          <w:sz w:val="16"/>
          <w:szCs w:val="16"/>
          <w:lang w:eastAsia="ja-JP"/>
        </w:rPr>
        <w:t>This will be calculated yearly on December 31st, though Funds received in the two previous calendar years and signed pledges for the following calendar year, except for the first year, in which pledges alone will be counted.</w:t>
      </w:r>
    </w:p>
  </w:footnote>
  <w:footnote w:id="4">
    <w:p w14:paraId="0E6E2215" w14:textId="77777777" w:rsidR="00721831" w:rsidRPr="00567B44" w:rsidRDefault="00721831" w:rsidP="00567B44">
      <w:pPr>
        <w:spacing w:after="0" w:line="240" w:lineRule="auto"/>
        <w:jc w:val="both"/>
        <w:rPr>
          <w:rFonts w:eastAsia="Cambria" w:cstheme="minorHAnsi"/>
          <w:color w:val="000000"/>
          <w:sz w:val="16"/>
          <w:szCs w:val="16"/>
        </w:rPr>
      </w:pPr>
      <w:r w:rsidRPr="00567B44">
        <w:rPr>
          <w:rFonts w:cstheme="minorHAnsi"/>
          <w:sz w:val="16"/>
          <w:szCs w:val="16"/>
          <w:vertAlign w:val="superscript"/>
        </w:rPr>
        <w:footnoteRef/>
      </w:r>
      <w:r w:rsidRPr="00567B44">
        <w:rPr>
          <w:rFonts w:cstheme="minorHAnsi"/>
          <w:sz w:val="16"/>
          <w:szCs w:val="16"/>
        </w:rPr>
        <w:t xml:space="preserve"> </w:t>
      </w:r>
      <w:r w:rsidRPr="00567B44">
        <w:rPr>
          <w:rFonts w:eastAsia="Times New Roman" w:cstheme="minorHAnsi"/>
          <w:sz w:val="16"/>
          <w:szCs w:val="16"/>
        </w:rPr>
        <w:t>The Multi Partner Trust Fund Office, and UN DOCO, will identify, on a case by case basis, the most appropriate administrative set-up for the country level SDG Fund. Based on the resources mobilized, and on the scope of the interventions planned, the country level SDG Fund could be set up as window under the global Joint SDG Fund, or as a stand-alone fund.</w:t>
      </w:r>
    </w:p>
    <w:p w14:paraId="321E3AF9" w14:textId="77777777" w:rsidR="00721831" w:rsidRPr="00567B44" w:rsidRDefault="00721831" w:rsidP="00567B44">
      <w:pPr>
        <w:pBdr>
          <w:top w:val="nil"/>
          <w:left w:val="nil"/>
          <w:bottom w:val="nil"/>
          <w:right w:val="nil"/>
          <w:between w:val="nil"/>
        </w:pBdr>
        <w:spacing w:after="0" w:line="240" w:lineRule="auto"/>
        <w:rPr>
          <w:rFonts w:eastAsia="Courier" w:cstheme="minorHAnsi"/>
          <w:color w:val="000000"/>
          <w:sz w:val="16"/>
          <w:szCs w:val="16"/>
        </w:rPr>
      </w:pPr>
    </w:p>
  </w:footnote>
  <w:footnote w:id="5">
    <w:p w14:paraId="4CC936E7" w14:textId="77777777" w:rsidR="00721831" w:rsidRPr="00567B44" w:rsidRDefault="00721831" w:rsidP="00567B44">
      <w:pPr>
        <w:pBdr>
          <w:top w:val="nil"/>
          <w:left w:val="nil"/>
          <w:bottom w:val="nil"/>
          <w:right w:val="nil"/>
          <w:between w:val="nil"/>
        </w:pBdr>
        <w:spacing w:after="0" w:line="240" w:lineRule="auto"/>
        <w:rPr>
          <w:rFonts w:cstheme="minorHAnsi"/>
          <w:color w:val="000000"/>
          <w:sz w:val="16"/>
          <w:szCs w:val="16"/>
        </w:rPr>
      </w:pPr>
      <w:r w:rsidRPr="00567B44">
        <w:rPr>
          <w:rFonts w:cstheme="minorHAnsi"/>
          <w:sz w:val="16"/>
          <w:szCs w:val="16"/>
          <w:vertAlign w:val="superscript"/>
        </w:rPr>
        <w:footnoteRef/>
      </w:r>
      <w:r w:rsidRPr="00567B44">
        <w:rPr>
          <w:rFonts w:cstheme="minorHAnsi"/>
          <w:color w:val="000000"/>
          <w:sz w:val="16"/>
          <w:szCs w:val="16"/>
        </w:rPr>
        <w:t xml:space="preserve"> The Joint SDG Fund will support the new generation of UNDAF’s, which will include implementation of the 2030 Agenda and be aligned with country priorities.</w:t>
      </w:r>
    </w:p>
  </w:footnote>
  <w:footnote w:id="6">
    <w:p w14:paraId="2651DDDC" w14:textId="477F5D28"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 </w:t>
      </w:r>
      <w:r w:rsidRPr="00567B44">
        <w:rPr>
          <w:rFonts w:asciiTheme="minorHAnsi" w:hAnsiTheme="minorHAnsi" w:cstheme="minorHAnsi"/>
          <w:color w:val="000000"/>
          <w:sz w:val="16"/>
          <w:szCs w:val="16"/>
        </w:rPr>
        <w:t>Funds allocated to HQ and regional levels will be kept to a minimum. The priority will be resourcing country level activities.</w:t>
      </w:r>
    </w:p>
  </w:footnote>
  <w:footnote w:id="7">
    <w:p w14:paraId="263F386B" w14:textId="77777777"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 For example, academia, civil society and the private sector.</w:t>
      </w:r>
    </w:p>
  </w:footnote>
  <w:footnote w:id="8">
    <w:p w14:paraId="07C5058B" w14:textId="2278B39D" w:rsidR="00721831" w:rsidRPr="00567B44" w:rsidRDefault="00721831" w:rsidP="00567B44">
      <w:pPr>
        <w:pStyle w:val="FootnoteText"/>
        <w:jc w:val="both"/>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Each joint programme funded by the Joint SDG Fund will be requested to select and report against SDG indicators. At the end of each reporting period, this data will be aggregated globally.  </w:t>
      </w:r>
    </w:p>
  </w:footnote>
  <w:footnote w:id="9">
    <w:p w14:paraId="08BC6AC0" w14:textId="201B31AE"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National indicators linked to SDG targets</w:t>
      </w:r>
    </w:p>
  </w:footnote>
  <w:footnote w:id="10">
    <w:p w14:paraId="3F57F934" w14:textId="34AC41F2"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Captures more disaggregated data on how many SDGs are addressed per Joint Programme.</w:t>
      </w:r>
    </w:p>
  </w:footnote>
  <w:footnote w:id="11">
    <w:p w14:paraId="3F005368" w14:textId="1872292F"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These may be achieved through partnerships with government, private sectors, CSOs and other stakeholders. There will be annual targets set at the beginning of each year. There will be a time lag on reporting against this indicator.</w:t>
      </w:r>
    </w:p>
  </w:footnote>
  <w:footnote w:id="12">
    <w:p w14:paraId="6500C31E" w14:textId="30290031"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Scope=substantive expansion: additional thematic areas/components added or mechanisms/systems replicated.</w:t>
      </w:r>
    </w:p>
  </w:footnote>
  <w:footnote w:id="13">
    <w:p w14:paraId="32940E75" w14:textId="0457D97C"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Scale=geographical expansion: local solutions adopted at the regional and national level or a national solution adopted in one or more countries.  </w:t>
      </w:r>
    </w:p>
  </w:footnote>
  <w:footnote w:id="14">
    <w:p w14:paraId="0C5B5F08" w14:textId="62722AB8"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These may be achieved through partnerships with government, private sectors, CSOs and other stakeholders. There will be annual targets set at the beginning of each year. There will be a time lag on reporting against this indicator.</w:t>
      </w:r>
    </w:p>
  </w:footnote>
  <w:footnote w:id="15">
    <w:p w14:paraId="361CB17C" w14:textId="48C4F275"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Additional resources mobilized for other / additional sector/s</w:t>
      </w:r>
    </w:p>
  </w:footnote>
  <w:footnote w:id="16">
    <w:p w14:paraId="4E8AE484" w14:textId="77777777"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Additional resources mobilized for the same multi-sectoral solution.</w:t>
      </w:r>
    </w:p>
  </w:footnote>
  <w:footnote w:id="17">
    <w:p w14:paraId="0CDBFC2D" w14:textId="7C5216F7"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color w:val="000000" w:themeColor="text1"/>
          <w:sz w:val="16"/>
          <w:szCs w:val="16"/>
        </w:rPr>
        <w:t>To be defined further</w:t>
      </w:r>
      <w:r w:rsidRPr="00567B44">
        <w:rPr>
          <w:rFonts w:asciiTheme="minorHAnsi" w:hAnsiTheme="minorHAnsi" w:cstheme="minorHAnsi"/>
          <w:sz w:val="16"/>
          <w:szCs w:val="16"/>
        </w:rPr>
        <w:t xml:space="preserve"> in the Joint SDG Fund’s measurement guidance note</w:t>
      </w:r>
      <w:r w:rsidRPr="00567B44">
        <w:rPr>
          <w:rFonts w:asciiTheme="minorHAnsi" w:hAnsiTheme="minorHAnsi" w:cstheme="minorHAnsi"/>
          <w:color w:val="000000" w:themeColor="text1"/>
          <w:sz w:val="16"/>
          <w:szCs w:val="16"/>
        </w:rPr>
        <w:t xml:space="preserve">. “Readiness” indicators for policy will include collection and analysis of statistical data, including disaggregated data in line with QCPR requirements, mapping and convening of key stakeholders, analysis of alignment of national plans with SDGs, etc. </w:t>
      </w:r>
    </w:p>
  </w:footnote>
  <w:footnote w:id="18">
    <w:p w14:paraId="5FE3D56C" w14:textId="1A18FE0E" w:rsidR="00721831" w:rsidRPr="00567B44" w:rsidRDefault="00721831" w:rsidP="00567B44">
      <w:pPr>
        <w:pStyle w:val="FootnoteText"/>
        <w:jc w:val="both"/>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See the funding targets of the Joint SDG Fund. It is estimated that each “Readiness” initiative (pillar 1, and pillar 2) will cost 150,000 USD.</w:t>
      </w:r>
    </w:p>
  </w:footnote>
  <w:footnote w:id="19">
    <w:p w14:paraId="316E3009" w14:textId="08D65375"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It is assumed that multiple policy solutions could exist for one country.  This indicator is to capture capacity development aspects, and will need guidance on how to distinguish situations where government has taken the lead vs UN has taken a lead and supported the government. </w:t>
      </w:r>
    </w:p>
  </w:footnote>
  <w:footnote w:id="20">
    <w:p w14:paraId="3AA1EED9" w14:textId="3455D09E"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color w:val="000000" w:themeColor="text1"/>
          <w:sz w:val="16"/>
          <w:szCs w:val="16"/>
        </w:rPr>
        <w:t>To be defined further</w:t>
      </w:r>
      <w:r w:rsidRPr="00567B44">
        <w:rPr>
          <w:rFonts w:asciiTheme="minorHAnsi" w:hAnsiTheme="minorHAnsi" w:cstheme="minorHAnsi"/>
          <w:sz w:val="16"/>
          <w:szCs w:val="16"/>
        </w:rPr>
        <w:t xml:space="preserve"> in the Joint SDG Fund’s measurement guidance note to include convening of financing stakeholders.</w:t>
      </w:r>
    </w:p>
  </w:footnote>
  <w:footnote w:id="21">
    <w:p w14:paraId="1CF3D165" w14:textId="5B311BE2"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It is assumed that multiple policy solutions could exist for one country.  This indicator is to capture capacity development aspects, and will need guidance on how to distinguish situations where government has taken the lead vs UN has taken a lead and supported the government. </w:t>
      </w:r>
    </w:p>
  </w:footnote>
  <w:footnote w:id="22">
    <w:p w14:paraId="68BF3DFD" w14:textId="0863D3AB"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This will include standards such as the cost-effectiveness of investment. These standards will be defined further in the Joint SDG Fund’s measurement guidance note.</w:t>
      </w:r>
    </w:p>
  </w:footnote>
  <w:footnote w:id="23">
    <w:p w14:paraId="074272D4" w14:textId="1F091C05"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Success implies that the proof of concept is endorsed by</w:t>
      </w:r>
      <w:r w:rsidRPr="00567B44">
        <w:rPr>
          <w:rFonts w:asciiTheme="minorHAnsi" w:hAnsiTheme="minorHAnsi" w:cstheme="minorHAnsi"/>
          <w:color w:val="000000" w:themeColor="text1"/>
          <w:sz w:val="16"/>
          <w:szCs w:val="16"/>
        </w:rPr>
        <w:t xml:space="preserve"> the government and other stakeholders.</w:t>
      </w:r>
    </w:p>
  </w:footnote>
  <w:footnote w:id="24">
    <w:p w14:paraId="01BBCA67" w14:textId="252994CC"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 This will be disaggregated by (1) government/public partners (2) civil society partners and (3) private sector partners</w:t>
      </w:r>
    </w:p>
  </w:footnote>
  <w:footnote w:id="25">
    <w:p w14:paraId="5FF33598" w14:textId="2E4D1288"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 Global leverage is used until countries to be supported are selected.</w:t>
      </w:r>
    </w:p>
  </w:footnote>
  <w:footnote w:id="26">
    <w:p w14:paraId="63F92972" w14:textId="2C66B23C"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 Annual survey will provide qualitative information towards this indicator.</w:t>
      </w:r>
    </w:p>
  </w:footnote>
  <w:footnote w:id="27">
    <w:p w14:paraId="6359C9CB" w14:textId="68312963"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 Refers to the resources utilized. </w:t>
      </w:r>
    </w:p>
  </w:footnote>
  <w:footnote w:id="28">
    <w:p w14:paraId="13FE4F51" w14:textId="34E5E793" w:rsidR="00721831" w:rsidRPr="00567B44" w:rsidRDefault="00721831" w:rsidP="00567B44">
      <w:pPr>
        <w:pStyle w:val="FootnoteText"/>
        <w:rPr>
          <w:rFonts w:asciiTheme="minorHAnsi" w:hAnsiTheme="minorHAnsi" w:cstheme="minorHAnsi"/>
          <w:sz w:val="16"/>
          <w:szCs w:val="16"/>
        </w:rPr>
      </w:pPr>
      <w:r w:rsidRPr="00567B44">
        <w:rPr>
          <w:rStyle w:val="FootnoteReference"/>
          <w:rFonts w:asciiTheme="minorHAnsi" w:hAnsiTheme="minorHAnsi" w:cstheme="minorHAnsi"/>
          <w:sz w:val="16"/>
          <w:szCs w:val="16"/>
        </w:rPr>
        <w:footnoteRef/>
      </w:r>
      <w:r w:rsidRPr="00567B44">
        <w:rPr>
          <w:rFonts w:asciiTheme="minorHAnsi" w:hAnsiTheme="minorHAnsi" w:cstheme="minorHAnsi"/>
          <w:sz w:val="16"/>
          <w:szCs w:val="16"/>
        </w:rPr>
        <w:t xml:space="preserve"> For this indicator, the targets will be set in Year 4 after joint programmes start to close.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29F"/>
    <w:multiLevelType w:val="hybridMultilevel"/>
    <w:tmpl w:val="09A2DBC2"/>
    <w:lvl w:ilvl="0" w:tplc="A5FC3F26">
      <w:start w:val="1"/>
      <w:numFmt w:val="decimal"/>
      <w:lvlText w:val="%1."/>
      <w:lvlJc w:val="left"/>
      <w:pPr>
        <w:ind w:left="763" w:hanging="403"/>
      </w:pPr>
      <w:rPr>
        <w:rFonts w:hint="default"/>
        <w:color w:val="3660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36F0"/>
    <w:multiLevelType w:val="hybridMultilevel"/>
    <w:tmpl w:val="9D846BCA"/>
    <w:lvl w:ilvl="0" w:tplc="C5862FE2">
      <w:start w:val="1"/>
      <w:numFmt w:val="bullet"/>
      <w:lvlText w:val=""/>
      <w:lvlJc w:val="left"/>
      <w:pPr>
        <w:tabs>
          <w:tab w:val="num" w:pos="720"/>
        </w:tabs>
        <w:ind w:left="720" w:hanging="360"/>
      </w:pPr>
      <w:rPr>
        <w:rFonts w:ascii="Symbol" w:hAnsi="Symbol" w:hint="default"/>
      </w:rPr>
    </w:lvl>
    <w:lvl w:ilvl="1" w:tplc="691CAD28" w:tentative="1">
      <w:start w:val="1"/>
      <w:numFmt w:val="bullet"/>
      <w:lvlText w:val=""/>
      <w:lvlJc w:val="left"/>
      <w:pPr>
        <w:tabs>
          <w:tab w:val="num" w:pos="1440"/>
        </w:tabs>
        <w:ind w:left="1440" w:hanging="360"/>
      </w:pPr>
      <w:rPr>
        <w:rFonts w:ascii="Symbol" w:hAnsi="Symbol" w:hint="default"/>
      </w:rPr>
    </w:lvl>
    <w:lvl w:ilvl="2" w:tplc="65C83D32" w:tentative="1">
      <w:start w:val="1"/>
      <w:numFmt w:val="bullet"/>
      <w:lvlText w:val=""/>
      <w:lvlJc w:val="left"/>
      <w:pPr>
        <w:tabs>
          <w:tab w:val="num" w:pos="2160"/>
        </w:tabs>
        <w:ind w:left="2160" w:hanging="360"/>
      </w:pPr>
      <w:rPr>
        <w:rFonts w:ascii="Symbol" w:hAnsi="Symbol" w:hint="default"/>
      </w:rPr>
    </w:lvl>
    <w:lvl w:ilvl="3" w:tplc="0BBC9DE2" w:tentative="1">
      <w:start w:val="1"/>
      <w:numFmt w:val="bullet"/>
      <w:lvlText w:val=""/>
      <w:lvlJc w:val="left"/>
      <w:pPr>
        <w:tabs>
          <w:tab w:val="num" w:pos="2880"/>
        </w:tabs>
        <w:ind w:left="2880" w:hanging="360"/>
      </w:pPr>
      <w:rPr>
        <w:rFonts w:ascii="Symbol" w:hAnsi="Symbol" w:hint="default"/>
      </w:rPr>
    </w:lvl>
    <w:lvl w:ilvl="4" w:tplc="7F8ED038" w:tentative="1">
      <w:start w:val="1"/>
      <w:numFmt w:val="bullet"/>
      <w:lvlText w:val=""/>
      <w:lvlJc w:val="left"/>
      <w:pPr>
        <w:tabs>
          <w:tab w:val="num" w:pos="3600"/>
        </w:tabs>
        <w:ind w:left="3600" w:hanging="360"/>
      </w:pPr>
      <w:rPr>
        <w:rFonts w:ascii="Symbol" w:hAnsi="Symbol" w:hint="default"/>
      </w:rPr>
    </w:lvl>
    <w:lvl w:ilvl="5" w:tplc="76480A7A" w:tentative="1">
      <w:start w:val="1"/>
      <w:numFmt w:val="bullet"/>
      <w:lvlText w:val=""/>
      <w:lvlJc w:val="left"/>
      <w:pPr>
        <w:tabs>
          <w:tab w:val="num" w:pos="4320"/>
        </w:tabs>
        <w:ind w:left="4320" w:hanging="360"/>
      </w:pPr>
      <w:rPr>
        <w:rFonts w:ascii="Symbol" w:hAnsi="Symbol" w:hint="default"/>
      </w:rPr>
    </w:lvl>
    <w:lvl w:ilvl="6" w:tplc="2A84702C" w:tentative="1">
      <w:start w:val="1"/>
      <w:numFmt w:val="bullet"/>
      <w:lvlText w:val=""/>
      <w:lvlJc w:val="left"/>
      <w:pPr>
        <w:tabs>
          <w:tab w:val="num" w:pos="5040"/>
        </w:tabs>
        <w:ind w:left="5040" w:hanging="360"/>
      </w:pPr>
      <w:rPr>
        <w:rFonts w:ascii="Symbol" w:hAnsi="Symbol" w:hint="default"/>
      </w:rPr>
    </w:lvl>
    <w:lvl w:ilvl="7" w:tplc="CE344C64" w:tentative="1">
      <w:start w:val="1"/>
      <w:numFmt w:val="bullet"/>
      <w:lvlText w:val=""/>
      <w:lvlJc w:val="left"/>
      <w:pPr>
        <w:tabs>
          <w:tab w:val="num" w:pos="5760"/>
        </w:tabs>
        <w:ind w:left="5760" w:hanging="360"/>
      </w:pPr>
      <w:rPr>
        <w:rFonts w:ascii="Symbol" w:hAnsi="Symbol" w:hint="default"/>
      </w:rPr>
    </w:lvl>
    <w:lvl w:ilvl="8" w:tplc="25E084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D7639F"/>
    <w:multiLevelType w:val="multilevel"/>
    <w:tmpl w:val="454E3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EF66C2"/>
    <w:multiLevelType w:val="multilevel"/>
    <w:tmpl w:val="CAAA7C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BD2607"/>
    <w:multiLevelType w:val="hybridMultilevel"/>
    <w:tmpl w:val="A95C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04C10"/>
    <w:multiLevelType w:val="hybridMultilevel"/>
    <w:tmpl w:val="E1EA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49E8"/>
    <w:multiLevelType w:val="hybridMultilevel"/>
    <w:tmpl w:val="36B89B8C"/>
    <w:lvl w:ilvl="0" w:tplc="B6508BC0">
      <w:start w:val="1"/>
      <w:numFmt w:val="bullet"/>
      <w:lvlText w:val=""/>
      <w:lvlJc w:val="left"/>
      <w:pPr>
        <w:tabs>
          <w:tab w:val="num" w:pos="720"/>
        </w:tabs>
        <w:ind w:left="720" w:hanging="360"/>
      </w:pPr>
      <w:rPr>
        <w:rFonts w:ascii="Symbol" w:hAnsi="Symbol" w:hint="default"/>
      </w:rPr>
    </w:lvl>
    <w:lvl w:ilvl="1" w:tplc="AE48A6CC" w:tentative="1">
      <w:start w:val="1"/>
      <w:numFmt w:val="bullet"/>
      <w:lvlText w:val=""/>
      <w:lvlJc w:val="left"/>
      <w:pPr>
        <w:tabs>
          <w:tab w:val="num" w:pos="1440"/>
        </w:tabs>
        <w:ind w:left="1440" w:hanging="360"/>
      </w:pPr>
      <w:rPr>
        <w:rFonts w:ascii="Symbol" w:hAnsi="Symbol" w:hint="default"/>
      </w:rPr>
    </w:lvl>
    <w:lvl w:ilvl="2" w:tplc="4E240F44" w:tentative="1">
      <w:start w:val="1"/>
      <w:numFmt w:val="bullet"/>
      <w:lvlText w:val=""/>
      <w:lvlJc w:val="left"/>
      <w:pPr>
        <w:tabs>
          <w:tab w:val="num" w:pos="2160"/>
        </w:tabs>
        <w:ind w:left="2160" w:hanging="360"/>
      </w:pPr>
      <w:rPr>
        <w:rFonts w:ascii="Symbol" w:hAnsi="Symbol" w:hint="default"/>
      </w:rPr>
    </w:lvl>
    <w:lvl w:ilvl="3" w:tplc="E61EA506" w:tentative="1">
      <w:start w:val="1"/>
      <w:numFmt w:val="bullet"/>
      <w:lvlText w:val=""/>
      <w:lvlJc w:val="left"/>
      <w:pPr>
        <w:tabs>
          <w:tab w:val="num" w:pos="2880"/>
        </w:tabs>
        <w:ind w:left="2880" w:hanging="360"/>
      </w:pPr>
      <w:rPr>
        <w:rFonts w:ascii="Symbol" w:hAnsi="Symbol" w:hint="default"/>
      </w:rPr>
    </w:lvl>
    <w:lvl w:ilvl="4" w:tplc="891A418C" w:tentative="1">
      <w:start w:val="1"/>
      <w:numFmt w:val="bullet"/>
      <w:lvlText w:val=""/>
      <w:lvlJc w:val="left"/>
      <w:pPr>
        <w:tabs>
          <w:tab w:val="num" w:pos="3600"/>
        </w:tabs>
        <w:ind w:left="3600" w:hanging="360"/>
      </w:pPr>
      <w:rPr>
        <w:rFonts w:ascii="Symbol" w:hAnsi="Symbol" w:hint="default"/>
      </w:rPr>
    </w:lvl>
    <w:lvl w:ilvl="5" w:tplc="24BA42D8" w:tentative="1">
      <w:start w:val="1"/>
      <w:numFmt w:val="bullet"/>
      <w:lvlText w:val=""/>
      <w:lvlJc w:val="left"/>
      <w:pPr>
        <w:tabs>
          <w:tab w:val="num" w:pos="4320"/>
        </w:tabs>
        <w:ind w:left="4320" w:hanging="360"/>
      </w:pPr>
      <w:rPr>
        <w:rFonts w:ascii="Symbol" w:hAnsi="Symbol" w:hint="default"/>
      </w:rPr>
    </w:lvl>
    <w:lvl w:ilvl="6" w:tplc="D30ABFBE" w:tentative="1">
      <w:start w:val="1"/>
      <w:numFmt w:val="bullet"/>
      <w:lvlText w:val=""/>
      <w:lvlJc w:val="left"/>
      <w:pPr>
        <w:tabs>
          <w:tab w:val="num" w:pos="5040"/>
        </w:tabs>
        <w:ind w:left="5040" w:hanging="360"/>
      </w:pPr>
      <w:rPr>
        <w:rFonts w:ascii="Symbol" w:hAnsi="Symbol" w:hint="default"/>
      </w:rPr>
    </w:lvl>
    <w:lvl w:ilvl="7" w:tplc="72FCB1EA" w:tentative="1">
      <w:start w:val="1"/>
      <w:numFmt w:val="bullet"/>
      <w:lvlText w:val=""/>
      <w:lvlJc w:val="left"/>
      <w:pPr>
        <w:tabs>
          <w:tab w:val="num" w:pos="5760"/>
        </w:tabs>
        <w:ind w:left="5760" w:hanging="360"/>
      </w:pPr>
      <w:rPr>
        <w:rFonts w:ascii="Symbol" w:hAnsi="Symbol" w:hint="default"/>
      </w:rPr>
    </w:lvl>
    <w:lvl w:ilvl="8" w:tplc="F11A120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B813DD"/>
    <w:multiLevelType w:val="hybridMultilevel"/>
    <w:tmpl w:val="A896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51A89"/>
    <w:multiLevelType w:val="hybridMultilevel"/>
    <w:tmpl w:val="62D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4F3F"/>
    <w:multiLevelType w:val="multilevel"/>
    <w:tmpl w:val="B0DE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52750"/>
    <w:multiLevelType w:val="multilevel"/>
    <w:tmpl w:val="E24E5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3E48A5"/>
    <w:multiLevelType w:val="multilevel"/>
    <w:tmpl w:val="342A83A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E42FC"/>
    <w:multiLevelType w:val="hybridMultilevel"/>
    <w:tmpl w:val="3FDC67C4"/>
    <w:lvl w:ilvl="0" w:tplc="F482D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87BD2"/>
    <w:multiLevelType w:val="multilevel"/>
    <w:tmpl w:val="057257EC"/>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0C77D2A"/>
    <w:multiLevelType w:val="hybridMultilevel"/>
    <w:tmpl w:val="F0D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D610B"/>
    <w:multiLevelType w:val="hybridMultilevel"/>
    <w:tmpl w:val="9A36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E4BFE"/>
    <w:multiLevelType w:val="hybridMultilevel"/>
    <w:tmpl w:val="1798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D2C3B"/>
    <w:multiLevelType w:val="hybridMultilevel"/>
    <w:tmpl w:val="2F96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F19B1"/>
    <w:multiLevelType w:val="hybridMultilevel"/>
    <w:tmpl w:val="AE660D20"/>
    <w:lvl w:ilvl="0" w:tplc="D6AC095E">
      <w:start w:val="1"/>
      <w:numFmt w:val="bullet"/>
      <w:lvlText w:val="•"/>
      <w:lvlJc w:val="left"/>
      <w:pPr>
        <w:tabs>
          <w:tab w:val="num" w:pos="720"/>
        </w:tabs>
        <w:ind w:left="720" w:hanging="360"/>
      </w:pPr>
      <w:rPr>
        <w:rFonts w:ascii="Arial" w:hAnsi="Arial" w:hint="default"/>
      </w:rPr>
    </w:lvl>
    <w:lvl w:ilvl="1" w:tplc="AA96EDD2" w:tentative="1">
      <w:start w:val="1"/>
      <w:numFmt w:val="bullet"/>
      <w:lvlText w:val="•"/>
      <w:lvlJc w:val="left"/>
      <w:pPr>
        <w:tabs>
          <w:tab w:val="num" w:pos="1440"/>
        </w:tabs>
        <w:ind w:left="1440" w:hanging="360"/>
      </w:pPr>
      <w:rPr>
        <w:rFonts w:ascii="Arial" w:hAnsi="Arial" w:hint="default"/>
      </w:rPr>
    </w:lvl>
    <w:lvl w:ilvl="2" w:tplc="35B4A0FC" w:tentative="1">
      <w:start w:val="1"/>
      <w:numFmt w:val="bullet"/>
      <w:lvlText w:val="•"/>
      <w:lvlJc w:val="left"/>
      <w:pPr>
        <w:tabs>
          <w:tab w:val="num" w:pos="2160"/>
        </w:tabs>
        <w:ind w:left="2160" w:hanging="360"/>
      </w:pPr>
      <w:rPr>
        <w:rFonts w:ascii="Arial" w:hAnsi="Arial" w:hint="default"/>
      </w:rPr>
    </w:lvl>
    <w:lvl w:ilvl="3" w:tplc="771E16EA" w:tentative="1">
      <w:start w:val="1"/>
      <w:numFmt w:val="bullet"/>
      <w:lvlText w:val="•"/>
      <w:lvlJc w:val="left"/>
      <w:pPr>
        <w:tabs>
          <w:tab w:val="num" w:pos="2880"/>
        </w:tabs>
        <w:ind w:left="2880" w:hanging="360"/>
      </w:pPr>
      <w:rPr>
        <w:rFonts w:ascii="Arial" w:hAnsi="Arial" w:hint="default"/>
      </w:rPr>
    </w:lvl>
    <w:lvl w:ilvl="4" w:tplc="82D23852" w:tentative="1">
      <w:start w:val="1"/>
      <w:numFmt w:val="bullet"/>
      <w:lvlText w:val="•"/>
      <w:lvlJc w:val="left"/>
      <w:pPr>
        <w:tabs>
          <w:tab w:val="num" w:pos="3600"/>
        </w:tabs>
        <w:ind w:left="3600" w:hanging="360"/>
      </w:pPr>
      <w:rPr>
        <w:rFonts w:ascii="Arial" w:hAnsi="Arial" w:hint="default"/>
      </w:rPr>
    </w:lvl>
    <w:lvl w:ilvl="5" w:tplc="157A37EC" w:tentative="1">
      <w:start w:val="1"/>
      <w:numFmt w:val="bullet"/>
      <w:lvlText w:val="•"/>
      <w:lvlJc w:val="left"/>
      <w:pPr>
        <w:tabs>
          <w:tab w:val="num" w:pos="4320"/>
        </w:tabs>
        <w:ind w:left="4320" w:hanging="360"/>
      </w:pPr>
      <w:rPr>
        <w:rFonts w:ascii="Arial" w:hAnsi="Arial" w:hint="default"/>
      </w:rPr>
    </w:lvl>
    <w:lvl w:ilvl="6" w:tplc="AEB632AC" w:tentative="1">
      <w:start w:val="1"/>
      <w:numFmt w:val="bullet"/>
      <w:lvlText w:val="•"/>
      <w:lvlJc w:val="left"/>
      <w:pPr>
        <w:tabs>
          <w:tab w:val="num" w:pos="5040"/>
        </w:tabs>
        <w:ind w:left="5040" w:hanging="360"/>
      </w:pPr>
      <w:rPr>
        <w:rFonts w:ascii="Arial" w:hAnsi="Arial" w:hint="default"/>
      </w:rPr>
    </w:lvl>
    <w:lvl w:ilvl="7" w:tplc="62FCC882" w:tentative="1">
      <w:start w:val="1"/>
      <w:numFmt w:val="bullet"/>
      <w:lvlText w:val="•"/>
      <w:lvlJc w:val="left"/>
      <w:pPr>
        <w:tabs>
          <w:tab w:val="num" w:pos="5760"/>
        </w:tabs>
        <w:ind w:left="5760" w:hanging="360"/>
      </w:pPr>
      <w:rPr>
        <w:rFonts w:ascii="Arial" w:hAnsi="Arial" w:hint="default"/>
      </w:rPr>
    </w:lvl>
    <w:lvl w:ilvl="8" w:tplc="D64842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541E00"/>
    <w:multiLevelType w:val="multilevel"/>
    <w:tmpl w:val="5E08E3D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E02442"/>
    <w:multiLevelType w:val="hybridMultilevel"/>
    <w:tmpl w:val="EEC6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E19D4"/>
    <w:multiLevelType w:val="multilevel"/>
    <w:tmpl w:val="44CA71BA"/>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15:restartNumberingAfterBreak="0">
    <w:nsid w:val="46185B60"/>
    <w:multiLevelType w:val="hybridMultilevel"/>
    <w:tmpl w:val="9082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B3CCA"/>
    <w:multiLevelType w:val="multilevel"/>
    <w:tmpl w:val="C1E2A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7D363D"/>
    <w:multiLevelType w:val="hybridMultilevel"/>
    <w:tmpl w:val="1570D874"/>
    <w:lvl w:ilvl="0" w:tplc="65FCE73E">
      <w:start w:val="1"/>
      <w:numFmt w:val="bullet"/>
      <w:lvlText w:val="•"/>
      <w:lvlJc w:val="left"/>
      <w:pPr>
        <w:tabs>
          <w:tab w:val="num" w:pos="720"/>
        </w:tabs>
        <w:ind w:left="720" w:hanging="360"/>
      </w:pPr>
      <w:rPr>
        <w:rFonts w:ascii="Arial" w:hAnsi="Arial" w:hint="default"/>
      </w:rPr>
    </w:lvl>
    <w:lvl w:ilvl="1" w:tplc="F7B68ED0" w:tentative="1">
      <w:start w:val="1"/>
      <w:numFmt w:val="bullet"/>
      <w:lvlText w:val="•"/>
      <w:lvlJc w:val="left"/>
      <w:pPr>
        <w:tabs>
          <w:tab w:val="num" w:pos="1440"/>
        </w:tabs>
        <w:ind w:left="1440" w:hanging="360"/>
      </w:pPr>
      <w:rPr>
        <w:rFonts w:ascii="Arial" w:hAnsi="Arial" w:hint="default"/>
      </w:rPr>
    </w:lvl>
    <w:lvl w:ilvl="2" w:tplc="403A7D30" w:tentative="1">
      <w:start w:val="1"/>
      <w:numFmt w:val="bullet"/>
      <w:lvlText w:val="•"/>
      <w:lvlJc w:val="left"/>
      <w:pPr>
        <w:tabs>
          <w:tab w:val="num" w:pos="2160"/>
        </w:tabs>
        <w:ind w:left="2160" w:hanging="360"/>
      </w:pPr>
      <w:rPr>
        <w:rFonts w:ascii="Arial" w:hAnsi="Arial" w:hint="default"/>
      </w:rPr>
    </w:lvl>
    <w:lvl w:ilvl="3" w:tplc="277C2226" w:tentative="1">
      <w:start w:val="1"/>
      <w:numFmt w:val="bullet"/>
      <w:lvlText w:val="•"/>
      <w:lvlJc w:val="left"/>
      <w:pPr>
        <w:tabs>
          <w:tab w:val="num" w:pos="2880"/>
        </w:tabs>
        <w:ind w:left="2880" w:hanging="360"/>
      </w:pPr>
      <w:rPr>
        <w:rFonts w:ascii="Arial" w:hAnsi="Arial" w:hint="default"/>
      </w:rPr>
    </w:lvl>
    <w:lvl w:ilvl="4" w:tplc="56B4CAA6" w:tentative="1">
      <w:start w:val="1"/>
      <w:numFmt w:val="bullet"/>
      <w:lvlText w:val="•"/>
      <w:lvlJc w:val="left"/>
      <w:pPr>
        <w:tabs>
          <w:tab w:val="num" w:pos="3600"/>
        </w:tabs>
        <w:ind w:left="3600" w:hanging="360"/>
      </w:pPr>
      <w:rPr>
        <w:rFonts w:ascii="Arial" w:hAnsi="Arial" w:hint="default"/>
      </w:rPr>
    </w:lvl>
    <w:lvl w:ilvl="5" w:tplc="BECE5EE8" w:tentative="1">
      <w:start w:val="1"/>
      <w:numFmt w:val="bullet"/>
      <w:lvlText w:val="•"/>
      <w:lvlJc w:val="left"/>
      <w:pPr>
        <w:tabs>
          <w:tab w:val="num" w:pos="4320"/>
        </w:tabs>
        <w:ind w:left="4320" w:hanging="360"/>
      </w:pPr>
      <w:rPr>
        <w:rFonts w:ascii="Arial" w:hAnsi="Arial" w:hint="default"/>
      </w:rPr>
    </w:lvl>
    <w:lvl w:ilvl="6" w:tplc="64A81A4E" w:tentative="1">
      <w:start w:val="1"/>
      <w:numFmt w:val="bullet"/>
      <w:lvlText w:val="•"/>
      <w:lvlJc w:val="left"/>
      <w:pPr>
        <w:tabs>
          <w:tab w:val="num" w:pos="5040"/>
        </w:tabs>
        <w:ind w:left="5040" w:hanging="360"/>
      </w:pPr>
      <w:rPr>
        <w:rFonts w:ascii="Arial" w:hAnsi="Arial" w:hint="default"/>
      </w:rPr>
    </w:lvl>
    <w:lvl w:ilvl="7" w:tplc="77CC62F0" w:tentative="1">
      <w:start w:val="1"/>
      <w:numFmt w:val="bullet"/>
      <w:lvlText w:val="•"/>
      <w:lvlJc w:val="left"/>
      <w:pPr>
        <w:tabs>
          <w:tab w:val="num" w:pos="5760"/>
        </w:tabs>
        <w:ind w:left="5760" w:hanging="360"/>
      </w:pPr>
      <w:rPr>
        <w:rFonts w:ascii="Arial" w:hAnsi="Arial" w:hint="default"/>
      </w:rPr>
    </w:lvl>
    <w:lvl w:ilvl="8" w:tplc="F29045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3A577B"/>
    <w:multiLevelType w:val="multilevel"/>
    <w:tmpl w:val="A3D246C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7E4032"/>
    <w:multiLevelType w:val="hybridMultilevel"/>
    <w:tmpl w:val="0740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A0BDA"/>
    <w:multiLevelType w:val="hybridMultilevel"/>
    <w:tmpl w:val="03B47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3FB3"/>
    <w:multiLevelType w:val="hybridMultilevel"/>
    <w:tmpl w:val="05B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12E49"/>
    <w:multiLevelType w:val="hybridMultilevel"/>
    <w:tmpl w:val="606A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37FA6"/>
    <w:multiLevelType w:val="hybridMultilevel"/>
    <w:tmpl w:val="E2B02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A2543"/>
    <w:multiLevelType w:val="hybridMultilevel"/>
    <w:tmpl w:val="0E18F2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213424D"/>
    <w:multiLevelType w:val="hybridMultilevel"/>
    <w:tmpl w:val="8570A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677C6"/>
    <w:multiLevelType w:val="multilevel"/>
    <w:tmpl w:val="EF2CF868"/>
    <w:lvl w:ilvl="0">
      <w:start w:val="1"/>
      <w:numFmt w:val="decimal"/>
      <w:lvlText w:val="%1."/>
      <w:lvlJc w:val="left"/>
      <w:pPr>
        <w:ind w:left="1080" w:hanging="720"/>
      </w:pPr>
      <w:rPr>
        <w:rFonts w:hint="default"/>
      </w:rPr>
    </w:lvl>
    <w:lvl w:ilvl="1">
      <w:start w:val="3"/>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CE293B"/>
    <w:multiLevelType w:val="hybridMultilevel"/>
    <w:tmpl w:val="0A42E6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314C4"/>
    <w:multiLevelType w:val="multilevel"/>
    <w:tmpl w:val="B9707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6C7314"/>
    <w:multiLevelType w:val="multilevel"/>
    <w:tmpl w:val="E72049C6"/>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09E1DEB"/>
    <w:multiLevelType w:val="multilevel"/>
    <w:tmpl w:val="E66C6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CA149B"/>
    <w:multiLevelType w:val="hybridMultilevel"/>
    <w:tmpl w:val="9AD096A4"/>
    <w:lvl w:ilvl="0" w:tplc="082E309E">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9" w15:restartNumberingAfterBreak="0">
    <w:nsid w:val="7BF66356"/>
    <w:multiLevelType w:val="multilevel"/>
    <w:tmpl w:val="36326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473799"/>
    <w:multiLevelType w:val="hybridMultilevel"/>
    <w:tmpl w:val="41E2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B1289"/>
    <w:multiLevelType w:val="hybridMultilevel"/>
    <w:tmpl w:val="8E30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26"/>
  </w:num>
  <w:num w:numId="4">
    <w:abstractNumId w:val="19"/>
  </w:num>
  <w:num w:numId="5">
    <w:abstractNumId w:val="36"/>
  </w:num>
  <w:num w:numId="6">
    <w:abstractNumId w:val="32"/>
  </w:num>
  <w:num w:numId="7">
    <w:abstractNumId w:val="1"/>
  </w:num>
  <w:num w:numId="8">
    <w:abstractNumId w:val="6"/>
  </w:num>
  <w:num w:numId="9">
    <w:abstractNumId w:val="24"/>
  </w:num>
  <w:num w:numId="10">
    <w:abstractNumId w:val="18"/>
  </w:num>
  <w:num w:numId="11">
    <w:abstractNumId w:val="22"/>
  </w:num>
  <w:num w:numId="12">
    <w:abstractNumId w:val="30"/>
  </w:num>
  <w:num w:numId="13">
    <w:abstractNumId w:val="27"/>
  </w:num>
  <w:num w:numId="14">
    <w:abstractNumId w:val="28"/>
  </w:num>
  <w:num w:numId="15">
    <w:abstractNumId w:val="39"/>
  </w:num>
  <w:num w:numId="16">
    <w:abstractNumId w:val="35"/>
  </w:num>
  <w:num w:numId="17">
    <w:abstractNumId w:val="10"/>
  </w:num>
  <w:num w:numId="18">
    <w:abstractNumId w:val="11"/>
  </w:num>
  <w:num w:numId="19">
    <w:abstractNumId w:val="25"/>
  </w:num>
  <w:num w:numId="20">
    <w:abstractNumId w:val="13"/>
  </w:num>
  <w:num w:numId="21">
    <w:abstractNumId w:val="21"/>
  </w:num>
  <w:num w:numId="22">
    <w:abstractNumId w:val="23"/>
  </w:num>
  <w:num w:numId="23">
    <w:abstractNumId w:val="2"/>
  </w:num>
  <w:num w:numId="24">
    <w:abstractNumId w:val="3"/>
  </w:num>
  <w:num w:numId="25">
    <w:abstractNumId w:val="37"/>
  </w:num>
  <w:num w:numId="26">
    <w:abstractNumId w:val="15"/>
  </w:num>
  <w:num w:numId="27">
    <w:abstractNumId w:val="34"/>
  </w:num>
  <w:num w:numId="28">
    <w:abstractNumId w:val="29"/>
  </w:num>
  <w:num w:numId="29">
    <w:abstractNumId w:val="5"/>
  </w:num>
  <w:num w:numId="30">
    <w:abstractNumId w:val="4"/>
  </w:num>
  <w:num w:numId="31">
    <w:abstractNumId w:val="16"/>
  </w:num>
  <w:num w:numId="32">
    <w:abstractNumId w:val="38"/>
  </w:num>
  <w:num w:numId="33">
    <w:abstractNumId w:val="41"/>
  </w:num>
  <w:num w:numId="34">
    <w:abstractNumId w:val="14"/>
  </w:num>
  <w:num w:numId="35">
    <w:abstractNumId w:val="7"/>
  </w:num>
  <w:num w:numId="36">
    <w:abstractNumId w:val="12"/>
  </w:num>
  <w:num w:numId="37">
    <w:abstractNumId w:val="33"/>
  </w:num>
  <w:num w:numId="38">
    <w:abstractNumId w:val="17"/>
  </w:num>
  <w:num w:numId="39">
    <w:abstractNumId w:val="20"/>
  </w:num>
  <w:num w:numId="40">
    <w:abstractNumId w:val="9"/>
  </w:num>
  <w:num w:numId="41">
    <w:abstractNumId w:val="0"/>
  </w:num>
  <w:num w:numId="42">
    <w:abstractNumId w:val="3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50"/>
    <w:rsid w:val="00000422"/>
    <w:rsid w:val="00002185"/>
    <w:rsid w:val="00003144"/>
    <w:rsid w:val="0000390A"/>
    <w:rsid w:val="00005545"/>
    <w:rsid w:val="00007D3A"/>
    <w:rsid w:val="00010737"/>
    <w:rsid w:val="00011835"/>
    <w:rsid w:val="00011B5C"/>
    <w:rsid w:val="00012829"/>
    <w:rsid w:val="000139B4"/>
    <w:rsid w:val="00013A01"/>
    <w:rsid w:val="00016C6A"/>
    <w:rsid w:val="00020459"/>
    <w:rsid w:val="00020506"/>
    <w:rsid w:val="00020B78"/>
    <w:rsid w:val="00022223"/>
    <w:rsid w:val="000251FC"/>
    <w:rsid w:val="000260FC"/>
    <w:rsid w:val="000303B8"/>
    <w:rsid w:val="00033B0F"/>
    <w:rsid w:val="000349B6"/>
    <w:rsid w:val="000378CD"/>
    <w:rsid w:val="00037B93"/>
    <w:rsid w:val="00040332"/>
    <w:rsid w:val="00044E84"/>
    <w:rsid w:val="00044F32"/>
    <w:rsid w:val="000456F9"/>
    <w:rsid w:val="00047991"/>
    <w:rsid w:val="000518F9"/>
    <w:rsid w:val="000559D5"/>
    <w:rsid w:val="00055F4D"/>
    <w:rsid w:val="000600AD"/>
    <w:rsid w:val="000608F0"/>
    <w:rsid w:val="0006766E"/>
    <w:rsid w:val="000707FB"/>
    <w:rsid w:val="00070F52"/>
    <w:rsid w:val="00073333"/>
    <w:rsid w:val="00077175"/>
    <w:rsid w:val="0008009F"/>
    <w:rsid w:val="00082F07"/>
    <w:rsid w:val="00083B69"/>
    <w:rsid w:val="00085672"/>
    <w:rsid w:val="000869FA"/>
    <w:rsid w:val="00092CCA"/>
    <w:rsid w:val="000943C7"/>
    <w:rsid w:val="0009467F"/>
    <w:rsid w:val="000A024D"/>
    <w:rsid w:val="000A0366"/>
    <w:rsid w:val="000A0F66"/>
    <w:rsid w:val="000A27DA"/>
    <w:rsid w:val="000A3B5B"/>
    <w:rsid w:val="000B046F"/>
    <w:rsid w:val="000B1ABE"/>
    <w:rsid w:val="000B51F7"/>
    <w:rsid w:val="000B7AC2"/>
    <w:rsid w:val="000C3D3E"/>
    <w:rsid w:val="000C490D"/>
    <w:rsid w:val="000D466A"/>
    <w:rsid w:val="000E2390"/>
    <w:rsid w:val="000F0864"/>
    <w:rsid w:val="000F0D95"/>
    <w:rsid w:val="000F372E"/>
    <w:rsid w:val="000F54C1"/>
    <w:rsid w:val="000F68CE"/>
    <w:rsid w:val="000F6FE1"/>
    <w:rsid w:val="00100FDE"/>
    <w:rsid w:val="00106102"/>
    <w:rsid w:val="00112EA6"/>
    <w:rsid w:val="001147F2"/>
    <w:rsid w:val="00120F2E"/>
    <w:rsid w:val="00121F73"/>
    <w:rsid w:val="0012335C"/>
    <w:rsid w:val="00131D77"/>
    <w:rsid w:val="001325A0"/>
    <w:rsid w:val="00133118"/>
    <w:rsid w:val="00133DFE"/>
    <w:rsid w:val="001353C3"/>
    <w:rsid w:val="001368C1"/>
    <w:rsid w:val="001432AB"/>
    <w:rsid w:val="00145F8F"/>
    <w:rsid w:val="0014618D"/>
    <w:rsid w:val="0014642F"/>
    <w:rsid w:val="0014650B"/>
    <w:rsid w:val="00147BA3"/>
    <w:rsid w:val="001506A2"/>
    <w:rsid w:val="00151010"/>
    <w:rsid w:val="001550A1"/>
    <w:rsid w:val="0015543A"/>
    <w:rsid w:val="00160A4F"/>
    <w:rsid w:val="00166CEC"/>
    <w:rsid w:val="00167D93"/>
    <w:rsid w:val="00176336"/>
    <w:rsid w:val="001768F5"/>
    <w:rsid w:val="00183360"/>
    <w:rsid w:val="001877AB"/>
    <w:rsid w:val="00194068"/>
    <w:rsid w:val="0019550D"/>
    <w:rsid w:val="001A2477"/>
    <w:rsid w:val="001A2FF3"/>
    <w:rsid w:val="001A393F"/>
    <w:rsid w:val="001A6077"/>
    <w:rsid w:val="001B3F8C"/>
    <w:rsid w:val="001B4D00"/>
    <w:rsid w:val="001B63A1"/>
    <w:rsid w:val="001B696E"/>
    <w:rsid w:val="001C055F"/>
    <w:rsid w:val="001C0AE9"/>
    <w:rsid w:val="001C1AD1"/>
    <w:rsid w:val="001C2948"/>
    <w:rsid w:val="001C5BA5"/>
    <w:rsid w:val="001D3FE9"/>
    <w:rsid w:val="001D482D"/>
    <w:rsid w:val="001D4DF9"/>
    <w:rsid w:val="001D5E44"/>
    <w:rsid w:val="001D61FF"/>
    <w:rsid w:val="001D62BE"/>
    <w:rsid w:val="001E60A2"/>
    <w:rsid w:val="001F12FF"/>
    <w:rsid w:val="001F1FA7"/>
    <w:rsid w:val="001F4872"/>
    <w:rsid w:val="002002B6"/>
    <w:rsid w:val="002057E8"/>
    <w:rsid w:val="0021269E"/>
    <w:rsid w:val="00215EBA"/>
    <w:rsid w:val="00221FEA"/>
    <w:rsid w:val="002227D5"/>
    <w:rsid w:val="00222EAC"/>
    <w:rsid w:val="00225285"/>
    <w:rsid w:val="00227997"/>
    <w:rsid w:val="00227B43"/>
    <w:rsid w:val="00234405"/>
    <w:rsid w:val="00236381"/>
    <w:rsid w:val="0024189C"/>
    <w:rsid w:val="00241ACC"/>
    <w:rsid w:val="0024247A"/>
    <w:rsid w:val="00244E7D"/>
    <w:rsid w:val="00245BBA"/>
    <w:rsid w:val="00251B09"/>
    <w:rsid w:val="00255FE9"/>
    <w:rsid w:val="00256BA4"/>
    <w:rsid w:val="002600F7"/>
    <w:rsid w:val="002604DB"/>
    <w:rsid w:val="002608CE"/>
    <w:rsid w:val="0026108D"/>
    <w:rsid w:val="00263772"/>
    <w:rsid w:val="0027107B"/>
    <w:rsid w:val="002710D4"/>
    <w:rsid w:val="00272CDF"/>
    <w:rsid w:val="0027489E"/>
    <w:rsid w:val="00276040"/>
    <w:rsid w:val="00276349"/>
    <w:rsid w:val="002800A6"/>
    <w:rsid w:val="002828F2"/>
    <w:rsid w:val="00282A29"/>
    <w:rsid w:val="0028379C"/>
    <w:rsid w:val="00291F55"/>
    <w:rsid w:val="002953FD"/>
    <w:rsid w:val="0029553A"/>
    <w:rsid w:val="00296CAD"/>
    <w:rsid w:val="00297874"/>
    <w:rsid w:val="002A14C1"/>
    <w:rsid w:val="002A1B21"/>
    <w:rsid w:val="002A1DC2"/>
    <w:rsid w:val="002A23E1"/>
    <w:rsid w:val="002A5ACB"/>
    <w:rsid w:val="002B1147"/>
    <w:rsid w:val="002B1980"/>
    <w:rsid w:val="002B1E2F"/>
    <w:rsid w:val="002B2E01"/>
    <w:rsid w:val="002C0031"/>
    <w:rsid w:val="002C7A0B"/>
    <w:rsid w:val="002E1734"/>
    <w:rsid w:val="002F2A62"/>
    <w:rsid w:val="0031100B"/>
    <w:rsid w:val="00311698"/>
    <w:rsid w:val="00311F9C"/>
    <w:rsid w:val="00315C44"/>
    <w:rsid w:val="00316EC7"/>
    <w:rsid w:val="00317B8A"/>
    <w:rsid w:val="00321BFD"/>
    <w:rsid w:val="00324F3F"/>
    <w:rsid w:val="0032714C"/>
    <w:rsid w:val="00330844"/>
    <w:rsid w:val="00332983"/>
    <w:rsid w:val="00333057"/>
    <w:rsid w:val="003338C3"/>
    <w:rsid w:val="003345B8"/>
    <w:rsid w:val="003439FB"/>
    <w:rsid w:val="00343E44"/>
    <w:rsid w:val="003532BD"/>
    <w:rsid w:val="003560B8"/>
    <w:rsid w:val="00356B6B"/>
    <w:rsid w:val="00361A0C"/>
    <w:rsid w:val="00362C7D"/>
    <w:rsid w:val="00362CC9"/>
    <w:rsid w:val="003650B4"/>
    <w:rsid w:val="00366D0A"/>
    <w:rsid w:val="00370262"/>
    <w:rsid w:val="00370A8A"/>
    <w:rsid w:val="00371346"/>
    <w:rsid w:val="00374B8F"/>
    <w:rsid w:val="00376687"/>
    <w:rsid w:val="00383C5C"/>
    <w:rsid w:val="00390D4D"/>
    <w:rsid w:val="00392D33"/>
    <w:rsid w:val="003930BE"/>
    <w:rsid w:val="0039320B"/>
    <w:rsid w:val="0039450C"/>
    <w:rsid w:val="003A3F6B"/>
    <w:rsid w:val="003A5610"/>
    <w:rsid w:val="003A6F70"/>
    <w:rsid w:val="003B1877"/>
    <w:rsid w:val="003B2DAD"/>
    <w:rsid w:val="003B34FA"/>
    <w:rsid w:val="003B79FF"/>
    <w:rsid w:val="003C0D63"/>
    <w:rsid w:val="003C5271"/>
    <w:rsid w:val="003D3B17"/>
    <w:rsid w:val="003D7CA3"/>
    <w:rsid w:val="003D7DE9"/>
    <w:rsid w:val="003E0DED"/>
    <w:rsid w:val="003E5126"/>
    <w:rsid w:val="003E5C6E"/>
    <w:rsid w:val="003E6D72"/>
    <w:rsid w:val="003F58C8"/>
    <w:rsid w:val="003F7859"/>
    <w:rsid w:val="003F797C"/>
    <w:rsid w:val="00405326"/>
    <w:rsid w:val="004059D9"/>
    <w:rsid w:val="004112E7"/>
    <w:rsid w:val="004113C6"/>
    <w:rsid w:val="004128A4"/>
    <w:rsid w:val="00416257"/>
    <w:rsid w:val="00417804"/>
    <w:rsid w:val="00420280"/>
    <w:rsid w:val="004209DA"/>
    <w:rsid w:val="00425B9D"/>
    <w:rsid w:val="00431918"/>
    <w:rsid w:val="00432C60"/>
    <w:rsid w:val="0043399D"/>
    <w:rsid w:val="0043770D"/>
    <w:rsid w:val="00437868"/>
    <w:rsid w:val="004406F8"/>
    <w:rsid w:val="0044319A"/>
    <w:rsid w:val="004518B0"/>
    <w:rsid w:val="00452915"/>
    <w:rsid w:val="00452DF9"/>
    <w:rsid w:val="00455A43"/>
    <w:rsid w:val="004568E8"/>
    <w:rsid w:val="0045700D"/>
    <w:rsid w:val="00462955"/>
    <w:rsid w:val="004633CB"/>
    <w:rsid w:val="00467EA2"/>
    <w:rsid w:val="00470E4C"/>
    <w:rsid w:val="0047439A"/>
    <w:rsid w:val="0048016A"/>
    <w:rsid w:val="00482EA8"/>
    <w:rsid w:val="004850C9"/>
    <w:rsid w:val="0049091B"/>
    <w:rsid w:val="0049226F"/>
    <w:rsid w:val="004922F6"/>
    <w:rsid w:val="00494321"/>
    <w:rsid w:val="00494C98"/>
    <w:rsid w:val="00494D1C"/>
    <w:rsid w:val="004A1247"/>
    <w:rsid w:val="004A1812"/>
    <w:rsid w:val="004B090F"/>
    <w:rsid w:val="004B15A2"/>
    <w:rsid w:val="004B1C4C"/>
    <w:rsid w:val="004B7B93"/>
    <w:rsid w:val="004C09C5"/>
    <w:rsid w:val="004C17A7"/>
    <w:rsid w:val="004C5DA1"/>
    <w:rsid w:val="004C6A6B"/>
    <w:rsid w:val="004C7E7F"/>
    <w:rsid w:val="004D32CF"/>
    <w:rsid w:val="004D4B6F"/>
    <w:rsid w:val="004D7591"/>
    <w:rsid w:val="004D7B99"/>
    <w:rsid w:val="004E0F43"/>
    <w:rsid w:val="004E2A25"/>
    <w:rsid w:val="004E3A6A"/>
    <w:rsid w:val="004E477C"/>
    <w:rsid w:val="004E6264"/>
    <w:rsid w:val="004E6E2D"/>
    <w:rsid w:val="004E71F3"/>
    <w:rsid w:val="00503B8A"/>
    <w:rsid w:val="0050425D"/>
    <w:rsid w:val="005053D0"/>
    <w:rsid w:val="00505523"/>
    <w:rsid w:val="005064AF"/>
    <w:rsid w:val="00506B61"/>
    <w:rsid w:val="00507A68"/>
    <w:rsid w:val="00513FCB"/>
    <w:rsid w:val="00514761"/>
    <w:rsid w:val="005154CF"/>
    <w:rsid w:val="0051682F"/>
    <w:rsid w:val="00522814"/>
    <w:rsid w:val="00525D83"/>
    <w:rsid w:val="00526FD1"/>
    <w:rsid w:val="00533A03"/>
    <w:rsid w:val="005357E6"/>
    <w:rsid w:val="00535CF0"/>
    <w:rsid w:val="00543746"/>
    <w:rsid w:val="00543899"/>
    <w:rsid w:val="00545D87"/>
    <w:rsid w:val="005460B1"/>
    <w:rsid w:val="0055005D"/>
    <w:rsid w:val="005501CB"/>
    <w:rsid w:val="00566244"/>
    <w:rsid w:val="00567B44"/>
    <w:rsid w:val="00570D41"/>
    <w:rsid w:val="0058211E"/>
    <w:rsid w:val="00583331"/>
    <w:rsid w:val="005860A7"/>
    <w:rsid w:val="00587825"/>
    <w:rsid w:val="00587C62"/>
    <w:rsid w:val="005904E3"/>
    <w:rsid w:val="00591420"/>
    <w:rsid w:val="00592424"/>
    <w:rsid w:val="0059637F"/>
    <w:rsid w:val="005A0FA9"/>
    <w:rsid w:val="005A553B"/>
    <w:rsid w:val="005A7C03"/>
    <w:rsid w:val="005B1227"/>
    <w:rsid w:val="005B23F3"/>
    <w:rsid w:val="005B320B"/>
    <w:rsid w:val="005B4ADD"/>
    <w:rsid w:val="005B53E8"/>
    <w:rsid w:val="005B6B57"/>
    <w:rsid w:val="005B7532"/>
    <w:rsid w:val="005C3170"/>
    <w:rsid w:val="005D176E"/>
    <w:rsid w:val="005D3087"/>
    <w:rsid w:val="005D50A3"/>
    <w:rsid w:val="005E3C33"/>
    <w:rsid w:val="005E6474"/>
    <w:rsid w:val="005F250F"/>
    <w:rsid w:val="005F45A9"/>
    <w:rsid w:val="005F56B1"/>
    <w:rsid w:val="005F58F8"/>
    <w:rsid w:val="005F5CDD"/>
    <w:rsid w:val="006033E7"/>
    <w:rsid w:val="00603EFA"/>
    <w:rsid w:val="0060567A"/>
    <w:rsid w:val="006079B0"/>
    <w:rsid w:val="00607BBA"/>
    <w:rsid w:val="00610658"/>
    <w:rsid w:val="00611B18"/>
    <w:rsid w:val="00611CB7"/>
    <w:rsid w:val="00623B68"/>
    <w:rsid w:val="00627E72"/>
    <w:rsid w:val="00631029"/>
    <w:rsid w:val="006318AA"/>
    <w:rsid w:val="00631B4D"/>
    <w:rsid w:val="00636A18"/>
    <w:rsid w:val="00637D3D"/>
    <w:rsid w:val="006434C8"/>
    <w:rsid w:val="00644A24"/>
    <w:rsid w:val="0064528D"/>
    <w:rsid w:val="006473AD"/>
    <w:rsid w:val="00647BE7"/>
    <w:rsid w:val="00647C30"/>
    <w:rsid w:val="00651B91"/>
    <w:rsid w:val="00654904"/>
    <w:rsid w:val="00656940"/>
    <w:rsid w:val="006636B4"/>
    <w:rsid w:val="00667075"/>
    <w:rsid w:val="006754A2"/>
    <w:rsid w:val="00677567"/>
    <w:rsid w:val="006806FF"/>
    <w:rsid w:val="00681256"/>
    <w:rsid w:val="0068192C"/>
    <w:rsid w:val="00683155"/>
    <w:rsid w:val="00684BAE"/>
    <w:rsid w:val="00686AB3"/>
    <w:rsid w:val="00686AB7"/>
    <w:rsid w:val="006933D1"/>
    <w:rsid w:val="006946EF"/>
    <w:rsid w:val="0069566F"/>
    <w:rsid w:val="00695AEF"/>
    <w:rsid w:val="00695CE6"/>
    <w:rsid w:val="006A0358"/>
    <w:rsid w:val="006A5D88"/>
    <w:rsid w:val="006B02FC"/>
    <w:rsid w:val="006B28E6"/>
    <w:rsid w:val="006B3AF4"/>
    <w:rsid w:val="006B48AF"/>
    <w:rsid w:val="006B51C9"/>
    <w:rsid w:val="006B583B"/>
    <w:rsid w:val="006B5D96"/>
    <w:rsid w:val="006B6AC5"/>
    <w:rsid w:val="006B6B5C"/>
    <w:rsid w:val="006B7FD4"/>
    <w:rsid w:val="006C08BC"/>
    <w:rsid w:val="006C3020"/>
    <w:rsid w:val="006C5580"/>
    <w:rsid w:val="006C5DB8"/>
    <w:rsid w:val="006C7839"/>
    <w:rsid w:val="006C79BB"/>
    <w:rsid w:val="006D2131"/>
    <w:rsid w:val="006D4A1B"/>
    <w:rsid w:val="006D53E1"/>
    <w:rsid w:val="006E1A34"/>
    <w:rsid w:val="006E2DD1"/>
    <w:rsid w:val="006E6BAE"/>
    <w:rsid w:val="006E7424"/>
    <w:rsid w:val="006E75F6"/>
    <w:rsid w:val="006F2565"/>
    <w:rsid w:val="006F2AF2"/>
    <w:rsid w:val="00702BDF"/>
    <w:rsid w:val="00704642"/>
    <w:rsid w:val="00707984"/>
    <w:rsid w:val="00712BDD"/>
    <w:rsid w:val="00713371"/>
    <w:rsid w:val="007139DF"/>
    <w:rsid w:val="0071575A"/>
    <w:rsid w:val="00721831"/>
    <w:rsid w:val="00743B5F"/>
    <w:rsid w:val="00743FC8"/>
    <w:rsid w:val="007445C8"/>
    <w:rsid w:val="007448D1"/>
    <w:rsid w:val="00745AAD"/>
    <w:rsid w:val="00746302"/>
    <w:rsid w:val="00747C7F"/>
    <w:rsid w:val="00751138"/>
    <w:rsid w:val="007511BB"/>
    <w:rsid w:val="007649BC"/>
    <w:rsid w:val="00765C03"/>
    <w:rsid w:val="00770A5F"/>
    <w:rsid w:val="00770D99"/>
    <w:rsid w:val="00775131"/>
    <w:rsid w:val="0077550D"/>
    <w:rsid w:val="00780D62"/>
    <w:rsid w:val="00782663"/>
    <w:rsid w:val="00784ABC"/>
    <w:rsid w:val="007867D3"/>
    <w:rsid w:val="00786C30"/>
    <w:rsid w:val="00790CE2"/>
    <w:rsid w:val="00791B6E"/>
    <w:rsid w:val="00794990"/>
    <w:rsid w:val="007A5153"/>
    <w:rsid w:val="007A593F"/>
    <w:rsid w:val="007B1879"/>
    <w:rsid w:val="007B2D85"/>
    <w:rsid w:val="007B53C5"/>
    <w:rsid w:val="007B5D76"/>
    <w:rsid w:val="007B7257"/>
    <w:rsid w:val="007C16A7"/>
    <w:rsid w:val="007C36BC"/>
    <w:rsid w:val="007C6010"/>
    <w:rsid w:val="007C74E7"/>
    <w:rsid w:val="007D1487"/>
    <w:rsid w:val="007D4BC7"/>
    <w:rsid w:val="007D6E1C"/>
    <w:rsid w:val="007D7E9D"/>
    <w:rsid w:val="007E0087"/>
    <w:rsid w:val="007E1672"/>
    <w:rsid w:val="007E363A"/>
    <w:rsid w:val="007E705E"/>
    <w:rsid w:val="007F0C61"/>
    <w:rsid w:val="007F0F8E"/>
    <w:rsid w:val="007F5F70"/>
    <w:rsid w:val="00801ADF"/>
    <w:rsid w:val="00806943"/>
    <w:rsid w:val="00806D1A"/>
    <w:rsid w:val="00807A8C"/>
    <w:rsid w:val="008109D3"/>
    <w:rsid w:val="00810E77"/>
    <w:rsid w:val="00814FFA"/>
    <w:rsid w:val="008164C4"/>
    <w:rsid w:val="0082031A"/>
    <w:rsid w:val="008235D2"/>
    <w:rsid w:val="0083136D"/>
    <w:rsid w:val="0083207A"/>
    <w:rsid w:val="00832785"/>
    <w:rsid w:val="0083375D"/>
    <w:rsid w:val="00833FF1"/>
    <w:rsid w:val="008362AC"/>
    <w:rsid w:val="00836EFC"/>
    <w:rsid w:val="008409AB"/>
    <w:rsid w:val="0084258A"/>
    <w:rsid w:val="0084592A"/>
    <w:rsid w:val="008475E7"/>
    <w:rsid w:val="008514A8"/>
    <w:rsid w:val="00853F8C"/>
    <w:rsid w:val="00854A99"/>
    <w:rsid w:val="00855631"/>
    <w:rsid w:val="00856D29"/>
    <w:rsid w:val="00860CA8"/>
    <w:rsid w:val="00862B2C"/>
    <w:rsid w:val="00862C0C"/>
    <w:rsid w:val="008631AB"/>
    <w:rsid w:val="00864119"/>
    <w:rsid w:val="00865415"/>
    <w:rsid w:val="00866A5A"/>
    <w:rsid w:val="0087262E"/>
    <w:rsid w:val="00876C45"/>
    <w:rsid w:val="0088060D"/>
    <w:rsid w:val="00880E5B"/>
    <w:rsid w:val="0088266A"/>
    <w:rsid w:val="0088329D"/>
    <w:rsid w:val="00884500"/>
    <w:rsid w:val="00887110"/>
    <w:rsid w:val="00887F97"/>
    <w:rsid w:val="00896557"/>
    <w:rsid w:val="008966B2"/>
    <w:rsid w:val="008A1EC9"/>
    <w:rsid w:val="008A5747"/>
    <w:rsid w:val="008A7EFF"/>
    <w:rsid w:val="008B16F8"/>
    <w:rsid w:val="008B722C"/>
    <w:rsid w:val="008B7A44"/>
    <w:rsid w:val="008C2A39"/>
    <w:rsid w:val="008C331A"/>
    <w:rsid w:val="008C43E5"/>
    <w:rsid w:val="008C79C9"/>
    <w:rsid w:val="008C7C6A"/>
    <w:rsid w:val="008D00A0"/>
    <w:rsid w:val="008D13E7"/>
    <w:rsid w:val="008D1FE2"/>
    <w:rsid w:val="008D27ED"/>
    <w:rsid w:val="008D57B3"/>
    <w:rsid w:val="008D6707"/>
    <w:rsid w:val="008E10C6"/>
    <w:rsid w:val="008F2D7B"/>
    <w:rsid w:val="008F2D80"/>
    <w:rsid w:val="008F43ED"/>
    <w:rsid w:val="008F5193"/>
    <w:rsid w:val="008F6F4A"/>
    <w:rsid w:val="00900527"/>
    <w:rsid w:val="00902E8F"/>
    <w:rsid w:val="00904571"/>
    <w:rsid w:val="00913E9F"/>
    <w:rsid w:val="009175FD"/>
    <w:rsid w:val="009204E7"/>
    <w:rsid w:val="00920ED9"/>
    <w:rsid w:val="00921F44"/>
    <w:rsid w:val="00922473"/>
    <w:rsid w:val="00924E8D"/>
    <w:rsid w:val="009313D7"/>
    <w:rsid w:val="00932183"/>
    <w:rsid w:val="00935433"/>
    <w:rsid w:val="0093704F"/>
    <w:rsid w:val="00952216"/>
    <w:rsid w:val="009530F5"/>
    <w:rsid w:val="009535BE"/>
    <w:rsid w:val="00954708"/>
    <w:rsid w:val="0095619E"/>
    <w:rsid w:val="00962EFA"/>
    <w:rsid w:val="00962F3D"/>
    <w:rsid w:val="00964AD9"/>
    <w:rsid w:val="009661B5"/>
    <w:rsid w:val="00967979"/>
    <w:rsid w:val="00971583"/>
    <w:rsid w:val="0097325A"/>
    <w:rsid w:val="00973943"/>
    <w:rsid w:val="009776C8"/>
    <w:rsid w:val="00981ED8"/>
    <w:rsid w:val="00981F32"/>
    <w:rsid w:val="00982153"/>
    <w:rsid w:val="009848E7"/>
    <w:rsid w:val="00990D9C"/>
    <w:rsid w:val="009923E6"/>
    <w:rsid w:val="0099377F"/>
    <w:rsid w:val="009958D2"/>
    <w:rsid w:val="00996E2B"/>
    <w:rsid w:val="009A168D"/>
    <w:rsid w:val="009A3925"/>
    <w:rsid w:val="009B2027"/>
    <w:rsid w:val="009B4A6B"/>
    <w:rsid w:val="009C5467"/>
    <w:rsid w:val="009D38FB"/>
    <w:rsid w:val="009D3A13"/>
    <w:rsid w:val="009D6918"/>
    <w:rsid w:val="009D74E4"/>
    <w:rsid w:val="009E152F"/>
    <w:rsid w:val="009E432C"/>
    <w:rsid w:val="009E57AB"/>
    <w:rsid w:val="009F38C6"/>
    <w:rsid w:val="009F3D93"/>
    <w:rsid w:val="009F4026"/>
    <w:rsid w:val="00A007F5"/>
    <w:rsid w:val="00A01161"/>
    <w:rsid w:val="00A02FD4"/>
    <w:rsid w:val="00A044DB"/>
    <w:rsid w:val="00A10399"/>
    <w:rsid w:val="00A112B7"/>
    <w:rsid w:val="00A114EA"/>
    <w:rsid w:val="00A14938"/>
    <w:rsid w:val="00A15CA2"/>
    <w:rsid w:val="00A23722"/>
    <w:rsid w:val="00A24EBD"/>
    <w:rsid w:val="00A25004"/>
    <w:rsid w:val="00A272BB"/>
    <w:rsid w:val="00A27814"/>
    <w:rsid w:val="00A36289"/>
    <w:rsid w:val="00A37F41"/>
    <w:rsid w:val="00A40772"/>
    <w:rsid w:val="00A40D8D"/>
    <w:rsid w:val="00A42A51"/>
    <w:rsid w:val="00A42E30"/>
    <w:rsid w:val="00A44D69"/>
    <w:rsid w:val="00A46D09"/>
    <w:rsid w:val="00A51991"/>
    <w:rsid w:val="00A524BF"/>
    <w:rsid w:val="00A5565E"/>
    <w:rsid w:val="00A55BDD"/>
    <w:rsid w:val="00A57A10"/>
    <w:rsid w:val="00A61B04"/>
    <w:rsid w:val="00A61C4C"/>
    <w:rsid w:val="00A61CF3"/>
    <w:rsid w:val="00A64847"/>
    <w:rsid w:val="00A64E97"/>
    <w:rsid w:val="00A65379"/>
    <w:rsid w:val="00A70CE5"/>
    <w:rsid w:val="00A7532A"/>
    <w:rsid w:val="00A75588"/>
    <w:rsid w:val="00A80770"/>
    <w:rsid w:val="00A8168A"/>
    <w:rsid w:val="00A8177E"/>
    <w:rsid w:val="00A834FA"/>
    <w:rsid w:val="00A835C7"/>
    <w:rsid w:val="00A85AB2"/>
    <w:rsid w:val="00A93984"/>
    <w:rsid w:val="00A95A6B"/>
    <w:rsid w:val="00A95BB6"/>
    <w:rsid w:val="00A97DEC"/>
    <w:rsid w:val="00AB0B7B"/>
    <w:rsid w:val="00AB15CF"/>
    <w:rsid w:val="00AB1707"/>
    <w:rsid w:val="00AB23C1"/>
    <w:rsid w:val="00AB4879"/>
    <w:rsid w:val="00AB5710"/>
    <w:rsid w:val="00AB5CD9"/>
    <w:rsid w:val="00AB60C3"/>
    <w:rsid w:val="00AB65BB"/>
    <w:rsid w:val="00AB7FD3"/>
    <w:rsid w:val="00AC079A"/>
    <w:rsid w:val="00AC1052"/>
    <w:rsid w:val="00AC4D97"/>
    <w:rsid w:val="00AC73D7"/>
    <w:rsid w:val="00AD061D"/>
    <w:rsid w:val="00AD23ED"/>
    <w:rsid w:val="00AD348B"/>
    <w:rsid w:val="00AD36AA"/>
    <w:rsid w:val="00AD508B"/>
    <w:rsid w:val="00AD5CB3"/>
    <w:rsid w:val="00AD74AE"/>
    <w:rsid w:val="00AE0971"/>
    <w:rsid w:val="00AE122B"/>
    <w:rsid w:val="00AF01AB"/>
    <w:rsid w:val="00AF61D0"/>
    <w:rsid w:val="00AF647C"/>
    <w:rsid w:val="00B01AEE"/>
    <w:rsid w:val="00B03517"/>
    <w:rsid w:val="00B06ABD"/>
    <w:rsid w:val="00B16BF7"/>
    <w:rsid w:val="00B233D2"/>
    <w:rsid w:val="00B23AF3"/>
    <w:rsid w:val="00B25C27"/>
    <w:rsid w:val="00B26F6B"/>
    <w:rsid w:val="00B30849"/>
    <w:rsid w:val="00B327DA"/>
    <w:rsid w:val="00B32F18"/>
    <w:rsid w:val="00B337AB"/>
    <w:rsid w:val="00B35A9D"/>
    <w:rsid w:val="00B37CA5"/>
    <w:rsid w:val="00B47AEB"/>
    <w:rsid w:val="00B51C39"/>
    <w:rsid w:val="00B51EFA"/>
    <w:rsid w:val="00B536F8"/>
    <w:rsid w:val="00B54BD0"/>
    <w:rsid w:val="00B61E89"/>
    <w:rsid w:val="00B6322E"/>
    <w:rsid w:val="00B66342"/>
    <w:rsid w:val="00B668B2"/>
    <w:rsid w:val="00B67E91"/>
    <w:rsid w:val="00B75D05"/>
    <w:rsid w:val="00B80238"/>
    <w:rsid w:val="00B804E8"/>
    <w:rsid w:val="00B87B8A"/>
    <w:rsid w:val="00B87EDC"/>
    <w:rsid w:val="00B9558A"/>
    <w:rsid w:val="00BA21E9"/>
    <w:rsid w:val="00BA22B3"/>
    <w:rsid w:val="00BA4A1D"/>
    <w:rsid w:val="00BA7C42"/>
    <w:rsid w:val="00BB18D0"/>
    <w:rsid w:val="00BB2BDA"/>
    <w:rsid w:val="00BB5441"/>
    <w:rsid w:val="00BC0817"/>
    <w:rsid w:val="00BC2147"/>
    <w:rsid w:val="00BC46E7"/>
    <w:rsid w:val="00BC5EA7"/>
    <w:rsid w:val="00BC7DFF"/>
    <w:rsid w:val="00BD24D0"/>
    <w:rsid w:val="00BD3000"/>
    <w:rsid w:val="00BD3AAB"/>
    <w:rsid w:val="00BD4734"/>
    <w:rsid w:val="00BD79BD"/>
    <w:rsid w:val="00BE1A5F"/>
    <w:rsid w:val="00BE1DBF"/>
    <w:rsid w:val="00BE2410"/>
    <w:rsid w:val="00BE71B5"/>
    <w:rsid w:val="00BF0531"/>
    <w:rsid w:val="00BF5B61"/>
    <w:rsid w:val="00BF6352"/>
    <w:rsid w:val="00C033B0"/>
    <w:rsid w:val="00C078B9"/>
    <w:rsid w:val="00C11816"/>
    <w:rsid w:val="00C151E9"/>
    <w:rsid w:val="00C17D56"/>
    <w:rsid w:val="00C21C05"/>
    <w:rsid w:val="00C2217D"/>
    <w:rsid w:val="00C2549B"/>
    <w:rsid w:val="00C26667"/>
    <w:rsid w:val="00C27A84"/>
    <w:rsid w:val="00C32ACC"/>
    <w:rsid w:val="00C40553"/>
    <w:rsid w:val="00C408D1"/>
    <w:rsid w:val="00C42FE7"/>
    <w:rsid w:val="00C50C3D"/>
    <w:rsid w:val="00C529EA"/>
    <w:rsid w:val="00C539F3"/>
    <w:rsid w:val="00C54250"/>
    <w:rsid w:val="00C56F4E"/>
    <w:rsid w:val="00C6667A"/>
    <w:rsid w:val="00C7124E"/>
    <w:rsid w:val="00C724A5"/>
    <w:rsid w:val="00C74B05"/>
    <w:rsid w:val="00C77E6D"/>
    <w:rsid w:val="00C8070B"/>
    <w:rsid w:val="00C80C7C"/>
    <w:rsid w:val="00C82023"/>
    <w:rsid w:val="00C836C6"/>
    <w:rsid w:val="00C85ED8"/>
    <w:rsid w:val="00C8663F"/>
    <w:rsid w:val="00C91CAB"/>
    <w:rsid w:val="00C94600"/>
    <w:rsid w:val="00C94F3B"/>
    <w:rsid w:val="00C9550D"/>
    <w:rsid w:val="00CA0E4A"/>
    <w:rsid w:val="00CA2256"/>
    <w:rsid w:val="00CA5432"/>
    <w:rsid w:val="00CA7CE4"/>
    <w:rsid w:val="00CB0260"/>
    <w:rsid w:val="00CB6027"/>
    <w:rsid w:val="00CC0A9D"/>
    <w:rsid w:val="00CC3267"/>
    <w:rsid w:val="00CC3A4D"/>
    <w:rsid w:val="00CC57A2"/>
    <w:rsid w:val="00CD2A7B"/>
    <w:rsid w:val="00CD654C"/>
    <w:rsid w:val="00CD76F2"/>
    <w:rsid w:val="00CE4469"/>
    <w:rsid w:val="00CE52EA"/>
    <w:rsid w:val="00CF2BF7"/>
    <w:rsid w:val="00CF6D4D"/>
    <w:rsid w:val="00CF753D"/>
    <w:rsid w:val="00CF75FC"/>
    <w:rsid w:val="00CF7BCC"/>
    <w:rsid w:val="00D03B38"/>
    <w:rsid w:val="00D06AFB"/>
    <w:rsid w:val="00D07560"/>
    <w:rsid w:val="00D075DF"/>
    <w:rsid w:val="00D16653"/>
    <w:rsid w:val="00D17C9E"/>
    <w:rsid w:val="00D17E19"/>
    <w:rsid w:val="00D207AB"/>
    <w:rsid w:val="00D22E1B"/>
    <w:rsid w:val="00D278CF"/>
    <w:rsid w:val="00D3015E"/>
    <w:rsid w:val="00D30D25"/>
    <w:rsid w:val="00D32134"/>
    <w:rsid w:val="00D34641"/>
    <w:rsid w:val="00D40B03"/>
    <w:rsid w:val="00D40D1E"/>
    <w:rsid w:val="00D4252E"/>
    <w:rsid w:val="00D4292C"/>
    <w:rsid w:val="00D44AC9"/>
    <w:rsid w:val="00D45BBC"/>
    <w:rsid w:val="00D468F6"/>
    <w:rsid w:val="00D54784"/>
    <w:rsid w:val="00D55823"/>
    <w:rsid w:val="00D570F3"/>
    <w:rsid w:val="00D601CE"/>
    <w:rsid w:val="00D6073B"/>
    <w:rsid w:val="00D62607"/>
    <w:rsid w:val="00D6610C"/>
    <w:rsid w:val="00D6646A"/>
    <w:rsid w:val="00D66A1D"/>
    <w:rsid w:val="00D717BD"/>
    <w:rsid w:val="00D74C75"/>
    <w:rsid w:val="00D7573A"/>
    <w:rsid w:val="00D81822"/>
    <w:rsid w:val="00D81AEA"/>
    <w:rsid w:val="00D8296B"/>
    <w:rsid w:val="00D91AA8"/>
    <w:rsid w:val="00D93977"/>
    <w:rsid w:val="00D9594C"/>
    <w:rsid w:val="00D97FBD"/>
    <w:rsid w:val="00DA04F3"/>
    <w:rsid w:val="00DA27E6"/>
    <w:rsid w:val="00DA2950"/>
    <w:rsid w:val="00DA2AF2"/>
    <w:rsid w:val="00DA2FAE"/>
    <w:rsid w:val="00DA439A"/>
    <w:rsid w:val="00DA5409"/>
    <w:rsid w:val="00DA6F0C"/>
    <w:rsid w:val="00DB6AB0"/>
    <w:rsid w:val="00DC0C4C"/>
    <w:rsid w:val="00DC5A6F"/>
    <w:rsid w:val="00DD098A"/>
    <w:rsid w:val="00DD2319"/>
    <w:rsid w:val="00DD562F"/>
    <w:rsid w:val="00DE2A43"/>
    <w:rsid w:val="00DE6412"/>
    <w:rsid w:val="00DE7BDD"/>
    <w:rsid w:val="00DF1BEE"/>
    <w:rsid w:val="00DF1C9B"/>
    <w:rsid w:val="00DF36A8"/>
    <w:rsid w:val="00DF3C42"/>
    <w:rsid w:val="00E04E86"/>
    <w:rsid w:val="00E06870"/>
    <w:rsid w:val="00E109B2"/>
    <w:rsid w:val="00E1201E"/>
    <w:rsid w:val="00E12815"/>
    <w:rsid w:val="00E17565"/>
    <w:rsid w:val="00E20283"/>
    <w:rsid w:val="00E21119"/>
    <w:rsid w:val="00E2169E"/>
    <w:rsid w:val="00E22090"/>
    <w:rsid w:val="00E23DD4"/>
    <w:rsid w:val="00E25041"/>
    <w:rsid w:val="00E25B3B"/>
    <w:rsid w:val="00E25F3D"/>
    <w:rsid w:val="00E2782D"/>
    <w:rsid w:val="00E32483"/>
    <w:rsid w:val="00E36B50"/>
    <w:rsid w:val="00E40A7B"/>
    <w:rsid w:val="00E40FFE"/>
    <w:rsid w:val="00E411D9"/>
    <w:rsid w:val="00E412E3"/>
    <w:rsid w:val="00E41567"/>
    <w:rsid w:val="00E43B51"/>
    <w:rsid w:val="00E4616D"/>
    <w:rsid w:val="00E468A2"/>
    <w:rsid w:val="00E52858"/>
    <w:rsid w:val="00E54928"/>
    <w:rsid w:val="00E57ADA"/>
    <w:rsid w:val="00E62064"/>
    <w:rsid w:val="00E67F3C"/>
    <w:rsid w:val="00E737A0"/>
    <w:rsid w:val="00E80FB1"/>
    <w:rsid w:val="00E83542"/>
    <w:rsid w:val="00E85683"/>
    <w:rsid w:val="00E92BD7"/>
    <w:rsid w:val="00E943AF"/>
    <w:rsid w:val="00E965B5"/>
    <w:rsid w:val="00EA0B1E"/>
    <w:rsid w:val="00EA1826"/>
    <w:rsid w:val="00EA55A1"/>
    <w:rsid w:val="00EA7057"/>
    <w:rsid w:val="00EB07F8"/>
    <w:rsid w:val="00EB2182"/>
    <w:rsid w:val="00EB4217"/>
    <w:rsid w:val="00EB6870"/>
    <w:rsid w:val="00EB6A45"/>
    <w:rsid w:val="00EB6AFF"/>
    <w:rsid w:val="00EC2E74"/>
    <w:rsid w:val="00ED153F"/>
    <w:rsid w:val="00ED1E83"/>
    <w:rsid w:val="00ED20D7"/>
    <w:rsid w:val="00EE1C24"/>
    <w:rsid w:val="00EE769B"/>
    <w:rsid w:val="00EE799C"/>
    <w:rsid w:val="00EF225D"/>
    <w:rsid w:val="00EF5268"/>
    <w:rsid w:val="00F07C2C"/>
    <w:rsid w:val="00F111C9"/>
    <w:rsid w:val="00F121B9"/>
    <w:rsid w:val="00F14A03"/>
    <w:rsid w:val="00F152D2"/>
    <w:rsid w:val="00F1782D"/>
    <w:rsid w:val="00F21A6E"/>
    <w:rsid w:val="00F21C19"/>
    <w:rsid w:val="00F22B5C"/>
    <w:rsid w:val="00F2335F"/>
    <w:rsid w:val="00F26619"/>
    <w:rsid w:val="00F2661B"/>
    <w:rsid w:val="00F30D6B"/>
    <w:rsid w:val="00F3413C"/>
    <w:rsid w:val="00F359B8"/>
    <w:rsid w:val="00F36109"/>
    <w:rsid w:val="00F36462"/>
    <w:rsid w:val="00F373B7"/>
    <w:rsid w:val="00F40C87"/>
    <w:rsid w:val="00F41F6A"/>
    <w:rsid w:val="00F41FCD"/>
    <w:rsid w:val="00F43F5D"/>
    <w:rsid w:val="00F4572B"/>
    <w:rsid w:val="00F47C09"/>
    <w:rsid w:val="00F56F92"/>
    <w:rsid w:val="00F60DA3"/>
    <w:rsid w:val="00F63630"/>
    <w:rsid w:val="00F63CDF"/>
    <w:rsid w:val="00F70581"/>
    <w:rsid w:val="00F70A21"/>
    <w:rsid w:val="00F70D90"/>
    <w:rsid w:val="00F71E0D"/>
    <w:rsid w:val="00F7787A"/>
    <w:rsid w:val="00F820A2"/>
    <w:rsid w:val="00F83471"/>
    <w:rsid w:val="00F876A3"/>
    <w:rsid w:val="00F9107F"/>
    <w:rsid w:val="00F9119C"/>
    <w:rsid w:val="00F9207A"/>
    <w:rsid w:val="00F93A1C"/>
    <w:rsid w:val="00F94EA2"/>
    <w:rsid w:val="00FA1F3A"/>
    <w:rsid w:val="00FA2776"/>
    <w:rsid w:val="00FA2EFA"/>
    <w:rsid w:val="00FA4BC8"/>
    <w:rsid w:val="00FA4E6D"/>
    <w:rsid w:val="00FB2720"/>
    <w:rsid w:val="00FB4976"/>
    <w:rsid w:val="00FC0849"/>
    <w:rsid w:val="00FC7B31"/>
    <w:rsid w:val="00FD13B6"/>
    <w:rsid w:val="00FD1A6C"/>
    <w:rsid w:val="00FD3BDF"/>
    <w:rsid w:val="00FD7238"/>
    <w:rsid w:val="00FD7F4C"/>
    <w:rsid w:val="00FE61D9"/>
    <w:rsid w:val="00FF64C3"/>
    <w:rsid w:val="00FF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33668"/>
  <w15:docId w15:val="{6B33378B-4648-4B34-B54A-C9613A93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78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7E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2950"/>
    <w:pPr>
      <w:keepNext/>
      <w:keepLines/>
      <w:spacing w:before="40" w:after="0" w:line="276" w:lineRule="auto"/>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unhideWhenUsed/>
    <w:qFormat/>
    <w:rsid w:val="00EE769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E769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2950"/>
    <w:rPr>
      <w:rFonts w:asciiTheme="majorHAnsi" w:eastAsiaTheme="majorEastAsia" w:hAnsiTheme="majorHAnsi" w:cstheme="majorBidi"/>
      <w:i/>
      <w:iCs/>
      <w:color w:val="2F5496" w:themeColor="accent1" w:themeShade="BF"/>
      <w:lang w:eastAsia="en-US"/>
    </w:rPr>
  </w:style>
  <w:style w:type="character" w:styleId="FootnoteReference">
    <w:name w:val="footnote reference"/>
    <w:uiPriority w:val="99"/>
    <w:semiHidden/>
    <w:rsid w:val="00DA2950"/>
    <w:rPr>
      <w:vertAlign w:val="superscript"/>
    </w:rPr>
  </w:style>
  <w:style w:type="paragraph" w:styleId="FootnoteText">
    <w:name w:val="footnote text"/>
    <w:basedOn w:val="Normal"/>
    <w:link w:val="FootnoteTextChar"/>
    <w:uiPriority w:val="99"/>
    <w:semiHidden/>
    <w:rsid w:val="00DA2950"/>
    <w:pPr>
      <w:spacing w:after="0" w:line="240" w:lineRule="auto"/>
    </w:pPr>
    <w:rPr>
      <w:rFonts w:ascii="Courier" w:eastAsia="MS Mincho" w:hAnsi="Courier" w:cs="Times New Roman"/>
      <w:sz w:val="20"/>
      <w:szCs w:val="20"/>
      <w:lang w:eastAsia="en-US"/>
    </w:rPr>
  </w:style>
  <w:style w:type="character" w:customStyle="1" w:styleId="FootnoteTextChar">
    <w:name w:val="Footnote Text Char"/>
    <w:basedOn w:val="DefaultParagraphFont"/>
    <w:link w:val="FootnoteText"/>
    <w:uiPriority w:val="99"/>
    <w:semiHidden/>
    <w:rsid w:val="00DA2950"/>
    <w:rPr>
      <w:rFonts w:ascii="Courier" w:eastAsia="MS Mincho" w:hAnsi="Courier" w:cs="Times New Roman"/>
      <w:sz w:val="20"/>
      <w:szCs w:val="20"/>
      <w:lang w:eastAsia="en-US"/>
    </w:rPr>
  </w:style>
  <w:style w:type="paragraph" w:styleId="Subtitle">
    <w:name w:val="Subtitle"/>
    <w:basedOn w:val="Normal"/>
    <w:link w:val="SubtitleChar"/>
    <w:uiPriority w:val="11"/>
    <w:qFormat/>
    <w:rsid w:val="00DA2950"/>
    <w:pPr>
      <w:tabs>
        <w:tab w:val="center" w:pos="4680"/>
        <w:tab w:val="left" w:pos="5040"/>
        <w:tab w:val="center" w:pos="5400"/>
      </w:tabs>
      <w:spacing w:after="0" w:line="240" w:lineRule="auto"/>
      <w:jc w:val="center"/>
    </w:pPr>
    <w:rPr>
      <w:rFonts w:ascii="Times New Roman" w:eastAsia="Times New Roman" w:hAnsi="Times New Roman" w:cs="Times New Roman"/>
      <w:b/>
      <w:sz w:val="24"/>
      <w:szCs w:val="24"/>
      <w:lang w:eastAsia="en-US"/>
    </w:rPr>
  </w:style>
  <w:style w:type="character" w:customStyle="1" w:styleId="SubtitleChar">
    <w:name w:val="Subtitle Char"/>
    <w:basedOn w:val="DefaultParagraphFont"/>
    <w:link w:val="Subtitle"/>
    <w:uiPriority w:val="11"/>
    <w:rsid w:val="00DA2950"/>
    <w:rPr>
      <w:rFonts w:ascii="Times New Roman" w:eastAsia="Times New Roman" w:hAnsi="Times New Roman" w:cs="Times New Roman"/>
      <w:b/>
      <w:sz w:val="24"/>
      <w:szCs w:val="24"/>
      <w:lang w:eastAsia="en-US"/>
    </w:rPr>
  </w:style>
  <w:style w:type="table" w:styleId="TableGrid">
    <w:name w:val="Table Grid"/>
    <w:basedOn w:val="TableNormal"/>
    <w:uiPriority w:val="59"/>
    <w:rsid w:val="00DA295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Ha,Heading3,Indent Paragraph,LIST OF TABLES.,List Bullet Mary,List Paragraph nowy,List bullet,Numbered List Paragraph,body bullets,heading 6,lp1,references,References"/>
    <w:basedOn w:val="Normal"/>
    <w:link w:val="ListParagraphChar"/>
    <w:uiPriority w:val="34"/>
    <w:qFormat/>
    <w:rsid w:val="00780D62"/>
    <w:pPr>
      <w:ind w:left="720"/>
      <w:contextualSpacing/>
    </w:pPr>
  </w:style>
  <w:style w:type="paragraph" w:styleId="Header">
    <w:name w:val="header"/>
    <w:basedOn w:val="Normal"/>
    <w:link w:val="HeaderChar"/>
    <w:uiPriority w:val="99"/>
    <w:unhideWhenUsed/>
    <w:rsid w:val="00DA2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F2"/>
  </w:style>
  <w:style w:type="paragraph" w:styleId="Footer">
    <w:name w:val="footer"/>
    <w:basedOn w:val="Normal"/>
    <w:link w:val="FooterChar"/>
    <w:uiPriority w:val="99"/>
    <w:unhideWhenUsed/>
    <w:rsid w:val="00DA2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F2"/>
  </w:style>
  <w:style w:type="paragraph" w:customStyle="1" w:styleId="Default">
    <w:name w:val="Default"/>
    <w:rsid w:val="00A653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Ha Char,Heading3 Char,Indent Paragraph Char,LIST OF TABLES. Char,List Bullet Mary Char,List Paragraph nowy Char,List bullet Char,body bullets Char"/>
    <w:link w:val="ListParagraph"/>
    <w:uiPriority w:val="34"/>
    <w:locked/>
    <w:rsid w:val="00913E9F"/>
  </w:style>
  <w:style w:type="table" w:customStyle="1" w:styleId="TableGrid1">
    <w:name w:val="Table Grid1"/>
    <w:basedOn w:val="TableNormal"/>
    <w:next w:val="TableGrid"/>
    <w:uiPriority w:val="39"/>
    <w:rsid w:val="00913E9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2EA6"/>
    <w:rPr>
      <w:sz w:val="16"/>
      <w:szCs w:val="16"/>
    </w:rPr>
  </w:style>
  <w:style w:type="paragraph" w:styleId="CommentText">
    <w:name w:val="annotation text"/>
    <w:basedOn w:val="Normal"/>
    <w:link w:val="CommentTextChar"/>
    <w:uiPriority w:val="99"/>
    <w:semiHidden/>
    <w:unhideWhenUsed/>
    <w:rsid w:val="00112EA6"/>
    <w:pPr>
      <w:spacing w:line="240" w:lineRule="auto"/>
    </w:pPr>
    <w:rPr>
      <w:sz w:val="20"/>
      <w:szCs w:val="20"/>
    </w:rPr>
  </w:style>
  <w:style w:type="character" w:customStyle="1" w:styleId="CommentTextChar">
    <w:name w:val="Comment Text Char"/>
    <w:basedOn w:val="DefaultParagraphFont"/>
    <w:link w:val="CommentText"/>
    <w:uiPriority w:val="99"/>
    <w:semiHidden/>
    <w:rsid w:val="00112EA6"/>
    <w:rPr>
      <w:sz w:val="20"/>
      <w:szCs w:val="20"/>
    </w:rPr>
  </w:style>
  <w:style w:type="paragraph" w:styleId="CommentSubject">
    <w:name w:val="annotation subject"/>
    <w:basedOn w:val="CommentText"/>
    <w:next w:val="CommentText"/>
    <w:link w:val="CommentSubjectChar"/>
    <w:uiPriority w:val="99"/>
    <w:semiHidden/>
    <w:unhideWhenUsed/>
    <w:rsid w:val="00112EA6"/>
    <w:rPr>
      <w:b/>
      <w:bCs/>
    </w:rPr>
  </w:style>
  <w:style w:type="character" w:customStyle="1" w:styleId="CommentSubjectChar">
    <w:name w:val="Comment Subject Char"/>
    <w:basedOn w:val="CommentTextChar"/>
    <w:link w:val="CommentSubject"/>
    <w:uiPriority w:val="99"/>
    <w:semiHidden/>
    <w:rsid w:val="00112EA6"/>
    <w:rPr>
      <w:b/>
      <w:bCs/>
      <w:sz w:val="20"/>
      <w:szCs w:val="20"/>
    </w:rPr>
  </w:style>
  <w:style w:type="paragraph" w:styleId="BalloonText">
    <w:name w:val="Balloon Text"/>
    <w:basedOn w:val="Normal"/>
    <w:link w:val="BalloonTextChar"/>
    <w:uiPriority w:val="99"/>
    <w:semiHidden/>
    <w:unhideWhenUsed/>
    <w:rsid w:val="0011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A6"/>
    <w:rPr>
      <w:rFonts w:ascii="Segoe UI" w:hAnsi="Segoe UI" w:cs="Segoe UI"/>
      <w:sz w:val="18"/>
      <w:szCs w:val="18"/>
    </w:rPr>
  </w:style>
  <w:style w:type="paragraph" w:styleId="NormalWeb">
    <w:name w:val="Normal (Web)"/>
    <w:basedOn w:val="Normal"/>
    <w:uiPriority w:val="99"/>
    <w:semiHidden/>
    <w:unhideWhenUsed/>
    <w:rsid w:val="00C2666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F7787A"/>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E769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E769B"/>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7D7E9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66A1D"/>
    <w:rPr>
      <w:rFonts w:asciiTheme="majorHAnsi" w:eastAsiaTheme="majorEastAsia" w:hAnsiTheme="majorHAnsi" w:cstheme="majorBidi"/>
      <w:color w:val="2F5496" w:themeColor="accent1" w:themeShade="BF"/>
      <w:sz w:val="32"/>
      <w:szCs w:val="32"/>
    </w:rPr>
  </w:style>
  <w:style w:type="paragraph" w:customStyle="1" w:styleId="Body">
    <w:name w:val="Body"/>
    <w:rsid w:val="00D66A1D"/>
    <w:pPr>
      <w:pBdr>
        <w:top w:val="nil"/>
        <w:left w:val="nil"/>
        <w:bottom w:val="nil"/>
        <w:right w:val="nil"/>
        <w:between w:val="nil"/>
        <w:bar w:val="nil"/>
      </w:pBdr>
    </w:pPr>
    <w:rPr>
      <w:rFonts w:ascii="Calibri" w:eastAsia="Calibri" w:hAnsi="Calibri" w:cs="Calibri"/>
      <w:color w:val="000000"/>
      <w:u w:color="000000"/>
      <w:bdr w:val="nil"/>
      <w:lang w:eastAsia="en-US"/>
    </w:rPr>
  </w:style>
  <w:style w:type="paragraph" w:customStyle="1" w:styleId="ToRsJointFund">
    <w:name w:val="ToRs Joint Fund"/>
    <w:basedOn w:val="Normal"/>
    <w:link w:val="ToRsJointFundChar"/>
    <w:qFormat/>
    <w:rsid w:val="00D66A1D"/>
    <w:pPr>
      <w:tabs>
        <w:tab w:val="left" w:pos="540"/>
        <w:tab w:val="left" w:pos="864"/>
        <w:tab w:val="left" w:pos="1584"/>
        <w:tab w:val="left" w:pos="2304"/>
      </w:tabs>
      <w:suppressAutoHyphens/>
      <w:spacing w:after="120" w:line="276" w:lineRule="auto"/>
    </w:pPr>
    <w:rPr>
      <w:rFonts w:ascii="Times New Roman" w:eastAsia="Calibri" w:hAnsi="Times New Roman" w:cs="Times New Roman"/>
      <w:b/>
      <w:bCs/>
      <w:iCs/>
      <w:spacing w:val="-2"/>
      <w:lang w:eastAsia="en-US"/>
    </w:rPr>
  </w:style>
  <w:style w:type="character" w:customStyle="1" w:styleId="ToRsJointFundChar">
    <w:name w:val="ToRs Joint Fund Char"/>
    <w:basedOn w:val="DefaultParagraphFont"/>
    <w:link w:val="ToRsJointFund"/>
    <w:rsid w:val="00D66A1D"/>
    <w:rPr>
      <w:rFonts w:ascii="Times New Roman" w:eastAsia="Calibri" w:hAnsi="Times New Roman" w:cs="Times New Roman"/>
      <w:b/>
      <w:bCs/>
      <w:iCs/>
      <w:spacing w:val="-2"/>
      <w:lang w:eastAsia="en-US"/>
    </w:rPr>
  </w:style>
  <w:style w:type="paragraph" w:styleId="TOC1">
    <w:name w:val="toc 1"/>
    <w:basedOn w:val="Normal"/>
    <w:next w:val="Normal"/>
    <w:autoRedefine/>
    <w:uiPriority w:val="39"/>
    <w:unhideWhenUsed/>
    <w:rsid w:val="00B54BD0"/>
    <w:pPr>
      <w:spacing w:after="100"/>
    </w:pPr>
  </w:style>
  <w:style w:type="paragraph" w:styleId="TOC2">
    <w:name w:val="toc 2"/>
    <w:basedOn w:val="Normal"/>
    <w:next w:val="Normal"/>
    <w:autoRedefine/>
    <w:uiPriority w:val="39"/>
    <w:unhideWhenUsed/>
    <w:rsid w:val="00B54BD0"/>
    <w:pPr>
      <w:spacing w:after="100"/>
      <w:ind w:left="220"/>
    </w:pPr>
  </w:style>
  <w:style w:type="paragraph" w:styleId="TOC3">
    <w:name w:val="toc 3"/>
    <w:basedOn w:val="Normal"/>
    <w:next w:val="Normal"/>
    <w:autoRedefine/>
    <w:uiPriority w:val="39"/>
    <w:unhideWhenUsed/>
    <w:rsid w:val="00B54BD0"/>
    <w:pPr>
      <w:tabs>
        <w:tab w:val="right" w:pos="9350"/>
      </w:tabs>
      <w:spacing w:after="100"/>
      <w:ind w:left="440"/>
    </w:pPr>
    <w:rPr>
      <w:noProof/>
    </w:rPr>
  </w:style>
  <w:style w:type="paragraph" w:styleId="TOC4">
    <w:name w:val="toc 4"/>
    <w:basedOn w:val="Normal"/>
    <w:next w:val="Normal"/>
    <w:autoRedefine/>
    <w:uiPriority w:val="39"/>
    <w:unhideWhenUsed/>
    <w:rsid w:val="00B54BD0"/>
    <w:pPr>
      <w:spacing w:after="100"/>
      <w:ind w:left="660"/>
    </w:pPr>
  </w:style>
  <w:style w:type="paragraph" w:styleId="TOC6">
    <w:name w:val="toc 6"/>
    <w:basedOn w:val="Normal"/>
    <w:next w:val="Normal"/>
    <w:autoRedefine/>
    <w:uiPriority w:val="39"/>
    <w:unhideWhenUsed/>
    <w:rsid w:val="00B54BD0"/>
    <w:pPr>
      <w:spacing w:after="100"/>
      <w:ind w:left="1100"/>
    </w:pPr>
  </w:style>
  <w:style w:type="character" w:styleId="Hyperlink">
    <w:name w:val="Hyperlink"/>
    <w:basedOn w:val="DefaultParagraphFont"/>
    <w:uiPriority w:val="99"/>
    <w:unhideWhenUsed/>
    <w:rsid w:val="00B54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88834">
      <w:bodyDiv w:val="1"/>
      <w:marLeft w:val="0"/>
      <w:marRight w:val="0"/>
      <w:marTop w:val="0"/>
      <w:marBottom w:val="0"/>
      <w:divBdr>
        <w:top w:val="none" w:sz="0" w:space="0" w:color="auto"/>
        <w:left w:val="none" w:sz="0" w:space="0" w:color="auto"/>
        <w:bottom w:val="none" w:sz="0" w:space="0" w:color="auto"/>
        <w:right w:val="none" w:sz="0" w:space="0" w:color="auto"/>
      </w:divBdr>
    </w:div>
    <w:div w:id="628704451">
      <w:bodyDiv w:val="1"/>
      <w:marLeft w:val="0"/>
      <w:marRight w:val="0"/>
      <w:marTop w:val="0"/>
      <w:marBottom w:val="0"/>
      <w:divBdr>
        <w:top w:val="none" w:sz="0" w:space="0" w:color="auto"/>
        <w:left w:val="none" w:sz="0" w:space="0" w:color="auto"/>
        <w:bottom w:val="none" w:sz="0" w:space="0" w:color="auto"/>
        <w:right w:val="none" w:sz="0" w:space="0" w:color="auto"/>
      </w:divBdr>
      <w:divsChild>
        <w:div w:id="281813025">
          <w:marLeft w:val="274"/>
          <w:marRight w:val="0"/>
          <w:marTop w:val="0"/>
          <w:marBottom w:val="0"/>
          <w:divBdr>
            <w:top w:val="none" w:sz="0" w:space="0" w:color="auto"/>
            <w:left w:val="none" w:sz="0" w:space="0" w:color="auto"/>
            <w:bottom w:val="none" w:sz="0" w:space="0" w:color="auto"/>
            <w:right w:val="none" w:sz="0" w:space="0" w:color="auto"/>
          </w:divBdr>
        </w:div>
      </w:divsChild>
    </w:div>
    <w:div w:id="699622499">
      <w:bodyDiv w:val="1"/>
      <w:marLeft w:val="0"/>
      <w:marRight w:val="0"/>
      <w:marTop w:val="0"/>
      <w:marBottom w:val="0"/>
      <w:divBdr>
        <w:top w:val="none" w:sz="0" w:space="0" w:color="auto"/>
        <w:left w:val="none" w:sz="0" w:space="0" w:color="auto"/>
        <w:bottom w:val="none" w:sz="0" w:space="0" w:color="auto"/>
        <w:right w:val="none" w:sz="0" w:space="0" w:color="auto"/>
      </w:divBdr>
    </w:div>
    <w:div w:id="785999988">
      <w:bodyDiv w:val="1"/>
      <w:marLeft w:val="0"/>
      <w:marRight w:val="0"/>
      <w:marTop w:val="0"/>
      <w:marBottom w:val="0"/>
      <w:divBdr>
        <w:top w:val="none" w:sz="0" w:space="0" w:color="auto"/>
        <w:left w:val="none" w:sz="0" w:space="0" w:color="auto"/>
        <w:bottom w:val="none" w:sz="0" w:space="0" w:color="auto"/>
        <w:right w:val="none" w:sz="0" w:space="0" w:color="auto"/>
      </w:divBdr>
      <w:divsChild>
        <w:div w:id="127207789">
          <w:marLeft w:val="274"/>
          <w:marRight w:val="0"/>
          <w:marTop w:val="0"/>
          <w:marBottom w:val="0"/>
          <w:divBdr>
            <w:top w:val="none" w:sz="0" w:space="0" w:color="auto"/>
            <w:left w:val="none" w:sz="0" w:space="0" w:color="auto"/>
            <w:bottom w:val="none" w:sz="0" w:space="0" w:color="auto"/>
            <w:right w:val="none" w:sz="0" w:space="0" w:color="auto"/>
          </w:divBdr>
        </w:div>
      </w:divsChild>
    </w:div>
    <w:div w:id="822308602">
      <w:bodyDiv w:val="1"/>
      <w:marLeft w:val="0"/>
      <w:marRight w:val="0"/>
      <w:marTop w:val="0"/>
      <w:marBottom w:val="0"/>
      <w:divBdr>
        <w:top w:val="none" w:sz="0" w:space="0" w:color="auto"/>
        <w:left w:val="none" w:sz="0" w:space="0" w:color="auto"/>
        <w:bottom w:val="none" w:sz="0" w:space="0" w:color="auto"/>
        <w:right w:val="none" w:sz="0" w:space="0" w:color="auto"/>
      </w:divBdr>
      <w:divsChild>
        <w:div w:id="165244746">
          <w:marLeft w:val="547"/>
          <w:marRight w:val="0"/>
          <w:marTop w:val="0"/>
          <w:marBottom w:val="0"/>
          <w:divBdr>
            <w:top w:val="none" w:sz="0" w:space="0" w:color="auto"/>
            <w:left w:val="none" w:sz="0" w:space="0" w:color="auto"/>
            <w:bottom w:val="none" w:sz="0" w:space="0" w:color="auto"/>
            <w:right w:val="none" w:sz="0" w:space="0" w:color="auto"/>
          </w:divBdr>
        </w:div>
        <w:div w:id="274680531">
          <w:marLeft w:val="547"/>
          <w:marRight w:val="0"/>
          <w:marTop w:val="0"/>
          <w:marBottom w:val="0"/>
          <w:divBdr>
            <w:top w:val="none" w:sz="0" w:space="0" w:color="auto"/>
            <w:left w:val="none" w:sz="0" w:space="0" w:color="auto"/>
            <w:bottom w:val="none" w:sz="0" w:space="0" w:color="auto"/>
            <w:right w:val="none" w:sz="0" w:space="0" w:color="auto"/>
          </w:divBdr>
        </w:div>
        <w:div w:id="515072775">
          <w:marLeft w:val="547"/>
          <w:marRight w:val="0"/>
          <w:marTop w:val="0"/>
          <w:marBottom w:val="0"/>
          <w:divBdr>
            <w:top w:val="none" w:sz="0" w:space="0" w:color="auto"/>
            <w:left w:val="none" w:sz="0" w:space="0" w:color="auto"/>
            <w:bottom w:val="none" w:sz="0" w:space="0" w:color="auto"/>
            <w:right w:val="none" w:sz="0" w:space="0" w:color="auto"/>
          </w:divBdr>
        </w:div>
        <w:div w:id="1035080373">
          <w:marLeft w:val="547"/>
          <w:marRight w:val="0"/>
          <w:marTop w:val="0"/>
          <w:marBottom w:val="160"/>
          <w:divBdr>
            <w:top w:val="none" w:sz="0" w:space="0" w:color="auto"/>
            <w:left w:val="none" w:sz="0" w:space="0" w:color="auto"/>
            <w:bottom w:val="none" w:sz="0" w:space="0" w:color="auto"/>
            <w:right w:val="none" w:sz="0" w:space="0" w:color="auto"/>
          </w:divBdr>
        </w:div>
        <w:div w:id="1062020616">
          <w:marLeft w:val="547"/>
          <w:marRight w:val="0"/>
          <w:marTop w:val="0"/>
          <w:marBottom w:val="0"/>
          <w:divBdr>
            <w:top w:val="none" w:sz="0" w:space="0" w:color="auto"/>
            <w:left w:val="none" w:sz="0" w:space="0" w:color="auto"/>
            <w:bottom w:val="none" w:sz="0" w:space="0" w:color="auto"/>
            <w:right w:val="none" w:sz="0" w:space="0" w:color="auto"/>
          </w:divBdr>
        </w:div>
        <w:div w:id="1307199684">
          <w:marLeft w:val="547"/>
          <w:marRight w:val="0"/>
          <w:marTop w:val="0"/>
          <w:marBottom w:val="0"/>
          <w:divBdr>
            <w:top w:val="none" w:sz="0" w:space="0" w:color="auto"/>
            <w:left w:val="none" w:sz="0" w:space="0" w:color="auto"/>
            <w:bottom w:val="none" w:sz="0" w:space="0" w:color="auto"/>
            <w:right w:val="none" w:sz="0" w:space="0" w:color="auto"/>
          </w:divBdr>
        </w:div>
        <w:div w:id="1371144927">
          <w:marLeft w:val="547"/>
          <w:marRight w:val="0"/>
          <w:marTop w:val="0"/>
          <w:marBottom w:val="0"/>
          <w:divBdr>
            <w:top w:val="none" w:sz="0" w:space="0" w:color="auto"/>
            <w:left w:val="none" w:sz="0" w:space="0" w:color="auto"/>
            <w:bottom w:val="none" w:sz="0" w:space="0" w:color="auto"/>
            <w:right w:val="none" w:sz="0" w:space="0" w:color="auto"/>
          </w:divBdr>
        </w:div>
        <w:div w:id="1559321917">
          <w:marLeft w:val="547"/>
          <w:marRight w:val="0"/>
          <w:marTop w:val="0"/>
          <w:marBottom w:val="160"/>
          <w:divBdr>
            <w:top w:val="none" w:sz="0" w:space="0" w:color="auto"/>
            <w:left w:val="none" w:sz="0" w:space="0" w:color="auto"/>
            <w:bottom w:val="none" w:sz="0" w:space="0" w:color="auto"/>
            <w:right w:val="none" w:sz="0" w:space="0" w:color="auto"/>
          </w:divBdr>
        </w:div>
        <w:div w:id="1729719593">
          <w:marLeft w:val="547"/>
          <w:marRight w:val="0"/>
          <w:marTop w:val="0"/>
          <w:marBottom w:val="0"/>
          <w:divBdr>
            <w:top w:val="none" w:sz="0" w:space="0" w:color="auto"/>
            <w:left w:val="none" w:sz="0" w:space="0" w:color="auto"/>
            <w:bottom w:val="none" w:sz="0" w:space="0" w:color="auto"/>
            <w:right w:val="none" w:sz="0" w:space="0" w:color="auto"/>
          </w:divBdr>
        </w:div>
      </w:divsChild>
    </w:div>
    <w:div w:id="1242787007">
      <w:bodyDiv w:val="1"/>
      <w:marLeft w:val="0"/>
      <w:marRight w:val="0"/>
      <w:marTop w:val="0"/>
      <w:marBottom w:val="0"/>
      <w:divBdr>
        <w:top w:val="none" w:sz="0" w:space="0" w:color="auto"/>
        <w:left w:val="none" w:sz="0" w:space="0" w:color="auto"/>
        <w:bottom w:val="none" w:sz="0" w:space="0" w:color="auto"/>
        <w:right w:val="none" w:sz="0" w:space="0" w:color="auto"/>
      </w:divBdr>
    </w:div>
    <w:div w:id="1289815555">
      <w:bodyDiv w:val="1"/>
      <w:marLeft w:val="0"/>
      <w:marRight w:val="0"/>
      <w:marTop w:val="0"/>
      <w:marBottom w:val="0"/>
      <w:divBdr>
        <w:top w:val="none" w:sz="0" w:space="0" w:color="auto"/>
        <w:left w:val="none" w:sz="0" w:space="0" w:color="auto"/>
        <w:bottom w:val="none" w:sz="0" w:space="0" w:color="auto"/>
        <w:right w:val="none" w:sz="0" w:space="0" w:color="auto"/>
      </w:divBdr>
    </w:div>
    <w:div w:id="1332680611">
      <w:bodyDiv w:val="1"/>
      <w:marLeft w:val="0"/>
      <w:marRight w:val="0"/>
      <w:marTop w:val="0"/>
      <w:marBottom w:val="0"/>
      <w:divBdr>
        <w:top w:val="none" w:sz="0" w:space="0" w:color="auto"/>
        <w:left w:val="none" w:sz="0" w:space="0" w:color="auto"/>
        <w:bottom w:val="none" w:sz="0" w:space="0" w:color="auto"/>
        <w:right w:val="none" w:sz="0" w:space="0" w:color="auto"/>
      </w:divBdr>
    </w:div>
    <w:div w:id="1336807026">
      <w:bodyDiv w:val="1"/>
      <w:marLeft w:val="0"/>
      <w:marRight w:val="0"/>
      <w:marTop w:val="0"/>
      <w:marBottom w:val="0"/>
      <w:divBdr>
        <w:top w:val="none" w:sz="0" w:space="0" w:color="auto"/>
        <w:left w:val="none" w:sz="0" w:space="0" w:color="auto"/>
        <w:bottom w:val="none" w:sz="0" w:space="0" w:color="auto"/>
        <w:right w:val="none" w:sz="0" w:space="0" w:color="auto"/>
      </w:divBdr>
    </w:div>
    <w:div w:id="1423183254">
      <w:bodyDiv w:val="1"/>
      <w:marLeft w:val="0"/>
      <w:marRight w:val="0"/>
      <w:marTop w:val="0"/>
      <w:marBottom w:val="0"/>
      <w:divBdr>
        <w:top w:val="none" w:sz="0" w:space="0" w:color="auto"/>
        <w:left w:val="none" w:sz="0" w:space="0" w:color="auto"/>
        <w:bottom w:val="none" w:sz="0" w:space="0" w:color="auto"/>
        <w:right w:val="none" w:sz="0" w:space="0" w:color="auto"/>
      </w:divBdr>
    </w:div>
    <w:div w:id="19673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ptf.undp.org" TargetMode="External"/><Relationship Id="rId18" Type="http://schemas.openxmlformats.org/officeDocument/2006/relationships/image" Target="cid:image001.jpg@01D480F2.2F3AF1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ptf.undp.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ptf.undp.o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esa/ffd/wp-content/uploads/2015/08/AAAA_Outcome.pdf" TargetMode="External"/><Relationship Id="rId14" Type="http://schemas.openxmlformats.org/officeDocument/2006/relationships/hyperlink" Target="http://mptf.undp.org/document/download/13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9F3C-5681-424D-8B93-42D3F86F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13370</Words>
  <Characters>76215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Chitose Noguchi</dc:creator>
  <cp:keywords/>
  <dc:description/>
  <cp:lastModifiedBy>Vivalda Poggiali</cp:lastModifiedBy>
  <cp:revision>5</cp:revision>
  <cp:lastPrinted>2018-11-16T22:37:00Z</cp:lastPrinted>
  <dcterms:created xsi:type="dcterms:W3CDTF">2018-11-21T20:38:00Z</dcterms:created>
  <dcterms:modified xsi:type="dcterms:W3CDTF">2018-11-21T20:42:00Z</dcterms:modified>
</cp:coreProperties>
</file>