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5D0A2A0"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9B3882">
        <w:rPr>
          <w:bCs/>
          <w:iCs/>
          <w:snapToGrid w:val="0"/>
        </w:rPr>
        <w:t>SOUTH SUDAN</w:t>
      </w:r>
    </w:p>
    <w:p w14:paraId="28AB750A" w14:textId="0B17DFFB"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E2765E">
        <w:rPr>
          <w:b/>
          <w:bCs/>
          <w:caps/>
        </w:rPr>
        <w:fldChar w:fldCharType="begin">
          <w:ffData>
            <w:name w:val="reporttype"/>
            <w:enabled/>
            <w:calcOnExit w:val="0"/>
            <w:ddList>
              <w:listEntry w:val="annual"/>
              <w:listEntry w:val="please select"/>
              <w:listEntry w:val="semi-annual"/>
              <w:listEntry w:val="final"/>
            </w:ddList>
          </w:ffData>
        </w:fldChar>
      </w:r>
      <w:bookmarkStart w:id="0" w:name="reporttype"/>
      <w:r w:rsidR="00E2765E">
        <w:rPr>
          <w:b/>
          <w:bCs/>
          <w:caps/>
        </w:rPr>
        <w:instrText xml:space="preserve"> FORMDROPDOWN </w:instrText>
      </w:r>
      <w:r w:rsidR="001E03EE">
        <w:rPr>
          <w:b/>
          <w:bCs/>
          <w:caps/>
        </w:rPr>
      </w:r>
      <w:r w:rsidR="001E03EE">
        <w:rPr>
          <w:b/>
          <w:bCs/>
          <w:caps/>
        </w:rPr>
        <w:fldChar w:fldCharType="separate"/>
      </w:r>
      <w:r w:rsidR="00E2765E">
        <w:rPr>
          <w:b/>
          <w:bCs/>
          <w:caps/>
        </w:rPr>
        <w:fldChar w:fldCharType="end"/>
      </w:r>
      <w:bookmarkEnd w:id="0"/>
    </w:p>
    <w:p w14:paraId="54B5CFAE" w14:textId="7804B397"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B3882">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4CC70D26"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AB7B04" w:rsidRPr="009B274F">
              <w:rPr>
                <w:rFonts w:ascii="Times New Roman" w:hAnsi="Times New Roman" w:cs="Times New Roman"/>
                <w:sz w:val="24"/>
                <w:szCs w:val="24"/>
              </w:rPr>
              <w:t>Breaking the Cycle of Violence -rehabilitating justice and accountability mechanisms for the transformation of survivors and perpetrators of violent conflict into change agents for peace</w:t>
            </w:r>
            <w:r w:rsidR="00AB7B04" w:rsidRPr="009B274F">
              <w:rPr>
                <w:rFonts w:ascii="Times New Roman" w:hAnsi="Times New Roman" w:cs="Times New Roman"/>
                <w:b/>
                <w:bCs/>
                <w:sz w:val="24"/>
                <w:szCs w:val="24"/>
              </w:rPr>
              <w:t>.     </w:t>
            </w:r>
          </w:p>
          <w:p w14:paraId="7336EAC3" w14:textId="5935AF89" w:rsidR="00793DE6" w:rsidRPr="00627A1C" w:rsidRDefault="00793DE6" w:rsidP="00793DE6">
            <w:pPr>
              <w:rPr>
                <w:b/>
              </w:rPr>
            </w:pPr>
            <w:r w:rsidRPr="00627A1C">
              <w:rPr>
                <w:b/>
              </w:rPr>
              <w:t xml:space="preserve">Project Number from MPTF-O Gateway: </w:t>
            </w:r>
            <w:r w:rsidR="00AB7B04">
              <w:rPr>
                <w:b/>
              </w:rPr>
              <w:fldChar w:fldCharType="begin">
                <w:ffData>
                  <w:name w:val="projtype"/>
                  <w:enabled/>
                  <w:calcOnExit w:val="0"/>
                  <w:ddList>
                    <w:listEntry w:val="please select"/>
                    <w:listEntry w:val="IRF"/>
                    <w:listEntry w:val="PRF"/>
                  </w:ddList>
                </w:ffData>
              </w:fldChar>
            </w:r>
            <w:bookmarkStart w:id="1" w:name="projtype"/>
            <w:r w:rsidR="00AB7B04">
              <w:rPr>
                <w:b/>
              </w:rPr>
              <w:instrText xml:space="preserve"> FORMDROPDOWN </w:instrText>
            </w:r>
            <w:r w:rsidR="001E03EE">
              <w:rPr>
                <w:b/>
              </w:rPr>
            </w:r>
            <w:r w:rsidR="001E03EE">
              <w:rPr>
                <w:b/>
              </w:rPr>
              <w:fldChar w:fldCharType="separate"/>
            </w:r>
            <w:r w:rsidR="00AB7B04">
              <w:rPr>
                <w:b/>
              </w:rPr>
              <w:fldChar w:fldCharType="end"/>
            </w:r>
            <w:bookmarkEnd w:id="1"/>
            <w:r w:rsidR="00A43B9C" w:rsidRPr="00627A1C">
              <w:rPr>
                <w:b/>
              </w:rPr>
              <w:t xml:space="preserve">   </w:t>
            </w:r>
            <w:r w:rsidR="00AB7B04">
              <w:rPr>
                <w:b/>
              </w:rPr>
              <w:t>00117921</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708D37EB"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1E03EE">
              <w:rPr>
                <w:rFonts w:ascii="Times New Roman" w:hAnsi="Times New Roman" w:cs="Times New Roman"/>
                <w:b/>
                <w:sz w:val="24"/>
                <w:szCs w:val="24"/>
              </w:rPr>
            </w:r>
            <w:r w:rsidR="001E03E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Pr>
                <w:rFonts w:ascii="Times New Roman" w:hAnsi="Times New Roman" w:cs="Times New Roman"/>
                <w:b/>
                <w:sz w:val="24"/>
                <w:szCs w:val="24"/>
              </w:rPr>
              <w:t>UNICEF</w:t>
            </w:r>
            <w:r w:rsidR="00A43B9C" w:rsidRPr="00627A1C">
              <w:rPr>
                <w:rFonts w:ascii="Times New Roman" w:hAnsi="Times New Roman" w:cs="Times New Roman"/>
                <w:b/>
                <w:sz w:val="24"/>
                <w:szCs w:val="24"/>
              </w:rPr>
              <w:t xml:space="preserve">  (</w:t>
            </w:r>
            <w:proofErr w:type="gramEnd"/>
            <w:r w:rsidR="00A43B9C" w:rsidRPr="00627A1C">
              <w:rPr>
                <w:rFonts w:ascii="Times New Roman" w:hAnsi="Times New Roman" w:cs="Times New Roman"/>
                <w:b/>
                <w:sz w:val="24"/>
                <w:szCs w:val="24"/>
              </w:rPr>
              <w:t>Convening Agency)</w:t>
            </w:r>
          </w:p>
          <w:p w14:paraId="50ED535B" w14:textId="29A7B8F0"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RUNO"/>
                    <w:listEntry w:val="please select"/>
                    <w:listEntry w:val="NUNO"/>
                  </w:ddList>
                </w:ffData>
              </w:fldChar>
            </w:r>
            <w:r>
              <w:rPr>
                <w:rFonts w:ascii="Times New Roman" w:hAnsi="Times New Roman" w:cs="Times New Roman"/>
                <w:b/>
                <w:sz w:val="24"/>
                <w:szCs w:val="24"/>
              </w:rPr>
              <w:instrText xml:space="preserve"> FORMDROPDOWN </w:instrText>
            </w:r>
            <w:r w:rsidR="001E03EE">
              <w:rPr>
                <w:rFonts w:ascii="Times New Roman" w:hAnsi="Times New Roman" w:cs="Times New Roman"/>
                <w:b/>
                <w:sz w:val="24"/>
                <w:szCs w:val="24"/>
              </w:rPr>
            </w:r>
            <w:r w:rsidR="001E03E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UNDP</w:t>
            </w:r>
          </w:p>
          <w:p w14:paraId="3BA3B1FC" w14:textId="691FFB6F" w:rsidR="00A43B9C" w:rsidRPr="00627A1C" w:rsidRDefault="00E2765E"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RUNO"/>
                    <w:listEntry w:val="please select"/>
                    <w:listEntry w:val="NUNO"/>
                  </w:ddList>
                </w:ffData>
              </w:fldChar>
            </w:r>
            <w:bookmarkStart w:id="2" w:name="recipeinttype"/>
            <w:r>
              <w:rPr>
                <w:rFonts w:ascii="Times New Roman" w:hAnsi="Times New Roman" w:cs="Times New Roman"/>
                <w:b/>
                <w:sz w:val="24"/>
                <w:szCs w:val="24"/>
              </w:rPr>
              <w:instrText xml:space="preserve"> FORMDROPDOWN </w:instrText>
            </w:r>
            <w:r w:rsidR="001E03EE">
              <w:rPr>
                <w:rFonts w:ascii="Times New Roman" w:hAnsi="Times New Roman" w:cs="Times New Roman"/>
                <w:b/>
                <w:sz w:val="24"/>
                <w:szCs w:val="24"/>
              </w:rPr>
            </w:r>
            <w:r w:rsidR="001E03EE">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OHCHR</w:t>
            </w:r>
          </w:p>
          <w:p w14:paraId="3BA0CDE8" w14:textId="5F52414E"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p>
        </w:tc>
      </w:tr>
      <w:tr w:rsidR="00793DE6" w:rsidRPr="00627A1C" w14:paraId="3B6DAA11" w14:textId="77777777" w:rsidTr="00F23D0F">
        <w:trPr>
          <w:trHeight w:val="368"/>
        </w:trPr>
        <w:tc>
          <w:tcPr>
            <w:tcW w:w="10080" w:type="dxa"/>
            <w:gridSpan w:val="2"/>
          </w:tcPr>
          <w:p w14:paraId="05BCD0D9" w14:textId="26E1AB59"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E2765E" w:rsidRPr="009B274F">
              <w:rPr>
                <w:bCs/>
                <w:iCs/>
                <w:snapToGrid w:val="0"/>
              </w:rPr>
              <w:t>4 October 2019</w:t>
            </w:r>
          </w:p>
          <w:p w14:paraId="37A4BB59" w14:textId="706F8859"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E2765E" w:rsidRPr="009B274F">
              <w:rPr>
                <w:bCs/>
                <w:iCs/>
                <w:snapToGrid w:val="0"/>
              </w:rPr>
              <w:t>4 October 20</w:t>
            </w:r>
            <w:r w:rsidR="00E2765E">
              <w:rPr>
                <w:bCs/>
                <w:iCs/>
                <w:snapToGrid w:val="0"/>
              </w:rPr>
              <w:t>21</w:t>
            </w:r>
            <w:r w:rsidR="0025220B" w:rsidRPr="00627A1C">
              <w:rPr>
                <w:bCs/>
                <w:iCs/>
                <w:snapToGrid w:val="0"/>
              </w:rPr>
              <w:t xml:space="preserve">   </w:t>
            </w:r>
          </w:p>
          <w:p w14:paraId="45B406BF" w14:textId="1183D452"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E2765E">
              <w:rPr>
                <w:bCs/>
                <w:iCs/>
                <w:snapToGrid w:val="0"/>
              </w:rPr>
              <w:fldChar w:fldCharType="begin">
                <w:ffData>
                  <w:name w:val="enddate"/>
                  <w:enabled/>
                  <w:calcOnExit w:val="0"/>
                  <w:ddList>
                    <w:listEntry w:val="No"/>
                    <w:listEntry w:val="please select"/>
                    <w:listEntry w:val="Yes"/>
                  </w:ddList>
                </w:ffData>
              </w:fldChar>
            </w:r>
            <w:bookmarkStart w:id="3" w:name="enddate"/>
            <w:r w:rsidR="00E2765E">
              <w:rPr>
                <w:bCs/>
                <w:iCs/>
                <w:snapToGrid w:val="0"/>
              </w:rPr>
              <w:instrText xml:space="preserve"> FORMDROPDOWN </w:instrText>
            </w:r>
            <w:r w:rsidR="001E03EE">
              <w:rPr>
                <w:bCs/>
                <w:iCs/>
                <w:snapToGrid w:val="0"/>
              </w:rPr>
            </w:r>
            <w:r w:rsidR="001E03EE">
              <w:rPr>
                <w:bCs/>
                <w:iCs/>
                <w:snapToGrid w:val="0"/>
              </w:rPr>
              <w:fldChar w:fldCharType="separate"/>
            </w:r>
            <w:r w:rsidR="00E2765E">
              <w:rPr>
                <w:bCs/>
                <w:iCs/>
                <w:snapToGrid w:val="0"/>
              </w:rPr>
              <w:fldChar w:fldCharType="end"/>
            </w:r>
            <w:bookmarkEnd w:id="3"/>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1E03EE">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4"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4"/>
          <w:p w14:paraId="0D6CD3C0" w14:textId="4143D3A2" w:rsidR="00793DE6" w:rsidRPr="00627A1C" w:rsidRDefault="00E2765E" w:rsidP="00F23D0F">
            <w:pPr>
              <w:rPr>
                <w:iCs/>
              </w:rPr>
            </w:pPr>
            <w:r>
              <w:rPr>
                <w:bCs/>
                <w:iCs/>
                <w:snapToGrid w:val="0"/>
              </w:rPr>
              <w:t>UNICEF</w:t>
            </w:r>
            <w:r w:rsidR="00006EC0" w:rsidRPr="00627A1C">
              <w:rPr>
                <w:bCs/>
                <w:iCs/>
                <w:snapToGrid w:val="0"/>
              </w:rPr>
              <w:t xml:space="preserve">   </w:t>
            </w:r>
            <w:r w:rsidR="00006EC0" w:rsidRPr="00627A1C">
              <w:rPr>
                <w:b/>
                <w:bCs/>
                <w:iCs/>
              </w:rPr>
              <w:t xml:space="preserve">                          </w:t>
            </w:r>
            <w:r>
              <w:rPr>
                <w:b/>
                <w:bCs/>
                <w:iCs/>
              </w:rPr>
              <w:t xml:space="preserve">            </w:t>
            </w:r>
            <w:r w:rsidR="00793DE6" w:rsidRPr="00627A1C">
              <w:rPr>
                <w:iCs/>
              </w:rPr>
              <w:t xml:space="preserve">$ </w:t>
            </w:r>
            <w:r>
              <w:rPr>
                <w:bCs/>
                <w:iCs/>
                <w:snapToGrid w:val="0"/>
              </w:rPr>
              <w:t>1,000,000</w:t>
            </w:r>
          </w:p>
          <w:p w14:paraId="23041C68" w14:textId="69DE0611" w:rsidR="00793DE6" w:rsidRPr="00627A1C" w:rsidRDefault="00E2765E"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UNDP</w:t>
            </w:r>
            <w:r w:rsidR="00C12D6A"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EC1D43">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Pr>
                <w:rFonts w:ascii="Times New Roman" w:hAnsi="Times New Roman" w:cs="Times New Roman"/>
                <w:sz w:val="24"/>
                <w:szCs w:val="24"/>
              </w:rPr>
              <w:t>2,000,000</w:t>
            </w:r>
          </w:p>
          <w:p w14:paraId="5E09328A" w14:textId="7749EB8A" w:rsidR="00793DE6"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00EC1D43">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00E2765E">
              <w:rPr>
                <w:rFonts w:ascii="Times New Roman" w:hAnsi="Times New Roman" w:cs="Times New Roman"/>
                <w:bCs/>
                <w:iCs/>
                <w:snapToGrid w:val="0"/>
                <w:sz w:val="24"/>
                <w:szCs w:val="24"/>
              </w:rPr>
              <w:t>3,000,000</w:t>
            </w:r>
            <w:r w:rsidR="00C12D6A" w:rsidRPr="00627A1C">
              <w:rPr>
                <w:rFonts w:ascii="Times New Roman" w:hAnsi="Times New Roman" w:cs="Times New Roman"/>
                <w:bCs/>
                <w:iCs/>
                <w:snapToGrid w:val="0"/>
                <w:sz w:val="24"/>
                <w:szCs w:val="24"/>
              </w:rPr>
              <w:t xml:space="preserve"> </w:t>
            </w:r>
          </w:p>
          <w:p w14:paraId="21E4CBF9" w14:textId="29B72289"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D91CB0">
              <w:rPr>
                <w:rFonts w:ascii="Times New Roman" w:hAnsi="Times New Roman" w:cs="Times New Roman"/>
                <w:bCs/>
                <w:iCs/>
                <w:snapToGrid w:val="0"/>
                <w:sz w:val="24"/>
                <w:szCs w:val="24"/>
              </w:rPr>
              <w:t>43 %</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24E204AD" w14:textId="77777777" w:rsidR="00AB7B04" w:rsidRPr="009B274F" w:rsidRDefault="00006EC0" w:rsidP="00AB7B04">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AB7B04">
              <w:t xml:space="preserve">900,000 USD (30 %) of the total project budget </w:t>
            </w:r>
          </w:p>
          <w:p w14:paraId="03A24537" w14:textId="6202EA43" w:rsidR="00970F4C" w:rsidRPr="00627A1C" w:rsidRDefault="00970F4C" w:rsidP="00006EC0"/>
          <w:p w14:paraId="0345EEE7" w14:textId="1BFA3A44" w:rsidR="00006EC0" w:rsidRPr="00627A1C" w:rsidRDefault="00006EC0" w:rsidP="00006EC0">
            <w:bookmarkStart w:id="5" w:name="_Hlk55400954"/>
            <w:r w:rsidRPr="00627A1C">
              <w:t>Amount expended to date on activities focussed on gender equality or women’s empowerment</w:t>
            </w:r>
            <w:bookmarkEnd w:id="5"/>
            <w:r w:rsidRPr="00627A1C">
              <w:t xml:space="preserve">: </w:t>
            </w:r>
            <w:r w:rsidR="00BA3100">
              <w:t>466,866.222 USD (expended/committed)</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61B845F3" w:rsidR="009B18EB" w:rsidRPr="00627A1C" w:rsidRDefault="009B18EB" w:rsidP="00F23D0F">
            <w:pPr>
              <w:rPr>
                <w:b/>
                <w:bCs/>
                <w:iCs/>
              </w:rPr>
            </w:pPr>
            <w:r w:rsidRPr="00627A1C">
              <w:rPr>
                <w:b/>
                <w:bCs/>
                <w:iCs/>
              </w:rPr>
              <w:t xml:space="preserve">Project Gender Marker: </w:t>
            </w:r>
            <w:r w:rsidR="00E2765E">
              <w:rPr>
                <w:b/>
                <w:bCs/>
                <w:iCs/>
              </w:rPr>
              <w:fldChar w:fldCharType="begin">
                <w:ffData>
                  <w:name w:val="gendermarker"/>
                  <w:enabled/>
                  <w:calcOnExit w:val="0"/>
                  <w:ddList>
                    <w:listEntry w:val="GM2"/>
                    <w:listEntry w:val="please select"/>
                    <w:listEntry w:val="GM3"/>
                    <w:listEntry w:val="GM1"/>
                  </w:ddList>
                </w:ffData>
              </w:fldChar>
            </w:r>
            <w:bookmarkStart w:id="6" w:name="gendermarker"/>
            <w:r w:rsidR="00E2765E">
              <w:rPr>
                <w:b/>
                <w:bCs/>
                <w:iCs/>
              </w:rPr>
              <w:instrText xml:space="preserve"> FORMDROPDOWN </w:instrText>
            </w:r>
            <w:r w:rsidR="001E03EE">
              <w:rPr>
                <w:b/>
                <w:bCs/>
                <w:iCs/>
              </w:rPr>
            </w:r>
            <w:r w:rsidR="001E03EE">
              <w:rPr>
                <w:b/>
                <w:bCs/>
                <w:iCs/>
              </w:rPr>
              <w:fldChar w:fldCharType="separate"/>
            </w:r>
            <w:r w:rsidR="00E2765E">
              <w:rPr>
                <w:b/>
                <w:bCs/>
                <w:iCs/>
              </w:rPr>
              <w:fldChar w:fldCharType="end"/>
            </w:r>
            <w:bookmarkEnd w:id="6"/>
          </w:p>
          <w:p w14:paraId="3A104835" w14:textId="2A2F9FCF" w:rsidR="009B18EB" w:rsidRPr="00627A1C" w:rsidRDefault="009B18EB" w:rsidP="00F23D0F">
            <w:pPr>
              <w:rPr>
                <w:b/>
                <w:bCs/>
                <w:iCs/>
              </w:rPr>
            </w:pPr>
            <w:r w:rsidRPr="00627A1C">
              <w:rPr>
                <w:b/>
                <w:bCs/>
                <w:iCs/>
              </w:rPr>
              <w:t xml:space="preserve">Project Risk Marker: </w:t>
            </w:r>
            <w:r w:rsidR="00E2765E">
              <w:rPr>
                <w:b/>
                <w:bCs/>
                <w:iCs/>
              </w:rPr>
              <w:fldChar w:fldCharType="begin">
                <w:ffData>
                  <w:name w:val="riskmarker"/>
                  <w:enabled/>
                  <w:calcOnExit w:val="0"/>
                  <w:ddList>
                    <w:listEntry w:val="Medium"/>
                    <w:listEntry w:val="please select"/>
                    <w:listEntry w:val="Low"/>
                    <w:listEntry w:val="High"/>
                  </w:ddList>
                </w:ffData>
              </w:fldChar>
            </w:r>
            <w:bookmarkStart w:id="7" w:name="riskmarker"/>
            <w:r w:rsidR="00E2765E">
              <w:rPr>
                <w:b/>
                <w:bCs/>
                <w:iCs/>
              </w:rPr>
              <w:instrText xml:space="preserve"> FORMDROPDOWN </w:instrText>
            </w:r>
            <w:r w:rsidR="001E03EE">
              <w:rPr>
                <w:b/>
                <w:bCs/>
                <w:iCs/>
              </w:rPr>
            </w:r>
            <w:r w:rsidR="001E03EE">
              <w:rPr>
                <w:b/>
                <w:bCs/>
                <w:iCs/>
              </w:rPr>
              <w:fldChar w:fldCharType="separate"/>
            </w:r>
            <w:r w:rsidR="00E2765E">
              <w:rPr>
                <w:b/>
                <w:bCs/>
                <w:iCs/>
              </w:rPr>
              <w:fldChar w:fldCharType="end"/>
            </w:r>
            <w:bookmarkEnd w:id="7"/>
          </w:p>
          <w:p w14:paraId="1DAEED2D" w14:textId="64388A96" w:rsidR="009B18EB" w:rsidRPr="00627A1C" w:rsidRDefault="009B18EB" w:rsidP="00F23D0F">
            <w:pPr>
              <w:rPr>
                <w:b/>
                <w:bCs/>
                <w:iCs/>
              </w:rPr>
            </w:pPr>
            <w:r w:rsidRPr="00627A1C">
              <w:rPr>
                <w:b/>
                <w:bCs/>
                <w:iCs/>
              </w:rPr>
              <w:t xml:space="preserve">Project PBF focus area: </w:t>
            </w:r>
            <w:r w:rsidR="00E2765E">
              <w:rPr>
                <w:b/>
                <w:bCs/>
                <w:iCs/>
              </w:rPr>
              <w:fldChar w:fldCharType="begin">
                <w:ffData>
                  <w:name w:val="focusarea"/>
                  <w:enabled/>
                  <w:calcOnExit w:val="0"/>
                  <w:ddList>
                    <w:listEntry w:val="Rule of Law"/>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8" w:name="focusarea"/>
            <w:r w:rsidR="00E2765E">
              <w:rPr>
                <w:b/>
                <w:bCs/>
                <w:iCs/>
              </w:rPr>
              <w:instrText xml:space="preserve"> FORMDROPDOWN </w:instrText>
            </w:r>
            <w:r w:rsidR="001E03EE">
              <w:rPr>
                <w:b/>
                <w:bCs/>
                <w:iCs/>
              </w:rPr>
            </w:r>
            <w:r w:rsidR="001E03EE">
              <w:rPr>
                <w:b/>
                <w:bCs/>
                <w:iCs/>
              </w:rPr>
              <w:fldChar w:fldCharType="separate"/>
            </w:r>
            <w:r w:rsidR="00E2765E">
              <w:rPr>
                <w:b/>
                <w:bCs/>
                <w:iCs/>
              </w:rPr>
              <w:fldChar w:fldCharType="end"/>
            </w:r>
            <w:bookmarkEnd w:id="8"/>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050F7685" w:rsidR="00793DE6" w:rsidRPr="00627A1C" w:rsidRDefault="00793DE6" w:rsidP="00793DE6">
            <w:r w:rsidRPr="00627A1C">
              <w:t xml:space="preserve">Project report prepared </w:t>
            </w:r>
            <w:proofErr w:type="gramStart"/>
            <w:r w:rsidRPr="00627A1C">
              <w:t>by:</w:t>
            </w:r>
            <w:proofErr w:type="gramEnd"/>
            <w:r w:rsidRPr="00627A1C">
              <w:t xml:space="preserve"> </w:t>
            </w:r>
            <w:r w:rsidR="00E2765E" w:rsidRPr="009B274F">
              <w:rPr>
                <w:bCs/>
                <w:iCs/>
                <w:snapToGrid w:val="0"/>
              </w:rPr>
              <w:t>UNICEF, UNDP and OHCHR</w:t>
            </w:r>
          </w:p>
          <w:p w14:paraId="6354F724" w14:textId="46D71300" w:rsidR="00793DE6" w:rsidRPr="00627A1C" w:rsidRDefault="00793DE6" w:rsidP="00793DE6">
            <w:r w:rsidRPr="00627A1C">
              <w:t xml:space="preserve">Project report approved by: </w:t>
            </w:r>
            <w:r w:rsidR="005462EB">
              <w:t>RCO, PBF Focal Point Benjamin</w:t>
            </w:r>
          </w:p>
          <w:p w14:paraId="4D99FC9D" w14:textId="219061C0" w:rsidR="00793DE6" w:rsidRPr="00627A1C" w:rsidRDefault="00793DE6" w:rsidP="001A3157">
            <w:r w:rsidRPr="00627A1C">
              <w:t xml:space="preserve">Did PBF Secretariat </w:t>
            </w:r>
            <w:r w:rsidR="009B18EB" w:rsidRPr="00627A1C">
              <w:t xml:space="preserve">review </w:t>
            </w:r>
            <w:r w:rsidRPr="00627A1C">
              <w:t xml:space="preserve">the report: </w:t>
            </w:r>
            <w:r w:rsidR="00E2765E">
              <w:fldChar w:fldCharType="begin">
                <w:ffData>
                  <w:name w:val="secretariatreview"/>
                  <w:enabled/>
                  <w:calcOnExit w:val="0"/>
                  <w:ddList>
                    <w:listEntry w:val="Yes"/>
                    <w:listEntry w:val="please select"/>
                    <w:listEntry w:val="No"/>
                  </w:ddList>
                </w:ffData>
              </w:fldChar>
            </w:r>
            <w:bookmarkStart w:id="9" w:name="secretariatreview"/>
            <w:r w:rsidR="00E2765E">
              <w:instrText xml:space="preserve"> FORMDROPDOWN </w:instrText>
            </w:r>
            <w:r w:rsidR="001E03EE">
              <w:fldChar w:fldCharType="separate"/>
            </w:r>
            <w:r w:rsidR="00E2765E">
              <w:fldChar w:fldCharType="end"/>
            </w:r>
            <w:bookmarkEnd w:id="9"/>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4FE5996F" w:rsidR="004C4F3B" w:rsidRDefault="006A07CA" w:rsidP="001A3157">
      <w:pPr>
        <w:numPr>
          <w:ilvl w:val="0"/>
          <w:numId w:val="44"/>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1A3157">
      <w:pPr>
        <w:numPr>
          <w:ilvl w:val="0"/>
          <w:numId w:val="44"/>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1EC08D41"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proofErr w:type="gramStart"/>
      <w:r w:rsidR="008364E5" w:rsidRPr="00627A1C">
        <w:t>i.e.</w:t>
      </w:r>
      <w:proofErr w:type="gramEnd"/>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(1</w:t>
      </w:r>
      <w:r w:rsidR="00521468" w:rsidRPr="00627A1C">
        <w:t>5</w:t>
      </w:r>
      <w:r w:rsidR="006A07CA" w:rsidRPr="00627A1C">
        <w:t>00 character limit)</w:t>
      </w:r>
      <w:r w:rsidR="007C304F" w:rsidRPr="00627A1C">
        <w:t xml:space="preserve">: </w:t>
      </w:r>
    </w:p>
    <w:p w14:paraId="5BF7CA62" w14:textId="66915ACE" w:rsidR="00C25206" w:rsidRDefault="00C25206" w:rsidP="007C304F">
      <w:pPr>
        <w:ind w:left="-810"/>
      </w:pPr>
    </w:p>
    <w:p w14:paraId="4F188A28" w14:textId="17C36730" w:rsidR="00C25206" w:rsidRPr="00C25206" w:rsidRDefault="000A2844" w:rsidP="003626D2">
      <w:pPr>
        <w:ind w:left="-810"/>
        <w:jc w:val="both"/>
        <w:rPr>
          <w:i/>
          <w:iCs/>
        </w:rPr>
      </w:pPr>
      <w:r>
        <w:rPr>
          <w:i/>
          <w:iCs/>
        </w:rPr>
        <w:t xml:space="preserve">The </w:t>
      </w:r>
      <w:r w:rsidR="00C25206" w:rsidRPr="00C25206">
        <w:rPr>
          <w:i/>
          <w:iCs/>
        </w:rPr>
        <w:t>selection and contracting of counterpart</w:t>
      </w:r>
      <w:r w:rsidR="003626D2">
        <w:rPr>
          <w:i/>
          <w:iCs/>
        </w:rPr>
        <w:t>s</w:t>
      </w:r>
      <w:r w:rsidR="00C25206" w:rsidRPr="00C25206">
        <w:rPr>
          <w:i/>
          <w:iCs/>
        </w:rPr>
        <w:t xml:space="preserve"> to strengthen the capacity and inclusion of survivors in dialogues for peace have been finalized</w:t>
      </w:r>
      <w:r w:rsidR="00D5458F">
        <w:rPr>
          <w:i/>
          <w:iCs/>
        </w:rPr>
        <w:t>; Smile Again Africa Development</w:t>
      </w:r>
      <w:r w:rsidR="003626D2">
        <w:rPr>
          <w:i/>
          <w:iCs/>
        </w:rPr>
        <w:t xml:space="preserve"> </w:t>
      </w:r>
      <w:r w:rsidR="003626D2" w:rsidRPr="00C25206">
        <w:rPr>
          <w:i/>
          <w:iCs/>
        </w:rPr>
        <w:t>(</w:t>
      </w:r>
      <w:bookmarkStart w:id="10" w:name="_Hlk55812414"/>
      <w:r w:rsidR="003626D2" w:rsidRPr="00C25206">
        <w:rPr>
          <w:i/>
          <w:iCs/>
        </w:rPr>
        <w:t>SAADO</w:t>
      </w:r>
      <w:r w:rsidR="00D5458F">
        <w:rPr>
          <w:i/>
          <w:iCs/>
        </w:rPr>
        <w:t>)</w:t>
      </w:r>
      <w:r w:rsidR="003626D2" w:rsidRPr="00C25206">
        <w:rPr>
          <w:i/>
          <w:iCs/>
        </w:rPr>
        <w:t>,</w:t>
      </w:r>
      <w:r w:rsidR="00D5458F">
        <w:rPr>
          <w:i/>
          <w:iCs/>
        </w:rPr>
        <w:t xml:space="preserve"> Universal Intervention and Development Organisation</w:t>
      </w:r>
      <w:r w:rsidR="003626D2" w:rsidRPr="00C25206">
        <w:rPr>
          <w:i/>
          <w:iCs/>
        </w:rPr>
        <w:t xml:space="preserve"> </w:t>
      </w:r>
      <w:r w:rsidR="00D5458F">
        <w:rPr>
          <w:i/>
          <w:iCs/>
        </w:rPr>
        <w:t>(</w:t>
      </w:r>
      <w:r w:rsidR="003626D2" w:rsidRPr="00C25206">
        <w:rPr>
          <w:i/>
          <w:iCs/>
        </w:rPr>
        <w:t>UNIDOR</w:t>
      </w:r>
      <w:r w:rsidR="00D5458F">
        <w:rPr>
          <w:i/>
          <w:iCs/>
        </w:rPr>
        <w:t>)</w:t>
      </w:r>
      <w:r w:rsidR="003626D2" w:rsidRPr="00C25206">
        <w:rPr>
          <w:i/>
          <w:iCs/>
        </w:rPr>
        <w:t>,</w:t>
      </w:r>
      <w:r w:rsidR="00D5458F">
        <w:rPr>
          <w:i/>
          <w:iCs/>
        </w:rPr>
        <w:t xml:space="preserve"> South Sudan Law Society</w:t>
      </w:r>
      <w:r w:rsidR="003626D2" w:rsidRPr="00C25206">
        <w:rPr>
          <w:i/>
          <w:iCs/>
        </w:rPr>
        <w:t xml:space="preserve"> </w:t>
      </w:r>
      <w:r w:rsidR="00D5458F">
        <w:rPr>
          <w:i/>
          <w:iCs/>
        </w:rPr>
        <w:t>(</w:t>
      </w:r>
      <w:r w:rsidR="003626D2" w:rsidRPr="00C25206">
        <w:rPr>
          <w:i/>
          <w:iCs/>
        </w:rPr>
        <w:t>SSLS</w:t>
      </w:r>
      <w:r w:rsidR="00D5458F">
        <w:rPr>
          <w:i/>
          <w:iCs/>
        </w:rPr>
        <w:t>) and Dialogue and Research Institute</w:t>
      </w:r>
      <w:r w:rsidR="003626D2" w:rsidRPr="00C25206">
        <w:rPr>
          <w:i/>
          <w:iCs/>
        </w:rPr>
        <w:t xml:space="preserve"> </w:t>
      </w:r>
      <w:r w:rsidR="00D5458F">
        <w:rPr>
          <w:i/>
          <w:iCs/>
        </w:rPr>
        <w:t>(</w:t>
      </w:r>
      <w:r w:rsidR="003626D2" w:rsidRPr="00C25206">
        <w:rPr>
          <w:i/>
          <w:iCs/>
        </w:rPr>
        <w:t>DRI</w:t>
      </w:r>
      <w:bookmarkEnd w:id="10"/>
      <w:r w:rsidR="003626D2" w:rsidRPr="00C25206">
        <w:rPr>
          <w:i/>
          <w:iCs/>
        </w:rPr>
        <w:t>)</w:t>
      </w:r>
      <w:r w:rsidR="00C25206" w:rsidRPr="00C25206">
        <w:rPr>
          <w:i/>
          <w:iCs/>
        </w:rPr>
        <w:t>. In Jonglei and Unity States, SAADO and UNIDOR have begun preliminary activities, including introductions to relevant project stakeholder</w:t>
      </w:r>
      <w:r w:rsidR="003626D2">
        <w:rPr>
          <w:i/>
          <w:iCs/>
        </w:rPr>
        <w:t>s</w:t>
      </w:r>
      <w:r w:rsidR="00C25206" w:rsidRPr="00C25206">
        <w:rPr>
          <w:i/>
          <w:iCs/>
        </w:rPr>
        <w:t xml:space="preserve"> and mapping/identification of target beneficiaries; SSLS and DRI are also in the process of launching activities shortly.  </w:t>
      </w:r>
    </w:p>
    <w:p w14:paraId="6C325449" w14:textId="77777777" w:rsidR="00C25206" w:rsidRPr="00C25206" w:rsidRDefault="00C25206" w:rsidP="003626D2">
      <w:pPr>
        <w:ind w:left="-810"/>
        <w:jc w:val="both"/>
        <w:rPr>
          <w:i/>
          <w:iCs/>
        </w:rPr>
      </w:pPr>
    </w:p>
    <w:p w14:paraId="526908CB" w14:textId="3ECB5263" w:rsidR="000A2844" w:rsidRDefault="00C25206" w:rsidP="003626D2">
      <w:pPr>
        <w:ind w:left="-810"/>
        <w:jc w:val="both"/>
        <w:rPr>
          <w:bCs/>
          <w:i/>
          <w:iCs/>
        </w:rPr>
      </w:pPr>
      <w:r w:rsidRPr="00C25206">
        <w:rPr>
          <w:rFonts w:eastAsia="Calibri"/>
          <w:bCs/>
          <w:i/>
          <w:iCs/>
          <w:lang w:val="en-US" w:eastAsia="fr-FR"/>
        </w:rPr>
        <w:t xml:space="preserve">In Bentiu and </w:t>
      </w:r>
      <w:proofErr w:type="spellStart"/>
      <w:r w:rsidRPr="00C25206">
        <w:rPr>
          <w:rFonts w:eastAsia="Calibri"/>
          <w:bCs/>
          <w:i/>
          <w:iCs/>
          <w:lang w:val="en-US" w:eastAsia="fr-FR"/>
        </w:rPr>
        <w:t>Rubkona</w:t>
      </w:r>
      <w:proofErr w:type="spellEnd"/>
      <w:r w:rsidRPr="00C25206">
        <w:rPr>
          <w:rFonts w:eastAsia="Calibri"/>
          <w:bCs/>
          <w:i/>
          <w:iCs/>
          <w:lang w:val="en-US" w:eastAsia="fr-FR"/>
        </w:rPr>
        <w:t xml:space="preserve">, the </w:t>
      </w:r>
      <w:r w:rsidR="000A2844">
        <w:rPr>
          <w:rFonts w:eastAsia="Calibri"/>
          <w:bCs/>
          <w:i/>
          <w:iCs/>
          <w:lang w:val="en-US" w:eastAsia="fr-FR"/>
        </w:rPr>
        <w:t>Civil Society Organization (</w:t>
      </w:r>
      <w:r w:rsidRPr="00C25206">
        <w:rPr>
          <w:rFonts w:eastAsia="Calibri"/>
          <w:bCs/>
          <w:i/>
          <w:iCs/>
          <w:lang w:val="en-US" w:eastAsia="fr-FR"/>
        </w:rPr>
        <w:t>CSO</w:t>
      </w:r>
      <w:r w:rsidR="000A2844">
        <w:rPr>
          <w:rFonts w:eastAsia="Calibri"/>
          <w:bCs/>
          <w:i/>
          <w:iCs/>
          <w:lang w:val="en-US" w:eastAsia="fr-FR"/>
        </w:rPr>
        <w:t>)</w:t>
      </w:r>
      <w:r w:rsidRPr="00C25206">
        <w:rPr>
          <w:rFonts w:eastAsia="Calibri"/>
          <w:bCs/>
          <w:i/>
          <w:iCs/>
          <w:lang w:val="en-US" w:eastAsia="fr-FR"/>
        </w:rPr>
        <w:t xml:space="preserve"> partner</w:t>
      </w:r>
      <w:r w:rsidRPr="00C25206">
        <w:rPr>
          <w:rFonts w:eastAsia="Calibri"/>
          <w:b/>
          <w:i/>
          <w:iCs/>
          <w:lang w:val="en-US" w:eastAsia="fr-FR"/>
        </w:rPr>
        <w:t xml:space="preserve"> </w:t>
      </w:r>
      <w:r w:rsidRPr="00C25206">
        <w:rPr>
          <w:i/>
          <w:iCs/>
        </w:rPr>
        <w:t xml:space="preserve">Hope Restoration South Sudan (HRSS) is implementing community policing activities as it seeks to empower </w:t>
      </w:r>
      <w:r w:rsidRPr="00C25206">
        <w:rPr>
          <w:bCs/>
          <w:i/>
          <w:iCs/>
          <w:lang w:val="en-US"/>
        </w:rPr>
        <w:t xml:space="preserve">people within their communities to respond to legal issues and engage with justice and related administrative systems more effectively. Another CSO, </w:t>
      </w:r>
      <w:r w:rsidRPr="00C25206">
        <w:rPr>
          <w:bCs/>
          <w:i/>
          <w:iCs/>
        </w:rPr>
        <w:t>Foundation for Democracy and Accountable Governance (FODAG), has been raising awareness on the rights of children to justice actors including judges, social workers, traditional leaders as well as for youth and women groups, CSOs and parents in Juba. Additionally, Hold the Child Organisation (HCO) is equally providing legal aid service for youth in Bor.</w:t>
      </w:r>
    </w:p>
    <w:p w14:paraId="30C511ED" w14:textId="659ED2B4" w:rsidR="00627A1C" w:rsidRPr="000A2844" w:rsidRDefault="000A2844" w:rsidP="003626D2">
      <w:pPr>
        <w:ind w:left="-810"/>
        <w:jc w:val="both"/>
        <w:rPr>
          <w:bCs/>
          <w:i/>
          <w:iCs/>
        </w:rPr>
      </w:pPr>
      <w:r>
        <w:rPr>
          <w:bCs/>
          <w:i/>
          <w:iCs/>
        </w:rPr>
        <w:br/>
        <w:t>The Ministry of Gender, Child and Social Welfare (MGCSW) and the Ministry of Justice and Constitutional Affairs (</w:t>
      </w:r>
      <w:proofErr w:type="spellStart"/>
      <w:r>
        <w:rPr>
          <w:bCs/>
          <w:i/>
          <w:iCs/>
        </w:rPr>
        <w:t>MoJCA</w:t>
      </w:r>
      <w:proofErr w:type="spellEnd"/>
      <w:r>
        <w:rPr>
          <w:bCs/>
          <w:i/>
          <w:iCs/>
        </w:rPr>
        <w:t xml:space="preserve">) were supported to initiate a monthly justice for children working group as a discussion and collaboration forum for relevant actors on matters related to children in contact with the law. </w:t>
      </w:r>
    </w:p>
    <w:p w14:paraId="134D7776" w14:textId="77777777" w:rsidR="00627A1C" w:rsidRPr="00627A1C" w:rsidRDefault="00627A1C" w:rsidP="00627A1C">
      <w:pPr>
        <w:ind w:left="-810"/>
      </w:pPr>
    </w:p>
    <w:p w14:paraId="1DEC97FD" w14:textId="3120BFAE" w:rsidR="00161D02"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50663766" w14:textId="7C681EF0" w:rsidR="0088230B" w:rsidRDefault="0088230B" w:rsidP="00627A1C">
      <w:pPr>
        <w:ind w:left="-810"/>
      </w:pPr>
    </w:p>
    <w:p w14:paraId="58687104" w14:textId="4F61D185" w:rsidR="0088230B" w:rsidRPr="0088230B" w:rsidRDefault="0088230B" w:rsidP="0088230B">
      <w:pPr>
        <w:ind w:left="-810"/>
        <w:jc w:val="both"/>
        <w:rPr>
          <w:i/>
          <w:iCs/>
        </w:rPr>
      </w:pPr>
      <w:r w:rsidRPr="0088230B">
        <w:rPr>
          <w:i/>
          <w:iCs/>
        </w:rPr>
        <w:t>Project-related events will include state-level forums, dialogues</w:t>
      </w:r>
      <w:r>
        <w:rPr>
          <w:i/>
          <w:iCs/>
        </w:rPr>
        <w:t xml:space="preserve"> and</w:t>
      </w:r>
      <w:r w:rsidRPr="0088230B">
        <w:rPr>
          <w:i/>
          <w:iCs/>
        </w:rPr>
        <w:t xml:space="preserve"> engagement symposiums on </w:t>
      </w:r>
      <w:r w:rsidR="001C2AE3">
        <w:rPr>
          <w:i/>
          <w:iCs/>
        </w:rPr>
        <w:t>transitional justice</w:t>
      </w:r>
      <w:r w:rsidRPr="0088230B">
        <w:rPr>
          <w:i/>
          <w:iCs/>
        </w:rPr>
        <w:t xml:space="preserve"> issues, as well as events organised by survivor networks, dramas</w:t>
      </w:r>
      <w:r>
        <w:rPr>
          <w:i/>
          <w:iCs/>
        </w:rPr>
        <w:t>,</w:t>
      </w:r>
      <w:r w:rsidRPr="0088230B">
        <w:rPr>
          <w:i/>
          <w:iCs/>
        </w:rPr>
        <w:t xml:space="preserve"> radio talk shows and human rights education activities. </w:t>
      </w:r>
    </w:p>
    <w:p w14:paraId="415DFBB9" w14:textId="77777777" w:rsidR="0088230B" w:rsidRDefault="0088230B" w:rsidP="0088230B">
      <w:pPr>
        <w:ind w:left="-810"/>
      </w:pPr>
    </w:p>
    <w:p w14:paraId="05C5B656" w14:textId="1227E081" w:rsidR="0088230B" w:rsidRDefault="000A2844" w:rsidP="0088230B">
      <w:pPr>
        <w:ind w:left="-810"/>
        <w:jc w:val="both"/>
      </w:pPr>
      <w:r w:rsidRPr="00150087">
        <w:rPr>
          <w:rFonts w:cstheme="minorHAnsi"/>
          <w:i/>
          <w:iCs/>
          <w:color w:val="000000"/>
          <w:lang w:eastAsia="ja-JP"/>
        </w:rPr>
        <w:t>Trainings will be conducted to strengthen the capacity of justice actors</w:t>
      </w:r>
      <w:r w:rsidR="00AB7B04">
        <w:rPr>
          <w:rFonts w:cstheme="minorHAnsi"/>
          <w:i/>
          <w:iCs/>
          <w:color w:val="000000"/>
          <w:lang w:eastAsia="ja-JP"/>
        </w:rPr>
        <w:t>, both formal (judges, prosecutors, police officers) and informal (traditional leaders, religious leaders)</w:t>
      </w:r>
      <w:r w:rsidRPr="00150087">
        <w:rPr>
          <w:rFonts w:cstheme="minorHAnsi"/>
          <w:i/>
          <w:iCs/>
          <w:color w:val="000000"/>
          <w:lang w:eastAsia="ja-JP"/>
        </w:rPr>
        <w:t xml:space="preserve">. For example, traditional leaders will be trained on children’s rights and juvenile justice in Pibor and Aweil. </w:t>
      </w:r>
    </w:p>
    <w:p w14:paraId="093229F1" w14:textId="7FEE644C" w:rsidR="0088230B" w:rsidRDefault="0088230B" w:rsidP="0088230B">
      <w:pPr>
        <w:ind w:left="-810"/>
        <w:jc w:val="both"/>
      </w:pPr>
    </w:p>
    <w:p w14:paraId="58581468" w14:textId="6274F7A8" w:rsidR="000A2844" w:rsidRPr="00627A1C" w:rsidRDefault="000A2844" w:rsidP="00AB7B04">
      <w:pPr>
        <w:jc w:val="both"/>
      </w:pPr>
    </w:p>
    <w:p w14:paraId="6A70A7D2" w14:textId="008EFECC" w:rsidR="008C782A" w:rsidRDefault="008364E5" w:rsidP="001A1E86">
      <w:pPr>
        <w:ind w:left="-810" w:right="-154"/>
      </w:pPr>
      <w:r w:rsidRPr="00627A1C">
        <w:lastRenderedPageBreak/>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08D191A8" w14:textId="77777777" w:rsidR="00150087" w:rsidRPr="00627A1C" w:rsidRDefault="00150087" w:rsidP="001A1E86">
      <w:pPr>
        <w:ind w:left="-810" w:right="-154"/>
      </w:pPr>
    </w:p>
    <w:p w14:paraId="7EE304B1" w14:textId="3D414B39" w:rsidR="00411A5F" w:rsidRPr="00150087" w:rsidRDefault="00150087" w:rsidP="00D84A39">
      <w:pPr>
        <w:ind w:left="-810"/>
        <w:rPr>
          <w:i/>
          <w:iCs/>
        </w:rPr>
      </w:pPr>
      <w:r w:rsidRPr="00150087">
        <w:rPr>
          <w:i/>
          <w:iCs/>
        </w:rPr>
        <w:t>N/A</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proofErr w:type="gramStart"/>
      <w:r w:rsidR="001A3157" w:rsidRPr="00627A1C">
        <w:t>20</w:t>
      </w:r>
      <w:r w:rsidRPr="00627A1C">
        <w:t>00 character</w:t>
      </w:r>
      <w:proofErr w:type="gramEnd"/>
      <w:r w:rsidRPr="00627A1C">
        <w:t xml:space="preserve"> limit):</w:t>
      </w:r>
    </w:p>
    <w:p w14:paraId="7177D28C" w14:textId="77777777" w:rsidR="00150087" w:rsidRDefault="00150087" w:rsidP="00150087">
      <w:pPr>
        <w:ind w:left="-810"/>
      </w:pPr>
    </w:p>
    <w:p w14:paraId="328EAB1E" w14:textId="057DCA62" w:rsidR="00150087" w:rsidRPr="00150087" w:rsidRDefault="00150087" w:rsidP="009B3882">
      <w:pPr>
        <w:ind w:left="-810"/>
        <w:jc w:val="both"/>
        <w:rPr>
          <w:i/>
          <w:iCs/>
        </w:rPr>
      </w:pPr>
      <w:r w:rsidRPr="00150087">
        <w:rPr>
          <w:i/>
          <w:iCs/>
        </w:rPr>
        <w:t>As part of the community policing approach, HRSS has trained 25 (13 female</w:t>
      </w:r>
      <w:r>
        <w:rPr>
          <w:i/>
          <w:iCs/>
        </w:rPr>
        <w:t>s</w:t>
      </w:r>
      <w:r w:rsidRPr="00150087">
        <w:rPr>
          <w:i/>
          <w:iCs/>
        </w:rPr>
        <w:t>) youth leaders on ways that security can be improved by resolving everyday minor conflicts that at times have escalated to violence. The trained youth have formed youth committees with support from the local police in countering youth violence and addressing youth conflicts which includes</w:t>
      </w:r>
      <w:r w:rsidR="00E07CAD">
        <w:rPr>
          <w:i/>
          <w:iCs/>
        </w:rPr>
        <w:t xml:space="preserve"> disputes regarding</w:t>
      </w:r>
      <w:r w:rsidRPr="00150087">
        <w:rPr>
          <w:i/>
          <w:iCs/>
        </w:rPr>
        <w:t xml:space="preserve"> water point, tea places, family </w:t>
      </w:r>
      <w:r w:rsidR="00E07CAD">
        <w:rPr>
          <w:i/>
          <w:iCs/>
        </w:rPr>
        <w:t>matters</w:t>
      </w:r>
      <w:r w:rsidRPr="00150087">
        <w:rPr>
          <w:i/>
          <w:iCs/>
        </w:rPr>
        <w:t xml:space="preserve"> and child marriage. So far, the youth committee has had eight meetings in Bentiu and </w:t>
      </w:r>
      <w:proofErr w:type="spellStart"/>
      <w:r w:rsidRPr="00150087">
        <w:rPr>
          <w:i/>
          <w:iCs/>
        </w:rPr>
        <w:t>Rubkona</w:t>
      </w:r>
      <w:proofErr w:type="spellEnd"/>
      <w:r w:rsidRPr="00150087">
        <w:rPr>
          <w:i/>
          <w:iCs/>
        </w:rPr>
        <w:t xml:space="preserve"> town where 29 disputes have been recorded, and 13 disputes have been successfully resolved</w:t>
      </w:r>
      <w:r w:rsidR="00E07CAD">
        <w:rPr>
          <w:i/>
          <w:iCs/>
        </w:rPr>
        <w:t>.</w:t>
      </w:r>
      <w:r w:rsidRPr="00150087">
        <w:rPr>
          <w:i/>
          <w:iCs/>
        </w:rPr>
        <w:t xml:space="preserve"> Gai </w:t>
      </w:r>
      <w:proofErr w:type="spellStart"/>
      <w:r w:rsidRPr="00150087">
        <w:rPr>
          <w:i/>
          <w:iCs/>
        </w:rPr>
        <w:t>Monythorth</w:t>
      </w:r>
      <w:proofErr w:type="spellEnd"/>
      <w:r w:rsidR="008D7406">
        <w:rPr>
          <w:i/>
          <w:iCs/>
        </w:rPr>
        <w:t>,</w:t>
      </w:r>
      <w:r w:rsidRPr="00150087">
        <w:rPr>
          <w:i/>
          <w:iCs/>
        </w:rPr>
        <w:t xml:space="preserve"> a beneficiary of the youth training on PCRC and a member of the youth committees</w:t>
      </w:r>
      <w:r w:rsidR="008D7406">
        <w:rPr>
          <w:i/>
          <w:iCs/>
        </w:rPr>
        <w:t>,</w:t>
      </w:r>
      <w:r w:rsidRPr="00150087">
        <w:rPr>
          <w:i/>
          <w:iCs/>
        </w:rPr>
        <w:t xml:space="preserve"> acknowledge</w:t>
      </w:r>
      <w:r w:rsidR="008D7406">
        <w:rPr>
          <w:i/>
          <w:iCs/>
        </w:rPr>
        <w:t>s</w:t>
      </w:r>
      <w:r w:rsidRPr="00150087">
        <w:rPr>
          <w:i/>
          <w:iCs/>
        </w:rPr>
        <w:t xml:space="preserve"> the positive benefit of the trained committee members as they can counter youth violence and address disputes amongst themselves. Their efforts are contributing to a harmonious living environment, thereby fostering peace and development. He says, “I got involved in the project because I want to feel safe where I live. I also want my wife and my children to feel safe when she is doing her errands, and when the children are playing or going to school. Ever since the 2013 crisis, I got tired of hearing complaints from the youth because I could not help. After the community policing training in </w:t>
      </w:r>
      <w:proofErr w:type="spellStart"/>
      <w:r w:rsidRPr="00150087">
        <w:rPr>
          <w:i/>
          <w:iCs/>
        </w:rPr>
        <w:t>Rubkona</w:t>
      </w:r>
      <w:proofErr w:type="spellEnd"/>
      <w:r w:rsidRPr="00150087">
        <w:rPr>
          <w:i/>
          <w:iCs/>
        </w:rPr>
        <w:t xml:space="preserve">, I am now equipped with the knowledge to support my community to resolve youth violence to bring peace.” </w:t>
      </w: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EC1D43" w:rsidRDefault="00287878" w:rsidP="003D4CD7">
      <w:pPr>
        <w:ind w:left="-810"/>
        <w:rPr>
          <w:iCs/>
        </w:rPr>
      </w:pPr>
      <w:r w:rsidRPr="00EC1D43">
        <w:rPr>
          <w:iCs/>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EC1D43">
        <w:rPr>
          <w:iCs/>
        </w:rPr>
        <w:t>make/has</w:t>
      </w:r>
      <w:proofErr w:type="gramEnd"/>
      <w:r w:rsidRPr="00EC1D43">
        <w:rPr>
          <w:iCs/>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EC1D43" w:rsidRDefault="008364E5" w:rsidP="003D4CD7">
      <w:pPr>
        <w:ind w:left="-810"/>
        <w:rPr>
          <w:iCs/>
        </w:rPr>
      </w:pPr>
    </w:p>
    <w:p w14:paraId="503A73CA" w14:textId="77777777" w:rsidR="008364E5" w:rsidRPr="00EC1D43" w:rsidRDefault="008364E5" w:rsidP="007118F5">
      <w:pPr>
        <w:numPr>
          <w:ilvl w:val="0"/>
          <w:numId w:val="46"/>
        </w:numPr>
        <w:rPr>
          <w:iCs/>
        </w:rPr>
      </w:pPr>
      <w:r w:rsidRPr="00EC1D43">
        <w:rPr>
          <w:iCs/>
        </w:rPr>
        <w:t xml:space="preserve">“On track” refers to </w:t>
      </w:r>
      <w:r w:rsidR="007118F5" w:rsidRPr="00EC1D43">
        <w:rPr>
          <w:iCs/>
        </w:rPr>
        <w:t xml:space="preserve">the timely completion of outputs as indicated in the workplan. </w:t>
      </w:r>
    </w:p>
    <w:p w14:paraId="6D78EDB6" w14:textId="77777777" w:rsidR="007118F5" w:rsidRPr="00EC1D43" w:rsidRDefault="007118F5" w:rsidP="007118F5">
      <w:pPr>
        <w:numPr>
          <w:ilvl w:val="0"/>
          <w:numId w:val="46"/>
        </w:numPr>
        <w:rPr>
          <w:iCs/>
        </w:rPr>
      </w:pPr>
      <w:r w:rsidRPr="00EC1D43">
        <w:rPr>
          <w:iCs/>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EC1D43" w:rsidRDefault="00287878" w:rsidP="008364E5">
      <w:pPr>
        <w:rPr>
          <w:iCs/>
        </w:rPr>
      </w:pPr>
    </w:p>
    <w:p w14:paraId="00C1C1D9" w14:textId="77777777" w:rsidR="003D4CD7" w:rsidRPr="00EC1D43" w:rsidRDefault="00BA5D85" w:rsidP="003D4CD7">
      <w:pPr>
        <w:ind w:left="-810"/>
        <w:rPr>
          <w:iCs/>
        </w:rPr>
      </w:pPr>
      <w:r w:rsidRPr="00EC1D43">
        <w:rPr>
          <w:iCs/>
        </w:rPr>
        <w:t xml:space="preserve">If your project has more </w:t>
      </w:r>
      <w:r w:rsidR="00287878" w:rsidRPr="00EC1D43">
        <w:rPr>
          <w:iCs/>
        </w:rPr>
        <w:t xml:space="preserve">than four </w:t>
      </w:r>
      <w:r w:rsidRPr="00EC1D43">
        <w:rPr>
          <w:iCs/>
        </w:rPr>
        <w:t>outcomes, contact PBSO for template modification.</w:t>
      </w:r>
    </w:p>
    <w:p w14:paraId="243656BC" w14:textId="77777777" w:rsidR="003D4CD7" w:rsidRPr="00627A1C" w:rsidRDefault="003D4CD7" w:rsidP="0078600B">
      <w:pPr>
        <w:rPr>
          <w:b/>
          <w:u w:val="single"/>
        </w:rPr>
      </w:pPr>
    </w:p>
    <w:p w14:paraId="53AA26EA" w14:textId="518A9C0B"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E07CAD" w:rsidRPr="004B4D0F">
        <w:rPr>
          <w:b/>
        </w:rPr>
        <w:t xml:space="preserve">The engagement of children and youth in the target communities of Aweil, Juba </w:t>
      </w:r>
      <w:proofErr w:type="spellStart"/>
      <w:r w:rsidR="00E07CAD" w:rsidRPr="004B4D0F">
        <w:rPr>
          <w:b/>
        </w:rPr>
        <w:t>Bor</w:t>
      </w:r>
      <w:proofErr w:type="spellEnd"/>
      <w:r w:rsidR="00E07CAD" w:rsidRPr="004B4D0F">
        <w:rPr>
          <w:b/>
        </w:rPr>
        <w:t>/Pibor and Bentiu in dialogue and trust building mechanisms has increased and leads to a reduction in violence and conflict.</w:t>
      </w:r>
    </w:p>
    <w:p w14:paraId="41A3C253" w14:textId="77777777" w:rsidR="00D3351A" w:rsidRPr="00627A1C" w:rsidRDefault="00D3351A" w:rsidP="00323ABC">
      <w:pPr>
        <w:ind w:left="-720"/>
        <w:rPr>
          <w:b/>
        </w:rPr>
      </w:pPr>
    </w:p>
    <w:p w14:paraId="4262CE1B" w14:textId="4B5D32E7"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E07CAD">
        <w:rPr>
          <w:b/>
        </w:rPr>
        <w:fldChar w:fldCharType="begin">
          <w:ffData>
            <w:name w:val="Dropdown2"/>
            <w:enabled/>
            <w:calcOnExit w:val="0"/>
            <w:ddList>
              <w:listEntry w:val="on track"/>
              <w:listEntry w:val="Please select "/>
              <w:listEntry w:val="off track"/>
              <w:listEntry w:val="on track with significant peacebuilding results"/>
            </w:ddList>
          </w:ffData>
        </w:fldChar>
      </w:r>
      <w:bookmarkStart w:id="11" w:name="Dropdown2"/>
      <w:r w:rsidR="00E07CAD">
        <w:rPr>
          <w:b/>
        </w:rPr>
        <w:instrText xml:space="preserve"> FORMDROPDOWN </w:instrText>
      </w:r>
      <w:r w:rsidR="001E03EE">
        <w:rPr>
          <w:b/>
        </w:rPr>
      </w:r>
      <w:r w:rsidR="001E03EE">
        <w:rPr>
          <w:b/>
        </w:rPr>
        <w:fldChar w:fldCharType="separate"/>
      </w:r>
      <w:r w:rsidR="00E07CAD">
        <w:rPr>
          <w:b/>
        </w:rPr>
        <w:fldChar w:fldCharType="end"/>
      </w:r>
      <w:bookmarkEnd w:id="11"/>
      <w:r w:rsidR="000C5D57">
        <w:rPr>
          <w:b/>
        </w:rPr>
        <w:t xml:space="preserve"> </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lastRenderedPageBreak/>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7E3279A0" w14:textId="77777777" w:rsidR="001956CD" w:rsidRDefault="001956CD" w:rsidP="00E07CAD">
      <w:pPr>
        <w:ind w:left="-720"/>
        <w:jc w:val="both"/>
        <w:rPr>
          <w:bCs/>
        </w:rPr>
      </w:pPr>
    </w:p>
    <w:p w14:paraId="768F5C06" w14:textId="3BAD30B6" w:rsidR="001956CD" w:rsidRDefault="001956CD" w:rsidP="00E07CAD">
      <w:pPr>
        <w:ind w:left="-720"/>
        <w:jc w:val="both"/>
        <w:rPr>
          <w:i/>
          <w:iCs/>
        </w:rPr>
      </w:pPr>
      <w:r w:rsidRPr="00EC1D43">
        <w:rPr>
          <w:bCs/>
          <w:i/>
          <w:iCs/>
        </w:rPr>
        <w:t>P</w:t>
      </w:r>
      <w:r w:rsidRPr="009B274F">
        <w:rPr>
          <w:i/>
          <w:shd w:val="clear" w:color="auto" w:fill="FFFFFF"/>
        </w:rPr>
        <w:t>rogress towards this outcome</w:t>
      </w:r>
      <w:r>
        <w:rPr>
          <w:i/>
          <w:shd w:val="clear" w:color="auto" w:fill="FFFFFF"/>
        </w:rPr>
        <w:t xml:space="preserve"> </w:t>
      </w:r>
      <w:r w:rsidRPr="009B274F">
        <w:rPr>
          <w:i/>
          <w:shd w:val="clear" w:color="auto" w:fill="FFFFFF"/>
        </w:rPr>
        <w:t>is being made at different levels,</w:t>
      </w:r>
      <w:r w:rsidRPr="009B274F">
        <w:rPr>
          <w:i/>
          <w:iCs/>
        </w:rPr>
        <w:t xml:space="preserve"> </w:t>
      </w:r>
      <w:r>
        <w:rPr>
          <w:i/>
          <w:iCs/>
        </w:rPr>
        <w:t>based on indicators</w:t>
      </w:r>
      <w:r w:rsidRPr="009B274F">
        <w:rPr>
          <w:i/>
          <w:iCs/>
        </w:rPr>
        <w:t xml:space="preserve"> to increase </w:t>
      </w:r>
      <w:r>
        <w:rPr>
          <w:i/>
          <w:iCs/>
        </w:rPr>
        <w:t xml:space="preserve">target communities’ </w:t>
      </w:r>
      <w:r w:rsidRPr="009B274F">
        <w:rPr>
          <w:i/>
          <w:iCs/>
        </w:rPr>
        <w:t>confidence in peace and security and to decrease the motivation</w:t>
      </w:r>
      <w:r>
        <w:rPr>
          <w:i/>
          <w:iCs/>
        </w:rPr>
        <w:t>s</w:t>
      </w:r>
      <w:r w:rsidRPr="009B274F">
        <w:rPr>
          <w:i/>
          <w:iCs/>
        </w:rPr>
        <w:t xml:space="preserve"> </w:t>
      </w:r>
      <w:r>
        <w:rPr>
          <w:i/>
          <w:iCs/>
        </w:rPr>
        <w:t>of</w:t>
      </w:r>
      <w:r w:rsidRPr="009B274F">
        <w:rPr>
          <w:i/>
          <w:iCs/>
        </w:rPr>
        <w:t xml:space="preserve"> children and youth to join armed group</w:t>
      </w:r>
      <w:r>
        <w:rPr>
          <w:i/>
          <w:iCs/>
        </w:rPr>
        <w:t xml:space="preserve">s. </w:t>
      </w:r>
    </w:p>
    <w:p w14:paraId="47C39DCE" w14:textId="77777777" w:rsidR="001956CD" w:rsidRDefault="001956CD" w:rsidP="00E07CAD">
      <w:pPr>
        <w:ind w:left="-720"/>
        <w:jc w:val="both"/>
        <w:rPr>
          <w:i/>
          <w:iCs/>
        </w:rPr>
      </w:pPr>
    </w:p>
    <w:p w14:paraId="6ACA919F" w14:textId="3CB68C54" w:rsidR="00E07CAD" w:rsidRDefault="001956CD" w:rsidP="00E07CAD">
      <w:pPr>
        <w:ind w:left="-720"/>
        <w:jc w:val="both"/>
        <w:rPr>
          <w:b/>
        </w:rPr>
      </w:pPr>
      <w:r>
        <w:rPr>
          <w:i/>
          <w:shd w:val="clear" w:color="auto" w:fill="FFFFFF"/>
        </w:rPr>
        <w:t xml:space="preserve">Partnerships have been established with local counterparts not only to ensure community-driven and owned activities to address underlying community grievances, but also to build trust among and with survivors of conflict. </w:t>
      </w:r>
      <w:r>
        <w:rPr>
          <w:i/>
        </w:rPr>
        <w:t xml:space="preserve">The </w:t>
      </w:r>
      <w:r w:rsidRPr="009B274F">
        <w:rPr>
          <w:i/>
        </w:rPr>
        <w:t xml:space="preserve">activities </w:t>
      </w:r>
      <w:r>
        <w:rPr>
          <w:i/>
        </w:rPr>
        <w:t>carried out in partnership with counterparts</w:t>
      </w:r>
      <w:r w:rsidRPr="009B274F">
        <w:rPr>
          <w:i/>
        </w:rPr>
        <w:t xml:space="preserve"> address historical grievances by targeting marginalized groups of </w:t>
      </w:r>
      <w:r>
        <w:rPr>
          <w:i/>
        </w:rPr>
        <w:t xml:space="preserve">survivors and </w:t>
      </w:r>
      <w:r w:rsidRPr="009B274F">
        <w:rPr>
          <w:i/>
        </w:rPr>
        <w:t>victims</w:t>
      </w:r>
      <w:r>
        <w:rPr>
          <w:i/>
        </w:rPr>
        <w:t>,</w:t>
      </w:r>
      <w:r w:rsidRPr="009B274F">
        <w:rPr>
          <w:i/>
        </w:rPr>
        <w:t xml:space="preserve"> </w:t>
      </w:r>
      <w:r>
        <w:rPr>
          <w:i/>
        </w:rPr>
        <w:t>including</w:t>
      </w:r>
      <w:r w:rsidRPr="009B274F">
        <w:rPr>
          <w:i/>
        </w:rPr>
        <w:t xml:space="preserve"> conflict and sexual violence survivors</w:t>
      </w:r>
      <w:r>
        <w:rPr>
          <w:i/>
        </w:rPr>
        <w:t>.</w:t>
      </w:r>
      <w:r>
        <w:rPr>
          <w:i/>
          <w:shd w:val="clear" w:color="auto" w:fill="FFFFFF"/>
        </w:rPr>
        <w:t xml:space="preserve"> Additionally, survivors’ networks are being established and strengthened alongside their civil society allies to support the reconstruction of a worn social fabric and to facilitate the beneficiaries’ </w:t>
      </w:r>
      <w:r w:rsidRPr="00DE685A">
        <w:rPr>
          <w:rFonts w:eastAsia="Corbel"/>
          <w:i/>
          <w:iCs/>
        </w:rPr>
        <w:t>meaningful engagement in reconciliation dialogue and</w:t>
      </w:r>
      <w:r w:rsidRPr="00DE685A">
        <w:rPr>
          <w:rFonts w:eastAsia="Corbel"/>
          <w:i/>
          <w:iCs/>
          <w:color w:val="FF0000"/>
          <w:u w:color="FF0000"/>
        </w:rPr>
        <w:t xml:space="preserve"> </w:t>
      </w:r>
      <w:r w:rsidRPr="00DE685A">
        <w:rPr>
          <w:rFonts w:eastAsia="Corbel"/>
          <w:i/>
          <w:iCs/>
        </w:rPr>
        <w:t>transitional justice processes</w:t>
      </w:r>
      <w:r>
        <w:rPr>
          <w:i/>
          <w:shd w:val="clear" w:color="auto" w:fill="FFFFFF"/>
        </w:rPr>
        <w:t xml:space="preserve">. These actions, coupled by the promotion of accountability, will increase the target communities’ confidence in peace and contribute to decrease youth’s motivations to join armed groups, laying the foundations to promote long-term political will and successful transitional justice processes. </w:t>
      </w:r>
      <w:r w:rsidRPr="006762A7">
        <w:rPr>
          <w:i/>
          <w:iCs/>
          <w:shd w:val="clear" w:color="auto" w:fill="FFFFFF"/>
        </w:rPr>
        <w:t xml:space="preserve"> </w:t>
      </w:r>
      <w:r>
        <w:rPr>
          <w:i/>
          <w:shd w:val="clear" w:color="auto" w:fill="FFFFFF"/>
        </w:rPr>
        <w:t xml:space="preserve">Results will be further achieved through </w:t>
      </w:r>
      <w:r w:rsidRPr="009B274F">
        <w:rPr>
          <w:i/>
          <w:shd w:val="clear" w:color="auto" w:fill="FFFFFF"/>
        </w:rPr>
        <w:t>knowledge</w:t>
      </w:r>
      <w:r>
        <w:rPr>
          <w:i/>
          <w:shd w:val="clear" w:color="auto" w:fill="FFFFFF"/>
        </w:rPr>
        <w:t>-driven</w:t>
      </w:r>
      <w:r w:rsidRPr="009B274F">
        <w:rPr>
          <w:i/>
          <w:shd w:val="clear" w:color="auto" w:fill="FFFFFF"/>
        </w:rPr>
        <w:t xml:space="preserve"> </w:t>
      </w:r>
      <w:r>
        <w:rPr>
          <w:i/>
          <w:shd w:val="clear" w:color="auto" w:fill="FFFFFF"/>
        </w:rPr>
        <w:t xml:space="preserve">decision making and activity design (e.g. </w:t>
      </w:r>
      <w:r w:rsidRPr="009B274F">
        <w:rPr>
          <w:i/>
          <w:shd w:val="clear" w:color="auto" w:fill="FFFFFF"/>
        </w:rPr>
        <w:t xml:space="preserve">field research on </w:t>
      </w:r>
      <w:proofErr w:type="spellStart"/>
      <w:r w:rsidRPr="009B274F">
        <w:rPr>
          <w:i/>
          <w:shd w:val="clear" w:color="auto" w:fill="FFFFFF"/>
        </w:rPr>
        <w:t>self-defense</w:t>
      </w:r>
      <w:proofErr w:type="spellEnd"/>
      <w:r w:rsidRPr="009B274F">
        <w:rPr>
          <w:i/>
          <w:shd w:val="clear" w:color="auto" w:fill="FFFFFF"/>
        </w:rPr>
        <w:t xml:space="preserve"> armed groups</w:t>
      </w:r>
      <w:r>
        <w:rPr>
          <w:i/>
          <w:shd w:val="clear" w:color="auto" w:fill="FFFFFF"/>
        </w:rPr>
        <w:t xml:space="preserve"> in Unity and Jonglei States)</w:t>
      </w:r>
      <w:r w:rsidRPr="009B274F">
        <w:rPr>
          <w:i/>
          <w:shd w:val="clear" w:color="auto" w:fill="FFFFFF"/>
        </w:rPr>
        <w:t>. This knowledge will help to</w:t>
      </w:r>
      <w:r w:rsidRPr="009B274F">
        <w:rPr>
          <w:i/>
        </w:rPr>
        <w:t xml:space="preserve"> address peace spoilers, support </w:t>
      </w:r>
      <w:r>
        <w:rPr>
          <w:i/>
        </w:rPr>
        <w:t>the building of</w:t>
      </w:r>
      <w:r w:rsidRPr="009B274F">
        <w:rPr>
          <w:i/>
        </w:rPr>
        <w:t xml:space="preserve"> trust and dialogue</w:t>
      </w:r>
      <w:r>
        <w:rPr>
          <w:i/>
        </w:rPr>
        <w:t xml:space="preserve"> </w:t>
      </w:r>
      <w:r w:rsidRPr="009B274F">
        <w:rPr>
          <w:i/>
        </w:rPr>
        <w:t>efforts</w:t>
      </w:r>
      <w:r>
        <w:rPr>
          <w:i/>
        </w:rPr>
        <w:t>,</w:t>
      </w:r>
      <w:r w:rsidRPr="009B274F">
        <w:rPr>
          <w:i/>
        </w:rPr>
        <w:t xml:space="preserve"> and strengthen accountability mechanisms. The actions </w:t>
      </w:r>
      <w:r>
        <w:rPr>
          <w:i/>
        </w:rPr>
        <w:t xml:space="preserve">highlighted above </w:t>
      </w:r>
      <w:r w:rsidRPr="009B274F">
        <w:rPr>
          <w:i/>
        </w:rPr>
        <w:t>will support a more participatory peace process and reduce the risk of retaliatory violence, revenge attacks and new localized conflicts</w:t>
      </w:r>
      <w:r>
        <w:rPr>
          <w:i/>
        </w:rPr>
        <w:t>.</w:t>
      </w:r>
    </w:p>
    <w:p w14:paraId="2DE93610" w14:textId="66CBE298" w:rsidR="004A48BB" w:rsidRDefault="004A48BB" w:rsidP="00E07CAD">
      <w:pPr>
        <w:ind w:left="-720"/>
        <w:jc w:val="both"/>
        <w:rPr>
          <w:b/>
        </w:rPr>
      </w:pPr>
    </w:p>
    <w:p w14:paraId="36C0D8CE" w14:textId="67A60CEE" w:rsidR="004A48BB" w:rsidRPr="004A48BB" w:rsidRDefault="004A48BB" w:rsidP="00E07CAD">
      <w:pPr>
        <w:ind w:left="-720"/>
        <w:jc w:val="both"/>
        <w:rPr>
          <w:bCs/>
          <w:i/>
          <w:iCs/>
        </w:rPr>
      </w:pPr>
      <w:r>
        <w:rPr>
          <w:bCs/>
          <w:i/>
          <w:iCs/>
        </w:rPr>
        <w:t xml:space="preserve">As it is important to provide adequate support to the children and youth that </w:t>
      </w:r>
      <w:proofErr w:type="gramStart"/>
      <w:r>
        <w:rPr>
          <w:bCs/>
          <w:i/>
          <w:iCs/>
        </w:rPr>
        <w:t>come in contact with</w:t>
      </w:r>
      <w:proofErr w:type="gramEnd"/>
      <w:r>
        <w:rPr>
          <w:bCs/>
          <w:i/>
          <w:iCs/>
        </w:rPr>
        <w:t xml:space="preserve"> the la</w:t>
      </w:r>
      <w:r w:rsidR="00A07A5E">
        <w:rPr>
          <w:bCs/>
          <w:i/>
          <w:iCs/>
        </w:rPr>
        <w:t>w</w:t>
      </w:r>
      <w:r>
        <w:rPr>
          <w:bCs/>
          <w:i/>
          <w:iCs/>
        </w:rPr>
        <w:t xml:space="preserve">, </w:t>
      </w:r>
      <w:r w:rsidRPr="004A48BB">
        <w:rPr>
          <w:bCs/>
          <w:i/>
          <w:iCs/>
        </w:rPr>
        <w:t>partnership</w:t>
      </w:r>
      <w:r>
        <w:rPr>
          <w:bCs/>
          <w:i/>
          <w:iCs/>
        </w:rPr>
        <w:t>s</w:t>
      </w:r>
      <w:r w:rsidRPr="004A48BB">
        <w:rPr>
          <w:bCs/>
          <w:i/>
          <w:iCs/>
        </w:rPr>
        <w:t xml:space="preserve"> with implementing partners</w:t>
      </w:r>
      <w:r>
        <w:rPr>
          <w:bCs/>
          <w:i/>
          <w:iCs/>
        </w:rPr>
        <w:t xml:space="preserve"> been initiated to provide case management services to these children and youth. These partners will also </w:t>
      </w:r>
      <w:r w:rsidR="00D66516">
        <w:rPr>
          <w:bCs/>
          <w:i/>
          <w:iCs/>
        </w:rPr>
        <w:t xml:space="preserve">build the </w:t>
      </w:r>
      <w:r>
        <w:rPr>
          <w:bCs/>
          <w:i/>
          <w:iCs/>
        </w:rPr>
        <w:t xml:space="preserve">capacity </w:t>
      </w:r>
      <w:r w:rsidR="00D66516">
        <w:rPr>
          <w:bCs/>
          <w:i/>
          <w:iCs/>
        </w:rPr>
        <w:t xml:space="preserve">of </w:t>
      </w:r>
      <w:r>
        <w:rPr>
          <w:bCs/>
          <w:i/>
          <w:iCs/>
        </w:rPr>
        <w:t xml:space="preserve">state social workers </w:t>
      </w:r>
      <w:r w:rsidR="00A07A5E">
        <w:rPr>
          <w:bCs/>
          <w:i/>
          <w:iCs/>
        </w:rPr>
        <w:t xml:space="preserve">for sustainability purposes. </w:t>
      </w:r>
    </w:p>
    <w:p w14:paraId="0D6759C4" w14:textId="50EB5C84" w:rsidR="00E07CAD" w:rsidRDefault="00E07CAD" w:rsidP="00E07CAD">
      <w:pPr>
        <w:ind w:left="-720"/>
        <w:jc w:val="both"/>
        <w:rPr>
          <w:b/>
        </w:rPr>
      </w:pPr>
    </w:p>
    <w:p w14:paraId="70490326" w14:textId="2171BDAA" w:rsidR="00E07CAD" w:rsidRPr="001D3136" w:rsidRDefault="00E07CAD" w:rsidP="00E07CAD">
      <w:pPr>
        <w:ind w:left="-720"/>
        <w:jc w:val="both"/>
        <w:rPr>
          <w:bCs/>
          <w:i/>
          <w:iCs/>
        </w:rPr>
      </w:pPr>
      <w:r w:rsidRPr="001D3136">
        <w:rPr>
          <w:bCs/>
          <w:i/>
          <w:iCs/>
        </w:rPr>
        <w:t>In addition, to increase awareness on human rights, in particular women’s and children’s rights</w:t>
      </w:r>
      <w:r w:rsidR="001D3136">
        <w:rPr>
          <w:bCs/>
          <w:i/>
          <w:iCs/>
        </w:rPr>
        <w:t>,</w:t>
      </w:r>
      <w:r w:rsidRPr="001D3136">
        <w:rPr>
          <w:bCs/>
          <w:i/>
          <w:iCs/>
        </w:rPr>
        <w:t xml:space="preserve"> in the implementatio</w:t>
      </w:r>
      <w:r w:rsidR="004A48BB">
        <w:rPr>
          <w:bCs/>
          <w:i/>
          <w:iCs/>
        </w:rPr>
        <w:t>n</w:t>
      </w:r>
      <w:r w:rsidRPr="001D3136">
        <w:rPr>
          <w:bCs/>
          <w:i/>
          <w:iCs/>
        </w:rPr>
        <w:t xml:space="preserve"> sites – where the knowledge gap of the same is vast – the Child Act 2008 ha</w:t>
      </w:r>
      <w:r w:rsidR="00D66516">
        <w:rPr>
          <w:bCs/>
          <w:i/>
          <w:iCs/>
        </w:rPr>
        <w:t>s</w:t>
      </w:r>
      <w:r w:rsidRPr="001D3136">
        <w:rPr>
          <w:bCs/>
          <w:i/>
          <w:iCs/>
        </w:rPr>
        <w:t xml:space="preserve"> been printed for dissemination </w:t>
      </w:r>
      <w:r w:rsidR="00D66516">
        <w:rPr>
          <w:bCs/>
          <w:i/>
          <w:iCs/>
        </w:rPr>
        <w:t>and</w:t>
      </w:r>
      <w:r w:rsidRPr="001D3136">
        <w:rPr>
          <w:bCs/>
          <w:i/>
          <w:iCs/>
        </w:rPr>
        <w:t xml:space="preserve"> the work </w:t>
      </w:r>
      <w:r w:rsidR="001D3136">
        <w:rPr>
          <w:bCs/>
          <w:i/>
          <w:iCs/>
        </w:rPr>
        <w:t>on</w:t>
      </w:r>
      <w:r w:rsidRPr="001D3136">
        <w:rPr>
          <w:bCs/>
          <w:i/>
          <w:iCs/>
        </w:rPr>
        <w:t xml:space="preserve"> development o</w:t>
      </w:r>
      <w:r w:rsidR="001D3136">
        <w:rPr>
          <w:bCs/>
          <w:i/>
          <w:iCs/>
        </w:rPr>
        <w:t>f</w:t>
      </w:r>
      <w:r w:rsidRPr="001D3136">
        <w:rPr>
          <w:bCs/>
          <w:i/>
          <w:iCs/>
        </w:rPr>
        <w:t xml:space="preserve"> </w:t>
      </w:r>
      <w:r w:rsidR="00D66516">
        <w:rPr>
          <w:bCs/>
          <w:i/>
          <w:iCs/>
        </w:rPr>
        <w:t>Information, Education and Communication (</w:t>
      </w:r>
      <w:r w:rsidRPr="001D3136">
        <w:rPr>
          <w:bCs/>
          <w:i/>
          <w:iCs/>
        </w:rPr>
        <w:t>IEC</w:t>
      </w:r>
      <w:r w:rsidR="00D66516">
        <w:rPr>
          <w:bCs/>
          <w:i/>
          <w:iCs/>
        </w:rPr>
        <w:t>)</w:t>
      </w:r>
      <w:r w:rsidRPr="001D3136">
        <w:rPr>
          <w:bCs/>
          <w:i/>
          <w:iCs/>
        </w:rPr>
        <w:t xml:space="preserve"> material</w:t>
      </w:r>
      <w:r w:rsidR="00D66516">
        <w:rPr>
          <w:bCs/>
          <w:i/>
          <w:iCs/>
        </w:rPr>
        <w:t>s</w:t>
      </w:r>
      <w:r w:rsidRPr="001D3136">
        <w:rPr>
          <w:bCs/>
          <w:i/>
          <w:iCs/>
        </w:rPr>
        <w:t xml:space="preserve"> </w:t>
      </w:r>
      <w:r w:rsidR="001D3136" w:rsidRPr="001D3136">
        <w:rPr>
          <w:bCs/>
          <w:i/>
          <w:iCs/>
        </w:rPr>
        <w:t xml:space="preserve">initiated. </w:t>
      </w:r>
      <w:r w:rsidR="001D3136">
        <w:rPr>
          <w:bCs/>
          <w:i/>
          <w:iCs/>
        </w:rPr>
        <w:t xml:space="preserve">It is of fundamental importance to spread information on human rights for the community members to know which acts violate these rights. This aims to contribute to a broader understanding of accountability, resulting in decreased violence and better </w:t>
      </w:r>
      <w:r w:rsidR="004A48BB">
        <w:rPr>
          <w:bCs/>
          <w:i/>
          <w:iCs/>
        </w:rPr>
        <w:t xml:space="preserve">conditions for sustainable peace. This knowledge needs to be increased in many different levels. Hence, the material will be used for different awareness raising events, including radio shows, sport events, workshops and trainings, targeting a broad scope of individuals, including community members, children, parents, traditional and religious leaders, justice actors. </w:t>
      </w:r>
    </w:p>
    <w:p w14:paraId="65C9CACF" w14:textId="77777777" w:rsidR="00794263" w:rsidRPr="00627A1C" w:rsidRDefault="00794263" w:rsidP="00627A1C">
      <w:pPr>
        <w:ind w:left="-720"/>
        <w:rPr>
          <w:b/>
        </w:rPr>
      </w:pPr>
    </w:p>
    <w:p w14:paraId="3D4B37AC" w14:textId="77777777" w:rsidR="00161D02"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09A3A0A6" w14:textId="2385E17A" w:rsidR="00161D02" w:rsidRPr="001956CD" w:rsidRDefault="001C7F7D" w:rsidP="003839E9">
      <w:pPr>
        <w:ind w:left="-720"/>
        <w:jc w:val="both"/>
        <w:rPr>
          <w:bCs/>
          <w:i/>
          <w:iCs/>
        </w:rPr>
      </w:pPr>
      <w:r w:rsidRPr="009B3882">
        <w:rPr>
          <w:bCs/>
          <w:i/>
          <w:iCs/>
        </w:rPr>
        <w:t>In line with the gender marker score 2 of this project, gender equality is prioritised as a</w:t>
      </w:r>
      <w:r>
        <w:rPr>
          <w:bCs/>
          <w:i/>
          <w:iCs/>
        </w:rPr>
        <w:t xml:space="preserve"> significant objective with a</w:t>
      </w:r>
      <w:r w:rsidRPr="00520E6F">
        <w:rPr>
          <w:bCs/>
          <w:i/>
          <w:iCs/>
        </w:rPr>
        <w:t xml:space="preserve"> target of 50</w:t>
      </w:r>
      <w:r w:rsidR="00D66516">
        <w:rPr>
          <w:bCs/>
          <w:i/>
          <w:iCs/>
        </w:rPr>
        <w:t xml:space="preserve"> per cent</w:t>
      </w:r>
      <w:r w:rsidRPr="00520E6F">
        <w:rPr>
          <w:bCs/>
          <w:i/>
          <w:iCs/>
        </w:rPr>
        <w:t xml:space="preserve"> women/young girls</w:t>
      </w:r>
      <w:r>
        <w:rPr>
          <w:bCs/>
          <w:i/>
          <w:iCs/>
        </w:rPr>
        <w:t xml:space="preserve"> to be reached across all activities.</w:t>
      </w:r>
      <w:r w:rsidRPr="00520E6F">
        <w:rPr>
          <w:bCs/>
          <w:i/>
          <w:iCs/>
        </w:rPr>
        <w:t xml:space="preserve"> </w:t>
      </w:r>
      <w:r>
        <w:rPr>
          <w:bCs/>
          <w:i/>
          <w:iCs/>
        </w:rPr>
        <w:t>The</w:t>
      </w:r>
      <w:r w:rsidRPr="00520E6F">
        <w:rPr>
          <w:bCs/>
          <w:i/>
          <w:iCs/>
        </w:rPr>
        <w:t xml:space="preserve"> inclusion of youth </w:t>
      </w:r>
      <w:r>
        <w:rPr>
          <w:bCs/>
          <w:i/>
          <w:iCs/>
        </w:rPr>
        <w:t xml:space="preserve">aged </w:t>
      </w:r>
      <w:r w:rsidRPr="00520E6F">
        <w:rPr>
          <w:bCs/>
          <w:i/>
          <w:iCs/>
        </w:rPr>
        <w:t>18-32</w:t>
      </w:r>
      <w:r>
        <w:rPr>
          <w:bCs/>
          <w:i/>
          <w:iCs/>
        </w:rPr>
        <w:t xml:space="preserve"> years</w:t>
      </w:r>
      <w:r w:rsidRPr="00520E6F">
        <w:rPr>
          <w:bCs/>
          <w:i/>
          <w:iCs/>
        </w:rPr>
        <w:t xml:space="preserve"> has </w:t>
      </w:r>
      <w:r>
        <w:rPr>
          <w:bCs/>
          <w:i/>
          <w:iCs/>
        </w:rPr>
        <w:t xml:space="preserve">also </w:t>
      </w:r>
      <w:r w:rsidRPr="00520E6F">
        <w:rPr>
          <w:bCs/>
          <w:i/>
          <w:iCs/>
        </w:rPr>
        <w:t xml:space="preserve">been set </w:t>
      </w:r>
      <w:r>
        <w:rPr>
          <w:bCs/>
          <w:i/>
          <w:iCs/>
        </w:rPr>
        <w:t xml:space="preserve">as a priority focus group </w:t>
      </w:r>
      <w:r w:rsidRPr="00520E6F">
        <w:rPr>
          <w:bCs/>
          <w:i/>
          <w:iCs/>
        </w:rPr>
        <w:t xml:space="preserve">across all </w:t>
      </w:r>
      <w:r>
        <w:rPr>
          <w:bCs/>
          <w:i/>
          <w:iCs/>
        </w:rPr>
        <w:t xml:space="preserve">relevant </w:t>
      </w:r>
      <w:r w:rsidRPr="00520E6F">
        <w:rPr>
          <w:bCs/>
          <w:i/>
          <w:iCs/>
        </w:rPr>
        <w:t>activities</w:t>
      </w:r>
      <w:r w:rsidRPr="00D975F1">
        <w:rPr>
          <w:bCs/>
          <w:i/>
          <w:iCs/>
        </w:rPr>
        <w:t xml:space="preserve">. Also, to further promote gender equality, the recruitment of qualified female personnel has been encouraged to ensure appropriate representation and to further </w:t>
      </w:r>
      <w:r>
        <w:rPr>
          <w:bCs/>
          <w:i/>
          <w:iCs/>
        </w:rPr>
        <w:t xml:space="preserve">promote </w:t>
      </w:r>
      <w:r w:rsidRPr="00D975F1">
        <w:rPr>
          <w:bCs/>
          <w:i/>
          <w:iCs/>
        </w:rPr>
        <w:t xml:space="preserve">gender </w:t>
      </w:r>
      <w:r>
        <w:rPr>
          <w:bCs/>
          <w:i/>
          <w:iCs/>
        </w:rPr>
        <w:t>equality</w:t>
      </w:r>
      <w:r w:rsidRPr="00D975F1">
        <w:rPr>
          <w:bCs/>
          <w:i/>
          <w:iCs/>
        </w:rPr>
        <w:t xml:space="preserve"> </w:t>
      </w:r>
      <w:r>
        <w:rPr>
          <w:bCs/>
          <w:i/>
          <w:iCs/>
        </w:rPr>
        <w:t>throughout and across</w:t>
      </w:r>
      <w:r w:rsidRPr="00D975F1">
        <w:rPr>
          <w:bCs/>
          <w:i/>
          <w:iCs/>
        </w:rPr>
        <w:t xml:space="preserve"> the project.</w:t>
      </w:r>
      <w:r>
        <w:rPr>
          <w:b/>
          <w:i/>
          <w:iCs/>
        </w:rPr>
        <w:t xml:space="preserve"> </w:t>
      </w:r>
      <w:r>
        <w:rPr>
          <w:bCs/>
          <w:i/>
          <w:iCs/>
        </w:rPr>
        <w:t>Local c</w:t>
      </w:r>
      <w:r w:rsidRPr="00520E6F">
        <w:rPr>
          <w:bCs/>
          <w:i/>
          <w:iCs/>
        </w:rPr>
        <w:t xml:space="preserve">ounterparts </w:t>
      </w:r>
      <w:r>
        <w:rPr>
          <w:bCs/>
          <w:i/>
          <w:iCs/>
        </w:rPr>
        <w:t xml:space="preserve">also </w:t>
      </w:r>
      <w:r w:rsidRPr="00520E6F">
        <w:rPr>
          <w:bCs/>
          <w:i/>
          <w:iCs/>
        </w:rPr>
        <w:lastRenderedPageBreak/>
        <w:t>aim to actively engage local leaders to promote the inclusion of women and girls</w:t>
      </w:r>
      <w:r>
        <w:rPr>
          <w:bCs/>
          <w:i/>
          <w:iCs/>
        </w:rPr>
        <w:t xml:space="preserve">, as well as </w:t>
      </w:r>
      <w:r w:rsidRPr="00520E6F">
        <w:rPr>
          <w:bCs/>
          <w:i/>
          <w:iCs/>
        </w:rPr>
        <w:t xml:space="preserve">youth, </w:t>
      </w:r>
      <w:r>
        <w:rPr>
          <w:bCs/>
          <w:i/>
          <w:iCs/>
        </w:rPr>
        <w:t xml:space="preserve">to </w:t>
      </w:r>
      <w:r w:rsidRPr="00520E6F">
        <w:rPr>
          <w:bCs/>
          <w:i/>
          <w:iCs/>
        </w:rPr>
        <w:t>ensur</w:t>
      </w:r>
      <w:r>
        <w:rPr>
          <w:bCs/>
          <w:i/>
          <w:iCs/>
        </w:rPr>
        <w:t>e</w:t>
      </w:r>
      <w:r w:rsidRPr="00520E6F">
        <w:rPr>
          <w:bCs/>
          <w:i/>
          <w:iCs/>
        </w:rPr>
        <w:t xml:space="preserve"> their participation in decision making processes</w:t>
      </w:r>
      <w:r>
        <w:rPr>
          <w:bCs/>
          <w:i/>
          <w:iCs/>
        </w:rPr>
        <w:t xml:space="preserve"> not only in project activities, but more generally across the civic space.</w:t>
      </w:r>
    </w:p>
    <w:p w14:paraId="6556A7A4" w14:textId="77777777" w:rsidR="00323ABC" w:rsidRPr="00627A1C" w:rsidRDefault="00323ABC" w:rsidP="007E4FA1">
      <w:pPr>
        <w:rPr>
          <w:b/>
        </w:rPr>
      </w:pPr>
    </w:p>
    <w:p w14:paraId="486A2647" w14:textId="0C302128" w:rsidR="00D3351A" w:rsidRPr="00627A1C" w:rsidRDefault="00D3351A" w:rsidP="00D3351A">
      <w:pPr>
        <w:ind w:left="-720"/>
        <w:rPr>
          <w:b/>
        </w:rPr>
      </w:pPr>
      <w:r w:rsidRPr="00627A1C">
        <w:rPr>
          <w:b/>
          <w:u w:val="single"/>
        </w:rPr>
        <w:t>Outcome 2:</w:t>
      </w:r>
      <w:r w:rsidRPr="00627A1C">
        <w:rPr>
          <w:b/>
        </w:rPr>
        <w:t xml:space="preserve">  </w:t>
      </w:r>
      <w:r w:rsidR="00597D99" w:rsidRPr="000E379A">
        <w:rPr>
          <w:b/>
        </w:rPr>
        <w:t xml:space="preserve">Target communities in Aweil, Juba, </w:t>
      </w:r>
      <w:proofErr w:type="spellStart"/>
      <w:r w:rsidR="00597D99" w:rsidRPr="000E379A">
        <w:rPr>
          <w:b/>
        </w:rPr>
        <w:t>Bor</w:t>
      </w:r>
      <w:proofErr w:type="spellEnd"/>
      <w:r w:rsidR="00597D99" w:rsidRPr="000E379A">
        <w:rPr>
          <w:b/>
        </w:rPr>
        <w:t>/Pibor and Bentiu have enhanced trust in the formal law enforcement system leading to a stronger social contract between the state and its children and youth</w:t>
      </w:r>
    </w:p>
    <w:p w14:paraId="2B4B5A9F" w14:textId="77777777" w:rsidR="00D3351A" w:rsidRPr="00627A1C" w:rsidRDefault="00D3351A" w:rsidP="00D3351A">
      <w:pPr>
        <w:ind w:left="-720"/>
        <w:rPr>
          <w:b/>
        </w:rPr>
      </w:pPr>
    </w:p>
    <w:p w14:paraId="04E03DAA" w14:textId="5289A37F"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597D99">
        <w:rPr>
          <w:b/>
        </w:rPr>
        <w:fldChar w:fldCharType="begin">
          <w:ffData>
            <w:name w:val=""/>
            <w:enabled/>
            <w:calcOnExit w:val="0"/>
            <w:ddList>
              <w:listEntry w:val="on track"/>
              <w:listEntry w:val="Please select "/>
              <w:listEntry w:val="on track with significant peacebuilding results"/>
              <w:listEntry w:val="off track"/>
            </w:ddList>
          </w:ffData>
        </w:fldChar>
      </w:r>
      <w:r w:rsidR="00597D99">
        <w:rPr>
          <w:b/>
        </w:rPr>
        <w:instrText xml:space="preserve"> FORMDROPDOWN </w:instrText>
      </w:r>
      <w:r w:rsidR="001E03EE">
        <w:rPr>
          <w:b/>
        </w:rPr>
      </w:r>
      <w:r w:rsidR="001E03EE">
        <w:rPr>
          <w:b/>
        </w:rPr>
        <w:fldChar w:fldCharType="separate"/>
      </w:r>
      <w:r w:rsidR="00597D99">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26458F85" w14:textId="6227BA11" w:rsidR="009D5200" w:rsidRPr="008D7406" w:rsidRDefault="009D5200" w:rsidP="009D5200">
      <w:pPr>
        <w:ind w:left="-720"/>
        <w:jc w:val="both"/>
        <w:rPr>
          <w:i/>
          <w:iCs/>
        </w:rPr>
      </w:pPr>
      <w:r w:rsidRPr="008D7406">
        <w:rPr>
          <w:i/>
          <w:iCs/>
        </w:rPr>
        <w:t xml:space="preserve">To protect and defend the rights of juveniles and to promote skill development, rehabilitation and reintegration of children in conflict with the law, vocational training materials are procured for vocational training. </w:t>
      </w:r>
      <w:r w:rsidR="00002A69" w:rsidRPr="008D7406">
        <w:rPr>
          <w:i/>
          <w:iCs/>
        </w:rPr>
        <w:t>Sixty-nine</w:t>
      </w:r>
      <w:r w:rsidRPr="008D7406">
        <w:rPr>
          <w:i/>
          <w:iCs/>
        </w:rPr>
        <w:t xml:space="preserve"> juveniles </w:t>
      </w:r>
      <w:r w:rsidR="00002A69">
        <w:rPr>
          <w:i/>
          <w:iCs/>
        </w:rPr>
        <w:t>were</w:t>
      </w:r>
      <w:r w:rsidRPr="008D7406">
        <w:rPr>
          <w:i/>
          <w:iCs/>
        </w:rPr>
        <w:t xml:space="preserve"> selected for the first phase</w:t>
      </w:r>
      <w:r w:rsidR="00F6459E" w:rsidRPr="008D7406">
        <w:rPr>
          <w:i/>
          <w:iCs/>
        </w:rPr>
        <w:t xml:space="preserve">. </w:t>
      </w:r>
      <w:r w:rsidRPr="008D7406">
        <w:rPr>
          <w:i/>
          <w:iCs/>
        </w:rPr>
        <w:t xml:space="preserve">Further, two juvenile courts in Juba were furnished and are operational. A total of 82 juvenile cases were registered, and during the reporting period, 38 juvenile cases </w:t>
      </w:r>
      <w:r w:rsidR="008D7406">
        <w:rPr>
          <w:i/>
          <w:iCs/>
        </w:rPr>
        <w:t>were</w:t>
      </w:r>
      <w:r w:rsidRPr="008D7406">
        <w:rPr>
          <w:i/>
          <w:iCs/>
        </w:rPr>
        <w:t xml:space="preserve"> concluded.</w:t>
      </w:r>
    </w:p>
    <w:p w14:paraId="559F9CE2" w14:textId="77777777" w:rsidR="009D5200" w:rsidRPr="008D7406" w:rsidRDefault="009D5200" w:rsidP="009D5200">
      <w:pPr>
        <w:ind w:left="-720"/>
        <w:jc w:val="both"/>
        <w:rPr>
          <w:i/>
          <w:iCs/>
        </w:rPr>
      </w:pPr>
    </w:p>
    <w:p w14:paraId="67527373" w14:textId="377B51AC" w:rsidR="009D5200" w:rsidRPr="008D7406" w:rsidRDefault="009D5200" w:rsidP="009D5200">
      <w:pPr>
        <w:ind w:left="-720"/>
        <w:jc w:val="both"/>
        <w:rPr>
          <w:i/>
          <w:iCs/>
        </w:rPr>
      </w:pPr>
      <w:r w:rsidRPr="008D7406">
        <w:rPr>
          <w:i/>
          <w:iCs/>
        </w:rPr>
        <w:t>Sixty</w:t>
      </w:r>
      <w:r w:rsidR="008D7406">
        <w:rPr>
          <w:i/>
          <w:iCs/>
        </w:rPr>
        <w:t xml:space="preserve"> </w:t>
      </w:r>
      <w:r w:rsidR="008D7406" w:rsidRPr="008D7406">
        <w:rPr>
          <w:i/>
          <w:iCs/>
        </w:rPr>
        <w:t>(13 females)</w:t>
      </w:r>
      <w:r w:rsidRPr="008D7406">
        <w:rPr>
          <w:i/>
          <w:iCs/>
        </w:rPr>
        <w:t xml:space="preserve"> formal and informal justice actors </w:t>
      </w:r>
      <w:r w:rsidR="008D7406">
        <w:rPr>
          <w:i/>
          <w:iCs/>
        </w:rPr>
        <w:t xml:space="preserve">from </w:t>
      </w:r>
      <w:proofErr w:type="spellStart"/>
      <w:r w:rsidR="008D7406">
        <w:rPr>
          <w:i/>
          <w:iCs/>
        </w:rPr>
        <w:t>Bor</w:t>
      </w:r>
      <w:proofErr w:type="spellEnd"/>
      <w:r w:rsidR="008D7406">
        <w:rPr>
          <w:i/>
          <w:iCs/>
        </w:rPr>
        <w:t xml:space="preserve"> and Aweil </w:t>
      </w:r>
      <w:r w:rsidRPr="008D7406">
        <w:rPr>
          <w:i/>
          <w:iCs/>
        </w:rPr>
        <w:t xml:space="preserve">were trained on </w:t>
      </w:r>
      <w:r w:rsidR="008D7406">
        <w:rPr>
          <w:i/>
          <w:iCs/>
        </w:rPr>
        <w:t xml:space="preserve">children’s rights </w:t>
      </w:r>
      <w:r w:rsidRPr="008D7406">
        <w:rPr>
          <w:i/>
          <w:iCs/>
        </w:rPr>
        <w:t xml:space="preserve">for the first time. </w:t>
      </w:r>
    </w:p>
    <w:p w14:paraId="3A0C9177" w14:textId="77777777" w:rsidR="009D5200" w:rsidRPr="008D7406" w:rsidRDefault="009D5200" w:rsidP="009D5200">
      <w:pPr>
        <w:ind w:left="-720"/>
        <w:jc w:val="both"/>
        <w:rPr>
          <w:i/>
          <w:iCs/>
        </w:rPr>
      </w:pPr>
    </w:p>
    <w:p w14:paraId="0F355148" w14:textId="15909674" w:rsidR="009D5200" w:rsidRPr="008D7406" w:rsidRDefault="009D5200" w:rsidP="009D5200">
      <w:pPr>
        <w:ind w:left="-720"/>
        <w:jc w:val="both"/>
        <w:rPr>
          <w:i/>
          <w:iCs/>
        </w:rPr>
      </w:pPr>
      <w:bookmarkStart w:id="12" w:name="_Hlk54187859"/>
      <w:r w:rsidRPr="008D7406">
        <w:rPr>
          <w:i/>
          <w:iCs/>
        </w:rPr>
        <w:t>The project partnered with FODAG in Juba</w:t>
      </w:r>
      <w:r w:rsidR="00D66516">
        <w:rPr>
          <w:i/>
          <w:iCs/>
        </w:rPr>
        <w:t>,</w:t>
      </w:r>
      <w:r w:rsidRPr="008D7406">
        <w:rPr>
          <w:i/>
          <w:iCs/>
        </w:rPr>
        <w:t xml:space="preserve"> </w:t>
      </w:r>
      <w:r w:rsidR="00EC4761" w:rsidRPr="008D7406">
        <w:rPr>
          <w:i/>
          <w:iCs/>
        </w:rPr>
        <w:t>which</w:t>
      </w:r>
      <w:r w:rsidRPr="008D7406">
        <w:rPr>
          <w:i/>
          <w:iCs/>
        </w:rPr>
        <w:t xml:space="preserve"> raised awareness on the rights of children for the justice actors, including </w:t>
      </w:r>
      <w:r w:rsidR="00D66516">
        <w:rPr>
          <w:i/>
          <w:iCs/>
        </w:rPr>
        <w:t>j</w:t>
      </w:r>
      <w:r w:rsidRPr="008D7406">
        <w:rPr>
          <w:i/>
          <w:iCs/>
        </w:rPr>
        <w:t xml:space="preserve">udges, </w:t>
      </w:r>
      <w:r w:rsidR="00D66516">
        <w:rPr>
          <w:i/>
          <w:iCs/>
        </w:rPr>
        <w:t>s</w:t>
      </w:r>
      <w:r w:rsidRPr="008D7406">
        <w:rPr>
          <w:i/>
          <w:iCs/>
        </w:rPr>
        <w:t>ocial workers, youth leaders, traditional chiefs, women</w:t>
      </w:r>
      <w:r w:rsidR="00D66516">
        <w:rPr>
          <w:i/>
          <w:iCs/>
        </w:rPr>
        <w:t>’s</w:t>
      </w:r>
      <w:r w:rsidRPr="008D7406">
        <w:rPr>
          <w:i/>
          <w:iCs/>
        </w:rPr>
        <w:t xml:space="preserve"> groups and civil society. </w:t>
      </w:r>
      <w:bookmarkEnd w:id="12"/>
      <w:r w:rsidR="00D66516">
        <w:rPr>
          <w:i/>
          <w:iCs/>
        </w:rPr>
        <w:t>Awareness</w:t>
      </w:r>
      <w:r w:rsidR="00D66516" w:rsidRPr="008D7406">
        <w:rPr>
          <w:i/>
          <w:iCs/>
        </w:rPr>
        <w:t xml:space="preserve"> </w:t>
      </w:r>
      <w:r w:rsidRPr="008D7406">
        <w:rPr>
          <w:i/>
          <w:iCs/>
        </w:rPr>
        <w:t>was achieved through campaigns and distribution of 500 fact sheets that provided answers to frequently asked questions on juvenile justice</w:t>
      </w:r>
      <w:r w:rsidR="00991366" w:rsidRPr="008D7406">
        <w:rPr>
          <w:i/>
          <w:iCs/>
        </w:rPr>
        <w:t>.</w:t>
      </w:r>
      <w:r w:rsidRPr="008D7406">
        <w:rPr>
          <w:i/>
          <w:iCs/>
        </w:rPr>
        <w:t xml:space="preserve"> FODAG additionally conducted prison visitations in </w:t>
      </w:r>
      <w:r w:rsidR="00D66516">
        <w:rPr>
          <w:i/>
          <w:iCs/>
        </w:rPr>
        <w:t>three</w:t>
      </w:r>
      <w:r w:rsidR="00D66516" w:rsidRPr="008D7406">
        <w:rPr>
          <w:i/>
          <w:iCs/>
        </w:rPr>
        <w:t xml:space="preserve"> </w:t>
      </w:r>
      <w:r w:rsidRPr="008D7406">
        <w:rPr>
          <w:i/>
          <w:iCs/>
        </w:rPr>
        <w:t>prisons in Juba</w:t>
      </w:r>
      <w:r w:rsidR="00D66516">
        <w:rPr>
          <w:i/>
          <w:iCs/>
        </w:rPr>
        <w:t>,</w:t>
      </w:r>
      <w:r w:rsidRPr="008D7406">
        <w:rPr>
          <w:i/>
          <w:iCs/>
        </w:rPr>
        <w:t xml:space="preserve"> identified seven</w:t>
      </w:r>
      <w:r w:rsidR="00EC4761" w:rsidRPr="008D7406">
        <w:rPr>
          <w:i/>
          <w:iCs/>
        </w:rPr>
        <w:t xml:space="preserve"> </w:t>
      </w:r>
      <w:r w:rsidRPr="008D7406">
        <w:rPr>
          <w:i/>
          <w:iCs/>
        </w:rPr>
        <w:t xml:space="preserve">children under remand charged with various offences and FODAG lawyers are following up to ensure </w:t>
      </w:r>
      <w:r w:rsidR="00C339B4">
        <w:rPr>
          <w:i/>
          <w:iCs/>
        </w:rPr>
        <w:t xml:space="preserve">that they receive </w:t>
      </w:r>
      <w:r w:rsidRPr="008D7406">
        <w:rPr>
          <w:i/>
          <w:iCs/>
        </w:rPr>
        <w:t xml:space="preserve">a fair trial. </w:t>
      </w:r>
    </w:p>
    <w:p w14:paraId="0B7C02D6" w14:textId="77777777" w:rsidR="009D5200" w:rsidRPr="008D7406" w:rsidRDefault="009D5200" w:rsidP="009D5200">
      <w:pPr>
        <w:ind w:left="-720"/>
        <w:jc w:val="both"/>
        <w:rPr>
          <w:i/>
          <w:iCs/>
        </w:rPr>
      </w:pPr>
    </w:p>
    <w:p w14:paraId="2F8590C1" w14:textId="2CCCEFB7" w:rsidR="009D5200" w:rsidRPr="008D7406" w:rsidRDefault="00991366" w:rsidP="009D5200">
      <w:pPr>
        <w:ind w:left="-720"/>
        <w:jc w:val="both"/>
        <w:rPr>
          <w:i/>
          <w:iCs/>
        </w:rPr>
      </w:pPr>
      <w:r w:rsidRPr="008D7406">
        <w:rPr>
          <w:i/>
          <w:iCs/>
        </w:rPr>
        <w:t>T</w:t>
      </w:r>
      <w:r w:rsidR="009D5200" w:rsidRPr="008D7406">
        <w:rPr>
          <w:i/>
          <w:iCs/>
        </w:rPr>
        <w:t xml:space="preserve">he project supported the establishment of Police Community Relations Committees in Bentiu and </w:t>
      </w:r>
      <w:proofErr w:type="spellStart"/>
      <w:r w:rsidR="009D5200" w:rsidRPr="008D7406">
        <w:rPr>
          <w:i/>
          <w:iCs/>
        </w:rPr>
        <w:t>Rubkona</w:t>
      </w:r>
      <w:proofErr w:type="spellEnd"/>
      <w:r w:rsidR="009D5200" w:rsidRPr="008D7406">
        <w:rPr>
          <w:i/>
          <w:iCs/>
        </w:rPr>
        <w:t xml:space="preserve"> through a partnership with HRSS. In partnership with </w:t>
      </w:r>
      <w:r w:rsidR="00C339B4">
        <w:rPr>
          <w:i/>
          <w:iCs/>
        </w:rPr>
        <w:t>HRSS</w:t>
      </w:r>
      <w:r w:rsidR="009D5200" w:rsidRPr="008D7406">
        <w:rPr>
          <w:i/>
          <w:iCs/>
        </w:rPr>
        <w:t xml:space="preserve">, the project facilitated a total of </w:t>
      </w:r>
      <w:r w:rsidR="00C339B4">
        <w:rPr>
          <w:i/>
          <w:iCs/>
        </w:rPr>
        <w:t>two</w:t>
      </w:r>
      <w:r w:rsidR="00C339B4" w:rsidRPr="008D7406">
        <w:rPr>
          <w:i/>
          <w:iCs/>
        </w:rPr>
        <w:t xml:space="preserve"> </w:t>
      </w:r>
      <w:r w:rsidR="009D5200" w:rsidRPr="008D7406">
        <w:rPr>
          <w:i/>
          <w:iCs/>
        </w:rPr>
        <w:t>neighbourhood watch</w:t>
      </w:r>
      <w:r w:rsidR="00C339B4">
        <w:rPr>
          <w:i/>
          <w:iCs/>
        </w:rPr>
        <w:t>es</w:t>
      </w:r>
      <w:r w:rsidR="009D5200" w:rsidRPr="008D7406">
        <w:rPr>
          <w:i/>
          <w:iCs/>
        </w:rPr>
        <w:t xml:space="preserve"> within the </w:t>
      </w:r>
      <w:r w:rsidR="00C339B4">
        <w:rPr>
          <w:i/>
          <w:iCs/>
        </w:rPr>
        <w:t>Protection of Civilian (</w:t>
      </w:r>
      <w:proofErr w:type="spellStart"/>
      <w:r w:rsidR="009D5200" w:rsidRPr="008D7406">
        <w:rPr>
          <w:i/>
          <w:iCs/>
        </w:rPr>
        <w:t>PoC</w:t>
      </w:r>
      <w:proofErr w:type="spellEnd"/>
      <w:r w:rsidR="00C339B4">
        <w:rPr>
          <w:i/>
          <w:iCs/>
        </w:rPr>
        <w:t>)</w:t>
      </w:r>
      <w:r w:rsidR="009D5200" w:rsidRPr="008D7406">
        <w:rPr>
          <w:i/>
          <w:iCs/>
        </w:rPr>
        <w:t xml:space="preserve"> sites</w:t>
      </w:r>
      <w:r w:rsidR="00C339B4">
        <w:rPr>
          <w:i/>
          <w:iCs/>
        </w:rPr>
        <w:t>;</w:t>
      </w:r>
      <w:r w:rsidR="009D5200" w:rsidRPr="008D7406">
        <w:rPr>
          <w:i/>
          <w:iCs/>
        </w:rPr>
        <w:t xml:space="preserve"> </w:t>
      </w:r>
      <w:r w:rsidR="00C339B4">
        <w:rPr>
          <w:i/>
          <w:iCs/>
        </w:rPr>
        <w:t>eight</w:t>
      </w:r>
      <w:r w:rsidR="00C339B4" w:rsidRPr="008D7406">
        <w:rPr>
          <w:i/>
          <w:iCs/>
        </w:rPr>
        <w:t xml:space="preserve"> </w:t>
      </w:r>
      <w:r w:rsidR="009D5200" w:rsidRPr="008D7406">
        <w:rPr>
          <w:i/>
          <w:iCs/>
        </w:rPr>
        <w:t>Police Community Relations Committees (PCRC) in Bentiu, where 348 (43 per cent female) people have attended the meetings</w:t>
      </w:r>
      <w:r w:rsidR="00C339B4">
        <w:rPr>
          <w:i/>
          <w:iCs/>
        </w:rPr>
        <w:t>;</w:t>
      </w:r>
      <w:r w:rsidR="009D5200" w:rsidRPr="008D7406">
        <w:rPr>
          <w:i/>
          <w:iCs/>
        </w:rPr>
        <w:t xml:space="preserve"> and 25 youth (13 female) have been trained on </w:t>
      </w:r>
      <w:r w:rsidR="00C339B4">
        <w:rPr>
          <w:i/>
          <w:iCs/>
        </w:rPr>
        <w:t xml:space="preserve">the </w:t>
      </w:r>
      <w:r w:rsidR="009D5200" w:rsidRPr="008D7406">
        <w:rPr>
          <w:i/>
          <w:iCs/>
        </w:rPr>
        <w:t>youth in community policing concept supporting the security forces to counter youth violence.</w:t>
      </w:r>
    </w:p>
    <w:p w14:paraId="4F23CBC5" w14:textId="2B4D1D35" w:rsidR="00EC4761" w:rsidRDefault="00EC4761" w:rsidP="009D5200">
      <w:pPr>
        <w:ind w:left="-720"/>
        <w:jc w:val="both"/>
      </w:pPr>
    </w:p>
    <w:p w14:paraId="48664F86" w14:textId="6365BAD5" w:rsidR="00EC4761" w:rsidRDefault="00EC4761" w:rsidP="009D5200">
      <w:pPr>
        <w:ind w:left="-720"/>
        <w:jc w:val="both"/>
        <w:rPr>
          <w:i/>
          <w:iCs/>
        </w:rPr>
      </w:pPr>
      <w:r w:rsidRPr="00EC4761">
        <w:rPr>
          <w:i/>
          <w:iCs/>
        </w:rPr>
        <w:t xml:space="preserve">To enhance knowledge and capacity on children’s rights in the different implementation sites, </w:t>
      </w:r>
      <w:r w:rsidR="00C339B4">
        <w:rPr>
          <w:i/>
          <w:iCs/>
        </w:rPr>
        <w:t>two</w:t>
      </w:r>
      <w:r w:rsidRPr="00EC4761">
        <w:rPr>
          <w:i/>
          <w:iCs/>
        </w:rPr>
        <w:t xml:space="preserve"> consultant</w:t>
      </w:r>
      <w:r w:rsidR="00C339B4">
        <w:rPr>
          <w:i/>
          <w:iCs/>
        </w:rPr>
        <w:t>s (one national, one international)</w:t>
      </w:r>
      <w:r w:rsidRPr="00EC4761">
        <w:rPr>
          <w:i/>
          <w:iCs/>
        </w:rPr>
        <w:t xml:space="preserve"> have been identified to support the MGCSW with the implementation process of the Child Act 2008 and related policies and frameworks – from the strategic level down to grassroot</w:t>
      </w:r>
      <w:r w:rsidR="00C339B4">
        <w:rPr>
          <w:i/>
          <w:iCs/>
        </w:rPr>
        <w:t>s</w:t>
      </w:r>
      <w:r w:rsidRPr="00EC4761">
        <w:rPr>
          <w:i/>
          <w:iCs/>
        </w:rPr>
        <w:t xml:space="preserve"> level. </w:t>
      </w:r>
      <w:r>
        <w:rPr>
          <w:i/>
          <w:iCs/>
        </w:rPr>
        <w:t xml:space="preserve">The support includes technical support to the national government, training of justice actors (informal and formal) as well as establishing community networks on the ground. </w:t>
      </w:r>
      <w:r w:rsidR="00BA7463">
        <w:rPr>
          <w:i/>
          <w:iCs/>
        </w:rPr>
        <w:t xml:space="preserve">It is important to spread the knowledge on different levels and use an inclusive approach, including </w:t>
      </w:r>
      <w:proofErr w:type="gramStart"/>
      <w:r w:rsidR="00BA7463">
        <w:rPr>
          <w:i/>
          <w:iCs/>
        </w:rPr>
        <w:t>various different</w:t>
      </w:r>
      <w:proofErr w:type="gramEnd"/>
      <w:r w:rsidR="00BA7463">
        <w:rPr>
          <w:i/>
          <w:iCs/>
        </w:rPr>
        <w:t xml:space="preserve"> actors, for the appropriate and best result</w:t>
      </w:r>
      <w:r w:rsidR="00C339B4">
        <w:rPr>
          <w:i/>
          <w:iCs/>
        </w:rPr>
        <w:t>s</w:t>
      </w:r>
      <w:r w:rsidR="00BA7463">
        <w:rPr>
          <w:i/>
          <w:iCs/>
        </w:rPr>
        <w:t xml:space="preserve">. </w:t>
      </w:r>
    </w:p>
    <w:p w14:paraId="6C0985BB" w14:textId="445C36C4" w:rsidR="00BA7463" w:rsidRDefault="00BA7463" w:rsidP="009D5200">
      <w:pPr>
        <w:ind w:left="-720"/>
        <w:jc w:val="both"/>
        <w:rPr>
          <w:i/>
          <w:iCs/>
        </w:rPr>
      </w:pPr>
    </w:p>
    <w:p w14:paraId="20ADE355" w14:textId="384C21B9" w:rsidR="00BA7463" w:rsidRPr="00EC4761" w:rsidRDefault="00BA7463" w:rsidP="009D5200">
      <w:pPr>
        <w:ind w:left="-720"/>
        <w:jc w:val="both"/>
        <w:rPr>
          <w:i/>
          <w:iCs/>
        </w:rPr>
      </w:pPr>
      <w:r>
        <w:rPr>
          <w:i/>
          <w:iCs/>
        </w:rPr>
        <w:t xml:space="preserve">While measures to fill the knowledge gap is of fundamental importance for accountability and trust among the communities, </w:t>
      </w:r>
      <w:r w:rsidR="00C339B4">
        <w:rPr>
          <w:i/>
          <w:iCs/>
        </w:rPr>
        <w:t xml:space="preserve">access to a fair trial is </w:t>
      </w:r>
      <w:r>
        <w:rPr>
          <w:i/>
          <w:iCs/>
        </w:rPr>
        <w:t xml:space="preserve">equally important. For this purpose, the project will </w:t>
      </w:r>
      <w:r w:rsidR="00F31F25">
        <w:rPr>
          <w:i/>
          <w:iCs/>
        </w:rPr>
        <w:t>engage</w:t>
      </w:r>
      <w:r>
        <w:rPr>
          <w:i/>
          <w:iCs/>
        </w:rPr>
        <w:t xml:space="preserve"> with </w:t>
      </w:r>
      <w:r w:rsidR="00F31F25">
        <w:rPr>
          <w:i/>
          <w:iCs/>
        </w:rPr>
        <w:t xml:space="preserve">the </w:t>
      </w:r>
      <w:r>
        <w:rPr>
          <w:i/>
          <w:iCs/>
        </w:rPr>
        <w:t xml:space="preserve">South Sudan Law Society to establish a legal aid scheme in collaboration with the </w:t>
      </w:r>
      <w:proofErr w:type="spellStart"/>
      <w:r>
        <w:rPr>
          <w:i/>
          <w:iCs/>
        </w:rPr>
        <w:t>MoJCA</w:t>
      </w:r>
      <w:proofErr w:type="spellEnd"/>
      <w:r>
        <w:rPr>
          <w:i/>
          <w:iCs/>
        </w:rPr>
        <w:t xml:space="preserve"> and form a coalition of lawyers to provide legal representation to juveniles accused of committing a crime or victims of the same.</w:t>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611E88E" w14:textId="77777777" w:rsidR="00F31F25" w:rsidRDefault="00F31F25" w:rsidP="00F31F25">
      <w:pPr>
        <w:ind w:left="-720"/>
        <w:rPr>
          <w:bCs/>
        </w:rPr>
      </w:pPr>
    </w:p>
    <w:p w14:paraId="309AD67C" w14:textId="2EF74857" w:rsidR="00627A1C" w:rsidRPr="001C4515" w:rsidRDefault="00F31F25" w:rsidP="001C4515">
      <w:pPr>
        <w:ind w:left="-720"/>
        <w:rPr>
          <w:bCs/>
          <w:i/>
          <w:iCs/>
        </w:rPr>
      </w:pPr>
      <w:r w:rsidRPr="00F31F25">
        <w:rPr>
          <w:bCs/>
          <w:i/>
          <w:iCs/>
        </w:rPr>
        <w:t xml:space="preserve">The project fosters youth inclusiveness as the youth have been trained on </w:t>
      </w:r>
      <w:r w:rsidR="00C339B4">
        <w:rPr>
          <w:bCs/>
          <w:i/>
          <w:iCs/>
        </w:rPr>
        <w:t xml:space="preserve">the </w:t>
      </w:r>
      <w:r w:rsidRPr="00F31F25">
        <w:rPr>
          <w:bCs/>
          <w:i/>
          <w:iCs/>
        </w:rPr>
        <w:t>community policing concept and are empowered to resolve disputes among their peers.</w:t>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A8E1C2F" w14:textId="553B7B34" w:rsidR="00997347" w:rsidRPr="00627A1C" w:rsidRDefault="001C4515" w:rsidP="00EC1D43">
            <w:pPr>
              <w:rPr>
                <w:i/>
              </w:rPr>
            </w:pPr>
            <w:r>
              <w:rPr>
                <w:i/>
              </w:rPr>
              <w:t xml:space="preserve">Monthly coordination meetings </w:t>
            </w:r>
            <w:r w:rsidR="005462EB">
              <w:rPr>
                <w:i/>
              </w:rPr>
              <w:t xml:space="preserve">in the technical working group </w:t>
            </w:r>
            <w:r w:rsidR="001C7F7D">
              <w:rPr>
                <w:i/>
              </w:rPr>
              <w:t xml:space="preserve">have been set up </w:t>
            </w:r>
            <w:r>
              <w:rPr>
                <w:i/>
              </w:rPr>
              <w:t xml:space="preserve">and/or reports </w:t>
            </w:r>
            <w:r w:rsidR="001C7F7D">
              <w:rPr>
                <w:i/>
              </w:rPr>
              <w:t xml:space="preserve">received from </w:t>
            </w:r>
            <w:r>
              <w:rPr>
                <w:i/>
              </w:rPr>
              <w:t xml:space="preserve">counterparts to review the progress that is being made and any challenges faced, </w:t>
            </w:r>
            <w:r w:rsidR="00C339B4">
              <w:rPr>
                <w:i/>
              </w:rPr>
              <w:t xml:space="preserve">as well as </w:t>
            </w:r>
            <w:r>
              <w:rPr>
                <w:i/>
              </w:rPr>
              <w:t xml:space="preserve">how to address these. The field offices are also being involved to ensure regular support, coordination and oversight of the counterparts’ activities. Moreover, communication and visibility guidance has been shared with local counterparts to ensure the material development is in line with donor and agency norms and procedures.  </w:t>
            </w:r>
          </w:p>
          <w:p w14:paraId="68DC370D" w14:textId="77777777" w:rsidR="007118F5" w:rsidRPr="00627A1C" w:rsidRDefault="007118F5" w:rsidP="00234A5E"/>
        </w:tc>
        <w:tc>
          <w:tcPr>
            <w:tcW w:w="5940" w:type="dxa"/>
            <w:shd w:val="clear" w:color="auto" w:fill="auto"/>
          </w:tcPr>
          <w:p w14:paraId="6338D0DA" w14:textId="3A91AE50" w:rsidR="00997347" w:rsidRPr="00627A1C" w:rsidRDefault="007118F5" w:rsidP="00AD73D3">
            <w:r w:rsidRPr="00627A1C">
              <w:t xml:space="preserve">Do outcome indicators have baselines? </w:t>
            </w:r>
            <w:r w:rsidR="001C4515">
              <w:fldChar w:fldCharType="begin">
                <w:ffData>
                  <w:name w:val="Dropdown3"/>
                  <w:enabled/>
                  <w:calcOnExit w:val="0"/>
                  <w:ddList>
                    <w:listEntry w:val="no"/>
                    <w:listEntry w:val="yes"/>
                    <w:listEntry w:val="please select"/>
                  </w:ddList>
                </w:ffData>
              </w:fldChar>
            </w:r>
            <w:bookmarkStart w:id="13" w:name="Dropdown3"/>
            <w:r w:rsidR="001C4515">
              <w:instrText xml:space="preserve"> FORMDROPDOWN </w:instrText>
            </w:r>
            <w:r w:rsidR="001E03EE">
              <w:fldChar w:fldCharType="separate"/>
            </w:r>
            <w:r w:rsidR="001C4515">
              <w:fldChar w:fldCharType="end"/>
            </w:r>
            <w:bookmarkEnd w:id="13"/>
          </w:p>
          <w:p w14:paraId="17045224" w14:textId="77777777" w:rsidR="001C4515" w:rsidRDefault="001C4515" w:rsidP="001C4515">
            <w:pPr>
              <w:pStyle w:val="Body"/>
              <w:rPr>
                <w:i/>
                <w:iCs/>
                <w:lang w:val="en-GB"/>
              </w:rPr>
            </w:pPr>
          </w:p>
          <w:p w14:paraId="01D909C3" w14:textId="5BBC63D2" w:rsidR="001C4515" w:rsidRPr="009B274F" w:rsidRDefault="001C4515" w:rsidP="001C4515">
            <w:pPr>
              <w:pStyle w:val="Body"/>
              <w:rPr>
                <w:i/>
                <w:iCs/>
                <w:lang w:val="en-GB"/>
              </w:rPr>
            </w:pPr>
            <w:r w:rsidRPr="009B274F">
              <w:rPr>
                <w:i/>
                <w:iCs/>
                <w:lang w:val="en-GB"/>
              </w:rPr>
              <w:t xml:space="preserve">Outcome </w:t>
            </w:r>
            <w:r>
              <w:rPr>
                <w:i/>
                <w:iCs/>
                <w:lang w:val="en-GB"/>
              </w:rPr>
              <w:t xml:space="preserve">and output </w:t>
            </w:r>
            <w:r w:rsidRPr="009B274F">
              <w:rPr>
                <w:i/>
                <w:iCs/>
                <w:lang w:val="en-GB"/>
              </w:rPr>
              <w:t>level indicators will be reviewed through a perception</w:t>
            </w:r>
            <w:r>
              <w:rPr>
                <w:i/>
                <w:iCs/>
                <w:lang w:val="en-GB"/>
              </w:rPr>
              <w:t xml:space="preserve"> and baseline</w:t>
            </w:r>
            <w:r w:rsidRPr="009B274F">
              <w:rPr>
                <w:i/>
                <w:iCs/>
                <w:lang w:val="en-GB"/>
              </w:rPr>
              <w:t xml:space="preserve"> survey</w:t>
            </w:r>
            <w:r>
              <w:rPr>
                <w:i/>
                <w:iCs/>
                <w:lang w:val="en-GB"/>
              </w:rPr>
              <w:t xml:space="preserve"> by a consultant. The consultant is identified, and the implementation of the assignment, which is for a </w:t>
            </w:r>
            <w:r w:rsidR="00C339B4">
              <w:rPr>
                <w:i/>
                <w:iCs/>
                <w:lang w:val="en-GB"/>
              </w:rPr>
              <w:t>three</w:t>
            </w:r>
            <w:r>
              <w:rPr>
                <w:i/>
                <w:iCs/>
                <w:lang w:val="en-GB"/>
              </w:rPr>
              <w:t>-month</w:t>
            </w:r>
            <w:r w:rsidR="00C339B4">
              <w:rPr>
                <w:i/>
                <w:iCs/>
                <w:lang w:val="en-GB"/>
              </w:rPr>
              <w:t xml:space="preserve"> </w:t>
            </w:r>
            <w:r>
              <w:rPr>
                <w:i/>
                <w:iCs/>
                <w:lang w:val="en-GB"/>
              </w:rPr>
              <w:t xml:space="preserve">period, is about to start. </w:t>
            </w:r>
          </w:p>
          <w:p w14:paraId="15B120F3" w14:textId="77777777" w:rsidR="007118F5" w:rsidRPr="00627A1C" w:rsidRDefault="007118F5" w:rsidP="00AD73D3"/>
          <w:p w14:paraId="1816EF72" w14:textId="77777777" w:rsidR="007118F5" w:rsidRDefault="007118F5" w:rsidP="00AD73D3">
            <w:r w:rsidRPr="00627A1C">
              <w:t xml:space="preserve">Has the project launched perception surveys or other community-based data collection? </w:t>
            </w:r>
            <w:r w:rsidR="001C4515">
              <w:fldChar w:fldCharType="begin">
                <w:ffData>
                  <w:name w:val=""/>
                  <w:enabled/>
                  <w:calcOnExit w:val="0"/>
                  <w:ddList>
                    <w:listEntry w:val="no"/>
                    <w:listEntry w:val="please select"/>
                    <w:listEntry w:val="yes"/>
                  </w:ddList>
                </w:ffData>
              </w:fldChar>
            </w:r>
            <w:r w:rsidR="001C4515">
              <w:instrText xml:space="preserve"> FORMDROPDOWN </w:instrText>
            </w:r>
            <w:r w:rsidR="001E03EE">
              <w:fldChar w:fldCharType="separate"/>
            </w:r>
            <w:r w:rsidR="001C4515">
              <w:fldChar w:fldCharType="end"/>
            </w:r>
          </w:p>
          <w:p w14:paraId="0E63DA9E" w14:textId="77777777" w:rsidR="001C4515" w:rsidRDefault="001C4515" w:rsidP="00AD73D3"/>
          <w:p w14:paraId="4749D761" w14:textId="24EF2489" w:rsidR="001C4515" w:rsidRPr="00627A1C" w:rsidRDefault="001C4515" w:rsidP="00AD73D3">
            <w:r w:rsidRPr="009B274F">
              <w:rPr>
                <w:i/>
                <w:iCs/>
              </w:rPr>
              <w:t xml:space="preserve">The perception and baseline survey have not been launched, as </w:t>
            </w:r>
            <w:r>
              <w:rPr>
                <w:i/>
                <w:iCs/>
              </w:rPr>
              <w:t>it is not yet finalized.</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5FADFF23" w14:textId="77777777" w:rsidR="007118F5" w:rsidRDefault="001C4515" w:rsidP="007118F5">
            <w:r>
              <w:fldChar w:fldCharType="begin">
                <w:ffData>
                  <w:name w:val=""/>
                  <w:enabled/>
                  <w:calcOnExit w:val="0"/>
                  <w:ddList>
                    <w:listEntry w:val="no"/>
                    <w:listEntry w:val="please select"/>
                    <w:listEntry w:val="yes"/>
                  </w:ddList>
                </w:ffData>
              </w:fldChar>
            </w:r>
            <w:r>
              <w:instrText xml:space="preserve"> FORMDROPDOWN </w:instrText>
            </w:r>
            <w:r w:rsidR="001E03EE">
              <w:fldChar w:fldCharType="separate"/>
            </w:r>
            <w:r>
              <w:fldChar w:fldCharType="end"/>
            </w:r>
          </w:p>
          <w:p w14:paraId="763087BD" w14:textId="77777777" w:rsidR="001C4515" w:rsidRDefault="001C4515" w:rsidP="007118F5"/>
          <w:p w14:paraId="34C4D621" w14:textId="49124B05" w:rsidR="001C4515" w:rsidRDefault="001C4515" w:rsidP="007118F5">
            <w:pPr>
              <w:rPr>
                <w:i/>
                <w:iCs/>
              </w:rPr>
            </w:pPr>
            <w:r w:rsidRPr="001C4515">
              <w:rPr>
                <w:i/>
                <w:iCs/>
              </w:rPr>
              <w:t xml:space="preserve">The mid-term evaluation was delayed due to </w:t>
            </w:r>
            <w:r>
              <w:rPr>
                <w:i/>
                <w:iCs/>
              </w:rPr>
              <w:t xml:space="preserve">the </w:t>
            </w:r>
            <w:r w:rsidRPr="001C4515">
              <w:rPr>
                <w:i/>
                <w:iCs/>
              </w:rPr>
              <w:t>COVID-19 outbreak and is planned to be conducted in February/March</w:t>
            </w:r>
            <w:r w:rsidR="00C339B4">
              <w:rPr>
                <w:i/>
                <w:iCs/>
              </w:rPr>
              <w:t xml:space="preserve"> 2021.</w:t>
            </w:r>
          </w:p>
          <w:p w14:paraId="30E2DDCB" w14:textId="287BE9CB" w:rsidR="001C4515" w:rsidRPr="001C4515" w:rsidRDefault="001C4515" w:rsidP="007118F5">
            <w:pPr>
              <w:rPr>
                <w:i/>
                <w:iCs/>
              </w:rPr>
            </w:pPr>
          </w:p>
        </w:tc>
        <w:tc>
          <w:tcPr>
            <w:tcW w:w="5940" w:type="dxa"/>
            <w:shd w:val="clear" w:color="auto" w:fill="auto"/>
          </w:tcPr>
          <w:p w14:paraId="0A637856" w14:textId="617DC196" w:rsidR="006C1819" w:rsidRPr="00627A1C" w:rsidRDefault="004D141E" w:rsidP="00E76CA1">
            <w:r w:rsidRPr="00627A1C">
              <w:t>Evaluation budget</w:t>
            </w:r>
            <w:r w:rsidR="007118F5" w:rsidRPr="00627A1C">
              <w:t xml:space="preserve"> (response required)</w:t>
            </w:r>
            <w:r w:rsidRPr="00627A1C">
              <w:t xml:space="preserve">:  </w:t>
            </w:r>
            <w:r w:rsidR="001C4515" w:rsidRPr="001C4515">
              <w:rPr>
                <w:i/>
                <w:iCs/>
              </w:rPr>
              <w:t>150,000 USD for monitoring and evaluation.</w:t>
            </w:r>
          </w:p>
          <w:p w14:paraId="250C2893" w14:textId="77777777" w:rsidR="004D141E" w:rsidRPr="00627A1C" w:rsidRDefault="004D141E" w:rsidP="00E76CA1"/>
          <w:p w14:paraId="5E7D651E" w14:textId="5C05AF66"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1C4515" w:rsidRPr="001C4515">
              <w:rPr>
                <w:i/>
                <w:iCs/>
              </w:rPr>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55CB79AC" w14:textId="1EE142A1" w:rsidR="00156C4C" w:rsidRPr="00994C23" w:rsidRDefault="00994C23" w:rsidP="00156C4C">
            <w:pPr>
              <w:rPr>
                <w:i/>
                <w:iCs/>
              </w:rPr>
            </w:pPr>
            <w:r w:rsidRPr="00994C23">
              <w:rPr>
                <w:i/>
                <w:iCs/>
              </w:rPr>
              <w:t>N/A</w:t>
            </w:r>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10AA17A8" w14:textId="1D2AF334" w:rsidR="002C187A" w:rsidRDefault="008B2270" w:rsidP="00E76CA1">
            <w:pPr>
              <w:rPr>
                <w:i/>
                <w:iCs/>
              </w:rPr>
            </w:pPr>
            <w:r w:rsidRPr="008B2270">
              <w:rPr>
                <w:i/>
                <w:iCs/>
              </w:rPr>
              <w:t>Due to the COVID-19 outbreak</w:t>
            </w:r>
            <w:r w:rsidR="00C339B4">
              <w:rPr>
                <w:i/>
                <w:iCs/>
              </w:rPr>
              <w:t>,</w:t>
            </w:r>
            <w:r w:rsidRPr="008B2270">
              <w:rPr>
                <w:i/>
                <w:iCs/>
              </w:rPr>
              <w:t xml:space="preserve"> activities have been slightly delayed and subject </w:t>
            </w:r>
            <w:r w:rsidR="00C339B4">
              <w:rPr>
                <w:i/>
                <w:iCs/>
              </w:rPr>
              <w:t>to</w:t>
            </w:r>
            <w:r w:rsidR="00C339B4" w:rsidRPr="008B2270">
              <w:rPr>
                <w:i/>
                <w:iCs/>
              </w:rPr>
              <w:t xml:space="preserve"> </w:t>
            </w:r>
            <w:r w:rsidRPr="008B2270">
              <w:rPr>
                <w:i/>
                <w:iCs/>
              </w:rPr>
              <w:t>small adjustments to fit the evolving context and restrictive measures in place. For example, the partners have had to modify their implementation modalities in line with government issued guidelines.</w:t>
            </w:r>
            <w:r>
              <w:t xml:space="preserve"> </w:t>
            </w:r>
            <w:r>
              <w:rPr>
                <w:i/>
                <w:iCs/>
              </w:rPr>
              <w:t xml:space="preserve">However, </w:t>
            </w:r>
            <w:r w:rsidR="00EC1D43">
              <w:rPr>
                <w:i/>
                <w:iCs/>
              </w:rPr>
              <w:t>the modifications are</w:t>
            </w:r>
            <w:r>
              <w:rPr>
                <w:i/>
                <w:iCs/>
              </w:rPr>
              <w:t xml:space="preserve"> not expected to cause </w:t>
            </w:r>
            <w:r w:rsidR="00EC1D43">
              <w:rPr>
                <w:i/>
                <w:iCs/>
              </w:rPr>
              <w:t xml:space="preserve">significant </w:t>
            </w:r>
            <w:r>
              <w:rPr>
                <w:i/>
                <w:iCs/>
              </w:rPr>
              <w:t xml:space="preserve">delays </w:t>
            </w:r>
            <w:r w:rsidR="00EC1D43">
              <w:rPr>
                <w:i/>
                <w:iCs/>
              </w:rPr>
              <w:t>in</w:t>
            </w:r>
            <w:r>
              <w:rPr>
                <w:i/>
                <w:iCs/>
              </w:rPr>
              <w:t xml:space="preserve"> project implementation as such. </w:t>
            </w:r>
          </w:p>
          <w:p w14:paraId="303C0E02" w14:textId="77777777" w:rsidR="008B2270" w:rsidRDefault="008B2270" w:rsidP="008B2270"/>
          <w:p w14:paraId="685A3F1A" w14:textId="13C0D4BB" w:rsidR="008B2270" w:rsidRPr="008B2270" w:rsidRDefault="008B2270" w:rsidP="008B2270">
            <w:pPr>
              <w:rPr>
                <w:i/>
                <w:iCs/>
              </w:rPr>
            </w:pPr>
            <w:r w:rsidRPr="008B2270">
              <w:rPr>
                <w:i/>
                <w:iCs/>
              </w:rPr>
              <w:t xml:space="preserve">Additionally, project monitoring will continue to be conducted remotely and with support from the field staff. </w:t>
            </w:r>
          </w:p>
          <w:p w14:paraId="6933B5B0" w14:textId="77777777" w:rsidR="008B2270" w:rsidRPr="008B2270" w:rsidRDefault="008B2270" w:rsidP="008B2270">
            <w:pPr>
              <w:rPr>
                <w:i/>
                <w:iCs/>
              </w:rPr>
            </w:pPr>
          </w:p>
          <w:p w14:paraId="7FCE1AB1" w14:textId="7DF340BE" w:rsidR="008B2270" w:rsidRPr="008B2270" w:rsidRDefault="008B2270" w:rsidP="008B2270">
            <w:pPr>
              <w:rPr>
                <w:i/>
                <w:iCs/>
              </w:rPr>
            </w:pPr>
            <w:r w:rsidRPr="008B2270">
              <w:rPr>
                <w:i/>
                <w:iCs/>
              </w:rPr>
              <w:t xml:space="preserve">The programme shall take into consideration scaling up outreach/awareness raising </w:t>
            </w:r>
            <w:r>
              <w:rPr>
                <w:i/>
                <w:iCs/>
              </w:rPr>
              <w:t xml:space="preserve">through COVID compatible measures, such as </w:t>
            </w:r>
            <w:r w:rsidRPr="008B2270">
              <w:rPr>
                <w:i/>
                <w:iCs/>
              </w:rPr>
              <w:t>online platforms/media instead of face to face interactions.</w:t>
            </w:r>
          </w:p>
          <w:p w14:paraId="780475A2" w14:textId="42ECC764" w:rsidR="008B2270" w:rsidRPr="008B2270" w:rsidRDefault="008B2270" w:rsidP="00E76CA1">
            <w:pPr>
              <w:rPr>
                <w:i/>
                <w:iCs/>
              </w:rPr>
            </w:pP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83A40">
      <w:pPr>
        <w:pStyle w:val="ListParagraph"/>
        <w:numPr>
          <w:ilvl w:val="0"/>
          <w:numId w:val="49"/>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0206E928" w:rsidR="00E83A40" w:rsidRDefault="00C55E8E" w:rsidP="00E83A40">
      <w:pPr>
        <w:ind w:left="2160"/>
      </w:pPr>
      <w:r>
        <w:t>$</w:t>
      </w:r>
      <w:r w:rsidR="00C968E6">
        <w:t xml:space="preserve"> 0</w:t>
      </w:r>
    </w:p>
    <w:p w14:paraId="50938D6B" w14:textId="77777777" w:rsidR="00E83A40" w:rsidRDefault="00E83A40" w:rsidP="00E83A40"/>
    <w:p w14:paraId="42BC2B4F" w14:textId="5534CD0B" w:rsidR="00E83A40" w:rsidRDefault="00C55E8E" w:rsidP="00E83A40">
      <w:pPr>
        <w:pStyle w:val="ListParagraph"/>
        <w:numPr>
          <w:ilvl w:val="0"/>
          <w:numId w:val="49"/>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5AB12C2" w14:textId="77777777" w:rsidR="008B2270" w:rsidRDefault="008B2270" w:rsidP="008B2270">
      <w:pPr>
        <w:ind w:left="720"/>
      </w:pPr>
    </w:p>
    <w:p w14:paraId="3779C9A2" w14:textId="27412090" w:rsidR="00257569" w:rsidRDefault="008B2270" w:rsidP="00BB4C09">
      <w:pPr>
        <w:jc w:val="both"/>
        <w:rPr>
          <w:i/>
          <w:iCs/>
        </w:rPr>
      </w:pPr>
      <w:r w:rsidRPr="008B2270">
        <w:rPr>
          <w:i/>
          <w:iCs/>
        </w:rPr>
        <w:t>Due to the COVID-19 outbreak</w:t>
      </w:r>
      <w:r>
        <w:rPr>
          <w:i/>
          <w:iCs/>
        </w:rPr>
        <w:t xml:space="preserve">, </w:t>
      </w:r>
      <w:r w:rsidRPr="008B2270">
        <w:rPr>
          <w:i/>
          <w:iCs/>
        </w:rPr>
        <w:t xml:space="preserve">implementation </w:t>
      </w:r>
      <w:r w:rsidR="00E67819">
        <w:rPr>
          <w:i/>
          <w:iCs/>
        </w:rPr>
        <w:t>of</w:t>
      </w:r>
      <w:r w:rsidRPr="008B2270">
        <w:rPr>
          <w:i/>
          <w:iCs/>
        </w:rPr>
        <w:t xml:space="preserve"> certain activities ha</w:t>
      </w:r>
      <w:r w:rsidR="00EC1D43">
        <w:rPr>
          <w:i/>
          <w:iCs/>
        </w:rPr>
        <w:t>s</w:t>
      </w:r>
      <w:r w:rsidRPr="008B2270">
        <w:rPr>
          <w:i/>
          <w:iCs/>
        </w:rPr>
        <w:t xml:space="preserve"> been modified to align with the evolving context as well as the restrictions put in place by the national government</w:t>
      </w:r>
      <w:r w:rsidRPr="0087459F">
        <w:rPr>
          <w:i/>
          <w:iCs/>
        </w:rPr>
        <w:t xml:space="preserve">. </w:t>
      </w:r>
      <w:r w:rsidR="00E67819">
        <w:rPr>
          <w:i/>
          <w:iCs/>
        </w:rPr>
        <w:t>T</w:t>
      </w:r>
      <w:r w:rsidRPr="0087459F">
        <w:rPr>
          <w:i/>
          <w:iCs/>
        </w:rPr>
        <w:t>raining</w:t>
      </w:r>
      <w:r w:rsidR="00BB4C09">
        <w:rPr>
          <w:i/>
          <w:iCs/>
        </w:rPr>
        <w:t>s</w:t>
      </w:r>
      <w:r w:rsidRPr="0087459F">
        <w:rPr>
          <w:i/>
          <w:iCs/>
        </w:rPr>
        <w:t xml:space="preserve"> that would have been conducted in one hall </w:t>
      </w:r>
      <w:r w:rsidR="00BB4C09">
        <w:rPr>
          <w:i/>
          <w:iCs/>
        </w:rPr>
        <w:t>took place in</w:t>
      </w:r>
      <w:r w:rsidRPr="0087459F">
        <w:rPr>
          <w:i/>
          <w:iCs/>
        </w:rPr>
        <w:t xml:space="preserve"> two </w:t>
      </w:r>
      <w:r w:rsidR="00BB4C09">
        <w:rPr>
          <w:i/>
          <w:iCs/>
        </w:rPr>
        <w:t>halls</w:t>
      </w:r>
      <w:r w:rsidRPr="0087459F">
        <w:rPr>
          <w:i/>
          <w:iCs/>
        </w:rPr>
        <w:t xml:space="preserve"> </w:t>
      </w:r>
      <w:r w:rsidR="00EC1D43">
        <w:rPr>
          <w:i/>
          <w:iCs/>
        </w:rPr>
        <w:t>with</w:t>
      </w:r>
      <w:r w:rsidR="00EC1D43" w:rsidRPr="0087459F">
        <w:rPr>
          <w:i/>
          <w:iCs/>
        </w:rPr>
        <w:t xml:space="preserve"> </w:t>
      </w:r>
      <w:r w:rsidRPr="0087459F">
        <w:rPr>
          <w:i/>
          <w:iCs/>
        </w:rPr>
        <w:t>facilitation led separately</w:t>
      </w:r>
      <w:r w:rsidR="007B4A6F">
        <w:rPr>
          <w:i/>
          <w:iCs/>
        </w:rPr>
        <w:t xml:space="preserve"> to adhere to the </w:t>
      </w:r>
      <w:r w:rsidR="00E67819">
        <w:rPr>
          <w:i/>
          <w:iCs/>
        </w:rPr>
        <w:t>COVID</w:t>
      </w:r>
      <w:r w:rsidR="00682678">
        <w:rPr>
          <w:i/>
          <w:iCs/>
        </w:rPr>
        <w:t>-19</w:t>
      </w:r>
      <w:r w:rsidR="00E67819">
        <w:rPr>
          <w:i/>
          <w:iCs/>
        </w:rPr>
        <w:t xml:space="preserve"> protocols</w:t>
      </w:r>
      <w:r w:rsidRPr="0087459F">
        <w:rPr>
          <w:i/>
          <w:iCs/>
        </w:rPr>
        <w:t>. Additionally, the training facilitators echo</w:t>
      </w:r>
      <w:r w:rsidR="00EC1D43">
        <w:rPr>
          <w:i/>
          <w:iCs/>
        </w:rPr>
        <w:t>ed COVID-19</w:t>
      </w:r>
      <w:r w:rsidRPr="0087459F">
        <w:rPr>
          <w:i/>
          <w:iCs/>
        </w:rPr>
        <w:t xml:space="preserve"> messag</w:t>
      </w:r>
      <w:r w:rsidR="00EC1D43">
        <w:rPr>
          <w:i/>
          <w:iCs/>
        </w:rPr>
        <w:t xml:space="preserve">ing, </w:t>
      </w:r>
      <w:r w:rsidRPr="0087459F">
        <w:rPr>
          <w:i/>
          <w:iCs/>
        </w:rPr>
        <w:t xml:space="preserve">urging participants to adhere to guidelines as well as take protective and preventative actions.  </w:t>
      </w:r>
    </w:p>
    <w:p w14:paraId="7070731A" w14:textId="77777777" w:rsidR="0087459F" w:rsidRPr="0087459F" w:rsidRDefault="0087459F" w:rsidP="00257569">
      <w:pPr>
        <w:rPr>
          <w:i/>
          <w:iCs/>
        </w:rPr>
      </w:pPr>
    </w:p>
    <w:p w14:paraId="59BC82AF" w14:textId="2B9AA913" w:rsidR="00257569" w:rsidRDefault="00257569" w:rsidP="00257569">
      <w:pPr>
        <w:pStyle w:val="ListParagraph"/>
        <w:numPr>
          <w:ilvl w:val="0"/>
          <w:numId w:val="49"/>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270AE82B" w:rsidR="00257569" w:rsidRPr="00AF7BE4" w:rsidRDefault="001E03EE" w:rsidP="00257569">
      <w:sdt>
        <w:sdtPr>
          <w:id w:val="402566072"/>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25FE9730" w:rsidR="00257569" w:rsidRPr="00AF7BE4" w:rsidRDefault="001E03EE" w:rsidP="00257569">
      <w:sdt>
        <w:sdtPr>
          <w:id w:val="1706904896"/>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7C388445" w:rsidR="00257569" w:rsidRPr="00AF7BE4" w:rsidRDefault="001E03EE" w:rsidP="00257569">
      <w:sdt>
        <w:sdtPr>
          <w:id w:val="1028075960"/>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1E03EE"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1E03EE"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1F56CA59" w:rsidR="00257569" w:rsidRDefault="001E03EE" w:rsidP="002F53B0">
      <w:pPr>
        <w:jc w:val="both"/>
      </w:pPr>
      <w:sdt>
        <w:sdtPr>
          <w:id w:val="810906333"/>
          <w14:checkbox>
            <w14:checked w14:val="1"/>
            <w14:checkedState w14:val="2612" w14:font="MS Gothic"/>
            <w14:uncheckedState w14:val="2610" w14:font="MS Gothic"/>
          </w14:checkbox>
        </w:sdtPr>
        <w:sdtEndPr/>
        <w:sdtContent>
          <w:r w:rsidR="00C968E6">
            <w:rPr>
              <w:rFonts w:ascii="MS Gothic" w:eastAsia="MS Gothic" w:hAnsi="MS Gothic" w:hint="eastAsia"/>
            </w:rPr>
            <w:t>☒</w:t>
          </w:r>
        </w:sdtContent>
      </w:sdt>
      <w:r w:rsidR="00257569" w:rsidRPr="00AF7BE4">
        <w:t xml:space="preserve"> </w:t>
      </w:r>
      <w:r w:rsidR="00257569" w:rsidRPr="001C7F7D">
        <w:t>Other (please describe):</w:t>
      </w:r>
      <w:r w:rsidR="00257569">
        <w:t xml:space="preserve"> </w:t>
      </w:r>
      <w:r w:rsidR="001C7F7D">
        <w:rPr>
          <w:i/>
          <w:iCs/>
        </w:rPr>
        <w:t>W</w:t>
      </w:r>
      <w:r w:rsidR="001C7F7D" w:rsidRPr="008B2270">
        <w:rPr>
          <w:i/>
          <w:iCs/>
          <w:noProof/>
        </w:rPr>
        <w:t xml:space="preserve">ithin the COVID-19 context, the consortium and its local counterparts have had to adapt their activities and work plans to guarantee </w:t>
      </w:r>
      <w:r w:rsidR="00EC1D43">
        <w:rPr>
          <w:i/>
          <w:iCs/>
          <w:noProof/>
        </w:rPr>
        <w:t>that</w:t>
      </w:r>
      <w:r w:rsidR="00EC1D43" w:rsidRPr="008B2270">
        <w:rPr>
          <w:i/>
          <w:iCs/>
          <w:noProof/>
        </w:rPr>
        <w:t xml:space="preserve"> </w:t>
      </w:r>
      <w:r w:rsidR="001C7F7D" w:rsidRPr="008B2270">
        <w:rPr>
          <w:i/>
          <w:iCs/>
          <w:noProof/>
        </w:rPr>
        <w:t>implementation respect</w:t>
      </w:r>
      <w:r w:rsidR="00EC1D43">
        <w:rPr>
          <w:i/>
          <w:iCs/>
          <w:noProof/>
        </w:rPr>
        <w:t>s</w:t>
      </w:r>
      <w:r w:rsidR="001C7F7D" w:rsidRPr="008B2270">
        <w:rPr>
          <w:i/>
          <w:iCs/>
          <w:noProof/>
        </w:rPr>
        <w:t xml:space="preserve"> WHO guidelines on infection prevention and control. Moreover, with restrictions and related impediments to, for example, regular movement and travel, and to large groups of people being brought together, activities have at times experienced delays or have had to be carried out over an extended</w:t>
      </w:r>
      <w:r w:rsidR="001C7F7D" w:rsidRPr="008B2270">
        <w:rPr>
          <w:i/>
          <w:iCs/>
          <w:noProof/>
        </w:rPr>
        <w:t> </w:t>
      </w:r>
      <w:r w:rsidR="001C7F7D" w:rsidRPr="008B2270">
        <w:rPr>
          <w:i/>
          <w:iCs/>
          <w:noProof/>
        </w:rPr>
        <w:t>period of time, as opposed to the initial planning made prior to the pandemic's outbreak.</w:t>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r w:rsidRPr="001B54AC">
        <w:rPr>
          <w:i/>
          <w:iCs/>
        </w:rPr>
        <w:t>i.e.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36A7784B" w14:textId="24FCAE13" w:rsidR="0094196C" w:rsidRDefault="0094196C" w:rsidP="001B54AC"/>
    <w:p w14:paraId="5E73D539" w14:textId="77777777" w:rsidR="00257569" w:rsidRDefault="00257569" w:rsidP="00257569">
      <w:pPr>
        <w:ind w:left="2160"/>
      </w:pPr>
    </w:p>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87459F" w:rsidRPr="00627A1C" w14:paraId="328F4662" w14:textId="77777777" w:rsidTr="001B6DFD">
        <w:trPr>
          <w:trHeight w:val="548"/>
        </w:trPr>
        <w:tc>
          <w:tcPr>
            <w:tcW w:w="1530" w:type="dxa"/>
            <w:vMerge w:val="restart"/>
          </w:tcPr>
          <w:p w14:paraId="78B0775D" w14:textId="77777777" w:rsidR="0087459F" w:rsidRDefault="0087459F" w:rsidP="0087459F">
            <w:pPr>
              <w:rPr>
                <w:b/>
                <w:lang w:val="en-US" w:eastAsia="en-US"/>
              </w:rPr>
            </w:pPr>
            <w:r w:rsidRPr="00627A1C">
              <w:rPr>
                <w:b/>
                <w:lang w:val="en-US" w:eastAsia="en-US"/>
              </w:rPr>
              <w:t>Outcome 1</w:t>
            </w:r>
          </w:p>
          <w:p w14:paraId="2607127A" w14:textId="43DFB85C" w:rsidR="0087459F" w:rsidRPr="0087459F" w:rsidRDefault="0087459F" w:rsidP="0087459F">
            <w:pPr>
              <w:rPr>
                <w:b/>
                <w:lang w:val="en-US" w:eastAsia="en-US"/>
              </w:rPr>
            </w:pPr>
            <w:r w:rsidRPr="009B274F">
              <w:rPr>
                <w:b/>
                <w:bCs/>
              </w:rPr>
              <w:t xml:space="preserve">The engagement of Children and Youth in the targeted communities of Aweil, Juba, </w:t>
            </w:r>
            <w:proofErr w:type="spellStart"/>
            <w:r w:rsidRPr="009B274F">
              <w:rPr>
                <w:b/>
                <w:bCs/>
              </w:rPr>
              <w:t>Bor</w:t>
            </w:r>
            <w:proofErr w:type="spellEnd"/>
            <w:r w:rsidRPr="009B274F">
              <w:rPr>
                <w:b/>
                <w:bCs/>
              </w:rPr>
              <w:t xml:space="preserve">, Pibor and Bentiu in dialogue and trust building mechanisms has increased </w:t>
            </w:r>
            <w:r w:rsidRPr="009B274F">
              <w:rPr>
                <w:b/>
                <w:bCs/>
              </w:rPr>
              <w:lastRenderedPageBreak/>
              <w:t>and leads to reduction in violence and conflict.</w:t>
            </w:r>
          </w:p>
          <w:p w14:paraId="07C3D614" w14:textId="77777777" w:rsidR="0087459F" w:rsidRPr="00627A1C" w:rsidRDefault="0087459F" w:rsidP="0087459F">
            <w:pPr>
              <w:rPr>
                <w:b/>
                <w:lang w:val="en-US" w:eastAsia="en-US"/>
              </w:rPr>
            </w:pPr>
          </w:p>
        </w:tc>
        <w:tc>
          <w:tcPr>
            <w:tcW w:w="2070" w:type="dxa"/>
            <w:shd w:val="clear" w:color="auto" w:fill="EEECE1"/>
          </w:tcPr>
          <w:p w14:paraId="2BCF864A" w14:textId="77777777" w:rsidR="0087459F" w:rsidRPr="00627A1C" w:rsidRDefault="0087459F" w:rsidP="0087459F">
            <w:pPr>
              <w:jc w:val="both"/>
              <w:rPr>
                <w:lang w:val="en-US" w:eastAsia="en-US"/>
              </w:rPr>
            </w:pPr>
            <w:r w:rsidRPr="00627A1C">
              <w:rPr>
                <w:lang w:val="en-US" w:eastAsia="en-US"/>
              </w:rPr>
              <w:lastRenderedPageBreak/>
              <w:t>Indicator 1.1</w:t>
            </w:r>
          </w:p>
          <w:p w14:paraId="1D96A8DA" w14:textId="535F9953" w:rsidR="0087459F" w:rsidRPr="00627A1C" w:rsidRDefault="0087459F" w:rsidP="0087459F">
            <w:pPr>
              <w:jc w:val="both"/>
              <w:rPr>
                <w:lang w:val="en-US" w:eastAsia="en-US"/>
              </w:rPr>
            </w:pPr>
            <w:r w:rsidRPr="00A64222">
              <w:rPr>
                <w:b/>
                <w:lang w:eastAsia="en-US"/>
              </w:rPr>
              <w:t xml:space="preserve"># </w:t>
            </w:r>
            <w:r w:rsidRPr="00920F3F">
              <w:rPr>
                <w:bCs/>
                <w:lang w:eastAsia="en-US"/>
              </w:rPr>
              <w:t xml:space="preserve">of individual respondents with confidence in peace and security in the target communities of Aweil, </w:t>
            </w:r>
            <w:proofErr w:type="spellStart"/>
            <w:r w:rsidRPr="00920F3F">
              <w:rPr>
                <w:bCs/>
                <w:lang w:eastAsia="en-US"/>
              </w:rPr>
              <w:t>Bor</w:t>
            </w:r>
            <w:proofErr w:type="spellEnd"/>
            <w:r w:rsidRPr="00920F3F">
              <w:rPr>
                <w:bCs/>
                <w:lang w:eastAsia="en-US"/>
              </w:rPr>
              <w:t>, Bentiu and Juba (disaggregated by sex, age, and geography)  </w:t>
            </w:r>
          </w:p>
        </w:tc>
        <w:tc>
          <w:tcPr>
            <w:tcW w:w="1530" w:type="dxa"/>
            <w:shd w:val="clear" w:color="auto" w:fill="EEECE1"/>
          </w:tcPr>
          <w:p w14:paraId="37D86CF7" w14:textId="7722B1E8" w:rsidR="0087459F" w:rsidRPr="00627A1C" w:rsidRDefault="0087459F" w:rsidP="0087459F">
            <w:pPr>
              <w:rPr>
                <w:lang w:val="en-US" w:eastAsia="en-US"/>
              </w:rPr>
            </w:pPr>
            <w:r w:rsidRPr="00A64222">
              <w:rPr>
                <w:b/>
                <w:bCs/>
                <w:lang w:eastAsia="en-US"/>
              </w:rPr>
              <w:t>Baseline</w:t>
            </w:r>
            <w:r w:rsidRPr="00A64222">
              <w:rPr>
                <w:lang w:eastAsia="en-US"/>
              </w:rPr>
              <w:t>: 47.4% (Male 46.6% and Female 48.7%)</w:t>
            </w:r>
            <w:r w:rsidRPr="00A64222">
              <w:rPr>
                <w:lang w:eastAsia="en-US"/>
              </w:rPr>
              <w:t> </w:t>
            </w:r>
          </w:p>
        </w:tc>
        <w:tc>
          <w:tcPr>
            <w:tcW w:w="1620" w:type="dxa"/>
            <w:shd w:val="clear" w:color="auto" w:fill="EEECE1"/>
          </w:tcPr>
          <w:p w14:paraId="04D91B4C" w14:textId="44E3BD2E" w:rsidR="0087459F" w:rsidRPr="00627A1C" w:rsidRDefault="0087459F" w:rsidP="0087459F">
            <w:r w:rsidRPr="00A64222">
              <w:rPr>
                <w:b/>
                <w:bCs/>
              </w:rPr>
              <w:t>Target</w:t>
            </w:r>
            <w:r w:rsidRPr="00A64222">
              <w:t xml:space="preserve">: 50% (disaggregated by </w:t>
            </w:r>
            <w:proofErr w:type="gramStart"/>
            <w:r w:rsidRPr="00A64222">
              <w:t>sex)   </w:t>
            </w:r>
            <w:proofErr w:type="gramEnd"/>
          </w:p>
        </w:tc>
        <w:tc>
          <w:tcPr>
            <w:tcW w:w="1440" w:type="dxa"/>
          </w:tcPr>
          <w:p w14:paraId="17F8E4BD" w14:textId="130637EC" w:rsidR="0087459F" w:rsidRPr="00627A1C" w:rsidRDefault="0087459F" w:rsidP="0087459F">
            <w:pPr>
              <w:rPr>
                <w:b/>
                <w:lang w:val="en-US" w:eastAsia="en-US"/>
              </w:rPr>
            </w:pPr>
          </w:p>
        </w:tc>
        <w:tc>
          <w:tcPr>
            <w:tcW w:w="2160" w:type="dxa"/>
          </w:tcPr>
          <w:p w14:paraId="426BEDFE"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196001E"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7459F" w:rsidRPr="00627A1C" w14:paraId="1C54105C" w14:textId="77777777" w:rsidTr="001B6DFD">
        <w:trPr>
          <w:trHeight w:val="548"/>
        </w:trPr>
        <w:tc>
          <w:tcPr>
            <w:tcW w:w="1530" w:type="dxa"/>
            <w:vMerge/>
          </w:tcPr>
          <w:p w14:paraId="3D8BDC04" w14:textId="77777777" w:rsidR="0087459F" w:rsidRPr="00627A1C" w:rsidRDefault="0087459F" w:rsidP="0087459F">
            <w:pPr>
              <w:rPr>
                <w:b/>
                <w:lang w:val="en-US" w:eastAsia="en-US"/>
              </w:rPr>
            </w:pPr>
          </w:p>
        </w:tc>
        <w:tc>
          <w:tcPr>
            <w:tcW w:w="2070" w:type="dxa"/>
            <w:shd w:val="clear" w:color="auto" w:fill="EEECE1"/>
          </w:tcPr>
          <w:p w14:paraId="694FF8FF" w14:textId="77777777" w:rsidR="0087459F" w:rsidRPr="00920F3F" w:rsidRDefault="0087459F" w:rsidP="0087459F">
            <w:pPr>
              <w:jc w:val="both"/>
              <w:rPr>
                <w:lang w:val="en-US" w:eastAsia="en-US"/>
              </w:rPr>
            </w:pPr>
            <w:r w:rsidRPr="00920F3F">
              <w:rPr>
                <w:lang w:val="en-US" w:eastAsia="en-US"/>
              </w:rPr>
              <w:t>Indicator 1.2</w:t>
            </w:r>
          </w:p>
          <w:p w14:paraId="280BDD9E" w14:textId="3C104E9D" w:rsidR="0087459F" w:rsidRPr="00627A1C" w:rsidRDefault="0087459F" w:rsidP="0087459F">
            <w:pPr>
              <w:jc w:val="both"/>
              <w:rPr>
                <w:lang w:val="en-US" w:eastAsia="en-US"/>
              </w:rPr>
            </w:pPr>
            <w:r w:rsidRPr="00920F3F">
              <w:rPr>
                <w:lang w:eastAsia="en-US"/>
              </w:rPr>
              <w:t xml:space="preserve">% of children and youth (&lt;=32) both male and female with motivations to join armed groups </w:t>
            </w:r>
            <w:r w:rsidRPr="00920F3F">
              <w:rPr>
                <w:lang w:eastAsia="en-US"/>
              </w:rPr>
              <w:lastRenderedPageBreak/>
              <w:t>in the targeted locations.</w:t>
            </w:r>
          </w:p>
        </w:tc>
        <w:tc>
          <w:tcPr>
            <w:tcW w:w="1530" w:type="dxa"/>
            <w:shd w:val="clear" w:color="auto" w:fill="EEECE1"/>
          </w:tcPr>
          <w:p w14:paraId="6A41AE98" w14:textId="193C9C08" w:rsidR="0087459F" w:rsidRPr="00627A1C" w:rsidRDefault="0087459F" w:rsidP="0087459F">
            <w:r w:rsidRPr="00A64222">
              <w:lastRenderedPageBreak/>
              <w:t>TBC</w:t>
            </w:r>
          </w:p>
        </w:tc>
        <w:tc>
          <w:tcPr>
            <w:tcW w:w="1620" w:type="dxa"/>
            <w:shd w:val="clear" w:color="auto" w:fill="EEECE1"/>
          </w:tcPr>
          <w:p w14:paraId="74D3DFE5" w14:textId="732B49FA" w:rsidR="0087459F" w:rsidRPr="00627A1C" w:rsidRDefault="0087459F" w:rsidP="0087459F">
            <w:r w:rsidRPr="00A64222">
              <w:t>TBC</w:t>
            </w:r>
          </w:p>
        </w:tc>
        <w:tc>
          <w:tcPr>
            <w:tcW w:w="1440" w:type="dxa"/>
          </w:tcPr>
          <w:p w14:paraId="7F415CDB" w14:textId="77777777"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8DE1EE6"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79F24B6E" w14:textId="77777777" w:rsidTr="001B6DFD">
        <w:trPr>
          <w:trHeight w:val="548"/>
        </w:trPr>
        <w:tc>
          <w:tcPr>
            <w:tcW w:w="1530" w:type="dxa"/>
            <w:vMerge w:val="restart"/>
          </w:tcPr>
          <w:p w14:paraId="3B3ABE10" w14:textId="77777777" w:rsidR="00751324" w:rsidRPr="00DF1FA7" w:rsidRDefault="00751324" w:rsidP="004E3B3E">
            <w:pPr>
              <w:rPr>
                <w:b/>
                <w:bCs/>
                <w:lang w:val="en-US" w:eastAsia="en-US"/>
              </w:rPr>
            </w:pPr>
            <w:r w:rsidRPr="00DF1FA7">
              <w:rPr>
                <w:b/>
                <w:bCs/>
                <w:lang w:val="en-US" w:eastAsia="en-US"/>
              </w:rPr>
              <w:t>Output 1.1</w:t>
            </w:r>
          </w:p>
          <w:p w14:paraId="546EE957" w14:textId="229DBDFD" w:rsidR="00751324" w:rsidRPr="00627A1C" w:rsidRDefault="00DF1FA7" w:rsidP="00DF1FA7">
            <w:pPr>
              <w:rPr>
                <w:b/>
                <w:lang w:val="en-US" w:eastAsia="en-US"/>
              </w:rPr>
            </w:pPr>
            <w:r w:rsidRPr="009B274F">
              <w:t xml:space="preserve">Strengthened local networks of survivors for peace dialogues with local communities and political elites in the </w:t>
            </w:r>
            <w:proofErr w:type="spellStart"/>
            <w:r w:rsidRPr="009B274F">
              <w:t>targetcommunities</w:t>
            </w:r>
            <w:proofErr w:type="spellEnd"/>
            <w:r w:rsidRPr="009B274F">
              <w:t xml:space="preserve"> of Aweil, </w:t>
            </w:r>
            <w:proofErr w:type="spellStart"/>
            <w:r w:rsidRPr="009B274F">
              <w:t>Bor</w:t>
            </w:r>
            <w:proofErr w:type="spellEnd"/>
            <w:r w:rsidRPr="009B274F">
              <w:t>, Pibor, Bentiu and Juba</w:t>
            </w:r>
            <w:r w:rsidRPr="00627A1C" w:rsidDel="00DF1FA7">
              <w:rPr>
                <w:b/>
                <w:lang w:val="en-US" w:eastAsia="en-US"/>
              </w:rPr>
              <w:t xml:space="preserve"> </w:t>
            </w:r>
          </w:p>
        </w:tc>
        <w:tc>
          <w:tcPr>
            <w:tcW w:w="2070" w:type="dxa"/>
            <w:shd w:val="clear" w:color="auto" w:fill="EEECE1"/>
          </w:tcPr>
          <w:p w14:paraId="3DFA87FF" w14:textId="77777777" w:rsidR="00751324" w:rsidRPr="00627A1C" w:rsidRDefault="00751324" w:rsidP="004E3B3E">
            <w:pPr>
              <w:jc w:val="both"/>
              <w:rPr>
                <w:lang w:val="en-US" w:eastAsia="en-US"/>
              </w:rPr>
            </w:pPr>
            <w:proofErr w:type="gramStart"/>
            <w:r w:rsidRPr="00627A1C">
              <w:rPr>
                <w:lang w:val="en-US" w:eastAsia="en-US"/>
              </w:rPr>
              <w:t>Indicator  1.1.1</w:t>
            </w:r>
            <w:proofErr w:type="gramEnd"/>
          </w:p>
          <w:p w14:paraId="4F400FDC" w14:textId="30642409" w:rsidR="00751324" w:rsidRPr="00627A1C" w:rsidRDefault="00DF1FA7" w:rsidP="004E3B3E">
            <w:pPr>
              <w:jc w:val="both"/>
              <w:rPr>
                <w:lang w:val="en-US" w:eastAsia="en-US"/>
              </w:rPr>
            </w:pPr>
            <w:r>
              <w:rPr>
                <w:b/>
                <w:lang w:val="en-US" w:eastAsia="en-US"/>
              </w:rPr>
              <w:t>#</w:t>
            </w:r>
            <w:r w:rsidRPr="009B274F">
              <w:t xml:space="preserve"> of local youth networks operational to promote peaceful resolution to conflicts in the target communities</w:t>
            </w:r>
          </w:p>
        </w:tc>
        <w:tc>
          <w:tcPr>
            <w:tcW w:w="1530" w:type="dxa"/>
            <w:shd w:val="clear" w:color="auto" w:fill="EEECE1"/>
          </w:tcPr>
          <w:p w14:paraId="67AD5D09" w14:textId="1EB7A3C0" w:rsidR="00751324" w:rsidRPr="00627A1C" w:rsidRDefault="00DF1FA7">
            <w:r>
              <w:rPr>
                <w:b/>
                <w:lang w:val="en-US" w:eastAsia="en-US"/>
              </w:rPr>
              <w:t>0</w:t>
            </w:r>
          </w:p>
        </w:tc>
        <w:tc>
          <w:tcPr>
            <w:tcW w:w="1620" w:type="dxa"/>
            <w:shd w:val="clear" w:color="auto" w:fill="EEECE1"/>
          </w:tcPr>
          <w:p w14:paraId="00D7149D" w14:textId="70350C25" w:rsidR="00751324" w:rsidRPr="00627A1C" w:rsidRDefault="00DF1FA7">
            <w:r>
              <w:rPr>
                <w:b/>
                <w:lang w:val="en-US" w:eastAsia="en-US"/>
              </w:rPr>
              <w:t>2</w:t>
            </w:r>
          </w:p>
        </w:tc>
        <w:tc>
          <w:tcPr>
            <w:tcW w:w="1440" w:type="dxa"/>
          </w:tcPr>
          <w:p w14:paraId="563E858E" w14:textId="7310AE0E" w:rsidR="00751324" w:rsidRPr="00E22120" w:rsidRDefault="00995619">
            <w:pPr>
              <w:rPr>
                <w:bCs/>
                <w:lang w:val="en-US" w:eastAsia="en-US"/>
              </w:rPr>
            </w:pPr>
            <w:r>
              <w:rPr>
                <w:bCs/>
                <w:lang w:val="en-US" w:eastAsia="en-US"/>
              </w:rPr>
              <w:t>1</w:t>
            </w:r>
            <w:r w:rsidR="00DF1FA7">
              <w:rPr>
                <w:bCs/>
                <w:lang w:val="en-US" w:eastAsia="en-US"/>
              </w:rPr>
              <w:t xml:space="preserve"> by March 2021</w:t>
            </w:r>
          </w:p>
        </w:tc>
        <w:tc>
          <w:tcPr>
            <w:tcW w:w="2160" w:type="dxa"/>
          </w:tcPr>
          <w:p w14:paraId="37966D1B" w14:textId="7A384B0B" w:rsidR="00751324" w:rsidRPr="00E22120" w:rsidRDefault="00751324">
            <w:pPr>
              <w:rPr>
                <w:bCs/>
              </w:rPr>
            </w:pPr>
            <w:r w:rsidRPr="00E22120">
              <w:rPr>
                <w:bCs/>
                <w:lang w:val="en-US" w:eastAsia="en-US"/>
              </w:rPr>
              <w:fldChar w:fldCharType="begin">
                <w:ffData>
                  <w:name w:val=""/>
                  <w:enabled/>
                  <w:calcOnExit w:val="0"/>
                  <w:textInput>
                    <w:maxLength w:val="300"/>
                  </w:textInput>
                </w:ffData>
              </w:fldChar>
            </w:r>
            <w:r w:rsidRPr="00E22120">
              <w:rPr>
                <w:bCs/>
                <w:lang w:val="en-US" w:eastAsia="en-US"/>
              </w:rPr>
              <w:instrText xml:space="preserve"> FORMTEXT </w:instrText>
            </w:r>
            <w:r w:rsidRPr="00E22120">
              <w:rPr>
                <w:bCs/>
                <w:lang w:val="en-US" w:eastAsia="en-US"/>
              </w:rPr>
            </w:r>
            <w:r w:rsidRPr="00E22120">
              <w:rPr>
                <w:bCs/>
                <w:lang w:val="en-US" w:eastAsia="en-US"/>
              </w:rPr>
              <w:fldChar w:fldCharType="separate"/>
            </w:r>
            <w:r w:rsidRPr="00E22120">
              <w:rPr>
                <w:bCs/>
                <w:noProof/>
                <w:lang w:val="en-US" w:eastAsia="en-US"/>
              </w:rPr>
              <w:t> </w:t>
            </w:r>
            <w:r w:rsidRPr="00E22120">
              <w:rPr>
                <w:bCs/>
                <w:lang w:val="en-US" w:eastAsia="en-US"/>
              </w:rPr>
              <w:fldChar w:fldCharType="end"/>
            </w:r>
          </w:p>
        </w:tc>
        <w:tc>
          <w:tcPr>
            <w:tcW w:w="4770" w:type="dxa"/>
          </w:tcPr>
          <w:p w14:paraId="20E485EB"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751324" w:rsidRPr="00627A1C" w14:paraId="0BBCA21C" w14:textId="77777777" w:rsidTr="001B6DFD">
        <w:trPr>
          <w:trHeight w:val="512"/>
        </w:trPr>
        <w:tc>
          <w:tcPr>
            <w:tcW w:w="1530" w:type="dxa"/>
            <w:vMerge/>
          </w:tcPr>
          <w:p w14:paraId="5F44AA9A" w14:textId="77777777" w:rsidR="00751324" w:rsidRPr="00627A1C" w:rsidRDefault="00751324" w:rsidP="004E3B3E">
            <w:pPr>
              <w:rPr>
                <w:b/>
                <w:lang w:val="en-US" w:eastAsia="en-US"/>
              </w:rPr>
            </w:pPr>
          </w:p>
        </w:tc>
        <w:tc>
          <w:tcPr>
            <w:tcW w:w="2070" w:type="dxa"/>
            <w:shd w:val="clear" w:color="auto" w:fill="EEECE1"/>
          </w:tcPr>
          <w:p w14:paraId="51596D5D" w14:textId="77777777" w:rsidR="00DF1FA7" w:rsidRDefault="00DF1FA7" w:rsidP="004E3B3E">
            <w:pPr>
              <w:jc w:val="both"/>
              <w:rPr>
                <w:lang w:val="en-US" w:eastAsia="en-US"/>
              </w:rPr>
            </w:pPr>
          </w:p>
          <w:p w14:paraId="6851C8A9" w14:textId="3B4787CE" w:rsidR="00751324" w:rsidRPr="00627A1C" w:rsidRDefault="00751324" w:rsidP="004E3B3E">
            <w:pPr>
              <w:jc w:val="both"/>
              <w:rPr>
                <w:lang w:val="en-US" w:eastAsia="en-US"/>
              </w:rPr>
            </w:pPr>
            <w:r w:rsidRPr="00627A1C">
              <w:rPr>
                <w:lang w:val="en-US" w:eastAsia="en-US"/>
              </w:rPr>
              <w:t>Indicator 1.1.2</w:t>
            </w:r>
          </w:p>
          <w:p w14:paraId="248BD8C2" w14:textId="0A3DD4BF" w:rsidR="00751324" w:rsidRPr="00627A1C" w:rsidRDefault="00DF1FA7" w:rsidP="004E3B3E">
            <w:pPr>
              <w:jc w:val="both"/>
              <w:rPr>
                <w:lang w:val="en-US" w:eastAsia="en-US"/>
              </w:rPr>
            </w:pPr>
            <w:r>
              <w:t xml:space="preserve"># </w:t>
            </w:r>
            <w:r w:rsidRPr="009B274F">
              <w:t xml:space="preserve">of training sessions conducted to sensitize on the consequences of conflict and violence on children and youth to local communities, </w:t>
            </w:r>
            <w:r w:rsidRPr="009B274F">
              <w:lastRenderedPageBreak/>
              <w:t>CSOs and influential actors</w:t>
            </w:r>
            <w:r>
              <w:t>.</w:t>
            </w:r>
          </w:p>
        </w:tc>
        <w:tc>
          <w:tcPr>
            <w:tcW w:w="1530" w:type="dxa"/>
            <w:shd w:val="clear" w:color="auto" w:fill="EEECE1"/>
          </w:tcPr>
          <w:p w14:paraId="24074A64" w14:textId="79661731" w:rsidR="00751324" w:rsidRPr="00627A1C" w:rsidRDefault="00DF1FA7">
            <w:r>
              <w:rPr>
                <w:b/>
                <w:lang w:val="en-US" w:eastAsia="en-US"/>
              </w:rPr>
              <w:lastRenderedPageBreak/>
              <w:t>0</w:t>
            </w:r>
          </w:p>
        </w:tc>
        <w:tc>
          <w:tcPr>
            <w:tcW w:w="1620" w:type="dxa"/>
            <w:shd w:val="clear" w:color="auto" w:fill="EEECE1"/>
          </w:tcPr>
          <w:p w14:paraId="46BDB5D8" w14:textId="501CC537" w:rsidR="00751324" w:rsidRPr="00627A1C" w:rsidRDefault="00DF1FA7">
            <w:r>
              <w:rPr>
                <w:b/>
                <w:lang w:val="en-US" w:eastAsia="en-US"/>
              </w:rPr>
              <w:t>4</w:t>
            </w:r>
          </w:p>
        </w:tc>
        <w:tc>
          <w:tcPr>
            <w:tcW w:w="1440" w:type="dxa"/>
          </w:tcPr>
          <w:p w14:paraId="76F5FF4D" w14:textId="5D476CFE" w:rsidR="00DF1FA7" w:rsidRPr="00E22120" w:rsidRDefault="00DF1FA7">
            <w:pPr>
              <w:rPr>
                <w:bCs/>
                <w:lang w:val="en-US" w:eastAsia="en-US"/>
              </w:rPr>
            </w:pPr>
            <w:r>
              <w:rPr>
                <w:bCs/>
                <w:lang w:val="en-US" w:eastAsia="en-US"/>
              </w:rPr>
              <w:t>2 by March 20201</w:t>
            </w:r>
          </w:p>
        </w:tc>
        <w:tc>
          <w:tcPr>
            <w:tcW w:w="2160" w:type="dxa"/>
          </w:tcPr>
          <w:p w14:paraId="56501306" w14:textId="3FDD695E" w:rsidR="00751324" w:rsidRPr="00627A1C" w:rsidRDefault="00E22120">
            <w:r w:rsidRPr="00E22120">
              <w:rPr>
                <w:bCs/>
                <w:lang w:val="en-US" w:eastAsia="en-US"/>
              </w:rPr>
              <w:fldChar w:fldCharType="begin">
                <w:ffData>
                  <w:name w:val=""/>
                  <w:enabled/>
                  <w:calcOnExit w:val="0"/>
                  <w:textInput>
                    <w:maxLength w:val="300"/>
                  </w:textInput>
                </w:ffData>
              </w:fldChar>
            </w:r>
            <w:r w:rsidRPr="00E22120">
              <w:rPr>
                <w:bCs/>
                <w:lang w:val="en-US" w:eastAsia="en-US"/>
              </w:rPr>
              <w:instrText xml:space="preserve"> FORMTEXT </w:instrText>
            </w:r>
            <w:r w:rsidRPr="00E22120">
              <w:rPr>
                <w:bCs/>
                <w:lang w:val="en-US" w:eastAsia="en-US"/>
              </w:rPr>
            </w:r>
            <w:r w:rsidRPr="00E22120">
              <w:rPr>
                <w:bCs/>
                <w:lang w:val="en-US" w:eastAsia="en-US"/>
              </w:rPr>
              <w:fldChar w:fldCharType="separate"/>
            </w:r>
            <w:r w:rsidRPr="00E22120">
              <w:rPr>
                <w:bCs/>
                <w:noProof/>
                <w:lang w:val="en-US" w:eastAsia="en-US"/>
              </w:rPr>
              <w:t> </w:t>
            </w:r>
            <w:r w:rsidRPr="00E22120">
              <w:rPr>
                <w:bCs/>
                <w:lang w:val="en-US" w:eastAsia="en-US"/>
              </w:rPr>
              <w:fldChar w:fldCharType="end"/>
            </w:r>
          </w:p>
        </w:tc>
        <w:tc>
          <w:tcPr>
            <w:tcW w:w="4770" w:type="dxa"/>
          </w:tcPr>
          <w:p w14:paraId="58F6B64E"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87459F" w:rsidRPr="00627A1C" w14:paraId="5F1FD2CB" w14:textId="77777777" w:rsidTr="001B6DFD">
        <w:trPr>
          <w:trHeight w:val="440"/>
        </w:trPr>
        <w:tc>
          <w:tcPr>
            <w:tcW w:w="1530" w:type="dxa"/>
            <w:vMerge w:val="restart"/>
          </w:tcPr>
          <w:p w14:paraId="5EA3C27E" w14:textId="77777777" w:rsidR="0087459F" w:rsidRPr="00DF1FA7" w:rsidRDefault="0087459F" w:rsidP="0087459F">
            <w:pPr>
              <w:rPr>
                <w:b/>
                <w:bCs/>
                <w:lang w:val="en-US" w:eastAsia="en-US"/>
              </w:rPr>
            </w:pPr>
            <w:r w:rsidRPr="00DF1FA7">
              <w:rPr>
                <w:b/>
                <w:bCs/>
                <w:lang w:val="en-US" w:eastAsia="en-US"/>
              </w:rPr>
              <w:t>Output 1.2</w:t>
            </w:r>
          </w:p>
          <w:p w14:paraId="4B695010" w14:textId="32B5E656" w:rsidR="0087459F" w:rsidRPr="00627A1C" w:rsidRDefault="0087459F" w:rsidP="0087459F">
            <w:pPr>
              <w:rPr>
                <w:lang w:val="en-US" w:eastAsia="en-US"/>
              </w:rPr>
            </w:pPr>
            <w:r w:rsidRPr="009B274F">
              <w:t xml:space="preserve">Improved access to justice in the target communities of Aweil, </w:t>
            </w:r>
            <w:proofErr w:type="spellStart"/>
            <w:r w:rsidRPr="009B274F">
              <w:t>Bor</w:t>
            </w:r>
            <w:proofErr w:type="spellEnd"/>
            <w:r w:rsidRPr="009B274F">
              <w:t>, Pibor, Bentiu and Juba</w:t>
            </w:r>
            <w:r w:rsidRPr="009B274F">
              <w:t> </w:t>
            </w:r>
          </w:p>
        </w:tc>
        <w:tc>
          <w:tcPr>
            <w:tcW w:w="2070" w:type="dxa"/>
            <w:shd w:val="clear" w:color="auto" w:fill="EEECE1"/>
          </w:tcPr>
          <w:p w14:paraId="577DFC09" w14:textId="77777777" w:rsidR="0087459F" w:rsidRPr="00627A1C" w:rsidRDefault="0087459F" w:rsidP="0087459F">
            <w:pPr>
              <w:jc w:val="both"/>
              <w:rPr>
                <w:lang w:val="en-US" w:eastAsia="en-US"/>
              </w:rPr>
            </w:pPr>
            <w:r w:rsidRPr="00627A1C">
              <w:rPr>
                <w:lang w:val="en-US" w:eastAsia="en-US"/>
              </w:rPr>
              <w:t>Indicator 1.2.1</w:t>
            </w:r>
          </w:p>
          <w:p w14:paraId="583F918C" w14:textId="173AD045" w:rsidR="0087459F" w:rsidRPr="00627A1C" w:rsidRDefault="0087459F" w:rsidP="0087459F">
            <w:pPr>
              <w:jc w:val="both"/>
              <w:rPr>
                <w:lang w:val="en-US" w:eastAsia="en-US"/>
              </w:rPr>
            </w:pPr>
            <w:r w:rsidRPr="00006F60">
              <w:rPr>
                <w:lang w:eastAsia="en-US"/>
              </w:rPr>
              <w:t># of children and youth having access to at least 1 justice service consistent with the best interest of the child and youth.</w:t>
            </w:r>
          </w:p>
        </w:tc>
        <w:tc>
          <w:tcPr>
            <w:tcW w:w="1530" w:type="dxa"/>
            <w:shd w:val="clear" w:color="auto" w:fill="EEECE1"/>
          </w:tcPr>
          <w:p w14:paraId="19BF873F" w14:textId="38ECFED2" w:rsidR="0087459F" w:rsidRPr="00627A1C" w:rsidRDefault="0087459F" w:rsidP="0087459F">
            <w:r>
              <w:rPr>
                <w:b/>
                <w:lang w:val="en-US" w:eastAsia="en-US"/>
              </w:rPr>
              <w:t>0</w:t>
            </w:r>
          </w:p>
        </w:tc>
        <w:tc>
          <w:tcPr>
            <w:tcW w:w="1620" w:type="dxa"/>
            <w:shd w:val="clear" w:color="auto" w:fill="EEECE1"/>
          </w:tcPr>
          <w:p w14:paraId="63B43821" w14:textId="398F400F" w:rsidR="0087459F" w:rsidRPr="00627A1C" w:rsidRDefault="0087459F" w:rsidP="0087459F">
            <w:r w:rsidRPr="00006F60">
              <w:t>500 (min. 40% female)  </w:t>
            </w:r>
          </w:p>
        </w:tc>
        <w:tc>
          <w:tcPr>
            <w:tcW w:w="1440" w:type="dxa"/>
          </w:tcPr>
          <w:p w14:paraId="13DA2554" w14:textId="78B9F939" w:rsidR="0087459F" w:rsidRPr="00627A1C" w:rsidRDefault="0087459F" w:rsidP="0087459F">
            <w:pPr>
              <w:rPr>
                <w:b/>
                <w:lang w:val="en-US" w:eastAsia="en-US"/>
              </w:rPr>
            </w:pPr>
          </w:p>
        </w:tc>
        <w:tc>
          <w:tcPr>
            <w:tcW w:w="2160" w:type="dxa"/>
          </w:tcPr>
          <w:p w14:paraId="32D6CB1A" w14:textId="3C48A4E5" w:rsidR="0087459F" w:rsidRPr="00627A1C" w:rsidRDefault="00D5458F" w:rsidP="0087459F">
            <w:r>
              <w:t>82</w:t>
            </w:r>
          </w:p>
        </w:tc>
        <w:tc>
          <w:tcPr>
            <w:tcW w:w="4770" w:type="dxa"/>
          </w:tcPr>
          <w:p w14:paraId="0DCE5C2B" w14:textId="02E329F5" w:rsidR="0087459F" w:rsidRDefault="00E471E8" w:rsidP="0087459F">
            <w:r>
              <w:t xml:space="preserve">Partners identified and activities just starting, </w:t>
            </w:r>
            <w:r w:rsidR="00174FFE">
              <w:t>hence,</w:t>
            </w:r>
            <w:r>
              <w:t xml:space="preserve"> too soon to estimate progress</w:t>
            </w:r>
            <w:r w:rsidR="00174FFE">
              <w:t xml:space="preserve"> for most implementation sites</w:t>
            </w:r>
            <w:r>
              <w:t>.</w:t>
            </w:r>
          </w:p>
          <w:p w14:paraId="753A7823" w14:textId="40B2949E" w:rsidR="00182949" w:rsidRPr="00627A1C" w:rsidRDefault="00182949" w:rsidP="00182949">
            <w:pPr>
              <w:ind w:left="-720"/>
              <w:jc w:val="both"/>
            </w:pPr>
          </w:p>
        </w:tc>
      </w:tr>
      <w:tr w:rsidR="0087459F" w:rsidRPr="00627A1C" w14:paraId="151DAB91" w14:textId="77777777" w:rsidTr="001B6DFD">
        <w:trPr>
          <w:trHeight w:val="467"/>
        </w:trPr>
        <w:tc>
          <w:tcPr>
            <w:tcW w:w="1530" w:type="dxa"/>
            <w:vMerge/>
          </w:tcPr>
          <w:p w14:paraId="62E6AE27" w14:textId="77777777" w:rsidR="0087459F" w:rsidRPr="00627A1C" w:rsidRDefault="0087459F" w:rsidP="0087459F">
            <w:pPr>
              <w:rPr>
                <w:b/>
                <w:lang w:val="en-US" w:eastAsia="en-US"/>
              </w:rPr>
            </w:pPr>
          </w:p>
        </w:tc>
        <w:tc>
          <w:tcPr>
            <w:tcW w:w="2070" w:type="dxa"/>
            <w:shd w:val="clear" w:color="auto" w:fill="EEECE1"/>
          </w:tcPr>
          <w:p w14:paraId="5EF25559" w14:textId="77777777" w:rsidR="0087459F" w:rsidRPr="00627A1C" w:rsidRDefault="0087459F" w:rsidP="0087459F">
            <w:pPr>
              <w:jc w:val="both"/>
              <w:rPr>
                <w:lang w:val="en-US" w:eastAsia="en-US"/>
              </w:rPr>
            </w:pPr>
            <w:r w:rsidRPr="00627A1C">
              <w:rPr>
                <w:lang w:val="en-US" w:eastAsia="en-US"/>
              </w:rPr>
              <w:t>Indicator 1.2.2</w:t>
            </w:r>
          </w:p>
          <w:p w14:paraId="03FFCB0B" w14:textId="11C12E19" w:rsidR="0087459F" w:rsidRPr="00627A1C" w:rsidRDefault="0087459F" w:rsidP="0087459F">
            <w:pPr>
              <w:jc w:val="both"/>
              <w:rPr>
                <w:lang w:val="en-US" w:eastAsia="en-US"/>
              </w:rPr>
            </w:pPr>
            <w:r w:rsidRPr="00006F60">
              <w:rPr>
                <w:bCs/>
                <w:lang w:eastAsia="en-US"/>
              </w:rPr>
              <w:t># of children and youth accessing alternatives including diversion. </w:t>
            </w:r>
          </w:p>
        </w:tc>
        <w:tc>
          <w:tcPr>
            <w:tcW w:w="1530" w:type="dxa"/>
            <w:shd w:val="clear" w:color="auto" w:fill="EEECE1"/>
          </w:tcPr>
          <w:p w14:paraId="071D0C43" w14:textId="42182E38" w:rsidR="0087459F" w:rsidRPr="00627A1C" w:rsidRDefault="0087459F" w:rsidP="0087459F">
            <w:r>
              <w:rPr>
                <w:b/>
                <w:lang w:val="en-US" w:eastAsia="en-US"/>
              </w:rPr>
              <w:t>0</w:t>
            </w:r>
          </w:p>
        </w:tc>
        <w:tc>
          <w:tcPr>
            <w:tcW w:w="1620" w:type="dxa"/>
            <w:shd w:val="clear" w:color="auto" w:fill="EEECE1"/>
          </w:tcPr>
          <w:p w14:paraId="006C20B7" w14:textId="26E0C40E" w:rsidR="0087459F" w:rsidRPr="00627A1C" w:rsidRDefault="0087459F" w:rsidP="0087459F">
            <w:r w:rsidRPr="00006F60">
              <w:t>100 (min. 30% female)</w:t>
            </w:r>
          </w:p>
        </w:tc>
        <w:tc>
          <w:tcPr>
            <w:tcW w:w="1440" w:type="dxa"/>
          </w:tcPr>
          <w:p w14:paraId="4F2FACB3" w14:textId="77777777"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7777777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F24E2CE" w14:textId="6DCA4B74" w:rsidR="0087459F" w:rsidRPr="00E471E8" w:rsidRDefault="00E471E8" w:rsidP="0087459F">
            <w:pPr>
              <w:rPr>
                <w:bCs/>
              </w:rPr>
            </w:pPr>
            <w:r w:rsidRPr="00E471E8">
              <w:rPr>
                <w:bCs/>
                <w:lang w:val="en-US" w:eastAsia="en-US"/>
              </w:rPr>
              <w:t>Activity will be carried out in 2021.</w:t>
            </w:r>
          </w:p>
        </w:tc>
      </w:tr>
      <w:tr w:rsidR="0087459F" w:rsidRPr="00627A1C" w14:paraId="44809174" w14:textId="77777777" w:rsidTr="001B6DFD">
        <w:trPr>
          <w:trHeight w:val="422"/>
        </w:trPr>
        <w:tc>
          <w:tcPr>
            <w:tcW w:w="1530" w:type="dxa"/>
            <w:vMerge w:val="restart"/>
          </w:tcPr>
          <w:p w14:paraId="44FC141C" w14:textId="77777777" w:rsidR="0087459F" w:rsidRPr="00627A1C" w:rsidRDefault="0087459F" w:rsidP="0087459F">
            <w:pPr>
              <w:rPr>
                <w:b/>
                <w:lang w:val="en-US" w:eastAsia="en-US"/>
              </w:rPr>
            </w:pPr>
            <w:r w:rsidRPr="00627A1C">
              <w:rPr>
                <w:b/>
                <w:lang w:val="en-US" w:eastAsia="en-US"/>
              </w:rPr>
              <w:t>Outcome 2</w:t>
            </w:r>
            <w:r w:rsidRPr="00006F60">
              <w:rPr>
                <w:b/>
                <w:bCs/>
              </w:rPr>
              <w:t xml:space="preserve"> </w:t>
            </w:r>
            <w:r w:rsidRPr="00006F60">
              <w:rPr>
                <w:lang w:eastAsia="en-US"/>
              </w:rPr>
              <w:t xml:space="preserve">Target communities in Aweil, Juba, </w:t>
            </w:r>
            <w:proofErr w:type="spellStart"/>
            <w:r w:rsidRPr="00006F60">
              <w:rPr>
                <w:lang w:eastAsia="en-US"/>
              </w:rPr>
              <w:t>Bor</w:t>
            </w:r>
            <w:proofErr w:type="spellEnd"/>
            <w:r w:rsidRPr="00006F60">
              <w:rPr>
                <w:lang w:eastAsia="en-US"/>
              </w:rPr>
              <w:t xml:space="preserve">, Pibor and Bentiu have enhanced </w:t>
            </w:r>
            <w:r w:rsidRPr="00006F60">
              <w:rPr>
                <w:lang w:eastAsia="en-US"/>
              </w:rPr>
              <w:lastRenderedPageBreak/>
              <w:t>trust in the formal law enforcement system leading to a stronger social contract between the state and its children and youth</w:t>
            </w:r>
          </w:p>
          <w:p w14:paraId="159C5E40" w14:textId="77777777" w:rsidR="0087459F" w:rsidRPr="00627A1C" w:rsidRDefault="0087459F" w:rsidP="0087459F">
            <w:pPr>
              <w:rPr>
                <w:b/>
                <w:lang w:val="en-US" w:eastAsia="en-US"/>
              </w:rPr>
            </w:pPr>
          </w:p>
          <w:p w14:paraId="21EDAAB3" w14:textId="77777777" w:rsidR="0087459F" w:rsidRPr="00627A1C" w:rsidRDefault="0087459F" w:rsidP="0087459F">
            <w:pPr>
              <w:rPr>
                <w:b/>
                <w:lang w:val="en-US" w:eastAsia="en-US"/>
              </w:rPr>
            </w:pPr>
          </w:p>
        </w:tc>
        <w:tc>
          <w:tcPr>
            <w:tcW w:w="2070" w:type="dxa"/>
            <w:shd w:val="clear" w:color="auto" w:fill="EEECE1"/>
          </w:tcPr>
          <w:p w14:paraId="4E212D74" w14:textId="77777777" w:rsidR="0087459F" w:rsidRPr="00627A1C" w:rsidRDefault="0087459F" w:rsidP="0087459F">
            <w:pPr>
              <w:jc w:val="both"/>
              <w:rPr>
                <w:lang w:val="en-US" w:eastAsia="en-US"/>
              </w:rPr>
            </w:pPr>
            <w:r w:rsidRPr="00627A1C">
              <w:rPr>
                <w:lang w:val="en-US" w:eastAsia="en-US"/>
              </w:rPr>
              <w:lastRenderedPageBreak/>
              <w:t>Indicator 2.1</w:t>
            </w:r>
          </w:p>
          <w:p w14:paraId="474B4539" w14:textId="69D9AA2F" w:rsidR="0087459F" w:rsidRPr="00627A1C" w:rsidRDefault="0087459F" w:rsidP="0087459F">
            <w:pPr>
              <w:jc w:val="both"/>
              <w:rPr>
                <w:lang w:val="en-US" w:eastAsia="en-US"/>
              </w:rPr>
            </w:pPr>
            <w:r w:rsidRPr="00006F60">
              <w:rPr>
                <w:bCs/>
                <w:lang w:eastAsia="en-US"/>
              </w:rPr>
              <w:t xml:space="preserve">Percentage of public satisfied with the legal aid services provided by the </w:t>
            </w:r>
            <w:r>
              <w:rPr>
                <w:bCs/>
                <w:lang w:eastAsia="en-US"/>
              </w:rPr>
              <w:t>g</w:t>
            </w:r>
            <w:r w:rsidRPr="00006F60">
              <w:rPr>
                <w:bCs/>
                <w:lang w:eastAsia="en-US"/>
              </w:rPr>
              <w:t xml:space="preserve">overnment in the project target locations </w:t>
            </w:r>
            <w:r w:rsidRPr="00006F60">
              <w:rPr>
                <w:bCs/>
                <w:lang w:eastAsia="en-US"/>
              </w:rPr>
              <w:lastRenderedPageBreak/>
              <w:t>(disaggregated by age and sex</w:t>
            </w:r>
            <w:r>
              <w:rPr>
                <w:bCs/>
                <w:lang w:eastAsia="en-US"/>
              </w:rPr>
              <w:t>)</w:t>
            </w:r>
          </w:p>
        </w:tc>
        <w:tc>
          <w:tcPr>
            <w:tcW w:w="1530" w:type="dxa"/>
            <w:shd w:val="clear" w:color="auto" w:fill="EEECE1"/>
          </w:tcPr>
          <w:p w14:paraId="0AC3E402" w14:textId="77777777" w:rsidR="0087459F" w:rsidRPr="00006F60" w:rsidRDefault="0087459F" w:rsidP="0087459F">
            <w:pPr>
              <w:rPr>
                <w:bCs/>
                <w:lang w:eastAsia="en-US"/>
              </w:rPr>
            </w:pPr>
            <w:r w:rsidRPr="00006F60">
              <w:rPr>
                <w:bCs/>
                <w:lang w:eastAsia="en-US"/>
              </w:rPr>
              <w:lastRenderedPageBreak/>
              <w:t>TBC with the result of</w:t>
            </w:r>
            <w:r>
              <w:rPr>
                <w:bCs/>
                <w:lang w:eastAsia="en-US"/>
              </w:rPr>
              <w:t xml:space="preserve"> </w:t>
            </w:r>
            <w:r w:rsidRPr="00006F60">
              <w:rPr>
                <w:bCs/>
                <w:lang w:eastAsia="en-US"/>
              </w:rPr>
              <w:t>the initial</w:t>
            </w:r>
          </w:p>
          <w:p w14:paraId="2DAB7F4A" w14:textId="180EE5E3" w:rsidR="0087459F" w:rsidRPr="00627A1C" w:rsidRDefault="0087459F" w:rsidP="0087459F">
            <w:r w:rsidRPr="00006F60">
              <w:rPr>
                <w:bCs/>
                <w:lang w:eastAsia="en-US"/>
              </w:rPr>
              <w:t>assessment.</w:t>
            </w:r>
          </w:p>
        </w:tc>
        <w:tc>
          <w:tcPr>
            <w:tcW w:w="1620" w:type="dxa"/>
            <w:shd w:val="clear" w:color="auto" w:fill="EEECE1"/>
          </w:tcPr>
          <w:p w14:paraId="273EFCB8" w14:textId="2BD92BE6" w:rsidR="0087459F" w:rsidRPr="00627A1C" w:rsidRDefault="0087459F" w:rsidP="0087459F">
            <w:r w:rsidRPr="00006F60">
              <w:rPr>
                <w:b/>
                <w:bCs/>
              </w:rPr>
              <w:t>Target</w:t>
            </w:r>
            <w:r w:rsidRPr="00006F60">
              <w:t>: increase of 2 %</w:t>
            </w:r>
          </w:p>
        </w:tc>
        <w:tc>
          <w:tcPr>
            <w:tcW w:w="1440" w:type="dxa"/>
          </w:tcPr>
          <w:p w14:paraId="3671F995" w14:textId="5897043C"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37D525C7"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AC7F7F6" w14:textId="631D17A9" w:rsidR="0087459F" w:rsidRPr="00627A1C" w:rsidRDefault="0087459F" w:rsidP="0087459F">
            <w:r w:rsidRPr="00703A32">
              <w:rPr>
                <w:lang w:eastAsia="en-US"/>
              </w:rPr>
              <w:t xml:space="preserve">The development of a legal aid scheme with the </w:t>
            </w:r>
            <w:proofErr w:type="spellStart"/>
            <w:r w:rsidRPr="00703A32">
              <w:rPr>
                <w:lang w:eastAsia="en-US"/>
              </w:rPr>
              <w:t>MoJ</w:t>
            </w:r>
            <w:r w:rsidR="00E471E8">
              <w:rPr>
                <w:lang w:eastAsia="en-US"/>
              </w:rPr>
              <w:t>CA</w:t>
            </w:r>
            <w:proofErr w:type="spellEnd"/>
            <w:r w:rsidRPr="00703A32">
              <w:rPr>
                <w:lang w:eastAsia="en-US"/>
              </w:rPr>
              <w:t>, is ongoing. At this stage, it is on a strategic and systematically level</w:t>
            </w:r>
            <w:r>
              <w:rPr>
                <w:lang w:eastAsia="en-US"/>
              </w:rPr>
              <w:t xml:space="preserve"> and results will be reported as they unfold. </w:t>
            </w:r>
          </w:p>
        </w:tc>
      </w:tr>
      <w:tr w:rsidR="0087459F" w:rsidRPr="00627A1C" w14:paraId="1F38D121" w14:textId="77777777" w:rsidTr="001B6DFD">
        <w:trPr>
          <w:trHeight w:val="422"/>
        </w:trPr>
        <w:tc>
          <w:tcPr>
            <w:tcW w:w="1530" w:type="dxa"/>
            <w:vMerge/>
          </w:tcPr>
          <w:p w14:paraId="1358D700" w14:textId="77777777" w:rsidR="0087459F" w:rsidRPr="00627A1C" w:rsidRDefault="0087459F" w:rsidP="0087459F">
            <w:pPr>
              <w:rPr>
                <w:lang w:val="en-US" w:eastAsia="en-US"/>
              </w:rPr>
            </w:pPr>
          </w:p>
        </w:tc>
        <w:tc>
          <w:tcPr>
            <w:tcW w:w="2070" w:type="dxa"/>
            <w:shd w:val="clear" w:color="auto" w:fill="EEECE1"/>
          </w:tcPr>
          <w:p w14:paraId="1C5BBD9E" w14:textId="77777777" w:rsidR="0087459F" w:rsidRPr="00627A1C" w:rsidRDefault="0087459F" w:rsidP="0087459F">
            <w:pPr>
              <w:jc w:val="both"/>
              <w:rPr>
                <w:lang w:val="en-US" w:eastAsia="en-US"/>
              </w:rPr>
            </w:pPr>
            <w:r w:rsidRPr="00627A1C">
              <w:rPr>
                <w:lang w:val="en-US" w:eastAsia="en-US"/>
              </w:rPr>
              <w:t>Indicator 2.2</w:t>
            </w:r>
          </w:p>
          <w:p w14:paraId="068611BF" w14:textId="77777777" w:rsidR="0087459F" w:rsidRPr="00006F60" w:rsidRDefault="0087459F" w:rsidP="0087459F">
            <w:pPr>
              <w:jc w:val="both"/>
              <w:rPr>
                <w:bCs/>
                <w:lang w:eastAsia="en-US"/>
              </w:rPr>
            </w:pPr>
            <w:r w:rsidRPr="00006F60">
              <w:rPr>
                <w:bCs/>
                <w:lang w:eastAsia="en-US"/>
              </w:rPr>
              <w:t>Public perception of a fair trial: “Level of confidence</w:t>
            </w:r>
          </w:p>
          <w:p w14:paraId="60637A77" w14:textId="77777777" w:rsidR="0087459F" w:rsidRPr="00006F60" w:rsidRDefault="0087459F" w:rsidP="0087459F">
            <w:pPr>
              <w:jc w:val="both"/>
              <w:rPr>
                <w:bCs/>
                <w:lang w:eastAsia="en-US"/>
              </w:rPr>
            </w:pPr>
            <w:r w:rsidRPr="00006F60">
              <w:rPr>
                <w:bCs/>
                <w:lang w:eastAsia="en-US"/>
              </w:rPr>
              <w:t>that you will receive a fair trial if you were charged</w:t>
            </w:r>
          </w:p>
          <w:p w14:paraId="635E1C44" w14:textId="77777777" w:rsidR="0087459F" w:rsidRPr="00006F60" w:rsidRDefault="0087459F" w:rsidP="0087459F">
            <w:pPr>
              <w:jc w:val="both"/>
              <w:rPr>
                <w:bCs/>
                <w:lang w:eastAsia="en-US"/>
              </w:rPr>
            </w:pPr>
            <w:r w:rsidRPr="00006F60">
              <w:rPr>
                <w:bCs/>
                <w:lang w:eastAsia="en-US"/>
              </w:rPr>
              <w:t>of committing a criminal act/delinquency “in the</w:t>
            </w:r>
          </w:p>
          <w:p w14:paraId="2C6F5244" w14:textId="77777777" w:rsidR="0087459F" w:rsidRPr="00006F60" w:rsidRDefault="0087459F" w:rsidP="0087459F">
            <w:pPr>
              <w:jc w:val="both"/>
              <w:rPr>
                <w:b/>
                <w:lang w:eastAsia="en-US"/>
              </w:rPr>
            </w:pPr>
            <w:r w:rsidRPr="00006F60">
              <w:rPr>
                <w:bCs/>
                <w:lang w:eastAsia="en-US"/>
              </w:rPr>
              <w:t>project target locations</w:t>
            </w:r>
            <w:r w:rsidRPr="00006F60">
              <w:rPr>
                <w:b/>
                <w:lang w:eastAsia="en-US"/>
              </w:rPr>
              <w:t xml:space="preserve"> (disaggregated by age and</w:t>
            </w:r>
          </w:p>
          <w:p w14:paraId="02E68331" w14:textId="45B3D451" w:rsidR="0087459F" w:rsidRPr="00627A1C" w:rsidRDefault="0087459F" w:rsidP="0087459F">
            <w:pPr>
              <w:jc w:val="both"/>
              <w:rPr>
                <w:lang w:val="en-US" w:eastAsia="en-US"/>
              </w:rPr>
            </w:pPr>
            <w:r w:rsidRPr="00006F60">
              <w:rPr>
                <w:b/>
                <w:lang w:eastAsia="en-US"/>
              </w:rPr>
              <w:t>sex).</w:t>
            </w:r>
          </w:p>
        </w:tc>
        <w:tc>
          <w:tcPr>
            <w:tcW w:w="1530" w:type="dxa"/>
            <w:shd w:val="clear" w:color="auto" w:fill="EEECE1"/>
          </w:tcPr>
          <w:p w14:paraId="53D2CF56" w14:textId="77777777" w:rsidR="0087459F" w:rsidRPr="00006F60" w:rsidRDefault="0087459F" w:rsidP="0087459F">
            <w:r w:rsidRPr="00006F60">
              <w:rPr>
                <w:b/>
                <w:bCs/>
              </w:rPr>
              <w:t>Baseline</w:t>
            </w:r>
            <w:r w:rsidRPr="00006F60">
              <w:t>: TBC with the result of</w:t>
            </w:r>
            <w:r>
              <w:t xml:space="preserve"> </w:t>
            </w:r>
            <w:r w:rsidRPr="00006F60">
              <w:t>the initial</w:t>
            </w:r>
          </w:p>
          <w:p w14:paraId="6043AFD6" w14:textId="596909B5" w:rsidR="0087459F" w:rsidRPr="00627A1C" w:rsidRDefault="0087459F" w:rsidP="0087459F">
            <w:r w:rsidRPr="00006F60">
              <w:t>assessment.  </w:t>
            </w:r>
          </w:p>
        </w:tc>
        <w:tc>
          <w:tcPr>
            <w:tcW w:w="1620" w:type="dxa"/>
            <w:shd w:val="clear" w:color="auto" w:fill="EEECE1"/>
          </w:tcPr>
          <w:p w14:paraId="1FBD9810" w14:textId="5D3504F8" w:rsidR="0087459F" w:rsidRPr="00627A1C" w:rsidRDefault="0087459F" w:rsidP="0087459F">
            <w:r w:rsidRPr="00006F60">
              <w:rPr>
                <w:b/>
                <w:bCs/>
              </w:rPr>
              <w:t>Target</w:t>
            </w:r>
            <w:r w:rsidRPr="00006F60">
              <w:t>: increase of 2 %</w:t>
            </w:r>
          </w:p>
        </w:tc>
        <w:tc>
          <w:tcPr>
            <w:tcW w:w="1440" w:type="dxa"/>
          </w:tcPr>
          <w:p w14:paraId="477F56D5" w14:textId="37987B0A" w:rsidR="0087459F" w:rsidRPr="00627A1C" w:rsidRDefault="0087459F" w:rsidP="0087459F">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0EC53F20"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5F9DE2" w14:textId="6E2192CC" w:rsidR="0087459F" w:rsidRPr="00627A1C" w:rsidRDefault="0087459F" w:rsidP="0087459F">
            <w:r w:rsidRPr="00703A32">
              <w:rPr>
                <w:lang w:eastAsia="en-US"/>
              </w:rPr>
              <w:t>Plans are underway to conduct a survey to set the project baselines that will later inform project reporting</w:t>
            </w:r>
            <w:r w:rsidR="00E471E8">
              <w:rPr>
                <w:lang w:eastAsia="en-US"/>
              </w:rPr>
              <w:t>.</w:t>
            </w:r>
          </w:p>
        </w:tc>
      </w:tr>
      <w:tr w:rsidR="0087459F" w:rsidRPr="00627A1C" w14:paraId="249EBBA2" w14:textId="77777777" w:rsidTr="001B6DFD">
        <w:trPr>
          <w:trHeight w:val="422"/>
        </w:trPr>
        <w:tc>
          <w:tcPr>
            <w:tcW w:w="1530" w:type="dxa"/>
            <w:vMerge w:val="restart"/>
          </w:tcPr>
          <w:p w14:paraId="4801A2C8" w14:textId="77777777" w:rsidR="0087459F" w:rsidRPr="00DF1FA7" w:rsidRDefault="0087459F" w:rsidP="0087459F">
            <w:pPr>
              <w:rPr>
                <w:b/>
                <w:bCs/>
                <w:lang w:val="en-US" w:eastAsia="en-US"/>
              </w:rPr>
            </w:pPr>
            <w:r w:rsidRPr="00DF1FA7">
              <w:rPr>
                <w:b/>
                <w:bCs/>
                <w:lang w:val="en-US" w:eastAsia="en-US"/>
              </w:rPr>
              <w:t>Output 2.1</w:t>
            </w:r>
          </w:p>
          <w:p w14:paraId="05CC1929" w14:textId="01CEB7E3" w:rsidR="0087459F" w:rsidRPr="00627A1C" w:rsidRDefault="0087459F" w:rsidP="0087459F">
            <w:pPr>
              <w:rPr>
                <w:b/>
                <w:lang w:val="en-US" w:eastAsia="en-US"/>
              </w:rPr>
            </w:pPr>
            <w:r w:rsidRPr="00006F60">
              <w:rPr>
                <w:bCs/>
                <w:lang w:eastAsia="en-US"/>
              </w:rPr>
              <w:t xml:space="preserve">Fair trials/detention provided for children and youth of </w:t>
            </w:r>
            <w:r w:rsidRPr="00006F60">
              <w:rPr>
                <w:bCs/>
                <w:lang w:eastAsia="en-US"/>
              </w:rPr>
              <w:lastRenderedPageBreak/>
              <w:t xml:space="preserve">the target communities in Aweil, Juba, </w:t>
            </w:r>
            <w:proofErr w:type="spellStart"/>
            <w:r w:rsidRPr="00006F60">
              <w:rPr>
                <w:bCs/>
                <w:lang w:eastAsia="en-US"/>
              </w:rPr>
              <w:t>Bor</w:t>
            </w:r>
            <w:proofErr w:type="spellEnd"/>
            <w:r w:rsidRPr="00006F60">
              <w:rPr>
                <w:bCs/>
                <w:lang w:eastAsia="en-US"/>
              </w:rPr>
              <w:t>, Pibor and Bentiu.</w:t>
            </w:r>
            <w:r w:rsidRPr="00006F60">
              <w:rPr>
                <w:bCs/>
                <w:lang w:eastAsia="en-US"/>
              </w:rPr>
              <w:t> </w:t>
            </w:r>
          </w:p>
        </w:tc>
        <w:tc>
          <w:tcPr>
            <w:tcW w:w="2070" w:type="dxa"/>
            <w:shd w:val="clear" w:color="auto" w:fill="EEECE1"/>
          </w:tcPr>
          <w:p w14:paraId="7E039EF8" w14:textId="77777777" w:rsidR="0087459F" w:rsidRPr="00627A1C" w:rsidRDefault="0087459F" w:rsidP="0087459F">
            <w:pPr>
              <w:jc w:val="both"/>
              <w:rPr>
                <w:lang w:val="en-US" w:eastAsia="en-US"/>
              </w:rPr>
            </w:pPr>
            <w:r w:rsidRPr="00627A1C">
              <w:rPr>
                <w:lang w:val="en-US" w:eastAsia="en-US"/>
              </w:rPr>
              <w:lastRenderedPageBreak/>
              <w:t>Indicator 2.1.1</w:t>
            </w:r>
          </w:p>
          <w:p w14:paraId="6BF687E7" w14:textId="77777777" w:rsidR="0087459F" w:rsidRPr="00006F60" w:rsidRDefault="0087459F" w:rsidP="0087459F">
            <w:pPr>
              <w:jc w:val="both"/>
              <w:rPr>
                <w:lang w:eastAsia="en-US"/>
              </w:rPr>
            </w:pPr>
            <w:r w:rsidRPr="00006F60">
              <w:rPr>
                <w:lang w:eastAsia="en-US"/>
              </w:rPr>
              <w:t># of children and received legal aid and representation support.</w:t>
            </w:r>
          </w:p>
          <w:p w14:paraId="1DCC9D4D" w14:textId="72714226" w:rsidR="0087459F" w:rsidRPr="00627A1C" w:rsidRDefault="0087459F" w:rsidP="0087459F">
            <w:pPr>
              <w:jc w:val="both"/>
              <w:rPr>
                <w:lang w:val="en-US" w:eastAsia="en-US"/>
              </w:rPr>
            </w:pPr>
          </w:p>
        </w:tc>
        <w:tc>
          <w:tcPr>
            <w:tcW w:w="1530" w:type="dxa"/>
            <w:shd w:val="clear" w:color="auto" w:fill="EEECE1"/>
          </w:tcPr>
          <w:p w14:paraId="4DBB5429" w14:textId="08DC80BE" w:rsidR="0087459F" w:rsidRPr="00627A1C" w:rsidRDefault="0087459F" w:rsidP="0087459F">
            <w:r>
              <w:rPr>
                <w:b/>
                <w:lang w:eastAsia="en-US"/>
              </w:rPr>
              <w:t>0</w:t>
            </w:r>
          </w:p>
        </w:tc>
        <w:tc>
          <w:tcPr>
            <w:tcW w:w="1620" w:type="dxa"/>
            <w:shd w:val="clear" w:color="auto" w:fill="EEECE1"/>
          </w:tcPr>
          <w:p w14:paraId="26989ACA" w14:textId="3AE9B0E8" w:rsidR="0087459F" w:rsidRPr="00627A1C" w:rsidRDefault="0087459F" w:rsidP="0087459F">
            <w:r w:rsidRPr="0087459F">
              <w:rPr>
                <w:b/>
                <w:bCs/>
                <w:lang w:eastAsia="en-US"/>
              </w:rPr>
              <w:t>Target</w:t>
            </w:r>
            <w:r w:rsidRPr="00B666B7">
              <w:rPr>
                <w:lang w:eastAsia="en-US"/>
              </w:rPr>
              <w:t>: 500 (30% female)</w:t>
            </w:r>
          </w:p>
        </w:tc>
        <w:tc>
          <w:tcPr>
            <w:tcW w:w="1440" w:type="dxa"/>
          </w:tcPr>
          <w:p w14:paraId="4776EE74" w14:textId="21176E1E" w:rsidR="0087459F" w:rsidRPr="00627A1C" w:rsidRDefault="00E471E8" w:rsidP="0087459F">
            <w:pPr>
              <w:rPr>
                <w:b/>
                <w:lang w:val="en-US" w:eastAsia="en-US"/>
              </w:rPr>
            </w:pPr>
            <w:r>
              <w:rPr>
                <w:b/>
                <w:lang w:val="en-US" w:eastAsia="en-US"/>
              </w:rPr>
              <w:t>500</w:t>
            </w:r>
          </w:p>
        </w:tc>
        <w:tc>
          <w:tcPr>
            <w:tcW w:w="2160" w:type="dxa"/>
          </w:tcPr>
          <w:p w14:paraId="38A6C563" w14:textId="222DCADA" w:rsidR="0087459F" w:rsidRPr="00627A1C" w:rsidRDefault="0087459F" w:rsidP="0087459F">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0EF3A5B" w14:textId="1909853D" w:rsidR="0087459F" w:rsidRPr="00627A1C" w:rsidRDefault="0087459F" w:rsidP="0087459F">
            <w:r>
              <w:t xml:space="preserve">The project has partnered with two CSOs after the COVID-19 restrictions were eased to in </w:t>
            </w:r>
            <w:proofErr w:type="spellStart"/>
            <w:r>
              <w:t>Bor</w:t>
            </w:r>
            <w:proofErr w:type="spellEnd"/>
            <w:r>
              <w:t xml:space="preserve"> and Aweil to provide legal aid to children. In this regard, FODAG has identified 7 children from prison facilities in Juba and is in the process of following up on their cases. </w:t>
            </w:r>
          </w:p>
        </w:tc>
      </w:tr>
      <w:tr w:rsidR="0087459F" w:rsidRPr="00627A1C" w14:paraId="072EAFE9" w14:textId="77777777" w:rsidTr="001B6DFD">
        <w:trPr>
          <w:trHeight w:val="458"/>
        </w:trPr>
        <w:tc>
          <w:tcPr>
            <w:tcW w:w="1530" w:type="dxa"/>
            <w:vMerge/>
          </w:tcPr>
          <w:p w14:paraId="7890F204" w14:textId="77777777" w:rsidR="0087459F" w:rsidRPr="00627A1C" w:rsidRDefault="0087459F" w:rsidP="0087459F">
            <w:pPr>
              <w:rPr>
                <w:b/>
                <w:lang w:val="en-US" w:eastAsia="en-US"/>
              </w:rPr>
            </w:pPr>
          </w:p>
        </w:tc>
        <w:tc>
          <w:tcPr>
            <w:tcW w:w="2070" w:type="dxa"/>
            <w:shd w:val="clear" w:color="auto" w:fill="EEECE1"/>
          </w:tcPr>
          <w:p w14:paraId="24469136" w14:textId="77777777" w:rsidR="0087459F" w:rsidRPr="00006F60" w:rsidRDefault="0087459F" w:rsidP="0087459F">
            <w:pPr>
              <w:jc w:val="both"/>
              <w:rPr>
                <w:lang w:val="en-US" w:eastAsia="en-US"/>
              </w:rPr>
            </w:pPr>
            <w:r w:rsidRPr="00627A1C">
              <w:rPr>
                <w:lang w:val="en-US" w:eastAsia="en-US"/>
              </w:rPr>
              <w:t>Indicator 2.1.2</w:t>
            </w:r>
            <w:r w:rsidRPr="00006F60">
              <w:rPr>
                <w:lang w:eastAsia="en-US"/>
              </w:rPr>
              <w:t>     </w:t>
            </w:r>
          </w:p>
          <w:p w14:paraId="2D72BF4C" w14:textId="423D8654" w:rsidR="0087459F" w:rsidRPr="00627A1C" w:rsidRDefault="0087459F" w:rsidP="0087459F">
            <w:pPr>
              <w:jc w:val="both"/>
              <w:rPr>
                <w:lang w:val="en-US" w:eastAsia="en-US"/>
              </w:rPr>
            </w:pPr>
            <w:r w:rsidRPr="00006F60">
              <w:rPr>
                <w:lang w:eastAsia="en-US"/>
              </w:rPr>
              <w:t># of community-based policing and community relations Committees (PCRCs) established and operational</w:t>
            </w:r>
          </w:p>
        </w:tc>
        <w:tc>
          <w:tcPr>
            <w:tcW w:w="1530" w:type="dxa"/>
            <w:shd w:val="clear" w:color="auto" w:fill="EEECE1"/>
          </w:tcPr>
          <w:p w14:paraId="26218194" w14:textId="23EC26F2" w:rsidR="0087459F" w:rsidRPr="00627A1C" w:rsidRDefault="0087459F" w:rsidP="0087459F">
            <w:r>
              <w:rPr>
                <w:b/>
                <w:lang w:val="en-US" w:eastAsia="en-US"/>
              </w:rPr>
              <w:t>9</w:t>
            </w:r>
          </w:p>
        </w:tc>
        <w:tc>
          <w:tcPr>
            <w:tcW w:w="1620" w:type="dxa"/>
            <w:shd w:val="clear" w:color="auto" w:fill="EEECE1"/>
          </w:tcPr>
          <w:p w14:paraId="6E74E2BB" w14:textId="2A34DA67" w:rsidR="0087459F" w:rsidRPr="00627A1C" w:rsidRDefault="0087459F" w:rsidP="0087459F">
            <w:r>
              <w:rPr>
                <w:b/>
                <w:lang w:val="en-US" w:eastAsia="en-US"/>
              </w:rPr>
              <w:t>22</w:t>
            </w:r>
          </w:p>
        </w:tc>
        <w:tc>
          <w:tcPr>
            <w:tcW w:w="1440" w:type="dxa"/>
          </w:tcPr>
          <w:p w14:paraId="152B0337" w14:textId="7345DFEF" w:rsidR="0087459F" w:rsidRPr="00627A1C" w:rsidRDefault="0087459F" w:rsidP="0087459F">
            <w:pPr>
              <w:rPr>
                <w:b/>
                <w:lang w:val="en-US" w:eastAsia="en-US"/>
              </w:rPr>
            </w:pPr>
            <w:r w:rsidRPr="00B666B7">
              <w:rPr>
                <w:bCs/>
                <w:lang w:val="en-US" w:eastAsia="en-US"/>
              </w:rPr>
              <w:t>13</w:t>
            </w:r>
          </w:p>
        </w:tc>
        <w:tc>
          <w:tcPr>
            <w:tcW w:w="2160" w:type="dxa"/>
          </w:tcPr>
          <w:p w14:paraId="2E272262" w14:textId="31521942" w:rsidR="0087459F" w:rsidRPr="00627A1C" w:rsidRDefault="0087459F" w:rsidP="0087459F">
            <w:r>
              <w:rPr>
                <w:bCs/>
                <w:lang w:val="en-US" w:eastAsia="en-US"/>
              </w:rPr>
              <w:t>11</w:t>
            </w:r>
          </w:p>
        </w:tc>
        <w:tc>
          <w:tcPr>
            <w:tcW w:w="4770" w:type="dxa"/>
          </w:tcPr>
          <w:p w14:paraId="2E5ED56E" w14:textId="4BC137A1" w:rsidR="0087459F" w:rsidRPr="00627A1C" w:rsidRDefault="0087459F" w:rsidP="0087459F">
            <w:r w:rsidRPr="00497022">
              <w:t xml:space="preserve">HRSS is continuing to implement community policing activities in Bentiu and </w:t>
            </w:r>
            <w:proofErr w:type="spellStart"/>
            <w:r w:rsidRPr="00497022">
              <w:t>Rubkona</w:t>
            </w:r>
            <w:proofErr w:type="spellEnd"/>
            <w:r w:rsidRPr="00497022">
              <w:t>.</w:t>
            </w:r>
            <w:r>
              <w:rPr>
                <w:b/>
                <w:lang w:val="en-US" w:eastAsia="en-US"/>
              </w:rPr>
              <w:t xml:space="preserve">  </w:t>
            </w:r>
          </w:p>
        </w:tc>
      </w:tr>
      <w:tr w:rsidR="0087459F" w:rsidRPr="00627A1C" w14:paraId="7E4F2C87" w14:textId="77777777" w:rsidTr="001B6DFD">
        <w:trPr>
          <w:trHeight w:val="512"/>
        </w:trPr>
        <w:tc>
          <w:tcPr>
            <w:tcW w:w="1530" w:type="dxa"/>
            <w:vMerge w:val="restart"/>
          </w:tcPr>
          <w:p w14:paraId="12F89CC5" w14:textId="77777777" w:rsidR="0087459F" w:rsidRPr="00DF1FA7" w:rsidRDefault="0087459F" w:rsidP="0087459F">
            <w:pPr>
              <w:rPr>
                <w:b/>
                <w:bCs/>
                <w:lang w:val="en-US" w:eastAsia="en-US"/>
              </w:rPr>
            </w:pPr>
            <w:r w:rsidRPr="00DF1FA7">
              <w:rPr>
                <w:b/>
                <w:bCs/>
                <w:lang w:val="en-US" w:eastAsia="en-US"/>
              </w:rPr>
              <w:t>Output 2.2</w:t>
            </w:r>
          </w:p>
          <w:p w14:paraId="107122F4" w14:textId="66A2EC02" w:rsidR="0087459F" w:rsidRPr="00627A1C" w:rsidRDefault="0087459F" w:rsidP="0087459F">
            <w:pPr>
              <w:rPr>
                <w:lang w:val="en-US" w:eastAsia="en-US"/>
              </w:rPr>
            </w:pPr>
            <w:r w:rsidRPr="00B666B7">
              <w:rPr>
                <w:bCs/>
                <w:lang w:eastAsia="en-US"/>
              </w:rPr>
              <w:t xml:space="preserve">Enhanced capacity of justice actors in Aweil, Juba, </w:t>
            </w:r>
            <w:proofErr w:type="spellStart"/>
            <w:r w:rsidRPr="00B666B7">
              <w:rPr>
                <w:bCs/>
                <w:lang w:eastAsia="en-US"/>
              </w:rPr>
              <w:t>Bor</w:t>
            </w:r>
            <w:proofErr w:type="spellEnd"/>
            <w:r w:rsidRPr="00B666B7">
              <w:rPr>
                <w:bCs/>
                <w:lang w:eastAsia="en-US"/>
              </w:rPr>
              <w:t xml:space="preserve"> and Bentiu.</w:t>
            </w:r>
          </w:p>
        </w:tc>
        <w:tc>
          <w:tcPr>
            <w:tcW w:w="2070" w:type="dxa"/>
            <w:shd w:val="clear" w:color="auto" w:fill="EEECE1"/>
          </w:tcPr>
          <w:p w14:paraId="589CF957" w14:textId="77777777" w:rsidR="0087459F" w:rsidRPr="00627A1C" w:rsidRDefault="0087459F" w:rsidP="0087459F">
            <w:pPr>
              <w:jc w:val="both"/>
              <w:rPr>
                <w:lang w:val="en-US" w:eastAsia="en-US"/>
              </w:rPr>
            </w:pPr>
            <w:r w:rsidRPr="00627A1C">
              <w:rPr>
                <w:lang w:val="en-US" w:eastAsia="en-US"/>
              </w:rPr>
              <w:t>Indicator 2.2.1</w:t>
            </w:r>
          </w:p>
          <w:p w14:paraId="19166FAD" w14:textId="77777777" w:rsidR="0087459F" w:rsidRPr="00006F60" w:rsidRDefault="0087459F" w:rsidP="0087459F">
            <w:pPr>
              <w:jc w:val="both"/>
              <w:rPr>
                <w:b/>
                <w:lang w:eastAsia="en-US"/>
              </w:rPr>
            </w:pPr>
            <w:r w:rsidRPr="00006F60">
              <w:rPr>
                <w:bCs/>
                <w:lang w:eastAsia="en-US"/>
              </w:rPr>
              <w:t># of judges, prosecutors, police and prisons officers and social</w:t>
            </w:r>
            <w:r w:rsidRPr="00006F60">
              <w:rPr>
                <w:b/>
                <w:lang w:eastAsia="en-US"/>
              </w:rPr>
              <w:t xml:space="preserve"> </w:t>
            </w:r>
            <w:r w:rsidRPr="00006F60">
              <w:rPr>
                <w:bCs/>
                <w:lang w:eastAsia="en-US"/>
              </w:rPr>
              <w:t>workers demonstrate increased knowledge on juvenile justice and inmate care.</w:t>
            </w:r>
          </w:p>
          <w:p w14:paraId="196FB166" w14:textId="1344FCA5" w:rsidR="0087459F" w:rsidRPr="00627A1C" w:rsidRDefault="0087459F" w:rsidP="0087459F">
            <w:pPr>
              <w:jc w:val="both"/>
              <w:rPr>
                <w:lang w:val="en-US" w:eastAsia="en-US"/>
              </w:rPr>
            </w:pPr>
          </w:p>
        </w:tc>
        <w:tc>
          <w:tcPr>
            <w:tcW w:w="1530" w:type="dxa"/>
            <w:shd w:val="clear" w:color="auto" w:fill="EEECE1"/>
          </w:tcPr>
          <w:p w14:paraId="6CF5640D" w14:textId="47FE627D" w:rsidR="0087459F" w:rsidRPr="00627A1C" w:rsidRDefault="0087459F" w:rsidP="0087459F">
            <w:r>
              <w:rPr>
                <w:b/>
                <w:lang w:val="en-US" w:eastAsia="en-US"/>
              </w:rPr>
              <w:t>0</w:t>
            </w:r>
          </w:p>
        </w:tc>
        <w:tc>
          <w:tcPr>
            <w:tcW w:w="1620" w:type="dxa"/>
            <w:shd w:val="clear" w:color="auto" w:fill="EEECE1"/>
          </w:tcPr>
          <w:p w14:paraId="1D0C4A4D" w14:textId="172D2E29" w:rsidR="0087459F" w:rsidRPr="00627A1C" w:rsidRDefault="0087459F" w:rsidP="0087459F">
            <w:r w:rsidRPr="00006F60">
              <w:t>100 participants (30% female</w:t>
            </w:r>
          </w:p>
        </w:tc>
        <w:tc>
          <w:tcPr>
            <w:tcW w:w="1440" w:type="dxa"/>
          </w:tcPr>
          <w:p w14:paraId="7B8B1DF2" w14:textId="1D38FB43" w:rsidR="0087459F" w:rsidRPr="00627A1C" w:rsidRDefault="0087459F" w:rsidP="0087459F">
            <w:pPr>
              <w:rPr>
                <w:b/>
                <w:lang w:val="en-US" w:eastAsia="en-US"/>
              </w:rPr>
            </w:pPr>
            <w:r w:rsidRPr="00006F60">
              <w:t>100 participants (30% female</w:t>
            </w:r>
          </w:p>
        </w:tc>
        <w:tc>
          <w:tcPr>
            <w:tcW w:w="2160" w:type="dxa"/>
          </w:tcPr>
          <w:p w14:paraId="2308D30A" w14:textId="5F9D6F1A" w:rsidR="0087459F" w:rsidRPr="00627A1C" w:rsidRDefault="0087459F" w:rsidP="0087459F">
            <w:r w:rsidRPr="00B666B7">
              <w:rPr>
                <w:bCs/>
                <w:lang w:eastAsia="en-US"/>
              </w:rPr>
              <w:t>60 (22</w:t>
            </w:r>
            <w:r w:rsidR="00EC1D43">
              <w:rPr>
                <w:bCs/>
                <w:lang w:eastAsia="en-US"/>
              </w:rPr>
              <w:t>%</w:t>
            </w:r>
            <w:r w:rsidRPr="00B666B7">
              <w:rPr>
                <w:bCs/>
                <w:lang w:eastAsia="en-US"/>
              </w:rPr>
              <w:t xml:space="preserve"> female</w:t>
            </w:r>
            <w:r>
              <w:rPr>
                <w:bCs/>
                <w:lang w:eastAsia="en-US"/>
              </w:rPr>
              <w:t>)</w:t>
            </w:r>
          </w:p>
        </w:tc>
        <w:tc>
          <w:tcPr>
            <w:tcW w:w="4770" w:type="dxa"/>
          </w:tcPr>
          <w:p w14:paraId="2494DF81" w14:textId="5A9DDD8D" w:rsidR="0087459F" w:rsidRPr="00627A1C" w:rsidRDefault="0087459F" w:rsidP="0087459F">
            <w:r>
              <w:rPr>
                <w:bCs/>
                <w:lang w:val="en-US" w:eastAsia="en-US"/>
              </w:rPr>
              <w:t>Training in Pibor is planned by December 2020</w:t>
            </w:r>
            <w:r w:rsidR="00E471E8">
              <w:rPr>
                <w:bCs/>
                <w:lang w:val="en-US" w:eastAsia="en-US"/>
              </w:rPr>
              <w:t xml:space="preserve"> and the rest of the implementation sites in 2021</w:t>
            </w:r>
            <w:r>
              <w:rPr>
                <w:bCs/>
                <w:lang w:val="en-US" w:eastAsia="en-US"/>
              </w:rPr>
              <w:t xml:space="preserve">. </w:t>
            </w:r>
          </w:p>
        </w:tc>
      </w:tr>
      <w:tr w:rsidR="0087459F" w:rsidRPr="00627A1C" w14:paraId="6D235372" w14:textId="77777777" w:rsidTr="001B6DFD">
        <w:trPr>
          <w:trHeight w:val="458"/>
        </w:trPr>
        <w:tc>
          <w:tcPr>
            <w:tcW w:w="1530" w:type="dxa"/>
            <w:vMerge/>
          </w:tcPr>
          <w:p w14:paraId="3E6C40FD" w14:textId="77777777" w:rsidR="0087459F" w:rsidRPr="00627A1C" w:rsidRDefault="0087459F" w:rsidP="0087459F">
            <w:pPr>
              <w:rPr>
                <w:b/>
                <w:lang w:val="en-US" w:eastAsia="en-US"/>
              </w:rPr>
            </w:pPr>
          </w:p>
        </w:tc>
        <w:tc>
          <w:tcPr>
            <w:tcW w:w="2070" w:type="dxa"/>
            <w:shd w:val="clear" w:color="auto" w:fill="EEECE1"/>
          </w:tcPr>
          <w:p w14:paraId="3534C7E5" w14:textId="77777777" w:rsidR="0087459F" w:rsidRPr="00627A1C" w:rsidRDefault="0087459F" w:rsidP="0087459F">
            <w:pPr>
              <w:jc w:val="both"/>
              <w:rPr>
                <w:lang w:val="en-US" w:eastAsia="en-US"/>
              </w:rPr>
            </w:pPr>
            <w:r w:rsidRPr="00627A1C">
              <w:rPr>
                <w:lang w:val="en-US" w:eastAsia="en-US"/>
              </w:rPr>
              <w:t>Indicator 2.2.2</w:t>
            </w:r>
          </w:p>
          <w:p w14:paraId="305B15FF" w14:textId="44E56638" w:rsidR="0087459F" w:rsidRPr="00627A1C" w:rsidRDefault="0087459F" w:rsidP="0087459F">
            <w:pPr>
              <w:jc w:val="both"/>
              <w:rPr>
                <w:lang w:val="en-US" w:eastAsia="en-US"/>
              </w:rPr>
            </w:pPr>
            <w:r w:rsidRPr="00B666B7">
              <w:rPr>
                <w:lang w:eastAsia="en-US"/>
              </w:rPr>
              <w:t xml:space="preserve"># of traditional leaders/customary court judges with </w:t>
            </w:r>
            <w:r w:rsidRPr="00B666B7">
              <w:rPr>
                <w:lang w:eastAsia="en-US"/>
              </w:rPr>
              <w:lastRenderedPageBreak/>
              <w:t>increased knowledge on children’s and women’s rights and child sensitive justice procedures.</w:t>
            </w:r>
          </w:p>
        </w:tc>
        <w:tc>
          <w:tcPr>
            <w:tcW w:w="1530" w:type="dxa"/>
            <w:shd w:val="clear" w:color="auto" w:fill="EEECE1"/>
          </w:tcPr>
          <w:p w14:paraId="3167AC15" w14:textId="2A10DA3A" w:rsidR="0087459F" w:rsidRPr="00627A1C" w:rsidRDefault="0087459F" w:rsidP="0087459F">
            <w:r w:rsidRPr="00B666B7">
              <w:rPr>
                <w:lang w:eastAsia="en-US"/>
              </w:rPr>
              <w:lastRenderedPageBreak/>
              <w:t xml:space="preserve">Baseline: 60 traditional leaders benefitted </w:t>
            </w:r>
            <w:r w:rsidRPr="00B666B7">
              <w:rPr>
                <w:lang w:eastAsia="en-US"/>
              </w:rPr>
              <w:lastRenderedPageBreak/>
              <w:t>from training.</w:t>
            </w:r>
            <w:r w:rsidRPr="00B666B7">
              <w:rPr>
                <w:lang w:eastAsia="en-US"/>
              </w:rPr>
              <w:t> </w:t>
            </w:r>
          </w:p>
        </w:tc>
        <w:tc>
          <w:tcPr>
            <w:tcW w:w="1620" w:type="dxa"/>
            <w:shd w:val="clear" w:color="auto" w:fill="EEECE1"/>
          </w:tcPr>
          <w:p w14:paraId="4095605F" w14:textId="77777777" w:rsidR="0087459F" w:rsidRPr="00B666B7" w:rsidRDefault="0087459F" w:rsidP="0087459F">
            <w:pPr>
              <w:rPr>
                <w:lang w:eastAsia="en-US"/>
              </w:rPr>
            </w:pPr>
            <w:r w:rsidRPr="00B666B7">
              <w:rPr>
                <w:lang w:eastAsia="en-US"/>
              </w:rPr>
              <w:lastRenderedPageBreak/>
              <w:t>90 traditional/customary law judges</w:t>
            </w:r>
          </w:p>
          <w:p w14:paraId="7141704D" w14:textId="6390AEF9" w:rsidR="0087459F" w:rsidRPr="00627A1C" w:rsidRDefault="0087459F" w:rsidP="0087459F"/>
        </w:tc>
        <w:tc>
          <w:tcPr>
            <w:tcW w:w="1440" w:type="dxa"/>
          </w:tcPr>
          <w:p w14:paraId="767E2F88" w14:textId="162FAE70" w:rsidR="0087459F" w:rsidRPr="00627A1C" w:rsidRDefault="0087459F" w:rsidP="0087459F">
            <w:pPr>
              <w:rPr>
                <w:b/>
                <w:lang w:val="en-US" w:eastAsia="en-US"/>
              </w:rPr>
            </w:pPr>
            <w:r w:rsidRPr="00B666B7">
              <w:rPr>
                <w:bCs/>
                <w:lang w:val="en-US" w:eastAsia="en-US"/>
              </w:rPr>
              <w:lastRenderedPageBreak/>
              <w:t>30</w:t>
            </w:r>
          </w:p>
        </w:tc>
        <w:tc>
          <w:tcPr>
            <w:tcW w:w="2160" w:type="dxa"/>
          </w:tcPr>
          <w:p w14:paraId="61F27475" w14:textId="4A27581D" w:rsidR="0087459F" w:rsidRPr="00627A1C" w:rsidRDefault="0087459F" w:rsidP="0087459F">
            <w:r>
              <w:rPr>
                <w:b/>
                <w:lang w:val="en-US" w:eastAsia="en-US"/>
              </w:rPr>
              <w:t>0</w:t>
            </w:r>
          </w:p>
        </w:tc>
        <w:tc>
          <w:tcPr>
            <w:tcW w:w="4770" w:type="dxa"/>
          </w:tcPr>
          <w:p w14:paraId="2D6A96AE" w14:textId="70A188ED" w:rsidR="0087459F" w:rsidRPr="00627A1C" w:rsidRDefault="0087459F" w:rsidP="0087459F">
            <w:r>
              <w:t>The training is scheduled for the month of November</w:t>
            </w:r>
            <w:r w:rsidR="00E471E8">
              <w:t xml:space="preserve"> in Pibor and Aweil. Further training will be conducted in 2021.</w:t>
            </w:r>
            <w:r>
              <w:t xml:space="preserve"> </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C5D9" w14:textId="77777777" w:rsidR="001E03EE" w:rsidRDefault="001E03EE" w:rsidP="00E76CA1">
      <w:r>
        <w:separator/>
      </w:r>
    </w:p>
  </w:endnote>
  <w:endnote w:type="continuationSeparator" w:id="0">
    <w:p w14:paraId="5466D1B2" w14:textId="77777777" w:rsidR="001E03EE" w:rsidRDefault="001E03E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77777777" w:rsidR="009F2F65" w:rsidRDefault="009F2F65">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9F2F65" w:rsidRDefault="009F2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AF18B" w14:textId="77777777" w:rsidR="001E03EE" w:rsidRDefault="001E03EE" w:rsidP="00E76CA1">
      <w:r>
        <w:separator/>
      </w:r>
    </w:p>
  </w:footnote>
  <w:footnote w:type="continuationSeparator" w:id="0">
    <w:p w14:paraId="3FC775D1" w14:textId="77777777" w:rsidR="001E03EE" w:rsidRDefault="001E03EE"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D63CA9"/>
    <w:multiLevelType w:val="hybridMultilevel"/>
    <w:tmpl w:val="C256FDF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start w:val="1"/>
      <w:numFmt w:val="bullet"/>
      <w:lvlText w:val=""/>
      <w:lvlJc w:val="left"/>
      <w:pPr>
        <w:ind w:left="207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start w:val="1"/>
      <w:numFmt w:val="bullet"/>
      <w:lvlText w:val=""/>
      <w:lvlJc w:val="left"/>
      <w:pPr>
        <w:ind w:left="351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4950" w:hanging="360"/>
      </w:pPr>
      <w:rPr>
        <w:rFonts w:ascii="Courier New" w:hAnsi="Courier New" w:cs="Courier New" w:hint="default"/>
      </w:rPr>
    </w:lvl>
    <w:lvl w:ilvl="8" w:tplc="04090005">
      <w:start w:val="1"/>
      <w:numFmt w:val="bullet"/>
      <w:lvlText w:val=""/>
      <w:lvlJc w:val="left"/>
      <w:pPr>
        <w:ind w:left="5670" w:hanging="360"/>
      </w:pPr>
      <w:rPr>
        <w:rFonts w:ascii="Wingdings" w:hAnsi="Wingdings"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820EF9"/>
    <w:multiLevelType w:val="hybridMultilevel"/>
    <w:tmpl w:val="857C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8"/>
  </w:num>
  <w:num w:numId="4">
    <w:abstractNumId w:val="8"/>
  </w:num>
  <w:num w:numId="5">
    <w:abstractNumId w:val="15"/>
  </w:num>
  <w:num w:numId="6">
    <w:abstractNumId w:val="40"/>
  </w:num>
  <w:num w:numId="7">
    <w:abstractNumId w:val="38"/>
  </w:num>
  <w:num w:numId="8">
    <w:abstractNumId w:val="48"/>
  </w:num>
  <w:num w:numId="9">
    <w:abstractNumId w:val="20"/>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3"/>
  </w:num>
  <w:num w:numId="18">
    <w:abstractNumId w:val="9"/>
  </w:num>
  <w:num w:numId="19">
    <w:abstractNumId w:val="31"/>
  </w:num>
  <w:num w:numId="20">
    <w:abstractNumId w:val="23"/>
  </w:num>
  <w:num w:numId="21">
    <w:abstractNumId w:val="5"/>
  </w:num>
  <w:num w:numId="22">
    <w:abstractNumId w:val="32"/>
  </w:num>
  <w:num w:numId="23">
    <w:abstractNumId w:val="44"/>
  </w:num>
  <w:num w:numId="24">
    <w:abstractNumId w:val="18"/>
  </w:num>
  <w:num w:numId="25">
    <w:abstractNumId w:val="27"/>
  </w:num>
  <w:num w:numId="26">
    <w:abstractNumId w:val="49"/>
  </w:num>
  <w:num w:numId="27">
    <w:abstractNumId w:val="22"/>
  </w:num>
  <w:num w:numId="28">
    <w:abstractNumId w:val="39"/>
  </w:num>
  <w:num w:numId="29">
    <w:abstractNumId w:val="21"/>
  </w:num>
  <w:num w:numId="30">
    <w:abstractNumId w:val="14"/>
  </w:num>
  <w:num w:numId="31">
    <w:abstractNumId w:val="6"/>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2"/>
  </w:num>
  <w:num w:numId="46">
    <w:abstractNumId w:val="42"/>
  </w:num>
  <w:num w:numId="47">
    <w:abstractNumId w:val="1"/>
  </w:num>
  <w:num w:numId="48">
    <w:abstractNumId w:val="11"/>
  </w:num>
  <w:num w:numId="49">
    <w:abstractNumId w:val="1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NDA1M7EwsDQ0sjBT0lEKTi0uzszPAykwrAUAbUq30CwAAAA="/>
  </w:docVars>
  <w:rsids>
    <w:rsidRoot w:val="00E76CA1"/>
    <w:rsid w:val="000004CB"/>
    <w:rsid w:val="000022C4"/>
    <w:rsid w:val="00002815"/>
    <w:rsid w:val="00002A69"/>
    <w:rsid w:val="00005737"/>
    <w:rsid w:val="00006DBE"/>
    <w:rsid w:val="00006EC0"/>
    <w:rsid w:val="00010EB0"/>
    <w:rsid w:val="0001109A"/>
    <w:rsid w:val="00013D36"/>
    <w:rsid w:val="00013D69"/>
    <w:rsid w:val="00014B13"/>
    <w:rsid w:val="00025EFA"/>
    <w:rsid w:val="00031640"/>
    <w:rsid w:val="00034A4C"/>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2844"/>
    <w:rsid w:val="000A45F4"/>
    <w:rsid w:val="000A4660"/>
    <w:rsid w:val="000A51DA"/>
    <w:rsid w:val="000A6719"/>
    <w:rsid w:val="000B4E5C"/>
    <w:rsid w:val="000B7954"/>
    <w:rsid w:val="000C5D57"/>
    <w:rsid w:val="000C7EA0"/>
    <w:rsid w:val="000D1277"/>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0087"/>
    <w:rsid w:val="00153CD9"/>
    <w:rsid w:val="00154510"/>
    <w:rsid w:val="00156AFA"/>
    <w:rsid w:val="00156C4C"/>
    <w:rsid w:val="00157BF2"/>
    <w:rsid w:val="001607B2"/>
    <w:rsid w:val="0016088D"/>
    <w:rsid w:val="00160F28"/>
    <w:rsid w:val="00161D02"/>
    <w:rsid w:val="00171B97"/>
    <w:rsid w:val="00174FFE"/>
    <w:rsid w:val="0018095F"/>
    <w:rsid w:val="00182949"/>
    <w:rsid w:val="0018313E"/>
    <w:rsid w:val="0018446E"/>
    <w:rsid w:val="001850DE"/>
    <w:rsid w:val="001851CC"/>
    <w:rsid w:val="00185425"/>
    <w:rsid w:val="00186529"/>
    <w:rsid w:val="00192F1D"/>
    <w:rsid w:val="00194D4C"/>
    <w:rsid w:val="001956CD"/>
    <w:rsid w:val="00196AA8"/>
    <w:rsid w:val="001A1E86"/>
    <w:rsid w:val="001A3157"/>
    <w:rsid w:val="001A374F"/>
    <w:rsid w:val="001A4786"/>
    <w:rsid w:val="001B1EAF"/>
    <w:rsid w:val="001B458D"/>
    <w:rsid w:val="001B54AC"/>
    <w:rsid w:val="001B5D16"/>
    <w:rsid w:val="001B6DFD"/>
    <w:rsid w:val="001C1FBC"/>
    <w:rsid w:val="001C2AE3"/>
    <w:rsid w:val="001C4484"/>
    <w:rsid w:val="001C4515"/>
    <w:rsid w:val="001C46E9"/>
    <w:rsid w:val="001C5691"/>
    <w:rsid w:val="001C56B8"/>
    <w:rsid w:val="001C5B82"/>
    <w:rsid w:val="001C7F7D"/>
    <w:rsid w:val="001D1C14"/>
    <w:rsid w:val="001D3136"/>
    <w:rsid w:val="001D4604"/>
    <w:rsid w:val="001D575F"/>
    <w:rsid w:val="001D6683"/>
    <w:rsid w:val="001D67F9"/>
    <w:rsid w:val="001E03EE"/>
    <w:rsid w:val="001E660A"/>
    <w:rsid w:val="001F308A"/>
    <w:rsid w:val="0020130A"/>
    <w:rsid w:val="0020553C"/>
    <w:rsid w:val="00205EB7"/>
    <w:rsid w:val="00206D45"/>
    <w:rsid w:val="0020791D"/>
    <w:rsid w:val="002129DA"/>
    <w:rsid w:val="0021550A"/>
    <w:rsid w:val="00215F41"/>
    <w:rsid w:val="00217A2E"/>
    <w:rsid w:val="00217EB6"/>
    <w:rsid w:val="002247C2"/>
    <w:rsid w:val="002309E1"/>
    <w:rsid w:val="002322E6"/>
    <w:rsid w:val="00233827"/>
    <w:rsid w:val="00234A5E"/>
    <w:rsid w:val="00236072"/>
    <w:rsid w:val="0023672E"/>
    <w:rsid w:val="00236AB3"/>
    <w:rsid w:val="00243594"/>
    <w:rsid w:val="002436F0"/>
    <w:rsid w:val="00245E73"/>
    <w:rsid w:val="00246135"/>
    <w:rsid w:val="002464EA"/>
    <w:rsid w:val="00247F4E"/>
    <w:rsid w:val="00251944"/>
    <w:rsid w:val="00251E92"/>
    <w:rsid w:val="0025220B"/>
    <w:rsid w:val="00252B39"/>
    <w:rsid w:val="00254AC2"/>
    <w:rsid w:val="0025525B"/>
    <w:rsid w:val="00257569"/>
    <w:rsid w:val="00260632"/>
    <w:rsid w:val="0027242A"/>
    <w:rsid w:val="00272A58"/>
    <w:rsid w:val="00273AD0"/>
    <w:rsid w:val="002822AF"/>
    <w:rsid w:val="00282BD9"/>
    <w:rsid w:val="00286F66"/>
    <w:rsid w:val="00287878"/>
    <w:rsid w:val="002940E8"/>
    <w:rsid w:val="00296C15"/>
    <w:rsid w:val="002A1877"/>
    <w:rsid w:val="002B3207"/>
    <w:rsid w:val="002B346A"/>
    <w:rsid w:val="002B351E"/>
    <w:rsid w:val="002B42A5"/>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2F53B0"/>
    <w:rsid w:val="00301547"/>
    <w:rsid w:val="003040D8"/>
    <w:rsid w:val="0030455E"/>
    <w:rsid w:val="00305626"/>
    <w:rsid w:val="003136AD"/>
    <w:rsid w:val="00316D58"/>
    <w:rsid w:val="003212BB"/>
    <w:rsid w:val="00321C92"/>
    <w:rsid w:val="003235DF"/>
    <w:rsid w:val="00323ABC"/>
    <w:rsid w:val="00324A7C"/>
    <w:rsid w:val="00324FE5"/>
    <w:rsid w:val="00333AAF"/>
    <w:rsid w:val="00333EC9"/>
    <w:rsid w:val="0033515C"/>
    <w:rsid w:val="00336BF8"/>
    <w:rsid w:val="00342356"/>
    <w:rsid w:val="00343425"/>
    <w:rsid w:val="0034386B"/>
    <w:rsid w:val="00346D73"/>
    <w:rsid w:val="003473C6"/>
    <w:rsid w:val="0035676B"/>
    <w:rsid w:val="003626D2"/>
    <w:rsid w:val="0036386A"/>
    <w:rsid w:val="00366549"/>
    <w:rsid w:val="00372156"/>
    <w:rsid w:val="003722AE"/>
    <w:rsid w:val="00372CC2"/>
    <w:rsid w:val="0037561F"/>
    <w:rsid w:val="00377F85"/>
    <w:rsid w:val="00380849"/>
    <w:rsid w:val="003818DB"/>
    <w:rsid w:val="003834CD"/>
    <w:rsid w:val="00383908"/>
    <w:rsid w:val="003839E9"/>
    <w:rsid w:val="00391614"/>
    <w:rsid w:val="003966E6"/>
    <w:rsid w:val="003968D7"/>
    <w:rsid w:val="003A4A4E"/>
    <w:rsid w:val="003A613D"/>
    <w:rsid w:val="003A6341"/>
    <w:rsid w:val="003B3A5F"/>
    <w:rsid w:val="003B5338"/>
    <w:rsid w:val="003C5283"/>
    <w:rsid w:val="003C5CC6"/>
    <w:rsid w:val="003D12C7"/>
    <w:rsid w:val="003D228B"/>
    <w:rsid w:val="003D4CD7"/>
    <w:rsid w:val="003D4D7C"/>
    <w:rsid w:val="003D68FF"/>
    <w:rsid w:val="003F08B1"/>
    <w:rsid w:val="003F21BE"/>
    <w:rsid w:val="003F36FB"/>
    <w:rsid w:val="003F660A"/>
    <w:rsid w:val="004017BD"/>
    <w:rsid w:val="00401CB7"/>
    <w:rsid w:val="00402083"/>
    <w:rsid w:val="004023AC"/>
    <w:rsid w:val="00402514"/>
    <w:rsid w:val="0040513F"/>
    <w:rsid w:val="00405DE7"/>
    <w:rsid w:val="00411A5F"/>
    <w:rsid w:val="00413EAF"/>
    <w:rsid w:val="00414097"/>
    <w:rsid w:val="004213AF"/>
    <w:rsid w:val="00425AF8"/>
    <w:rsid w:val="00425B58"/>
    <w:rsid w:val="00437FF5"/>
    <w:rsid w:val="0046101E"/>
    <w:rsid w:val="00461944"/>
    <w:rsid w:val="00464188"/>
    <w:rsid w:val="00470EC3"/>
    <w:rsid w:val="00477CF8"/>
    <w:rsid w:val="00480A02"/>
    <w:rsid w:val="0048168F"/>
    <w:rsid w:val="00484092"/>
    <w:rsid w:val="00484169"/>
    <w:rsid w:val="004875B9"/>
    <w:rsid w:val="00495AC5"/>
    <w:rsid w:val="004965A3"/>
    <w:rsid w:val="004A210E"/>
    <w:rsid w:val="004A3AD2"/>
    <w:rsid w:val="004A48BB"/>
    <w:rsid w:val="004A49E6"/>
    <w:rsid w:val="004B1E1E"/>
    <w:rsid w:val="004B5601"/>
    <w:rsid w:val="004B5B20"/>
    <w:rsid w:val="004C3DC3"/>
    <w:rsid w:val="004C4F3B"/>
    <w:rsid w:val="004C60C1"/>
    <w:rsid w:val="004D141E"/>
    <w:rsid w:val="004D284A"/>
    <w:rsid w:val="004E33A8"/>
    <w:rsid w:val="004E3B3E"/>
    <w:rsid w:val="004E3BD7"/>
    <w:rsid w:val="004E47BB"/>
    <w:rsid w:val="004E5181"/>
    <w:rsid w:val="004E6614"/>
    <w:rsid w:val="004F016F"/>
    <w:rsid w:val="004F7D22"/>
    <w:rsid w:val="00505758"/>
    <w:rsid w:val="005129DA"/>
    <w:rsid w:val="00513612"/>
    <w:rsid w:val="00513D8E"/>
    <w:rsid w:val="00515EEF"/>
    <w:rsid w:val="005174D6"/>
    <w:rsid w:val="0051786C"/>
    <w:rsid w:val="005208FF"/>
    <w:rsid w:val="00520E6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4CD9"/>
    <w:rsid w:val="005460E0"/>
    <w:rsid w:val="005462EB"/>
    <w:rsid w:val="005470AF"/>
    <w:rsid w:val="00550982"/>
    <w:rsid w:val="0055121B"/>
    <w:rsid w:val="0055185F"/>
    <w:rsid w:val="00553A7C"/>
    <w:rsid w:val="00553D53"/>
    <w:rsid w:val="0056086D"/>
    <w:rsid w:val="00561C6B"/>
    <w:rsid w:val="00565EE7"/>
    <w:rsid w:val="0057086A"/>
    <w:rsid w:val="005718ED"/>
    <w:rsid w:val="005753AF"/>
    <w:rsid w:val="0058153F"/>
    <w:rsid w:val="0058301B"/>
    <w:rsid w:val="00590937"/>
    <w:rsid w:val="0059166A"/>
    <w:rsid w:val="00592733"/>
    <w:rsid w:val="00593B59"/>
    <w:rsid w:val="00595DBA"/>
    <w:rsid w:val="00597D99"/>
    <w:rsid w:val="005A2661"/>
    <w:rsid w:val="005A26F8"/>
    <w:rsid w:val="005A56E0"/>
    <w:rsid w:val="005C0157"/>
    <w:rsid w:val="005C187A"/>
    <w:rsid w:val="005C1FC7"/>
    <w:rsid w:val="005C4963"/>
    <w:rsid w:val="005C4BBA"/>
    <w:rsid w:val="005C68B4"/>
    <w:rsid w:val="005D2343"/>
    <w:rsid w:val="005D545C"/>
    <w:rsid w:val="005E3B28"/>
    <w:rsid w:val="005F0CC2"/>
    <w:rsid w:val="005F4201"/>
    <w:rsid w:val="005F439F"/>
    <w:rsid w:val="005F77DA"/>
    <w:rsid w:val="005F7848"/>
    <w:rsid w:val="0060439E"/>
    <w:rsid w:val="00605275"/>
    <w:rsid w:val="006073A2"/>
    <w:rsid w:val="006073AB"/>
    <w:rsid w:val="0060796B"/>
    <w:rsid w:val="006100F5"/>
    <w:rsid w:val="0061027E"/>
    <w:rsid w:val="0061467E"/>
    <w:rsid w:val="00615C30"/>
    <w:rsid w:val="00624881"/>
    <w:rsid w:val="00624B2F"/>
    <w:rsid w:val="00624F31"/>
    <w:rsid w:val="00626B3F"/>
    <w:rsid w:val="00627A1C"/>
    <w:rsid w:val="00632971"/>
    <w:rsid w:val="00635112"/>
    <w:rsid w:val="00643A9E"/>
    <w:rsid w:val="00646FF7"/>
    <w:rsid w:val="006500AC"/>
    <w:rsid w:val="00651323"/>
    <w:rsid w:val="00656A65"/>
    <w:rsid w:val="006578BB"/>
    <w:rsid w:val="00657A0F"/>
    <w:rsid w:val="00661660"/>
    <w:rsid w:val="006645BE"/>
    <w:rsid w:val="006648F5"/>
    <w:rsid w:val="00664EA0"/>
    <w:rsid w:val="006673EC"/>
    <w:rsid w:val="0067044E"/>
    <w:rsid w:val="00670D17"/>
    <w:rsid w:val="00671040"/>
    <w:rsid w:val="0067321D"/>
    <w:rsid w:val="006734B3"/>
    <w:rsid w:val="0067356E"/>
    <w:rsid w:val="00673D6E"/>
    <w:rsid w:val="006762A7"/>
    <w:rsid w:val="006811AD"/>
    <w:rsid w:val="00682678"/>
    <w:rsid w:val="00685583"/>
    <w:rsid w:val="006907EE"/>
    <w:rsid w:val="00691C2F"/>
    <w:rsid w:val="006947B7"/>
    <w:rsid w:val="006969E7"/>
    <w:rsid w:val="0069780E"/>
    <w:rsid w:val="006A07CA"/>
    <w:rsid w:val="006A207B"/>
    <w:rsid w:val="006A2E42"/>
    <w:rsid w:val="006A5032"/>
    <w:rsid w:val="006A5B0E"/>
    <w:rsid w:val="006B1807"/>
    <w:rsid w:val="006B2F99"/>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41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08D"/>
    <w:rsid w:val="00751279"/>
    <w:rsid w:val="00751324"/>
    <w:rsid w:val="00751DAF"/>
    <w:rsid w:val="00753159"/>
    <w:rsid w:val="007569BB"/>
    <w:rsid w:val="00757839"/>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27A1"/>
    <w:rsid w:val="007937AE"/>
    <w:rsid w:val="00793DE6"/>
    <w:rsid w:val="00793E8B"/>
    <w:rsid w:val="00793F54"/>
    <w:rsid w:val="00794263"/>
    <w:rsid w:val="007958F2"/>
    <w:rsid w:val="007A1B5F"/>
    <w:rsid w:val="007A4F3E"/>
    <w:rsid w:val="007A5985"/>
    <w:rsid w:val="007A777F"/>
    <w:rsid w:val="007B10F6"/>
    <w:rsid w:val="007B1BE5"/>
    <w:rsid w:val="007B368E"/>
    <w:rsid w:val="007B4A6F"/>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17132"/>
    <w:rsid w:val="008257B1"/>
    <w:rsid w:val="0083461E"/>
    <w:rsid w:val="00834A9F"/>
    <w:rsid w:val="00834D4F"/>
    <w:rsid w:val="008364E5"/>
    <w:rsid w:val="00837B04"/>
    <w:rsid w:val="0084221C"/>
    <w:rsid w:val="00842C3A"/>
    <w:rsid w:val="0084393C"/>
    <w:rsid w:val="00847A89"/>
    <w:rsid w:val="00853068"/>
    <w:rsid w:val="00861669"/>
    <w:rsid w:val="008632DB"/>
    <w:rsid w:val="008640A5"/>
    <w:rsid w:val="00865821"/>
    <w:rsid w:val="00865FA0"/>
    <w:rsid w:val="008664A8"/>
    <w:rsid w:val="00866E96"/>
    <w:rsid w:val="0087459F"/>
    <w:rsid w:val="00874634"/>
    <w:rsid w:val="00875EA5"/>
    <w:rsid w:val="00881D4B"/>
    <w:rsid w:val="0088230B"/>
    <w:rsid w:val="00887E69"/>
    <w:rsid w:val="008907E6"/>
    <w:rsid w:val="00891AE7"/>
    <w:rsid w:val="008A0B29"/>
    <w:rsid w:val="008A1155"/>
    <w:rsid w:val="008A3181"/>
    <w:rsid w:val="008B1B75"/>
    <w:rsid w:val="008B2270"/>
    <w:rsid w:val="008B3518"/>
    <w:rsid w:val="008B5A12"/>
    <w:rsid w:val="008B7E23"/>
    <w:rsid w:val="008C782A"/>
    <w:rsid w:val="008D7406"/>
    <w:rsid w:val="008E1083"/>
    <w:rsid w:val="008E3872"/>
    <w:rsid w:val="008E5A9A"/>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196C"/>
    <w:rsid w:val="00945925"/>
    <w:rsid w:val="00952DE4"/>
    <w:rsid w:val="009568EF"/>
    <w:rsid w:val="00956B79"/>
    <w:rsid w:val="0096148A"/>
    <w:rsid w:val="00965F6B"/>
    <w:rsid w:val="00970F4C"/>
    <w:rsid w:val="0097130A"/>
    <w:rsid w:val="00971601"/>
    <w:rsid w:val="00974D94"/>
    <w:rsid w:val="00976558"/>
    <w:rsid w:val="009774FE"/>
    <w:rsid w:val="009832F8"/>
    <w:rsid w:val="009839DA"/>
    <w:rsid w:val="00985E49"/>
    <w:rsid w:val="00991366"/>
    <w:rsid w:val="00991418"/>
    <w:rsid w:val="00994476"/>
    <w:rsid w:val="00994B0E"/>
    <w:rsid w:val="00994C23"/>
    <w:rsid w:val="00995619"/>
    <w:rsid w:val="0099700D"/>
    <w:rsid w:val="00997347"/>
    <w:rsid w:val="009A012A"/>
    <w:rsid w:val="009A1CD3"/>
    <w:rsid w:val="009A44A4"/>
    <w:rsid w:val="009A4A5D"/>
    <w:rsid w:val="009A5EEF"/>
    <w:rsid w:val="009B18EB"/>
    <w:rsid w:val="009B3882"/>
    <w:rsid w:val="009B5D1A"/>
    <w:rsid w:val="009C153E"/>
    <w:rsid w:val="009C28DE"/>
    <w:rsid w:val="009C2C5E"/>
    <w:rsid w:val="009C4F29"/>
    <w:rsid w:val="009D0838"/>
    <w:rsid w:val="009D0C9F"/>
    <w:rsid w:val="009D10B2"/>
    <w:rsid w:val="009D2543"/>
    <w:rsid w:val="009D5200"/>
    <w:rsid w:val="009D64E4"/>
    <w:rsid w:val="009E20F1"/>
    <w:rsid w:val="009E38EA"/>
    <w:rsid w:val="009E5594"/>
    <w:rsid w:val="009F2F65"/>
    <w:rsid w:val="009F517D"/>
    <w:rsid w:val="009F6554"/>
    <w:rsid w:val="009F7F98"/>
    <w:rsid w:val="00A02F58"/>
    <w:rsid w:val="00A032AE"/>
    <w:rsid w:val="00A07A5E"/>
    <w:rsid w:val="00A10DAC"/>
    <w:rsid w:val="00A31988"/>
    <w:rsid w:val="00A34FE2"/>
    <w:rsid w:val="00A35FDA"/>
    <w:rsid w:val="00A360E8"/>
    <w:rsid w:val="00A41736"/>
    <w:rsid w:val="00A42AE0"/>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585A"/>
    <w:rsid w:val="00A66688"/>
    <w:rsid w:val="00A67ECB"/>
    <w:rsid w:val="00A73ECA"/>
    <w:rsid w:val="00A77540"/>
    <w:rsid w:val="00A81DF0"/>
    <w:rsid w:val="00A8266F"/>
    <w:rsid w:val="00A83080"/>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3CC7"/>
    <w:rsid w:val="00AB6561"/>
    <w:rsid w:val="00AB6BAD"/>
    <w:rsid w:val="00AB7B04"/>
    <w:rsid w:val="00AC433F"/>
    <w:rsid w:val="00AC4B04"/>
    <w:rsid w:val="00AC5D55"/>
    <w:rsid w:val="00AD0A31"/>
    <w:rsid w:val="00AD1B06"/>
    <w:rsid w:val="00AD6104"/>
    <w:rsid w:val="00AD6C55"/>
    <w:rsid w:val="00AD73D3"/>
    <w:rsid w:val="00AE0D84"/>
    <w:rsid w:val="00AF2D89"/>
    <w:rsid w:val="00AF623F"/>
    <w:rsid w:val="00AF7DA4"/>
    <w:rsid w:val="00B00EBD"/>
    <w:rsid w:val="00B0370E"/>
    <w:rsid w:val="00B03E68"/>
    <w:rsid w:val="00B05E35"/>
    <w:rsid w:val="00B124BD"/>
    <w:rsid w:val="00B12FB8"/>
    <w:rsid w:val="00B22390"/>
    <w:rsid w:val="00B244A1"/>
    <w:rsid w:val="00B24F72"/>
    <w:rsid w:val="00B27419"/>
    <w:rsid w:val="00B329B9"/>
    <w:rsid w:val="00B37406"/>
    <w:rsid w:val="00B404DF"/>
    <w:rsid w:val="00B40B1B"/>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9369A"/>
    <w:rsid w:val="00BA3100"/>
    <w:rsid w:val="00BA4F96"/>
    <w:rsid w:val="00BA5D85"/>
    <w:rsid w:val="00BA6688"/>
    <w:rsid w:val="00BA6F4B"/>
    <w:rsid w:val="00BA7463"/>
    <w:rsid w:val="00BB4C09"/>
    <w:rsid w:val="00BB7009"/>
    <w:rsid w:val="00BC1A5D"/>
    <w:rsid w:val="00BC34D3"/>
    <w:rsid w:val="00BC6808"/>
    <w:rsid w:val="00BC71E1"/>
    <w:rsid w:val="00BD2962"/>
    <w:rsid w:val="00BD2D91"/>
    <w:rsid w:val="00BD5D49"/>
    <w:rsid w:val="00BD643D"/>
    <w:rsid w:val="00BD715E"/>
    <w:rsid w:val="00BE28AA"/>
    <w:rsid w:val="00BE41D3"/>
    <w:rsid w:val="00BE720A"/>
    <w:rsid w:val="00BE7698"/>
    <w:rsid w:val="00BF03E5"/>
    <w:rsid w:val="00BF1BFB"/>
    <w:rsid w:val="00BF41E2"/>
    <w:rsid w:val="00BF43F8"/>
    <w:rsid w:val="00C0622F"/>
    <w:rsid w:val="00C07A0C"/>
    <w:rsid w:val="00C107F6"/>
    <w:rsid w:val="00C12D6A"/>
    <w:rsid w:val="00C13590"/>
    <w:rsid w:val="00C145CF"/>
    <w:rsid w:val="00C221D7"/>
    <w:rsid w:val="00C2331C"/>
    <w:rsid w:val="00C25206"/>
    <w:rsid w:val="00C27302"/>
    <w:rsid w:val="00C30188"/>
    <w:rsid w:val="00C30F72"/>
    <w:rsid w:val="00C312C0"/>
    <w:rsid w:val="00C339B4"/>
    <w:rsid w:val="00C41926"/>
    <w:rsid w:val="00C42FB9"/>
    <w:rsid w:val="00C52BDA"/>
    <w:rsid w:val="00C55E8E"/>
    <w:rsid w:val="00C578BE"/>
    <w:rsid w:val="00C61129"/>
    <w:rsid w:val="00C622BD"/>
    <w:rsid w:val="00C640B2"/>
    <w:rsid w:val="00C66D9E"/>
    <w:rsid w:val="00C70E7A"/>
    <w:rsid w:val="00C72CF8"/>
    <w:rsid w:val="00C74E37"/>
    <w:rsid w:val="00C75C04"/>
    <w:rsid w:val="00C8341F"/>
    <w:rsid w:val="00C846A4"/>
    <w:rsid w:val="00C847EE"/>
    <w:rsid w:val="00C848AF"/>
    <w:rsid w:val="00C853D5"/>
    <w:rsid w:val="00C96336"/>
    <w:rsid w:val="00C968E6"/>
    <w:rsid w:val="00CA03D2"/>
    <w:rsid w:val="00CA18AB"/>
    <w:rsid w:val="00CA1B43"/>
    <w:rsid w:val="00CA6C99"/>
    <w:rsid w:val="00CA7CE5"/>
    <w:rsid w:val="00CB02F7"/>
    <w:rsid w:val="00CB25A2"/>
    <w:rsid w:val="00CB4B5C"/>
    <w:rsid w:val="00CB7E8A"/>
    <w:rsid w:val="00CC2015"/>
    <w:rsid w:val="00CC26EB"/>
    <w:rsid w:val="00CC59E5"/>
    <w:rsid w:val="00CD2F67"/>
    <w:rsid w:val="00CD3754"/>
    <w:rsid w:val="00CD5E04"/>
    <w:rsid w:val="00CD5E74"/>
    <w:rsid w:val="00CE0239"/>
    <w:rsid w:val="00CE132D"/>
    <w:rsid w:val="00CE3BEA"/>
    <w:rsid w:val="00CE499C"/>
    <w:rsid w:val="00CF04AE"/>
    <w:rsid w:val="00CF073D"/>
    <w:rsid w:val="00CF093C"/>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458F"/>
    <w:rsid w:val="00D5552B"/>
    <w:rsid w:val="00D557FD"/>
    <w:rsid w:val="00D569A1"/>
    <w:rsid w:val="00D632A3"/>
    <w:rsid w:val="00D65589"/>
    <w:rsid w:val="00D65BB5"/>
    <w:rsid w:val="00D66516"/>
    <w:rsid w:val="00D6788F"/>
    <w:rsid w:val="00D70EC5"/>
    <w:rsid w:val="00D755D9"/>
    <w:rsid w:val="00D76947"/>
    <w:rsid w:val="00D82C29"/>
    <w:rsid w:val="00D84A39"/>
    <w:rsid w:val="00D85131"/>
    <w:rsid w:val="00D917B8"/>
    <w:rsid w:val="00D91CB0"/>
    <w:rsid w:val="00D975F1"/>
    <w:rsid w:val="00DA064C"/>
    <w:rsid w:val="00DA2795"/>
    <w:rsid w:val="00DA2CD8"/>
    <w:rsid w:val="00DA7B93"/>
    <w:rsid w:val="00DC1151"/>
    <w:rsid w:val="00DC3579"/>
    <w:rsid w:val="00DC3612"/>
    <w:rsid w:val="00DC4D0A"/>
    <w:rsid w:val="00DC5066"/>
    <w:rsid w:val="00DE2383"/>
    <w:rsid w:val="00DE685A"/>
    <w:rsid w:val="00DF1FA7"/>
    <w:rsid w:val="00DF2AA3"/>
    <w:rsid w:val="00DF3624"/>
    <w:rsid w:val="00DF5EB7"/>
    <w:rsid w:val="00DF5FD1"/>
    <w:rsid w:val="00DF6A23"/>
    <w:rsid w:val="00E021C1"/>
    <w:rsid w:val="00E04A24"/>
    <w:rsid w:val="00E0564D"/>
    <w:rsid w:val="00E07987"/>
    <w:rsid w:val="00E07CAD"/>
    <w:rsid w:val="00E10926"/>
    <w:rsid w:val="00E13590"/>
    <w:rsid w:val="00E22120"/>
    <w:rsid w:val="00E2765E"/>
    <w:rsid w:val="00E31B37"/>
    <w:rsid w:val="00E3272C"/>
    <w:rsid w:val="00E33CB7"/>
    <w:rsid w:val="00E34912"/>
    <w:rsid w:val="00E3564C"/>
    <w:rsid w:val="00E35E72"/>
    <w:rsid w:val="00E41079"/>
    <w:rsid w:val="00E42721"/>
    <w:rsid w:val="00E43490"/>
    <w:rsid w:val="00E44AF0"/>
    <w:rsid w:val="00E471E8"/>
    <w:rsid w:val="00E5082E"/>
    <w:rsid w:val="00E513CC"/>
    <w:rsid w:val="00E51A66"/>
    <w:rsid w:val="00E5415A"/>
    <w:rsid w:val="00E5487E"/>
    <w:rsid w:val="00E54C30"/>
    <w:rsid w:val="00E55349"/>
    <w:rsid w:val="00E55557"/>
    <w:rsid w:val="00E62ED2"/>
    <w:rsid w:val="00E658A1"/>
    <w:rsid w:val="00E671FC"/>
    <w:rsid w:val="00E67819"/>
    <w:rsid w:val="00E75D3B"/>
    <w:rsid w:val="00E76BB5"/>
    <w:rsid w:val="00E76CA1"/>
    <w:rsid w:val="00E76F75"/>
    <w:rsid w:val="00E83A40"/>
    <w:rsid w:val="00E84BB9"/>
    <w:rsid w:val="00E84FA2"/>
    <w:rsid w:val="00E876A0"/>
    <w:rsid w:val="00E877CA"/>
    <w:rsid w:val="00E928D7"/>
    <w:rsid w:val="00E97C4A"/>
    <w:rsid w:val="00EA0448"/>
    <w:rsid w:val="00EA26FE"/>
    <w:rsid w:val="00EB1536"/>
    <w:rsid w:val="00EB1C20"/>
    <w:rsid w:val="00EB2B6A"/>
    <w:rsid w:val="00EB4C46"/>
    <w:rsid w:val="00EC0FDA"/>
    <w:rsid w:val="00EC18C3"/>
    <w:rsid w:val="00EC19E1"/>
    <w:rsid w:val="00EC1D43"/>
    <w:rsid w:val="00EC3396"/>
    <w:rsid w:val="00EC4761"/>
    <w:rsid w:val="00EC491F"/>
    <w:rsid w:val="00EC5F32"/>
    <w:rsid w:val="00EC5F36"/>
    <w:rsid w:val="00EC6E52"/>
    <w:rsid w:val="00ED1554"/>
    <w:rsid w:val="00ED4FE8"/>
    <w:rsid w:val="00ED6399"/>
    <w:rsid w:val="00ED7365"/>
    <w:rsid w:val="00ED7FBD"/>
    <w:rsid w:val="00EE09AF"/>
    <w:rsid w:val="00EE0A91"/>
    <w:rsid w:val="00EE2070"/>
    <w:rsid w:val="00EE28CD"/>
    <w:rsid w:val="00EE45FD"/>
    <w:rsid w:val="00EE5DF0"/>
    <w:rsid w:val="00EE6B58"/>
    <w:rsid w:val="00EF10E8"/>
    <w:rsid w:val="00EF34F7"/>
    <w:rsid w:val="00EF3746"/>
    <w:rsid w:val="00F05682"/>
    <w:rsid w:val="00F065BD"/>
    <w:rsid w:val="00F10D6E"/>
    <w:rsid w:val="00F17161"/>
    <w:rsid w:val="00F177AC"/>
    <w:rsid w:val="00F20F55"/>
    <w:rsid w:val="00F2227D"/>
    <w:rsid w:val="00F2233A"/>
    <w:rsid w:val="00F23D0F"/>
    <w:rsid w:val="00F2629E"/>
    <w:rsid w:val="00F30ED8"/>
    <w:rsid w:val="00F31F25"/>
    <w:rsid w:val="00F32725"/>
    <w:rsid w:val="00F336E5"/>
    <w:rsid w:val="00F34857"/>
    <w:rsid w:val="00F3653F"/>
    <w:rsid w:val="00F36B57"/>
    <w:rsid w:val="00F43449"/>
    <w:rsid w:val="00F434C7"/>
    <w:rsid w:val="00F5504F"/>
    <w:rsid w:val="00F5578A"/>
    <w:rsid w:val="00F63B1C"/>
    <w:rsid w:val="00F63FBE"/>
    <w:rsid w:val="00F6459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6B6"/>
    <w:rsid w:val="00FB27F5"/>
    <w:rsid w:val="00FB3CDE"/>
    <w:rsid w:val="00FB5C17"/>
    <w:rsid w:val="00FC14D4"/>
    <w:rsid w:val="00FC1C72"/>
    <w:rsid w:val="00FC5060"/>
    <w:rsid w:val="00FC6D2F"/>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C4515"/>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5096129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20396752">
      <w:bodyDiv w:val="1"/>
      <w:marLeft w:val="0"/>
      <w:marRight w:val="0"/>
      <w:marTop w:val="0"/>
      <w:marBottom w:val="0"/>
      <w:divBdr>
        <w:top w:val="none" w:sz="0" w:space="0" w:color="auto"/>
        <w:left w:val="none" w:sz="0" w:space="0" w:color="auto"/>
        <w:bottom w:val="none" w:sz="0" w:space="0" w:color="auto"/>
        <w:right w:val="none" w:sz="0" w:space="0" w:color="auto"/>
      </w:divBdr>
    </w:div>
    <w:div w:id="18315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9E056A-234F-40C3-BDB4-B62CA90D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3898</Words>
  <Characters>22223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Benjamin</cp:lastModifiedBy>
  <cp:revision>4</cp:revision>
  <cp:lastPrinted>2014-02-10T17:12:00Z</cp:lastPrinted>
  <dcterms:created xsi:type="dcterms:W3CDTF">2020-11-09T10:57:00Z</dcterms:created>
  <dcterms:modified xsi:type="dcterms:W3CDTF">2020-12-11T10:06:00Z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