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DAC03" w14:textId="77777777" w:rsidR="00AB0274" w:rsidRPr="00DB5708" w:rsidRDefault="00AB0274" w:rsidP="00371773">
      <w:pPr>
        <w:jc w:val="both"/>
        <w:rPr>
          <w:rFonts w:asciiTheme="minorHAnsi" w:hAnsiTheme="minorHAnsi" w:cstheme="minorHAnsi"/>
          <w:sz w:val="22"/>
          <w:szCs w:val="22"/>
        </w:rPr>
      </w:pPr>
    </w:p>
    <w:p w14:paraId="6F0CDD3B" w14:textId="1FEB1144" w:rsidR="009423FE" w:rsidRPr="00DB5708" w:rsidRDefault="00027D1B" w:rsidP="00371773">
      <w:pPr>
        <w:spacing w:line="200" w:lineRule="atLeast"/>
        <w:jc w:val="both"/>
        <w:rPr>
          <w:rFonts w:asciiTheme="minorHAnsi" w:hAnsiTheme="minorHAnsi" w:cstheme="minorHAnsi"/>
          <w:sz w:val="22"/>
          <w:szCs w:val="22"/>
        </w:rPr>
      </w:pPr>
      <w:bookmarkStart w:id="0" w:name="_Toc249364483"/>
      <w:bookmarkStart w:id="1" w:name="_GoBack"/>
      <w:bookmarkEnd w:id="1"/>
      <w:r w:rsidRPr="00DB5708">
        <w:rPr>
          <w:rFonts w:asciiTheme="minorHAnsi" w:hAnsiTheme="minorHAnsi" w:cstheme="minorHAnsi"/>
          <w:noProof/>
          <w:sz w:val="22"/>
          <w:szCs w:val="22"/>
        </w:rPr>
        <w:drawing>
          <wp:anchor distT="0" distB="0" distL="114300" distR="114300" simplePos="0" relativeHeight="251661312" behindDoc="0" locked="0" layoutInCell="1" allowOverlap="1" wp14:anchorId="02FE4CC2" wp14:editId="1C3B0993">
            <wp:simplePos x="800986" y="460744"/>
            <wp:positionH relativeFrom="column">
              <wp:align>left</wp:align>
            </wp:positionH>
            <wp:positionV relativeFrom="paragraph">
              <wp:align>top</wp:align>
            </wp:positionV>
            <wp:extent cx="2918460" cy="1316990"/>
            <wp:effectExtent l="0" t="0" r="0" b="0"/>
            <wp:wrapSquare wrapText="bothSides"/>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18460" cy="1316990"/>
                    </a:xfrm>
                    <a:prstGeom prst="rect">
                      <a:avLst/>
                    </a:prstGeom>
                    <a:noFill/>
                    <a:ln>
                      <a:noFill/>
                    </a:ln>
                  </pic:spPr>
                </pic:pic>
              </a:graphicData>
            </a:graphic>
          </wp:anchor>
        </w:drawing>
      </w:r>
      <w:r w:rsidR="00B3184B">
        <w:rPr>
          <w:rFonts w:asciiTheme="minorHAnsi" w:hAnsiTheme="minorHAnsi" w:cstheme="minorHAnsi"/>
          <w:sz w:val="22"/>
          <w:szCs w:val="22"/>
        </w:rPr>
        <w:br w:type="textWrapping" w:clear="all"/>
      </w:r>
    </w:p>
    <w:p w14:paraId="5B90213C" w14:textId="77777777" w:rsidR="009423FE" w:rsidRPr="00DB5708" w:rsidRDefault="009423FE" w:rsidP="00371773">
      <w:pPr>
        <w:jc w:val="both"/>
        <w:rPr>
          <w:rFonts w:asciiTheme="minorHAnsi" w:hAnsiTheme="minorHAnsi" w:cstheme="minorHAnsi"/>
          <w:sz w:val="22"/>
          <w:szCs w:val="22"/>
        </w:rPr>
      </w:pPr>
    </w:p>
    <w:p w14:paraId="4357DDED" w14:textId="77777777" w:rsidR="009423FE" w:rsidRPr="00DB5708" w:rsidRDefault="009423FE" w:rsidP="00371773">
      <w:pPr>
        <w:jc w:val="both"/>
        <w:rPr>
          <w:rFonts w:asciiTheme="minorHAnsi" w:hAnsiTheme="minorHAnsi" w:cstheme="minorHAnsi"/>
          <w:sz w:val="22"/>
          <w:szCs w:val="22"/>
        </w:rPr>
      </w:pPr>
    </w:p>
    <w:p w14:paraId="1CE9B2DA" w14:textId="77777777" w:rsidR="009423FE" w:rsidRPr="00DB5708" w:rsidRDefault="009423FE" w:rsidP="00371773">
      <w:pPr>
        <w:jc w:val="both"/>
        <w:rPr>
          <w:rFonts w:asciiTheme="minorHAnsi" w:hAnsiTheme="minorHAnsi" w:cstheme="minorHAnsi"/>
          <w:sz w:val="22"/>
          <w:szCs w:val="22"/>
        </w:rPr>
      </w:pPr>
    </w:p>
    <w:p w14:paraId="4C7F224C" w14:textId="77777777" w:rsidR="009423FE" w:rsidRPr="00DB5708" w:rsidRDefault="009423FE" w:rsidP="00371773">
      <w:pPr>
        <w:jc w:val="both"/>
        <w:rPr>
          <w:rFonts w:asciiTheme="minorHAnsi" w:hAnsiTheme="minorHAnsi" w:cstheme="minorHAnsi"/>
          <w:sz w:val="22"/>
          <w:szCs w:val="22"/>
        </w:rPr>
      </w:pPr>
    </w:p>
    <w:p w14:paraId="445393ED" w14:textId="77777777" w:rsidR="009423FE" w:rsidRPr="00DB5708" w:rsidRDefault="009423FE" w:rsidP="00371773">
      <w:pPr>
        <w:jc w:val="both"/>
        <w:rPr>
          <w:rFonts w:asciiTheme="minorHAnsi" w:hAnsiTheme="minorHAnsi" w:cstheme="minorHAnsi"/>
          <w:sz w:val="22"/>
          <w:szCs w:val="22"/>
        </w:rPr>
      </w:pPr>
    </w:p>
    <w:p w14:paraId="555ECE87" w14:textId="77777777" w:rsidR="009423FE" w:rsidRPr="00DB5708" w:rsidRDefault="009423FE" w:rsidP="00371773">
      <w:pPr>
        <w:jc w:val="both"/>
        <w:rPr>
          <w:rFonts w:asciiTheme="minorHAnsi" w:hAnsiTheme="minorHAnsi" w:cstheme="minorHAnsi"/>
          <w:sz w:val="22"/>
          <w:szCs w:val="22"/>
        </w:rPr>
      </w:pPr>
    </w:p>
    <w:p w14:paraId="3125EC4F" w14:textId="77777777" w:rsidR="009423FE" w:rsidRPr="00DB5708" w:rsidRDefault="009423FE" w:rsidP="00371773">
      <w:pPr>
        <w:jc w:val="both"/>
        <w:rPr>
          <w:rFonts w:asciiTheme="minorHAnsi" w:hAnsiTheme="minorHAnsi" w:cstheme="minorHAnsi"/>
          <w:sz w:val="22"/>
          <w:szCs w:val="22"/>
        </w:rPr>
      </w:pPr>
    </w:p>
    <w:p w14:paraId="16E74F52" w14:textId="77777777" w:rsidR="009423FE" w:rsidRPr="00DB5708" w:rsidRDefault="009423FE" w:rsidP="00371773">
      <w:pPr>
        <w:jc w:val="both"/>
        <w:rPr>
          <w:rFonts w:asciiTheme="minorHAnsi" w:hAnsiTheme="minorHAnsi" w:cstheme="minorHAnsi"/>
          <w:sz w:val="22"/>
          <w:szCs w:val="22"/>
        </w:rPr>
      </w:pPr>
    </w:p>
    <w:p w14:paraId="42DAAE3E" w14:textId="77777777" w:rsidR="009423FE" w:rsidRPr="00DB5708" w:rsidRDefault="009423FE" w:rsidP="00371773">
      <w:pPr>
        <w:jc w:val="both"/>
        <w:rPr>
          <w:rFonts w:asciiTheme="minorHAnsi" w:hAnsiTheme="minorHAnsi" w:cstheme="minorHAnsi"/>
          <w:sz w:val="22"/>
          <w:szCs w:val="22"/>
        </w:rPr>
      </w:pPr>
    </w:p>
    <w:p w14:paraId="5A5B55DE" w14:textId="77777777" w:rsidR="009423FE" w:rsidRPr="00DB5708" w:rsidRDefault="009423FE" w:rsidP="00371773">
      <w:pPr>
        <w:jc w:val="both"/>
        <w:rPr>
          <w:rFonts w:asciiTheme="minorHAnsi" w:hAnsiTheme="minorHAnsi" w:cstheme="minorHAnsi"/>
          <w:sz w:val="22"/>
          <w:szCs w:val="22"/>
        </w:rPr>
      </w:pPr>
    </w:p>
    <w:p w14:paraId="7CF9FB37" w14:textId="77777777" w:rsidR="009423FE" w:rsidRPr="00DB5708" w:rsidRDefault="009423FE" w:rsidP="00371773">
      <w:pPr>
        <w:jc w:val="both"/>
        <w:rPr>
          <w:rFonts w:asciiTheme="minorHAnsi" w:hAnsiTheme="minorHAnsi" w:cstheme="minorHAnsi"/>
          <w:sz w:val="22"/>
          <w:szCs w:val="22"/>
        </w:rPr>
      </w:pPr>
    </w:p>
    <w:p w14:paraId="1D275775" w14:textId="77777777" w:rsidR="009423FE" w:rsidRPr="00DB5708" w:rsidRDefault="009423FE" w:rsidP="00371773">
      <w:pPr>
        <w:jc w:val="both"/>
        <w:rPr>
          <w:rFonts w:asciiTheme="minorHAnsi" w:hAnsiTheme="minorHAnsi" w:cstheme="minorHAnsi"/>
          <w:sz w:val="22"/>
          <w:szCs w:val="22"/>
        </w:rPr>
      </w:pPr>
    </w:p>
    <w:p w14:paraId="0952DB54" w14:textId="77777777" w:rsidR="009423FE" w:rsidRPr="00DB5708" w:rsidRDefault="009423FE" w:rsidP="00371773">
      <w:pPr>
        <w:jc w:val="both"/>
        <w:rPr>
          <w:rFonts w:asciiTheme="minorHAnsi" w:hAnsiTheme="minorHAnsi" w:cstheme="minorHAnsi"/>
          <w:sz w:val="22"/>
          <w:szCs w:val="22"/>
        </w:rPr>
      </w:pPr>
    </w:p>
    <w:p w14:paraId="4AB4E55B" w14:textId="77777777" w:rsidR="009423FE" w:rsidRPr="00DB5708" w:rsidRDefault="009423FE" w:rsidP="00371773">
      <w:pPr>
        <w:jc w:val="both"/>
        <w:rPr>
          <w:rFonts w:asciiTheme="minorHAnsi" w:hAnsiTheme="minorHAnsi" w:cstheme="minorHAnsi"/>
          <w:sz w:val="22"/>
          <w:szCs w:val="22"/>
        </w:rPr>
      </w:pPr>
    </w:p>
    <w:p w14:paraId="18CFA49C" w14:textId="77777777" w:rsidR="009423FE" w:rsidRPr="00DB5708" w:rsidRDefault="009423FE" w:rsidP="00371773">
      <w:pPr>
        <w:spacing w:before="9"/>
        <w:jc w:val="both"/>
        <w:rPr>
          <w:rFonts w:asciiTheme="minorHAnsi" w:hAnsiTheme="minorHAnsi" w:cstheme="minorHAnsi"/>
          <w:sz w:val="32"/>
          <w:szCs w:val="32"/>
        </w:rPr>
      </w:pPr>
    </w:p>
    <w:p w14:paraId="0B5B5913" w14:textId="77777777" w:rsidR="00455CF2" w:rsidRDefault="009423FE" w:rsidP="00455CF2">
      <w:pPr>
        <w:spacing w:before="34"/>
        <w:ind w:right="194"/>
        <w:jc w:val="center"/>
        <w:rPr>
          <w:rFonts w:asciiTheme="minorHAnsi" w:hAnsiTheme="minorHAnsi" w:cstheme="minorHAnsi"/>
          <w:b/>
          <w:color w:val="365F91"/>
          <w:spacing w:val="-12"/>
          <w:sz w:val="32"/>
          <w:szCs w:val="32"/>
        </w:rPr>
      </w:pPr>
      <w:r w:rsidRPr="00DB5708">
        <w:rPr>
          <w:rFonts w:asciiTheme="minorHAnsi" w:hAnsiTheme="minorHAnsi" w:cstheme="minorHAnsi"/>
          <w:b/>
          <w:color w:val="365F91"/>
          <w:spacing w:val="-1"/>
          <w:sz w:val="32"/>
          <w:szCs w:val="32"/>
        </w:rPr>
        <w:t>Annual</w:t>
      </w:r>
      <w:r w:rsidRPr="00DB5708">
        <w:rPr>
          <w:rFonts w:asciiTheme="minorHAnsi" w:hAnsiTheme="minorHAnsi" w:cstheme="minorHAnsi"/>
          <w:b/>
          <w:color w:val="365F91"/>
          <w:spacing w:val="-11"/>
          <w:sz w:val="32"/>
          <w:szCs w:val="32"/>
        </w:rPr>
        <w:t xml:space="preserve"> </w:t>
      </w:r>
      <w:r w:rsidRPr="00DB5708">
        <w:rPr>
          <w:rFonts w:asciiTheme="minorHAnsi" w:hAnsiTheme="minorHAnsi" w:cstheme="minorHAnsi"/>
          <w:b/>
          <w:color w:val="365F91"/>
          <w:spacing w:val="-1"/>
          <w:sz w:val="32"/>
          <w:szCs w:val="32"/>
        </w:rPr>
        <w:t>Consolidated</w:t>
      </w:r>
      <w:r w:rsidRPr="00DB5708">
        <w:rPr>
          <w:rFonts w:asciiTheme="minorHAnsi" w:hAnsiTheme="minorHAnsi" w:cstheme="minorHAnsi"/>
          <w:b/>
          <w:color w:val="365F91"/>
          <w:spacing w:val="-12"/>
          <w:sz w:val="32"/>
          <w:szCs w:val="32"/>
        </w:rPr>
        <w:t xml:space="preserve"> </w:t>
      </w:r>
      <w:r w:rsidRPr="00DB5708">
        <w:rPr>
          <w:rFonts w:asciiTheme="minorHAnsi" w:hAnsiTheme="minorHAnsi" w:cstheme="minorHAnsi"/>
          <w:b/>
          <w:color w:val="365F91"/>
          <w:spacing w:val="-1"/>
          <w:sz w:val="32"/>
          <w:szCs w:val="32"/>
        </w:rPr>
        <w:t>Progress</w:t>
      </w:r>
      <w:r w:rsidRPr="00DB5708">
        <w:rPr>
          <w:rFonts w:asciiTheme="minorHAnsi" w:hAnsiTheme="minorHAnsi" w:cstheme="minorHAnsi"/>
          <w:b/>
          <w:color w:val="365F91"/>
          <w:spacing w:val="-12"/>
          <w:sz w:val="32"/>
          <w:szCs w:val="32"/>
        </w:rPr>
        <w:t xml:space="preserve"> </w:t>
      </w:r>
      <w:r w:rsidRPr="00DB5708">
        <w:rPr>
          <w:rFonts w:asciiTheme="minorHAnsi" w:hAnsiTheme="minorHAnsi" w:cstheme="minorHAnsi"/>
          <w:b/>
          <w:color w:val="365F91"/>
          <w:sz w:val="32"/>
          <w:szCs w:val="32"/>
        </w:rPr>
        <w:t>Report</w:t>
      </w:r>
      <w:r w:rsidRPr="00DB5708">
        <w:rPr>
          <w:rFonts w:asciiTheme="minorHAnsi" w:hAnsiTheme="minorHAnsi" w:cstheme="minorHAnsi"/>
          <w:b/>
          <w:color w:val="365F91"/>
          <w:spacing w:val="-13"/>
          <w:sz w:val="32"/>
          <w:szCs w:val="32"/>
        </w:rPr>
        <w:t xml:space="preserve"> </w:t>
      </w:r>
      <w:r w:rsidRPr="00DB5708">
        <w:rPr>
          <w:rFonts w:asciiTheme="minorHAnsi" w:hAnsiTheme="minorHAnsi" w:cstheme="minorHAnsi"/>
          <w:b/>
          <w:color w:val="365F91"/>
          <w:sz w:val="32"/>
          <w:szCs w:val="32"/>
        </w:rPr>
        <w:t>on</w:t>
      </w:r>
      <w:r w:rsidRPr="00DB5708">
        <w:rPr>
          <w:rFonts w:asciiTheme="minorHAnsi" w:hAnsiTheme="minorHAnsi" w:cstheme="minorHAnsi"/>
          <w:b/>
          <w:color w:val="365F91"/>
          <w:spacing w:val="-11"/>
          <w:sz w:val="32"/>
          <w:szCs w:val="32"/>
        </w:rPr>
        <w:t xml:space="preserve"> </w:t>
      </w:r>
      <w:r w:rsidRPr="00DB5708">
        <w:rPr>
          <w:rFonts w:asciiTheme="minorHAnsi" w:hAnsiTheme="minorHAnsi" w:cstheme="minorHAnsi"/>
          <w:b/>
          <w:color w:val="365F91"/>
          <w:spacing w:val="-1"/>
          <w:sz w:val="32"/>
          <w:szCs w:val="32"/>
        </w:rPr>
        <w:t>Programmes</w:t>
      </w:r>
      <w:r w:rsidRPr="00DB5708">
        <w:rPr>
          <w:rFonts w:asciiTheme="minorHAnsi" w:hAnsiTheme="minorHAnsi" w:cstheme="minorHAnsi"/>
          <w:b/>
          <w:color w:val="365F91"/>
          <w:spacing w:val="-12"/>
          <w:sz w:val="32"/>
          <w:szCs w:val="32"/>
        </w:rPr>
        <w:t xml:space="preserve"> </w:t>
      </w:r>
    </w:p>
    <w:p w14:paraId="55BCB759" w14:textId="435ABEED" w:rsidR="00DB5708" w:rsidRDefault="009423FE" w:rsidP="00455CF2">
      <w:pPr>
        <w:spacing w:before="34"/>
        <w:ind w:right="194"/>
        <w:jc w:val="center"/>
        <w:rPr>
          <w:rFonts w:asciiTheme="minorHAnsi" w:hAnsiTheme="minorHAnsi" w:cstheme="minorHAnsi"/>
          <w:b/>
          <w:color w:val="365F91"/>
          <w:spacing w:val="69"/>
          <w:w w:val="99"/>
          <w:sz w:val="32"/>
          <w:szCs w:val="32"/>
        </w:rPr>
      </w:pPr>
      <w:r w:rsidRPr="00DB5708">
        <w:rPr>
          <w:rFonts w:asciiTheme="minorHAnsi" w:hAnsiTheme="minorHAnsi" w:cstheme="minorHAnsi"/>
          <w:b/>
          <w:color w:val="365F91"/>
          <w:spacing w:val="-1"/>
          <w:sz w:val="32"/>
          <w:szCs w:val="32"/>
        </w:rPr>
        <w:t>Implemented</w:t>
      </w:r>
      <w:r w:rsidRPr="00DB5708">
        <w:rPr>
          <w:rFonts w:asciiTheme="minorHAnsi" w:hAnsiTheme="minorHAnsi" w:cstheme="minorHAnsi"/>
          <w:b/>
          <w:color w:val="365F91"/>
          <w:spacing w:val="-12"/>
          <w:sz w:val="32"/>
          <w:szCs w:val="32"/>
        </w:rPr>
        <w:t xml:space="preserve"> </w:t>
      </w:r>
      <w:r w:rsidRPr="00DB5708">
        <w:rPr>
          <w:rFonts w:asciiTheme="minorHAnsi" w:hAnsiTheme="minorHAnsi" w:cstheme="minorHAnsi"/>
          <w:b/>
          <w:color w:val="365F91"/>
          <w:sz w:val="32"/>
          <w:szCs w:val="32"/>
        </w:rPr>
        <w:t>under</w:t>
      </w:r>
      <w:r w:rsidRPr="00DB5708">
        <w:rPr>
          <w:rFonts w:asciiTheme="minorHAnsi" w:hAnsiTheme="minorHAnsi" w:cstheme="minorHAnsi"/>
          <w:b/>
          <w:color w:val="365F91"/>
          <w:spacing w:val="-13"/>
          <w:sz w:val="32"/>
          <w:szCs w:val="32"/>
        </w:rPr>
        <w:t xml:space="preserve"> </w:t>
      </w:r>
      <w:r w:rsidRPr="00DB5708">
        <w:rPr>
          <w:rFonts w:asciiTheme="minorHAnsi" w:hAnsiTheme="minorHAnsi" w:cstheme="minorHAnsi"/>
          <w:b/>
          <w:color w:val="365F91"/>
          <w:sz w:val="32"/>
          <w:szCs w:val="32"/>
        </w:rPr>
        <w:t>the</w:t>
      </w:r>
    </w:p>
    <w:p w14:paraId="0442858E" w14:textId="77777777" w:rsidR="00DB5708" w:rsidRDefault="00DB5708" w:rsidP="00455CF2">
      <w:pPr>
        <w:spacing w:before="34"/>
        <w:ind w:right="194"/>
        <w:jc w:val="center"/>
        <w:rPr>
          <w:rFonts w:asciiTheme="minorHAnsi" w:hAnsiTheme="minorHAnsi" w:cstheme="minorHAnsi"/>
          <w:b/>
          <w:color w:val="365F91"/>
          <w:spacing w:val="69"/>
          <w:w w:val="99"/>
          <w:sz w:val="32"/>
          <w:szCs w:val="32"/>
        </w:rPr>
      </w:pPr>
    </w:p>
    <w:p w14:paraId="70EAB243" w14:textId="0B16DDAD" w:rsidR="009423FE" w:rsidRPr="00DB5708" w:rsidRDefault="007D0BEC" w:rsidP="00455CF2">
      <w:pPr>
        <w:spacing w:before="34"/>
        <w:ind w:right="194"/>
        <w:jc w:val="center"/>
        <w:rPr>
          <w:rFonts w:asciiTheme="minorHAnsi" w:eastAsia="Calibri" w:hAnsiTheme="minorHAnsi" w:cstheme="minorHAnsi"/>
          <w:sz w:val="32"/>
          <w:szCs w:val="32"/>
        </w:rPr>
      </w:pPr>
      <w:r w:rsidRPr="007D0BEC">
        <w:rPr>
          <w:rFonts w:asciiTheme="minorHAnsi" w:hAnsiTheme="minorHAnsi" w:cstheme="minorHAnsi"/>
          <w:b/>
          <w:color w:val="365F91"/>
          <w:spacing w:val="-1"/>
          <w:sz w:val="32"/>
          <w:szCs w:val="32"/>
        </w:rPr>
        <w:t>Moldova 2030 SDGs Partnership Fund</w:t>
      </w:r>
    </w:p>
    <w:p w14:paraId="76C59A04" w14:textId="77777777" w:rsidR="009423FE" w:rsidRPr="00DB5708" w:rsidRDefault="009423FE" w:rsidP="00455CF2">
      <w:pPr>
        <w:spacing w:before="204"/>
        <w:ind w:right="192"/>
        <w:jc w:val="center"/>
        <w:rPr>
          <w:rFonts w:asciiTheme="minorHAnsi" w:eastAsia="Calibri" w:hAnsiTheme="minorHAnsi" w:cstheme="minorHAnsi"/>
          <w:sz w:val="32"/>
          <w:szCs w:val="32"/>
        </w:rPr>
      </w:pPr>
      <w:r w:rsidRPr="00DB5708">
        <w:rPr>
          <w:rFonts w:asciiTheme="minorHAnsi" w:hAnsiTheme="minorHAnsi" w:cstheme="minorHAnsi"/>
          <w:b/>
          <w:i/>
          <w:color w:val="365F91"/>
          <w:spacing w:val="-1"/>
          <w:sz w:val="32"/>
          <w:szCs w:val="32"/>
        </w:rPr>
        <w:t>Reporting</w:t>
      </w:r>
      <w:r w:rsidRPr="00DB5708">
        <w:rPr>
          <w:rFonts w:asciiTheme="minorHAnsi" w:hAnsiTheme="minorHAnsi" w:cstheme="minorHAnsi"/>
          <w:b/>
          <w:i/>
          <w:color w:val="365F91"/>
          <w:sz w:val="32"/>
          <w:szCs w:val="32"/>
        </w:rPr>
        <w:t xml:space="preserve"> </w:t>
      </w:r>
      <w:r w:rsidRPr="00DB5708">
        <w:rPr>
          <w:rFonts w:asciiTheme="minorHAnsi" w:hAnsiTheme="minorHAnsi" w:cstheme="minorHAnsi"/>
          <w:b/>
          <w:i/>
          <w:color w:val="365F91"/>
          <w:spacing w:val="-1"/>
          <w:sz w:val="32"/>
          <w:szCs w:val="32"/>
        </w:rPr>
        <w:t xml:space="preserve">period: </w:t>
      </w:r>
      <w:r w:rsidRPr="00DB5708">
        <w:rPr>
          <w:rFonts w:asciiTheme="minorHAnsi" w:hAnsiTheme="minorHAnsi" w:cstheme="minorHAnsi"/>
          <w:b/>
          <w:i/>
          <w:color w:val="365F91"/>
          <w:sz w:val="32"/>
          <w:szCs w:val="32"/>
        </w:rPr>
        <w:t>1</w:t>
      </w:r>
      <w:r w:rsidRPr="00DB5708">
        <w:rPr>
          <w:rFonts w:asciiTheme="minorHAnsi" w:hAnsiTheme="minorHAnsi" w:cstheme="minorHAnsi"/>
          <w:b/>
          <w:i/>
          <w:color w:val="365F91"/>
          <w:spacing w:val="-1"/>
          <w:sz w:val="32"/>
          <w:szCs w:val="32"/>
        </w:rPr>
        <w:t xml:space="preserve"> January-31</w:t>
      </w:r>
      <w:r w:rsidRPr="00DB5708">
        <w:rPr>
          <w:rFonts w:asciiTheme="minorHAnsi" w:hAnsiTheme="minorHAnsi" w:cstheme="minorHAnsi"/>
          <w:b/>
          <w:i/>
          <w:color w:val="365F91"/>
          <w:spacing w:val="-3"/>
          <w:sz w:val="32"/>
          <w:szCs w:val="32"/>
        </w:rPr>
        <w:t xml:space="preserve"> </w:t>
      </w:r>
      <w:r w:rsidRPr="00DB5708">
        <w:rPr>
          <w:rFonts w:asciiTheme="minorHAnsi" w:hAnsiTheme="minorHAnsi" w:cstheme="minorHAnsi"/>
          <w:b/>
          <w:i/>
          <w:color w:val="365F91"/>
          <w:spacing w:val="-1"/>
          <w:sz w:val="32"/>
          <w:szCs w:val="32"/>
        </w:rPr>
        <w:t>December</w:t>
      </w:r>
      <w:r w:rsidRPr="00DB5708">
        <w:rPr>
          <w:rFonts w:asciiTheme="minorHAnsi" w:hAnsiTheme="minorHAnsi" w:cstheme="minorHAnsi"/>
          <w:b/>
          <w:i/>
          <w:color w:val="365F91"/>
          <w:spacing w:val="-5"/>
          <w:sz w:val="32"/>
          <w:szCs w:val="32"/>
        </w:rPr>
        <w:t xml:space="preserve"> </w:t>
      </w:r>
      <w:r w:rsidRPr="00DB5708">
        <w:rPr>
          <w:rFonts w:asciiTheme="minorHAnsi" w:hAnsiTheme="minorHAnsi" w:cstheme="minorHAnsi"/>
          <w:b/>
          <w:i/>
          <w:color w:val="365F91"/>
          <w:spacing w:val="-1"/>
          <w:sz w:val="32"/>
          <w:szCs w:val="32"/>
        </w:rPr>
        <w:t>2019</w:t>
      </w:r>
    </w:p>
    <w:p w14:paraId="15B27807" w14:textId="77777777" w:rsidR="009423FE" w:rsidRPr="009867D8" w:rsidRDefault="009423FE" w:rsidP="00455CF2">
      <w:pPr>
        <w:spacing w:before="204"/>
        <w:ind w:right="192"/>
        <w:jc w:val="center"/>
        <w:rPr>
          <w:rFonts w:asciiTheme="minorHAnsi" w:hAnsiTheme="minorHAnsi" w:cstheme="minorHAnsi"/>
          <w:b/>
          <w:i/>
          <w:color w:val="365F91"/>
          <w:spacing w:val="-1"/>
          <w:sz w:val="32"/>
          <w:szCs w:val="32"/>
        </w:rPr>
      </w:pPr>
      <w:r w:rsidRPr="009867D8">
        <w:rPr>
          <w:rFonts w:asciiTheme="minorHAnsi" w:hAnsiTheme="minorHAnsi" w:cstheme="minorHAnsi"/>
          <w:b/>
          <w:i/>
          <w:color w:val="365F91"/>
          <w:spacing w:val="-1"/>
          <w:sz w:val="32"/>
          <w:szCs w:val="32"/>
        </w:rPr>
        <w:t>UN Country Team in the Republic of Moldova</w:t>
      </w:r>
    </w:p>
    <w:p w14:paraId="7AB35FA8" w14:textId="77777777" w:rsidR="009423FE" w:rsidRPr="009867D8" w:rsidRDefault="009423FE" w:rsidP="00455CF2">
      <w:pPr>
        <w:spacing w:before="204"/>
        <w:ind w:right="192"/>
        <w:jc w:val="center"/>
        <w:rPr>
          <w:rFonts w:asciiTheme="minorHAnsi" w:hAnsiTheme="minorHAnsi" w:cstheme="minorHAnsi"/>
          <w:b/>
          <w:i/>
          <w:color w:val="365F91"/>
          <w:spacing w:val="-1"/>
          <w:sz w:val="32"/>
          <w:szCs w:val="32"/>
        </w:rPr>
        <w:sectPr w:rsidR="009423FE" w:rsidRPr="009867D8" w:rsidSect="00E44CC3">
          <w:footerReference w:type="default" r:id="rId12"/>
          <w:type w:val="nextColumn"/>
          <w:pgSz w:w="12240" w:h="15840"/>
          <w:pgMar w:top="460" w:right="1080" w:bottom="900" w:left="1260" w:header="720" w:footer="710" w:gutter="0"/>
          <w:pgNumType w:start="1"/>
          <w:cols w:space="720"/>
          <w:titlePg/>
          <w:docGrid w:linePitch="326"/>
        </w:sectPr>
      </w:pPr>
    </w:p>
    <w:bookmarkStart w:id="2" w:name="_bookmark0" w:displacedByCustomXml="next"/>
    <w:bookmarkEnd w:id="2" w:displacedByCustomXml="next"/>
    <w:sdt>
      <w:sdtPr>
        <w:rPr>
          <w:rFonts w:ascii="Times New Roman" w:hAnsi="Times New Roman"/>
          <w:b w:val="0"/>
          <w:bCs w:val="0"/>
          <w:color w:val="auto"/>
          <w:sz w:val="24"/>
          <w:szCs w:val="24"/>
          <w:lang w:val="en-US" w:eastAsia="en-US"/>
        </w:rPr>
        <w:id w:val="-19403657"/>
        <w:docPartObj>
          <w:docPartGallery w:val="Table of Contents"/>
          <w:docPartUnique/>
        </w:docPartObj>
      </w:sdtPr>
      <w:sdtEndPr>
        <w:rPr>
          <w:noProof/>
        </w:rPr>
      </w:sdtEndPr>
      <w:sdtContent>
        <w:p w14:paraId="25369211" w14:textId="16DB8AE5" w:rsidR="009867D8" w:rsidRPr="00455CF2" w:rsidRDefault="009867D8" w:rsidP="00371773">
          <w:pPr>
            <w:pStyle w:val="TOCHeading"/>
            <w:jc w:val="both"/>
            <w:rPr>
              <w:rFonts w:asciiTheme="minorHAnsi" w:hAnsiTheme="minorHAnsi" w:cstheme="minorHAnsi"/>
              <w:sz w:val="24"/>
              <w:szCs w:val="24"/>
            </w:rPr>
          </w:pPr>
          <w:r w:rsidRPr="00455CF2">
            <w:rPr>
              <w:rFonts w:asciiTheme="minorHAnsi" w:hAnsiTheme="minorHAnsi" w:cstheme="minorHAnsi"/>
              <w:sz w:val="24"/>
              <w:szCs w:val="24"/>
            </w:rPr>
            <w:t>Contents</w:t>
          </w:r>
        </w:p>
        <w:p w14:paraId="1BE66AD0" w14:textId="0806504E" w:rsidR="0086262B" w:rsidRPr="00455CF2" w:rsidRDefault="009867D8" w:rsidP="00371773">
          <w:pPr>
            <w:pStyle w:val="TOC1"/>
            <w:rPr>
              <w:rFonts w:asciiTheme="minorHAnsi" w:eastAsiaTheme="minorEastAsia" w:hAnsiTheme="minorHAnsi" w:cstheme="minorHAnsi"/>
              <w:noProof/>
            </w:rPr>
          </w:pPr>
          <w:r w:rsidRPr="00455CF2">
            <w:rPr>
              <w:rFonts w:asciiTheme="minorHAnsi" w:hAnsiTheme="minorHAnsi" w:cstheme="minorHAnsi"/>
            </w:rPr>
            <w:fldChar w:fldCharType="begin"/>
          </w:r>
          <w:r w:rsidRPr="00455CF2">
            <w:rPr>
              <w:rFonts w:asciiTheme="minorHAnsi" w:hAnsiTheme="minorHAnsi" w:cstheme="minorHAnsi"/>
            </w:rPr>
            <w:instrText xml:space="preserve"> TOC \o "1-3" \h \z \u </w:instrText>
          </w:r>
          <w:r w:rsidRPr="00455CF2">
            <w:rPr>
              <w:rFonts w:asciiTheme="minorHAnsi" w:hAnsiTheme="minorHAnsi" w:cstheme="minorHAnsi"/>
            </w:rPr>
            <w:fldChar w:fldCharType="separate"/>
          </w:r>
          <w:hyperlink w:anchor="_Toc41055982" w:history="1">
            <w:r w:rsidR="0086262B" w:rsidRPr="00455CF2">
              <w:rPr>
                <w:rStyle w:val="Hyperlink"/>
                <w:rFonts w:asciiTheme="minorHAnsi" w:hAnsiTheme="minorHAnsi" w:cstheme="minorHAnsi"/>
                <w:noProof/>
                <w:spacing w:val="-1"/>
              </w:rPr>
              <w:t>Introduction</w:t>
            </w:r>
            <w:r w:rsidR="0086262B" w:rsidRPr="00455CF2">
              <w:rPr>
                <w:rFonts w:asciiTheme="minorHAnsi" w:hAnsiTheme="minorHAnsi" w:cstheme="minorHAnsi"/>
                <w:noProof/>
                <w:webHidden/>
              </w:rPr>
              <w:tab/>
            </w:r>
            <w:r w:rsidR="0086262B" w:rsidRPr="00455CF2">
              <w:rPr>
                <w:rFonts w:asciiTheme="minorHAnsi" w:hAnsiTheme="minorHAnsi" w:cstheme="minorHAnsi"/>
                <w:noProof/>
                <w:webHidden/>
              </w:rPr>
              <w:fldChar w:fldCharType="begin"/>
            </w:r>
            <w:r w:rsidR="0086262B" w:rsidRPr="00455CF2">
              <w:rPr>
                <w:rFonts w:asciiTheme="minorHAnsi" w:hAnsiTheme="minorHAnsi" w:cstheme="minorHAnsi"/>
                <w:noProof/>
                <w:webHidden/>
              </w:rPr>
              <w:instrText xml:space="preserve"> PAGEREF _Toc41055982 \h </w:instrText>
            </w:r>
            <w:r w:rsidR="0086262B" w:rsidRPr="00455CF2">
              <w:rPr>
                <w:rFonts w:asciiTheme="minorHAnsi" w:hAnsiTheme="minorHAnsi" w:cstheme="minorHAnsi"/>
                <w:noProof/>
                <w:webHidden/>
              </w:rPr>
            </w:r>
            <w:r w:rsidR="0086262B" w:rsidRPr="00455CF2">
              <w:rPr>
                <w:rFonts w:asciiTheme="minorHAnsi" w:hAnsiTheme="minorHAnsi" w:cstheme="minorHAnsi"/>
                <w:noProof/>
                <w:webHidden/>
              </w:rPr>
              <w:fldChar w:fldCharType="separate"/>
            </w:r>
            <w:r w:rsidR="00FB1C5A">
              <w:rPr>
                <w:rFonts w:asciiTheme="minorHAnsi" w:hAnsiTheme="minorHAnsi" w:cstheme="minorHAnsi"/>
                <w:noProof/>
                <w:webHidden/>
              </w:rPr>
              <w:t>4</w:t>
            </w:r>
            <w:r w:rsidR="0086262B" w:rsidRPr="00455CF2">
              <w:rPr>
                <w:rFonts w:asciiTheme="minorHAnsi" w:hAnsiTheme="minorHAnsi" w:cstheme="minorHAnsi"/>
                <w:noProof/>
                <w:webHidden/>
              </w:rPr>
              <w:fldChar w:fldCharType="end"/>
            </w:r>
          </w:hyperlink>
        </w:p>
        <w:p w14:paraId="719C66F4" w14:textId="754369C5" w:rsidR="0086262B" w:rsidRPr="00455CF2" w:rsidRDefault="00FB1C5A" w:rsidP="00371773">
          <w:pPr>
            <w:pStyle w:val="TOC1"/>
            <w:rPr>
              <w:rFonts w:asciiTheme="minorHAnsi" w:eastAsiaTheme="minorEastAsia" w:hAnsiTheme="minorHAnsi" w:cstheme="minorHAnsi"/>
              <w:noProof/>
            </w:rPr>
          </w:pPr>
          <w:hyperlink w:anchor="_Toc41055983" w:history="1">
            <w:r w:rsidR="0086262B" w:rsidRPr="00455CF2">
              <w:rPr>
                <w:rStyle w:val="Hyperlink"/>
                <w:rFonts w:asciiTheme="minorHAnsi" w:hAnsiTheme="minorHAnsi" w:cstheme="minorHAnsi"/>
                <w:noProof/>
                <w:spacing w:val="-1"/>
              </w:rPr>
              <w:t>Programmes Implemented under the Fund</w:t>
            </w:r>
            <w:r w:rsidR="0086262B" w:rsidRPr="00455CF2">
              <w:rPr>
                <w:rFonts w:asciiTheme="minorHAnsi" w:hAnsiTheme="minorHAnsi" w:cstheme="minorHAnsi"/>
                <w:noProof/>
                <w:webHidden/>
              </w:rPr>
              <w:tab/>
            </w:r>
            <w:r w:rsidR="0086262B" w:rsidRPr="00455CF2">
              <w:rPr>
                <w:rFonts w:asciiTheme="minorHAnsi" w:hAnsiTheme="minorHAnsi" w:cstheme="minorHAnsi"/>
                <w:noProof/>
                <w:webHidden/>
              </w:rPr>
              <w:fldChar w:fldCharType="begin"/>
            </w:r>
            <w:r w:rsidR="0086262B" w:rsidRPr="00455CF2">
              <w:rPr>
                <w:rFonts w:asciiTheme="minorHAnsi" w:hAnsiTheme="minorHAnsi" w:cstheme="minorHAnsi"/>
                <w:noProof/>
                <w:webHidden/>
              </w:rPr>
              <w:instrText xml:space="preserve"> PAGEREF _Toc41055983 \h </w:instrText>
            </w:r>
            <w:r w:rsidR="0086262B" w:rsidRPr="00455CF2">
              <w:rPr>
                <w:rFonts w:asciiTheme="minorHAnsi" w:hAnsiTheme="minorHAnsi" w:cstheme="minorHAnsi"/>
                <w:noProof/>
                <w:webHidden/>
              </w:rPr>
            </w:r>
            <w:r w:rsidR="0086262B" w:rsidRPr="00455CF2">
              <w:rPr>
                <w:rFonts w:asciiTheme="minorHAnsi" w:hAnsiTheme="minorHAnsi" w:cstheme="minorHAnsi"/>
                <w:noProof/>
                <w:webHidden/>
              </w:rPr>
              <w:fldChar w:fldCharType="separate"/>
            </w:r>
            <w:r>
              <w:rPr>
                <w:rFonts w:asciiTheme="minorHAnsi" w:hAnsiTheme="minorHAnsi" w:cstheme="minorHAnsi"/>
                <w:noProof/>
                <w:webHidden/>
              </w:rPr>
              <w:t>5</w:t>
            </w:r>
            <w:r w:rsidR="0086262B" w:rsidRPr="00455CF2">
              <w:rPr>
                <w:rFonts w:asciiTheme="minorHAnsi" w:hAnsiTheme="minorHAnsi" w:cstheme="minorHAnsi"/>
                <w:noProof/>
                <w:webHidden/>
              </w:rPr>
              <w:fldChar w:fldCharType="end"/>
            </w:r>
          </w:hyperlink>
        </w:p>
        <w:p w14:paraId="1826A417" w14:textId="363D9591" w:rsidR="0086262B" w:rsidRPr="00C73132" w:rsidRDefault="00FB1C5A" w:rsidP="005C2459">
          <w:pPr>
            <w:pStyle w:val="TOC2"/>
            <w:rPr>
              <w:rFonts w:eastAsiaTheme="minorEastAsia"/>
              <w:b w:val="0"/>
              <w:bCs/>
            </w:rPr>
          </w:pPr>
          <w:hyperlink w:anchor="_Toc41055984" w:history="1">
            <w:r w:rsidR="0086262B" w:rsidRPr="00C73132">
              <w:rPr>
                <w:rStyle w:val="Hyperlink"/>
                <w:rFonts w:asciiTheme="minorHAnsi" w:eastAsia="Calibri" w:hAnsiTheme="minorHAnsi" w:cstheme="minorHAnsi"/>
                <w:b w:val="0"/>
                <w:bCs/>
                <w:sz w:val="24"/>
                <w:szCs w:val="24"/>
              </w:rPr>
              <w:t>One UN Joint Action to Strengthen Human Rights in the Transnistrian region of the Republic of Moldova</w:t>
            </w:r>
            <w:r w:rsidR="0086262B" w:rsidRPr="00C73132">
              <w:rPr>
                <w:b w:val="0"/>
                <w:bCs/>
                <w:webHidden/>
              </w:rPr>
              <w:tab/>
            </w:r>
            <w:r w:rsidR="0086262B" w:rsidRPr="00C73132">
              <w:rPr>
                <w:b w:val="0"/>
                <w:bCs/>
                <w:webHidden/>
              </w:rPr>
              <w:fldChar w:fldCharType="begin"/>
            </w:r>
            <w:r w:rsidR="0086262B" w:rsidRPr="00C73132">
              <w:rPr>
                <w:b w:val="0"/>
                <w:bCs/>
                <w:webHidden/>
              </w:rPr>
              <w:instrText xml:space="preserve"> PAGEREF _Toc41055984 \h </w:instrText>
            </w:r>
            <w:r w:rsidR="0086262B" w:rsidRPr="00C73132">
              <w:rPr>
                <w:b w:val="0"/>
                <w:bCs/>
                <w:webHidden/>
              </w:rPr>
            </w:r>
            <w:r w:rsidR="0086262B" w:rsidRPr="00C73132">
              <w:rPr>
                <w:b w:val="0"/>
                <w:bCs/>
                <w:webHidden/>
              </w:rPr>
              <w:fldChar w:fldCharType="separate"/>
            </w:r>
            <w:r>
              <w:rPr>
                <w:b w:val="0"/>
                <w:bCs/>
                <w:webHidden/>
              </w:rPr>
              <w:t>5</w:t>
            </w:r>
            <w:r w:rsidR="0086262B" w:rsidRPr="00C73132">
              <w:rPr>
                <w:b w:val="0"/>
                <w:bCs/>
                <w:webHidden/>
              </w:rPr>
              <w:fldChar w:fldCharType="end"/>
            </w:r>
          </w:hyperlink>
        </w:p>
        <w:p w14:paraId="1D71CD2A" w14:textId="739F9DD6" w:rsidR="0086262B" w:rsidRPr="00C73132" w:rsidRDefault="00FB1C5A" w:rsidP="005C2459">
          <w:pPr>
            <w:pStyle w:val="TOC2"/>
            <w:rPr>
              <w:rFonts w:eastAsiaTheme="minorEastAsia"/>
              <w:b w:val="0"/>
              <w:bCs/>
            </w:rPr>
          </w:pPr>
          <w:hyperlink w:anchor="_Toc41055985" w:history="1">
            <w:r w:rsidR="0086262B" w:rsidRPr="00C73132">
              <w:rPr>
                <w:rStyle w:val="Hyperlink"/>
                <w:rFonts w:asciiTheme="minorHAnsi" w:hAnsiTheme="minorHAnsi" w:cstheme="minorHAnsi"/>
                <w:b w:val="0"/>
                <w:bCs/>
                <w:sz w:val="24"/>
                <w:szCs w:val="24"/>
                <w:lang w:val="en-GB"/>
              </w:rPr>
              <w:t>Output 1. Increased capacities of vulnerable rights holders to exercise their human rights</w:t>
            </w:r>
            <w:r w:rsidR="0086262B" w:rsidRPr="00C73132">
              <w:rPr>
                <w:b w:val="0"/>
                <w:bCs/>
                <w:webHidden/>
              </w:rPr>
              <w:tab/>
            </w:r>
            <w:r w:rsidR="0086262B" w:rsidRPr="00C73132">
              <w:rPr>
                <w:b w:val="0"/>
                <w:bCs/>
                <w:webHidden/>
              </w:rPr>
              <w:fldChar w:fldCharType="begin"/>
            </w:r>
            <w:r w:rsidR="0086262B" w:rsidRPr="00C73132">
              <w:rPr>
                <w:b w:val="0"/>
                <w:bCs/>
                <w:webHidden/>
              </w:rPr>
              <w:instrText xml:space="preserve"> PAGEREF _Toc41055985 \h </w:instrText>
            </w:r>
            <w:r w:rsidR="0086262B" w:rsidRPr="00C73132">
              <w:rPr>
                <w:b w:val="0"/>
                <w:bCs/>
                <w:webHidden/>
              </w:rPr>
            </w:r>
            <w:r w:rsidR="0086262B" w:rsidRPr="00C73132">
              <w:rPr>
                <w:b w:val="0"/>
                <w:bCs/>
                <w:webHidden/>
              </w:rPr>
              <w:fldChar w:fldCharType="separate"/>
            </w:r>
            <w:r>
              <w:rPr>
                <w:b w:val="0"/>
                <w:bCs/>
                <w:webHidden/>
              </w:rPr>
              <w:t>7</w:t>
            </w:r>
            <w:r w:rsidR="0086262B" w:rsidRPr="00C73132">
              <w:rPr>
                <w:b w:val="0"/>
                <w:bCs/>
                <w:webHidden/>
              </w:rPr>
              <w:fldChar w:fldCharType="end"/>
            </w:r>
          </w:hyperlink>
        </w:p>
        <w:p w14:paraId="31D890B0" w14:textId="4D77037E" w:rsidR="0086262B" w:rsidRPr="00C73132" w:rsidRDefault="00FB1C5A" w:rsidP="005C2459">
          <w:pPr>
            <w:pStyle w:val="TOC2"/>
            <w:rPr>
              <w:rFonts w:eastAsiaTheme="minorEastAsia"/>
              <w:b w:val="0"/>
              <w:bCs/>
            </w:rPr>
          </w:pPr>
          <w:hyperlink w:anchor="_Toc41055986" w:history="1">
            <w:r w:rsidR="0086262B" w:rsidRPr="00C73132">
              <w:rPr>
                <w:rStyle w:val="Hyperlink"/>
                <w:rFonts w:asciiTheme="minorHAnsi" w:hAnsiTheme="minorHAnsi" w:cstheme="minorHAnsi"/>
                <w:b w:val="0"/>
                <w:bCs/>
                <w:sz w:val="24"/>
                <w:szCs w:val="24"/>
                <w:lang w:val="en-GB"/>
              </w:rPr>
              <w:t>Output 2. Increased capacities of duty bearers to fulfil their human rights obligations</w:t>
            </w:r>
            <w:r w:rsidR="0086262B" w:rsidRPr="00C73132">
              <w:rPr>
                <w:b w:val="0"/>
                <w:bCs/>
                <w:webHidden/>
              </w:rPr>
              <w:tab/>
            </w:r>
            <w:r w:rsidR="0086262B" w:rsidRPr="00C73132">
              <w:rPr>
                <w:b w:val="0"/>
                <w:bCs/>
                <w:webHidden/>
              </w:rPr>
              <w:fldChar w:fldCharType="begin"/>
            </w:r>
            <w:r w:rsidR="0086262B" w:rsidRPr="00C73132">
              <w:rPr>
                <w:b w:val="0"/>
                <w:bCs/>
                <w:webHidden/>
              </w:rPr>
              <w:instrText xml:space="preserve"> PAGEREF _Toc41055986 \h </w:instrText>
            </w:r>
            <w:r w:rsidR="0086262B" w:rsidRPr="00C73132">
              <w:rPr>
                <w:b w:val="0"/>
                <w:bCs/>
                <w:webHidden/>
              </w:rPr>
            </w:r>
            <w:r w:rsidR="0086262B" w:rsidRPr="00C73132">
              <w:rPr>
                <w:b w:val="0"/>
                <w:bCs/>
                <w:webHidden/>
              </w:rPr>
              <w:fldChar w:fldCharType="separate"/>
            </w:r>
            <w:r>
              <w:rPr>
                <w:b w:val="0"/>
                <w:bCs/>
                <w:webHidden/>
              </w:rPr>
              <w:t>9</w:t>
            </w:r>
            <w:r w:rsidR="0086262B" w:rsidRPr="00C73132">
              <w:rPr>
                <w:b w:val="0"/>
                <w:bCs/>
                <w:webHidden/>
              </w:rPr>
              <w:fldChar w:fldCharType="end"/>
            </w:r>
          </w:hyperlink>
        </w:p>
        <w:p w14:paraId="5C336DE7" w14:textId="69CDD036" w:rsidR="0086262B" w:rsidRPr="00C73132" w:rsidRDefault="00FB1C5A" w:rsidP="005C2459">
          <w:pPr>
            <w:pStyle w:val="TOC2"/>
            <w:rPr>
              <w:rFonts w:eastAsiaTheme="minorEastAsia"/>
              <w:b w:val="0"/>
              <w:bCs/>
            </w:rPr>
          </w:pPr>
          <w:hyperlink w:anchor="_Toc41055987" w:history="1">
            <w:r w:rsidR="0086262B" w:rsidRPr="00C73132">
              <w:rPr>
                <w:rStyle w:val="Hyperlink"/>
                <w:rFonts w:asciiTheme="minorHAnsi" w:hAnsiTheme="minorHAnsi" w:cstheme="minorHAnsi"/>
                <w:b w:val="0"/>
                <w:bCs/>
                <w:sz w:val="24"/>
                <w:szCs w:val="24"/>
                <w:lang w:val="en-GB"/>
              </w:rPr>
              <w:t>Output 3. Enhanced human rights culture in the Transnistrian region</w:t>
            </w:r>
            <w:r w:rsidR="0086262B" w:rsidRPr="00C73132">
              <w:rPr>
                <w:b w:val="0"/>
                <w:bCs/>
                <w:webHidden/>
              </w:rPr>
              <w:tab/>
            </w:r>
            <w:r w:rsidR="0086262B" w:rsidRPr="00C73132">
              <w:rPr>
                <w:b w:val="0"/>
                <w:bCs/>
                <w:webHidden/>
              </w:rPr>
              <w:fldChar w:fldCharType="begin"/>
            </w:r>
            <w:r w:rsidR="0086262B" w:rsidRPr="00C73132">
              <w:rPr>
                <w:b w:val="0"/>
                <w:bCs/>
                <w:webHidden/>
              </w:rPr>
              <w:instrText xml:space="preserve"> PAGEREF _Toc41055987 \h </w:instrText>
            </w:r>
            <w:r w:rsidR="0086262B" w:rsidRPr="00C73132">
              <w:rPr>
                <w:b w:val="0"/>
                <w:bCs/>
                <w:webHidden/>
              </w:rPr>
            </w:r>
            <w:r w:rsidR="0086262B" w:rsidRPr="00C73132">
              <w:rPr>
                <w:b w:val="0"/>
                <w:bCs/>
                <w:webHidden/>
              </w:rPr>
              <w:fldChar w:fldCharType="separate"/>
            </w:r>
            <w:r>
              <w:rPr>
                <w:b w:val="0"/>
                <w:bCs/>
                <w:webHidden/>
              </w:rPr>
              <w:t>11</w:t>
            </w:r>
            <w:r w:rsidR="0086262B" w:rsidRPr="00C73132">
              <w:rPr>
                <w:b w:val="0"/>
                <w:bCs/>
                <w:webHidden/>
              </w:rPr>
              <w:fldChar w:fldCharType="end"/>
            </w:r>
          </w:hyperlink>
        </w:p>
        <w:p w14:paraId="3C0C1913" w14:textId="17B9A6D9" w:rsidR="0086262B" w:rsidRPr="00455CF2" w:rsidRDefault="00FB1C5A" w:rsidP="00371773">
          <w:pPr>
            <w:pStyle w:val="TOC1"/>
            <w:rPr>
              <w:rFonts w:asciiTheme="minorHAnsi" w:eastAsiaTheme="minorEastAsia" w:hAnsiTheme="minorHAnsi" w:cstheme="minorHAnsi"/>
              <w:noProof/>
            </w:rPr>
          </w:pPr>
          <w:hyperlink w:anchor="_Toc41055988" w:history="1">
            <w:r w:rsidR="0086262B" w:rsidRPr="00455CF2">
              <w:rPr>
                <w:rStyle w:val="Hyperlink"/>
                <w:rFonts w:asciiTheme="minorHAnsi" w:hAnsiTheme="minorHAnsi" w:cstheme="minorHAnsi"/>
                <w:noProof/>
                <w:spacing w:val="-1"/>
              </w:rPr>
              <w:t>Conclusions</w:t>
            </w:r>
            <w:r w:rsidR="0086262B" w:rsidRPr="00455CF2">
              <w:rPr>
                <w:rFonts w:asciiTheme="minorHAnsi" w:hAnsiTheme="minorHAnsi" w:cstheme="minorHAnsi"/>
                <w:noProof/>
                <w:webHidden/>
              </w:rPr>
              <w:tab/>
            </w:r>
            <w:r w:rsidR="0086262B" w:rsidRPr="00455CF2">
              <w:rPr>
                <w:rFonts w:asciiTheme="minorHAnsi" w:hAnsiTheme="minorHAnsi" w:cstheme="minorHAnsi"/>
                <w:noProof/>
                <w:webHidden/>
              </w:rPr>
              <w:fldChar w:fldCharType="begin"/>
            </w:r>
            <w:r w:rsidR="0086262B" w:rsidRPr="00455CF2">
              <w:rPr>
                <w:rFonts w:asciiTheme="minorHAnsi" w:hAnsiTheme="minorHAnsi" w:cstheme="minorHAnsi"/>
                <w:noProof/>
                <w:webHidden/>
              </w:rPr>
              <w:instrText xml:space="preserve"> PAGEREF _Toc41055988 \h </w:instrText>
            </w:r>
            <w:r w:rsidR="0086262B" w:rsidRPr="00455CF2">
              <w:rPr>
                <w:rFonts w:asciiTheme="minorHAnsi" w:hAnsiTheme="minorHAnsi" w:cstheme="minorHAnsi"/>
                <w:noProof/>
                <w:webHidden/>
              </w:rPr>
            </w:r>
            <w:r w:rsidR="0086262B" w:rsidRPr="00455CF2">
              <w:rPr>
                <w:rFonts w:asciiTheme="minorHAnsi" w:hAnsiTheme="minorHAnsi" w:cstheme="minorHAnsi"/>
                <w:noProof/>
                <w:webHidden/>
              </w:rPr>
              <w:fldChar w:fldCharType="separate"/>
            </w:r>
            <w:r>
              <w:rPr>
                <w:rFonts w:asciiTheme="minorHAnsi" w:hAnsiTheme="minorHAnsi" w:cstheme="minorHAnsi"/>
                <w:noProof/>
                <w:webHidden/>
              </w:rPr>
              <w:t>13</w:t>
            </w:r>
            <w:r w:rsidR="0086262B" w:rsidRPr="00455CF2">
              <w:rPr>
                <w:rFonts w:asciiTheme="minorHAnsi" w:hAnsiTheme="minorHAnsi" w:cstheme="minorHAnsi"/>
                <w:noProof/>
                <w:webHidden/>
              </w:rPr>
              <w:fldChar w:fldCharType="end"/>
            </w:r>
          </w:hyperlink>
        </w:p>
        <w:p w14:paraId="398E4B73" w14:textId="4722C4D8" w:rsidR="009867D8" w:rsidRDefault="009867D8" w:rsidP="00371773">
          <w:r w:rsidRPr="00455CF2">
            <w:rPr>
              <w:rFonts w:asciiTheme="minorHAnsi" w:hAnsiTheme="minorHAnsi" w:cstheme="minorHAnsi"/>
              <w:b/>
              <w:bCs/>
              <w:noProof/>
            </w:rPr>
            <w:fldChar w:fldCharType="end"/>
          </w:r>
        </w:p>
      </w:sdtContent>
    </w:sdt>
    <w:tbl>
      <w:tblPr>
        <w:tblW w:w="9360" w:type="dxa"/>
        <w:tblBorders>
          <w:top w:val="nil"/>
          <w:left w:val="nil"/>
          <w:bottom w:val="nil"/>
          <w:right w:val="nil"/>
          <w:insideH w:val="nil"/>
          <w:insideV w:val="nil"/>
        </w:tblBorders>
        <w:tblLayout w:type="fixed"/>
        <w:tblLook w:val="0000" w:firstRow="0" w:lastRow="0" w:firstColumn="0" w:lastColumn="0" w:noHBand="0" w:noVBand="0"/>
      </w:tblPr>
      <w:tblGrid>
        <w:gridCol w:w="2340"/>
        <w:gridCol w:w="7020"/>
      </w:tblGrid>
      <w:tr w:rsidR="00641BE5" w:rsidRPr="001B337A" w14:paraId="28484AFD" w14:textId="77777777" w:rsidTr="00FD381E">
        <w:tc>
          <w:tcPr>
            <w:tcW w:w="2340" w:type="dxa"/>
          </w:tcPr>
          <w:p w14:paraId="6FB65DBB" w14:textId="035D52CC" w:rsidR="008635C8" w:rsidRPr="00B3184B" w:rsidRDefault="006D5B38" w:rsidP="00FD381E">
            <w:pPr>
              <w:rPr>
                <w:rFonts w:asciiTheme="minorHAnsi" w:hAnsiTheme="minorHAnsi" w:cstheme="minorHAnsi"/>
                <w:sz w:val="22"/>
                <w:szCs w:val="22"/>
                <w:lang w:val="en-GB"/>
              </w:rPr>
            </w:pPr>
            <w:r w:rsidRPr="00B3184B">
              <w:rPr>
                <w:rFonts w:asciiTheme="minorHAnsi" w:hAnsiTheme="minorHAnsi" w:cstheme="minorHAnsi"/>
                <w:sz w:val="22"/>
                <w:szCs w:val="22"/>
                <w:lang w:val="en-GB"/>
              </w:rPr>
              <w:t>Acronyms</w:t>
            </w:r>
          </w:p>
          <w:p w14:paraId="2E144041" w14:textId="77777777" w:rsidR="008635C8" w:rsidRPr="00B3184B" w:rsidRDefault="008635C8" w:rsidP="00FD381E">
            <w:pPr>
              <w:rPr>
                <w:rFonts w:asciiTheme="minorHAnsi" w:hAnsiTheme="minorHAnsi" w:cstheme="minorHAnsi"/>
                <w:sz w:val="22"/>
                <w:szCs w:val="22"/>
                <w:lang w:val="en-GB"/>
              </w:rPr>
            </w:pPr>
          </w:p>
          <w:p w14:paraId="1086A0CD" w14:textId="760317D6" w:rsidR="00641BE5" w:rsidRPr="00B3184B" w:rsidRDefault="00641BE5" w:rsidP="00FD381E">
            <w:pPr>
              <w:rPr>
                <w:rFonts w:asciiTheme="minorHAnsi" w:hAnsiTheme="minorHAnsi" w:cstheme="minorHAnsi"/>
                <w:sz w:val="22"/>
                <w:szCs w:val="22"/>
                <w:lang w:val="en-GB"/>
              </w:rPr>
            </w:pPr>
            <w:r w:rsidRPr="00B3184B">
              <w:rPr>
                <w:rFonts w:asciiTheme="minorHAnsi" w:hAnsiTheme="minorHAnsi" w:cstheme="minorHAnsi"/>
                <w:sz w:val="22"/>
                <w:szCs w:val="22"/>
                <w:lang w:val="en-GB"/>
              </w:rPr>
              <w:t>AIDS</w:t>
            </w:r>
          </w:p>
        </w:tc>
        <w:tc>
          <w:tcPr>
            <w:tcW w:w="7020" w:type="dxa"/>
          </w:tcPr>
          <w:p w14:paraId="4B36C927" w14:textId="77777777" w:rsidR="008635C8" w:rsidRPr="00B3184B" w:rsidRDefault="008635C8" w:rsidP="00FD381E">
            <w:pPr>
              <w:rPr>
                <w:rFonts w:asciiTheme="minorHAnsi" w:hAnsiTheme="minorHAnsi" w:cstheme="minorHAnsi"/>
                <w:sz w:val="22"/>
                <w:szCs w:val="22"/>
                <w:lang w:val="en-GB"/>
              </w:rPr>
            </w:pPr>
          </w:p>
          <w:p w14:paraId="4EC1993B" w14:textId="77777777" w:rsidR="008635C8" w:rsidRPr="00B3184B" w:rsidRDefault="008635C8" w:rsidP="00FD381E">
            <w:pPr>
              <w:rPr>
                <w:rFonts w:asciiTheme="minorHAnsi" w:hAnsiTheme="minorHAnsi" w:cstheme="minorHAnsi"/>
                <w:sz w:val="22"/>
                <w:szCs w:val="22"/>
                <w:lang w:val="en-GB"/>
              </w:rPr>
            </w:pPr>
          </w:p>
          <w:p w14:paraId="17D382A9" w14:textId="1293E4EA" w:rsidR="00641BE5" w:rsidRPr="00B3184B" w:rsidRDefault="00641BE5" w:rsidP="00FD381E">
            <w:pPr>
              <w:rPr>
                <w:rFonts w:asciiTheme="minorHAnsi" w:hAnsiTheme="minorHAnsi" w:cstheme="minorHAnsi"/>
                <w:sz w:val="22"/>
                <w:szCs w:val="22"/>
                <w:lang w:val="en-GB"/>
              </w:rPr>
            </w:pPr>
            <w:r w:rsidRPr="00B3184B">
              <w:rPr>
                <w:rFonts w:asciiTheme="minorHAnsi" w:hAnsiTheme="minorHAnsi" w:cstheme="minorHAnsi"/>
                <w:sz w:val="22"/>
                <w:szCs w:val="22"/>
                <w:lang w:val="en-GB"/>
              </w:rPr>
              <w:t>Acquired Immune Deficiency Syndrome</w:t>
            </w:r>
          </w:p>
        </w:tc>
      </w:tr>
      <w:tr w:rsidR="00641BE5" w:rsidRPr="001B337A" w14:paraId="3B500354" w14:textId="77777777" w:rsidTr="00FD381E">
        <w:tc>
          <w:tcPr>
            <w:tcW w:w="2340" w:type="dxa"/>
          </w:tcPr>
          <w:p w14:paraId="78718B39" w14:textId="77777777" w:rsidR="00641BE5" w:rsidRPr="00B3184B" w:rsidRDefault="00641BE5" w:rsidP="00FD381E">
            <w:pPr>
              <w:rPr>
                <w:rFonts w:asciiTheme="minorHAnsi" w:hAnsiTheme="minorHAnsi" w:cstheme="minorHAnsi"/>
                <w:sz w:val="22"/>
                <w:szCs w:val="22"/>
                <w:lang w:val="en-GB"/>
              </w:rPr>
            </w:pPr>
            <w:r w:rsidRPr="00B3184B">
              <w:rPr>
                <w:rFonts w:asciiTheme="minorHAnsi" w:hAnsiTheme="minorHAnsi" w:cstheme="minorHAnsi"/>
                <w:sz w:val="22"/>
                <w:szCs w:val="22"/>
                <w:lang w:val="en-GB"/>
              </w:rPr>
              <w:t>ARV</w:t>
            </w:r>
          </w:p>
        </w:tc>
        <w:tc>
          <w:tcPr>
            <w:tcW w:w="7020" w:type="dxa"/>
          </w:tcPr>
          <w:p w14:paraId="36F6F634" w14:textId="77777777" w:rsidR="00641BE5" w:rsidRPr="00B3184B" w:rsidRDefault="00641BE5" w:rsidP="00FD381E">
            <w:pPr>
              <w:rPr>
                <w:rFonts w:asciiTheme="minorHAnsi" w:hAnsiTheme="minorHAnsi" w:cstheme="minorHAnsi"/>
                <w:sz w:val="22"/>
                <w:szCs w:val="22"/>
                <w:lang w:val="en-GB"/>
              </w:rPr>
            </w:pPr>
            <w:r w:rsidRPr="00B3184B">
              <w:rPr>
                <w:rFonts w:asciiTheme="minorHAnsi" w:hAnsiTheme="minorHAnsi" w:cstheme="minorHAnsi"/>
                <w:sz w:val="22"/>
                <w:szCs w:val="22"/>
                <w:lang w:val="en-GB"/>
              </w:rPr>
              <w:t>Anti-retroviral treatment</w:t>
            </w:r>
          </w:p>
        </w:tc>
      </w:tr>
      <w:tr w:rsidR="00641BE5" w:rsidRPr="001B337A" w14:paraId="1F62E2E0" w14:textId="77777777" w:rsidTr="00FD381E">
        <w:tc>
          <w:tcPr>
            <w:tcW w:w="2340" w:type="dxa"/>
          </w:tcPr>
          <w:p w14:paraId="079C9093" w14:textId="77777777" w:rsidR="00641BE5" w:rsidRPr="00B3184B" w:rsidRDefault="00641BE5" w:rsidP="00FD381E">
            <w:pPr>
              <w:rPr>
                <w:rFonts w:asciiTheme="minorHAnsi" w:hAnsiTheme="minorHAnsi" w:cstheme="minorHAnsi"/>
                <w:sz w:val="22"/>
                <w:szCs w:val="22"/>
                <w:lang w:val="en-GB"/>
              </w:rPr>
            </w:pPr>
            <w:r w:rsidRPr="00B3184B">
              <w:rPr>
                <w:rFonts w:asciiTheme="minorHAnsi" w:hAnsiTheme="minorHAnsi" w:cstheme="minorHAnsi"/>
                <w:sz w:val="22"/>
                <w:szCs w:val="22"/>
                <w:lang w:val="en-GB"/>
              </w:rPr>
              <w:t>CBM</w:t>
            </w:r>
          </w:p>
        </w:tc>
        <w:tc>
          <w:tcPr>
            <w:tcW w:w="7020" w:type="dxa"/>
          </w:tcPr>
          <w:p w14:paraId="1C630FD3" w14:textId="77777777" w:rsidR="00641BE5" w:rsidRPr="00B3184B" w:rsidRDefault="00641BE5" w:rsidP="00FD381E">
            <w:pPr>
              <w:rPr>
                <w:rFonts w:asciiTheme="minorHAnsi" w:hAnsiTheme="minorHAnsi" w:cstheme="minorHAnsi"/>
                <w:sz w:val="22"/>
                <w:szCs w:val="22"/>
                <w:lang w:val="en-GB"/>
              </w:rPr>
            </w:pPr>
            <w:r w:rsidRPr="00B3184B">
              <w:rPr>
                <w:rFonts w:asciiTheme="minorHAnsi" w:hAnsiTheme="minorHAnsi" w:cstheme="minorHAnsi"/>
                <w:sz w:val="22"/>
                <w:szCs w:val="22"/>
                <w:lang w:val="en-GB"/>
              </w:rPr>
              <w:t>Confidence Building Measures</w:t>
            </w:r>
          </w:p>
        </w:tc>
      </w:tr>
      <w:tr w:rsidR="00641BE5" w:rsidRPr="001B337A" w14:paraId="40A83DBE" w14:textId="77777777" w:rsidTr="00FD381E">
        <w:tc>
          <w:tcPr>
            <w:tcW w:w="2340" w:type="dxa"/>
          </w:tcPr>
          <w:p w14:paraId="2FA68152" w14:textId="77777777" w:rsidR="00641BE5" w:rsidRPr="00B3184B" w:rsidRDefault="00641BE5" w:rsidP="00FD381E">
            <w:pPr>
              <w:rPr>
                <w:rFonts w:asciiTheme="minorHAnsi" w:hAnsiTheme="minorHAnsi" w:cstheme="minorHAnsi"/>
                <w:sz w:val="22"/>
                <w:szCs w:val="22"/>
                <w:lang w:val="en-GB"/>
              </w:rPr>
            </w:pPr>
            <w:r w:rsidRPr="00B3184B">
              <w:rPr>
                <w:rFonts w:asciiTheme="minorHAnsi" w:hAnsiTheme="minorHAnsi" w:cstheme="minorHAnsi"/>
                <w:sz w:val="22"/>
                <w:szCs w:val="22"/>
                <w:lang w:val="en-GB"/>
              </w:rPr>
              <w:t>CCM TB/AIDS</w:t>
            </w:r>
          </w:p>
        </w:tc>
        <w:tc>
          <w:tcPr>
            <w:tcW w:w="7020" w:type="dxa"/>
          </w:tcPr>
          <w:p w14:paraId="21BBE761" w14:textId="77777777" w:rsidR="00641BE5" w:rsidRPr="00B3184B" w:rsidRDefault="00641BE5" w:rsidP="00FD381E">
            <w:pPr>
              <w:rPr>
                <w:rFonts w:asciiTheme="minorHAnsi" w:hAnsiTheme="minorHAnsi" w:cstheme="minorHAnsi"/>
                <w:sz w:val="22"/>
                <w:szCs w:val="22"/>
                <w:lang w:val="en-GB"/>
              </w:rPr>
            </w:pPr>
            <w:r w:rsidRPr="00B3184B">
              <w:rPr>
                <w:rFonts w:asciiTheme="minorHAnsi" w:hAnsiTheme="minorHAnsi" w:cstheme="minorHAnsi"/>
                <w:sz w:val="22"/>
                <w:szCs w:val="22"/>
                <w:lang w:val="en-GB"/>
              </w:rPr>
              <w:t>Country Coordination Mechanism on TB/AIDS</w:t>
            </w:r>
          </w:p>
        </w:tc>
      </w:tr>
      <w:tr w:rsidR="00641BE5" w:rsidRPr="001B337A" w14:paraId="11F615CA" w14:textId="77777777" w:rsidTr="00FD381E">
        <w:tc>
          <w:tcPr>
            <w:tcW w:w="2340" w:type="dxa"/>
          </w:tcPr>
          <w:p w14:paraId="11558322" w14:textId="77777777" w:rsidR="00641BE5" w:rsidRPr="00B3184B" w:rsidRDefault="00641BE5" w:rsidP="00FD381E">
            <w:pPr>
              <w:rPr>
                <w:rFonts w:asciiTheme="minorHAnsi" w:hAnsiTheme="minorHAnsi" w:cstheme="minorHAnsi"/>
                <w:sz w:val="22"/>
                <w:szCs w:val="22"/>
                <w:lang w:val="en-GB"/>
              </w:rPr>
            </w:pPr>
            <w:r w:rsidRPr="00B3184B">
              <w:rPr>
                <w:rFonts w:asciiTheme="minorHAnsi" w:hAnsiTheme="minorHAnsi" w:cstheme="minorHAnsi"/>
                <w:sz w:val="22"/>
                <w:szCs w:val="22"/>
                <w:lang w:val="en-GB"/>
              </w:rPr>
              <w:t>CRPD</w:t>
            </w:r>
          </w:p>
        </w:tc>
        <w:tc>
          <w:tcPr>
            <w:tcW w:w="7020" w:type="dxa"/>
          </w:tcPr>
          <w:p w14:paraId="1894726A" w14:textId="77777777" w:rsidR="00641BE5" w:rsidRPr="00B3184B" w:rsidRDefault="00641BE5" w:rsidP="00FD381E">
            <w:pPr>
              <w:rPr>
                <w:rFonts w:asciiTheme="minorHAnsi" w:hAnsiTheme="minorHAnsi" w:cstheme="minorHAnsi"/>
                <w:sz w:val="22"/>
                <w:szCs w:val="22"/>
                <w:lang w:val="en-GB"/>
              </w:rPr>
            </w:pPr>
            <w:r w:rsidRPr="00B3184B">
              <w:rPr>
                <w:rFonts w:asciiTheme="minorHAnsi" w:hAnsiTheme="minorHAnsi" w:cstheme="minorHAnsi"/>
                <w:sz w:val="22"/>
                <w:szCs w:val="22"/>
                <w:lang w:val="en-GB"/>
              </w:rPr>
              <w:t>Convention on the Rights of Persons with Disabilities</w:t>
            </w:r>
          </w:p>
        </w:tc>
      </w:tr>
      <w:tr w:rsidR="00641BE5" w:rsidRPr="001B337A" w14:paraId="6C6B4686" w14:textId="77777777" w:rsidTr="00FD381E">
        <w:tc>
          <w:tcPr>
            <w:tcW w:w="2340" w:type="dxa"/>
          </w:tcPr>
          <w:p w14:paraId="28AEB296" w14:textId="77777777" w:rsidR="00641BE5" w:rsidRPr="00B3184B" w:rsidRDefault="00641BE5" w:rsidP="00FD381E">
            <w:pPr>
              <w:rPr>
                <w:rFonts w:asciiTheme="minorHAnsi" w:hAnsiTheme="minorHAnsi" w:cstheme="minorHAnsi"/>
                <w:sz w:val="22"/>
                <w:szCs w:val="22"/>
                <w:lang w:val="en-GB"/>
              </w:rPr>
            </w:pPr>
            <w:r w:rsidRPr="00B3184B">
              <w:rPr>
                <w:rFonts w:asciiTheme="minorHAnsi" w:hAnsiTheme="minorHAnsi" w:cstheme="minorHAnsi"/>
                <w:sz w:val="22"/>
                <w:szCs w:val="22"/>
                <w:lang w:val="en-GB"/>
              </w:rPr>
              <w:t>CSOs</w:t>
            </w:r>
          </w:p>
        </w:tc>
        <w:tc>
          <w:tcPr>
            <w:tcW w:w="7020" w:type="dxa"/>
          </w:tcPr>
          <w:p w14:paraId="5105F3EA" w14:textId="77777777" w:rsidR="00641BE5" w:rsidRPr="00B3184B" w:rsidRDefault="00641BE5" w:rsidP="00FD381E">
            <w:pPr>
              <w:rPr>
                <w:rFonts w:asciiTheme="minorHAnsi" w:hAnsiTheme="minorHAnsi" w:cstheme="minorHAnsi"/>
                <w:sz w:val="22"/>
                <w:szCs w:val="22"/>
                <w:lang w:val="en-GB"/>
              </w:rPr>
            </w:pPr>
            <w:r w:rsidRPr="00B3184B">
              <w:rPr>
                <w:rFonts w:asciiTheme="minorHAnsi" w:hAnsiTheme="minorHAnsi" w:cstheme="minorHAnsi"/>
                <w:sz w:val="22"/>
                <w:szCs w:val="22"/>
                <w:lang w:val="en-GB"/>
              </w:rPr>
              <w:t>Civil society organizations</w:t>
            </w:r>
          </w:p>
        </w:tc>
      </w:tr>
      <w:tr w:rsidR="00641BE5" w:rsidRPr="001B337A" w14:paraId="035DF48C" w14:textId="77777777" w:rsidTr="00FD381E">
        <w:tc>
          <w:tcPr>
            <w:tcW w:w="2340" w:type="dxa"/>
          </w:tcPr>
          <w:p w14:paraId="6A7D7FCF" w14:textId="77777777" w:rsidR="00641BE5" w:rsidRPr="00B3184B" w:rsidRDefault="00641BE5" w:rsidP="00FD381E">
            <w:pPr>
              <w:rPr>
                <w:rFonts w:asciiTheme="minorHAnsi" w:hAnsiTheme="minorHAnsi" w:cstheme="minorHAnsi"/>
                <w:sz w:val="22"/>
                <w:szCs w:val="22"/>
                <w:lang w:val="en-GB"/>
              </w:rPr>
            </w:pPr>
            <w:r w:rsidRPr="00B3184B">
              <w:rPr>
                <w:rFonts w:asciiTheme="minorHAnsi" w:hAnsiTheme="minorHAnsi" w:cstheme="minorHAnsi"/>
                <w:sz w:val="22"/>
                <w:szCs w:val="22"/>
                <w:lang w:val="en-GB"/>
              </w:rPr>
              <w:t>FB</w:t>
            </w:r>
          </w:p>
        </w:tc>
        <w:tc>
          <w:tcPr>
            <w:tcW w:w="7020" w:type="dxa"/>
          </w:tcPr>
          <w:p w14:paraId="6B9D0F39" w14:textId="77777777" w:rsidR="00641BE5" w:rsidRPr="00B3184B" w:rsidRDefault="00641BE5" w:rsidP="00FD381E">
            <w:pPr>
              <w:rPr>
                <w:rFonts w:asciiTheme="minorHAnsi" w:hAnsiTheme="minorHAnsi" w:cstheme="minorHAnsi"/>
                <w:sz w:val="22"/>
                <w:szCs w:val="22"/>
                <w:lang w:val="en-GB"/>
              </w:rPr>
            </w:pPr>
            <w:r w:rsidRPr="00B3184B">
              <w:rPr>
                <w:rFonts w:asciiTheme="minorHAnsi" w:hAnsiTheme="minorHAnsi" w:cstheme="minorHAnsi"/>
                <w:sz w:val="22"/>
                <w:szCs w:val="22"/>
                <w:lang w:val="en-GB"/>
              </w:rPr>
              <w:t>Facebook</w:t>
            </w:r>
          </w:p>
        </w:tc>
      </w:tr>
      <w:tr w:rsidR="00641BE5" w:rsidRPr="001B337A" w14:paraId="48B5E396" w14:textId="77777777" w:rsidTr="00FD381E">
        <w:tc>
          <w:tcPr>
            <w:tcW w:w="2340" w:type="dxa"/>
          </w:tcPr>
          <w:p w14:paraId="467B55A2" w14:textId="77777777" w:rsidR="00641BE5" w:rsidRPr="00B3184B" w:rsidRDefault="00641BE5" w:rsidP="00FD381E">
            <w:pPr>
              <w:rPr>
                <w:rFonts w:asciiTheme="minorHAnsi" w:hAnsiTheme="minorHAnsi" w:cstheme="minorHAnsi"/>
                <w:sz w:val="22"/>
                <w:szCs w:val="22"/>
                <w:lang w:val="en-GB"/>
              </w:rPr>
            </w:pPr>
            <w:r w:rsidRPr="00B3184B">
              <w:rPr>
                <w:rFonts w:asciiTheme="minorHAnsi" w:hAnsiTheme="minorHAnsi" w:cstheme="minorHAnsi"/>
                <w:sz w:val="22"/>
                <w:szCs w:val="22"/>
                <w:lang w:val="en-GB"/>
              </w:rPr>
              <w:t>GFATM</w:t>
            </w:r>
          </w:p>
        </w:tc>
        <w:tc>
          <w:tcPr>
            <w:tcW w:w="7020" w:type="dxa"/>
          </w:tcPr>
          <w:p w14:paraId="0490F93A" w14:textId="77777777" w:rsidR="00641BE5" w:rsidRPr="00B3184B" w:rsidRDefault="00641BE5" w:rsidP="00FD381E">
            <w:pPr>
              <w:rPr>
                <w:rFonts w:asciiTheme="minorHAnsi" w:hAnsiTheme="minorHAnsi" w:cstheme="minorHAnsi"/>
                <w:sz w:val="22"/>
                <w:szCs w:val="22"/>
                <w:lang w:val="en-GB"/>
              </w:rPr>
            </w:pPr>
            <w:r w:rsidRPr="00B3184B">
              <w:rPr>
                <w:rFonts w:asciiTheme="minorHAnsi" w:hAnsiTheme="minorHAnsi" w:cstheme="minorHAnsi"/>
                <w:sz w:val="22"/>
                <w:szCs w:val="22"/>
                <w:lang w:val="en-GB"/>
              </w:rPr>
              <w:t>The Global Fund to Fight AIDS, TB and Malaria</w:t>
            </w:r>
          </w:p>
        </w:tc>
      </w:tr>
      <w:tr w:rsidR="00641BE5" w:rsidRPr="001B337A" w14:paraId="6C05D681" w14:textId="77777777" w:rsidTr="00FD381E">
        <w:tc>
          <w:tcPr>
            <w:tcW w:w="2340" w:type="dxa"/>
          </w:tcPr>
          <w:p w14:paraId="04E8D035" w14:textId="77777777" w:rsidR="00641BE5" w:rsidRPr="00B3184B" w:rsidRDefault="00641BE5" w:rsidP="00FD381E">
            <w:pPr>
              <w:rPr>
                <w:rFonts w:asciiTheme="minorHAnsi" w:hAnsiTheme="minorHAnsi" w:cstheme="minorHAnsi"/>
                <w:sz w:val="22"/>
                <w:szCs w:val="22"/>
                <w:lang w:val="en-GB"/>
              </w:rPr>
            </w:pPr>
            <w:r w:rsidRPr="00B3184B">
              <w:rPr>
                <w:rFonts w:asciiTheme="minorHAnsi" w:hAnsiTheme="minorHAnsi" w:cstheme="minorHAnsi"/>
                <w:sz w:val="22"/>
                <w:szCs w:val="22"/>
                <w:lang w:val="en-GB"/>
              </w:rPr>
              <w:t>HIV</w:t>
            </w:r>
          </w:p>
        </w:tc>
        <w:tc>
          <w:tcPr>
            <w:tcW w:w="7020" w:type="dxa"/>
          </w:tcPr>
          <w:p w14:paraId="72882524" w14:textId="77777777" w:rsidR="00641BE5" w:rsidRPr="00B3184B" w:rsidRDefault="00641BE5" w:rsidP="00FD381E">
            <w:pPr>
              <w:rPr>
                <w:rFonts w:asciiTheme="minorHAnsi" w:hAnsiTheme="minorHAnsi" w:cstheme="minorHAnsi"/>
                <w:sz w:val="22"/>
                <w:szCs w:val="22"/>
                <w:lang w:val="en-GB"/>
              </w:rPr>
            </w:pPr>
            <w:r w:rsidRPr="00B3184B">
              <w:rPr>
                <w:rFonts w:asciiTheme="minorHAnsi" w:hAnsiTheme="minorHAnsi" w:cstheme="minorHAnsi"/>
                <w:sz w:val="22"/>
                <w:szCs w:val="22"/>
                <w:lang w:val="en-GB"/>
              </w:rPr>
              <w:t>Human Immunodeficiency Virus</w:t>
            </w:r>
          </w:p>
        </w:tc>
      </w:tr>
      <w:tr w:rsidR="00641BE5" w:rsidRPr="001B337A" w14:paraId="657F4F44" w14:textId="77777777" w:rsidTr="00FD381E">
        <w:tc>
          <w:tcPr>
            <w:tcW w:w="2340" w:type="dxa"/>
          </w:tcPr>
          <w:p w14:paraId="3702F997" w14:textId="77777777" w:rsidR="00641BE5" w:rsidRPr="00B3184B" w:rsidRDefault="00641BE5" w:rsidP="00FD381E">
            <w:pPr>
              <w:rPr>
                <w:rFonts w:asciiTheme="minorHAnsi" w:hAnsiTheme="minorHAnsi" w:cstheme="minorHAnsi"/>
                <w:sz w:val="22"/>
                <w:szCs w:val="22"/>
                <w:lang w:val="en-GB"/>
              </w:rPr>
            </w:pPr>
            <w:r w:rsidRPr="00B3184B">
              <w:rPr>
                <w:rFonts w:asciiTheme="minorHAnsi" w:hAnsiTheme="minorHAnsi" w:cstheme="minorHAnsi"/>
                <w:sz w:val="22"/>
                <w:szCs w:val="22"/>
                <w:lang w:val="en-GB"/>
              </w:rPr>
              <w:t>HRBA</w:t>
            </w:r>
          </w:p>
        </w:tc>
        <w:tc>
          <w:tcPr>
            <w:tcW w:w="7020" w:type="dxa"/>
          </w:tcPr>
          <w:p w14:paraId="082DF0E6" w14:textId="77777777" w:rsidR="00641BE5" w:rsidRPr="00B3184B" w:rsidRDefault="00641BE5" w:rsidP="00FD381E">
            <w:pPr>
              <w:rPr>
                <w:rFonts w:asciiTheme="minorHAnsi" w:hAnsiTheme="minorHAnsi" w:cstheme="minorHAnsi"/>
                <w:sz w:val="22"/>
                <w:szCs w:val="22"/>
                <w:lang w:val="en-GB"/>
              </w:rPr>
            </w:pPr>
            <w:r w:rsidRPr="00B3184B">
              <w:rPr>
                <w:rFonts w:asciiTheme="minorHAnsi" w:hAnsiTheme="minorHAnsi" w:cstheme="minorHAnsi"/>
                <w:sz w:val="22"/>
                <w:szCs w:val="22"/>
                <w:lang w:val="en-GB"/>
              </w:rPr>
              <w:t>Human Rights based Approach</w:t>
            </w:r>
          </w:p>
        </w:tc>
      </w:tr>
      <w:tr w:rsidR="00641BE5" w:rsidRPr="001B337A" w14:paraId="329312EC" w14:textId="77777777" w:rsidTr="00FD381E">
        <w:tc>
          <w:tcPr>
            <w:tcW w:w="2340" w:type="dxa"/>
          </w:tcPr>
          <w:p w14:paraId="6010C7E1" w14:textId="77777777" w:rsidR="00641BE5" w:rsidRPr="00B3184B" w:rsidRDefault="00641BE5" w:rsidP="00FD381E">
            <w:pPr>
              <w:rPr>
                <w:rFonts w:asciiTheme="minorHAnsi" w:hAnsiTheme="minorHAnsi" w:cstheme="minorHAnsi"/>
                <w:sz w:val="22"/>
                <w:szCs w:val="22"/>
                <w:lang w:val="en-GB"/>
              </w:rPr>
            </w:pPr>
            <w:r w:rsidRPr="00B3184B">
              <w:rPr>
                <w:rFonts w:asciiTheme="minorHAnsi" w:hAnsiTheme="minorHAnsi" w:cstheme="minorHAnsi"/>
                <w:sz w:val="22"/>
                <w:szCs w:val="22"/>
                <w:lang w:val="en-GB"/>
              </w:rPr>
              <w:t>HR</w:t>
            </w:r>
          </w:p>
        </w:tc>
        <w:tc>
          <w:tcPr>
            <w:tcW w:w="7020" w:type="dxa"/>
          </w:tcPr>
          <w:p w14:paraId="7ED0FD51" w14:textId="77777777" w:rsidR="00641BE5" w:rsidRPr="00B3184B" w:rsidRDefault="00641BE5" w:rsidP="00FD381E">
            <w:pPr>
              <w:rPr>
                <w:rFonts w:asciiTheme="minorHAnsi" w:hAnsiTheme="minorHAnsi" w:cstheme="minorHAnsi"/>
                <w:sz w:val="22"/>
                <w:szCs w:val="22"/>
                <w:lang w:val="en-GB"/>
              </w:rPr>
            </w:pPr>
            <w:r w:rsidRPr="00B3184B">
              <w:rPr>
                <w:rFonts w:asciiTheme="minorHAnsi" w:hAnsiTheme="minorHAnsi" w:cstheme="minorHAnsi"/>
                <w:sz w:val="22"/>
                <w:szCs w:val="22"/>
                <w:lang w:val="en-GB"/>
              </w:rPr>
              <w:t>Human Rights</w:t>
            </w:r>
          </w:p>
        </w:tc>
      </w:tr>
      <w:tr w:rsidR="00641BE5" w:rsidRPr="001B337A" w14:paraId="2CEDFDAB" w14:textId="77777777" w:rsidTr="00FD381E">
        <w:tc>
          <w:tcPr>
            <w:tcW w:w="2340" w:type="dxa"/>
          </w:tcPr>
          <w:p w14:paraId="4F49C35F" w14:textId="77777777" w:rsidR="00641BE5" w:rsidRPr="00B3184B" w:rsidRDefault="00641BE5" w:rsidP="00FD381E">
            <w:pPr>
              <w:rPr>
                <w:rFonts w:asciiTheme="minorHAnsi" w:hAnsiTheme="minorHAnsi" w:cstheme="minorHAnsi"/>
                <w:sz w:val="22"/>
                <w:szCs w:val="22"/>
                <w:lang w:val="en-GB"/>
              </w:rPr>
            </w:pPr>
            <w:r w:rsidRPr="00B3184B">
              <w:rPr>
                <w:rFonts w:asciiTheme="minorHAnsi" w:hAnsiTheme="minorHAnsi" w:cstheme="minorHAnsi"/>
                <w:sz w:val="22"/>
                <w:szCs w:val="22"/>
                <w:lang w:val="en-GB"/>
              </w:rPr>
              <w:t>IOM</w:t>
            </w:r>
          </w:p>
        </w:tc>
        <w:tc>
          <w:tcPr>
            <w:tcW w:w="7020" w:type="dxa"/>
          </w:tcPr>
          <w:p w14:paraId="5BD8F2F8" w14:textId="77777777" w:rsidR="00641BE5" w:rsidRPr="00B3184B" w:rsidRDefault="00641BE5" w:rsidP="00FD381E">
            <w:pPr>
              <w:rPr>
                <w:rFonts w:asciiTheme="minorHAnsi" w:hAnsiTheme="minorHAnsi" w:cstheme="minorHAnsi"/>
                <w:sz w:val="22"/>
                <w:szCs w:val="22"/>
                <w:lang w:val="en-GB"/>
              </w:rPr>
            </w:pPr>
            <w:r w:rsidRPr="00B3184B">
              <w:rPr>
                <w:rFonts w:asciiTheme="minorHAnsi" w:hAnsiTheme="minorHAnsi" w:cstheme="minorHAnsi"/>
                <w:sz w:val="22"/>
                <w:szCs w:val="22"/>
                <w:lang w:val="en-GB"/>
              </w:rPr>
              <w:t>International Organization for Migration</w:t>
            </w:r>
          </w:p>
        </w:tc>
      </w:tr>
      <w:tr w:rsidR="00641BE5" w:rsidRPr="001B337A" w14:paraId="1D4C63DA" w14:textId="77777777" w:rsidTr="00FD381E">
        <w:tc>
          <w:tcPr>
            <w:tcW w:w="2340" w:type="dxa"/>
          </w:tcPr>
          <w:p w14:paraId="41296056" w14:textId="77777777" w:rsidR="00641BE5" w:rsidRPr="00B3184B" w:rsidRDefault="00641BE5" w:rsidP="00FD381E">
            <w:pPr>
              <w:rPr>
                <w:rFonts w:asciiTheme="minorHAnsi" w:hAnsiTheme="minorHAnsi" w:cstheme="minorHAnsi"/>
                <w:sz w:val="22"/>
                <w:szCs w:val="22"/>
                <w:lang w:val="en-GB"/>
              </w:rPr>
            </w:pPr>
            <w:r w:rsidRPr="00B3184B">
              <w:rPr>
                <w:rFonts w:asciiTheme="minorHAnsi" w:hAnsiTheme="minorHAnsi" w:cstheme="minorHAnsi"/>
                <w:sz w:val="22"/>
                <w:szCs w:val="22"/>
                <w:lang w:val="en-GB"/>
              </w:rPr>
              <w:t>LEA</w:t>
            </w:r>
          </w:p>
        </w:tc>
        <w:tc>
          <w:tcPr>
            <w:tcW w:w="7020" w:type="dxa"/>
          </w:tcPr>
          <w:p w14:paraId="6B61AD90" w14:textId="77777777" w:rsidR="00641BE5" w:rsidRPr="00B3184B" w:rsidRDefault="00641BE5" w:rsidP="00FD381E">
            <w:pPr>
              <w:rPr>
                <w:rFonts w:asciiTheme="minorHAnsi" w:hAnsiTheme="minorHAnsi" w:cstheme="minorHAnsi"/>
                <w:sz w:val="22"/>
                <w:szCs w:val="22"/>
                <w:lang w:val="en-GB"/>
              </w:rPr>
            </w:pPr>
            <w:r w:rsidRPr="00B3184B">
              <w:rPr>
                <w:rFonts w:asciiTheme="minorHAnsi" w:hAnsiTheme="minorHAnsi" w:cstheme="minorHAnsi"/>
                <w:sz w:val="22"/>
                <w:szCs w:val="22"/>
                <w:lang w:val="en-GB"/>
              </w:rPr>
              <w:t>Law-Enforcement Authority</w:t>
            </w:r>
          </w:p>
        </w:tc>
      </w:tr>
      <w:tr w:rsidR="00641BE5" w:rsidRPr="001B337A" w14:paraId="451EE8CE" w14:textId="77777777" w:rsidTr="00FD381E">
        <w:tc>
          <w:tcPr>
            <w:tcW w:w="2340" w:type="dxa"/>
          </w:tcPr>
          <w:p w14:paraId="169F6376" w14:textId="77777777" w:rsidR="00641BE5" w:rsidRPr="00B3184B" w:rsidRDefault="00641BE5" w:rsidP="00FD381E">
            <w:pPr>
              <w:rPr>
                <w:rFonts w:asciiTheme="minorHAnsi" w:hAnsiTheme="minorHAnsi" w:cstheme="minorHAnsi"/>
                <w:sz w:val="22"/>
                <w:szCs w:val="22"/>
                <w:lang w:val="en-GB"/>
              </w:rPr>
            </w:pPr>
            <w:r w:rsidRPr="00B3184B">
              <w:rPr>
                <w:rFonts w:asciiTheme="minorHAnsi" w:hAnsiTheme="minorHAnsi" w:cstheme="minorHAnsi"/>
                <w:sz w:val="22"/>
                <w:szCs w:val="22"/>
                <w:lang w:val="en-GB"/>
              </w:rPr>
              <w:t>LPAs</w:t>
            </w:r>
          </w:p>
        </w:tc>
        <w:tc>
          <w:tcPr>
            <w:tcW w:w="7020" w:type="dxa"/>
          </w:tcPr>
          <w:p w14:paraId="7BB7615B" w14:textId="77777777" w:rsidR="00641BE5" w:rsidRPr="00B3184B" w:rsidRDefault="00641BE5" w:rsidP="00FD381E">
            <w:pPr>
              <w:rPr>
                <w:rFonts w:asciiTheme="minorHAnsi" w:hAnsiTheme="minorHAnsi" w:cstheme="minorHAnsi"/>
                <w:sz w:val="22"/>
                <w:szCs w:val="22"/>
                <w:lang w:val="en-GB"/>
              </w:rPr>
            </w:pPr>
            <w:r w:rsidRPr="00B3184B">
              <w:rPr>
                <w:rFonts w:asciiTheme="minorHAnsi" w:hAnsiTheme="minorHAnsi" w:cstheme="minorHAnsi"/>
                <w:sz w:val="22"/>
                <w:szCs w:val="22"/>
                <w:lang w:val="en-GB"/>
              </w:rPr>
              <w:t>Local Public Authorities</w:t>
            </w:r>
          </w:p>
        </w:tc>
      </w:tr>
      <w:tr w:rsidR="00641BE5" w:rsidRPr="001B337A" w14:paraId="307715EB" w14:textId="77777777" w:rsidTr="00FD381E">
        <w:tc>
          <w:tcPr>
            <w:tcW w:w="2340" w:type="dxa"/>
          </w:tcPr>
          <w:p w14:paraId="4DD5ED58" w14:textId="77777777" w:rsidR="00641BE5" w:rsidRPr="00B3184B" w:rsidRDefault="00641BE5" w:rsidP="00FD381E">
            <w:pPr>
              <w:rPr>
                <w:rFonts w:asciiTheme="minorHAnsi" w:hAnsiTheme="minorHAnsi" w:cstheme="minorHAnsi"/>
                <w:sz w:val="22"/>
                <w:szCs w:val="22"/>
                <w:lang w:val="en-GB"/>
              </w:rPr>
            </w:pPr>
            <w:r w:rsidRPr="00B3184B">
              <w:rPr>
                <w:rFonts w:asciiTheme="minorHAnsi" w:hAnsiTheme="minorHAnsi" w:cstheme="minorHAnsi"/>
                <w:sz w:val="22"/>
                <w:szCs w:val="22"/>
                <w:lang w:val="en-GB"/>
              </w:rPr>
              <w:t>MPTF</w:t>
            </w:r>
          </w:p>
        </w:tc>
        <w:tc>
          <w:tcPr>
            <w:tcW w:w="7020" w:type="dxa"/>
          </w:tcPr>
          <w:p w14:paraId="22FF1FE3" w14:textId="77777777" w:rsidR="00641BE5" w:rsidRPr="00B3184B" w:rsidRDefault="00641BE5" w:rsidP="00FD381E">
            <w:pPr>
              <w:rPr>
                <w:rFonts w:asciiTheme="minorHAnsi" w:hAnsiTheme="minorHAnsi" w:cstheme="minorHAnsi"/>
                <w:sz w:val="22"/>
                <w:szCs w:val="22"/>
                <w:lang w:val="en-GB"/>
              </w:rPr>
            </w:pPr>
            <w:r w:rsidRPr="00B3184B">
              <w:rPr>
                <w:rFonts w:asciiTheme="minorHAnsi" w:hAnsiTheme="minorHAnsi" w:cstheme="minorHAnsi"/>
                <w:sz w:val="22"/>
                <w:szCs w:val="22"/>
                <w:lang w:val="en-GB"/>
              </w:rPr>
              <w:t>Multi-Partner Trust Fund</w:t>
            </w:r>
          </w:p>
        </w:tc>
      </w:tr>
      <w:tr w:rsidR="00641BE5" w:rsidRPr="001B337A" w14:paraId="0080334F" w14:textId="77777777" w:rsidTr="00FD381E">
        <w:trPr>
          <w:trHeight w:val="140"/>
        </w:trPr>
        <w:tc>
          <w:tcPr>
            <w:tcW w:w="2340" w:type="dxa"/>
          </w:tcPr>
          <w:p w14:paraId="639092AA" w14:textId="77777777" w:rsidR="00641BE5" w:rsidRPr="00B3184B" w:rsidRDefault="00641BE5" w:rsidP="00FD381E">
            <w:pPr>
              <w:rPr>
                <w:rFonts w:asciiTheme="minorHAnsi" w:hAnsiTheme="minorHAnsi" w:cstheme="minorHAnsi"/>
                <w:sz w:val="22"/>
                <w:szCs w:val="22"/>
                <w:lang w:val="en-GB"/>
              </w:rPr>
            </w:pPr>
            <w:r w:rsidRPr="00B3184B">
              <w:rPr>
                <w:rFonts w:asciiTheme="minorHAnsi" w:hAnsiTheme="minorHAnsi" w:cstheme="minorHAnsi"/>
                <w:sz w:val="22"/>
                <w:szCs w:val="22"/>
                <w:lang w:val="en-GB"/>
              </w:rPr>
              <w:t>MSM</w:t>
            </w:r>
          </w:p>
        </w:tc>
        <w:tc>
          <w:tcPr>
            <w:tcW w:w="7020" w:type="dxa"/>
          </w:tcPr>
          <w:p w14:paraId="3C5769BC" w14:textId="77777777" w:rsidR="00641BE5" w:rsidRPr="00B3184B" w:rsidRDefault="00641BE5" w:rsidP="00FD381E">
            <w:pPr>
              <w:rPr>
                <w:rFonts w:asciiTheme="minorHAnsi" w:hAnsiTheme="minorHAnsi" w:cstheme="minorHAnsi"/>
                <w:sz w:val="22"/>
                <w:szCs w:val="22"/>
                <w:lang w:val="en-GB"/>
              </w:rPr>
            </w:pPr>
            <w:r w:rsidRPr="00B3184B">
              <w:rPr>
                <w:rFonts w:asciiTheme="minorHAnsi" w:hAnsiTheme="minorHAnsi" w:cstheme="minorHAnsi"/>
                <w:sz w:val="22"/>
                <w:szCs w:val="22"/>
                <w:lang w:val="en-GB"/>
              </w:rPr>
              <w:t>Men who have sex with men</w:t>
            </w:r>
          </w:p>
        </w:tc>
      </w:tr>
      <w:tr w:rsidR="00641BE5" w:rsidRPr="001B337A" w14:paraId="13B89CDA" w14:textId="77777777" w:rsidTr="00FD381E">
        <w:tc>
          <w:tcPr>
            <w:tcW w:w="2340" w:type="dxa"/>
          </w:tcPr>
          <w:p w14:paraId="513D014A" w14:textId="77777777" w:rsidR="00641BE5" w:rsidRPr="00B3184B" w:rsidRDefault="00641BE5" w:rsidP="00FD381E">
            <w:pPr>
              <w:rPr>
                <w:rFonts w:asciiTheme="minorHAnsi" w:hAnsiTheme="minorHAnsi" w:cstheme="minorHAnsi"/>
                <w:sz w:val="22"/>
                <w:szCs w:val="22"/>
                <w:lang w:val="en-GB"/>
              </w:rPr>
            </w:pPr>
            <w:r w:rsidRPr="00B3184B">
              <w:rPr>
                <w:rFonts w:asciiTheme="minorHAnsi" w:hAnsiTheme="minorHAnsi" w:cstheme="minorHAnsi"/>
                <w:sz w:val="22"/>
                <w:szCs w:val="22"/>
                <w:lang w:val="en-GB"/>
              </w:rPr>
              <w:t>NGO</w:t>
            </w:r>
          </w:p>
        </w:tc>
        <w:tc>
          <w:tcPr>
            <w:tcW w:w="7020" w:type="dxa"/>
          </w:tcPr>
          <w:p w14:paraId="2C675870" w14:textId="77777777" w:rsidR="00641BE5" w:rsidRPr="00B3184B" w:rsidRDefault="00641BE5" w:rsidP="00FD381E">
            <w:pPr>
              <w:rPr>
                <w:rFonts w:asciiTheme="minorHAnsi" w:hAnsiTheme="minorHAnsi" w:cstheme="minorHAnsi"/>
                <w:sz w:val="22"/>
                <w:szCs w:val="22"/>
                <w:lang w:val="en-GB"/>
              </w:rPr>
            </w:pPr>
            <w:r w:rsidRPr="00B3184B">
              <w:rPr>
                <w:rFonts w:asciiTheme="minorHAnsi" w:hAnsiTheme="minorHAnsi" w:cstheme="minorHAnsi"/>
                <w:sz w:val="22"/>
                <w:szCs w:val="22"/>
                <w:lang w:val="en-GB"/>
              </w:rPr>
              <w:t xml:space="preserve">Non-Governmental Organization </w:t>
            </w:r>
          </w:p>
        </w:tc>
      </w:tr>
      <w:tr w:rsidR="00641BE5" w:rsidRPr="001B337A" w14:paraId="09046E87" w14:textId="77777777" w:rsidTr="00FD381E">
        <w:tc>
          <w:tcPr>
            <w:tcW w:w="2340" w:type="dxa"/>
          </w:tcPr>
          <w:p w14:paraId="2C661AB5" w14:textId="77777777" w:rsidR="00641BE5" w:rsidRPr="00B3184B" w:rsidRDefault="00641BE5" w:rsidP="00FD381E">
            <w:pPr>
              <w:rPr>
                <w:rFonts w:asciiTheme="minorHAnsi" w:hAnsiTheme="minorHAnsi" w:cstheme="minorHAnsi"/>
                <w:sz w:val="22"/>
                <w:szCs w:val="22"/>
                <w:lang w:val="en-GB"/>
              </w:rPr>
            </w:pPr>
            <w:r w:rsidRPr="00B3184B">
              <w:rPr>
                <w:rFonts w:asciiTheme="minorHAnsi" w:hAnsiTheme="minorHAnsi" w:cstheme="minorHAnsi"/>
                <w:sz w:val="22"/>
                <w:szCs w:val="22"/>
                <w:lang w:val="en-GB"/>
              </w:rPr>
              <w:t>OHCHR</w:t>
            </w:r>
          </w:p>
        </w:tc>
        <w:tc>
          <w:tcPr>
            <w:tcW w:w="7020" w:type="dxa"/>
          </w:tcPr>
          <w:p w14:paraId="641B5E7B" w14:textId="77777777" w:rsidR="00641BE5" w:rsidRPr="00B3184B" w:rsidRDefault="00641BE5" w:rsidP="00FD381E">
            <w:pPr>
              <w:rPr>
                <w:rFonts w:asciiTheme="minorHAnsi" w:hAnsiTheme="minorHAnsi" w:cstheme="minorHAnsi"/>
                <w:sz w:val="22"/>
                <w:szCs w:val="22"/>
                <w:lang w:val="en-GB"/>
              </w:rPr>
            </w:pPr>
            <w:r w:rsidRPr="00B3184B">
              <w:rPr>
                <w:rFonts w:asciiTheme="minorHAnsi" w:hAnsiTheme="minorHAnsi" w:cstheme="minorHAnsi"/>
                <w:sz w:val="22"/>
                <w:szCs w:val="22"/>
                <w:lang w:val="en-GB"/>
              </w:rPr>
              <w:t>Office of the High Commissioner for Human Rights</w:t>
            </w:r>
          </w:p>
        </w:tc>
      </w:tr>
      <w:tr w:rsidR="00641BE5" w:rsidRPr="001B337A" w14:paraId="5A0E1437" w14:textId="77777777" w:rsidTr="00FD381E">
        <w:tc>
          <w:tcPr>
            <w:tcW w:w="2340" w:type="dxa"/>
          </w:tcPr>
          <w:p w14:paraId="0A10DC5B" w14:textId="77777777" w:rsidR="00641BE5" w:rsidRPr="00B3184B" w:rsidRDefault="00641BE5" w:rsidP="00FD381E">
            <w:pPr>
              <w:rPr>
                <w:rFonts w:asciiTheme="minorHAnsi" w:hAnsiTheme="minorHAnsi" w:cstheme="minorHAnsi"/>
                <w:sz w:val="22"/>
                <w:szCs w:val="22"/>
                <w:lang w:val="en-GB"/>
              </w:rPr>
            </w:pPr>
            <w:r w:rsidRPr="00B3184B">
              <w:rPr>
                <w:rFonts w:asciiTheme="minorHAnsi" w:hAnsiTheme="minorHAnsi" w:cstheme="minorHAnsi"/>
                <w:sz w:val="22"/>
                <w:szCs w:val="22"/>
                <w:lang w:val="en-GB"/>
              </w:rPr>
              <w:t>PCA</w:t>
            </w:r>
          </w:p>
        </w:tc>
        <w:tc>
          <w:tcPr>
            <w:tcW w:w="7020" w:type="dxa"/>
          </w:tcPr>
          <w:p w14:paraId="43E24216" w14:textId="77777777" w:rsidR="00641BE5" w:rsidRPr="00B3184B" w:rsidRDefault="00641BE5" w:rsidP="00FD381E">
            <w:pPr>
              <w:rPr>
                <w:rFonts w:asciiTheme="minorHAnsi" w:hAnsiTheme="minorHAnsi" w:cstheme="minorHAnsi"/>
                <w:sz w:val="22"/>
                <w:szCs w:val="22"/>
                <w:lang w:val="en-GB"/>
              </w:rPr>
            </w:pPr>
            <w:r w:rsidRPr="00B3184B">
              <w:rPr>
                <w:rFonts w:asciiTheme="minorHAnsi" w:hAnsiTheme="minorHAnsi" w:cstheme="minorHAnsi"/>
                <w:sz w:val="22"/>
                <w:szCs w:val="22"/>
                <w:lang w:val="en-GB"/>
              </w:rPr>
              <w:t>Partnership and Cooperation Agreement</w:t>
            </w:r>
          </w:p>
        </w:tc>
      </w:tr>
      <w:tr w:rsidR="00641BE5" w:rsidRPr="001B337A" w14:paraId="5AACB355" w14:textId="77777777" w:rsidTr="00FD381E">
        <w:tc>
          <w:tcPr>
            <w:tcW w:w="2340" w:type="dxa"/>
          </w:tcPr>
          <w:p w14:paraId="692A7418" w14:textId="77777777" w:rsidR="00641BE5" w:rsidRPr="00B3184B" w:rsidRDefault="00641BE5" w:rsidP="00FD381E">
            <w:pPr>
              <w:rPr>
                <w:rFonts w:asciiTheme="minorHAnsi" w:hAnsiTheme="minorHAnsi" w:cstheme="minorHAnsi"/>
                <w:sz w:val="22"/>
                <w:szCs w:val="22"/>
                <w:lang w:val="en-GB"/>
              </w:rPr>
            </w:pPr>
            <w:r w:rsidRPr="00B3184B">
              <w:rPr>
                <w:rFonts w:asciiTheme="minorHAnsi" w:hAnsiTheme="minorHAnsi" w:cstheme="minorHAnsi"/>
                <w:sz w:val="22"/>
                <w:szCs w:val="22"/>
                <w:lang w:val="en-GB"/>
              </w:rPr>
              <w:t>PLWH</w:t>
            </w:r>
          </w:p>
        </w:tc>
        <w:tc>
          <w:tcPr>
            <w:tcW w:w="7020" w:type="dxa"/>
          </w:tcPr>
          <w:p w14:paraId="1CB4AF10" w14:textId="77777777" w:rsidR="00641BE5" w:rsidRPr="00B3184B" w:rsidRDefault="00641BE5" w:rsidP="00FD381E">
            <w:pPr>
              <w:rPr>
                <w:rFonts w:asciiTheme="minorHAnsi" w:hAnsiTheme="minorHAnsi" w:cstheme="minorHAnsi"/>
                <w:sz w:val="22"/>
                <w:szCs w:val="22"/>
                <w:lang w:val="en-GB"/>
              </w:rPr>
            </w:pPr>
            <w:r w:rsidRPr="00B3184B">
              <w:rPr>
                <w:rFonts w:asciiTheme="minorHAnsi" w:hAnsiTheme="minorHAnsi" w:cstheme="minorHAnsi"/>
                <w:sz w:val="22"/>
                <w:szCs w:val="22"/>
                <w:lang w:val="en-GB"/>
              </w:rPr>
              <w:t>People living with HIV</w:t>
            </w:r>
          </w:p>
        </w:tc>
      </w:tr>
      <w:tr w:rsidR="00641BE5" w:rsidRPr="001B337A" w14:paraId="3129DC1B" w14:textId="77777777" w:rsidTr="00FD381E">
        <w:tc>
          <w:tcPr>
            <w:tcW w:w="2340" w:type="dxa"/>
          </w:tcPr>
          <w:p w14:paraId="2E689866" w14:textId="77777777" w:rsidR="00641BE5" w:rsidRPr="00B3184B" w:rsidRDefault="00641BE5" w:rsidP="00FD381E">
            <w:pPr>
              <w:rPr>
                <w:rFonts w:asciiTheme="minorHAnsi" w:hAnsiTheme="minorHAnsi" w:cstheme="minorHAnsi"/>
                <w:sz w:val="22"/>
                <w:szCs w:val="22"/>
                <w:lang w:val="en-GB"/>
              </w:rPr>
            </w:pPr>
            <w:proofErr w:type="spellStart"/>
            <w:r w:rsidRPr="00B3184B">
              <w:rPr>
                <w:rFonts w:asciiTheme="minorHAnsi" w:hAnsiTheme="minorHAnsi" w:cstheme="minorHAnsi"/>
                <w:sz w:val="22"/>
                <w:szCs w:val="22"/>
                <w:lang w:val="en-GB"/>
              </w:rPr>
              <w:t>PrEP</w:t>
            </w:r>
            <w:proofErr w:type="spellEnd"/>
          </w:p>
        </w:tc>
        <w:tc>
          <w:tcPr>
            <w:tcW w:w="7020" w:type="dxa"/>
          </w:tcPr>
          <w:p w14:paraId="7DAB56B2" w14:textId="77777777" w:rsidR="00641BE5" w:rsidRPr="00B3184B" w:rsidRDefault="00641BE5" w:rsidP="00FD381E">
            <w:pPr>
              <w:rPr>
                <w:rFonts w:asciiTheme="minorHAnsi" w:hAnsiTheme="minorHAnsi" w:cstheme="minorHAnsi"/>
                <w:sz w:val="22"/>
                <w:szCs w:val="22"/>
                <w:lang w:val="en-GB"/>
              </w:rPr>
            </w:pPr>
            <w:r w:rsidRPr="00B3184B">
              <w:rPr>
                <w:rFonts w:asciiTheme="minorHAnsi" w:hAnsiTheme="minorHAnsi" w:cstheme="minorHAnsi"/>
                <w:sz w:val="22"/>
                <w:szCs w:val="22"/>
                <w:highlight w:val="white"/>
                <w:lang w:val="en-GB"/>
              </w:rPr>
              <w:t>Pre-exposure prophylaxis</w:t>
            </w:r>
          </w:p>
        </w:tc>
      </w:tr>
      <w:tr w:rsidR="00641BE5" w:rsidRPr="001B337A" w14:paraId="5B495DC5" w14:textId="77777777" w:rsidTr="00FD381E">
        <w:trPr>
          <w:trHeight w:val="60"/>
        </w:trPr>
        <w:tc>
          <w:tcPr>
            <w:tcW w:w="2340" w:type="dxa"/>
          </w:tcPr>
          <w:p w14:paraId="2DEDD1F3" w14:textId="77777777" w:rsidR="00641BE5" w:rsidRPr="00B3184B" w:rsidRDefault="00641BE5" w:rsidP="00FD381E">
            <w:pPr>
              <w:rPr>
                <w:rFonts w:asciiTheme="minorHAnsi" w:hAnsiTheme="minorHAnsi" w:cstheme="minorHAnsi"/>
                <w:sz w:val="22"/>
                <w:szCs w:val="22"/>
                <w:lang w:val="en-GB"/>
              </w:rPr>
            </w:pPr>
            <w:proofErr w:type="spellStart"/>
            <w:r w:rsidRPr="00B3184B">
              <w:rPr>
                <w:rFonts w:asciiTheme="minorHAnsi" w:hAnsiTheme="minorHAnsi" w:cstheme="minorHAnsi"/>
                <w:sz w:val="22"/>
                <w:szCs w:val="22"/>
                <w:lang w:val="en-GB"/>
              </w:rPr>
              <w:t>PwDs</w:t>
            </w:r>
            <w:proofErr w:type="spellEnd"/>
          </w:p>
        </w:tc>
        <w:tc>
          <w:tcPr>
            <w:tcW w:w="7020" w:type="dxa"/>
          </w:tcPr>
          <w:p w14:paraId="179C1E76" w14:textId="77777777" w:rsidR="00641BE5" w:rsidRPr="00B3184B" w:rsidRDefault="00641BE5" w:rsidP="00FD381E">
            <w:pPr>
              <w:rPr>
                <w:rFonts w:asciiTheme="minorHAnsi" w:hAnsiTheme="minorHAnsi" w:cstheme="minorHAnsi"/>
                <w:sz w:val="22"/>
                <w:szCs w:val="22"/>
                <w:lang w:val="en-GB"/>
              </w:rPr>
            </w:pPr>
            <w:r w:rsidRPr="00B3184B">
              <w:rPr>
                <w:rFonts w:asciiTheme="minorHAnsi" w:hAnsiTheme="minorHAnsi" w:cstheme="minorHAnsi"/>
                <w:sz w:val="22"/>
                <w:szCs w:val="22"/>
                <w:lang w:val="en-GB"/>
              </w:rPr>
              <w:t>People with disabilities</w:t>
            </w:r>
          </w:p>
        </w:tc>
      </w:tr>
      <w:tr w:rsidR="00641BE5" w:rsidRPr="001B337A" w14:paraId="4EE9FF4F" w14:textId="77777777" w:rsidTr="00FD381E">
        <w:tc>
          <w:tcPr>
            <w:tcW w:w="2340" w:type="dxa"/>
          </w:tcPr>
          <w:p w14:paraId="289F44A8" w14:textId="77777777" w:rsidR="00641BE5" w:rsidRPr="00B3184B" w:rsidRDefault="00641BE5" w:rsidP="00FD381E">
            <w:pPr>
              <w:rPr>
                <w:rFonts w:asciiTheme="minorHAnsi" w:hAnsiTheme="minorHAnsi" w:cstheme="minorHAnsi"/>
                <w:sz w:val="22"/>
                <w:szCs w:val="22"/>
                <w:lang w:val="en-GB"/>
              </w:rPr>
            </w:pPr>
            <w:r w:rsidRPr="00B3184B">
              <w:rPr>
                <w:rFonts w:asciiTheme="minorHAnsi" w:hAnsiTheme="minorHAnsi" w:cstheme="minorHAnsi"/>
                <w:sz w:val="22"/>
                <w:szCs w:val="22"/>
                <w:lang w:val="en-GB"/>
              </w:rPr>
              <w:t>PWUDs</w:t>
            </w:r>
          </w:p>
        </w:tc>
        <w:tc>
          <w:tcPr>
            <w:tcW w:w="7020" w:type="dxa"/>
          </w:tcPr>
          <w:p w14:paraId="01199EB4" w14:textId="77777777" w:rsidR="00641BE5" w:rsidRPr="00B3184B" w:rsidRDefault="00641BE5" w:rsidP="00FD381E">
            <w:pPr>
              <w:rPr>
                <w:rFonts w:asciiTheme="minorHAnsi" w:hAnsiTheme="minorHAnsi" w:cstheme="minorHAnsi"/>
                <w:sz w:val="22"/>
                <w:szCs w:val="22"/>
                <w:lang w:val="en-GB"/>
              </w:rPr>
            </w:pPr>
            <w:r w:rsidRPr="00B3184B">
              <w:rPr>
                <w:rFonts w:asciiTheme="minorHAnsi" w:hAnsiTheme="minorHAnsi" w:cstheme="minorHAnsi"/>
                <w:sz w:val="22"/>
                <w:szCs w:val="22"/>
                <w:lang w:val="en-GB"/>
              </w:rPr>
              <w:t>People who use drugs</w:t>
            </w:r>
          </w:p>
        </w:tc>
      </w:tr>
      <w:tr w:rsidR="00641BE5" w:rsidRPr="001B337A" w14:paraId="5961113A" w14:textId="77777777" w:rsidTr="00FD381E">
        <w:tc>
          <w:tcPr>
            <w:tcW w:w="2340" w:type="dxa"/>
          </w:tcPr>
          <w:p w14:paraId="01F46214" w14:textId="77777777" w:rsidR="00641BE5" w:rsidRPr="00B3184B" w:rsidRDefault="00641BE5" w:rsidP="00FD381E">
            <w:pPr>
              <w:rPr>
                <w:rFonts w:asciiTheme="minorHAnsi" w:hAnsiTheme="minorHAnsi" w:cstheme="minorHAnsi"/>
                <w:sz w:val="22"/>
                <w:szCs w:val="22"/>
                <w:lang w:val="en-GB"/>
              </w:rPr>
            </w:pPr>
            <w:r w:rsidRPr="00B3184B">
              <w:rPr>
                <w:rFonts w:asciiTheme="minorHAnsi" w:hAnsiTheme="minorHAnsi" w:cstheme="minorHAnsi"/>
                <w:sz w:val="22"/>
                <w:szCs w:val="22"/>
                <w:lang w:val="en-GB"/>
              </w:rPr>
              <w:t>RAF</w:t>
            </w:r>
          </w:p>
        </w:tc>
        <w:tc>
          <w:tcPr>
            <w:tcW w:w="7020" w:type="dxa"/>
          </w:tcPr>
          <w:p w14:paraId="1763592F" w14:textId="77777777" w:rsidR="00641BE5" w:rsidRPr="00B3184B" w:rsidRDefault="00641BE5" w:rsidP="00FD381E">
            <w:pPr>
              <w:rPr>
                <w:rFonts w:asciiTheme="minorHAnsi" w:hAnsiTheme="minorHAnsi" w:cstheme="minorHAnsi"/>
                <w:sz w:val="22"/>
                <w:szCs w:val="22"/>
                <w:lang w:val="en-GB"/>
              </w:rPr>
            </w:pPr>
            <w:r w:rsidRPr="00B3184B">
              <w:rPr>
                <w:rFonts w:asciiTheme="minorHAnsi" w:hAnsiTheme="minorHAnsi" w:cstheme="minorHAnsi"/>
                <w:sz w:val="22"/>
                <w:szCs w:val="22"/>
                <w:lang w:val="en-GB"/>
              </w:rPr>
              <w:t xml:space="preserve">Results Assessment Framework </w:t>
            </w:r>
          </w:p>
        </w:tc>
      </w:tr>
      <w:tr w:rsidR="00641BE5" w:rsidRPr="001B337A" w14:paraId="7DC30B93" w14:textId="77777777" w:rsidTr="00FD381E">
        <w:tc>
          <w:tcPr>
            <w:tcW w:w="2340" w:type="dxa"/>
          </w:tcPr>
          <w:p w14:paraId="7BDED4E7" w14:textId="77777777" w:rsidR="00641BE5" w:rsidRPr="00B3184B" w:rsidRDefault="00641BE5" w:rsidP="00FD381E">
            <w:pPr>
              <w:rPr>
                <w:rFonts w:asciiTheme="minorHAnsi" w:hAnsiTheme="minorHAnsi" w:cstheme="minorHAnsi"/>
                <w:sz w:val="22"/>
                <w:szCs w:val="22"/>
                <w:lang w:val="en-GB"/>
              </w:rPr>
            </w:pPr>
            <w:r w:rsidRPr="00B3184B">
              <w:rPr>
                <w:rFonts w:asciiTheme="minorHAnsi" w:hAnsiTheme="minorHAnsi" w:cstheme="minorHAnsi"/>
                <w:sz w:val="22"/>
                <w:szCs w:val="22"/>
                <w:lang w:val="en-GB"/>
              </w:rPr>
              <w:t>SCDP</w:t>
            </w:r>
          </w:p>
        </w:tc>
        <w:tc>
          <w:tcPr>
            <w:tcW w:w="7020" w:type="dxa"/>
          </w:tcPr>
          <w:p w14:paraId="2E9AA545" w14:textId="77777777" w:rsidR="00641BE5" w:rsidRPr="00B3184B" w:rsidRDefault="00641BE5" w:rsidP="00FD381E">
            <w:pPr>
              <w:rPr>
                <w:rFonts w:asciiTheme="minorHAnsi" w:hAnsiTheme="minorHAnsi" w:cstheme="minorHAnsi"/>
                <w:sz w:val="22"/>
                <w:szCs w:val="22"/>
                <w:lang w:val="en-GB"/>
              </w:rPr>
            </w:pPr>
            <w:r w:rsidRPr="00B3184B">
              <w:rPr>
                <w:rFonts w:asciiTheme="minorHAnsi" w:hAnsiTheme="minorHAnsi" w:cstheme="minorHAnsi"/>
                <w:sz w:val="22"/>
                <w:szCs w:val="22"/>
                <w:lang w:val="en-GB"/>
              </w:rPr>
              <w:t>Sustainable (Community) Development Platform</w:t>
            </w:r>
          </w:p>
        </w:tc>
      </w:tr>
      <w:tr w:rsidR="00641BE5" w:rsidRPr="001B337A" w14:paraId="38DCC8B5" w14:textId="77777777" w:rsidTr="00FD381E">
        <w:tc>
          <w:tcPr>
            <w:tcW w:w="2340" w:type="dxa"/>
          </w:tcPr>
          <w:p w14:paraId="35EE02F4" w14:textId="5D3BE664" w:rsidR="00FB1C5A" w:rsidRDefault="00FB1C5A" w:rsidP="00FB1C5A">
            <w:pPr>
              <w:rPr>
                <w:rFonts w:asciiTheme="minorHAnsi" w:hAnsiTheme="minorHAnsi" w:cstheme="minorHAnsi"/>
                <w:bCs/>
                <w:color w:val="000000"/>
                <w:sz w:val="22"/>
                <w:szCs w:val="22"/>
              </w:rPr>
            </w:pPr>
            <w:r>
              <w:rPr>
                <w:rFonts w:asciiTheme="minorHAnsi" w:hAnsiTheme="minorHAnsi" w:cstheme="minorHAnsi"/>
                <w:bCs/>
                <w:color w:val="000000"/>
                <w:sz w:val="22"/>
                <w:szCs w:val="22"/>
              </w:rPr>
              <w:t>SDC</w:t>
            </w:r>
          </w:p>
          <w:p w14:paraId="3E9FF97E" w14:textId="42138319" w:rsidR="00641BE5" w:rsidRPr="00B3184B" w:rsidRDefault="00641BE5" w:rsidP="00FD381E">
            <w:pPr>
              <w:tabs>
                <w:tab w:val="left" w:pos="2460"/>
              </w:tabs>
              <w:rPr>
                <w:rFonts w:asciiTheme="minorHAnsi" w:hAnsiTheme="minorHAnsi" w:cstheme="minorHAnsi"/>
                <w:sz w:val="22"/>
                <w:szCs w:val="22"/>
                <w:lang w:val="en-GB"/>
              </w:rPr>
            </w:pPr>
            <w:r w:rsidRPr="00B3184B">
              <w:rPr>
                <w:rFonts w:asciiTheme="minorHAnsi" w:hAnsiTheme="minorHAnsi" w:cstheme="minorHAnsi"/>
                <w:sz w:val="22"/>
                <w:szCs w:val="22"/>
                <w:lang w:val="en-GB"/>
              </w:rPr>
              <w:t>SDG</w:t>
            </w:r>
          </w:p>
        </w:tc>
        <w:tc>
          <w:tcPr>
            <w:tcW w:w="7020" w:type="dxa"/>
          </w:tcPr>
          <w:p w14:paraId="1DDCAD38" w14:textId="0EC5FB59" w:rsidR="00FB1C5A" w:rsidRDefault="00FB1C5A" w:rsidP="00FD381E">
            <w:pPr>
              <w:rPr>
                <w:rFonts w:asciiTheme="minorHAnsi" w:hAnsiTheme="minorHAnsi" w:cstheme="minorHAnsi"/>
                <w:sz w:val="22"/>
                <w:szCs w:val="22"/>
                <w:lang w:val="en-GB"/>
              </w:rPr>
            </w:pPr>
            <w:r>
              <w:rPr>
                <w:rFonts w:asciiTheme="minorHAnsi" w:hAnsiTheme="minorHAnsi" w:cstheme="minorHAnsi"/>
                <w:bCs/>
                <w:color w:val="000000"/>
                <w:sz w:val="22"/>
                <w:szCs w:val="22"/>
              </w:rPr>
              <w:t>Swiss Development and Cooperation</w:t>
            </w:r>
          </w:p>
          <w:p w14:paraId="1A33309D" w14:textId="6DDBA1D7" w:rsidR="00641BE5" w:rsidRPr="00B3184B" w:rsidRDefault="00641BE5" w:rsidP="00FD381E">
            <w:pPr>
              <w:rPr>
                <w:rFonts w:asciiTheme="minorHAnsi" w:hAnsiTheme="minorHAnsi" w:cstheme="minorHAnsi"/>
                <w:sz w:val="22"/>
                <w:szCs w:val="22"/>
                <w:lang w:val="en-GB"/>
              </w:rPr>
            </w:pPr>
            <w:r w:rsidRPr="00B3184B">
              <w:rPr>
                <w:rFonts w:asciiTheme="minorHAnsi" w:hAnsiTheme="minorHAnsi" w:cstheme="minorHAnsi"/>
                <w:sz w:val="22"/>
                <w:szCs w:val="22"/>
                <w:lang w:val="en-GB"/>
              </w:rPr>
              <w:t>Sustainable Development Goal</w:t>
            </w:r>
          </w:p>
        </w:tc>
      </w:tr>
      <w:tr w:rsidR="00641BE5" w:rsidRPr="001B337A" w14:paraId="36CE29E0" w14:textId="77777777" w:rsidTr="00FD381E">
        <w:tc>
          <w:tcPr>
            <w:tcW w:w="2340" w:type="dxa"/>
          </w:tcPr>
          <w:p w14:paraId="090CA126" w14:textId="77777777" w:rsidR="00641BE5" w:rsidRPr="00B3184B" w:rsidRDefault="00641BE5" w:rsidP="00FD381E">
            <w:pPr>
              <w:rPr>
                <w:rFonts w:asciiTheme="minorHAnsi" w:hAnsiTheme="minorHAnsi" w:cstheme="minorHAnsi"/>
                <w:sz w:val="22"/>
                <w:szCs w:val="22"/>
                <w:lang w:val="en-GB"/>
              </w:rPr>
            </w:pPr>
            <w:proofErr w:type="spellStart"/>
            <w:r w:rsidRPr="00B3184B">
              <w:rPr>
                <w:rFonts w:asciiTheme="minorHAnsi" w:hAnsiTheme="minorHAnsi" w:cstheme="minorHAnsi"/>
                <w:sz w:val="22"/>
                <w:szCs w:val="22"/>
                <w:lang w:val="en-GB"/>
              </w:rPr>
              <w:t>SoPs</w:t>
            </w:r>
            <w:proofErr w:type="spellEnd"/>
          </w:p>
        </w:tc>
        <w:tc>
          <w:tcPr>
            <w:tcW w:w="7020" w:type="dxa"/>
          </w:tcPr>
          <w:p w14:paraId="448ED6AB" w14:textId="77777777" w:rsidR="00641BE5" w:rsidRPr="00B3184B" w:rsidRDefault="00641BE5" w:rsidP="00FD381E">
            <w:pPr>
              <w:rPr>
                <w:rFonts w:asciiTheme="minorHAnsi" w:hAnsiTheme="minorHAnsi" w:cstheme="minorHAnsi"/>
                <w:sz w:val="22"/>
                <w:szCs w:val="22"/>
                <w:lang w:val="en-GB"/>
              </w:rPr>
            </w:pPr>
            <w:r w:rsidRPr="00B3184B">
              <w:rPr>
                <w:rFonts w:asciiTheme="minorHAnsi" w:hAnsiTheme="minorHAnsi" w:cstheme="minorHAnsi"/>
                <w:sz w:val="22"/>
                <w:szCs w:val="22"/>
                <w:lang w:val="en-GB"/>
              </w:rPr>
              <w:t>Standard operating procedures</w:t>
            </w:r>
          </w:p>
        </w:tc>
      </w:tr>
      <w:tr w:rsidR="00641BE5" w:rsidRPr="001B337A" w14:paraId="3FA39D49" w14:textId="77777777" w:rsidTr="00FD381E">
        <w:tc>
          <w:tcPr>
            <w:tcW w:w="2340" w:type="dxa"/>
          </w:tcPr>
          <w:p w14:paraId="1E29425B" w14:textId="77777777" w:rsidR="00641BE5" w:rsidRPr="00B3184B" w:rsidRDefault="00641BE5" w:rsidP="00FD381E">
            <w:pPr>
              <w:rPr>
                <w:rFonts w:asciiTheme="minorHAnsi" w:hAnsiTheme="minorHAnsi" w:cstheme="minorHAnsi"/>
                <w:sz w:val="22"/>
                <w:szCs w:val="22"/>
                <w:lang w:val="en-GB"/>
              </w:rPr>
            </w:pPr>
            <w:r w:rsidRPr="00B3184B">
              <w:rPr>
                <w:rFonts w:asciiTheme="minorHAnsi" w:hAnsiTheme="minorHAnsi" w:cstheme="minorHAnsi"/>
                <w:sz w:val="22"/>
                <w:szCs w:val="22"/>
                <w:lang w:val="en-GB"/>
              </w:rPr>
              <w:lastRenderedPageBreak/>
              <w:t>SW</w:t>
            </w:r>
          </w:p>
        </w:tc>
        <w:tc>
          <w:tcPr>
            <w:tcW w:w="7020" w:type="dxa"/>
          </w:tcPr>
          <w:p w14:paraId="2FE35794" w14:textId="77777777" w:rsidR="00641BE5" w:rsidRPr="00B3184B" w:rsidRDefault="00641BE5" w:rsidP="00FD381E">
            <w:pPr>
              <w:rPr>
                <w:rFonts w:asciiTheme="minorHAnsi" w:hAnsiTheme="minorHAnsi" w:cstheme="minorHAnsi"/>
                <w:sz w:val="22"/>
                <w:szCs w:val="22"/>
                <w:lang w:val="en-GB"/>
              </w:rPr>
            </w:pPr>
            <w:r w:rsidRPr="00B3184B">
              <w:rPr>
                <w:rFonts w:asciiTheme="minorHAnsi" w:hAnsiTheme="minorHAnsi" w:cstheme="minorHAnsi"/>
                <w:sz w:val="22"/>
                <w:szCs w:val="22"/>
                <w:lang w:val="en-GB"/>
              </w:rPr>
              <w:t>Sex Workers</w:t>
            </w:r>
          </w:p>
        </w:tc>
      </w:tr>
      <w:tr w:rsidR="00641BE5" w:rsidRPr="001B337A" w14:paraId="4AFF423C" w14:textId="77777777" w:rsidTr="00FD381E">
        <w:tc>
          <w:tcPr>
            <w:tcW w:w="2340" w:type="dxa"/>
          </w:tcPr>
          <w:p w14:paraId="02D5CF2B" w14:textId="77777777" w:rsidR="00641BE5" w:rsidRPr="00B3184B" w:rsidRDefault="00641BE5" w:rsidP="00FD381E">
            <w:pPr>
              <w:rPr>
                <w:rFonts w:asciiTheme="minorHAnsi" w:hAnsiTheme="minorHAnsi" w:cstheme="minorHAnsi"/>
                <w:sz w:val="22"/>
                <w:szCs w:val="22"/>
                <w:lang w:val="en-GB"/>
              </w:rPr>
            </w:pPr>
            <w:r w:rsidRPr="00B3184B">
              <w:rPr>
                <w:rFonts w:asciiTheme="minorHAnsi" w:hAnsiTheme="minorHAnsi" w:cstheme="minorHAnsi"/>
                <w:sz w:val="22"/>
                <w:szCs w:val="22"/>
                <w:lang w:val="en-GB"/>
              </w:rPr>
              <w:t>TB</w:t>
            </w:r>
          </w:p>
        </w:tc>
        <w:tc>
          <w:tcPr>
            <w:tcW w:w="7020" w:type="dxa"/>
          </w:tcPr>
          <w:p w14:paraId="5F794956" w14:textId="77777777" w:rsidR="00641BE5" w:rsidRPr="00B3184B" w:rsidRDefault="00641BE5" w:rsidP="00FD381E">
            <w:pPr>
              <w:rPr>
                <w:rFonts w:asciiTheme="minorHAnsi" w:hAnsiTheme="minorHAnsi" w:cstheme="minorHAnsi"/>
                <w:sz w:val="22"/>
                <w:szCs w:val="22"/>
                <w:lang w:val="en-GB"/>
              </w:rPr>
            </w:pPr>
            <w:r w:rsidRPr="00B3184B">
              <w:rPr>
                <w:rFonts w:asciiTheme="minorHAnsi" w:hAnsiTheme="minorHAnsi" w:cstheme="minorHAnsi"/>
                <w:sz w:val="22"/>
                <w:szCs w:val="22"/>
                <w:lang w:val="en-GB"/>
              </w:rPr>
              <w:t>Tuberculosis</w:t>
            </w:r>
          </w:p>
        </w:tc>
      </w:tr>
      <w:tr w:rsidR="00641BE5" w:rsidRPr="001B337A" w14:paraId="71228AD9" w14:textId="77777777" w:rsidTr="00FD381E">
        <w:tc>
          <w:tcPr>
            <w:tcW w:w="2340" w:type="dxa"/>
          </w:tcPr>
          <w:p w14:paraId="3D9CC80C" w14:textId="77777777" w:rsidR="00641BE5" w:rsidRPr="00B3184B" w:rsidRDefault="00641BE5" w:rsidP="00FD381E">
            <w:pPr>
              <w:rPr>
                <w:rFonts w:asciiTheme="minorHAnsi" w:hAnsiTheme="minorHAnsi" w:cstheme="minorHAnsi"/>
                <w:sz w:val="22"/>
                <w:szCs w:val="22"/>
                <w:lang w:val="en-GB"/>
              </w:rPr>
            </w:pPr>
            <w:r w:rsidRPr="00B3184B">
              <w:rPr>
                <w:rFonts w:asciiTheme="minorHAnsi" w:hAnsiTheme="minorHAnsi" w:cstheme="minorHAnsi"/>
                <w:sz w:val="22"/>
                <w:szCs w:val="22"/>
                <w:lang w:val="en-GB"/>
              </w:rPr>
              <w:t>TN</w:t>
            </w:r>
          </w:p>
        </w:tc>
        <w:tc>
          <w:tcPr>
            <w:tcW w:w="7020" w:type="dxa"/>
          </w:tcPr>
          <w:p w14:paraId="42B33C71" w14:textId="77777777" w:rsidR="00641BE5" w:rsidRPr="00B3184B" w:rsidRDefault="00641BE5" w:rsidP="00FD381E">
            <w:pPr>
              <w:rPr>
                <w:rFonts w:asciiTheme="minorHAnsi" w:hAnsiTheme="minorHAnsi" w:cstheme="minorHAnsi"/>
                <w:sz w:val="22"/>
                <w:szCs w:val="22"/>
                <w:lang w:val="en-GB"/>
              </w:rPr>
            </w:pPr>
            <w:r w:rsidRPr="00B3184B">
              <w:rPr>
                <w:rFonts w:asciiTheme="minorHAnsi" w:hAnsiTheme="minorHAnsi" w:cstheme="minorHAnsi"/>
                <w:sz w:val="22"/>
                <w:szCs w:val="22"/>
                <w:lang w:val="en-GB"/>
              </w:rPr>
              <w:t>Transnistrian region</w:t>
            </w:r>
          </w:p>
        </w:tc>
      </w:tr>
      <w:tr w:rsidR="00641BE5" w:rsidRPr="001B337A" w14:paraId="3E2648E2" w14:textId="77777777" w:rsidTr="00FD381E">
        <w:trPr>
          <w:trHeight w:val="80"/>
        </w:trPr>
        <w:tc>
          <w:tcPr>
            <w:tcW w:w="2340" w:type="dxa"/>
          </w:tcPr>
          <w:p w14:paraId="553591D4" w14:textId="77777777" w:rsidR="00641BE5" w:rsidRPr="00B3184B" w:rsidRDefault="00641BE5" w:rsidP="00FD381E">
            <w:pPr>
              <w:rPr>
                <w:rFonts w:asciiTheme="minorHAnsi" w:hAnsiTheme="minorHAnsi" w:cstheme="minorHAnsi"/>
                <w:sz w:val="22"/>
                <w:szCs w:val="22"/>
                <w:lang w:val="en-GB"/>
              </w:rPr>
            </w:pPr>
            <w:r w:rsidRPr="00B3184B">
              <w:rPr>
                <w:rFonts w:asciiTheme="minorHAnsi" w:hAnsiTheme="minorHAnsi" w:cstheme="minorHAnsi"/>
                <w:sz w:val="22"/>
                <w:szCs w:val="22"/>
                <w:lang w:val="en-GB"/>
              </w:rPr>
              <w:t>UN</w:t>
            </w:r>
          </w:p>
        </w:tc>
        <w:tc>
          <w:tcPr>
            <w:tcW w:w="7020" w:type="dxa"/>
          </w:tcPr>
          <w:p w14:paraId="03285A8B" w14:textId="77777777" w:rsidR="00641BE5" w:rsidRPr="00B3184B" w:rsidRDefault="00641BE5" w:rsidP="00FD381E">
            <w:pPr>
              <w:rPr>
                <w:rFonts w:asciiTheme="minorHAnsi" w:hAnsiTheme="minorHAnsi" w:cstheme="minorHAnsi"/>
                <w:sz w:val="22"/>
                <w:szCs w:val="22"/>
                <w:lang w:val="en-GB"/>
              </w:rPr>
            </w:pPr>
            <w:r w:rsidRPr="00B3184B">
              <w:rPr>
                <w:rFonts w:asciiTheme="minorHAnsi" w:hAnsiTheme="minorHAnsi" w:cstheme="minorHAnsi"/>
                <w:sz w:val="22"/>
                <w:szCs w:val="22"/>
                <w:lang w:val="en-GB"/>
              </w:rPr>
              <w:t xml:space="preserve">United Nations </w:t>
            </w:r>
          </w:p>
        </w:tc>
      </w:tr>
      <w:tr w:rsidR="00641BE5" w:rsidRPr="001B337A" w14:paraId="7236B61C" w14:textId="77777777" w:rsidTr="00FD381E">
        <w:tc>
          <w:tcPr>
            <w:tcW w:w="2340" w:type="dxa"/>
          </w:tcPr>
          <w:p w14:paraId="5DC6DD65" w14:textId="77777777" w:rsidR="00641BE5" w:rsidRPr="00B3184B" w:rsidRDefault="00641BE5" w:rsidP="00FD381E">
            <w:pPr>
              <w:rPr>
                <w:rFonts w:asciiTheme="minorHAnsi" w:hAnsiTheme="minorHAnsi" w:cstheme="minorHAnsi"/>
                <w:sz w:val="22"/>
                <w:szCs w:val="22"/>
                <w:lang w:val="en-GB"/>
              </w:rPr>
            </w:pPr>
            <w:r w:rsidRPr="00B3184B">
              <w:rPr>
                <w:rFonts w:asciiTheme="minorHAnsi" w:hAnsiTheme="minorHAnsi" w:cstheme="minorHAnsi"/>
                <w:sz w:val="22"/>
                <w:szCs w:val="22"/>
                <w:lang w:val="en-GB"/>
              </w:rPr>
              <w:t>UNAIDS</w:t>
            </w:r>
          </w:p>
        </w:tc>
        <w:tc>
          <w:tcPr>
            <w:tcW w:w="7020" w:type="dxa"/>
          </w:tcPr>
          <w:p w14:paraId="31284DA0" w14:textId="77777777" w:rsidR="00641BE5" w:rsidRPr="00B3184B" w:rsidRDefault="00641BE5" w:rsidP="00FD381E">
            <w:pPr>
              <w:rPr>
                <w:rFonts w:asciiTheme="minorHAnsi" w:hAnsiTheme="minorHAnsi" w:cstheme="minorHAnsi"/>
                <w:sz w:val="22"/>
                <w:szCs w:val="22"/>
                <w:lang w:val="en-GB"/>
              </w:rPr>
            </w:pPr>
            <w:r w:rsidRPr="00B3184B">
              <w:rPr>
                <w:rFonts w:asciiTheme="minorHAnsi" w:hAnsiTheme="minorHAnsi" w:cstheme="minorHAnsi"/>
                <w:sz w:val="22"/>
                <w:szCs w:val="22"/>
                <w:lang w:val="en-GB"/>
              </w:rPr>
              <w:t>United Nations Programme on HIV/AIDS</w:t>
            </w:r>
          </w:p>
        </w:tc>
      </w:tr>
      <w:tr w:rsidR="00641BE5" w:rsidRPr="001B337A" w14:paraId="770C8673" w14:textId="77777777" w:rsidTr="00FD381E">
        <w:tc>
          <w:tcPr>
            <w:tcW w:w="2340" w:type="dxa"/>
          </w:tcPr>
          <w:p w14:paraId="37F538D9" w14:textId="77777777" w:rsidR="00641BE5" w:rsidRPr="00B3184B" w:rsidRDefault="00641BE5" w:rsidP="00FD381E">
            <w:pPr>
              <w:rPr>
                <w:rFonts w:asciiTheme="minorHAnsi" w:hAnsiTheme="minorHAnsi" w:cstheme="minorHAnsi"/>
                <w:sz w:val="22"/>
                <w:szCs w:val="22"/>
                <w:lang w:val="en-GB"/>
              </w:rPr>
            </w:pPr>
            <w:r w:rsidRPr="00B3184B">
              <w:rPr>
                <w:rFonts w:asciiTheme="minorHAnsi" w:hAnsiTheme="minorHAnsi" w:cstheme="minorHAnsi"/>
                <w:sz w:val="22"/>
                <w:szCs w:val="22"/>
                <w:lang w:val="en-GB"/>
              </w:rPr>
              <w:t>UNCT</w:t>
            </w:r>
          </w:p>
        </w:tc>
        <w:tc>
          <w:tcPr>
            <w:tcW w:w="7020" w:type="dxa"/>
          </w:tcPr>
          <w:p w14:paraId="5592AD3B" w14:textId="77777777" w:rsidR="00641BE5" w:rsidRPr="00B3184B" w:rsidRDefault="00641BE5" w:rsidP="00FD381E">
            <w:pPr>
              <w:rPr>
                <w:rFonts w:asciiTheme="minorHAnsi" w:hAnsiTheme="minorHAnsi" w:cstheme="minorHAnsi"/>
                <w:sz w:val="22"/>
                <w:szCs w:val="22"/>
                <w:lang w:val="en-GB"/>
              </w:rPr>
            </w:pPr>
            <w:r w:rsidRPr="00B3184B">
              <w:rPr>
                <w:rFonts w:asciiTheme="minorHAnsi" w:hAnsiTheme="minorHAnsi" w:cstheme="minorHAnsi"/>
                <w:sz w:val="22"/>
                <w:szCs w:val="22"/>
                <w:lang w:val="en-GB"/>
              </w:rPr>
              <w:t>United Nations Country Team</w:t>
            </w:r>
          </w:p>
        </w:tc>
      </w:tr>
      <w:tr w:rsidR="00641BE5" w:rsidRPr="001B337A" w14:paraId="0CF38480" w14:textId="77777777" w:rsidTr="00FD381E">
        <w:trPr>
          <w:trHeight w:val="80"/>
        </w:trPr>
        <w:tc>
          <w:tcPr>
            <w:tcW w:w="2340" w:type="dxa"/>
          </w:tcPr>
          <w:p w14:paraId="368ED7B3" w14:textId="77777777" w:rsidR="00641BE5" w:rsidRPr="00B3184B" w:rsidRDefault="00641BE5" w:rsidP="00FD381E">
            <w:pPr>
              <w:rPr>
                <w:rFonts w:asciiTheme="minorHAnsi" w:hAnsiTheme="minorHAnsi" w:cstheme="minorHAnsi"/>
                <w:sz w:val="22"/>
                <w:szCs w:val="22"/>
                <w:lang w:val="en-GB"/>
              </w:rPr>
            </w:pPr>
            <w:r w:rsidRPr="00B3184B">
              <w:rPr>
                <w:rFonts w:asciiTheme="minorHAnsi" w:hAnsiTheme="minorHAnsi" w:cstheme="minorHAnsi"/>
                <w:sz w:val="22"/>
                <w:szCs w:val="22"/>
                <w:lang w:val="en-GB"/>
              </w:rPr>
              <w:t>UNDG</w:t>
            </w:r>
          </w:p>
        </w:tc>
        <w:tc>
          <w:tcPr>
            <w:tcW w:w="7020" w:type="dxa"/>
          </w:tcPr>
          <w:p w14:paraId="20F5B37D" w14:textId="77777777" w:rsidR="00641BE5" w:rsidRPr="00B3184B" w:rsidRDefault="00641BE5" w:rsidP="00FD381E">
            <w:pPr>
              <w:rPr>
                <w:rFonts w:asciiTheme="minorHAnsi" w:hAnsiTheme="minorHAnsi" w:cstheme="minorHAnsi"/>
                <w:sz w:val="22"/>
                <w:szCs w:val="22"/>
                <w:lang w:val="en-GB"/>
              </w:rPr>
            </w:pPr>
            <w:r w:rsidRPr="00B3184B">
              <w:rPr>
                <w:rFonts w:asciiTheme="minorHAnsi" w:hAnsiTheme="minorHAnsi" w:cstheme="minorHAnsi"/>
                <w:sz w:val="22"/>
                <w:szCs w:val="22"/>
                <w:lang w:val="en-GB"/>
              </w:rPr>
              <w:t>United Nations Development Group</w:t>
            </w:r>
          </w:p>
        </w:tc>
      </w:tr>
      <w:tr w:rsidR="00641BE5" w:rsidRPr="001B337A" w14:paraId="1C41F893" w14:textId="77777777" w:rsidTr="00FD381E">
        <w:tc>
          <w:tcPr>
            <w:tcW w:w="2340" w:type="dxa"/>
          </w:tcPr>
          <w:p w14:paraId="752EDDEA" w14:textId="77777777" w:rsidR="00641BE5" w:rsidRPr="00B3184B" w:rsidRDefault="00641BE5" w:rsidP="00FD381E">
            <w:pPr>
              <w:rPr>
                <w:rFonts w:asciiTheme="minorHAnsi" w:hAnsiTheme="minorHAnsi" w:cstheme="minorHAnsi"/>
                <w:sz w:val="22"/>
                <w:szCs w:val="22"/>
                <w:lang w:val="en-GB"/>
              </w:rPr>
            </w:pPr>
            <w:r w:rsidRPr="00B3184B">
              <w:rPr>
                <w:rFonts w:asciiTheme="minorHAnsi" w:hAnsiTheme="minorHAnsi" w:cstheme="minorHAnsi"/>
                <w:sz w:val="22"/>
                <w:szCs w:val="22"/>
                <w:lang w:val="en-GB"/>
              </w:rPr>
              <w:t>UNDP</w:t>
            </w:r>
          </w:p>
        </w:tc>
        <w:tc>
          <w:tcPr>
            <w:tcW w:w="7020" w:type="dxa"/>
          </w:tcPr>
          <w:p w14:paraId="22045BC9" w14:textId="77777777" w:rsidR="00641BE5" w:rsidRPr="00B3184B" w:rsidRDefault="00641BE5" w:rsidP="00FD381E">
            <w:pPr>
              <w:rPr>
                <w:rFonts w:asciiTheme="minorHAnsi" w:hAnsiTheme="minorHAnsi" w:cstheme="minorHAnsi"/>
                <w:sz w:val="22"/>
                <w:szCs w:val="22"/>
                <w:lang w:val="en-GB"/>
              </w:rPr>
            </w:pPr>
            <w:r w:rsidRPr="00B3184B">
              <w:rPr>
                <w:rFonts w:asciiTheme="minorHAnsi" w:hAnsiTheme="minorHAnsi" w:cstheme="minorHAnsi"/>
                <w:sz w:val="22"/>
                <w:szCs w:val="22"/>
                <w:lang w:val="en-GB"/>
              </w:rPr>
              <w:t>United Nations Development Programme</w:t>
            </w:r>
          </w:p>
        </w:tc>
      </w:tr>
      <w:tr w:rsidR="00641BE5" w:rsidRPr="001B337A" w14:paraId="231F5989" w14:textId="77777777" w:rsidTr="00FD381E">
        <w:tc>
          <w:tcPr>
            <w:tcW w:w="2340" w:type="dxa"/>
          </w:tcPr>
          <w:p w14:paraId="29E9EEFA" w14:textId="77777777" w:rsidR="00641BE5" w:rsidRPr="00B3184B" w:rsidRDefault="00641BE5" w:rsidP="00FD381E">
            <w:pPr>
              <w:rPr>
                <w:rFonts w:asciiTheme="minorHAnsi" w:hAnsiTheme="minorHAnsi" w:cstheme="minorHAnsi"/>
                <w:sz w:val="22"/>
                <w:szCs w:val="22"/>
                <w:lang w:val="en-GB"/>
              </w:rPr>
            </w:pPr>
            <w:r w:rsidRPr="00B3184B">
              <w:rPr>
                <w:rFonts w:asciiTheme="minorHAnsi" w:hAnsiTheme="minorHAnsi" w:cstheme="minorHAnsi"/>
                <w:sz w:val="22"/>
                <w:szCs w:val="22"/>
                <w:lang w:val="en-GB"/>
              </w:rPr>
              <w:t>UNICEF</w:t>
            </w:r>
          </w:p>
        </w:tc>
        <w:tc>
          <w:tcPr>
            <w:tcW w:w="7020" w:type="dxa"/>
          </w:tcPr>
          <w:p w14:paraId="0E81C2EB" w14:textId="77777777" w:rsidR="00641BE5" w:rsidRPr="00B3184B" w:rsidRDefault="00641BE5" w:rsidP="00FD381E">
            <w:pPr>
              <w:rPr>
                <w:rFonts w:asciiTheme="minorHAnsi" w:hAnsiTheme="minorHAnsi" w:cstheme="minorHAnsi"/>
                <w:sz w:val="22"/>
                <w:szCs w:val="22"/>
                <w:lang w:val="en-GB"/>
              </w:rPr>
            </w:pPr>
            <w:r w:rsidRPr="00B3184B">
              <w:rPr>
                <w:rFonts w:asciiTheme="minorHAnsi" w:hAnsiTheme="minorHAnsi" w:cstheme="minorHAnsi"/>
                <w:sz w:val="22"/>
                <w:szCs w:val="22"/>
                <w:lang w:val="en-GB"/>
              </w:rPr>
              <w:t>United Nations Fund for Children</w:t>
            </w:r>
          </w:p>
        </w:tc>
      </w:tr>
      <w:tr w:rsidR="00641BE5" w:rsidRPr="001B337A" w14:paraId="656B6D38" w14:textId="77777777" w:rsidTr="00FD381E">
        <w:tc>
          <w:tcPr>
            <w:tcW w:w="2340" w:type="dxa"/>
          </w:tcPr>
          <w:p w14:paraId="04BA9E09" w14:textId="77777777" w:rsidR="00641BE5" w:rsidRPr="00B3184B" w:rsidRDefault="00641BE5" w:rsidP="00FD381E">
            <w:pPr>
              <w:rPr>
                <w:rFonts w:asciiTheme="minorHAnsi" w:hAnsiTheme="minorHAnsi" w:cstheme="minorHAnsi"/>
                <w:sz w:val="22"/>
                <w:szCs w:val="22"/>
                <w:lang w:val="en-GB"/>
              </w:rPr>
            </w:pPr>
            <w:r w:rsidRPr="00B3184B">
              <w:rPr>
                <w:rFonts w:asciiTheme="minorHAnsi" w:hAnsiTheme="minorHAnsi" w:cstheme="minorHAnsi"/>
                <w:sz w:val="22"/>
                <w:szCs w:val="22"/>
                <w:lang w:val="en-GB"/>
              </w:rPr>
              <w:t>UNODC</w:t>
            </w:r>
          </w:p>
        </w:tc>
        <w:tc>
          <w:tcPr>
            <w:tcW w:w="7020" w:type="dxa"/>
          </w:tcPr>
          <w:p w14:paraId="064D7AC4" w14:textId="77777777" w:rsidR="00641BE5" w:rsidRPr="00B3184B" w:rsidRDefault="00641BE5" w:rsidP="00FD381E">
            <w:pPr>
              <w:rPr>
                <w:rFonts w:asciiTheme="minorHAnsi" w:hAnsiTheme="minorHAnsi" w:cstheme="minorHAnsi"/>
                <w:sz w:val="22"/>
                <w:szCs w:val="22"/>
                <w:lang w:val="en-GB"/>
              </w:rPr>
            </w:pPr>
            <w:r w:rsidRPr="00B3184B">
              <w:rPr>
                <w:rFonts w:asciiTheme="minorHAnsi" w:hAnsiTheme="minorHAnsi" w:cstheme="minorHAnsi"/>
                <w:sz w:val="22"/>
                <w:szCs w:val="22"/>
                <w:lang w:val="en-GB"/>
              </w:rPr>
              <w:t>United Nations Office on Drugs and Crime</w:t>
            </w:r>
          </w:p>
        </w:tc>
      </w:tr>
      <w:tr w:rsidR="00641BE5" w:rsidRPr="001B337A" w14:paraId="5353DA1D" w14:textId="77777777" w:rsidTr="00FD381E">
        <w:tc>
          <w:tcPr>
            <w:tcW w:w="2340" w:type="dxa"/>
          </w:tcPr>
          <w:p w14:paraId="6549EA23" w14:textId="77777777" w:rsidR="00641BE5" w:rsidRPr="00B3184B" w:rsidRDefault="00641BE5" w:rsidP="00FD381E">
            <w:pPr>
              <w:rPr>
                <w:rFonts w:asciiTheme="minorHAnsi" w:hAnsiTheme="minorHAnsi" w:cstheme="minorHAnsi"/>
                <w:sz w:val="22"/>
                <w:szCs w:val="22"/>
                <w:lang w:val="en-GB"/>
              </w:rPr>
            </w:pPr>
            <w:r w:rsidRPr="00B3184B">
              <w:rPr>
                <w:rFonts w:asciiTheme="minorHAnsi" w:hAnsiTheme="minorHAnsi" w:cstheme="minorHAnsi"/>
                <w:sz w:val="22"/>
                <w:szCs w:val="22"/>
                <w:lang w:val="en-GB"/>
              </w:rPr>
              <w:t>UNPF /UNDAF</w:t>
            </w:r>
          </w:p>
        </w:tc>
        <w:tc>
          <w:tcPr>
            <w:tcW w:w="7020" w:type="dxa"/>
          </w:tcPr>
          <w:p w14:paraId="5FA83706" w14:textId="77777777" w:rsidR="00641BE5" w:rsidRPr="00B3184B" w:rsidRDefault="00641BE5" w:rsidP="00FD381E">
            <w:pPr>
              <w:rPr>
                <w:rFonts w:asciiTheme="minorHAnsi" w:hAnsiTheme="minorHAnsi" w:cstheme="minorHAnsi"/>
                <w:sz w:val="22"/>
                <w:szCs w:val="22"/>
                <w:lang w:val="en-GB"/>
              </w:rPr>
            </w:pPr>
            <w:r w:rsidRPr="00B3184B">
              <w:rPr>
                <w:rFonts w:asciiTheme="minorHAnsi" w:hAnsiTheme="minorHAnsi" w:cstheme="minorHAnsi"/>
                <w:sz w:val="22"/>
                <w:szCs w:val="22"/>
                <w:lang w:val="en-GB"/>
              </w:rPr>
              <w:t>United Nations - Republic of Moldova Partnership Framework</w:t>
            </w:r>
          </w:p>
        </w:tc>
      </w:tr>
      <w:tr w:rsidR="00641BE5" w:rsidRPr="001B337A" w14:paraId="1AC0CED9" w14:textId="77777777" w:rsidTr="00FD381E">
        <w:trPr>
          <w:trHeight w:val="80"/>
        </w:trPr>
        <w:tc>
          <w:tcPr>
            <w:tcW w:w="2340" w:type="dxa"/>
          </w:tcPr>
          <w:p w14:paraId="52E36AD1" w14:textId="77777777" w:rsidR="00641BE5" w:rsidRPr="00B3184B" w:rsidRDefault="00641BE5" w:rsidP="00FD381E">
            <w:pPr>
              <w:rPr>
                <w:rFonts w:asciiTheme="minorHAnsi" w:hAnsiTheme="minorHAnsi" w:cstheme="minorHAnsi"/>
                <w:sz w:val="22"/>
                <w:szCs w:val="22"/>
                <w:lang w:val="en-GB"/>
              </w:rPr>
            </w:pPr>
            <w:r w:rsidRPr="00B3184B">
              <w:rPr>
                <w:rFonts w:asciiTheme="minorHAnsi" w:hAnsiTheme="minorHAnsi" w:cstheme="minorHAnsi"/>
                <w:sz w:val="22"/>
                <w:szCs w:val="22"/>
                <w:lang w:val="en-GB"/>
              </w:rPr>
              <w:t>UORN</w:t>
            </w:r>
          </w:p>
        </w:tc>
        <w:tc>
          <w:tcPr>
            <w:tcW w:w="7020" w:type="dxa"/>
          </w:tcPr>
          <w:p w14:paraId="7985BD6C" w14:textId="77777777" w:rsidR="00641BE5" w:rsidRPr="00B3184B" w:rsidRDefault="00641BE5" w:rsidP="00FD381E">
            <w:pPr>
              <w:rPr>
                <w:rFonts w:asciiTheme="minorHAnsi" w:hAnsiTheme="minorHAnsi" w:cstheme="minorHAnsi"/>
                <w:sz w:val="22"/>
                <w:szCs w:val="22"/>
                <w:lang w:val="en-GB"/>
              </w:rPr>
            </w:pPr>
            <w:r w:rsidRPr="00B3184B">
              <w:rPr>
                <w:rFonts w:asciiTheme="minorHAnsi" w:hAnsiTheme="minorHAnsi" w:cstheme="minorHAnsi"/>
                <w:sz w:val="22"/>
                <w:szCs w:val="22"/>
                <w:lang w:val="en-GB"/>
              </w:rPr>
              <w:t xml:space="preserve">Harm reduction and drug </w:t>
            </w:r>
            <w:proofErr w:type="gramStart"/>
            <w:r w:rsidRPr="00B3184B">
              <w:rPr>
                <w:rFonts w:asciiTheme="minorHAnsi" w:hAnsiTheme="minorHAnsi" w:cstheme="minorHAnsi"/>
                <w:sz w:val="22"/>
                <w:szCs w:val="22"/>
                <w:lang w:val="en-GB"/>
              </w:rPr>
              <w:t>users</w:t>
            </w:r>
            <w:proofErr w:type="gramEnd"/>
            <w:r w:rsidRPr="00B3184B">
              <w:rPr>
                <w:rFonts w:asciiTheme="minorHAnsi" w:hAnsiTheme="minorHAnsi" w:cstheme="minorHAnsi"/>
                <w:sz w:val="22"/>
                <w:szCs w:val="22"/>
                <w:lang w:val="en-GB"/>
              </w:rPr>
              <w:t xml:space="preserve"> rehabilitation in the North</w:t>
            </w:r>
          </w:p>
        </w:tc>
      </w:tr>
      <w:tr w:rsidR="00641BE5" w:rsidRPr="001B337A" w14:paraId="717745DF" w14:textId="77777777" w:rsidTr="00FD381E">
        <w:tc>
          <w:tcPr>
            <w:tcW w:w="2340" w:type="dxa"/>
          </w:tcPr>
          <w:p w14:paraId="71CC22FC" w14:textId="77777777" w:rsidR="00641BE5" w:rsidRPr="00B3184B" w:rsidRDefault="00641BE5" w:rsidP="00FD381E">
            <w:pPr>
              <w:rPr>
                <w:rFonts w:asciiTheme="minorHAnsi" w:hAnsiTheme="minorHAnsi" w:cstheme="minorHAnsi"/>
                <w:sz w:val="22"/>
                <w:szCs w:val="22"/>
                <w:lang w:val="en-GB"/>
              </w:rPr>
            </w:pPr>
            <w:r w:rsidRPr="00B3184B">
              <w:rPr>
                <w:rFonts w:asciiTheme="minorHAnsi" w:hAnsiTheme="minorHAnsi" w:cstheme="minorHAnsi"/>
                <w:sz w:val="22"/>
                <w:szCs w:val="22"/>
                <w:lang w:val="en-GB"/>
              </w:rPr>
              <w:t>WHO</w:t>
            </w:r>
          </w:p>
        </w:tc>
        <w:tc>
          <w:tcPr>
            <w:tcW w:w="7020" w:type="dxa"/>
          </w:tcPr>
          <w:p w14:paraId="3F671AAD" w14:textId="77777777" w:rsidR="00641BE5" w:rsidRPr="00B3184B" w:rsidRDefault="00641BE5" w:rsidP="00FD381E">
            <w:pPr>
              <w:rPr>
                <w:rFonts w:asciiTheme="minorHAnsi" w:hAnsiTheme="minorHAnsi" w:cstheme="minorHAnsi"/>
                <w:sz w:val="22"/>
                <w:szCs w:val="22"/>
                <w:lang w:val="en-GB"/>
              </w:rPr>
            </w:pPr>
            <w:r w:rsidRPr="00B3184B">
              <w:rPr>
                <w:rFonts w:asciiTheme="minorHAnsi" w:hAnsiTheme="minorHAnsi" w:cstheme="minorHAnsi"/>
                <w:sz w:val="22"/>
                <w:szCs w:val="22"/>
                <w:lang w:val="en-GB"/>
              </w:rPr>
              <w:t>World Health Organization</w:t>
            </w:r>
          </w:p>
        </w:tc>
      </w:tr>
      <w:tr w:rsidR="00641BE5" w:rsidRPr="001B337A" w14:paraId="6F57BA77" w14:textId="77777777" w:rsidTr="00FD381E">
        <w:trPr>
          <w:trHeight w:val="80"/>
        </w:trPr>
        <w:tc>
          <w:tcPr>
            <w:tcW w:w="2340" w:type="dxa"/>
          </w:tcPr>
          <w:p w14:paraId="07C072DA" w14:textId="77777777" w:rsidR="00641BE5" w:rsidRPr="00B3184B" w:rsidRDefault="00641BE5" w:rsidP="00FD381E">
            <w:pPr>
              <w:rPr>
                <w:rFonts w:asciiTheme="minorHAnsi" w:hAnsiTheme="minorHAnsi" w:cstheme="minorHAnsi"/>
                <w:sz w:val="22"/>
                <w:szCs w:val="22"/>
                <w:lang w:val="en-GB"/>
              </w:rPr>
            </w:pPr>
            <w:r w:rsidRPr="00B3184B">
              <w:rPr>
                <w:rFonts w:asciiTheme="minorHAnsi" w:hAnsiTheme="minorHAnsi" w:cstheme="minorHAnsi"/>
                <w:sz w:val="22"/>
                <w:szCs w:val="22"/>
                <w:lang w:val="en-GB"/>
              </w:rPr>
              <w:t>WUD</w:t>
            </w:r>
          </w:p>
        </w:tc>
        <w:tc>
          <w:tcPr>
            <w:tcW w:w="7020" w:type="dxa"/>
          </w:tcPr>
          <w:p w14:paraId="7D02CBF7" w14:textId="77777777" w:rsidR="00641BE5" w:rsidRPr="00B3184B" w:rsidRDefault="00641BE5" w:rsidP="00FD381E">
            <w:pPr>
              <w:rPr>
                <w:rFonts w:asciiTheme="minorHAnsi" w:hAnsiTheme="minorHAnsi" w:cstheme="minorHAnsi"/>
                <w:sz w:val="22"/>
                <w:szCs w:val="22"/>
                <w:lang w:val="en-GB"/>
              </w:rPr>
            </w:pPr>
            <w:r w:rsidRPr="00B3184B">
              <w:rPr>
                <w:rFonts w:asciiTheme="minorHAnsi" w:hAnsiTheme="minorHAnsi" w:cstheme="minorHAnsi"/>
                <w:sz w:val="22"/>
                <w:szCs w:val="22"/>
                <w:lang w:val="en-GB"/>
              </w:rPr>
              <w:t>Women who use drugs</w:t>
            </w:r>
          </w:p>
        </w:tc>
      </w:tr>
    </w:tbl>
    <w:p w14:paraId="1EEF3E1A" w14:textId="7D4E7F17" w:rsidR="009362FC" w:rsidRDefault="009362FC" w:rsidP="00ED6293">
      <w:pPr>
        <w:pStyle w:val="Heading1"/>
        <w:ind w:left="0"/>
        <w:rPr>
          <w:rFonts w:asciiTheme="minorHAnsi" w:hAnsiTheme="minorHAnsi" w:cstheme="minorHAnsi"/>
          <w:spacing w:val="-1"/>
          <w:sz w:val="32"/>
          <w:szCs w:val="32"/>
        </w:rPr>
      </w:pPr>
    </w:p>
    <w:p w14:paraId="13EF0F34" w14:textId="77777777" w:rsidR="009362FC" w:rsidRDefault="009362FC" w:rsidP="00371773">
      <w:pPr>
        <w:jc w:val="both"/>
        <w:rPr>
          <w:rFonts w:asciiTheme="minorHAnsi" w:hAnsiTheme="minorHAnsi" w:cstheme="minorHAnsi"/>
          <w:b/>
          <w:bCs/>
          <w:spacing w:val="-1"/>
          <w:sz w:val="32"/>
          <w:szCs w:val="32"/>
          <w:lang w:val="x-none" w:eastAsia="x-none"/>
        </w:rPr>
      </w:pPr>
      <w:r>
        <w:rPr>
          <w:rFonts w:asciiTheme="minorHAnsi" w:hAnsiTheme="minorHAnsi" w:cstheme="minorHAnsi"/>
          <w:spacing w:val="-1"/>
          <w:sz w:val="32"/>
          <w:szCs w:val="32"/>
        </w:rPr>
        <w:br w:type="page"/>
      </w:r>
    </w:p>
    <w:p w14:paraId="58263726" w14:textId="6B89144C" w:rsidR="009423FE" w:rsidRPr="00DF55AC" w:rsidRDefault="009423FE" w:rsidP="00371773">
      <w:pPr>
        <w:pStyle w:val="Heading1"/>
        <w:ind w:left="0"/>
        <w:rPr>
          <w:rFonts w:asciiTheme="minorHAnsi" w:hAnsiTheme="minorHAnsi" w:cstheme="minorHAnsi"/>
          <w:b w:val="0"/>
          <w:bCs w:val="0"/>
          <w:sz w:val="32"/>
          <w:szCs w:val="32"/>
        </w:rPr>
      </w:pPr>
      <w:bookmarkStart w:id="3" w:name="_Toc41055982"/>
      <w:r w:rsidRPr="00DF55AC">
        <w:rPr>
          <w:rFonts w:asciiTheme="minorHAnsi" w:hAnsiTheme="minorHAnsi" w:cstheme="minorHAnsi"/>
          <w:spacing w:val="-1"/>
          <w:sz w:val="32"/>
          <w:szCs w:val="32"/>
        </w:rPr>
        <w:lastRenderedPageBreak/>
        <w:t>Introduction</w:t>
      </w:r>
      <w:bookmarkEnd w:id="3"/>
    </w:p>
    <w:p w14:paraId="4D1E96FA" w14:textId="77777777" w:rsidR="009423FE" w:rsidRPr="00DB5708" w:rsidRDefault="009423FE" w:rsidP="00371773">
      <w:pPr>
        <w:spacing w:before="12"/>
        <w:jc w:val="both"/>
        <w:rPr>
          <w:rFonts w:asciiTheme="minorHAnsi" w:eastAsia="Calibri" w:hAnsiTheme="minorHAnsi" w:cstheme="minorHAnsi"/>
          <w:b/>
          <w:bCs/>
          <w:sz w:val="22"/>
          <w:szCs w:val="22"/>
        </w:rPr>
      </w:pPr>
    </w:p>
    <w:p w14:paraId="2C432D07" w14:textId="77777777" w:rsidR="00E66C6F" w:rsidRPr="00E66C6F" w:rsidRDefault="00E66C6F" w:rsidP="00371773">
      <w:pPr>
        <w:pStyle w:val="BodyText"/>
        <w:spacing w:line="276" w:lineRule="auto"/>
        <w:ind w:right="102"/>
        <w:jc w:val="both"/>
        <w:rPr>
          <w:rFonts w:asciiTheme="minorHAnsi" w:eastAsia="Calibri" w:hAnsiTheme="minorHAnsi" w:cstheme="minorHAnsi"/>
          <w:spacing w:val="-1"/>
          <w:sz w:val="22"/>
          <w:szCs w:val="22"/>
        </w:rPr>
      </w:pPr>
      <w:r w:rsidRPr="00E66C6F">
        <w:rPr>
          <w:rFonts w:asciiTheme="minorHAnsi" w:eastAsia="Calibri" w:hAnsiTheme="minorHAnsi" w:cstheme="minorHAnsi"/>
          <w:spacing w:val="-1"/>
          <w:sz w:val="22"/>
          <w:szCs w:val="22"/>
        </w:rPr>
        <w:t>This Annual Consolidated Progress Report on Programmes Implemented under the Moldova 2030 SDGs Partnership Fund (henceforth ‘the Fund’) covers the period from 1 January to 31 December 2019 and reports on the implementation of programmes approved for funding under the Fund. As per the provisions in the Memorandum of Understanding between the Fund and Participating United Nations Organizations (PUNOs), and the Terms of Reference of the Fund, the Annual Consolidated Progress Report is compiled based on information and data submitted in PUNOs’ individual Annual Narrative Programme Reports. As of March 2020, 11 PUNOs are parties to the Fund: FAO, ILO, IOM, UNAIDS, UNDP, UNFPA, UNICEF, UNODC, OHCHR, UN Women, and WHO.</w:t>
      </w:r>
    </w:p>
    <w:p w14:paraId="282339B0" w14:textId="77777777" w:rsidR="00E66C6F" w:rsidRPr="00E66C6F" w:rsidRDefault="00E66C6F" w:rsidP="00371773">
      <w:pPr>
        <w:pStyle w:val="BodyText"/>
        <w:spacing w:line="276" w:lineRule="auto"/>
        <w:ind w:right="102"/>
        <w:jc w:val="both"/>
        <w:rPr>
          <w:rFonts w:asciiTheme="minorHAnsi" w:eastAsia="Calibri" w:hAnsiTheme="minorHAnsi" w:cstheme="minorHAnsi"/>
          <w:spacing w:val="-1"/>
          <w:sz w:val="22"/>
          <w:szCs w:val="22"/>
        </w:rPr>
      </w:pPr>
    </w:p>
    <w:p w14:paraId="013F5A4B" w14:textId="70D93F83" w:rsidR="008847CB" w:rsidRPr="008847CB" w:rsidRDefault="00E66C6F" w:rsidP="008847CB">
      <w:pPr>
        <w:pStyle w:val="BodyText"/>
        <w:spacing w:line="276" w:lineRule="auto"/>
        <w:ind w:right="102"/>
        <w:jc w:val="both"/>
        <w:rPr>
          <w:rFonts w:asciiTheme="minorHAnsi" w:eastAsia="Calibri" w:hAnsiTheme="minorHAnsi" w:cstheme="minorHAnsi"/>
          <w:spacing w:val="-1"/>
          <w:sz w:val="22"/>
          <w:szCs w:val="22"/>
        </w:rPr>
      </w:pPr>
      <w:r w:rsidRPr="00E66C6F">
        <w:rPr>
          <w:rFonts w:asciiTheme="minorHAnsi" w:eastAsia="Calibri" w:hAnsiTheme="minorHAnsi" w:cstheme="minorHAnsi"/>
          <w:spacing w:val="-1"/>
          <w:sz w:val="22"/>
          <w:szCs w:val="22"/>
        </w:rPr>
        <w:t xml:space="preserve">The “Moldova 2030 SDGs Partnership Fund” has been established for a period of five years covering the 2018-2022 </w:t>
      </w:r>
      <w:r w:rsidR="009F4D35">
        <w:rPr>
          <w:rFonts w:asciiTheme="minorHAnsi" w:eastAsia="Calibri" w:hAnsiTheme="minorHAnsi" w:cstheme="minorHAnsi"/>
          <w:spacing w:val="-1"/>
          <w:sz w:val="22"/>
          <w:szCs w:val="22"/>
        </w:rPr>
        <w:t xml:space="preserve">of the current </w:t>
      </w:r>
      <w:r w:rsidRPr="00E66C6F">
        <w:rPr>
          <w:rFonts w:asciiTheme="minorHAnsi" w:eastAsia="Calibri" w:hAnsiTheme="minorHAnsi" w:cstheme="minorHAnsi"/>
          <w:spacing w:val="-1"/>
          <w:sz w:val="22"/>
          <w:szCs w:val="22"/>
        </w:rPr>
        <w:t>UN</w:t>
      </w:r>
      <w:r w:rsidR="00853B23">
        <w:rPr>
          <w:rFonts w:asciiTheme="minorHAnsi" w:eastAsia="Calibri" w:hAnsiTheme="minorHAnsi" w:cstheme="minorHAnsi"/>
          <w:spacing w:val="-1"/>
          <w:sz w:val="22"/>
          <w:szCs w:val="22"/>
        </w:rPr>
        <w:t>SD</w:t>
      </w:r>
      <w:r w:rsidRPr="00E66C6F">
        <w:rPr>
          <w:rFonts w:asciiTheme="minorHAnsi" w:eastAsia="Calibri" w:hAnsiTheme="minorHAnsi" w:cstheme="minorHAnsi"/>
          <w:spacing w:val="-1"/>
          <w:sz w:val="22"/>
          <w:szCs w:val="22"/>
        </w:rPr>
        <w:t>PF and is the successor of the “Toward Unity in Action MDTF”</w:t>
      </w:r>
      <w:r w:rsidR="00853B23">
        <w:rPr>
          <w:rFonts w:asciiTheme="minorHAnsi" w:eastAsia="Calibri" w:hAnsiTheme="minorHAnsi" w:cstheme="minorHAnsi"/>
          <w:spacing w:val="-1"/>
          <w:sz w:val="22"/>
          <w:szCs w:val="22"/>
        </w:rPr>
        <w:t xml:space="preserve"> Trust Fund</w:t>
      </w:r>
      <w:r w:rsidRPr="00E66C6F">
        <w:rPr>
          <w:rFonts w:asciiTheme="minorHAnsi" w:eastAsia="Calibri" w:hAnsiTheme="minorHAnsi" w:cstheme="minorHAnsi"/>
          <w:spacing w:val="-1"/>
          <w:sz w:val="22"/>
          <w:szCs w:val="22"/>
        </w:rPr>
        <w:t>.</w:t>
      </w:r>
      <w:r w:rsidR="000672C9">
        <w:rPr>
          <w:rFonts w:asciiTheme="minorHAnsi" w:eastAsia="Calibri" w:hAnsiTheme="minorHAnsi" w:cstheme="minorHAnsi"/>
          <w:spacing w:val="-1"/>
          <w:sz w:val="22"/>
          <w:szCs w:val="22"/>
        </w:rPr>
        <w:t xml:space="preserve"> </w:t>
      </w:r>
      <w:r w:rsidR="008847CB" w:rsidRPr="008847CB">
        <w:rPr>
          <w:rFonts w:asciiTheme="minorHAnsi" w:eastAsia="Calibri" w:hAnsiTheme="minorHAnsi" w:cstheme="minorHAnsi"/>
          <w:spacing w:val="-1"/>
          <w:sz w:val="22"/>
          <w:szCs w:val="22"/>
        </w:rPr>
        <w:t xml:space="preserve">The </w:t>
      </w:r>
      <w:r w:rsidR="00130E9C">
        <w:rPr>
          <w:rFonts w:asciiTheme="minorHAnsi" w:eastAsia="Calibri" w:hAnsiTheme="minorHAnsi" w:cstheme="minorHAnsi"/>
          <w:spacing w:val="-1"/>
          <w:sz w:val="22"/>
          <w:szCs w:val="22"/>
        </w:rPr>
        <w:t>Fund</w:t>
      </w:r>
      <w:r w:rsidR="008847CB" w:rsidRPr="008847CB">
        <w:rPr>
          <w:rFonts w:asciiTheme="minorHAnsi" w:eastAsia="Calibri" w:hAnsiTheme="minorHAnsi" w:cstheme="minorHAnsi"/>
          <w:spacing w:val="-1"/>
          <w:sz w:val="22"/>
          <w:szCs w:val="22"/>
        </w:rPr>
        <w:t xml:space="preserve"> will focus on the five priority areas of the United Nations Partnership Framework for Sustainable Development 2018-2022 that focuses on (</w:t>
      </w:r>
      <w:proofErr w:type="spellStart"/>
      <w:r w:rsidR="008847CB" w:rsidRPr="008847CB">
        <w:rPr>
          <w:rFonts w:asciiTheme="minorHAnsi" w:eastAsia="Calibri" w:hAnsiTheme="minorHAnsi" w:cstheme="minorHAnsi"/>
          <w:spacing w:val="-1"/>
          <w:sz w:val="22"/>
          <w:szCs w:val="22"/>
        </w:rPr>
        <w:t>i</w:t>
      </w:r>
      <w:proofErr w:type="spellEnd"/>
      <w:r w:rsidR="008847CB" w:rsidRPr="008847CB">
        <w:rPr>
          <w:rFonts w:asciiTheme="minorHAnsi" w:eastAsia="Calibri" w:hAnsiTheme="minorHAnsi" w:cstheme="minorHAnsi"/>
          <w:spacing w:val="-1"/>
          <w:sz w:val="22"/>
          <w:szCs w:val="22"/>
        </w:rPr>
        <w:t>) Democracy, good governance, human rights and gender equality; (ii) Sustainable, inclusive and equitable economic growth; (iii) Environmental sustainability and resilience; (iv) Inclusive and equitable social development; and (v) COVID-19 Management and Response.</w:t>
      </w:r>
    </w:p>
    <w:p w14:paraId="7677B201" w14:textId="77777777" w:rsidR="008847CB" w:rsidRPr="008847CB" w:rsidRDefault="008847CB" w:rsidP="008847CB">
      <w:pPr>
        <w:pStyle w:val="BodyText"/>
        <w:spacing w:line="276" w:lineRule="auto"/>
        <w:ind w:right="102"/>
        <w:jc w:val="both"/>
        <w:rPr>
          <w:rFonts w:asciiTheme="minorHAnsi" w:eastAsia="Calibri" w:hAnsiTheme="minorHAnsi" w:cstheme="minorHAnsi"/>
          <w:spacing w:val="-1"/>
          <w:sz w:val="22"/>
          <w:szCs w:val="22"/>
        </w:rPr>
      </w:pPr>
    </w:p>
    <w:p w14:paraId="25074ACC" w14:textId="1D5B49D3" w:rsidR="000672C9" w:rsidRPr="006774B1" w:rsidRDefault="000672C9" w:rsidP="00371773">
      <w:pPr>
        <w:pStyle w:val="BodyText"/>
        <w:spacing w:line="276" w:lineRule="auto"/>
        <w:ind w:right="102"/>
        <w:jc w:val="both"/>
        <w:rPr>
          <w:rFonts w:asciiTheme="minorHAnsi" w:eastAsia="Calibri" w:hAnsiTheme="minorHAnsi" w:cstheme="minorHAnsi"/>
          <w:spacing w:val="-1"/>
          <w:sz w:val="22"/>
          <w:szCs w:val="22"/>
        </w:rPr>
      </w:pPr>
      <w:r>
        <w:rPr>
          <w:rFonts w:asciiTheme="minorHAnsi" w:eastAsia="Calibri" w:hAnsiTheme="minorHAnsi" w:cstheme="minorHAnsi"/>
          <w:spacing w:val="-1"/>
          <w:sz w:val="22"/>
          <w:szCs w:val="22"/>
        </w:rPr>
        <w:t>Only one</w:t>
      </w:r>
      <w:r w:rsidRPr="006774B1">
        <w:rPr>
          <w:rFonts w:asciiTheme="minorHAnsi" w:eastAsia="Calibri" w:hAnsiTheme="minorHAnsi" w:cstheme="minorHAnsi"/>
          <w:spacing w:val="-1"/>
          <w:sz w:val="22"/>
          <w:szCs w:val="22"/>
        </w:rPr>
        <w:t xml:space="preserve"> joint programme</w:t>
      </w:r>
      <w:r>
        <w:rPr>
          <w:rFonts w:asciiTheme="minorHAnsi" w:eastAsia="Calibri" w:hAnsiTheme="minorHAnsi" w:cstheme="minorHAnsi"/>
          <w:spacing w:val="-1"/>
          <w:sz w:val="22"/>
          <w:szCs w:val="22"/>
        </w:rPr>
        <w:t xml:space="preserve"> started implementation in 2019 under the Fund</w:t>
      </w:r>
      <w:r w:rsidR="00D75C36">
        <w:rPr>
          <w:rFonts w:asciiTheme="minorHAnsi" w:eastAsia="Calibri" w:hAnsiTheme="minorHAnsi" w:cstheme="minorHAnsi"/>
          <w:spacing w:val="-1"/>
          <w:sz w:val="22"/>
          <w:szCs w:val="22"/>
        </w:rPr>
        <w:t>, financed by Swedish Development Cooperation</w:t>
      </w:r>
      <w:r>
        <w:rPr>
          <w:rFonts w:asciiTheme="minorHAnsi" w:eastAsia="Calibri" w:hAnsiTheme="minorHAnsi" w:cstheme="minorHAnsi"/>
          <w:spacing w:val="-1"/>
          <w:sz w:val="22"/>
          <w:szCs w:val="22"/>
        </w:rPr>
        <w:t xml:space="preserve">. It is planned that </w:t>
      </w:r>
      <w:proofErr w:type="gramStart"/>
      <w:r>
        <w:rPr>
          <w:rFonts w:asciiTheme="minorHAnsi" w:eastAsia="Calibri" w:hAnsiTheme="minorHAnsi" w:cstheme="minorHAnsi"/>
          <w:spacing w:val="-1"/>
          <w:sz w:val="22"/>
          <w:szCs w:val="22"/>
        </w:rPr>
        <w:t>in the near future</w:t>
      </w:r>
      <w:proofErr w:type="gramEnd"/>
      <w:r>
        <w:rPr>
          <w:rFonts w:asciiTheme="minorHAnsi" w:eastAsia="Calibri" w:hAnsiTheme="minorHAnsi" w:cstheme="minorHAnsi"/>
          <w:spacing w:val="-1"/>
          <w:sz w:val="22"/>
          <w:szCs w:val="22"/>
        </w:rPr>
        <w:t xml:space="preserve"> other contributions will be channeled and more joint programmes </w:t>
      </w:r>
      <w:r w:rsidR="00262580">
        <w:rPr>
          <w:rFonts w:asciiTheme="minorHAnsi" w:eastAsia="Calibri" w:hAnsiTheme="minorHAnsi" w:cstheme="minorHAnsi"/>
          <w:spacing w:val="-1"/>
          <w:sz w:val="22"/>
          <w:szCs w:val="22"/>
        </w:rPr>
        <w:t>will be funded through the Fund</w:t>
      </w:r>
      <w:r>
        <w:rPr>
          <w:rFonts w:asciiTheme="minorHAnsi" w:eastAsia="Calibri" w:hAnsiTheme="minorHAnsi" w:cstheme="minorHAnsi"/>
          <w:spacing w:val="-1"/>
          <w:sz w:val="22"/>
          <w:szCs w:val="22"/>
        </w:rPr>
        <w:t>.</w:t>
      </w:r>
    </w:p>
    <w:p w14:paraId="35C6C174" w14:textId="77777777" w:rsidR="00E66C6F" w:rsidRPr="00E66C6F" w:rsidRDefault="00E66C6F" w:rsidP="00371773">
      <w:pPr>
        <w:pStyle w:val="BodyText"/>
        <w:spacing w:line="276" w:lineRule="auto"/>
        <w:ind w:right="102"/>
        <w:jc w:val="both"/>
        <w:rPr>
          <w:rFonts w:asciiTheme="minorHAnsi" w:eastAsia="Calibri" w:hAnsiTheme="minorHAnsi" w:cstheme="minorHAnsi"/>
          <w:spacing w:val="-1"/>
          <w:sz w:val="22"/>
          <w:szCs w:val="22"/>
        </w:rPr>
      </w:pPr>
    </w:p>
    <w:p w14:paraId="32BC4FA3" w14:textId="2E0A1ACA" w:rsidR="00F66FA7" w:rsidRDefault="009423FE" w:rsidP="00371773">
      <w:pPr>
        <w:pStyle w:val="BodyText"/>
        <w:spacing w:line="276" w:lineRule="auto"/>
        <w:ind w:right="102"/>
        <w:jc w:val="both"/>
        <w:rPr>
          <w:rFonts w:asciiTheme="minorHAnsi" w:eastAsia="Calibri" w:hAnsiTheme="minorHAnsi" w:cstheme="minorHAnsi"/>
          <w:spacing w:val="-1"/>
          <w:sz w:val="22"/>
          <w:szCs w:val="22"/>
        </w:rPr>
      </w:pPr>
      <w:r w:rsidRPr="00DB5708">
        <w:rPr>
          <w:rFonts w:asciiTheme="minorHAnsi" w:eastAsia="Calibri" w:hAnsiTheme="minorHAnsi" w:cstheme="minorHAnsi"/>
          <w:spacing w:val="-1"/>
          <w:sz w:val="22"/>
          <w:szCs w:val="22"/>
        </w:rPr>
        <w:t xml:space="preserve">In 2019 the development context in Moldova was volatile and unpredictable. Three Governments changed and with these, </w:t>
      </w:r>
      <w:r w:rsidR="00E042B4">
        <w:rPr>
          <w:rFonts w:asciiTheme="minorHAnsi" w:eastAsia="Calibri" w:hAnsiTheme="minorHAnsi" w:cstheme="minorHAnsi"/>
          <w:spacing w:val="-1"/>
          <w:sz w:val="22"/>
          <w:szCs w:val="22"/>
        </w:rPr>
        <w:t xml:space="preserve">the </w:t>
      </w:r>
      <w:r w:rsidRPr="00DB5708">
        <w:rPr>
          <w:rFonts w:asciiTheme="minorHAnsi" w:eastAsia="Calibri" w:hAnsiTheme="minorHAnsi" w:cstheme="minorHAnsi"/>
          <w:spacing w:val="-1"/>
          <w:sz w:val="22"/>
          <w:szCs w:val="22"/>
        </w:rPr>
        <w:t xml:space="preserve">reforms and the country development vision have been </w:t>
      </w:r>
      <w:r w:rsidR="0051726B">
        <w:rPr>
          <w:rFonts w:asciiTheme="minorHAnsi" w:eastAsia="Calibri" w:hAnsiTheme="minorHAnsi" w:cstheme="minorHAnsi"/>
          <w:spacing w:val="-1"/>
          <w:sz w:val="22"/>
          <w:szCs w:val="22"/>
        </w:rPr>
        <w:t xml:space="preserve">changed and/or </w:t>
      </w:r>
      <w:r w:rsidRPr="00DB5708">
        <w:rPr>
          <w:rFonts w:asciiTheme="minorHAnsi" w:eastAsia="Calibri" w:hAnsiTheme="minorHAnsi" w:cstheme="minorHAnsi"/>
          <w:spacing w:val="-1"/>
          <w:sz w:val="22"/>
          <w:szCs w:val="22"/>
        </w:rPr>
        <w:t xml:space="preserve">discontinued </w:t>
      </w:r>
      <w:r w:rsidR="0051726B">
        <w:rPr>
          <w:rFonts w:asciiTheme="minorHAnsi" w:eastAsia="Calibri" w:hAnsiTheme="minorHAnsi" w:cstheme="minorHAnsi"/>
          <w:spacing w:val="-1"/>
          <w:sz w:val="22"/>
          <w:szCs w:val="22"/>
        </w:rPr>
        <w:t>in many aspects</w:t>
      </w:r>
      <w:r w:rsidRPr="00DB5708">
        <w:rPr>
          <w:rFonts w:asciiTheme="minorHAnsi" w:eastAsia="Calibri" w:hAnsiTheme="minorHAnsi" w:cstheme="minorHAnsi"/>
          <w:spacing w:val="-1"/>
          <w:sz w:val="22"/>
          <w:szCs w:val="22"/>
        </w:rPr>
        <w:t xml:space="preserve">. </w:t>
      </w:r>
      <w:r w:rsidR="00F66FA7" w:rsidRPr="00F66FA7">
        <w:rPr>
          <w:rFonts w:asciiTheme="minorHAnsi" w:eastAsia="Calibri" w:hAnsiTheme="minorHAnsi" w:cstheme="minorHAnsi"/>
          <w:spacing w:val="-1"/>
          <w:sz w:val="22"/>
          <w:szCs w:val="22"/>
        </w:rPr>
        <w:t xml:space="preserve">While integration with Europe anchored the Government’s policy reform agenda, implementation of reforms continued to be slow due to challenges such as a weak economy, polarized society and volatile political environment. Business confidence continued to be low, and the macroeconomic framework remained vulnerable, operating with substantial external budget support and high levels of conditionality. Moldova’s large-scale out-migration, combined with decreasing fertility rates, has led to an alarming decline in population size. This in turn has increased the proportion of elderly and placed pressure on the pension system, as well as limiting the country’s long-term competitiveness. </w:t>
      </w:r>
    </w:p>
    <w:p w14:paraId="09928A87" w14:textId="77777777" w:rsidR="00A65E9A" w:rsidRDefault="00A65E9A" w:rsidP="00371773">
      <w:pPr>
        <w:pStyle w:val="BodyText"/>
        <w:spacing w:line="276" w:lineRule="auto"/>
        <w:ind w:right="102"/>
        <w:jc w:val="both"/>
        <w:rPr>
          <w:rFonts w:asciiTheme="minorHAnsi" w:eastAsia="Calibri" w:hAnsiTheme="minorHAnsi" w:cstheme="minorHAnsi"/>
          <w:spacing w:val="-1"/>
          <w:sz w:val="22"/>
          <w:szCs w:val="22"/>
        </w:rPr>
      </w:pPr>
    </w:p>
    <w:p w14:paraId="73DD712A" w14:textId="522BD780" w:rsidR="009423FE" w:rsidRPr="00DB5708" w:rsidRDefault="009423FE" w:rsidP="00371773">
      <w:pPr>
        <w:pStyle w:val="BodyText"/>
        <w:spacing w:line="276" w:lineRule="auto"/>
        <w:ind w:right="102"/>
        <w:jc w:val="both"/>
        <w:rPr>
          <w:rFonts w:asciiTheme="minorHAnsi" w:eastAsia="Calibri" w:hAnsiTheme="minorHAnsi" w:cstheme="minorHAnsi"/>
          <w:spacing w:val="-1"/>
          <w:sz w:val="22"/>
          <w:szCs w:val="22"/>
        </w:rPr>
      </w:pPr>
      <w:r w:rsidRPr="00DB5708">
        <w:rPr>
          <w:rFonts w:asciiTheme="minorHAnsi" w:eastAsia="Calibri" w:hAnsiTheme="minorHAnsi" w:cstheme="minorHAnsi"/>
          <w:spacing w:val="-1"/>
          <w:sz w:val="22"/>
          <w:szCs w:val="22"/>
        </w:rPr>
        <w:t xml:space="preserve">The </w:t>
      </w:r>
      <w:r w:rsidR="00046916">
        <w:rPr>
          <w:rFonts w:asciiTheme="minorHAnsi" w:eastAsia="Calibri" w:hAnsiTheme="minorHAnsi" w:cstheme="minorHAnsi"/>
          <w:spacing w:val="-1"/>
          <w:sz w:val="22"/>
          <w:szCs w:val="22"/>
        </w:rPr>
        <w:t xml:space="preserve">real </w:t>
      </w:r>
      <w:r w:rsidRPr="00DB5708">
        <w:rPr>
          <w:rFonts w:asciiTheme="minorHAnsi" w:eastAsia="Calibri" w:hAnsiTheme="minorHAnsi" w:cstheme="minorHAnsi"/>
          <w:spacing w:val="-1"/>
          <w:sz w:val="22"/>
          <w:szCs w:val="22"/>
        </w:rPr>
        <w:t xml:space="preserve">GDP growth </w:t>
      </w:r>
      <w:r w:rsidR="00C64516">
        <w:rPr>
          <w:rFonts w:asciiTheme="minorHAnsi" w:eastAsia="Calibri" w:hAnsiTheme="minorHAnsi" w:cstheme="minorHAnsi"/>
          <w:spacing w:val="-1"/>
          <w:sz w:val="22"/>
          <w:szCs w:val="22"/>
        </w:rPr>
        <w:t>was</w:t>
      </w:r>
      <w:r w:rsidRPr="00DB5708">
        <w:rPr>
          <w:rFonts w:asciiTheme="minorHAnsi" w:eastAsia="Calibri" w:hAnsiTheme="minorHAnsi" w:cstheme="minorHAnsi"/>
          <w:spacing w:val="-1"/>
          <w:sz w:val="22"/>
          <w:szCs w:val="22"/>
        </w:rPr>
        <w:t xml:space="preserve"> around 4</w:t>
      </w:r>
      <w:r w:rsidR="00A97C90">
        <w:rPr>
          <w:rFonts w:asciiTheme="minorHAnsi" w:eastAsia="Calibri" w:hAnsiTheme="minorHAnsi" w:cstheme="minorHAnsi"/>
          <w:spacing w:val="-1"/>
          <w:sz w:val="22"/>
          <w:szCs w:val="22"/>
        </w:rPr>
        <w:t>-5</w:t>
      </w:r>
      <w:r w:rsidRPr="00DB5708">
        <w:rPr>
          <w:rFonts w:asciiTheme="minorHAnsi" w:eastAsia="Calibri" w:hAnsiTheme="minorHAnsi" w:cstheme="minorHAnsi"/>
          <w:spacing w:val="-1"/>
          <w:sz w:val="22"/>
          <w:szCs w:val="22"/>
        </w:rPr>
        <w:t xml:space="preserve">% and below </w:t>
      </w:r>
      <w:r w:rsidR="00046916">
        <w:rPr>
          <w:rFonts w:asciiTheme="minorHAnsi" w:eastAsia="Calibri" w:hAnsiTheme="minorHAnsi" w:cstheme="minorHAnsi"/>
          <w:spacing w:val="-1"/>
          <w:sz w:val="22"/>
          <w:szCs w:val="22"/>
        </w:rPr>
        <w:t>forecasts</w:t>
      </w:r>
      <w:r w:rsidRPr="00DB5708">
        <w:rPr>
          <w:rFonts w:asciiTheme="minorHAnsi" w:eastAsia="Calibri" w:hAnsiTheme="minorHAnsi" w:cstheme="minorHAnsi"/>
          <w:spacing w:val="-1"/>
          <w:sz w:val="22"/>
          <w:szCs w:val="22"/>
        </w:rPr>
        <w:t xml:space="preserve">. Corruption and lack of trust in key institutions impacts almost all areas of social and economic life. </w:t>
      </w:r>
      <w:r w:rsidR="0001218D">
        <w:rPr>
          <w:rFonts w:asciiTheme="minorHAnsi" w:eastAsia="Calibri" w:hAnsiTheme="minorHAnsi" w:cstheme="minorHAnsi"/>
          <w:spacing w:val="-1"/>
          <w:sz w:val="22"/>
          <w:szCs w:val="22"/>
        </w:rPr>
        <w:t xml:space="preserve">According to different polls, </w:t>
      </w:r>
      <w:r w:rsidRPr="00DB5708">
        <w:rPr>
          <w:rFonts w:asciiTheme="minorHAnsi" w:eastAsia="Calibri" w:hAnsiTheme="minorHAnsi" w:cstheme="minorHAnsi"/>
          <w:spacing w:val="-1"/>
          <w:sz w:val="22"/>
          <w:szCs w:val="22"/>
        </w:rPr>
        <w:t>more than 70% of people believe that ‘things’ are going into a wrong direction. Business</w:t>
      </w:r>
      <w:r w:rsidR="00262580">
        <w:rPr>
          <w:rFonts w:asciiTheme="minorHAnsi" w:eastAsia="Calibri" w:hAnsiTheme="minorHAnsi" w:cstheme="minorHAnsi"/>
          <w:spacing w:val="-1"/>
          <w:sz w:val="22"/>
          <w:szCs w:val="22"/>
        </w:rPr>
        <w:t>es may</w:t>
      </w:r>
      <w:r w:rsidRPr="00DB5708">
        <w:rPr>
          <w:rFonts w:asciiTheme="minorHAnsi" w:eastAsia="Calibri" w:hAnsiTheme="minorHAnsi" w:cstheme="minorHAnsi"/>
          <w:spacing w:val="-1"/>
          <w:sz w:val="22"/>
          <w:szCs w:val="22"/>
        </w:rPr>
        <w:t xml:space="preserve"> lose potential and competitiveness due to an unstable environment. </w:t>
      </w:r>
    </w:p>
    <w:p w14:paraId="114B4222" w14:textId="77777777" w:rsidR="009423FE" w:rsidRPr="00DB5708" w:rsidRDefault="009423FE" w:rsidP="00371773">
      <w:pPr>
        <w:pStyle w:val="BodyText"/>
        <w:spacing w:line="276" w:lineRule="auto"/>
        <w:ind w:right="102"/>
        <w:jc w:val="both"/>
        <w:rPr>
          <w:rFonts w:asciiTheme="minorHAnsi" w:eastAsia="Calibri" w:hAnsiTheme="minorHAnsi" w:cstheme="minorHAnsi"/>
          <w:spacing w:val="-1"/>
          <w:sz w:val="22"/>
          <w:szCs w:val="22"/>
        </w:rPr>
      </w:pPr>
    </w:p>
    <w:p w14:paraId="0F34DF28" w14:textId="77777777" w:rsidR="009423FE" w:rsidRPr="00DB5708" w:rsidRDefault="009423FE" w:rsidP="00371773">
      <w:pPr>
        <w:pStyle w:val="BodyText"/>
        <w:spacing w:line="276" w:lineRule="auto"/>
        <w:ind w:right="102"/>
        <w:jc w:val="both"/>
        <w:rPr>
          <w:rFonts w:asciiTheme="minorHAnsi" w:hAnsiTheme="minorHAnsi" w:cstheme="minorHAnsi"/>
          <w:spacing w:val="-1"/>
          <w:sz w:val="22"/>
          <w:szCs w:val="22"/>
        </w:rPr>
      </w:pPr>
      <w:r w:rsidRPr="00DB5708">
        <w:rPr>
          <w:rFonts w:asciiTheme="minorHAnsi" w:eastAsia="Calibri" w:hAnsiTheme="minorHAnsi" w:cstheme="minorHAnsi"/>
          <w:spacing w:val="-1"/>
          <w:sz w:val="22"/>
          <w:szCs w:val="22"/>
        </w:rPr>
        <w:t>The Transnistrian settlement process regained some previously stalled momentum early in the year, with renewed hope for implementation of additional confidence building measures such as the facilitation of unimpeded travel of officials. However, as no major agreements have been reached within the 5+2 negotiation format, the process hasn’t moved forward.</w:t>
      </w:r>
    </w:p>
    <w:p w14:paraId="50193F1C" w14:textId="77777777" w:rsidR="006774B1" w:rsidRDefault="006774B1" w:rsidP="00371773">
      <w:pPr>
        <w:jc w:val="both"/>
        <w:rPr>
          <w:rFonts w:asciiTheme="minorHAnsi" w:hAnsiTheme="minorHAnsi" w:cstheme="minorHAnsi"/>
          <w:spacing w:val="-1"/>
          <w:sz w:val="22"/>
          <w:szCs w:val="22"/>
        </w:rPr>
      </w:pPr>
    </w:p>
    <w:p w14:paraId="7A61BBF9" w14:textId="6282D459" w:rsidR="009423FE" w:rsidRPr="00DB5708" w:rsidRDefault="009423FE" w:rsidP="00371773">
      <w:pPr>
        <w:jc w:val="both"/>
        <w:rPr>
          <w:rFonts w:asciiTheme="minorHAnsi" w:eastAsia="Calibri" w:hAnsiTheme="minorHAnsi" w:cstheme="minorHAnsi"/>
          <w:b/>
          <w:bCs/>
          <w:spacing w:val="-1"/>
          <w:sz w:val="22"/>
          <w:szCs w:val="22"/>
        </w:rPr>
      </w:pPr>
      <w:r w:rsidRPr="00DB5708">
        <w:rPr>
          <w:rFonts w:asciiTheme="minorHAnsi" w:hAnsiTheme="minorHAnsi" w:cstheme="minorHAnsi"/>
          <w:spacing w:val="-1"/>
          <w:sz w:val="22"/>
          <w:szCs w:val="22"/>
        </w:rPr>
        <w:br w:type="page"/>
      </w:r>
    </w:p>
    <w:p w14:paraId="12753360" w14:textId="529592A6" w:rsidR="009423FE" w:rsidRDefault="009423FE" w:rsidP="00371773">
      <w:pPr>
        <w:pStyle w:val="Heading1"/>
        <w:ind w:left="0"/>
        <w:rPr>
          <w:rFonts w:asciiTheme="minorHAnsi" w:hAnsiTheme="minorHAnsi" w:cstheme="minorHAnsi"/>
          <w:spacing w:val="-1"/>
          <w:sz w:val="32"/>
          <w:szCs w:val="32"/>
        </w:rPr>
      </w:pPr>
      <w:bookmarkStart w:id="4" w:name="_Toc41055983"/>
      <w:r w:rsidRPr="00282356">
        <w:rPr>
          <w:rFonts w:asciiTheme="minorHAnsi" w:hAnsiTheme="minorHAnsi" w:cstheme="minorHAnsi"/>
          <w:spacing w:val="-1"/>
          <w:sz w:val="32"/>
          <w:szCs w:val="32"/>
        </w:rPr>
        <w:lastRenderedPageBreak/>
        <w:t>Programmes</w:t>
      </w:r>
      <w:r w:rsidRPr="00DF55AC">
        <w:rPr>
          <w:rFonts w:asciiTheme="minorHAnsi" w:hAnsiTheme="minorHAnsi" w:cstheme="minorHAnsi"/>
          <w:spacing w:val="-1"/>
          <w:sz w:val="32"/>
          <w:szCs w:val="32"/>
        </w:rPr>
        <w:t xml:space="preserve"> Implemented </w:t>
      </w:r>
      <w:r w:rsidRPr="00282356">
        <w:rPr>
          <w:rFonts w:asciiTheme="minorHAnsi" w:hAnsiTheme="minorHAnsi" w:cstheme="minorHAnsi"/>
          <w:spacing w:val="-1"/>
          <w:sz w:val="32"/>
          <w:szCs w:val="32"/>
        </w:rPr>
        <w:t xml:space="preserve">under </w:t>
      </w:r>
      <w:r w:rsidRPr="00DF55AC">
        <w:rPr>
          <w:rFonts w:asciiTheme="minorHAnsi" w:hAnsiTheme="minorHAnsi" w:cstheme="minorHAnsi"/>
          <w:spacing w:val="-1"/>
          <w:sz w:val="32"/>
          <w:szCs w:val="32"/>
        </w:rPr>
        <w:t xml:space="preserve">the </w:t>
      </w:r>
      <w:r w:rsidRPr="00282356">
        <w:rPr>
          <w:rFonts w:asciiTheme="minorHAnsi" w:hAnsiTheme="minorHAnsi" w:cstheme="minorHAnsi"/>
          <w:spacing w:val="-1"/>
          <w:sz w:val="32"/>
          <w:szCs w:val="32"/>
        </w:rPr>
        <w:t>Fund</w:t>
      </w:r>
      <w:bookmarkEnd w:id="4"/>
    </w:p>
    <w:p w14:paraId="4F27D7D9" w14:textId="46908F1A" w:rsidR="00DE675D" w:rsidRDefault="00DE675D" w:rsidP="00371773">
      <w:pPr>
        <w:jc w:val="both"/>
        <w:rPr>
          <w:lang w:val="x-none" w:eastAsia="x-none"/>
        </w:rPr>
      </w:pPr>
    </w:p>
    <w:p w14:paraId="32CEA82C" w14:textId="77777777" w:rsidR="00DE675D" w:rsidRPr="00DE675D" w:rsidRDefault="00DE675D" w:rsidP="00371773">
      <w:pPr>
        <w:jc w:val="both"/>
        <w:rPr>
          <w:lang w:val="x-none" w:eastAsia="x-none"/>
        </w:rPr>
      </w:pPr>
    </w:p>
    <w:p w14:paraId="35409D5A" w14:textId="77777777" w:rsidR="009423FE" w:rsidRPr="00DB5708" w:rsidRDefault="009423FE" w:rsidP="00371773">
      <w:pPr>
        <w:spacing w:before="5"/>
        <w:jc w:val="both"/>
        <w:rPr>
          <w:rFonts w:asciiTheme="minorHAnsi" w:eastAsia="Calibri" w:hAnsiTheme="minorHAnsi" w:cstheme="minorHAnsi"/>
          <w:b/>
          <w:bCs/>
          <w:sz w:val="22"/>
          <w:szCs w:val="22"/>
        </w:rPr>
      </w:pPr>
    </w:p>
    <w:p w14:paraId="0AE1575F" w14:textId="2DF88C28" w:rsidR="009423FE" w:rsidRPr="00C92F5E" w:rsidRDefault="002435ED" w:rsidP="00371773">
      <w:pPr>
        <w:pStyle w:val="Heading2"/>
        <w:shd w:val="clear" w:color="auto" w:fill="B4C6E7" w:themeFill="accent1" w:themeFillTint="66"/>
        <w:jc w:val="both"/>
        <w:rPr>
          <w:rFonts w:asciiTheme="minorHAnsi" w:eastAsia="Calibri" w:hAnsiTheme="minorHAnsi" w:cstheme="minorHAnsi"/>
        </w:rPr>
      </w:pPr>
      <w:bookmarkStart w:id="5" w:name="_bookmark2"/>
      <w:bookmarkStart w:id="6" w:name="_Toc41055984"/>
      <w:bookmarkEnd w:id="5"/>
      <w:r w:rsidRPr="002435ED">
        <w:rPr>
          <w:rFonts w:asciiTheme="minorHAnsi" w:eastAsia="Calibri" w:hAnsiTheme="minorHAnsi" w:cstheme="minorHAnsi"/>
        </w:rPr>
        <w:t>One UN Joint Action to Strengthen Human Rights in the Transnistrian region of the Republic of Moldova</w:t>
      </w:r>
      <w:bookmarkEnd w:id="6"/>
    </w:p>
    <w:p w14:paraId="01E18A8B" w14:textId="77777777" w:rsidR="009423FE" w:rsidRPr="00DB5708" w:rsidRDefault="009423FE" w:rsidP="00371773">
      <w:pPr>
        <w:jc w:val="both"/>
        <w:rPr>
          <w:rFonts w:asciiTheme="minorHAnsi" w:eastAsia="Calibri" w:hAnsiTheme="minorHAnsi" w:cstheme="minorHAnsi"/>
          <w:b/>
          <w:bCs/>
          <w:sz w:val="22"/>
          <w:szCs w:val="22"/>
        </w:rPr>
      </w:pPr>
    </w:p>
    <w:p w14:paraId="448C9E5C" w14:textId="182CB274" w:rsidR="003B1DFF" w:rsidRPr="00DB5708" w:rsidRDefault="00BE0951" w:rsidP="00371773">
      <w:pPr>
        <w:shd w:val="clear" w:color="auto" w:fill="F7CAAC" w:themeFill="accent2" w:themeFillTint="66"/>
        <w:jc w:val="both"/>
        <w:rPr>
          <w:rFonts w:asciiTheme="minorHAnsi" w:hAnsiTheme="minorHAnsi" w:cstheme="minorHAnsi"/>
          <w:b/>
          <w:sz w:val="22"/>
          <w:szCs w:val="22"/>
          <w:lang w:eastAsia="x-none"/>
        </w:rPr>
      </w:pPr>
      <w:r>
        <w:rPr>
          <w:rFonts w:asciiTheme="minorHAnsi" w:hAnsiTheme="minorHAnsi" w:cstheme="minorHAnsi"/>
          <w:b/>
          <w:sz w:val="22"/>
          <w:szCs w:val="22"/>
          <w:lang w:eastAsia="x-none"/>
        </w:rPr>
        <w:t>PROGRAMME OVERVIEW</w:t>
      </w:r>
    </w:p>
    <w:p w14:paraId="61A3FB2D" w14:textId="77777777" w:rsidR="005C437D" w:rsidRPr="00DB5708" w:rsidRDefault="005C437D" w:rsidP="00371773">
      <w:pPr>
        <w:jc w:val="both"/>
        <w:rPr>
          <w:rFonts w:asciiTheme="minorHAnsi" w:hAnsiTheme="minorHAnsi" w:cstheme="minorHAnsi"/>
          <w:sz w:val="22"/>
          <w:szCs w:val="22"/>
          <w:lang w:eastAsia="x-none"/>
        </w:rPr>
      </w:pPr>
    </w:p>
    <w:p w14:paraId="5D7C3E9A" w14:textId="5998DFD9" w:rsidR="00D55E3A" w:rsidRPr="00D55E3A" w:rsidRDefault="00D55E3A" w:rsidP="00371773">
      <w:pPr>
        <w:jc w:val="both"/>
        <w:rPr>
          <w:rFonts w:asciiTheme="minorHAnsi" w:eastAsia="Calibri" w:hAnsiTheme="minorHAnsi" w:cstheme="minorHAnsi"/>
          <w:color w:val="000000"/>
          <w:sz w:val="22"/>
          <w:szCs w:val="22"/>
          <w:lang w:val="en-GB"/>
        </w:rPr>
      </w:pPr>
      <w:r w:rsidRPr="00D55E3A">
        <w:rPr>
          <w:rFonts w:asciiTheme="minorHAnsi" w:eastAsia="Calibri" w:hAnsiTheme="minorHAnsi" w:cstheme="minorHAnsi"/>
          <w:color w:val="000000"/>
          <w:sz w:val="22"/>
          <w:szCs w:val="22"/>
          <w:lang w:val="en-GB"/>
        </w:rPr>
        <w:t xml:space="preserve">As the report covers only the initiation phase of the Programme, during this period the implementing agencies have undertaken </w:t>
      </w:r>
      <w:proofErr w:type="gramStart"/>
      <w:r w:rsidRPr="00D55E3A">
        <w:rPr>
          <w:rFonts w:asciiTheme="minorHAnsi" w:eastAsia="Calibri" w:hAnsiTheme="minorHAnsi" w:cstheme="minorHAnsi"/>
          <w:color w:val="000000"/>
          <w:sz w:val="22"/>
          <w:szCs w:val="22"/>
          <w:lang w:val="en-GB"/>
        </w:rPr>
        <w:t>a number of</w:t>
      </w:r>
      <w:proofErr w:type="gramEnd"/>
      <w:r w:rsidRPr="00D55E3A">
        <w:rPr>
          <w:rFonts w:asciiTheme="minorHAnsi" w:eastAsia="Calibri" w:hAnsiTheme="minorHAnsi" w:cstheme="minorHAnsi"/>
          <w:color w:val="000000"/>
          <w:sz w:val="22"/>
          <w:szCs w:val="22"/>
          <w:lang w:val="en-GB"/>
        </w:rPr>
        <w:t xml:space="preserve"> steps towards preparation of the realisation of the expected results, by mobilizing the internal capacities and resources. </w:t>
      </w:r>
      <w:proofErr w:type="gramStart"/>
      <w:r w:rsidRPr="00D55E3A">
        <w:rPr>
          <w:rFonts w:asciiTheme="minorHAnsi" w:eastAsia="Calibri" w:hAnsiTheme="minorHAnsi" w:cstheme="minorHAnsi"/>
          <w:color w:val="000000"/>
          <w:sz w:val="22"/>
          <w:szCs w:val="22"/>
          <w:lang w:val="en-GB"/>
        </w:rPr>
        <w:t>A number of</w:t>
      </w:r>
      <w:proofErr w:type="gramEnd"/>
      <w:r w:rsidRPr="00D55E3A">
        <w:rPr>
          <w:rFonts w:asciiTheme="minorHAnsi" w:eastAsia="Calibri" w:hAnsiTheme="minorHAnsi" w:cstheme="minorHAnsi"/>
          <w:color w:val="000000"/>
          <w:sz w:val="22"/>
          <w:szCs w:val="22"/>
          <w:lang w:val="en-GB"/>
        </w:rPr>
        <w:t xml:space="preserve"> meetings on various levels of responsibility with the de-facto Transnistrian structures in the area of human rights monitoring, </w:t>
      </w:r>
      <w:r w:rsidR="00C44404">
        <w:rPr>
          <w:rFonts w:asciiTheme="minorHAnsi" w:eastAsia="Calibri" w:hAnsiTheme="minorHAnsi" w:cstheme="minorHAnsi"/>
          <w:color w:val="000000"/>
          <w:sz w:val="22"/>
          <w:szCs w:val="22"/>
          <w:lang w:val="en-GB"/>
        </w:rPr>
        <w:t xml:space="preserve">child protection, </w:t>
      </w:r>
      <w:r w:rsidRPr="00D55E3A">
        <w:rPr>
          <w:rFonts w:asciiTheme="minorHAnsi" w:eastAsia="Calibri" w:hAnsiTheme="minorHAnsi" w:cstheme="minorHAnsi"/>
          <w:color w:val="000000"/>
          <w:sz w:val="22"/>
          <w:szCs w:val="22"/>
          <w:lang w:val="en-GB"/>
        </w:rPr>
        <w:t>social protection, health, internal affairs and justice were undertaken.</w:t>
      </w:r>
    </w:p>
    <w:p w14:paraId="63A96D6C" w14:textId="77777777" w:rsidR="00A813D5" w:rsidRDefault="00A813D5" w:rsidP="00371773">
      <w:pPr>
        <w:jc w:val="both"/>
        <w:rPr>
          <w:rFonts w:asciiTheme="minorHAnsi" w:eastAsia="Calibri" w:hAnsiTheme="minorHAnsi" w:cstheme="minorHAnsi"/>
          <w:color w:val="000000"/>
          <w:sz w:val="22"/>
          <w:szCs w:val="22"/>
          <w:lang w:val="en-GB"/>
        </w:rPr>
      </w:pPr>
    </w:p>
    <w:p w14:paraId="027A7A62" w14:textId="0217BC8F" w:rsidR="00D55E3A" w:rsidRPr="00D55E3A" w:rsidRDefault="00D55E3A" w:rsidP="00371773">
      <w:pPr>
        <w:jc w:val="both"/>
        <w:rPr>
          <w:rFonts w:asciiTheme="minorHAnsi" w:eastAsia="Calibri" w:hAnsiTheme="minorHAnsi" w:cstheme="minorHAnsi"/>
          <w:color w:val="000000"/>
          <w:sz w:val="22"/>
          <w:szCs w:val="22"/>
          <w:lang w:val="en-GB"/>
        </w:rPr>
      </w:pPr>
      <w:r w:rsidRPr="00D55E3A">
        <w:rPr>
          <w:rFonts w:asciiTheme="minorHAnsi" w:eastAsia="Calibri" w:hAnsiTheme="minorHAnsi" w:cstheme="minorHAnsi"/>
          <w:color w:val="000000"/>
          <w:sz w:val="22"/>
          <w:szCs w:val="22"/>
          <w:lang w:val="en-GB"/>
        </w:rPr>
        <w:t>The interaction with the Sustainable (Community) Development Platform (SCDP) was reactivated and steps undertaken to expand its membership to 30 CSOs and 6 initiative groups, representing or working with Programme’s target vulnerable groups - people living with HIV/AIDS, people using drugs Roma, victims of domestic violence etc. Based on the internal need assessment undertaken at the end of the previous phase, the institutional capacity building process was initiated.</w:t>
      </w:r>
    </w:p>
    <w:p w14:paraId="70F80775" w14:textId="77777777" w:rsidR="00A813D5" w:rsidRDefault="00A813D5" w:rsidP="00371773">
      <w:pPr>
        <w:jc w:val="both"/>
        <w:rPr>
          <w:rFonts w:asciiTheme="minorHAnsi" w:eastAsia="Calibri" w:hAnsiTheme="minorHAnsi" w:cstheme="minorHAnsi"/>
          <w:color w:val="000000"/>
          <w:sz w:val="22"/>
          <w:szCs w:val="22"/>
          <w:lang w:val="en-GB"/>
        </w:rPr>
      </w:pPr>
    </w:p>
    <w:p w14:paraId="2FB5AC50" w14:textId="0612E43E" w:rsidR="00D55E3A" w:rsidRPr="00D55E3A" w:rsidRDefault="00D55E3A" w:rsidP="00371773">
      <w:pPr>
        <w:jc w:val="both"/>
        <w:rPr>
          <w:rFonts w:asciiTheme="minorHAnsi" w:eastAsia="Calibri" w:hAnsiTheme="minorHAnsi" w:cstheme="minorHAnsi"/>
          <w:color w:val="000000"/>
          <w:sz w:val="22"/>
          <w:szCs w:val="22"/>
          <w:lang w:val="en-GB"/>
        </w:rPr>
      </w:pPr>
      <w:r w:rsidRPr="00D55E3A">
        <w:rPr>
          <w:rFonts w:asciiTheme="minorHAnsi" w:eastAsia="Calibri" w:hAnsiTheme="minorHAnsi" w:cstheme="minorHAnsi"/>
          <w:color w:val="000000"/>
          <w:sz w:val="22"/>
          <w:szCs w:val="22"/>
          <w:lang w:val="en-GB"/>
        </w:rPr>
        <w:t xml:space="preserve">In the reported period, the capacities of rights holders were developed in two directions: 1) institutional capacities and 2) thematic knowledge. Thus, over 50 representatives of NGOs from 9 localities from the left bank have increased their capacities in the area of IT literacy, leadership and team motivation and effective communication. Participants included representatives of </w:t>
      </w:r>
      <w:proofErr w:type="spellStart"/>
      <w:r w:rsidRPr="00D55E3A">
        <w:rPr>
          <w:rFonts w:asciiTheme="minorHAnsi" w:eastAsia="Calibri" w:hAnsiTheme="minorHAnsi" w:cstheme="minorHAnsi"/>
          <w:color w:val="000000"/>
          <w:sz w:val="22"/>
          <w:szCs w:val="22"/>
          <w:lang w:val="en-GB"/>
        </w:rPr>
        <w:t>PwDs</w:t>
      </w:r>
      <w:proofErr w:type="spellEnd"/>
      <w:r w:rsidRPr="00D55E3A">
        <w:rPr>
          <w:rFonts w:asciiTheme="minorHAnsi" w:eastAsia="Calibri" w:hAnsiTheme="minorHAnsi" w:cstheme="minorHAnsi"/>
          <w:color w:val="000000"/>
          <w:sz w:val="22"/>
          <w:szCs w:val="22"/>
          <w:lang w:val="en-GB"/>
        </w:rPr>
        <w:t>, Roma community, organisations working with PLWH, PW</w:t>
      </w:r>
      <w:r w:rsidR="0070329E">
        <w:rPr>
          <w:rFonts w:asciiTheme="minorHAnsi" w:eastAsia="Calibri" w:hAnsiTheme="minorHAnsi" w:cstheme="minorHAnsi"/>
          <w:color w:val="000000"/>
          <w:sz w:val="22"/>
          <w:szCs w:val="22"/>
          <w:lang w:val="en-GB"/>
        </w:rPr>
        <w:t>U</w:t>
      </w:r>
      <w:r w:rsidRPr="00D55E3A">
        <w:rPr>
          <w:rFonts w:asciiTheme="minorHAnsi" w:eastAsia="Calibri" w:hAnsiTheme="minorHAnsi" w:cstheme="minorHAnsi"/>
          <w:color w:val="000000"/>
          <w:sz w:val="22"/>
          <w:szCs w:val="22"/>
          <w:lang w:val="en-GB"/>
        </w:rPr>
        <w:t>Ds, or victims of domestic violence, as well as media.</w:t>
      </w:r>
    </w:p>
    <w:p w14:paraId="033E7C33" w14:textId="77777777" w:rsidR="00A813D5" w:rsidRDefault="00A813D5" w:rsidP="00371773">
      <w:pPr>
        <w:jc w:val="both"/>
        <w:rPr>
          <w:rFonts w:asciiTheme="minorHAnsi" w:eastAsia="Calibri" w:hAnsiTheme="minorHAnsi" w:cstheme="minorHAnsi"/>
          <w:color w:val="000000"/>
          <w:sz w:val="22"/>
          <w:szCs w:val="22"/>
          <w:lang w:val="en-GB"/>
        </w:rPr>
      </w:pPr>
    </w:p>
    <w:p w14:paraId="3E3C8CD4" w14:textId="77777777" w:rsidR="002942A2" w:rsidRDefault="00D55E3A" w:rsidP="00371773">
      <w:pPr>
        <w:jc w:val="both"/>
        <w:rPr>
          <w:rFonts w:asciiTheme="minorHAnsi" w:eastAsia="Calibri" w:hAnsiTheme="minorHAnsi" w:cstheme="minorHAnsi"/>
          <w:color w:val="000000"/>
          <w:sz w:val="22"/>
          <w:szCs w:val="22"/>
          <w:lang w:val="en-GB"/>
        </w:rPr>
      </w:pPr>
      <w:r w:rsidRPr="00D55E3A">
        <w:rPr>
          <w:rFonts w:asciiTheme="minorHAnsi" w:eastAsia="Calibri" w:hAnsiTheme="minorHAnsi" w:cstheme="minorHAnsi"/>
          <w:color w:val="000000"/>
          <w:sz w:val="22"/>
          <w:szCs w:val="22"/>
          <w:lang w:val="en-GB"/>
        </w:rPr>
        <w:t xml:space="preserve">Also, as a result of the Programme’s interventions, the capacities of the members and partners of the Sustainable (Community) Development Platform to work together and plan joint actions was increased through coordination meetings, organized on the left and right banks of the </w:t>
      </w:r>
      <w:proofErr w:type="spellStart"/>
      <w:r w:rsidRPr="00D55E3A">
        <w:rPr>
          <w:rFonts w:asciiTheme="minorHAnsi" w:eastAsia="Calibri" w:hAnsiTheme="minorHAnsi" w:cstheme="minorHAnsi"/>
          <w:color w:val="000000"/>
          <w:sz w:val="22"/>
          <w:szCs w:val="22"/>
          <w:lang w:val="en-GB"/>
        </w:rPr>
        <w:t>Nistru</w:t>
      </w:r>
      <w:proofErr w:type="spellEnd"/>
      <w:r w:rsidRPr="00D55E3A">
        <w:rPr>
          <w:rFonts w:asciiTheme="minorHAnsi" w:eastAsia="Calibri" w:hAnsiTheme="minorHAnsi" w:cstheme="minorHAnsi"/>
          <w:color w:val="000000"/>
          <w:sz w:val="22"/>
          <w:szCs w:val="22"/>
          <w:lang w:val="en-GB"/>
        </w:rPr>
        <w:t xml:space="preserve"> River. </w:t>
      </w:r>
    </w:p>
    <w:p w14:paraId="1EA5F644" w14:textId="77777777" w:rsidR="002942A2" w:rsidRDefault="002942A2" w:rsidP="00371773">
      <w:pPr>
        <w:jc w:val="both"/>
        <w:rPr>
          <w:rFonts w:asciiTheme="minorHAnsi" w:eastAsia="Calibri" w:hAnsiTheme="minorHAnsi" w:cstheme="minorHAnsi"/>
          <w:color w:val="000000"/>
          <w:sz w:val="22"/>
          <w:szCs w:val="22"/>
          <w:lang w:val="en-GB"/>
        </w:rPr>
      </w:pPr>
    </w:p>
    <w:p w14:paraId="2713D7F0" w14:textId="01E87CE0" w:rsidR="00A813D5" w:rsidRDefault="00516B44" w:rsidP="00371773">
      <w:pPr>
        <w:jc w:val="both"/>
        <w:rPr>
          <w:rFonts w:asciiTheme="minorHAnsi" w:eastAsia="Calibri" w:hAnsiTheme="minorHAnsi" w:cstheme="minorHAnsi"/>
          <w:color w:val="000000"/>
          <w:sz w:val="22"/>
          <w:szCs w:val="22"/>
          <w:lang w:val="en-GB"/>
        </w:rPr>
      </w:pPr>
      <w:r w:rsidRPr="00B3184B">
        <w:rPr>
          <w:rFonts w:asciiTheme="minorHAnsi" w:eastAsia="Calibri" w:hAnsiTheme="minorHAnsi" w:cstheme="minorHAnsi"/>
          <w:color w:val="000000"/>
          <w:sz w:val="22"/>
          <w:szCs w:val="22"/>
          <w:lang w:val="en-GB"/>
        </w:rPr>
        <w:t xml:space="preserve">In order to facilitate the access to/and communication with the de facto authorities from the Transnistrian region  and specifically with stakeholders of A.S. Makarenko institution for children in conflict with the law, UNICEF developed and signed a Programme Cooperation Agreement (PCA) with the Centre for support and development of civic initiatives „Resonance” CSO from Tiraspol, which immediately joined the programmatic visits and project preparation activities. Resonance has considerable experience, knowledge and expertise in the area of child protection, as well as a close relationship with the local authorities that is based on mutual trust, all key prerequisites for a successful project implementation. </w:t>
      </w:r>
      <w:r w:rsidR="00766D32" w:rsidRPr="00516B44">
        <w:rPr>
          <w:rFonts w:asciiTheme="minorHAnsi" w:eastAsia="Calibri" w:hAnsiTheme="minorHAnsi" w:cstheme="minorHAnsi"/>
          <w:color w:val="000000"/>
          <w:sz w:val="22"/>
          <w:szCs w:val="22"/>
          <w:lang w:val="en-GB"/>
        </w:rPr>
        <w:t xml:space="preserve">As a response to immediate needs of children placed in A.S Makarenko, 26 children (22 boys and 4 girls) in conflict with the law were engaged in structured discussions around the issue of bullying and violence, during which their capacities to understand negative behaviour and its impact on others were further enhanced. As a result, several interrelationship challenges among teenagers were identified </w:t>
      </w:r>
      <w:r w:rsidR="00DF4B7F">
        <w:rPr>
          <w:rFonts w:asciiTheme="minorHAnsi" w:eastAsia="Calibri" w:hAnsiTheme="minorHAnsi" w:cstheme="minorHAnsi"/>
          <w:color w:val="000000"/>
          <w:sz w:val="22"/>
          <w:szCs w:val="22"/>
          <w:lang w:val="en-GB"/>
        </w:rPr>
        <w:t>and addressed</w:t>
      </w:r>
      <w:r w:rsidR="00766D32" w:rsidRPr="00516B44">
        <w:rPr>
          <w:rFonts w:asciiTheme="minorHAnsi" w:eastAsia="Calibri" w:hAnsiTheme="minorHAnsi" w:cstheme="minorHAnsi"/>
          <w:color w:val="000000"/>
          <w:sz w:val="22"/>
          <w:szCs w:val="22"/>
          <w:lang w:val="en-GB"/>
        </w:rPr>
        <w:t xml:space="preserve">. </w:t>
      </w:r>
    </w:p>
    <w:p w14:paraId="09ED2F60" w14:textId="0F2F5D1D" w:rsidR="00D55E3A" w:rsidRPr="00D55E3A" w:rsidRDefault="00D55E3A" w:rsidP="00371773">
      <w:pPr>
        <w:jc w:val="both"/>
        <w:rPr>
          <w:rFonts w:asciiTheme="minorHAnsi" w:eastAsia="Calibri" w:hAnsiTheme="minorHAnsi" w:cstheme="minorHAnsi"/>
          <w:color w:val="000000"/>
          <w:sz w:val="22"/>
          <w:szCs w:val="22"/>
          <w:lang w:val="en-GB"/>
        </w:rPr>
      </w:pPr>
      <w:r w:rsidRPr="00D55E3A">
        <w:rPr>
          <w:rFonts w:asciiTheme="minorHAnsi" w:eastAsia="Calibri" w:hAnsiTheme="minorHAnsi" w:cstheme="minorHAnsi"/>
          <w:color w:val="000000"/>
          <w:sz w:val="22"/>
          <w:szCs w:val="22"/>
          <w:lang w:val="en-GB"/>
        </w:rPr>
        <w:t xml:space="preserve">Additionally, in the reported period representatives of vulnerable groups have improved access to community services. 60 persons had access to </w:t>
      </w:r>
      <w:proofErr w:type="spellStart"/>
      <w:r w:rsidRPr="00D55E3A">
        <w:rPr>
          <w:rFonts w:asciiTheme="minorHAnsi" w:eastAsia="Calibri" w:hAnsiTheme="minorHAnsi" w:cstheme="minorHAnsi"/>
          <w:color w:val="000000"/>
          <w:sz w:val="22"/>
          <w:szCs w:val="22"/>
          <w:lang w:val="en-GB"/>
        </w:rPr>
        <w:t>PrEP</w:t>
      </w:r>
      <w:proofErr w:type="spellEnd"/>
      <w:r w:rsidRPr="00D55E3A">
        <w:rPr>
          <w:rFonts w:asciiTheme="minorHAnsi" w:eastAsia="Calibri" w:hAnsiTheme="minorHAnsi" w:cstheme="minorHAnsi"/>
          <w:color w:val="000000"/>
          <w:sz w:val="22"/>
          <w:szCs w:val="22"/>
          <w:lang w:val="en-GB"/>
        </w:rPr>
        <w:t xml:space="preserve"> (pre-exposure prophylaxis) on HIV, a doubled result compared to the target. Based on the referral scheme established during the previous phase of the Programme, over 193 PWUD and SW were referred by the de-facto structures to CSOs in </w:t>
      </w:r>
      <w:proofErr w:type="spellStart"/>
      <w:r w:rsidRPr="00D55E3A">
        <w:rPr>
          <w:rFonts w:asciiTheme="minorHAnsi" w:eastAsia="Calibri" w:hAnsiTheme="minorHAnsi" w:cstheme="minorHAnsi"/>
          <w:color w:val="000000"/>
          <w:sz w:val="22"/>
          <w:szCs w:val="22"/>
          <w:lang w:val="en-GB"/>
        </w:rPr>
        <w:t>Ribnita</w:t>
      </w:r>
      <w:proofErr w:type="spellEnd"/>
      <w:r w:rsidRPr="00D55E3A">
        <w:rPr>
          <w:rFonts w:asciiTheme="minorHAnsi" w:eastAsia="Calibri" w:hAnsiTheme="minorHAnsi" w:cstheme="minorHAnsi"/>
          <w:color w:val="000000"/>
          <w:sz w:val="22"/>
          <w:szCs w:val="22"/>
          <w:lang w:val="en-GB"/>
        </w:rPr>
        <w:t xml:space="preserve">, </w:t>
      </w:r>
      <w:proofErr w:type="spellStart"/>
      <w:r w:rsidRPr="00D55E3A">
        <w:rPr>
          <w:rFonts w:asciiTheme="minorHAnsi" w:eastAsia="Calibri" w:hAnsiTheme="minorHAnsi" w:cstheme="minorHAnsi"/>
          <w:color w:val="000000"/>
          <w:sz w:val="22"/>
          <w:szCs w:val="22"/>
          <w:lang w:val="en-GB"/>
        </w:rPr>
        <w:t>Camenca</w:t>
      </w:r>
      <w:proofErr w:type="spellEnd"/>
      <w:r w:rsidRPr="00D55E3A">
        <w:rPr>
          <w:rFonts w:asciiTheme="minorHAnsi" w:eastAsia="Calibri" w:hAnsiTheme="minorHAnsi" w:cstheme="minorHAnsi"/>
          <w:color w:val="000000"/>
          <w:sz w:val="22"/>
          <w:szCs w:val="22"/>
          <w:lang w:val="en-GB"/>
        </w:rPr>
        <w:t xml:space="preserve"> and Bender. Also, through the calls received at the “Trust Line 0800 99800” for victims of domestic violence, supported by the Programme, 19 SOS cases of women victims of domestic violence were opened, and those cases were referred to or managed together with specialised NGOs from Transnistrian region.</w:t>
      </w:r>
    </w:p>
    <w:p w14:paraId="75139D42" w14:textId="77777777" w:rsidR="00A813D5" w:rsidRDefault="00A813D5" w:rsidP="00371773">
      <w:pPr>
        <w:jc w:val="both"/>
        <w:rPr>
          <w:rFonts w:asciiTheme="minorHAnsi" w:eastAsia="Calibri" w:hAnsiTheme="minorHAnsi" w:cstheme="minorHAnsi"/>
          <w:color w:val="000000"/>
          <w:sz w:val="22"/>
          <w:szCs w:val="22"/>
          <w:lang w:val="en-GB"/>
        </w:rPr>
      </w:pPr>
    </w:p>
    <w:p w14:paraId="6B3F3590" w14:textId="3F4FD7B9" w:rsidR="00D55E3A" w:rsidRPr="00D55E3A" w:rsidRDefault="00D55E3A" w:rsidP="00371773">
      <w:pPr>
        <w:jc w:val="both"/>
        <w:rPr>
          <w:rFonts w:asciiTheme="minorHAnsi" w:eastAsia="Calibri" w:hAnsiTheme="minorHAnsi" w:cstheme="minorHAnsi"/>
          <w:color w:val="000000"/>
          <w:sz w:val="22"/>
          <w:szCs w:val="22"/>
          <w:lang w:val="en-GB"/>
        </w:rPr>
      </w:pPr>
      <w:r w:rsidRPr="00D55E3A">
        <w:rPr>
          <w:rFonts w:asciiTheme="minorHAnsi" w:eastAsia="Calibri" w:hAnsiTheme="minorHAnsi" w:cstheme="minorHAnsi"/>
          <w:color w:val="000000"/>
          <w:sz w:val="22"/>
          <w:szCs w:val="22"/>
          <w:lang w:val="en-GB"/>
        </w:rPr>
        <w:lastRenderedPageBreak/>
        <w:t xml:space="preserve">The awareness of the population on both banks of the </w:t>
      </w:r>
      <w:proofErr w:type="spellStart"/>
      <w:r w:rsidRPr="00D55E3A">
        <w:rPr>
          <w:rFonts w:asciiTheme="minorHAnsi" w:eastAsia="Calibri" w:hAnsiTheme="minorHAnsi" w:cstheme="minorHAnsi"/>
          <w:color w:val="000000"/>
          <w:sz w:val="22"/>
          <w:szCs w:val="22"/>
          <w:lang w:val="en-GB"/>
        </w:rPr>
        <w:t>Nistru</w:t>
      </w:r>
      <w:proofErr w:type="spellEnd"/>
      <w:r w:rsidRPr="00D55E3A">
        <w:rPr>
          <w:rFonts w:asciiTheme="minorHAnsi" w:eastAsia="Calibri" w:hAnsiTheme="minorHAnsi" w:cstheme="minorHAnsi"/>
          <w:color w:val="000000"/>
          <w:sz w:val="22"/>
          <w:szCs w:val="22"/>
          <w:lang w:val="en-GB"/>
        </w:rPr>
        <w:t xml:space="preserve"> River, especially the vulnerable groups, was increased on the subjects related to the rights of </w:t>
      </w:r>
      <w:proofErr w:type="spellStart"/>
      <w:r w:rsidRPr="00D55E3A">
        <w:rPr>
          <w:rFonts w:asciiTheme="minorHAnsi" w:eastAsia="Calibri" w:hAnsiTheme="minorHAnsi" w:cstheme="minorHAnsi"/>
          <w:color w:val="000000"/>
          <w:sz w:val="22"/>
          <w:szCs w:val="22"/>
          <w:lang w:val="en-GB"/>
        </w:rPr>
        <w:t>PwDs</w:t>
      </w:r>
      <w:proofErr w:type="spellEnd"/>
      <w:r w:rsidRPr="00D55E3A">
        <w:rPr>
          <w:rFonts w:asciiTheme="minorHAnsi" w:eastAsia="Calibri" w:hAnsiTheme="minorHAnsi" w:cstheme="minorHAnsi"/>
          <w:color w:val="000000"/>
          <w:sz w:val="22"/>
          <w:szCs w:val="22"/>
          <w:lang w:val="en-GB"/>
        </w:rPr>
        <w:t xml:space="preserve">, Roma community, people living with HIV/AIDS and victims of domestic violence. This was achieved through organization of two communication campaigns, 21 Facebook posts and two articles/human stories on UNDP Exposure web site. Additionally, the awareness of the duty-bearers </w:t>
      </w:r>
      <w:proofErr w:type="gramStart"/>
      <w:r w:rsidRPr="00D55E3A">
        <w:rPr>
          <w:rFonts w:asciiTheme="minorHAnsi" w:eastAsia="Calibri" w:hAnsiTheme="minorHAnsi" w:cstheme="minorHAnsi"/>
          <w:color w:val="000000"/>
          <w:sz w:val="22"/>
          <w:szCs w:val="22"/>
          <w:lang w:val="en-GB"/>
        </w:rPr>
        <w:t>have</w:t>
      </w:r>
      <w:proofErr w:type="gramEnd"/>
      <w:r w:rsidRPr="00D55E3A">
        <w:rPr>
          <w:rFonts w:asciiTheme="minorHAnsi" w:eastAsia="Calibri" w:hAnsiTheme="minorHAnsi" w:cstheme="minorHAnsi"/>
          <w:color w:val="000000"/>
          <w:sz w:val="22"/>
          <w:szCs w:val="22"/>
          <w:lang w:val="en-GB"/>
        </w:rPr>
        <w:t xml:space="preserve"> been increased by developing, editing, printing and disseminate 6000 booklets on HIV and LEAs and guiding procedures for police officers in Russian and Romanian languages.</w:t>
      </w:r>
    </w:p>
    <w:p w14:paraId="631E68EF" w14:textId="77777777" w:rsidR="00A813D5" w:rsidRDefault="00A813D5" w:rsidP="00371773">
      <w:pPr>
        <w:jc w:val="both"/>
        <w:rPr>
          <w:rFonts w:asciiTheme="minorHAnsi" w:eastAsia="Calibri" w:hAnsiTheme="minorHAnsi" w:cstheme="minorHAnsi"/>
          <w:color w:val="000000"/>
          <w:sz w:val="22"/>
          <w:szCs w:val="22"/>
          <w:lang w:val="en-GB"/>
        </w:rPr>
      </w:pPr>
    </w:p>
    <w:p w14:paraId="72F6BE49" w14:textId="4F0B3BA5" w:rsidR="00D55E3A" w:rsidRPr="00D55E3A" w:rsidRDefault="00D55E3A" w:rsidP="00371773">
      <w:pPr>
        <w:jc w:val="both"/>
        <w:rPr>
          <w:rFonts w:asciiTheme="minorHAnsi" w:eastAsia="Calibri" w:hAnsiTheme="minorHAnsi" w:cstheme="minorHAnsi"/>
          <w:color w:val="000000"/>
          <w:sz w:val="22"/>
          <w:szCs w:val="22"/>
          <w:lang w:val="en-GB"/>
        </w:rPr>
      </w:pPr>
      <w:r w:rsidRPr="00D55E3A">
        <w:rPr>
          <w:rFonts w:asciiTheme="minorHAnsi" w:eastAsia="Calibri" w:hAnsiTheme="minorHAnsi" w:cstheme="minorHAnsi"/>
          <w:color w:val="000000"/>
          <w:sz w:val="22"/>
          <w:szCs w:val="22"/>
          <w:lang w:val="en-GB"/>
        </w:rPr>
        <w:t xml:space="preserve">In line with the Programme’s output of increasing the capacities of duty bearers to fulfil their human rights obligations and in preparation for the adjustment of the human-rights-compliant regulatory framework, 50 policy documents in the area of HIV/AIDS were reviewed in a consultative manner and validated by stakeholders on the left bank. </w:t>
      </w:r>
      <w:r w:rsidR="00723E32" w:rsidRPr="00D55E3A">
        <w:rPr>
          <w:rFonts w:asciiTheme="minorHAnsi" w:eastAsia="Calibri" w:hAnsiTheme="minorHAnsi" w:cstheme="minorHAnsi"/>
          <w:color w:val="000000"/>
          <w:sz w:val="22"/>
          <w:szCs w:val="22"/>
          <w:lang w:val="en-GB"/>
        </w:rPr>
        <w:t>Also,</w:t>
      </w:r>
      <w:r w:rsidRPr="00D55E3A">
        <w:rPr>
          <w:rFonts w:asciiTheme="minorHAnsi" w:eastAsia="Calibri" w:hAnsiTheme="minorHAnsi" w:cstheme="minorHAnsi"/>
          <w:color w:val="000000"/>
          <w:sz w:val="22"/>
          <w:szCs w:val="22"/>
          <w:lang w:val="en-GB"/>
        </w:rPr>
        <w:t xml:space="preserve"> the first draft of the new National HIV strategy for the period 2021-2025 was developed with the participation of about 150 national stakeholders.</w:t>
      </w:r>
    </w:p>
    <w:p w14:paraId="17BC9BA0" w14:textId="77777777" w:rsidR="00A813D5" w:rsidRDefault="00A813D5" w:rsidP="00371773">
      <w:pPr>
        <w:jc w:val="both"/>
        <w:rPr>
          <w:rFonts w:asciiTheme="minorHAnsi" w:eastAsia="Calibri" w:hAnsiTheme="minorHAnsi" w:cstheme="minorHAnsi"/>
          <w:color w:val="000000"/>
          <w:sz w:val="22"/>
          <w:szCs w:val="22"/>
          <w:lang w:val="en-GB"/>
        </w:rPr>
      </w:pPr>
    </w:p>
    <w:p w14:paraId="4F58E00D" w14:textId="6D3701FB" w:rsidR="000F4EB0" w:rsidRPr="00DB5708" w:rsidRDefault="00D55E3A" w:rsidP="00371773">
      <w:pPr>
        <w:jc w:val="both"/>
        <w:rPr>
          <w:rFonts w:asciiTheme="minorHAnsi" w:eastAsia="Calibri" w:hAnsiTheme="minorHAnsi" w:cstheme="minorHAnsi"/>
          <w:color w:val="000000"/>
          <w:sz w:val="22"/>
          <w:szCs w:val="22"/>
          <w:lang w:val="en-GB"/>
        </w:rPr>
      </w:pPr>
      <w:r w:rsidRPr="00D55E3A">
        <w:rPr>
          <w:rFonts w:asciiTheme="minorHAnsi" w:eastAsia="Calibri" w:hAnsiTheme="minorHAnsi" w:cstheme="minorHAnsi"/>
          <w:color w:val="000000"/>
          <w:sz w:val="22"/>
          <w:szCs w:val="22"/>
          <w:lang w:val="en-GB"/>
        </w:rPr>
        <w:t xml:space="preserve">It </w:t>
      </w:r>
      <w:proofErr w:type="gramStart"/>
      <w:r w:rsidRPr="00D55E3A">
        <w:rPr>
          <w:rFonts w:asciiTheme="minorHAnsi" w:eastAsia="Calibri" w:hAnsiTheme="minorHAnsi" w:cstheme="minorHAnsi"/>
          <w:color w:val="000000"/>
          <w:sz w:val="22"/>
          <w:szCs w:val="22"/>
          <w:lang w:val="en-GB"/>
        </w:rPr>
        <w:t>has to</w:t>
      </w:r>
      <w:proofErr w:type="gramEnd"/>
      <w:r w:rsidRPr="00D55E3A">
        <w:rPr>
          <w:rFonts w:asciiTheme="minorHAnsi" w:eastAsia="Calibri" w:hAnsiTheme="minorHAnsi" w:cstheme="minorHAnsi"/>
          <w:color w:val="000000"/>
          <w:sz w:val="22"/>
          <w:szCs w:val="22"/>
          <w:lang w:val="en-GB"/>
        </w:rPr>
        <w:t xml:space="preserve"> be mentioned that the activities initiated in the reported period, laid the foundation for the results to be achieved in 2020 and were possible due to mobilisation of all agencies’ representative, despite such challenges as lengthy period of employing personnel</w:t>
      </w:r>
      <w:r w:rsidR="003706C3">
        <w:rPr>
          <w:rFonts w:asciiTheme="minorHAnsi" w:eastAsia="Calibri" w:hAnsiTheme="minorHAnsi" w:cstheme="minorHAnsi"/>
          <w:color w:val="000000"/>
          <w:sz w:val="22"/>
          <w:szCs w:val="22"/>
          <w:lang w:val="en-GB"/>
        </w:rPr>
        <w:t xml:space="preserve"> and others</w:t>
      </w:r>
      <w:r w:rsidRPr="00D55E3A">
        <w:rPr>
          <w:rFonts w:asciiTheme="minorHAnsi" w:eastAsia="Calibri" w:hAnsiTheme="minorHAnsi" w:cstheme="minorHAnsi"/>
          <w:color w:val="000000"/>
          <w:sz w:val="22"/>
          <w:szCs w:val="22"/>
          <w:lang w:val="en-GB"/>
        </w:rPr>
        <w:t>. The problem of employing the necessary personnel was related to the need to have specific technical expertise (such as human rights and particularities of the vulnerable groups), but also the knowledge of the region and fluent Romanian, Russian and English. Also, among the challenges was the additional requirement, reported by some of the implementing agencies, of having the Programme’s components approved by the de facto “coordination council for technical and humanitarian aid”, preceded by a support letter from the de facto structures.</w:t>
      </w:r>
      <w:r w:rsidR="000F4EB0" w:rsidRPr="00DB5708">
        <w:rPr>
          <w:rFonts w:asciiTheme="minorHAnsi" w:eastAsia="Calibri" w:hAnsiTheme="minorHAnsi" w:cstheme="minorHAnsi"/>
          <w:color w:val="000000"/>
          <w:sz w:val="22"/>
          <w:szCs w:val="22"/>
          <w:lang w:val="en-GB"/>
        </w:rPr>
        <w:t xml:space="preserve"> </w:t>
      </w:r>
    </w:p>
    <w:p w14:paraId="1F983ED9" w14:textId="77777777" w:rsidR="00141C9A" w:rsidRPr="00DB5708" w:rsidRDefault="00141C9A" w:rsidP="00371773">
      <w:pPr>
        <w:jc w:val="both"/>
        <w:rPr>
          <w:rFonts w:asciiTheme="minorHAnsi" w:hAnsiTheme="minorHAnsi" w:cstheme="minorHAnsi"/>
          <w:b/>
          <w:sz w:val="22"/>
          <w:szCs w:val="22"/>
          <w:lang w:eastAsia="x-none"/>
        </w:rPr>
      </w:pPr>
    </w:p>
    <w:p w14:paraId="2EAFC26E" w14:textId="77777777" w:rsidR="00DF5D57" w:rsidRPr="00DB5708" w:rsidRDefault="00DF5D57" w:rsidP="00371773">
      <w:pPr>
        <w:jc w:val="both"/>
        <w:rPr>
          <w:rFonts w:asciiTheme="minorHAnsi" w:hAnsiTheme="minorHAnsi" w:cstheme="minorHAnsi"/>
          <w:b/>
          <w:sz w:val="22"/>
          <w:szCs w:val="22"/>
          <w:lang w:eastAsia="x-none"/>
        </w:rPr>
      </w:pPr>
    </w:p>
    <w:p w14:paraId="27C2C743" w14:textId="738DCD44" w:rsidR="005C437D" w:rsidRPr="00DB5708" w:rsidRDefault="00BE0951" w:rsidP="00371773">
      <w:pPr>
        <w:shd w:val="clear" w:color="auto" w:fill="F7CAAC" w:themeFill="accent2" w:themeFillTint="66"/>
        <w:jc w:val="both"/>
        <w:rPr>
          <w:rFonts w:asciiTheme="minorHAnsi" w:hAnsiTheme="minorHAnsi" w:cstheme="minorHAnsi"/>
          <w:b/>
          <w:sz w:val="22"/>
          <w:szCs w:val="22"/>
          <w:lang w:eastAsia="x-none"/>
        </w:rPr>
      </w:pPr>
      <w:r>
        <w:rPr>
          <w:rFonts w:asciiTheme="minorHAnsi" w:hAnsiTheme="minorHAnsi" w:cstheme="minorHAnsi"/>
          <w:b/>
          <w:sz w:val="22"/>
          <w:szCs w:val="22"/>
          <w:lang w:eastAsia="x-none"/>
        </w:rPr>
        <w:t>RESULTS</w:t>
      </w:r>
    </w:p>
    <w:p w14:paraId="3BDA0096" w14:textId="101F21E3" w:rsidR="001928D8" w:rsidRDefault="001928D8" w:rsidP="00371773">
      <w:pPr>
        <w:jc w:val="both"/>
        <w:rPr>
          <w:rFonts w:asciiTheme="minorHAnsi" w:hAnsiTheme="minorHAnsi" w:cstheme="minorHAnsi"/>
          <w:sz w:val="22"/>
          <w:szCs w:val="22"/>
          <w:lang w:eastAsia="x-none"/>
        </w:rPr>
      </w:pPr>
    </w:p>
    <w:p w14:paraId="241765A7" w14:textId="77777777" w:rsidR="001928D8" w:rsidRPr="001928D8" w:rsidRDefault="001928D8" w:rsidP="00371773">
      <w:pPr>
        <w:jc w:val="both"/>
        <w:rPr>
          <w:rFonts w:asciiTheme="minorHAnsi" w:hAnsiTheme="minorHAnsi" w:cstheme="minorHAnsi"/>
          <w:sz w:val="22"/>
          <w:szCs w:val="22"/>
          <w:lang w:eastAsia="x-none"/>
        </w:rPr>
      </w:pPr>
      <w:r w:rsidRPr="001928D8">
        <w:rPr>
          <w:rFonts w:asciiTheme="minorHAnsi" w:hAnsiTheme="minorHAnsi" w:cstheme="minorHAnsi"/>
          <w:sz w:val="22"/>
          <w:szCs w:val="22"/>
          <w:lang w:eastAsia="x-none"/>
        </w:rPr>
        <w:t xml:space="preserve">The Programme initiated its activities in late summer of 2019. Despite the short period of implementation, </w:t>
      </w:r>
      <w:proofErr w:type="gramStart"/>
      <w:r w:rsidRPr="001928D8">
        <w:rPr>
          <w:rFonts w:asciiTheme="minorHAnsi" w:hAnsiTheme="minorHAnsi" w:cstheme="minorHAnsi"/>
          <w:sz w:val="22"/>
          <w:szCs w:val="22"/>
          <w:lang w:eastAsia="x-none"/>
        </w:rPr>
        <w:t>a number of</w:t>
      </w:r>
      <w:proofErr w:type="gramEnd"/>
      <w:r w:rsidRPr="001928D8">
        <w:rPr>
          <w:rFonts w:asciiTheme="minorHAnsi" w:hAnsiTheme="minorHAnsi" w:cstheme="minorHAnsi"/>
          <w:sz w:val="22"/>
          <w:szCs w:val="22"/>
          <w:lang w:eastAsia="x-none"/>
        </w:rPr>
        <w:t xml:space="preserve"> results were achieved, nevertheless. Various meetings and discussions with the de facto authorities secured their active engagement and acceptance of the envisaged activities.</w:t>
      </w:r>
    </w:p>
    <w:p w14:paraId="30A37D5A" w14:textId="77777777" w:rsidR="001928D8" w:rsidRPr="001928D8" w:rsidRDefault="001928D8" w:rsidP="00371773">
      <w:pPr>
        <w:jc w:val="both"/>
        <w:rPr>
          <w:rFonts w:asciiTheme="minorHAnsi" w:hAnsiTheme="minorHAnsi" w:cstheme="minorHAnsi"/>
          <w:sz w:val="22"/>
          <w:szCs w:val="22"/>
          <w:lang w:eastAsia="x-none"/>
        </w:rPr>
      </w:pPr>
    </w:p>
    <w:p w14:paraId="588CEB87" w14:textId="77777777" w:rsidR="001928D8" w:rsidRPr="001928D8" w:rsidRDefault="001928D8" w:rsidP="00371773">
      <w:pPr>
        <w:jc w:val="both"/>
        <w:rPr>
          <w:rFonts w:asciiTheme="minorHAnsi" w:hAnsiTheme="minorHAnsi" w:cstheme="minorHAnsi"/>
          <w:sz w:val="22"/>
          <w:szCs w:val="22"/>
          <w:lang w:eastAsia="x-none"/>
        </w:rPr>
      </w:pPr>
      <w:r w:rsidRPr="001928D8">
        <w:rPr>
          <w:rFonts w:asciiTheme="minorHAnsi" w:hAnsiTheme="minorHAnsi" w:cstheme="minorHAnsi"/>
          <w:sz w:val="22"/>
          <w:szCs w:val="22"/>
          <w:lang w:eastAsia="x-none"/>
        </w:rPr>
        <w:t xml:space="preserve">Significant efforts were made to ensure environmental sustainability of the </w:t>
      </w:r>
      <w:proofErr w:type="spellStart"/>
      <w:r w:rsidRPr="001928D8">
        <w:rPr>
          <w:rFonts w:asciiTheme="minorHAnsi" w:hAnsiTheme="minorHAnsi" w:cstheme="minorHAnsi"/>
          <w:sz w:val="22"/>
          <w:szCs w:val="22"/>
          <w:lang w:eastAsia="x-none"/>
        </w:rPr>
        <w:t>Programme’s</w:t>
      </w:r>
      <w:proofErr w:type="spellEnd"/>
      <w:r w:rsidRPr="001928D8">
        <w:rPr>
          <w:rFonts w:asciiTheme="minorHAnsi" w:hAnsiTheme="minorHAnsi" w:cstheme="minorHAnsi"/>
          <w:sz w:val="22"/>
          <w:szCs w:val="22"/>
          <w:lang w:eastAsia="x-none"/>
        </w:rPr>
        <w:t xml:space="preserve"> interventions. Though the Programme has not envisaged direct creation of opportunities in the environmental sustainability field, indirectly it contributes to transformation of local enterprises into ones that are </w:t>
      </w:r>
      <w:proofErr w:type="gramStart"/>
      <w:r w:rsidRPr="001928D8">
        <w:rPr>
          <w:rFonts w:asciiTheme="minorHAnsi" w:hAnsiTheme="minorHAnsi" w:cstheme="minorHAnsi"/>
          <w:sz w:val="22"/>
          <w:szCs w:val="22"/>
          <w:lang w:eastAsia="x-none"/>
        </w:rPr>
        <w:t>environment-friendly</w:t>
      </w:r>
      <w:proofErr w:type="gramEnd"/>
      <w:r w:rsidRPr="001928D8">
        <w:rPr>
          <w:rFonts w:asciiTheme="minorHAnsi" w:hAnsiTheme="minorHAnsi" w:cstheme="minorHAnsi"/>
          <w:sz w:val="22"/>
          <w:szCs w:val="22"/>
          <w:lang w:eastAsia="x-none"/>
        </w:rPr>
        <w:t xml:space="preserve">. Specifically, the Programme raises the awareness of the public on the Sustainable Development Goals and their importance for the harmonious human development. Additionally, the Programme is encouraging local partners to reduce their waste by signing a specific annex related to environmental sustainability of the Programme activities, implemented by the local partners. Based on UNDP’s “Greening the Blue” initiative, the Programme Manager has encouraged implementing UN agencies to sign similar agreements with their implementing partners. As a result, the providers of catering services, used during the </w:t>
      </w:r>
      <w:proofErr w:type="spellStart"/>
      <w:r w:rsidRPr="001928D8">
        <w:rPr>
          <w:rFonts w:asciiTheme="minorHAnsi" w:hAnsiTheme="minorHAnsi" w:cstheme="minorHAnsi"/>
          <w:sz w:val="22"/>
          <w:szCs w:val="22"/>
          <w:lang w:eastAsia="x-none"/>
        </w:rPr>
        <w:t>Programme’s</w:t>
      </w:r>
      <w:proofErr w:type="spellEnd"/>
      <w:r w:rsidRPr="001928D8">
        <w:rPr>
          <w:rFonts w:asciiTheme="minorHAnsi" w:hAnsiTheme="minorHAnsi" w:cstheme="minorHAnsi"/>
          <w:sz w:val="22"/>
          <w:szCs w:val="22"/>
          <w:lang w:eastAsia="x-none"/>
        </w:rPr>
        <w:t xml:space="preserve"> events, were not using plastic bottles or cups. Additionally, the recommended menu was as environmentally friendly as possible, thus making them aware of the environmental impact caused by their activity.</w:t>
      </w:r>
    </w:p>
    <w:p w14:paraId="31346CB1" w14:textId="77777777" w:rsidR="001928D8" w:rsidRPr="001928D8" w:rsidRDefault="001928D8" w:rsidP="00371773">
      <w:pPr>
        <w:jc w:val="both"/>
        <w:rPr>
          <w:rFonts w:asciiTheme="minorHAnsi" w:hAnsiTheme="minorHAnsi" w:cstheme="minorHAnsi"/>
          <w:sz w:val="22"/>
          <w:szCs w:val="22"/>
          <w:lang w:eastAsia="x-none"/>
        </w:rPr>
      </w:pPr>
    </w:p>
    <w:p w14:paraId="433A8330" w14:textId="77777777" w:rsidR="001928D8" w:rsidRPr="001928D8" w:rsidRDefault="001928D8" w:rsidP="00371773">
      <w:pPr>
        <w:jc w:val="both"/>
        <w:rPr>
          <w:rFonts w:asciiTheme="minorHAnsi" w:hAnsiTheme="minorHAnsi" w:cstheme="minorHAnsi"/>
          <w:sz w:val="22"/>
          <w:szCs w:val="22"/>
          <w:lang w:eastAsia="x-none"/>
        </w:rPr>
      </w:pPr>
      <w:r w:rsidRPr="001928D8">
        <w:rPr>
          <w:rFonts w:asciiTheme="minorHAnsi" w:hAnsiTheme="minorHAnsi" w:cstheme="minorHAnsi"/>
          <w:sz w:val="22"/>
          <w:szCs w:val="22"/>
          <w:lang w:eastAsia="x-none"/>
        </w:rPr>
        <w:t xml:space="preserve">The Programme has established working relations and identified synergies with other projects and programmes implemented in the Transnistrian region, mainly with projects in the area of confidence building, implemented by UNDP. This resulted in participation of projects’ beneficiaries in </w:t>
      </w:r>
      <w:proofErr w:type="spellStart"/>
      <w:r w:rsidRPr="001928D8">
        <w:rPr>
          <w:rFonts w:asciiTheme="minorHAnsi" w:hAnsiTheme="minorHAnsi" w:cstheme="minorHAnsi"/>
          <w:sz w:val="22"/>
          <w:szCs w:val="22"/>
          <w:lang w:eastAsia="x-none"/>
        </w:rPr>
        <w:t>Programme’s</w:t>
      </w:r>
      <w:proofErr w:type="spellEnd"/>
      <w:r w:rsidRPr="001928D8">
        <w:rPr>
          <w:rFonts w:asciiTheme="minorHAnsi" w:hAnsiTheme="minorHAnsi" w:cstheme="minorHAnsi"/>
          <w:sz w:val="22"/>
          <w:szCs w:val="22"/>
          <w:lang w:eastAsia="x-none"/>
        </w:rPr>
        <w:t xml:space="preserve"> activities and vice versa, as well as in provision by the Programme Manager of advice on HRBA and vulnerability aspects of the respective projects. Additionally, the Programme is actively cooperating with OSCE in the area of institutional and general capacity building for CSOs and duty-bearers and a working group was established in this respect, which meets on a regular basis. This ensured that there is no overlap in capacity building activities implemented by the respective international </w:t>
      </w:r>
      <w:proofErr w:type="spellStart"/>
      <w:r w:rsidRPr="001928D8">
        <w:rPr>
          <w:rFonts w:asciiTheme="minorHAnsi" w:hAnsiTheme="minorHAnsi" w:cstheme="minorHAnsi"/>
          <w:sz w:val="22"/>
          <w:szCs w:val="22"/>
          <w:lang w:eastAsia="x-none"/>
        </w:rPr>
        <w:t>organisations</w:t>
      </w:r>
      <w:proofErr w:type="spellEnd"/>
      <w:r w:rsidRPr="001928D8">
        <w:rPr>
          <w:rFonts w:asciiTheme="minorHAnsi" w:hAnsiTheme="minorHAnsi" w:cstheme="minorHAnsi"/>
          <w:sz w:val="22"/>
          <w:szCs w:val="22"/>
          <w:lang w:eastAsia="x-none"/>
        </w:rPr>
        <w:t>.</w:t>
      </w:r>
    </w:p>
    <w:p w14:paraId="36C7ADD1" w14:textId="77777777" w:rsidR="001928D8" w:rsidRPr="001928D8" w:rsidRDefault="001928D8" w:rsidP="00371773">
      <w:pPr>
        <w:jc w:val="both"/>
        <w:rPr>
          <w:rFonts w:asciiTheme="minorHAnsi" w:hAnsiTheme="minorHAnsi" w:cstheme="minorHAnsi"/>
          <w:sz w:val="22"/>
          <w:szCs w:val="22"/>
          <w:lang w:eastAsia="x-none"/>
        </w:rPr>
      </w:pPr>
    </w:p>
    <w:p w14:paraId="1563AE80" w14:textId="2563FB8D" w:rsidR="001928D8" w:rsidRPr="00DB5708" w:rsidRDefault="001928D8" w:rsidP="00371773">
      <w:pPr>
        <w:jc w:val="both"/>
        <w:rPr>
          <w:rFonts w:asciiTheme="minorHAnsi" w:hAnsiTheme="minorHAnsi" w:cstheme="minorHAnsi"/>
          <w:sz w:val="22"/>
          <w:szCs w:val="22"/>
          <w:lang w:eastAsia="x-none"/>
        </w:rPr>
      </w:pPr>
      <w:r w:rsidRPr="001928D8">
        <w:rPr>
          <w:rFonts w:asciiTheme="minorHAnsi" w:hAnsiTheme="minorHAnsi" w:cstheme="minorHAnsi"/>
          <w:sz w:val="22"/>
          <w:szCs w:val="22"/>
          <w:lang w:eastAsia="x-none"/>
        </w:rPr>
        <w:lastRenderedPageBreak/>
        <w:t xml:space="preserve">There are not only cross-sectoral, but thematic synergies in place. For example, the initiatives undertaken by the Programme in the area of domestic violence are complementing other projects currently implemented by IOM in the Transnistrian region, such as the project “Enhancing confidence building across the </w:t>
      </w:r>
      <w:proofErr w:type="spellStart"/>
      <w:r w:rsidRPr="001928D8">
        <w:rPr>
          <w:rFonts w:asciiTheme="minorHAnsi" w:hAnsiTheme="minorHAnsi" w:cstheme="minorHAnsi"/>
          <w:sz w:val="22"/>
          <w:szCs w:val="22"/>
          <w:lang w:eastAsia="x-none"/>
        </w:rPr>
        <w:t>Nistru</w:t>
      </w:r>
      <w:proofErr w:type="spellEnd"/>
      <w:r w:rsidRPr="001928D8">
        <w:rPr>
          <w:rFonts w:asciiTheme="minorHAnsi" w:hAnsiTheme="minorHAnsi" w:cstheme="minorHAnsi"/>
          <w:sz w:val="22"/>
          <w:szCs w:val="22"/>
          <w:lang w:eastAsia="x-none"/>
        </w:rPr>
        <w:t xml:space="preserve"> river through combating the domestic violence and gender-based violence phenomena in the Transnistrian region of the Republic of Moldova”, funded by the UK Embassy/CSSF. This project reflects a logical continuation and builds upon the efforts of the previous projects to improve the prevention and response mechanisms to DV, as well as enhancing the protection of the rights of DV victims in line with the international obligations of the Republic of Moldova, and with the UN 2030 Agenda for Sustainable Development. In a similar manner, given its mandate and expertise, OHCHR in 2019 contributed to initiatives and results of other UN agencies with human rights expertise.</w:t>
      </w:r>
    </w:p>
    <w:p w14:paraId="1031525C" w14:textId="77777777" w:rsidR="005C437D" w:rsidRPr="00DB5708" w:rsidRDefault="005C437D" w:rsidP="00371773">
      <w:pPr>
        <w:jc w:val="both"/>
        <w:rPr>
          <w:rFonts w:asciiTheme="minorHAnsi" w:hAnsiTheme="minorHAnsi" w:cstheme="minorHAnsi"/>
          <w:sz w:val="22"/>
          <w:szCs w:val="22"/>
          <w:lang w:eastAsia="x-none"/>
        </w:rPr>
      </w:pPr>
    </w:p>
    <w:p w14:paraId="409B5CA7" w14:textId="77777777" w:rsidR="00370E57" w:rsidRPr="001B337A" w:rsidRDefault="00370E57" w:rsidP="00371773">
      <w:pPr>
        <w:pStyle w:val="Heading2"/>
        <w:shd w:val="clear" w:color="auto" w:fill="DDD9C4"/>
        <w:jc w:val="both"/>
        <w:rPr>
          <w:sz w:val="24"/>
          <w:lang w:val="en-GB"/>
        </w:rPr>
      </w:pPr>
      <w:bookmarkStart w:id="7" w:name="_Toc41055985"/>
      <w:bookmarkEnd w:id="0"/>
      <w:r w:rsidRPr="001B337A">
        <w:rPr>
          <w:sz w:val="24"/>
          <w:lang w:val="en-GB"/>
        </w:rPr>
        <w:t>Output 1. Increased capacities of vulnerable rights holders to exercise their human rights</w:t>
      </w:r>
      <w:bookmarkEnd w:id="7"/>
    </w:p>
    <w:p w14:paraId="233E3AC0" w14:textId="77777777" w:rsidR="00370E57" w:rsidRPr="001B337A" w:rsidRDefault="00370E57" w:rsidP="00371773">
      <w:pPr>
        <w:ind w:left="360"/>
        <w:jc w:val="both"/>
        <w:rPr>
          <w:lang w:val="en-GB" w:eastAsia="x-none"/>
        </w:rPr>
      </w:pPr>
    </w:p>
    <w:p w14:paraId="2560A78D" w14:textId="77777777" w:rsidR="00370E57" w:rsidRPr="00F33976" w:rsidRDefault="00370E57" w:rsidP="00371773">
      <w:pPr>
        <w:jc w:val="both"/>
        <w:rPr>
          <w:rFonts w:asciiTheme="minorHAnsi" w:hAnsiTheme="minorHAnsi" w:cstheme="minorHAnsi"/>
          <w:sz w:val="22"/>
          <w:szCs w:val="22"/>
          <w:lang w:eastAsia="x-none"/>
        </w:rPr>
      </w:pPr>
      <w:r w:rsidRPr="00F33976">
        <w:rPr>
          <w:rFonts w:asciiTheme="minorHAnsi" w:hAnsiTheme="minorHAnsi" w:cstheme="minorHAnsi"/>
          <w:sz w:val="22"/>
          <w:szCs w:val="22"/>
          <w:lang w:eastAsia="x-none"/>
        </w:rPr>
        <w:t xml:space="preserve">Following the initiations of </w:t>
      </w:r>
      <w:proofErr w:type="spellStart"/>
      <w:r w:rsidRPr="00F33976">
        <w:rPr>
          <w:rFonts w:asciiTheme="minorHAnsi" w:hAnsiTheme="minorHAnsi" w:cstheme="minorHAnsi"/>
          <w:sz w:val="22"/>
          <w:szCs w:val="22"/>
          <w:lang w:eastAsia="x-none"/>
        </w:rPr>
        <w:t>Programme’s</w:t>
      </w:r>
      <w:proofErr w:type="spellEnd"/>
      <w:r w:rsidRPr="00F33976">
        <w:rPr>
          <w:rFonts w:asciiTheme="minorHAnsi" w:hAnsiTheme="minorHAnsi" w:cstheme="minorHAnsi"/>
          <w:sz w:val="22"/>
          <w:szCs w:val="22"/>
          <w:lang w:eastAsia="x-none"/>
        </w:rPr>
        <w:t xml:space="preserve"> activity, immediate steps were taken to re-activate the cooperation with the Sustainable (Community) Development Platform (SCDP or Platform). Contacts were established with the new potential members of the Platform, in line with the intention of expanding its membership to new target vulnerable groups: people living with HIV/AIDS, people using drugs Roma, victims of domestic violence etc.</w:t>
      </w:r>
    </w:p>
    <w:p w14:paraId="080890DC" w14:textId="77777777" w:rsidR="00370E57" w:rsidRPr="00F33976" w:rsidRDefault="00370E57" w:rsidP="00371773">
      <w:pPr>
        <w:jc w:val="both"/>
        <w:rPr>
          <w:rFonts w:asciiTheme="minorHAnsi" w:hAnsiTheme="minorHAnsi" w:cstheme="minorHAnsi"/>
          <w:sz w:val="22"/>
          <w:szCs w:val="22"/>
          <w:lang w:eastAsia="x-none"/>
        </w:rPr>
      </w:pPr>
    </w:p>
    <w:p w14:paraId="4BAA0A15" w14:textId="77777777" w:rsidR="00370E57" w:rsidRPr="00F33976" w:rsidRDefault="00370E57" w:rsidP="00371773">
      <w:pPr>
        <w:jc w:val="both"/>
        <w:rPr>
          <w:rFonts w:asciiTheme="minorHAnsi" w:hAnsiTheme="minorHAnsi" w:cstheme="minorHAnsi"/>
          <w:sz w:val="22"/>
          <w:szCs w:val="22"/>
          <w:lang w:eastAsia="x-none"/>
        </w:rPr>
      </w:pPr>
      <w:r w:rsidRPr="00F33976">
        <w:rPr>
          <w:rFonts w:asciiTheme="minorHAnsi" w:hAnsiTheme="minorHAnsi" w:cstheme="minorHAnsi"/>
          <w:sz w:val="22"/>
          <w:szCs w:val="22"/>
          <w:lang w:eastAsia="x-none"/>
        </w:rPr>
        <w:t xml:space="preserve">In order to consolidate the SCDP’s institutional capacity and support it in the process of transition, </w:t>
      </w:r>
      <w:proofErr w:type="gramStart"/>
      <w:r w:rsidRPr="00F33976">
        <w:rPr>
          <w:rFonts w:asciiTheme="minorHAnsi" w:hAnsiTheme="minorHAnsi" w:cstheme="minorHAnsi"/>
          <w:sz w:val="22"/>
          <w:szCs w:val="22"/>
          <w:lang w:eastAsia="x-none"/>
        </w:rPr>
        <w:t>a number of</w:t>
      </w:r>
      <w:proofErr w:type="gramEnd"/>
      <w:r w:rsidRPr="00F33976">
        <w:rPr>
          <w:rFonts w:asciiTheme="minorHAnsi" w:hAnsiTheme="minorHAnsi" w:cstheme="minorHAnsi"/>
          <w:sz w:val="22"/>
          <w:szCs w:val="22"/>
          <w:lang w:eastAsia="x-none"/>
        </w:rPr>
        <w:t xml:space="preserve"> coordination meetings were </w:t>
      </w:r>
      <w:proofErr w:type="spellStart"/>
      <w:r w:rsidRPr="00F33976">
        <w:rPr>
          <w:rFonts w:asciiTheme="minorHAnsi" w:hAnsiTheme="minorHAnsi" w:cstheme="minorHAnsi"/>
          <w:sz w:val="22"/>
          <w:szCs w:val="22"/>
          <w:lang w:eastAsia="x-none"/>
        </w:rPr>
        <w:t>organised</w:t>
      </w:r>
      <w:proofErr w:type="spellEnd"/>
      <w:r w:rsidRPr="00F33976">
        <w:rPr>
          <w:rFonts w:asciiTheme="minorHAnsi" w:hAnsiTheme="minorHAnsi" w:cstheme="minorHAnsi"/>
          <w:sz w:val="22"/>
          <w:szCs w:val="22"/>
          <w:lang w:eastAsia="x-none"/>
        </w:rPr>
        <w:t xml:space="preserve"> on both banks with the representatives of these new groups. The current capacity of more than 30 </w:t>
      </w:r>
      <w:proofErr w:type="spellStart"/>
      <w:r w:rsidRPr="00F33976">
        <w:rPr>
          <w:rFonts w:asciiTheme="minorHAnsi" w:hAnsiTheme="minorHAnsi" w:cstheme="minorHAnsi"/>
          <w:sz w:val="22"/>
          <w:szCs w:val="22"/>
          <w:lang w:eastAsia="x-none"/>
        </w:rPr>
        <w:t>organisations</w:t>
      </w:r>
      <w:proofErr w:type="spellEnd"/>
      <w:r w:rsidRPr="00F33976">
        <w:rPr>
          <w:rFonts w:asciiTheme="minorHAnsi" w:hAnsiTheme="minorHAnsi" w:cstheme="minorHAnsi"/>
          <w:sz w:val="22"/>
          <w:szCs w:val="22"/>
          <w:lang w:eastAsia="x-none"/>
        </w:rPr>
        <w:t xml:space="preserve"> and initiative groups of the Platform to cooperate and work together was consolidated by supporting the process of development of the new SCDP’s strategy and action plan.</w:t>
      </w:r>
    </w:p>
    <w:p w14:paraId="5551B061" w14:textId="77777777" w:rsidR="00370E57" w:rsidRPr="00F33976" w:rsidRDefault="00370E57" w:rsidP="00371773">
      <w:pPr>
        <w:jc w:val="both"/>
        <w:rPr>
          <w:rFonts w:asciiTheme="minorHAnsi" w:hAnsiTheme="minorHAnsi" w:cstheme="minorHAnsi"/>
          <w:sz w:val="22"/>
          <w:szCs w:val="22"/>
          <w:lang w:eastAsia="x-none"/>
        </w:rPr>
      </w:pPr>
    </w:p>
    <w:p w14:paraId="39E85088" w14:textId="77777777" w:rsidR="00370E57" w:rsidRPr="00F33976" w:rsidRDefault="00370E57" w:rsidP="00371773">
      <w:pPr>
        <w:jc w:val="both"/>
        <w:rPr>
          <w:rFonts w:asciiTheme="minorHAnsi" w:hAnsiTheme="minorHAnsi" w:cstheme="minorHAnsi"/>
          <w:sz w:val="22"/>
          <w:szCs w:val="22"/>
          <w:lang w:eastAsia="x-none"/>
        </w:rPr>
      </w:pPr>
      <w:r w:rsidRPr="00F33976">
        <w:rPr>
          <w:rFonts w:asciiTheme="minorHAnsi" w:hAnsiTheme="minorHAnsi" w:cstheme="minorHAnsi"/>
          <w:sz w:val="22"/>
          <w:szCs w:val="22"/>
          <w:lang w:eastAsia="x-none"/>
        </w:rPr>
        <w:t>Based on the internal capacity assessment conducted SCDP in the previous phase of the Programme, the process of strengthening of the Platform’s members was initiated, ensuring human-rights-based and gender-sensitive approach. 33 women and 18 men from 9 rural and urban localities, representing different vulnerable groups from the Transnistrian region, have increased their capacities in the area of IT literacy, leadership and team motivation and effective communication and are able to better achieve their goals and communicate effectively about human rights and their activity.</w:t>
      </w:r>
    </w:p>
    <w:p w14:paraId="20663C56" w14:textId="77777777" w:rsidR="00370E57" w:rsidRPr="00F33976" w:rsidRDefault="00370E57" w:rsidP="00371773">
      <w:pPr>
        <w:jc w:val="both"/>
        <w:rPr>
          <w:rFonts w:asciiTheme="minorHAnsi" w:hAnsiTheme="minorHAnsi" w:cstheme="minorHAnsi"/>
          <w:sz w:val="22"/>
          <w:szCs w:val="22"/>
          <w:lang w:eastAsia="x-none"/>
        </w:rPr>
      </w:pPr>
    </w:p>
    <w:p w14:paraId="0D257B4C" w14:textId="77777777" w:rsidR="00370E57" w:rsidRPr="00F33976" w:rsidRDefault="00370E57" w:rsidP="00371773">
      <w:pPr>
        <w:jc w:val="both"/>
        <w:rPr>
          <w:rFonts w:asciiTheme="minorHAnsi" w:hAnsiTheme="minorHAnsi" w:cstheme="minorHAnsi"/>
          <w:sz w:val="22"/>
          <w:szCs w:val="22"/>
          <w:lang w:eastAsia="x-none"/>
        </w:rPr>
      </w:pPr>
      <w:r w:rsidRPr="00F33976">
        <w:rPr>
          <w:rFonts w:asciiTheme="minorHAnsi" w:hAnsiTheme="minorHAnsi" w:cstheme="minorHAnsi"/>
          <w:sz w:val="22"/>
          <w:szCs w:val="22"/>
          <w:lang w:eastAsia="x-none"/>
        </w:rPr>
        <w:t xml:space="preserve">Due to delays in </w:t>
      </w:r>
      <w:proofErr w:type="spellStart"/>
      <w:r w:rsidRPr="00F33976">
        <w:rPr>
          <w:rFonts w:asciiTheme="minorHAnsi" w:hAnsiTheme="minorHAnsi" w:cstheme="minorHAnsi"/>
          <w:sz w:val="22"/>
          <w:szCs w:val="22"/>
          <w:lang w:eastAsia="x-none"/>
        </w:rPr>
        <w:t>mobilisation</w:t>
      </w:r>
      <w:proofErr w:type="spellEnd"/>
      <w:r w:rsidRPr="00F33976">
        <w:rPr>
          <w:rFonts w:asciiTheme="minorHAnsi" w:hAnsiTheme="minorHAnsi" w:cstheme="minorHAnsi"/>
          <w:sz w:val="22"/>
          <w:szCs w:val="22"/>
          <w:lang w:eastAsia="x-none"/>
        </w:rPr>
        <w:t xml:space="preserve"> of the national staff required for the effective implementation of the Programme, a significant number of the results envisaged to be achieved in the reported period, had to be postponed to 2020. However, the related processes were initiated and consultations on various levels of responsibility with the de-facto Transnistrian structures in the area of human rights monitoring, social protection, health, internal affairs and justice were undertaken. Contracts with the new implementing partners were signed and the process of recruitment of necessary expertise by the implementing UN agencies and their partners were initiated.</w:t>
      </w:r>
    </w:p>
    <w:p w14:paraId="71F7D418" w14:textId="77777777" w:rsidR="00370E57" w:rsidRPr="00F33976" w:rsidRDefault="00370E57" w:rsidP="00371773">
      <w:pPr>
        <w:jc w:val="both"/>
        <w:rPr>
          <w:rFonts w:asciiTheme="minorHAnsi" w:hAnsiTheme="minorHAnsi" w:cstheme="minorHAnsi"/>
          <w:sz w:val="22"/>
          <w:szCs w:val="22"/>
          <w:lang w:eastAsia="x-none"/>
        </w:rPr>
      </w:pPr>
    </w:p>
    <w:p w14:paraId="4B90937B" w14:textId="77777777" w:rsidR="00370E57" w:rsidRPr="00F33976" w:rsidRDefault="00370E57" w:rsidP="00371773">
      <w:pPr>
        <w:jc w:val="both"/>
        <w:rPr>
          <w:rFonts w:asciiTheme="minorHAnsi" w:hAnsiTheme="minorHAnsi" w:cstheme="minorHAnsi"/>
          <w:sz w:val="22"/>
          <w:szCs w:val="22"/>
          <w:lang w:eastAsia="x-none"/>
        </w:rPr>
      </w:pPr>
      <w:r w:rsidRPr="00F33976">
        <w:rPr>
          <w:rFonts w:asciiTheme="minorHAnsi" w:hAnsiTheme="minorHAnsi" w:cstheme="minorHAnsi"/>
          <w:sz w:val="22"/>
          <w:szCs w:val="22"/>
          <w:lang w:eastAsia="x-none"/>
        </w:rPr>
        <w:t xml:space="preserve">Thus, two sets of consultancies to conduct a human rights knowledge assessment of civil society </w:t>
      </w:r>
      <w:proofErr w:type="spellStart"/>
      <w:r w:rsidRPr="00F33976">
        <w:rPr>
          <w:rFonts w:asciiTheme="minorHAnsi" w:hAnsiTheme="minorHAnsi" w:cstheme="minorHAnsi"/>
          <w:sz w:val="22"/>
          <w:szCs w:val="22"/>
          <w:lang w:eastAsia="x-none"/>
        </w:rPr>
        <w:t>organisations</w:t>
      </w:r>
      <w:proofErr w:type="spellEnd"/>
      <w:r w:rsidRPr="00F33976">
        <w:rPr>
          <w:rFonts w:asciiTheme="minorHAnsi" w:hAnsiTheme="minorHAnsi" w:cstheme="minorHAnsi"/>
          <w:sz w:val="22"/>
          <w:szCs w:val="22"/>
          <w:lang w:eastAsia="x-none"/>
        </w:rPr>
        <w:t xml:space="preserve"> and human rights defenders, including members of the SDCP, as well as development of a roadmap on establishing the Roma community mediator system on the left bank of the </w:t>
      </w:r>
      <w:proofErr w:type="spellStart"/>
      <w:r w:rsidRPr="00F33976">
        <w:rPr>
          <w:rFonts w:asciiTheme="minorHAnsi" w:hAnsiTheme="minorHAnsi" w:cstheme="minorHAnsi"/>
          <w:sz w:val="22"/>
          <w:szCs w:val="22"/>
          <w:lang w:eastAsia="x-none"/>
        </w:rPr>
        <w:t>Nistru</w:t>
      </w:r>
      <w:proofErr w:type="spellEnd"/>
      <w:r w:rsidRPr="00F33976">
        <w:rPr>
          <w:rFonts w:asciiTheme="minorHAnsi" w:hAnsiTheme="minorHAnsi" w:cstheme="minorHAnsi"/>
          <w:sz w:val="22"/>
          <w:szCs w:val="22"/>
          <w:lang w:eastAsia="x-none"/>
        </w:rPr>
        <w:t xml:space="preserve"> river were initiated. Numerous activities were conducted within these two sets of consultancies, but no concrete results were yet achieved in 2019. These processes are the basis for the successful implementation of related </w:t>
      </w:r>
      <w:proofErr w:type="spellStart"/>
      <w:r w:rsidRPr="00F33976">
        <w:rPr>
          <w:rFonts w:asciiTheme="minorHAnsi" w:hAnsiTheme="minorHAnsi" w:cstheme="minorHAnsi"/>
          <w:sz w:val="22"/>
          <w:szCs w:val="22"/>
          <w:lang w:eastAsia="x-none"/>
        </w:rPr>
        <w:t>Programme’s</w:t>
      </w:r>
      <w:proofErr w:type="spellEnd"/>
      <w:r w:rsidRPr="00F33976">
        <w:rPr>
          <w:rFonts w:asciiTheme="minorHAnsi" w:hAnsiTheme="minorHAnsi" w:cstheme="minorHAnsi"/>
          <w:sz w:val="22"/>
          <w:szCs w:val="22"/>
          <w:lang w:eastAsia="x-none"/>
        </w:rPr>
        <w:t xml:space="preserve"> components. Results of processes started in 2019 will be achieved in 2020.</w:t>
      </w:r>
    </w:p>
    <w:p w14:paraId="0476ABC8" w14:textId="77777777" w:rsidR="00370E57" w:rsidRPr="00F33976" w:rsidRDefault="00370E57" w:rsidP="00371773">
      <w:pPr>
        <w:jc w:val="both"/>
        <w:rPr>
          <w:rFonts w:asciiTheme="minorHAnsi" w:hAnsiTheme="minorHAnsi" w:cstheme="minorHAnsi"/>
          <w:sz w:val="22"/>
          <w:szCs w:val="22"/>
          <w:lang w:eastAsia="x-none"/>
        </w:rPr>
      </w:pPr>
    </w:p>
    <w:p w14:paraId="57A8BFD1" w14:textId="77777777" w:rsidR="00370E57" w:rsidRPr="00F33976" w:rsidRDefault="00370E57" w:rsidP="00371773">
      <w:pPr>
        <w:jc w:val="both"/>
        <w:rPr>
          <w:rFonts w:asciiTheme="minorHAnsi" w:hAnsiTheme="minorHAnsi" w:cstheme="minorHAnsi"/>
          <w:sz w:val="22"/>
          <w:szCs w:val="22"/>
          <w:lang w:eastAsia="x-none"/>
        </w:rPr>
      </w:pPr>
      <w:r w:rsidRPr="00F33976">
        <w:rPr>
          <w:rFonts w:asciiTheme="minorHAnsi" w:hAnsiTheme="minorHAnsi" w:cstheme="minorHAnsi"/>
          <w:sz w:val="22"/>
          <w:szCs w:val="22"/>
          <w:lang w:eastAsia="x-none"/>
        </w:rPr>
        <w:t xml:space="preserve">In line with the </w:t>
      </w:r>
      <w:proofErr w:type="spellStart"/>
      <w:r w:rsidRPr="00F33976">
        <w:rPr>
          <w:rFonts w:asciiTheme="minorHAnsi" w:hAnsiTheme="minorHAnsi" w:cstheme="minorHAnsi"/>
          <w:sz w:val="22"/>
          <w:szCs w:val="22"/>
          <w:lang w:eastAsia="x-none"/>
        </w:rPr>
        <w:t>Programme’s</w:t>
      </w:r>
      <w:proofErr w:type="spellEnd"/>
      <w:r w:rsidRPr="00F33976">
        <w:rPr>
          <w:rFonts w:asciiTheme="minorHAnsi" w:hAnsiTheme="minorHAnsi" w:cstheme="minorHAnsi"/>
          <w:sz w:val="22"/>
          <w:szCs w:val="22"/>
          <w:lang w:eastAsia="x-none"/>
        </w:rPr>
        <w:t xml:space="preserve"> target of developing communitarian pre-exposure prophylaxis service for men who have sex with men, sex workers, partners of persons living with HIV, 60 persons - 56 on the right bank and 4 on the left bank had access to </w:t>
      </w:r>
      <w:proofErr w:type="spellStart"/>
      <w:r w:rsidRPr="00F33976">
        <w:rPr>
          <w:rFonts w:asciiTheme="minorHAnsi" w:hAnsiTheme="minorHAnsi" w:cstheme="minorHAnsi"/>
          <w:sz w:val="22"/>
          <w:szCs w:val="22"/>
          <w:lang w:eastAsia="x-none"/>
        </w:rPr>
        <w:t>PrEP</w:t>
      </w:r>
      <w:proofErr w:type="spellEnd"/>
      <w:r w:rsidRPr="00F33976">
        <w:rPr>
          <w:rFonts w:asciiTheme="minorHAnsi" w:hAnsiTheme="minorHAnsi" w:cstheme="minorHAnsi"/>
          <w:sz w:val="22"/>
          <w:szCs w:val="22"/>
          <w:lang w:eastAsia="x-none"/>
        </w:rPr>
        <w:t xml:space="preserve"> (pre-exposure prophylaxis) on HIV in the period from July to December 2019, a doubled result compared to the </w:t>
      </w:r>
      <w:proofErr w:type="spellStart"/>
      <w:r w:rsidRPr="00F33976">
        <w:rPr>
          <w:rFonts w:asciiTheme="minorHAnsi" w:hAnsiTheme="minorHAnsi" w:cstheme="minorHAnsi"/>
          <w:sz w:val="22"/>
          <w:szCs w:val="22"/>
          <w:lang w:eastAsia="x-none"/>
        </w:rPr>
        <w:t>Programme’s</w:t>
      </w:r>
      <w:proofErr w:type="spellEnd"/>
      <w:r w:rsidRPr="00F33976">
        <w:rPr>
          <w:rFonts w:asciiTheme="minorHAnsi" w:hAnsiTheme="minorHAnsi" w:cstheme="minorHAnsi"/>
          <w:sz w:val="22"/>
          <w:szCs w:val="22"/>
          <w:lang w:eastAsia="x-none"/>
        </w:rPr>
        <w:t xml:space="preserve"> target. 59 persons are men who have sex with men, and one is a sexual worker. It </w:t>
      </w:r>
      <w:proofErr w:type="gramStart"/>
      <w:r w:rsidRPr="00F33976">
        <w:rPr>
          <w:rFonts w:asciiTheme="minorHAnsi" w:hAnsiTheme="minorHAnsi" w:cstheme="minorHAnsi"/>
          <w:sz w:val="22"/>
          <w:szCs w:val="22"/>
          <w:lang w:eastAsia="x-none"/>
        </w:rPr>
        <w:t>has to</w:t>
      </w:r>
      <w:proofErr w:type="gramEnd"/>
      <w:r w:rsidRPr="00F33976">
        <w:rPr>
          <w:rFonts w:asciiTheme="minorHAnsi" w:hAnsiTheme="minorHAnsi" w:cstheme="minorHAnsi"/>
          <w:sz w:val="22"/>
          <w:szCs w:val="22"/>
          <w:lang w:eastAsia="x-none"/>
        </w:rPr>
        <w:t xml:space="preserve"> be underlined that actually it was very difficult to estimate the target, or the </w:t>
      </w:r>
      <w:r w:rsidRPr="00F33976">
        <w:rPr>
          <w:rFonts w:asciiTheme="minorHAnsi" w:hAnsiTheme="minorHAnsi" w:cstheme="minorHAnsi"/>
          <w:sz w:val="22"/>
          <w:szCs w:val="22"/>
          <w:lang w:eastAsia="x-none"/>
        </w:rPr>
        <w:lastRenderedPageBreak/>
        <w:t xml:space="preserve">intervention is absolutely new in Moldova, as well as in the Eastern Europe and Central Asia. The Moldovan model is also unique </w:t>
      </w:r>
      <w:proofErr w:type="gramStart"/>
      <w:r w:rsidRPr="00F33976">
        <w:rPr>
          <w:rFonts w:asciiTheme="minorHAnsi" w:hAnsiTheme="minorHAnsi" w:cstheme="minorHAnsi"/>
          <w:sz w:val="22"/>
          <w:szCs w:val="22"/>
          <w:lang w:eastAsia="x-none"/>
        </w:rPr>
        <w:t>due to the fact that</w:t>
      </w:r>
      <w:proofErr w:type="gramEnd"/>
      <w:r w:rsidRPr="00F33976">
        <w:rPr>
          <w:rFonts w:asciiTheme="minorHAnsi" w:hAnsiTheme="minorHAnsi" w:cstheme="minorHAnsi"/>
          <w:sz w:val="22"/>
          <w:szCs w:val="22"/>
          <w:lang w:eastAsia="x-none"/>
        </w:rPr>
        <w:t xml:space="preserve"> it is a community </w:t>
      </w:r>
      <w:proofErr w:type="spellStart"/>
      <w:r w:rsidRPr="00F33976">
        <w:rPr>
          <w:rFonts w:asciiTheme="minorHAnsi" w:hAnsiTheme="minorHAnsi" w:cstheme="minorHAnsi"/>
          <w:sz w:val="22"/>
          <w:szCs w:val="22"/>
          <w:lang w:eastAsia="x-none"/>
        </w:rPr>
        <w:t>PrEP</w:t>
      </w:r>
      <w:proofErr w:type="spellEnd"/>
      <w:r w:rsidRPr="00F33976">
        <w:rPr>
          <w:rFonts w:asciiTheme="minorHAnsi" w:hAnsiTheme="minorHAnsi" w:cstheme="minorHAnsi"/>
          <w:sz w:val="22"/>
          <w:szCs w:val="22"/>
          <w:lang w:eastAsia="x-none"/>
        </w:rPr>
        <w:t xml:space="preserve">, which means that if in all the countries, which implement </w:t>
      </w:r>
      <w:proofErr w:type="spellStart"/>
      <w:r w:rsidRPr="00F33976">
        <w:rPr>
          <w:rFonts w:asciiTheme="minorHAnsi" w:hAnsiTheme="minorHAnsi" w:cstheme="minorHAnsi"/>
          <w:sz w:val="22"/>
          <w:szCs w:val="22"/>
          <w:lang w:eastAsia="x-none"/>
        </w:rPr>
        <w:t>PrEP</w:t>
      </w:r>
      <w:proofErr w:type="spellEnd"/>
      <w:r w:rsidRPr="00F33976">
        <w:rPr>
          <w:rFonts w:asciiTheme="minorHAnsi" w:hAnsiTheme="minorHAnsi" w:cstheme="minorHAnsi"/>
          <w:sz w:val="22"/>
          <w:szCs w:val="22"/>
          <w:lang w:eastAsia="x-none"/>
        </w:rPr>
        <w:t xml:space="preserve">, it is strictly linked to the health facility. In Moldova, the doctor is providing it within the NGO and the non-governmental organization is involved to communicate about the service, to support those for enrolment, to support and follow on taking regularly </w:t>
      </w:r>
      <w:proofErr w:type="spellStart"/>
      <w:r w:rsidRPr="00F33976">
        <w:rPr>
          <w:rFonts w:asciiTheme="minorHAnsi" w:hAnsiTheme="minorHAnsi" w:cstheme="minorHAnsi"/>
          <w:sz w:val="22"/>
          <w:szCs w:val="22"/>
          <w:lang w:eastAsia="x-none"/>
        </w:rPr>
        <w:t>PrEP</w:t>
      </w:r>
      <w:proofErr w:type="spellEnd"/>
      <w:r w:rsidRPr="00F33976">
        <w:rPr>
          <w:rFonts w:asciiTheme="minorHAnsi" w:hAnsiTheme="minorHAnsi" w:cstheme="minorHAnsi"/>
          <w:sz w:val="22"/>
          <w:szCs w:val="22"/>
          <w:lang w:eastAsia="x-none"/>
        </w:rPr>
        <w:t xml:space="preserve">, as prescribed by the health worker. </w:t>
      </w:r>
    </w:p>
    <w:p w14:paraId="7FD39C8C" w14:textId="77777777" w:rsidR="00370E57" w:rsidRPr="001B337A" w:rsidRDefault="00370E57" w:rsidP="00371773">
      <w:pPr>
        <w:ind w:left="360"/>
        <w:jc w:val="both"/>
        <w:rPr>
          <w:lang w:val="en-GB"/>
        </w:rPr>
      </w:pPr>
    </w:p>
    <w:p w14:paraId="7429AF13" w14:textId="77777777" w:rsidR="00370E57" w:rsidRPr="00F33976" w:rsidRDefault="00370E57" w:rsidP="00371773">
      <w:pPr>
        <w:jc w:val="both"/>
        <w:rPr>
          <w:rFonts w:asciiTheme="minorHAnsi" w:hAnsiTheme="minorHAnsi" w:cstheme="minorHAnsi"/>
          <w:sz w:val="22"/>
          <w:szCs w:val="22"/>
          <w:lang w:eastAsia="x-none"/>
        </w:rPr>
      </w:pPr>
      <w:r w:rsidRPr="00F33976">
        <w:rPr>
          <w:rFonts w:asciiTheme="minorHAnsi" w:hAnsiTheme="minorHAnsi" w:cstheme="minorHAnsi"/>
          <w:sz w:val="22"/>
          <w:szCs w:val="22"/>
          <w:lang w:eastAsia="x-none"/>
        </w:rPr>
        <w:t xml:space="preserve">About 25 persons, which are participating in this process - health staff in National HIV Units from Chisinau, Balti, Tiraspol, as well as health coordinators and outreach workers from the NGOs, - are involved in provision of the following </w:t>
      </w:r>
      <w:proofErr w:type="spellStart"/>
      <w:r w:rsidRPr="00F33976">
        <w:rPr>
          <w:rFonts w:asciiTheme="minorHAnsi" w:hAnsiTheme="minorHAnsi" w:cstheme="minorHAnsi"/>
          <w:sz w:val="22"/>
          <w:szCs w:val="22"/>
          <w:lang w:eastAsia="x-none"/>
        </w:rPr>
        <w:t>PrEP</w:t>
      </w:r>
      <w:proofErr w:type="spellEnd"/>
      <w:r w:rsidRPr="00F33976">
        <w:rPr>
          <w:rFonts w:asciiTheme="minorHAnsi" w:hAnsiTheme="minorHAnsi" w:cstheme="minorHAnsi"/>
          <w:sz w:val="22"/>
          <w:szCs w:val="22"/>
          <w:lang w:eastAsia="x-none"/>
        </w:rPr>
        <w:t xml:space="preserve"> community-based services on both banks of </w:t>
      </w:r>
      <w:proofErr w:type="spellStart"/>
      <w:r w:rsidRPr="00F33976">
        <w:rPr>
          <w:rFonts w:asciiTheme="minorHAnsi" w:hAnsiTheme="minorHAnsi" w:cstheme="minorHAnsi"/>
          <w:sz w:val="22"/>
          <w:szCs w:val="22"/>
          <w:lang w:eastAsia="x-none"/>
        </w:rPr>
        <w:t>Nistru</w:t>
      </w:r>
      <w:proofErr w:type="spellEnd"/>
      <w:r w:rsidRPr="00F33976">
        <w:rPr>
          <w:rFonts w:asciiTheme="minorHAnsi" w:hAnsiTheme="minorHAnsi" w:cstheme="minorHAnsi"/>
          <w:sz w:val="22"/>
          <w:szCs w:val="22"/>
          <w:lang w:eastAsia="x-none"/>
        </w:rPr>
        <w:t xml:space="preserve"> River: </w:t>
      </w:r>
    </w:p>
    <w:p w14:paraId="7E2E74CB" w14:textId="77777777" w:rsidR="00370E57" w:rsidRPr="00F33976" w:rsidRDefault="00370E57" w:rsidP="00371773">
      <w:pPr>
        <w:pStyle w:val="ListParagraph"/>
        <w:numPr>
          <w:ilvl w:val="0"/>
          <w:numId w:val="22"/>
        </w:numPr>
        <w:jc w:val="both"/>
        <w:rPr>
          <w:rFonts w:asciiTheme="minorHAnsi" w:hAnsiTheme="minorHAnsi" w:cstheme="minorHAnsi"/>
          <w:sz w:val="22"/>
          <w:szCs w:val="22"/>
          <w:lang w:eastAsia="x-none"/>
        </w:rPr>
      </w:pPr>
      <w:r w:rsidRPr="00F33976">
        <w:rPr>
          <w:rFonts w:asciiTheme="minorHAnsi" w:hAnsiTheme="minorHAnsi" w:cstheme="minorHAnsi"/>
          <w:sz w:val="22"/>
          <w:szCs w:val="22"/>
          <w:lang w:eastAsia="x-none"/>
        </w:rPr>
        <w:t xml:space="preserve">Referral to HIV, VHC (viral hepatitis C), creatinine testing; </w:t>
      </w:r>
    </w:p>
    <w:p w14:paraId="57438A8D" w14:textId="77777777" w:rsidR="00370E57" w:rsidRPr="00F33976" w:rsidRDefault="00370E57" w:rsidP="00371773">
      <w:pPr>
        <w:pStyle w:val="ListParagraph"/>
        <w:numPr>
          <w:ilvl w:val="0"/>
          <w:numId w:val="22"/>
        </w:numPr>
        <w:jc w:val="both"/>
        <w:rPr>
          <w:rFonts w:asciiTheme="minorHAnsi" w:hAnsiTheme="minorHAnsi" w:cstheme="minorHAnsi"/>
          <w:sz w:val="22"/>
          <w:szCs w:val="22"/>
          <w:lang w:eastAsia="x-none"/>
        </w:rPr>
      </w:pPr>
      <w:r w:rsidRPr="00F33976">
        <w:rPr>
          <w:rFonts w:asciiTheme="minorHAnsi" w:hAnsiTheme="minorHAnsi" w:cstheme="minorHAnsi"/>
          <w:sz w:val="22"/>
          <w:szCs w:val="22"/>
          <w:lang w:eastAsia="x-none"/>
        </w:rPr>
        <w:t xml:space="preserve">Information and education (peer to peer) of the new beneficiary on </w:t>
      </w:r>
      <w:proofErr w:type="spellStart"/>
      <w:r w:rsidRPr="00F33976">
        <w:rPr>
          <w:rFonts w:asciiTheme="minorHAnsi" w:hAnsiTheme="minorHAnsi" w:cstheme="minorHAnsi"/>
          <w:sz w:val="22"/>
          <w:szCs w:val="22"/>
          <w:lang w:eastAsia="x-none"/>
        </w:rPr>
        <w:t>PrEP</w:t>
      </w:r>
      <w:proofErr w:type="spellEnd"/>
      <w:r w:rsidRPr="00F33976">
        <w:rPr>
          <w:rFonts w:asciiTheme="minorHAnsi" w:hAnsiTheme="minorHAnsi" w:cstheme="minorHAnsi"/>
          <w:sz w:val="22"/>
          <w:szCs w:val="22"/>
          <w:lang w:eastAsia="x-none"/>
        </w:rPr>
        <w:t xml:space="preserve">; </w:t>
      </w:r>
    </w:p>
    <w:p w14:paraId="55273856" w14:textId="77777777" w:rsidR="00370E57" w:rsidRPr="00F33976" w:rsidRDefault="00370E57" w:rsidP="00371773">
      <w:pPr>
        <w:pStyle w:val="ListParagraph"/>
        <w:numPr>
          <w:ilvl w:val="0"/>
          <w:numId w:val="22"/>
        </w:numPr>
        <w:jc w:val="both"/>
        <w:rPr>
          <w:rFonts w:asciiTheme="minorHAnsi" w:hAnsiTheme="minorHAnsi" w:cstheme="minorHAnsi"/>
          <w:sz w:val="22"/>
          <w:szCs w:val="22"/>
          <w:lang w:eastAsia="x-none"/>
        </w:rPr>
      </w:pPr>
      <w:r w:rsidRPr="00F33976">
        <w:rPr>
          <w:rFonts w:asciiTheme="minorHAnsi" w:hAnsiTheme="minorHAnsi" w:cstheme="minorHAnsi"/>
          <w:sz w:val="22"/>
          <w:szCs w:val="22"/>
          <w:lang w:eastAsia="x-none"/>
        </w:rPr>
        <w:t xml:space="preserve">Facilitation of health consultation of each beneficiary. </w:t>
      </w:r>
    </w:p>
    <w:p w14:paraId="5CA91169" w14:textId="77777777" w:rsidR="00370E57" w:rsidRPr="00F33976" w:rsidRDefault="00370E57" w:rsidP="00371773">
      <w:pPr>
        <w:pStyle w:val="ListParagraph"/>
        <w:numPr>
          <w:ilvl w:val="0"/>
          <w:numId w:val="22"/>
        </w:numPr>
        <w:jc w:val="both"/>
        <w:rPr>
          <w:rFonts w:asciiTheme="minorHAnsi" w:hAnsiTheme="minorHAnsi" w:cstheme="minorHAnsi"/>
          <w:sz w:val="22"/>
          <w:szCs w:val="22"/>
          <w:lang w:eastAsia="x-none"/>
        </w:rPr>
      </w:pPr>
      <w:r w:rsidRPr="00F33976">
        <w:rPr>
          <w:rFonts w:asciiTheme="minorHAnsi" w:hAnsiTheme="minorHAnsi" w:cstheme="minorHAnsi"/>
          <w:sz w:val="22"/>
          <w:szCs w:val="22"/>
          <w:lang w:eastAsia="x-none"/>
        </w:rPr>
        <w:t xml:space="preserve">Follow-up of each beneficiary an individual consultation to ensure the beneficiary is adherent to </w:t>
      </w:r>
      <w:proofErr w:type="spellStart"/>
      <w:r w:rsidRPr="00F33976">
        <w:rPr>
          <w:rFonts w:asciiTheme="minorHAnsi" w:hAnsiTheme="minorHAnsi" w:cstheme="minorHAnsi"/>
          <w:sz w:val="22"/>
          <w:szCs w:val="22"/>
          <w:lang w:eastAsia="x-none"/>
        </w:rPr>
        <w:t>PrEP.</w:t>
      </w:r>
      <w:proofErr w:type="spellEnd"/>
      <w:r w:rsidRPr="00F33976">
        <w:rPr>
          <w:rFonts w:asciiTheme="minorHAnsi" w:hAnsiTheme="minorHAnsi" w:cstheme="minorHAnsi"/>
          <w:sz w:val="22"/>
          <w:szCs w:val="22"/>
          <w:lang w:eastAsia="x-none"/>
        </w:rPr>
        <w:t xml:space="preserve"> </w:t>
      </w:r>
    </w:p>
    <w:p w14:paraId="5D0DBEA3" w14:textId="77777777" w:rsidR="00370E57" w:rsidRPr="00F33976" w:rsidRDefault="00370E57" w:rsidP="00371773">
      <w:pPr>
        <w:jc w:val="both"/>
        <w:rPr>
          <w:rFonts w:asciiTheme="minorHAnsi" w:hAnsiTheme="minorHAnsi" w:cstheme="minorHAnsi"/>
          <w:sz w:val="22"/>
          <w:szCs w:val="22"/>
          <w:lang w:eastAsia="x-none"/>
        </w:rPr>
      </w:pPr>
    </w:p>
    <w:p w14:paraId="735756B8" w14:textId="3CAD8702" w:rsidR="00370E57" w:rsidRPr="00F33976" w:rsidRDefault="00370E57" w:rsidP="00371773">
      <w:pPr>
        <w:jc w:val="both"/>
        <w:rPr>
          <w:rFonts w:asciiTheme="minorHAnsi" w:hAnsiTheme="minorHAnsi" w:cstheme="minorHAnsi"/>
          <w:sz w:val="22"/>
          <w:szCs w:val="22"/>
          <w:lang w:eastAsia="x-none"/>
        </w:rPr>
      </w:pPr>
      <w:r w:rsidRPr="00F33976">
        <w:rPr>
          <w:rFonts w:asciiTheme="minorHAnsi" w:hAnsiTheme="minorHAnsi" w:cstheme="minorHAnsi"/>
          <w:sz w:val="22"/>
          <w:szCs w:val="22"/>
          <w:lang w:eastAsia="x-none"/>
        </w:rPr>
        <w:t xml:space="preserve">The process of the development and introduction of the </w:t>
      </w:r>
      <w:proofErr w:type="spellStart"/>
      <w:r w:rsidR="00FB1C5A">
        <w:rPr>
          <w:rFonts w:asciiTheme="minorHAnsi" w:hAnsiTheme="minorHAnsi" w:cstheme="minorHAnsi"/>
          <w:sz w:val="22"/>
          <w:szCs w:val="22"/>
          <w:lang w:eastAsia="x-none"/>
        </w:rPr>
        <w:t>PrEP</w:t>
      </w:r>
      <w:proofErr w:type="spellEnd"/>
      <w:r w:rsidR="0070329E" w:rsidRPr="00F33976">
        <w:rPr>
          <w:rFonts w:asciiTheme="minorHAnsi" w:hAnsiTheme="minorHAnsi" w:cstheme="minorHAnsi"/>
          <w:sz w:val="22"/>
          <w:szCs w:val="22"/>
          <w:lang w:eastAsia="x-none"/>
        </w:rPr>
        <w:t xml:space="preserve"> </w:t>
      </w:r>
      <w:r w:rsidRPr="00F33976">
        <w:rPr>
          <w:rFonts w:asciiTheme="minorHAnsi" w:hAnsiTheme="minorHAnsi" w:cstheme="minorHAnsi"/>
          <w:sz w:val="22"/>
          <w:szCs w:val="22"/>
          <w:lang w:eastAsia="x-none"/>
        </w:rPr>
        <w:t xml:space="preserve">service was a consultative and inclusive one, with the participation of </w:t>
      </w:r>
      <w:proofErr w:type="spellStart"/>
      <w:r w:rsidRPr="00F33976">
        <w:rPr>
          <w:rFonts w:asciiTheme="minorHAnsi" w:hAnsiTheme="minorHAnsi" w:cstheme="minorHAnsi"/>
          <w:sz w:val="22"/>
          <w:szCs w:val="22"/>
          <w:lang w:eastAsia="x-none"/>
        </w:rPr>
        <w:t>organisations</w:t>
      </w:r>
      <w:proofErr w:type="spellEnd"/>
      <w:r w:rsidRPr="00F33976">
        <w:rPr>
          <w:rFonts w:asciiTheme="minorHAnsi" w:hAnsiTheme="minorHAnsi" w:cstheme="minorHAnsi"/>
          <w:sz w:val="22"/>
          <w:szCs w:val="22"/>
          <w:lang w:eastAsia="x-none"/>
        </w:rPr>
        <w:t xml:space="preserve"> from both banks of the </w:t>
      </w:r>
      <w:proofErr w:type="spellStart"/>
      <w:r w:rsidRPr="00F33976">
        <w:rPr>
          <w:rFonts w:asciiTheme="minorHAnsi" w:hAnsiTheme="minorHAnsi" w:cstheme="minorHAnsi"/>
          <w:sz w:val="22"/>
          <w:szCs w:val="22"/>
          <w:lang w:eastAsia="x-none"/>
        </w:rPr>
        <w:t>Nistru</w:t>
      </w:r>
      <w:proofErr w:type="spellEnd"/>
      <w:r w:rsidRPr="00F33976">
        <w:rPr>
          <w:rFonts w:asciiTheme="minorHAnsi" w:hAnsiTheme="minorHAnsi" w:cstheme="minorHAnsi"/>
          <w:sz w:val="22"/>
          <w:szCs w:val="22"/>
          <w:lang w:eastAsia="x-none"/>
        </w:rPr>
        <w:t xml:space="preserve"> River. The concept was developed jointly with the National HIV Programme Unit, several NGOs as “</w:t>
      </w:r>
      <w:proofErr w:type="spellStart"/>
      <w:r w:rsidRPr="00F33976">
        <w:rPr>
          <w:rFonts w:asciiTheme="minorHAnsi" w:hAnsiTheme="minorHAnsi" w:cstheme="minorHAnsi"/>
          <w:sz w:val="22"/>
          <w:szCs w:val="22"/>
          <w:lang w:eastAsia="x-none"/>
        </w:rPr>
        <w:t>GenderDoc</w:t>
      </w:r>
      <w:proofErr w:type="spellEnd"/>
      <w:r w:rsidRPr="00F33976">
        <w:rPr>
          <w:rFonts w:asciiTheme="minorHAnsi" w:hAnsiTheme="minorHAnsi" w:cstheme="minorHAnsi"/>
          <w:sz w:val="22"/>
          <w:szCs w:val="22"/>
          <w:lang w:eastAsia="x-none"/>
        </w:rPr>
        <w:t>-M”, “</w:t>
      </w:r>
      <w:proofErr w:type="spellStart"/>
      <w:r w:rsidRPr="00F33976">
        <w:rPr>
          <w:rFonts w:asciiTheme="minorHAnsi" w:hAnsiTheme="minorHAnsi" w:cstheme="minorHAnsi"/>
          <w:sz w:val="22"/>
          <w:szCs w:val="22"/>
          <w:lang w:eastAsia="x-none"/>
        </w:rPr>
        <w:t>Initiativa</w:t>
      </w:r>
      <w:proofErr w:type="spellEnd"/>
      <w:r w:rsidRPr="00F33976">
        <w:rPr>
          <w:rFonts w:asciiTheme="minorHAnsi" w:hAnsiTheme="minorHAnsi" w:cstheme="minorHAnsi"/>
          <w:sz w:val="22"/>
          <w:szCs w:val="22"/>
          <w:lang w:eastAsia="x-none"/>
        </w:rPr>
        <w:t xml:space="preserve"> </w:t>
      </w:r>
      <w:proofErr w:type="spellStart"/>
      <w:r w:rsidRPr="00F33976">
        <w:rPr>
          <w:rFonts w:asciiTheme="minorHAnsi" w:hAnsiTheme="minorHAnsi" w:cstheme="minorHAnsi"/>
          <w:sz w:val="22"/>
          <w:szCs w:val="22"/>
          <w:lang w:eastAsia="x-none"/>
        </w:rPr>
        <w:t>Pozitiva</w:t>
      </w:r>
      <w:proofErr w:type="spellEnd"/>
      <w:r w:rsidRPr="00F33976">
        <w:rPr>
          <w:rFonts w:asciiTheme="minorHAnsi" w:hAnsiTheme="minorHAnsi" w:cstheme="minorHAnsi"/>
          <w:sz w:val="22"/>
          <w:szCs w:val="22"/>
          <w:lang w:eastAsia="x-none"/>
        </w:rPr>
        <w:t xml:space="preserve"> (Positive Initiative)”, ATIS or youth friendly health service from Balti and “</w:t>
      </w:r>
      <w:proofErr w:type="spellStart"/>
      <w:r w:rsidRPr="00F33976">
        <w:rPr>
          <w:rFonts w:asciiTheme="minorHAnsi" w:hAnsiTheme="minorHAnsi" w:cstheme="minorHAnsi"/>
          <w:sz w:val="22"/>
          <w:szCs w:val="22"/>
          <w:lang w:eastAsia="x-none"/>
        </w:rPr>
        <w:t>Miloserdie</w:t>
      </w:r>
      <w:proofErr w:type="spellEnd"/>
      <w:r w:rsidRPr="00F33976">
        <w:rPr>
          <w:rFonts w:asciiTheme="minorHAnsi" w:hAnsiTheme="minorHAnsi" w:cstheme="minorHAnsi"/>
          <w:sz w:val="22"/>
          <w:szCs w:val="22"/>
          <w:lang w:eastAsia="x-none"/>
        </w:rPr>
        <w:t>” from Bender.  During this process it was also possible to leverage resources, via a partnership with “</w:t>
      </w:r>
      <w:proofErr w:type="spellStart"/>
      <w:r w:rsidRPr="00F33976">
        <w:rPr>
          <w:rFonts w:asciiTheme="minorHAnsi" w:hAnsiTheme="minorHAnsi" w:cstheme="minorHAnsi"/>
          <w:sz w:val="22"/>
          <w:szCs w:val="22"/>
          <w:lang w:eastAsia="x-none"/>
        </w:rPr>
        <w:t>Initiativa</w:t>
      </w:r>
      <w:proofErr w:type="spellEnd"/>
      <w:r w:rsidRPr="00F33976">
        <w:rPr>
          <w:rFonts w:asciiTheme="minorHAnsi" w:hAnsiTheme="minorHAnsi" w:cstheme="minorHAnsi"/>
          <w:sz w:val="22"/>
          <w:szCs w:val="22"/>
          <w:lang w:eastAsia="x-none"/>
        </w:rPr>
        <w:t xml:space="preserve"> </w:t>
      </w:r>
      <w:proofErr w:type="spellStart"/>
      <w:r w:rsidRPr="00F33976">
        <w:rPr>
          <w:rFonts w:asciiTheme="minorHAnsi" w:hAnsiTheme="minorHAnsi" w:cstheme="minorHAnsi"/>
          <w:sz w:val="22"/>
          <w:szCs w:val="22"/>
          <w:lang w:eastAsia="x-none"/>
        </w:rPr>
        <w:t>Pozitiva</w:t>
      </w:r>
      <w:proofErr w:type="spellEnd"/>
      <w:r w:rsidRPr="00F33976">
        <w:rPr>
          <w:rFonts w:asciiTheme="minorHAnsi" w:hAnsiTheme="minorHAnsi" w:cstheme="minorHAnsi"/>
          <w:sz w:val="22"/>
          <w:szCs w:val="22"/>
          <w:lang w:eastAsia="x-none"/>
        </w:rPr>
        <w:t xml:space="preserve">” NGO, from a regional project, financed by the Global Fund to fight AIDS, TB and malaria. </w:t>
      </w:r>
    </w:p>
    <w:p w14:paraId="78A6B312" w14:textId="77777777" w:rsidR="00370E57" w:rsidRPr="00F33976" w:rsidRDefault="00370E57" w:rsidP="00371773">
      <w:pPr>
        <w:jc w:val="both"/>
        <w:rPr>
          <w:rFonts w:asciiTheme="minorHAnsi" w:hAnsiTheme="minorHAnsi" w:cstheme="minorHAnsi"/>
          <w:sz w:val="22"/>
          <w:szCs w:val="22"/>
          <w:lang w:eastAsia="x-none"/>
        </w:rPr>
      </w:pPr>
    </w:p>
    <w:p w14:paraId="2E30BED7" w14:textId="77777777" w:rsidR="00370E57" w:rsidRPr="00F33976" w:rsidRDefault="00370E57" w:rsidP="00371773">
      <w:pPr>
        <w:jc w:val="both"/>
        <w:rPr>
          <w:rFonts w:asciiTheme="minorHAnsi" w:hAnsiTheme="minorHAnsi" w:cstheme="minorHAnsi"/>
          <w:sz w:val="22"/>
          <w:szCs w:val="22"/>
          <w:lang w:eastAsia="x-none"/>
        </w:rPr>
      </w:pPr>
      <w:r w:rsidRPr="00F33976">
        <w:rPr>
          <w:rFonts w:asciiTheme="minorHAnsi" w:hAnsiTheme="minorHAnsi" w:cstheme="minorHAnsi"/>
          <w:sz w:val="22"/>
          <w:szCs w:val="22"/>
          <w:lang w:eastAsia="x-none"/>
        </w:rPr>
        <w:t xml:space="preserve">The development and piloting of CSOs gender specific services for women, who use drugs, on both banks of the </w:t>
      </w:r>
      <w:proofErr w:type="spellStart"/>
      <w:r w:rsidRPr="00F33976">
        <w:rPr>
          <w:rFonts w:asciiTheme="minorHAnsi" w:hAnsiTheme="minorHAnsi" w:cstheme="minorHAnsi"/>
          <w:sz w:val="22"/>
          <w:szCs w:val="22"/>
          <w:lang w:eastAsia="x-none"/>
        </w:rPr>
        <w:t>Nistru</w:t>
      </w:r>
      <w:proofErr w:type="spellEnd"/>
      <w:r w:rsidRPr="00F33976">
        <w:rPr>
          <w:rFonts w:asciiTheme="minorHAnsi" w:hAnsiTheme="minorHAnsi" w:cstheme="minorHAnsi"/>
          <w:sz w:val="22"/>
          <w:szCs w:val="22"/>
          <w:lang w:eastAsia="x-none"/>
        </w:rPr>
        <w:t xml:space="preserve"> river was initiated by designing a capacity building exercise for services providers such as CSOs, probation, health, social services, from both banks, based on UNODC Policy Brief recommendations for vulnerable women capacity and UNODC HAS gender standard training material. The extensive training was planned to be conducted in December 2019. However, due to delays outlined above, it was postponed for February 2020. It is planned to be a joined effort of UNODC, UNAIDS and a local CSO UORN (from the North) it will enhance the knowledge of the participants in the fields of gender specific services aspects of harm reduction services both for women in community and in prisons.</w:t>
      </w:r>
    </w:p>
    <w:p w14:paraId="1F15F6FA" w14:textId="77777777" w:rsidR="00370E57" w:rsidRPr="00F33976" w:rsidRDefault="00370E57" w:rsidP="00371773">
      <w:pPr>
        <w:jc w:val="both"/>
        <w:rPr>
          <w:rFonts w:asciiTheme="minorHAnsi" w:hAnsiTheme="minorHAnsi" w:cstheme="minorHAnsi"/>
          <w:sz w:val="22"/>
          <w:szCs w:val="22"/>
          <w:lang w:eastAsia="x-none"/>
        </w:rPr>
      </w:pPr>
    </w:p>
    <w:p w14:paraId="28B0A97E" w14:textId="6821316A" w:rsidR="00370E57" w:rsidRPr="00F33976" w:rsidRDefault="00370E57" w:rsidP="00371773">
      <w:pPr>
        <w:jc w:val="both"/>
        <w:rPr>
          <w:rFonts w:asciiTheme="minorHAnsi" w:hAnsiTheme="minorHAnsi" w:cstheme="minorHAnsi"/>
          <w:sz w:val="22"/>
          <w:szCs w:val="22"/>
          <w:lang w:eastAsia="x-none"/>
        </w:rPr>
      </w:pPr>
      <w:r w:rsidRPr="00F33976">
        <w:rPr>
          <w:rFonts w:asciiTheme="minorHAnsi" w:hAnsiTheme="minorHAnsi" w:cstheme="minorHAnsi"/>
          <w:sz w:val="22"/>
          <w:szCs w:val="22"/>
          <w:lang w:eastAsia="x-none"/>
        </w:rPr>
        <w:t>In order to improve the service delivery of CSOs in the field of Domestic Violence (DV) related to identification, referral and direct assistance, from July to December 2019, the Programme supported the operationalization of the “Trust Line 0800 99800” for victims of domestic violence. The operators of the Trust Line, administrated by the NGO “Interaction” answered 320 calls related to domestic violence (almost double compared to the same period in 2018), including 199 SOS related calls. This result can be attributed to the fact that women are less afraid of speaking up and are more willing to address services thanks to people-to-people awareness that women are assisted. The fact that the DV is now wider discussed in Transnistria society including via TV shows, targeted campaigns like 16 Days Campaign of Activism against Gender Based Violence is also contributing to the increased awareness. From the calls received, 19 SOS cases of women victims of domestic violence were opened, and those cases were referred to or managed together with the specialists of other CSOs operating in the field of domestic violence in the Transnistrian region (“Women’s Initiatives”, Centre for Psychological Support “Lada” and Centre “Resonance”). This close and coordinated cooperation contributed to an improved general protection service delivery of the main CSOs, operating in the field of domestic violence in the Transnistrian region. In the field of prevention, various methods were used to promote the services of the Trust Line and raise awareness on domestic violence in the Transnistrian region. During the 16 Days Campaign of Activism against Gender-Based Violence, two half-day information sessions were organized in “Interaction” office, one targeting 25 young people (14 women, 11 men) and one for 11 elderly women to disseminate info and materials on DV issue and on types of services provided via the  Trust Line, managed by the NGO “Interaction”.</w:t>
      </w:r>
    </w:p>
    <w:p w14:paraId="1C6303FE" w14:textId="77777777" w:rsidR="00370E57" w:rsidRPr="00F33976" w:rsidRDefault="00370E57" w:rsidP="00371773">
      <w:pPr>
        <w:jc w:val="both"/>
        <w:rPr>
          <w:rFonts w:asciiTheme="minorHAnsi" w:hAnsiTheme="minorHAnsi" w:cstheme="minorHAnsi"/>
          <w:sz w:val="22"/>
          <w:szCs w:val="22"/>
          <w:lang w:eastAsia="x-none"/>
        </w:rPr>
      </w:pPr>
    </w:p>
    <w:p w14:paraId="1D9CEA1D" w14:textId="77777777" w:rsidR="00370E57" w:rsidRPr="00F33976" w:rsidRDefault="00370E57" w:rsidP="00371773">
      <w:pPr>
        <w:jc w:val="both"/>
        <w:rPr>
          <w:rFonts w:asciiTheme="minorHAnsi" w:hAnsiTheme="minorHAnsi" w:cstheme="minorHAnsi"/>
          <w:sz w:val="22"/>
          <w:szCs w:val="22"/>
          <w:lang w:eastAsia="x-none"/>
        </w:rPr>
      </w:pPr>
      <w:r w:rsidRPr="00F33976">
        <w:rPr>
          <w:rFonts w:asciiTheme="minorHAnsi" w:hAnsiTheme="minorHAnsi" w:cstheme="minorHAnsi"/>
          <w:sz w:val="22"/>
          <w:szCs w:val="22"/>
          <w:lang w:eastAsia="x-none"/>
        </w:rPr>
        <w:lastRenderedPageBreak/>
        <w:t xml:space="preserve">These efforts were also supported by capacity building activities. Thus, 14 female professionals from the NGO “Interaction” and other NGOs and institutions, including from the right-bank, developed their capacities by participating in a training on prevention of emotional burnout syndrome on 29 November - 1 December 2019. The participants considered the training to be useful and should be held at least once in two years as thanks to the training, professionals fostered their knowledge, skills and habits to preserve and strengthen their psychological health, through mastering the ways of mental self-regulation and activation of personal resources, and through provision of information on the concept of emotional burnout syndrome, its causes, symptoms and consequences. </w:t>
      </w:r>
    </w:p>
    <w:p w14:paraId="27CE0EE9" w14:textId="77777777" w:rsidR="00370E57" w:rsidRPr="00F33976" w:rsidRDefault="00370E57" w:rsidP="00371773">
      <w:pPr>
        <w:jc w:val="both"/>
        <w:rPr>
          <w:rFonts w:asciiTheme="minorHAnsi" w:hAnsiTheme="minorHAnsi" w:cstheme="minorHAnsi"/>
          <w:sz w:val="22"/>
          <w:szCs w:val="22"/>
          <w:lang w:eastAsia="x-none"/>
        </w:rPr>
      </w:pPr>
    </w:p>
    <w:p w14:paraId="271ED936" w14:textId="77777777" w:rsidR="00370E57" w:rsidRPr="00F33976" w:rsidRDefault="00370E57" w:rsidP="00371773">
      <w:pPr>
        <w:jc w:val="both"/>
        <w:rPr>
          <w:rFonts w:asciiTheme="minorHAnsi" w:hAnsiTheme="minorHAnsi" w:cstheme="minorHAnsi"/>
          <w:sz w:val="22"/>
          <w:szCs w:val="22"/>
          <w:lang w:eastAsia="x-none"/>
        </w:rPr>
      </w:pPr>
      <w:r w:rsidRPr="00F33976">
        <w:rPr>
          <w:rFonts w:asciiTheme="minorHAnsi" w:hAnsiTheme="minorHAnsi" w:cstheme="minorHAnsi"/>
          <w:sz w:val="22"/>
          <w:szCs w:val="22"/>
          <w:lang w:eastAsia="x-none"/>
        </w:rPr>
        <w:t xml:space="preserve">In contrast with the previous phase, a new vulnerable group’s capacity was developed by conducting a training on preventive measures of conflict </w:t>
      </w:r>
      <w:proofErr w:type="spellStart"/>
      <w:r w:rsidRPr="00F33976">
        <w:rPr>
          <w:rFonts w:asciiTheme="minorHAnsi" w:hAnsiTheme="minorHAnsi" w:cstheme="minorHAnsi"/>
          <w:sz w:val="22"/>
          <w:szCs w:val="22"/>
          <w:lang w:eastAsia="x-none"/>
        </w:rPr>
        <w:t>behaviour</w:t>
      </w:r>
      <w:proofErr w:type="spellEnd"/>
      <w:r w:rsidRPr="00F33976">
        <w:rPr>
          <w:rFonts w:asciiTheme="minorHAnsi" w:hAnsiTheme="minorHAnsi" w:cstheme="minorHAnsi"/>
          <w:sz w:val="22"/>
          <w:szCs w:val="22"/>
          <w:lang w:eastAsia="x-none"/>
        </w:rPr>
        <w:t xml:space="preserve"> among adolescents, placed in the “A.S. Makarenko” institution in December 2019, though the activities with this group are only at the initial phase of their implementation.</w:t>
      </w:r>
    </w:p>
    <w:p w14:paraId="657FBAEA" w14:textId="77777777" w:rsidR="00370E57" w:rsidRPr="00F33976" w:rsidRDefault="00370E57" w:rsidP="00371773">
      <w:pPr>
        <w:jc w:val="both"/>
        <w:rPr>
          <w:rFonts w:asciiTheme="minorHAnsi" w:hAnsiTheme="minorHAnsi" w:cstheme="minorHAnsi"/>
          <w:sz w:val="22"/>
          <w:szCs w:val="22"/>
          <w:lang w:eastAsia="x-none"/>
        </w:rPr>
      </w:pPr>
    </w:p>
    <w:p w14:paraId="70329C17" w14:textId="77777777" w:rsidR="00370E57" w:rsidRPr="00F33976" w:rsidRDefault="00370E57" w:rsidP="00371773">
      <w:pPr>
        <w:jc w:val="both"/>
        <w:rPr>
          <w:rFonts w:asciiTheme="minorHAnsi" w:hAnsiTheme="minorHAnsi" w:cstheme="minorHAnsi"/>
          <w:sz w:val="22"/>
          <w:szCs w:val="22"/>
          <w:lang w:eastAsia="x-none"/>
        </w:rPr>
      </w:pPr>
      <w:r w:rsidRPr="00F33976">
        <w:rPr>
          <w:rFonts w:asciiTheme="minorHAnsi" w:hAnsiTheme="minorHAnsi" w:cstheme="minorHAnsi"/>
          <w:sz w:val="22"/>
          <w:szCs w:val="22"/>
          <w:lang w:eastAsia="x-none"/>
        </w:rPr>
        <w:t>The interventions of the Programme related to scaling-up of the comprehensive package of services</w:t>
      </w:r>
      <w:r w:rsidRPr="00F33976">
        <w:rPr>
          <w:rFonts w:asciiTheme="minorHAnsi" w:hAnsiTheme="minorHAnsi" w:cstheme="minorHAnsi"/>
          <w:sz w:val="22"/>
          <w:szCs w:val="22"/>
        </w:rPr>
        <w:footnoteReference w:id="1"/>
      </w:r>
      <w:r w:rsidRPr="00F33976">
        <w:rPr>
          <w:rFonts w:asciiTheme="minorHAnsi" w:hAnsiTheme="minorHAnsi" w:cstheme="minorHAnsi"/>
          <w:sz w:val="22"/>
          <w:szCs w:val="22"/>
          <w:lang w:eastAsia="x-none"/>
        </w:rPr>
        <w:t xml:space="preserve"> for people who inject drugs in prisons are split in two parts: the first set of activities referring to scaling-up HIV testing among prisoners was planned for August 2019 - December 2020 and the second set of activities related to reintegration of prisoners after release in to be implemented from September 2020 - July 2022. </w:t>
      </w:r>
    </w:p>
    <w:p w14:paraId="609B0C93" w14:textId="77777777" w:rsidR="00370E57" w:rsidRPr="00F33976" w:rsidRDefault="00370E57" w:rsidP="00371773">
      <w:pPr>
        <w:jc w:val="both"/>
        <w:rPr>
          <w:rFonts w:asciiTheme="minorHAnsi" w:hAnsiTheme="minorHAnsi" w:cstheme="minorHAnsi"/>
          <w:sz w:val="22"/>
          <w:szCs w:val="22"/>
          <w:lang w:eastAsia="x-none"/>
        </w:rPr>
      </w:pPr>
    </w:p>
    <w:p w14:paraId="373E44BC" w14:textId="77777777" w:rsidR="00370E57" w:rsidRPr="00F33976" w:rsidRDefault="00370E57" w:rsidP="00371773">
      <w:pPr>
        <w:jc w:val="both"/>
        <w:rPr>
          <w:rFonts w:asciiTheme="minorHAnsi" w:hAnsiTheme="minorHAnsi" w:cstheme="minorHAnsi"/>
          <w:sz w:val="22"/>
          <w:szCs w:val="22"/>
          <w:lang w:eastAsia="x-none"/>
        </w:rPr>
      </w:pPr>
      <w:r w:rsidRPr="00F33976">
        <w:rPr>
          <w:rFonts w:asciiTheme="minorHAnsi" w:hAnsiTheme="minorHAnsi" w:cstheme="minorHAnsi"/>
          <w:sz w:val="22"/>
          <w:szCs w:val="22"/>
          <w:lang w:eastAsia="x-none"/>
        </w:rPr>
        <w:t xml:space="preserve">The first part (scaling up HIV testing among prisoners) is a follow up component from the previous project 2016-2018, directed at improving and scale-up the comprehensive package of services for people who inject drugs in prisons. In 2017 an assessment was undertaken in Tiraspol and </w:t>
      </w:r>
      <w:proofErr w:type="spellStart"/>
      <w:r w:rsidRPr="00F33976">
        <w:rPr>
          <w:rFonts w:asciiTheme="minorHAnsi" w:hAnsiTheme="minorHAnsi" w:cstheme="minorHAnsi"/>
          <w:sz w:val="22"/>
          <w:szCs w:val="22"/>
          <w:lang w:eastAsia="x-none"/>
        </w:rPr>
        <w:t>Glinoe</w:t>
      </w:r>
      <w:proofErr w:type="spellEnd"/>
      <w:r w:rsidRPr="00F33976">
        <w:rPr>
          <w:rFonts w:asciiTheme="minorHAnsi" w:hAnsiTheme="minorHAnsi" w:cstheme="minorHAnsi"/>
          <w:sz w:val="22"/>
          <w:szCs w:val="22"/>
          <w:lang w:eastAsia="x-none"/>
        </w:rPr>
        <w:t xml:space="preserve"> prisons and HIV testing among prisoners was one of the key recommendations. A scaling-up of HIV testing in prisons by June 2020 is envisaged, as a result of these activities. A set of technical documents will be developed and the capacities of NGOs and medical staff in prisons to pilot rapid HIV testing for prisoners will be built. To pilot this intervention the team of consultants will develop a Standard operating procedures (</w:t>
      </w:r>
      <w:proofErr w:type="spellStart"/>
      <w:r w:rsidRPr="00F33976">
        <w:rPr>
          <w:rFonts w:asciiTheme="minorHAnsi" w:hAnsiTheme="minorHAnsi" w:cstheme="minorHAnsi"/>
          <w:sz w:val="22"/>
          <w:szCs w:val="22"/>
          <w:lang w:eastAsia="x-none"/>
        </w:rPr>
        <w:t>SoPs</w:t>
      </w:r>
      <w:proofErr w:type="spellEnd"/>
      <w:r w:rsidRPr="00F33976">
        <w:rPr>
          <w:rFonts w:asciiTheme="minorHAnsi" w:hAnsiTheme="minorHAnsi" w:cstheme="minorHAnsi"/>
          <w:sz w:val="22"/>
          <w:szCs w:val="22"/>
          <w:lang w:eastAsia="x-none"/>
        </w:rPr>
        <w:t>) regarding testing for HIV in prisons in line with the evidence-based WHO and UNODC recommendation and best practices. Also, an HIV tests and treatment planning and estimation tool will be drafted and approved. It is expected that these documents and capacity building will enhance the cooperation between the Tiraspol AIDS Centre and prisons administration, will cover with testing a bigger share of prisoner both at entering prisons and while detained furthermore, the dialog between prisons, CSOs and AIDS Centre will be re-launching and CSO specialist will help prison authorities to test prisoners for HIV. The positive experience of right bank prisons by implementing rapid HIV testing in prisons will be twined on the left bank. Since 2012, with the support of UNODC and UNAIDS rapid saliva testing through CSOs is implemented in 17 prisons on the right bank.</w:t>
      </w:r>
    </w:p>
    <w:p w14:paraId="7CB4990A" w14:textId="77777777" w:rsidR="00370E57" w:rsidRPr="001B337A" w:rsidRDefault="00370E57" w:rsidP="00371773">
      <w:pPr>
        <w:jc w:val="both"/>
        <w:rPr>
          <w:lang w:val="en-GB"/>
        </w:rPr>
      </w:pPr>
    </w:p>
    <w:p w14:paraId="37600926" w14:textId="77777777" w:rsidR="00370E57" w:rsidRPr="001B337A" w:rsidRDefault="00370E57" w:rsidP="00371773">
      <w:pPr>
        <w:pStyle w:val="Heading2"/>
        <w:shd w:val="clear" w:color="auto" w:fill="DDD9C4"/>
        <w:jc w:val="both"/>
        <w:rPr>
          <w:sz w:val="24"/>
          <w:lang w:val="en-GB"/>
        </w:rPr>
      </w:pPr>
      <w:bookmarkStart w:id="8" w:name="_17dp8vu" w:colFirst="0" w:colLast="0"/>
      <w:bookmarkStart w:id="9" w:name="_Toc41055986"/>
      <w:bookmarkEnd w:id="8"/>
      <w:r w:rsidRPr="001B337A">
        <w:rPr>
          <w:sz w:val="24"/>
          <w:lang w:val="en-GB"/>
        </w:rPr>
        <w:t>Output 2. Increased capacities of duty bearers to fulfil their human rights obligations</w:t>
      </w:r>
      <w:bookmarkEnd w:id="9"/>
    </w:p>
    <w:p w14:paraId="7A4BBBA9" w14:textId="77777777" w:rsidR="00370E57" w:rsidRPr="001B337A" w:rsidRDefault="00370E57" w:rsidP="00371773">
      <w:pPr>
        <w:jc w:val="both"/>
        <w:rPr>
          <w:b/>
          <w:i/>
          <w:color w:val="212121"/>
          <w:u w:val="single"/>
          <w:lang w:val="en-GB"/>
        </w:rPr>
      </w:pPr>
    </w:p>
    <w:p w14:paraId="466B3FD3" w14:textId="08484CE7" w:rsidR="00370E57" w:rsidRDefault="00370E57" w:rsidP="00371773">
      <w:pPr>
        <w:jc w:val="both"/>
        <w:rPr>
          <w:rFonts w:asciiTheme="minorHAnsi" w:hAnsiTheme="minorHAnsi" w:cstheme="minorHAnsi"/>
          <w:sz w:val="22"/>
          <w:szCs w:val="22"/>
          <w:lang w:eastAsia="x-none"/>
        </w:rPr>
      </w:pPr>
      <w:r w:rsidRPr="00F33976">
        <w:rPr>
          <w:rFonts w:asciiTheme="minorHAnsi" w:hAnsiTheme="minorHAnsi" w:cstheme="minorHAnsi"/>
          <w:sz w:val="22"/>
          <w:szCs w:val="22"/>
          <w:lang w:eastAsia="x-none"/>
        </w:rPr>
        <w:t>The implementation of this component required a lot of efforts from the implementing UN agencies, including numerous consultations with de facto authorities related to the components, which require their active engagement and ownership. As a result, commitments were made by the de-facto authorities for their engagement in the drafting of a Human Rights Framework. In this context a de-facto inter-sectorial working group was established and the Programme is actively collaborating with its representatives in the process of development of the Human Rights Framework.</w:t>
      </w:r>
    </w:p>
    <w:p w14:paraId="58BAEF6A" w14:textId="167FA9E0" w:rsidR="00DF4B7F" w:rsidRDefault="00DF4B7F" w:rsidP="00371773">
      <w:pPr>
        <w:jc w:val="both"/>
        <w:rPr>
          <w:rFonts w:asciiTheme="minorHAnsi" w:hAnsiTheme="minorHAnsi" w:cstheme="minorHAnsi"/>
          <w:sz w:val="22"/>
          <w:szCs w:val="22"/>
          <w:lang w:eastAsia="x-none"/>
        </w:rPr>
      </w:pPr>
    </w:p>
    <w:p w14:paraId="3AA4AD39" w14:textId="33068B56" w:rsidR="00DF4B7F" w:rsidRDefault="00DF4B7F" w:rsidP="00371773">
      <w:pPr>
        <w:jc w:val="both"/>
        <w:rPr>
          <w:rFonts w:asciiTheme="minorHAnsi" w:hAnsiTheme="minorHAnsi" w:cstheme="minorHAnsi"/>
          <w:sz w:val="22"/>
          <w:szCs w:val="22"/>
          <w:lang w:eastAsia="x-none"/>
        </w:rPr>
      </w:pPr>
      <w:r>
        <w:rPr>
          <w:rFonts w:asciiTheme="minorHAnsi" w:hAnsiTheme="minorHAnsi" w:cstheme="minorHAnsi"/>
          <w:sz w:val="22"/>
          <w:szCs w:val="22"/>
          <w:lang w:eastAsia="x-none"/>
        </w:rPr>
        <w:t>F</w:t>
      </w:r>
      <w:r w:rsidRPr="00DF4B7F">
        <w:rPr>
          <w:rFonts w:asciiTheme="minorHAnsi" w:hAnsiTheme="minorHAnsi" w:cstheme="minorHAnsi"/>
          <w:sz w:val="22"/>
          <w:szCs w:val="22"/>
          <w:lang w:eastAsia="x-none"/>
        </w:rPr>
        <w:t>actfinding mission</w:t>
      </w:r>
      <w:r>
        <w:rPr>
          <w:rFonts w:asciiTheme="minorHAnsi" w:hAnsiTheme="minorHAnsi" w:cstheme="minorHAnsi"/>
          <w:sz w:val="22"/>
          <w:szCs w:val="22"/>
          <w:lang w:eastAsia="x-none"/>
        </w:rPr>
        <w:t>s</w:t>
      </w:r>
      <w:r w:rsidRPr="00DF4B7F">
        <w:rPr>
          <w:rFonts w:asciiTheme="minorHAnsi" w:hAnsiTheme="minorHAnsi" w:cstheme="minorHAnsi"/>
          <w:sz w:val="22"/>
          <w:szCs w:val="22"/>
          <w:lang w:eastAsia="x-none"/>
        </w:rPr>
        <w:t xml:space="preserve"> conducted at the beginning of the project succeeded in identifying shortcomings and overcoming some initial barriers to project implementation, such as securing the buy-in from the authorities and screening of potential partners. Courtesy visits and preparatory activities allowed the launch of the project and agreeing upon its subsequent approval by the de facto Transnistrian Coordination Council for Technical and Humanitarian Aid.</w:t>
      </w:r>
    </w:p>
    <w:p w14:paraId="1D1C2FCC" w14:textId="5D625882" w:rsidR="00DF4B7F" w:rsidRDefault="00DF4B7F" w:rsidP="00371773">
      <w:pPr>
        <w:jc w:val="both"/>
        <w:rPr>
          <w:rFonts w:asciiTheme="minorHAnsi" w:hAnsiTheme="minorHAnsi" w:cstheme="minorHAnsi"/>
          <w:sz w:val="22"/>
          <w:szCs w:val="22"/>
          <w:lang w:eastAsia="x-none"/>
        </w:rPr>
      </w:pPr>
    </w:p>
    <w:p w14:paraId="1CBDBDB2" w14:textId="179A167E" w:rsidR="00DF4B7F" w:rsidRPr="00DF4B7F" w:rsidRDefault="00DF4B7F" w:rsidP="00DF4B7F">
      <w:pPr>
        <w:jc w:val="both"/>
        <w:rPr>
          <w:rFonts w:asciiTheme="minorHAnsi" w:hAnsiTheme="minorHAnsi" w:cstheme="minorHAnsi"/>
          <w:sz w:val="22"/>
          <w:szCs w:val="22"/>
          <w:lang w:val="en-GB" w:eastAsia="x-none"/>
        </w:rPr>
      </w:pPr>
      <w:r>
        <w:rPr>
          <w:rFonts w:asciiTheme="minorHAnsi" w:hAnsiTheme="minorHAnsi" w:cstheme="minorHAnsi"/>
          <w:sz w:val="22"/>
          <w:szCs w:val="22"/>
          <w:lang w:val="en-GB" w:eastAsia="x-none"/>
        </w:rPr>
        <w:t>C</w:t>
      </w:r>
      <w:r w:rsidRPr="00DF4B7F">
        <w:rPr>
          <w:rFonts w:asciiTheme="minorHAnsi" w:hAnsiTheme="minorHAnsi" w:cstheme="minorHAnsi"/>
          <w:sz w:val="22"/>
          <w:szCs w:val="22"/>
          <w:lang w:val="en-GB" w:eastAsia="x-none"/>
        </w:rPr>
        <w:t xml:space="preserve">onsiderable time </w:t>
      </w:r>
      <w:r>
        <w:rPr>
          <w:rFonts w:asciiTheme="minorHAnsi" w:hAnsiTheme="minorHAnsi" w:cstheme="minorHAnsi"/>
          <w:sz w:val="22"/>
          <w:szCs w:val="22"/>
          <w:lang w:val="en-GB" w:eastAsia="x-none"/>
        </w:rPr>
        <w:t xml:space="preserve">and effort </w:t>
      </w:r>
      <w:proofErr w:type="gramStart"/>
      <w:r>
        <w:rPr>
          <w:rFonts w:asciiTheme="minorHAnsi" w:hAnsiTheme="minorHAnsi" w:cstheme="minorHAnsi"/>
          <w:sz w:val="22"/>
          <w:szCs w:val="22"/>
          <w:lang w:val="en-GB" w:eastAsia="x-none"/>
        </w:rPr>
        <w:t>has</w:t>
      </w:r>
      <w:proofErr w:type="gramEnd"/>
      <w:r>
        <w:rPr>
          <w:rFonts w:asciiTheme="minorHAnsi" w:hAnsiTheme="minorHAnsi" w:cstheme="minorHAnsi"/>
          <w:sz w:val="22"/>
          <w:szCs w:val="22"/>
          <w:lang w:val="en-GB" w:eastAsia="x-none"/>
        </w:rPr>
        <w:t xml:space="preserve"> been invested in </w:t>
      </w:r>
      <w:r w:rsidRPr="00DF4B7F">
        <w:rPr>
          <w:rFonts w:asciiTheme="minorHAnsi" w:hAnsiTheme="minorHAnsi" w:cstheme="minorHAnsi"/>
          <w:sz w:val="22"/>
          <w:szCs w:val="22"/>
          <w:lang w:val="en-GB" w:eastAsia="x-none"/>
        </w:rPr>
        <w:t>ensure the recruitment of qualified coordinator</w:t>
      </w:r>
      <w:r>
        <w:rPr>
          <w:rFonts w:asciiTheme="minorHAnsi" w:hAnsiTheme="minorHAnsi" w:cstheme="minorHAnsi"/>
          <w:sz w:val="22"/>
          <w:szCs w:val="22"/>
          <w:lang w:val="en-GB" w:eastAsia="x-none"/>
        </w:rPr>
        <w:t>s</w:t>
      </w:r>
      <w:r w:rsidRPr="00DF4B7F">
        <w:rPr>
          <w:rFonts w:asciiTheme="minorHAnsi" w:hAnsiTheme="minorHAnsi" w:cstheme="minorHAnsi"/>
          <w:sz w:val="22"/>
          <w:szCs w:val="22"/>
          <w:lang w:val="en-GB" w:eastAsia="x-none"/>
        </w:rPr>
        <w:t xml:space="preserve"> of thematic area activities</w:t>
      </w:r>
      <w:r>
        <w:rPr>
          <w:rFonts w:asciiTheme="minorHAnsi" w:hAnsiTheme="minorHAnsi" w:cstheme="minorHAnsi"/>
          <w:sz w:val="22"/>
          <w:szCs w:val="22"/>
          <w:lang w:val="en-GB" w:eastAsia="x-none"/>
        </w:rPr>
        <w:t>.</w:t>
      </w:r>
      <w:r w:rsidRPr="00DF4B7F">
        <w:rPr>
          <w:rFonts w:asciiTheme="minorHAnsi" w:hAnsiTheme="minorHAnsi" w:cstheme="minorHAnsi"/>
          <w:sz w:val="22"/>
          <w:szCs w:val="22"/>
          <w:lang w:val="en-GB" w:eastAsia="x-none"/>
        </w:rPr>
        <w:t xml:space="preserve"> The selected person</w:t>
      </w:r>
      <w:r>
        <w:rPr>
          <w:rFonts w:asciiTheme="minorHAnsi" w:hAnsiTheme="minorHAnsi" w:cstheme="minorHAnsi"/>
          <w:sz w:val="22"/>
          <w:szCs w:val="22"/>
          <w:lang w:val="en-GB" w:eastAsia="x-none"/>
        </w:rPr>
        <w:t>s</w:t>
      </w:r>
      <w:r w:rsidRPr="00DF4B7F">
        <w:rPr>
          <w:rFonts w:asciiTheme="minorHAnsi" w:hAnsiTheme="minorHAnsi" w:cstheme="minorHAnsi"/>
          <w:sz w:val="22"/>
          <w:szCs w:val="22"/>
          <w:lang w:val="en-GB" w:eastAsia="x-none"/>
        </w:rPr>
        <w:t xml:space="preserve"> ha</w:t>
      </w:r>
      <w:r>
        <w:rPr>
          <w:rFonts w:asciiTheme="minorHAnsi" w:hAnsiTheme="minorHAnsi" w:cstheme="minorHAnsi"/>
          <w:sz w:val="22"/>
          <w:szCs w:val="22"/>
          <w:lang w:val="en-GB" w:eastAsia="x-none"/>
        </w:rPr>
        <w:t xml:space="preserve">ve the prerequisite </w:t>
      </w:r>
      <w:r w:rsidRPr="00DF4B7F">
        <w:rPr>
          <w:rFonts w:asciiTheme="minorHAnsi" w:hAnsiTheme="minorHAnsi" w:cstheme="minorHAnsi"/>
          <w:sz w:val="22"/>
          <w:szCs w:val="22"/>
          <w:lang w:val="en-GB" w:eastAsia="x-none"/>
        </w:rPr>
        <w:t xml:space="preserve">experience in the field </w:t>
      </w:r>
      <w:r>
        <w:rPr>
          <w:rFonts w:asciiTheme="minorHAnsi" w:hAnsiTheme="minorHAnsi" w:cstheme="minorHAnsi"/>
          <w:sz w:val="22"/>
          <w:szCs w:val="22"/>
          <w:lang w:val="en-GB" w:eastAsia="x-none"/>
        </w:rPr>
        <w:t xml:space="preserve">are </w:t>
      </w:r>
      <w:r w:rsidRPr="00DF4B7F">
        <w:rPr>
          <w:rFonts w:asciiTheme="minorHAnsi" w:hAnsiTheme="minorHAnsi" w:cstheme="minorHAnsi"/>
          <w:sz w:val="22"/>
          <w:szCs w:val="22"/>
          <w:lang w:val="en-GB" w:eastAsia="x-none"/>
        </w:rPr>
        <w:t xml:space="preserve">fully aware of existing social-political context on both banks of the river </w:t>
      </w:r>
      <w:proofErr w:type="spellStart"/>
      <w:r w:rsidRPr="00DF4B7F">
        <w:rPr>
          <w:rFonts w:asciiTheme="minorHAnsi" w:hAnsiTheme="minorHAnsi" w:cstheme="minorHAnsi"/>
          <w:sz w:val="22"/>
          <w:szCs w:val="22"/>
          <w:lang w:val="en-GB" w:eastAsia="x-none"/>
        </w:rPr>
        <w:t>Nistru</w:t>
      </w:r>
      <w:proofErr w:type="spellEnd"/>
      <w:r w:rsidRPr="00DF4B7F">
        <w:rPr>
          <w:rFonts w:asciiTheme="minorHAnsi" w:hAnsiTheme="minorHAnsi" w:cstheme="minorHAnsi"/>
          <w:sz w:val="22"/>
          <w:szCs w:val="22"/>
          <w:lang w:val="en-GB" w:eastAsia="x-none"/>
        </w:rPr>
        <w:t xml:space="preserve"> and ha</w:t>
      </w:r>
      <w:r w:rsidR="00361D5D">
        <w:rPr>
          <w:rFonts w:asciiTheme="minorHAnsi" w:hAnsiTheme="minorHAnsi" w:cstheme="minorHAnsi"/>
          <w:sz w:val="22"/>
          <w:szCs w:val="22"/>
          <w:lang w:val="en-GB" w:eastAsia="x-none"/>
        </w:rPr>
        <w:t>ve</w:t>
      </w:r>
      <w:r w:rsidRPr="00DF4B7F">
        <w:rPr>
          <w:rFonts w:asciiTheme="minorHAnsi" w:hAnsiTheme="minorHAnsi" w:cstheme="minorHAnsi"/>
          <w:sz w:val="22"/>
          <w:szCs w:val="22"/>
          <w:lang w:val="en-GB" w:eastAsia="x-none"/>
        </w:rPr>
        <w:t xml:space="preserve"> sound command of Russian language, all of which are essential competences to ensure a successful programme implementation.</w:t>
      </w:r>
    </w:p>
    <w:p w14:paraId="20EA644C" w14:textId="77777777" w:rsidR="00DF4B7F" w:rsidRPr="00B3184B" w:rsidRDefault="00DF4B7F" w:rsidP="00371773">
      <w:pPr>
        <w:jc w:val="both"/>
        <w:rPr>
          <w:rFonts w:asciiTheme="minorHAnsi" w:hAnsiTheme="minorHAnsi" w:cstheme="minorHAnsi"/>
          <w:sz w:val="22"/>
          <w:szCs w:val="22"/>
          <w:lang w:val="en-GB" w:eastAsia="x-none"/>
        </w:rPr>
      </w:pPr>
    </w:p>
    <w:p w14:paraId="0D363DCB" w14:textId="77777777" w:rsidR="00370E57" w:rsidRPr="00F33976" w:rsidRDefault="00370E57" w:rsidP="00371773">
      <w:pPr>
        <w:jc w:val="both"/>
        <w:rPr>
          <w:rFonts w:asciiTheme="minorHAnsi" w:hAnsiTheme="minorHAnsi" w:cstheme="minorHAnsi"/>
          <w:sz w:val="22"/>
          <w:szCs w:val="22"/>
          <w:lang w:eastAsia="x-none"/>
        </w:rPr>
      </w:pPr>
      <w:r w:rsidRPr="00F33976">
        <w:rPr>
          <w:rFonts w:asciiTheme="minorHAnsi" w:hAnsiTheme="minorHAnsi" w:cstheme="minorHAnsi"/>
          <w:sz w:val="22"/>
          <w:szCs w:val="22"/>
          <w:lang w:eastAsia="x-none"/>
        </w:rPr>
        <w:t xml:space="preserve">In order to support a human rights compliant HIV regulatory framework and to ensure the national ownership of the envisaged gender specific activities for WUD several meeting with the relevant stakeholders took place from September to December 2019, ensuring that gender specific services will be mainstreamed into the new National HIV Program 2025 and GFATM application 2025. </w:t>
      </w:r>
    </w:p>
    <w:p w14:paraId="74ED4CDD" w14:textId="77777777" w:rsidR="00370E57" w:rsidRPr="00F33976" w:rsidRDefault="00370E57" w:rsidP="00371773">
      <w:pPr>
        <w:jc w:val="both"/>
        <w:rPr>
          <w:rFonts w:asciiTheme="minorHAnsi" w:hAnsiTheme="minorHAnsi" w:cstheme="minorHAnsi"/>
          <w:sz w:val="22"/>
          <w:szCs w:val="22"/>
          <w:lang w:eastAsia="x-none"/>
        </w:rPr>
      </w:pPr>
    </w:p>
    <w:p w14:paraId="4EAABC5C" w14:textId="77777777" w:rsidR="00370E57" w:rsidRPr="00F33976" w:rsidRDefault="00370E57" w:rsidP="00371773">
      <w:pPr>
        <w:jc w:val="both"/>
        <w:rPr>
          <w:rFonts w:asciiTheme="minorHAnsi" w:hAnsiTheme="minorHAnsi" w:cstheme="minorHAnsi"/>
          <w:sz w:val="22"/>
          <w:szCs w:val="22"/>
          <w:lang w:eastAsia="x-none"/>
        </w:rPr>
      </w:pPr>
      <w:r w:rsidRPr="00F33976">
        <w:rPr>
          <w:rFonts w:asciiTheme="minorHAnsi" w:hAnsiTheme="minorHAnsi" w:cstheme="minorHAnsi"/>
          <w:sz w:val="22"/>
          <w:szCs w:val="22"/>
          <w:lang w:eastAsia="x-none"/>
        </w:rPr>
        <w:t xml:space="preserve">As part of the efforts directed towards enabling the rights holders living with and affected by HIV to exercise their right to health it is imminent to have an aligned regulatory framework to the international human rights standards in the field. The previous UN intervention in the region was focused on the revision of the Transnistrian HIV-related regulatory framework from a human rights and gender equality perspective. 50 policy documents were reviewed, peer reviewed by UN experts, discussed and validated by stakeholders on the left bank. </w:t>
      </w:r>
    </w:p>
    <w:p w14:paraId="0708FBDA" w14:textId="77777777" w:rsidR="00370E57" w:rsidRPr="00F33976" w:rsidRDefault="00370E57" w:rsidP="00371773">
      <w:pPr>
        <w:jc w:val="both"/>
        <w:rPr>
          <w:rFonts w:asciiTheme="minorHAnsi" w:hAnsiTheme="minorHAnsi" w:cstheme="minorHAnsi"/>
          <w:sz w:val="22"/>
          <w:szCs w:val="22"/>
          <w:lang w:eastAsia="x-none"/>
        </w:rPr>
      </w:pPr>
    </w:p>
    <w:p w14:paraId="7EB29948" w14:textId="77777777" w:rsidR="00370E57" w:rsidRPr="00F33976" w:rsidRDefault="00370E57" w:rsidP="00371773">
      <w:pPr>
        <w:jc w:val="both"/>
        <w:rPr>
          <w:rFonts w:asciiTheme="minorHAnsi" w:hAnsiTheme="minorHAnsi" w:cstheme="minorHAnsi"/>
          <w:sz w:val="22"/>
          <w:szCs w:val="22"/>
          <w:lang w:eastAsia="x-none"/>
        </w:rPr>
      </w:pPr>
      <w:r w:rsidRPr="00F33976">
        <w:rPr>
          <w:rFonts w:asciiTheme="minorHAnsi" w:hAnsiTheme="minorHAnsi" w:cstheme="minorHAnsi"/>
          <w:sz w:val="22"/>
          <w:szCs w:val="22"/>
          <w:lang w:eastAsia="x-none"/>
        </w:rPr>
        <w:t xml:space="preserve">A roadmap on advocacy and promotion for adoption of those documents was developed jointly with the local partners. The first three documents were prioritized jointly with the Tiraspol HIV Centre, the NGO “Alliance for Public Health” from Tiraspol, which is the lead NGO to support this activity. A plan on the policies consultations and advocacy for the first year of the project was developed. The related activities will be further implemented in 2020. </w:t>
      </w:r>
    </w:p>
    <w:p w14:paraId="4D9A8406" w14:textId="77777777" w:rsidR="00D80AE6" w:rsidRPr="00D80AE6" w:rsidRDefault="00D80AE6" w:rsidP="00D80AE6">
      <w:pPr>
        <w:jc w:val="both"/>
        <w:rPr>
          <w:rFonts w:asciiTheme="minorHAnsi" w:hAnsiTheme="minorHAnsi" w:cstheme="minorHAnsi"/>
          <w:sz w:val="22"/>
          <w:szCs w:val="22"/>
          <w:lang w:val="en-GB" w:eastAsia="x-none"/>
        </w:rPr>
      </w:pPr>
    </w:p>
    <w:p w14:paraId="3BC7C374" w14:textId="75910348" w:rsidR="00D80AE6" w:rsidRPr="00D80AE6" w:rsidRDefault="00D80AE6" w:rsidP="00D80AE6">
      <w:pPr>
        <w:jc w:val="both"/>
        <w:rPr>
          <w:rFonts w:asciiTheme="minorHAnsi" w:hAnsiTheme="minorHAnsi" w:cstheme="minorHAnsi"/>
          <w:sz w:val="22"/>
          <w:szCs w:val="22"/>
          <w:lang w:val="en-GB" w:eastAsia="x-none"/>
        </w:rPr>
      </w:pPr>
      <w:r w:rsidRPr="00D80AE6">
        <w:rPr>
          <w:rFonts w:asciiTheme="minorHAnsi" w:hAnsiTheme="minorHAnsi" w:cstheme="minorHAnsi"/>
          <w:sz w:val="22"/>
          <w:szCs w:val="22"/>
          <w:lang w:val="en-GB" w:eastAsia="x-none"/>
        </w:rPr>
        <w:t xml:space="preserve">The specific location of the training room in the A.S. Makarenko institution which will be equipped in order to accommodate capacity building exercises for children and the institution’s staff has been identified. The process was challenging considering the absence of capital investments in the A.S. Makarenko institution since its initial construction in 1974, outdated utilities networks, and the need to cover both staff and resident children’s needs in line with relevant mandatory safety rules. The room will serve both as a place to deliver trainings, a space for learning and an area for leisure activities for the </w:t>
      </w:r>
      <w:r w:rsidR="003A08A5">
        <w:rPr>
          <w:rFonts w:asciiTheme="minorHAnsi" w:hAnsiTheme="minorHAnsi" w:cstheme="minorHAnsi"/>
          <w:sz w:val="22"/>
          <w:szCs w:val="22"/>
          <w:lang w:val="en-GB" w:eastAsia="x-none"/>
        </w:rPr>
        <w:t>children</w:t>
      </w:r>
      <w:r w:rsidRPr="00D80AE6">
        <w:rPr>
          <w:rFonts w:asciiTheme="minorHAnsi" w:hAnsiTheme="minorHAnsi" w:cstheme="minorHAnsi"/>
          <w:sz w:val="22"/>
          <w:szCs w:val="22"/>
          <w:lang w:val="en-GB" w:eastAsia="x-none"/>
        </w:rPr>
        <w:t xml:space="preserve"> and institution staff. </w:t>
      </w:r>
      <w:r w:rsidRPr="00D80AE6" w:rsidDel="008A69F4">
        <w:rPr>
          <w:rFonts w:asciiTheme="minorHAnsi" w:hAnsiTheme="minorHAnsi" w:cstheme="minorHAnsi"/>
          <w:sz w:val="22"/>
          <w:szCs w:val="22"/>
          <w:lang w:val="en-GB" w:eastAsia="x-none"/>
        </w:rPr>
        <w:t xml:space="preserve"> </w:t>
      </w:r>
    </w:p>
    <w:p w14:paraId="5C88EB5C" w14:textId="77777777" w:rsidR="00D80AE6" w:rsidRPr="00516B44" w:rsidRDefault="00D80AE6" w:rsidP="00371773">
      <w:pPr>
        <w:jc w:val="both"/>
        <w:rPr>
          <w:rFonts w:asciiTheme="minorHAnsi" w:hAnsiTheme="minorHAnsi" w:cstheme="minorHAnsi"/>
          <w:sz w:val="22"/>
          <w:szCs w:val="22"/>
          <w:lang w:val="en-GB" w:eastAsia="x-none"/>
        </w:rPr>
      </w:pPr>
    </w:p>
    <w:p w14:paraId="7693E20C" w14:textId="3CDBB31F" w:rsidR="00370E57" w:rsidRPr="00516B44" w:rsidRDefault="00DF4B7F" w:rsidP="00371773">
      <w:pPr>
        <w:jc w:val="both"/>
        <w:rPr>
          <w:rFonts w:asciiTheme="minorHAnsi" w:hAnsiTheme="minorHAnsi" w:cstheme="minorHAnsi"/>
          <w:sz w:val="22"/>
          <w:szCs w:val="22"/>
          <w:lang w:val="en-GB" w:eastAsia="x-none"/>
        </w:rPr>
      </w:pPr>
      <w:r>
        <w:rPr>
          <w:rFonts w:asciiTheme="minorHAnsi" w:hAnsiTheme="minorHAnsi" w:cstheme="minorHAnsi"/>
          <w:sz w:val="22"/>
          <w:szCs w:val="22"/>
          <w:lang w:eastAsia="x-none"/>
        </w:rPr>
        <w:t xml:space="preserve">The </w:t>
      </w:r>
      <w:proofErr w:type="spellStart"/>
      <w:r w:rsidR="002942A2" w:rsidRPr="002942A2">
        <w:rPr>
          <w:rFonts w:asciiTheme="minorHAnsi" w:hAnsiTheme="minorHAnsi" w:cstheme="minorHAnsi"/>
          <w:sz w:val="22"/>
          <w:szCs w:val="22"/>
          <w:lang w:val="en-GB" w:eastAsia="x-none"/>
        </w:rPr>
        <w:t>ToR</w:t>
      </w:r>
      <w:r>
        <w:rPr>
          <w:rFonts w:asciiTheme="minorHAnsi" w:hAnsiTheme="minorHAnsi" w:cstheme="minorHAnsi"/>
          <w:sz w:val="22"/>
          <w:szCs w:val="22"/>
          <w:lang w:val="en-GB" w:eastAsia="x-none"/>
        </w:rPr>
        <w:t>s</w:t>
      </w:r>
      <w:proofErr w:type="spellEnd"/>
      <w:r w:rsidR="002942A2" w:rsidRPr="002942A2">
        <w:rPr>
          <w:rFonts w:asciiTheme="minorHAnsi" w:hAnsiTheme="minorHAnsi" w:cstheme="minorHAnsi"/>
          <w:sz w:val="22"/>
          <w:szCs w:val="22"/>
          <w:lang w:val="en-GB" w:eastAsia="x-none"/>
        </w:rPr>
        <w:t xml:space="preserve"> for international and national expert</w:t>
      </w:r>
      <w:r w:rsidR="00361D5D">
        <w:rPr>
          <w:rFonts w:asciiTheme="minorHAnsi" w:hAnsiTheme="minorHAnsi" w:cstheme="minorHAnsi"/>
          <w:sz w:val="22"/>
          <w:szCs w:val="22"/>
          <w:lang w:val="en-GB" w:eastAsia="x-none"/>
        </w:rPr>
        <w:t>s</w:t>
      </w:r>
      <w:r w:rsidR="002942A2" w:rsidRPr="002942A2">
        <w:rPr>
          <w:rFonts w:asciiTheme="minorHAnsi" w:hAnsiTheme="minorHAnsi" w:cstheme="minorHAnsi"/>
          <w:sz w:val="22"/>
          <w:szCs w:val="22"/>
          <w:lang w:val="en-GB" w:eastAsia="x-none"/>
        </w:rPr>
        <w:t xml:space="preserve"> to conduct </w:t>
      </w:r>
      <w:r w:rsidR="00361D5D">
        <w:rPr>
          <w:rFonts w:asciiTheme="minorHAnsi" w:hAnsiTheme="minorHAnsi" w:cstheme="minorHAnsi"/>
          <w:sz w:val="22"/>
          <w:szCs w:val="22"/>
          <w:lang w:val="en-GB" w:eastAsia="x-none"/>
        </w:rPr>
        <w:t>the</w:t>
      </w:r>
      <w:r w:rsidR="002942A2" w:rsidRPr="002942A2">
        <w:rPr>
          <w:rFonts w:asciiTheme="minorHAnsi" w:hAnsiTheme="minorHAnsi" w:cstheme="minorHAnsi"/>
          <w:sz w:val="22"/>
          <w:szCs w:val="22"/>
          <w:lang w:val="en-GB" w:eastAsia="x-none"/>
        </w:rPr>
        <w:t xml:space="preserve"> assessment of the existing legal framework pertaining to justice for children (offenders, victims and witnesses) and its compliance with international standards in the Transnistrian </w:t>
      </w:r>
      <w:r w:rsidR="002942A2">
        <w:rPr>
          <w:rFonts w:asciiTheme="minorHAnsi" w:hAnsiTheme="minorHAnsi" w:cstheme="minorHAnsi"/>
          <w:sz w:val="22"/>
          <w:szCs w:val="22"/>
          <w:lang w:val="en-GB" w:eastAsia="x-none"/>
        </w:rPr>
        <w:t>r</w:t>
      </w:r>
      <w:r w:rsidR="002942A2" w:rsidRPr="002942A2">
        <w:rPr>
          <w:rFonts w:asciiTheme="minorHAnsi" w:hAnsiTheme="minorHAnsi" w:cstheme="minorHAnsi"/>
          <w:sz w:val="22"/>
          <w:szCs w:val="22"/>
          <w:lang w:val="en-GB" w:eastAsia="x-none"/>
        </w:rPr>
        <w:t xml:space="preserve">egion were developed and widely distributed via UNICEF and Resonance pools of experts and potential candidates in December 2019. </w:t>
      </w:r>
    </w:p>
    <w:p w14:paraId="2253CF43" w14:textId="77777777" w:rsidR="00370E57" w:rsidRPr="00F33976" w:rsidRDefault="00370E57" w:rsidP="00371773">
      <w:pPr>
        <w:jc w:val="both"/>
        <w:rPr>
          <w:rFonts w:asciiTheme="minorHAnsi" w:hAnsiTheme="minorHAnsi" w:cstheme="minorHAnsi"/>
          <w:sz w:val="22"/>
          <w:szCs w:val="22"/>
          <w:lang w:eastAsia="x-none"/>
        </w:rPr>
      </w:pPr>
    </w:p>
    <w:p w14:paraId="0442FC35" w14:textId="77777777" w:rsidR="00370E57" w:rsidRPr="00F33976" w:rsidRDefault="00370E57" w:rsidP="00371773">
      <w:pPr>
        <w:jc w:val="both"/>
        <w:rPr>
          <w:rFonts w:asciiTheme="minorHAnsi" w:hAnsiTheme="minorHAnsi" w:cstheme="minorHAnsi"/>
          <w:sz w:val="22"/>
          <w:szCs w:val="22"/>
          <w:lang w:eastAsia="x-none"/>
        </w:rPr>
      </w:pPr>
      <w:r w:rsidRPr="00F33976">
        <w:rPr>
          <w:rFonts w:asciiTheme="minorHAnsi" w:hAnsiTheme="minorHAnsi" w:cstheme="minorHAnsi"/>
          <w:sz w:val="22"/>
          <w:szCs w:val="22"/>
          <w:lang w:eastAsia="x-none"/>
        </w:rPr>
        <w:t xml:space="preserve">Based on the positive dialog which was established with police on both banks and results achieved during the previous </w:t>
      </w:r>
      <w:proofErr w:type="spellStart"/>
      <w:r w:rsidRPr="00F33976">
        <w:rPr>
          <w:rFonts w:asciiTheme="minorHAnsi" w:hAnsiTheme="minorHAnsi" w:cstheme="minorHAnsi"/>
          <w:sz w:val="22"/>
          <w:szCs w:val="22"/>
          <w:lang w:eastAsia="x-none"/>
        </w:rPr>
        <w:t>Programme’s</w:t>
      </w:r>
      <w:proofErr w:type="spellEnd"/>
      <w:r w:rsidRPr="00F33976">
        <w:rPr>
          <w:rFonts w:asciiTheme="minorHAnsi" w:hAnsiTheme="minorHAnsi" w:cstheme="minorHAnsi"/>
          <w:sz w:val="22"/>
          <w:szCs w:val="22"/>
          <w:lang w:eastAsia="x-none"/>
        </w:rPr>
        <w:t xml:space="preserve"> phase in 2016-2018, activities related to the advancement of multidisciplinary-policing approach will focus on further enhancement of cooperation between LEAs and CSOs on both banks and will continue building the capacities of police officers. </w:t>
      </w:r>
    </w:p>
    <w:p w14:paraId="18D23FF1" w14:textId="77777777" w:rsidR="00370E57" w:rsidRPr="00F33976" w:rsidRDefault="00370E57" w:rsidP="00371773">
      <w:pPr>
        <w:jc w:val="both"/>
        <w:rPr>
          <w:rFonts w:asciiTheme="minorHAnsi" w:hAnsiTheme="minorHAnsi" w:cstheme="minorHAnsi"/>
          <w:sz w:val="22"/>
          <w:szCs w:val="22"/>
          <w:lang w:eastAsia="x-none"/>
        </w:rPr>
      </w:pPr>
    </w:p>
    <w:p w14:paraId="54EBCD5A" w14:textId="53737A09" w:rsidR="00370E57" w:rsidRPr="00F33976" w:rsidRDefault="00370E57" w:rsidP="00371773">
      <w:pPr>
        <w:jc w:val="both"/>
        <w:rPr>
          <w:rFonts w:asciiTheme="minorHAnsi" w:hAnsiTheme="minorHAnsi" w:cstheme="minorHAnsi"/>
          <w:sz w:val="22"/>
          <w:szCs w:val="22"/>
          <w:lang w:eastAsia="x-none"/>
        </w:rPr>
      </w:pPr>
      <w:r w:rsidRPr="00F33976">
        <w:rPr>
          <w:rFonts w:asciiTheme="minorHAnsi" w:hAnsiTheme="minorHAnsi" w:cstheme="minorHAnsi"/>
          <w:sz w:val="22"/>
          <w:szCs w:val="22"/>
          <w:lang w:eastAsia="x-none"/>
        </w:rPr>
        <w:t>In order to further enhance the abilities of the police officer to interact and refer to the corresponding services PLWH and PW</w:t>
      </w:r>
      <w:r w:rsidR="0070329E">
        <w:rPr>
          <w:rFonts w:asciiTheme="minorHAnsi" w:hAnsiTheme="minorHAnsi" w:cstheme="minorHAnsi"/>
          <w:sz w:val="22"/>
          <w:szCs w:val="22"/>
          <w:lang w:eastAsia="x-none"/>
        </w:rPr>
        <w:t>U</w:t>
      </w:r>
      <w:r w:rsidRPr="00F33976">
        <w:rPr>
          <w:rFonts w:asciiTheme="minorHAnsi" w:hAnsiTheme="minorHAnsi" w:cstheme="minorHAnsi"/>
          <w:sz w:val="22"/>
          <w:szCs w:val="22"/>
          <w:lang w:eastAsia="x-none"/>
        </w:rPr>
        <w:t xml:space="preserve">D, during August-December 2019, in cooperation with NGO “UORN” from Balti, 6000 Booklets on HIV and LEAs and guiding procedures for police officers in Russian and Romanian languages were developed, edited, printed and disseminated. A user-friendly booklet should serve as an informative document for police offices and as a referral informative document for drug users that were detained. </w:t>
      </w:r>
    </w:p>
    <w:p w14:paraId="7531D680" w14:textId="77777777" w:rsidR="00370E57" w:rsidRPr="00F33976" w:rsidRDefault="00370E57" w:rsidP="00371773">
      <w:pPr>
        <w:jc w:val="both"/>
        <w:rPr>
          <w:rFonts w:asciiTheme="minorHAnsi" w:hAnsiTheme="minorHAnsi" w:cstheme="minorHAnsi"/>
          <w:sz w:val="22"/>
          <w:szCs w:val="22"/>
          <w:lang w:eastAsia="x-none"/>
        </w:rPr>
      </w:pPr>
    </w:p>
    <w:p w14:paraId="13FEE06B" w14:textId="77777777" w:rsidR="00370E57" w:rsidRPr="00F33976" w:rsidRDefault="00370E57" w:rsidP="00371773">
      <w:pPr>
        <w:jc w:val="both"/>
        <w:rPr>
          <w:rFonts w:asciiTheme="minorHAnsi" w:hAnsiTheme="minorHAnsi" w:cstheme="minorHAnsi"/>
          <w:sz w:val="22"/>
          <w:szCs w:val="22"/>
          <w:lang w:eastAsia="x-none"/>
        </w:rPr>
      </w:pPr>
      <w:r w:rsidRPr="00F33976">
        <w:rPr>
          <w:rFonts w:asciiTheme="minorHAnsi" w:hAnsiTheme="minorHAnsi" w:cstheme="minorHAnsi"/>
          <w:sz w:val="22"/>
          <w:szCs w:val="22"/>
          <w:lang w:eastAsia="x-none"/>
        </w:rPr>
        <w:t xml:space="preserve">Furthermore, although it was planned to subcontract in December 2019 three CSOs, which will be providing harm reduction services on the left bank, will continue providing trainings for police officers and will act as a key partner in the “police-CSO” referral scheme, this activity was postponed. This is </w:t>
      </w:r>
      <w:proofErr w:type="gramStart"/>
      <w:r w:rsidRPr="00F33976">
        <w:rPr>
          <w:rFonts w:asciiTheme="minorHAnsi" w:hAnsiTheme="minorHAnsi" w:cstheme="minorHAnsi"/>
          <w:sz w:val="22"/>
          <w:szCs w:val="22"/>
          <w:lang w:eastAsia="x-none"/>
        </w:rPr>
        <w:t>due to the fact that</w:t>
      </w:r>
      <w:proofErr w:type="gramEnd"/>
      <w:r w:rsidRPr="00F33976">
        <w:rPr>
          <w:rFonts w:asciiTheme="minorHAnsi" w:hAnsiTheme="minorHAnsi" w:cstheme="minorHAnsi"/>
          <w:sz w:val="22"/>
          <w:szCs w:val="22"/>
          <w:lang w:eastAsia="x-none"/>
        </w:rPr>
        <w:t xml:space="preserve"> the harm </w:t>
      </w:r>
      <w:r w:rsidRPr="00F33976">
        <w:rPr>
          <w:rFonts w:asciiTheme="minorHAnsi" w:hAnsiTheme="minorHAnsi" w:cstheme="minorHAnsi"/>
          <w:sz w:val="22"/>
          <w:szCs w:val="22"/>
          <w:lang w:eastAsia="x-none"/>
        </w:rPr>
        <w:lastRenderedPageBreak/>
        <w:t xml:space="preserve">reduction service provision implemented by the CSOs on both banks is covered from the Global Fund. In December 2019 PR GFATM recipient has suggested selection of another CSO to provide harm reductions services in Tiraspol. Once the new CSO is selected the </w:t>
      </w:r>
      <w:proofErr w:type="gramStart"/>
      <w:r w:rsidRPr="00F33976">
        <w:rPr>
          <w:rFonts w:asciiTheme="minorHAnsi" w:hAnsiTheme="minorHAnsi" w:cstheme="minorHAnsi"/>
          <w:sz w:val="22"/>
          <w:szCs w:val="22"/>
          <w:lang w:eastAsia="x-none"/>
        </w:rPr>
        <w:t>mini-grants</w:t>
      </w:r>
      <w:proofErr w:type="gramEnd"/>
      <w:r w:rsidRPr="00F33976">
        <w:rPr>
          <w:rFonts w:asciiTheme="minorHAnsi" w:hAnsiTheme="minorHAnsi" w:cstheme="minorHAnsi"/>
          <w:sz w:val="22"/>
          <w:szCs w:val="22"/>
          <w:lang w:eastAsia="x-none"/>
        </w:rPr>
        <w:t xml:space="preserve"> are to be issued. In the meanwhile, as per the referral scheme established during the previous Programme phase, over 193 PWUD and SW were referred by police to CSOs in </w:t>
      </w:r>
      <w:proofErr w:type="spellStart"/>
      <w:r w:rsidRPr="00F33976">
        <w:rPr>
          <w:rFonts w:asciiTheme="minorHAnsi" w:hAnsiTheme="minorHAnsi" w:cstheme="minorHAnsi"/>
          <w:sz w:val="22"/>
          <w:szCs w:val="22"/>
          <w:lang w:eastAsia="x-none"/>
        </w:rPr>
        <w:t>Ribnita</w:t>
      </w:r>
      <w:proofErr w:type="spellEnd"/>
      <w:r w:rsidRPr="00F33976">
        <w:rPr>
          <w:rFonts w:asciiTheme="minorHAnsi" w:hAnsiTheme="minorHAnsi" w:cstheme="minorHAnsi"/>
          <w:sz w:val="22"/>
          <w:szCs w:val="22"/>
          <w:lang w:eastAsia="x-none"/>
        </w:rPr>
        <w:t xml:space="preserve">, </w:t>
      </w:r>
      <w:proofErr w:type="spellStart"/>
      <w:r w:rsidRPr="00F33976">
        <w:rPr>
          <w:rFonts w:asciiTheme="minorHAnsi" w:hAnsiTheme="minorHAnsi" w:cstheme="minorHAnsi"/>
          <w:sz w:val="22"/>
          <w:szCs w:val="22"/>
          <w:lang w:eastAsia="x-none"/>
        </w:rPr>
        <w:t>Camenca</w:t>
      </w:r>
      <w:proofErr w:type="spellEnd"/>
      <w:r w:rsidRPr="00F33976">
        <w:rPr>
          <w:rFonts w:asciiTheme="minorHAnsi" w:hAnsiTheme="minorHAnsi" w:cstheme="minorHAnsi"/>
          <w:sz w:val="22"/>
          <w:szCs w:val="22"/>
          <w:lang w:eastAsia="x-none"/>
        </w:rPr>
        <w:t xml:space="preserve"> and Bender.  </w:t>
      </w:r>
    </w:p>
    <w:p w14:paraId="33F41C59" w14:textId="77777777" w:rsidR="00370E57" w:rsidRPr="00F33976" w:rsidRDefault="00370E57" w:rsidP="00371773">
      <w:pPr>
        <w:jc w:val="both"/>
        <w:rPr>
          <w:rFonts w:asciiTheme="minorHAnsi" w:hAnsiTheme="minorHAnsi" w:cstheme="minorHAnsi"/>
          <w:sz w:val="22"/>
          <w:szCs w:val="22"/>
          <w:lang w:eastAsia="x-none"/>
        </w:rPr>
      </w:pPr>
    </w:p>
    <w:p w14:paraId="36F05401" w14:textId="77777777" w:rsidR="00370E57" w:rsidRPr="001B337A" w:rsidRDefault="00370E57" w:rsidP="00371773">
      <w:pPr>
        <w:pStyle w:val="Heading2"/>
        <w:shd w:val="clear" w:color="auto" w:fill="DDD9C4"/>
        <w:jc w:val="both"/>
        <w:rPr>
          <w:sz w:val="24"/>
          <w:lang w:val="en-GB"/>
        </w:rPr>
      </w:pPr>
      <w:bookmarkStart w:id="10" w:name="_Toc14860316"/>
      <w:bookmarkStart w:id="11" w:name="_Toc41055987"/>
      <w:r w:rsidRPr="001B337A">
        <w:rPr>
          <w:sz w:val="24"/>
          <w:lang w:val="en-GB"/>
        </w:rPr>
        <w:t>Output 3. Enhanced human rights culture in the Transnistrian region</w:t>
      </w:r>
      <w:bookmarkEnd w:id="10"/>
      <w:bookmarkEnd w:id="11"/>
    </w:p>
    <w:p w14:paraId="3CD383C1" w14:textId="77777777" w:rsidR="00370E57" w:rsidRPr="001B337A" w:rsidRDefault="00370E57" w:rsidP="00371773">
      <w:pPr>
        <w:jc w:val="both"/>
        <w:rPr>
          <w:u w:val="single"/>
          <w:lang w:val="en-GB"/>
        </w:rPr>
      </w:pPr>
    </w:p>
    <w:p w14:paraId="19725157" w14:textId="77777777" w:rsidR="00370E57" w:rsidRPr="00F33976" w:rsidRDefault="00370E57" w:rsidP="00371773">
      <w:pPr>
        <w:jc w:val="both"/>
        <w:rPr>
          <w:rFonts w:asciiTheme="minorHAnsi" w:hAnsiTheme="minorHAnsi" w:cstheme="minorHAnsi"/>
          <w:sz w:val="22"/>
          <w:szCs w:val="22"/>
          <w:lang w:eastAsia="x-none"/>
        </w:rPr>
      </w:pPr>
      <w:proofErr w:type="spellStart"/>
      <w:r w:rsidRPr="00F33976">
        <w:rPr>
          <w:rFonts w:asciiTheme="minorHAnsi" w:hAnsiTheme="minorHAnsi" w:cstheme="minorHAnsi"/>
          <w:sz w:val="22"/>
          <w:szCs w:val="22"/>
          <w:lang w:eastAsia="x-none"/>
        </w:rPr>
        <w:t>Recognising</w:t>
      </w:r>
      <w:proofErr w:type="spellEnd"/>
      <w:r w:rsidRPr="00F33976">
        <w:rPr>
          <w:rFonts w:asciiTheme="minorHAnsi" w:hAnsiTheme="minorHAnsi" w:cstheme="minorHAnsi"/>
          <w:sz w:val="22"/>
          <w:szCs w:val="22"/>
          <w:lang w:eastAsia="x-none"/>
        </w:rPr>
        <w:t xml:space="preserve"> the important role of the media in increasing the awareness of public on human rights and in exposing the identified human rights violations to the general public, the Programme has developed and organized </w:t>
      </w:r>
      <w:proofErr w:type="gramStart"/>
      <w:r w:rsidRPr="00F33976">
        <w:rPr>
          <w:rFonts w:asciiTheme="minorHAnsi" w:hAnsiTheme="minorHAnsi" w:cstheme="minorHAnsi"/>
          <w:sz w:val="22"/>
          <w:szCs w:val="22"/>
          <w:lang w:eastAsia="x-none"/>
        </w:rPr>
        <w:t>a number of</w:t>
      </w:r>
      <w:proofErr w:type="gramEnd"/>
      <w:r w:rsidRPr="00F33976">
        <w:rPr>
          <w:rFonts w:asciiTheme="minorHAnsi" w:hAnsiTheme="minorHAnsi" w:cstheme="minorHAnsi"/>
          <w:sz w:val="22"/>
          <w:szCs w:val="22"/>
          <w:lang w:eastAsia="x-none"/>
        </w:rPr>
        <w:t xml:space="preserve"> media events and campaigns, outlined below. </w:t>
      </w:r>
    </w:p>
    <w:p w14:paraId="51A7425B" w14:textId="77777777" w:rsidR="00370E57" w:rsidRPr="00F33976" w:rsidRDefault="00370E57" w:rsidP="00371773">
      <w:pPr>
        <w:jc w:val="both"/>
        <w:rPr>
          <w:rFonts w:asciiTheme="minorHAnsi" w:hAnsiTheme="minorHAnsi" w:cstheme="minorHAnsi"/>
          <w:sz w:val="22"/>
          <w:szCs w:val="22"/>
          <w:lang w:eastAsia="x-none"/>
        </w:rPr>
      </w:pPr>
    </w:p>
    <w:p w14:paraId="18A98F67" w14:textId="77777777" w:rsidR="00370E57" w:rsidRPr="00F33976" w:rsidRDefault="00370E57" w:rsidP="00371773">
      <w:pPr>
        <w:jc w:val="both"/>
        <w:rPr>
          <w:rFonts w:asciiTheme="minorHAnsi" w:hAnsiTheme="minorHAnsi" w:cstheme="minorHAnsi"/>
          <w:sz w:val="22"/>
          <w:szCs w:val="22"/>
          <w:lang w:eastAsia="x-none"/>
        </w:rPr>
      </w:pPr>
      <w:r w:rsidRPr="00F33976">
        <w:rPr>
          <w:rFonts w:asciiTheme="minorHAnsi" w:hAnsiTheme="minorHAnsi" w:cstheme="minorHAnsi"/>
          <w:sz w:val="22"/>
          <w:szCs w:val="22"/>
          <w:lang w:eastAsia="x-none"/>
        </w:rPr>
        <w:t xml:space="preserve">Aiming to amplify the results of Stigma index 2017 (research) on both banks, which was mainly implemented by people living with HIV, the Programme developed a comprehensive plan on stigma and discrimination reduction and supporting its implementation. The plan focuses on three different distinct public targets: 1) people living with HIV (PLWH) for addressing self-stigma, 2) health staff and 3) the general public. </w:t>
      </w:r>
    </w:p>
    <w:p w14:paraId="3BEF1CF0" w14:textId="77777777" w:rsidR="00370E57" w:rsidRPr="00F33976" w:rsidRDefault="00370E57" w:rsidP="00371773">
      <w:pPr>
        <w:jc w:val="both"/>
        <w:rPr>
          <w:rFonts w:asciiTheme="minorHAnsi" w:hAnsiTheme="minorHAnsi" w:cstheme="minorHAnsi"/>
          <w:sz w:val="22"/>
          <w:szCs w:val="22"/>
          <w:lang w:eastAsia="x-none"/>
        </w:rPr>
      </w:pPr>
    </w:p>
    <w:p w14:paraId="5F35F7B4" w14:textId="77777777" w:rsidR="00370E57" w:rsidRPr="00F33976" w:rsidRDefault="00370E57" w:rsidP="00371773">
      <w:pPr>
        <w:jc w:val="both"/>
        <w:rPr>
          <w:rFonts w:asciiTheme="minorHAnsi" w:hAnsiTheme="minorHAnsi" w:cstheme="minorHAnsi"/>
          <w:sz w:val="22"/>
          <w:szCs w:val="22"/>
          <w:lang w:eastAsia="x-none"/>
        </w:rPr>
      </w:pPr>
      <w:r w:rsidRPr="00F33976">
        <w:rPr>
          <w:rFonts w:asciiTheme="minorHAnsi" w:hAnsiTheme="minorHAnsi" w:cstheme="minorHAnsi"/>
          <w:sz w:val="22"/>
          <w:szCs w:val="22"/>
          <w:lang w:eastAsia="x-none"/>
        </w:rPr>
        <w:t xml:space="preserve">At the individual level, the project focused on women living with HIV, which according to all researches are more vulnerable </w:t>
      </w:r>
      <w:proofErr w:type="gramStart"/>
      <w:r w:rsidRPr="00F33976">
        <w:rPr>
          <w:rFonts w:asciiTheme="minorHAnsi" w:hAnsiTheme="minorHAnsi" w:cstheme="minorHAnsi"/>
          <w:sz w:val="22"/>
          <w:szCs w:val="22"/>
          <w:lang w:eastAsia="x-none"/>
        </w:rPr>
        <w:t>and also</w:t>
      </w:r>
      <w:proofErr w:type="gramEnd"/>
      <w:r w:rsidRPr="00F33976">
        <w:rPr>
          <w:rFonts w:asciiTheme="minorHAnsi" w:hAnsiTheme="minorHAnsi" w:cstheme="minorHAnsi"/>
          <w:sz w:val="22"/>
          <w:szCs w:val="22"/>
          <w:lang w:eastAsia="x-none"/>
        </w:rPr>
        <w:t xml:space="preserve"> more stigmatized (Stigma Index 2018). Within this period, it was succeeded to develop the concept of the mentoring program and identify about 40 women living with HIV (compared to the target of 25) to be enrolled in it. The concept looks at the trainings needs of mentors and guidance on providing the mentoring. The service provision is based on peer to peer mentoring. 4 NGOs working with women infected and affected by HIV: two on the right bank and two on the left bank were selected and granted to ensure the mentoring program. Balti, </w:t>
      </w:r>
      <w:proofErr w:type="spellStart"/>
      <w:r w:rsidRPr="00F33976">
        <w:rPr>
          <w:rFonts w:asciiTheme="minorHAnsi" w:hAnsiTheme="minorHAnsi" w:cstheme="minorHAnsi"/>
          <w:sz w:val="22"/>
          <w:szCs w:val="22"/>
          <w:lang w:eastAsia="x-none"/>
        </w:rPr>
        <w:t>Comrat</w:t>
      </w:r>
      <w:proofErr w:type="spellEnd"/>
      <w:r w:rsidRPr="00F33976">
        <w:rPr>
          <w:rFonts w:asciiTheme="minorHAnsi" w:hAnsiTheme="minorHAnsi" w:cstheme="minorHAnsi"/>
          <w:sz w:val="22"/>
          <w:szCs w:val="22"/>
          <w:lang w:eastAsia="x-none"/>
        </w:rPr>
        <w:t xml:space="preserve"> and Bender and Tiraspol, the most remote and affected localities were chosen. 10 persons were trained as mentors to ensure the mentoring program, as well as 4 women which </w:t>
      </w:r>
      <w:proofErr w:type="gramStart"/>
      <w:r w:rsidRPr="00F33976">
        <w:rPr>
          <w:rFonts w:asciiTheme="minorHAnsi" w:hAnsiTheme="minorHAnsi" w:cstheme="minorHAnsi"/>
          <w:sz w:val="22"/>
          <w:szCs w:val="22"/>
          <w:lang w:eastAsia="x-none"/>
        </w:rPr>
        <w:t>actually have</w:t>
      </w:r>
      <w:proofErr w:type="gramEnd"/>
      <w:r w:rsidRPr="00F33976">
        <w:rPr>
          <w:rFonts w:asciiTheme="minorHAnsi" w:hAnsiTheme="minorHAnsi" w:cstheme="minorHAnsi"/>
          <w:sz w:val="22"/>
          <w:szCs w:val="22"/>
          <w:lang w:eastAsia="x-none"/>
        </w:rPr>
        <w:t xml:space="preserve"> the management position in the organization, to ensure full support for mentors and mentees. The first 40 women living with HIV are at the mid of their mentoring program (a 160% initially set indicator achievement), as the result of concept development, </w:t>
      </w:r>
      <w:proofErr w:type="spellStart"/>
      <w:r w:rsidRPr="00F33976">
        <w:rPr>
          <w:rFonts w:asciiTheme="minorHAnsi" w:hAnsiTheme="minorHAnsi" w:cstheme="minorHAnsi"/>
          <w:sz w:val="22"/>
          <w:szCs w:val="22"/>
          <w:lang w:eastAsia="x-none"/>
        </w:rPr>
        <w:t>ToT</w:t>
      </w:r>
      <w:proofErr w:type="spellEnd"/>
      <w:r w:rsidRPr="00F33976">
        <w:rPr>
          <w:rFonts w:asciiTheme="minorHAnsi" w:hAnsiTheme="minorHAnsi" w:cstheme="minorHAnsi"/>
          <w:sz w:val="22"/>
          <w:szCs w:val="22"/>
          <w:lang w:eastAsia="x-none"/>
        </w:rPr>
        <w:t xml:space="preserve"> for mentors, identification of those 40 most vulnerable women living or affected by HIV and the development of their individual mentoring programs. By now, psycho-social individual and groups sessions are realized. UCM leveraged resources from UN Women to complement the mentoring programme with services related to GBV and GE, as well as learning on economic existent opportunities, to be supported during 2020.  </w:t>
      </w:r>
    </w:p>
    <w:p w14:paraId="346CB066" w14:textId="77777777" w:rsidR="00370E57" w:rsidRPr="00F33976" w:rsidRDefault="00370E57" w:rsidP="00371773">
      <w:pPr>
        <w:jc w:val="both"/>
        <w:rPr>
          <w:rFonts w:asciiTheme="minorHAnsi" w:hAnsiTheme="minorHAnsi" w:cstheme="minorHAnsi"/>
          <w:sz w:val="22"/>
          <w:szCs w:val="22"/>
          <w:lang w:eastAsia="x-none"/>
        </w:rPr>
      </w:pPr>
    </w:p>
    <w:p w14:paraId="48B80422" w14:textId="77777777" w:rsidR="00370E57" w:rsidRPr="00F33976" w:rsidRDefault="00370E57" w:rsidP="00371773">
      <w:pPr>
        <w:jc w:val="both"/>
        <w:rPr>
          <w:rFonts w:asciiTheme="minorHAnsi" w:hAnsiTheme="minorHAnsi" w:cstheme="minorHAnsi"/>
          <w:sz w:val="22"/>
          <w:szCs w:val="22"/>
          <w:lang w:eastAsia="x-none"/>
        </w:rPr>
      </w:pPr>
      <w:proofErr w:type="gramStart"/>
      <w:r w:rsidRPr="00F33976">
        <w:rPr>
          <w:rFonts w:asciiTheme="minorHAnsi" w:hAnsiTheme="minorHAnsi" w:cstheme="minorHAnsi"/>
          <w:sz w:val="22"/>
          <w:szCs w:val="22"/>
          <w:lang w:eastAsia="x-none"/>
        </w:rPr>
        <w:t>On the occasion of</w:t>
      </w:r>
      <w:proofErr w:type="gramEnd"/>
      <w:r w:rsidRPr="00F33976">
        <w:rPr>
          <w:rFonts w:asciiTheme="minorHAnsi" w:hAnsiTheme="minorHAnsi" w:cstheme="minorHAnsi"/>
          <w:sz w:val="22"/>
          <w:szCs w:val="22"/>
          <w:lang w:eastAsia="x-none"/>
        </w:rPr>
        <w:t xml:space="preserve"> the World AIDS Day a social media campaign was developed and run in the period of November 20th - December 5th, 2019. The aim of the campaign was to raise awareness about the impact discrimination and social stigma have on people living with HIV, and how these negative attitudes hamper efforts to stop the spread of the epidemic. This outstanding communication campaign resulted in the coverage of about 20,000 people (including about 7,000 in the Transnistrian region); 40 cities from the both banks of the river </w:t>
      </w:r>
      <w:proofErr w:type="spellStart"/>
      <w:r w:rsidRPr="00F33976">
        <w:rPr>
          <w:rFonts w:asciiTheme="minorHAnsi" w:hAnsiTheme="minorHAnsi" w:cstheme="minorHAnsi"/>
          <w:sz w:val="22"/>
          <w:szCs w:val="22"/>
          <w:lang w:eastAsia="x-none"/>
        </w:rPr>
        <w:t>Nistru</w:t>
      </w:r>
      <w:proofErr w:type="spellEnd"/>
      <w:r w:rsidRPr="00F33976">
        <w:rPr>
          <w:rFonts w:asciiTheme="minorHAnsi" w:hAnsiTheme="minorHAnsi" w:cstheme="minorHAnsi"/>
          <w:sz w:val="22"/>
          <w:szCs w:val="22"/>
          <w:lang w:eastAsia="x-none"/>
        </w:rPr>
        <w:t>; 6 Ministries, 14 NGOs and 4 Regional Social Centers for PLWH; about 20 media channels covered the events. People were reached through events as a launching press conference, meetings/workshops at the local level, informative sessions for youth, youth quests, “security itinerary” action, red ribbon solidarity action, public testing actions in all 40 localities, testing actions using the mobile clinic, flash mobs and mass media events. Within the campaign a National AIDS conference, which gathered about 150 national stakeholders developed the first draft of the new HIV strategy for the period 2021-2025.</w:t>
      </w:r>
    </w:p>
    <w:p w14:paraId="56836657" w14:textId="77777777" w:rsidR="00370E57" w:rsidRPr="00F33976" w:rsidRDefault="00370E57" w:rsidP="00371773">
      <w:pPr>
        <w:jc w:val="both"/>
        <w:rPr>
          <w:rFonts w:asciiTheme="minorHAnsi" w:hAnsiTheme="minorHAnsi" w:cstheme="minorHAnsi"/>
          <w:sz w:val="22"/>
          <w:szCs w:val="22"/>
          <w:lang w:eastAsia="x-none"/>
        </w:rPr>
      </w:pPr>
    </w:p>
    <w:p w14:paraId="09F9F738" w14:textId="77777777" w:rsidR="00370E57" w:rsidRPr="00F33976" w:rsidRDefault="00370E57" w:rsidP="00371773">
      <w:pPr>
        <w:jc w:val="both"/>
        <w:rPr>
          <w:rFonts w:asciiTheme="minorHAnsi" w:hAnsiTheme="minorHAnsi" w:cstheme="minorHAnsi"/>
          <w:sz w:val="22"/>
          <w:szCs w:val="22"/>
          <w:lang w:eastAsia="x-none"/>
        </w:rPr>
      </w:pPr>
      <w:r w:rsidRPr="00F33976">
        <w:rPr>
          <w:rFonts w:asciiTheme="minorHAnsi" w:hAnsiTheme="minorHAnsi" w:cstheme="minorHAnsi"/>
          <w:sz w:val="22"/>
          <w:szCs w:val="22"/>
          <w:lang w:eastAsia="x-none"/>
        </w:rPr>
        <w:t xml:space="preserve">Additionally, a series of posters “Know how talk about HIV to avoid stigma” were disseminated via social media with Problematic versus Preferred word or phrase when talking about HIV and a series of 30 seconds-long videos sharing voices and stories, which can help end HIV stigma. Out of them a 2 minutes long video was produced to start the campaign. </w:t>
      </w:r>
    </w:p>
    <w:p w14:paraId="558DCA20" w14:textId="77777777" w:rsidR="00370E57" w:rsidRPr="00F33976" w:rsidRDefault="00370E57" w:rsidP="00371773">
      <w:pPr>
        <w:jc w:val="both"/>
        <w:rPr>
          <w:rFonts w:asciiTheme="minorHAnsi" w:hAnsiTheme="minorHAnsi" w:cstheme="minorHAnsi"/>
          <w:sz w:val="22"/>
          <w:szCs w:val="22"/>
          <w:lang w:eastAsia="x-none"/>
        </w:rPr>
      </w:pPr>
    </w:p>
    <w:p w14:paraId="6B28122E" w14:textId="51B1CD84" w:rsidR="00370E57" w:rsidRPr="00F33976" w:rsidRDefault="00370E57" w:rsidP="00371773">
      <w:pPr>
        <w:jc w:val="both"/>
        <w:rPr>
          <w:rFonts w:asciiTheme="minorHAnsi" w:hAnsiTheme="minorHAnsi" w:cstheme="minorHAnsi"/>
          <w:sz w:val="22"/>
          <w:szCs w:val="22"/>
          <w:lang w:eastAsia="x-none"/>
        </w:rPr>
      </w:pPr>
      <w:r w:rsidRPr="00F33976">
        <w:rPr>
          <w:rFonts w:asciiTheme="minorHAnsi" w:hAnsiTheme="minorHAnsi" w:cstheme="minorHAnsi"/>
          <w:sz w:val="22"/>
          <w:szCs w:val="22"/>
          <w:lang w:eastAsia="x-none"/>
        </w:rPr>
        <w:lastRenderedPageBreak/>
        <w:t>When talking about HIV, certain words and language may have a negative meaning for people at high risk for HIV or those who have HIV.</w:t>
      </w:r>
      <w:r w:rsidR="00F33976">
        <w:rPr>
          <w:rFonts w:asciiTheme="minorHAnsi" w:hAnsiTheme="minorHAnsi" w:cstheme="minorHAnsi"/>
          <w:sz w:val="22"/>
          <w:szCs w:val="22"/>
          <w:lang w:eastAsia="x-none"/>
        </w:rPr>
        <w:t xml:space="preserve"> </w:t>
      </w:r>
      <w:r w:rsidRPr="00F33976">
        <w:rPr>
          <w:rFonts w:asciiTheme="minorHAnsi" w:hAnsiTheme="minorHAnsi" w:cstheme="minorHAnsi"/>
          <w:sz w:val="22"/>
          <w:szCs w:val="22"/>
          <w:lang w:eastAsia="x-none"/>
        </w:rPr>
        <w:t xml:space="preserve">The aim of the posters created was to raise awareness that everyone can stop HIV stigma by being intentional and thoughtful when choosing his </w:t>
      </w:r>
      <w:proofErr w:type="gramStart"/>
      <w:r w:rsidRPr="00F33976">
        <w:rPr>
          <w:rFonts w:asciiTheme="minorHAnsi" w:hAnsiTheme="minorHAnsi" w:cstheme="minorHAnsi"/>
          <w:sz w:val="22"/>
          <w:szCs w:val="22"/>
          <w:lang w:eastAsia="x-none"/>
        </w:rPr>
        <w:t>words, and</w:t>
      </w:r>
      <w:proofErr w:type="gramEnd"/>
      <w:r w:rsidRPr="00F33976">
        <w:rPr>
          <w:rFonts w:asciiTheme="minorHAnsi" w:hAnsiTheme="minorHAnsi" w:cstheme="minorHAnsi"/>
          <w:sz w:val="22"/>
          <w:szCs w:val="22"/>
          <w:lang w:eastAsia="x-none"/>
        </w:rPr>
        <w:t xml:space="preserve"> choosing to use supportive - rather than stigmatizing - language when talking about HIV.</w:t>
      </w:r>
      <w:r w:rsidR="00F33976">
        <w:rPr>
          <w:rFonts w:asciiTheme="minorHAnsi" w:hAnsiTheme="minorHAnsi" w:cstheme="minorHAnsi"/>
          <w:sz w:val="22"/>
          <w:szCs w:val="22"/>
          <w:lang w:eastAsia="x-none"/>
        </w:rPr>
        <w:t xml:space="preserve"> </w:t>
      </w:r>
      <w:r w:rsidRPr="00F33976">
        <w:rPr>
          <w:rFonts w:asciiTheme="minorHAnsi" w:hAnsiTheme="minorHAnsi" w:cstheme="minorHAnsi"/>
          <w:sz w:val="22"/>
          <w:szCs w:val="22"/>
          <w:lang w:eastAsia="x-none"/>
        </w:rPr>
        <w:t xml:space="preserve">Thus, 4 special banners with a specific awareness raising messages were created and widely promoted in social media, more exactly on UN FB page, SCDP’s </w:t>
      </w:r>
      <w:r w:rsidR="0070329E">
        <w:rPr>
          <w:rFonts w:asciiTheme="minorHAnsi" w:hAnsiTheme="minorHAnsi" w:cstheme="minorHAnsi"/>
          <w:sz w:val="22"/>
          <w:szCs w:val="22"/>
          <w:lang w:eastAsia="x-none"/>
        </w:rPr>
        <w:t>social media</w:t>
      </w:r>
      <w:r w:rsidR="0070329E" w:rsidRPr="00F33976">
        <w:rPr>
          <w:rFonts w:asciiTheme="minorHAnsi" w:hAnsiTheme="minorHAnsi" w:cstheme="minorHAnsi"/>
          <w:sz w:val="22"/>
          <w:szCs w:val="22"/>
          <w:lang w:eastAsia="x-none"/>
        </w:rPr>
        <w:t xml:space="preserve"> </w:t>
      </w:r>
      <w:r w:rsidRPr="00F33976">
        <w:rPr>
          <w:rFonts w:asciiTheme="minorHAnsi" w:hAnsiTheme="minorHAnsi" w:cstheme="minorHAnsi"/>
          <w:sz w:val="22"/>
          <w:szCs w:val="22"/>
          <w:lang w:eastAsia="x-none"/>
        </w:rPr>
        <w:t xml:space="preserve">page and UNAIDS </w:t>
      </w:r>
      <w:proofErr w:type="spellStart"/>
      <w:r w:rsidR="0070329E">
        <w:rPr>
          <w:rFonts w:asciiTheme="minorHAnsi" w:hAnsiTheme="minorHAnsi" w:cstheme="minorHAnsi"/>
          <w:sz w:val="22"/>
          <w:szCs w:val="22"/>
          <w:lang w:eastAsia="x-none"/>
        </w:rPr>
        <w:t>facebook</w:t>
      </w:r>
      <w:proofErr w:type="spellEnd"/>
      <w:r w:rsidR="0070329E" w:rsidRPr="00F33976">
        <w:rPr>
          <w:rFonts w:asciiTheme="minorHAnsi" w:hAnsiTheme="minorHAnsi" w:cstheme="minorHAnsi"/>
          <w:sz w:val="22"/>
          <w:szCs w:val="22"/>
          <w:lang w:eastAsia="x-none"/>
        </w:rPr>
        <w:t xml:space="preserve"> </w:t>
      </w:r>
      <w:r w:rsidRPr="00F33976">
        <w:rPr>
          <w:rFonts w:asciiTheme="minorHAnsi" w:hAnsiTheme="minorHAnsi" w:cstheme="minorHAnsi"/>
          <w:sz w:val="22"/>
          <w:szCs w:val="22"/>
          <w:lang w:eastAsia="x-none"/>
        </w:rPr>
        <w:t>page.</w:t>
      </w:r>
    </w:p>
    <w:p w14:paraId="06E0085A" w14:textId="77777777" w:rsidR="00370E57" w:rsidRPr="00F33976" w:rsidRDefault="00370E57" w:rsidP="00371773">
      <w:pPr>
        <w:jc w:val="both"/>
        <w:rPr>
          <w:rFonts w:asciiTheme="minorHAnsi" w:hAnsiTheme="minorHAnsi" w:cstheme="minorHAnsi"/>
          <w:sz w:val="22"/>
          <w:szCs w:val="22"/>
          <w:lang w:eastAsia="x-none"/>
        </w:rPr>
      </w:pPr>
    </w:p>
    <w:p w14:paraId="5BAD0CC8" w14:textId="2D261F24" w:rsidR="00370E57" w:rsidRPr="00F33976" w:rsidRDefault="00370E57" w:rsidP="00371773">
      <w:pPr>
        <w:jc w:val="both"/>
        <w:rPr>
          <w:rFonts w:asciiTheme="minorHAnsi" w:hAnsiTheme="minorHAnsi" w:cstheme="minorHAnsi"/>
          <w:sz w:val="22"/>
          <w:szCs w:val="22"/>
          <w:lang w:eastAsia="x-none"/>
        </w:rPr>
      </w:pPr>
      <w:r w:rsidRPr="00F33976">
        <w:rPr>
          <w:rFonts w:asciiTheme="minorHAnsi" w:hAnsiTheme="minorHAnsi" w:cstheme="minorHAnsi"/>
          <w:sz w:val="22"/>
          <w:szCs w:val="22"/>
          <w:lang w:eastAsia="x-none"/>
        </w:rPr>
        <w:t>Starting with December 6, the second awareness raising campaign within the Programme was held. The aim of the campaign “I have the right to...” was to raise awareness on the importance of human rights through positive examples of vulnerable groups representatives. The campaign pivoted on positive examples of claiming rights by people belonging to vulnerable groups. Six online posters were created featuring rights holders bringing a change by claiming their rights. The posters were shared on UN FB page as well on SCPD and UNDP FB pages. The posts had 5 K organic reach and 10 shares.</w:t>
      </w:r>
    </w:p>
    <w:p w14:paraId="18D03551" w14:textId="77777777" w:rsidR="00370E57" w:rsidRPr="00F33976" w:rsidRDefault="00370E57" w:rsidP="00371773">
      <w:pPr>
        <w:jc w:val="both"/>
        <w:rPr>
          <w:rFonts w:asciiTheme="minorHAnsi" w:hAnsiTheme="minorHAnsi" w:cstheme="minorHAnsi"/>
          <w:sz w:val="22"/>
          <w:szCs w:val="22"/>
          <w:lang w:eastAsia="x-none"/>
        </w:rPr>
      </w:pPr>
    </w:p>
    <w:p w14:paraId="069A240B" w14:textId="77777777" w:rsidR="00370E57" w:rsidRPr="00F33976" w:rsidRDefault="00370E57" w:rsidP="00371773">
      <w:pPr>
        <w:jc w:val="both"/>
        <w:rPr>
          <w:rFonts w:asciiTheme="minorHAnsi" w:hAnsiTheme="minorHAnsi" w:cstheme="minorHAnsi"/>
          <w:sz w:val="22"/>
          <w:szCs w:val="22"/>
          <w:lang w:eastAsia="x-none"/>
        </w:rPr>
      </w:pPr>
      <w:r w:rsidRPr="00F33976">
        <w:rPr>
          <w:rFonts w:asciiTheme="minorHAnsi" w:hAnsiTheme="minorHAnsi" w:cstheme="minorHAnsi"/>
          <w:sz w:val="22"/>
          <w:szCs w:val="22"/>
          <w:lang w:eastAsia="x-none"/>
        </w:rPr>
        <w:t>As mentioned above, 4 videos sharing voices and stories that can help end HIV stigma were filmed, edited and distributed during the HIV awareness raising campaign. The general messages focused on the impact discrimination and social stigma have on people living with HIV, and how these negative attitudes hamper efforts to stop the spread of the epidemic.</w:t>
      </w:r>
    </w:p>
    <w:p w14:paraId="626575A3" w14:textId="77777777" w:rsidR="00370E57" w:rsidRPr="00F33976" w:rsidRDefault="00370E57" w:rsidP="00371773">
      <w:pPr>
        <w:jc w:val="both"/>
        <w:rPr>
          <w:rFonts w:asciiTheme="minorHAnsi" w:hAnsiTheme="minorHAnsi" w:cstheme="minorHAnsi"/>
          <w:sz w:val="22"/>
          <w:szCs w:val="22"/>
          <w:lang w:eastAsia="x-none"/>
        </w:rPr>
      </w:pPr>
    </w:p>
    <w:p w14:paraId="695EDE88" w14:textId="67B82645" w:rsidR="00370E57" w:rsidRPr="00F33976" w:rsidRDefault="00370E57" w:rsidP="00371773">
      <w:pPr>
        <w:jc w:val="both"/>
        <w:rPr>
          <w:rFonts w:asciiTheme="minorHAnsi" w:hAnsiTheme="minorHAnsi" w:cstheme="minorHAnsi"/>
          <w:sz w:val="22"/>
          <w:szCs w:val="22"/>
          <w:lang w:eastAsia="x-none"/>
        </w:rPr>
      </w:pPr>
      <w:r w:rsidRPr="00F33976">
        <w:rPr>
          <w:rFonts w:asciiTheme="minorHAnsi" w:hAnsiTheme="minorHAnsi" w:cstheme="minorHAnsi"/>
          <w:sz w:val="22"/>
          <w:szCs w:val="22"/>
          <w:lang w:eastAsia="x-none"/>
        </w:rPr>
        <w:t xml:space="preserve">To have a cross-river and gender-sensitive approach, the main characters of the stories were selected accordingly. One video was shot in Tiraspol, one in Chisinau and the third one in </w:t>
      </w:r>
      <w:proofErr w:type="spellStart"/>
      <w:r w:rsidRPr="00F33976">
        <w:rPr>
          <w:rFonts w:asciiTheme="minorHAnsi" w:hAnsiTheme="minorHAnsi" w:cstheme="minorHAnsi"/>
          <w:sz w:val="22"/>
          <w:szCs w:val="22"/>
          <w:lang w:eastAsia="x-none"/>
        </w:rPr>
        <w:t>Anenii</w:t>
      </w:r>
      <w:proofErr w:type="spellEnd"/>
      <w:r w:rsidRPr="00F33976">
        <w:rPr>
          <w:rFonts w:asciiTheme="minorHAnsi" w:hAnsiTheme="minorHAnsi" w:cstheme="minorHAnsi"/>
          <w:sz w:val="22"/>
          <w:szCs w:val="22"/>
          <w:lang w:eastAsia="x-none"/>
        </w:rPr>
        <w:t xml:space="preserve"> </w:t>
      </w:r>
      <w:proofErr w:type="spellStart"/>
      <w:r w:rsidRPr="00F33976">
        <w:rPr>
          <w:rFonts w:asciiTheme="minorHAnsi" w:hAnsiTheme="minorHAnsi" w:cstheme="minorHAnsi"/>
          <w:sz w:val="22"/>
          <w:szCs w:val="22"/>
          <w:lang w:eastAsia="x-none"/>
        </w:rPr>
        <w:t>Noi</w:t>
      </w:r>
      <w:proofErr w:type="spellEnd"/>
      <w:r w:rsidRPr="00F33976">
        <w:rPr>
          <w:rFonts w:asciiTheme="minorHAnsi" w:hAnsiTheme="minorHAnsi" w:cstheme="minorHAnsi"/>
          <w:sz w:val="22"/>
          <w:szCs w:val="22"/>
          <w:lang w:eastAsia="x-none"/>
        </w:rPr>
        <w:t>. All three stories were compiled within one common video and distributed in the begin</w:t>
      </w:r>
      <w:r w:rsidR="00F87DC8">
        <w:rPr>
          <w:rFonts w:asciiTheme="minorHAnsi" w:hAnsiTheme="minorHAnsi" w:cstheme="minorHAnsi"/>
          <w:sz w:val="22"/>
          <w:szCs w:val="22"/>
          <w:lang w:eastAsia="x-none"/>
        </w:rPr>
        <w:t>n</w:t>
      </w:r>
      <w:r w:rsidRPr="00F33976">
        <w:rPr>
          <w:rFonts w:asciiTheme="minorHAnsi" w:hAnsiTheme="minorHAnsi" w:cstheme="minorHAnsi"/>
          <w:sz w:val="22"/>
          <w:szCs w:val="22"/>
          <w:lang w:eastAsia="x-none"/>
        </w:rPr>
        <w:t>ing of the campaign.</w:t>
      </w:r>
    </w:p>
    <w:p w14:paraId="778BEBF5" w14:textId="77777777" w:rsidR="00370E57" w:rsidRPr="00F33976" w:rsidRDefault="00370E57" w:rsidP="00371773">
      <w:pPr>
        <w:jc w:val="both"/>
        <w:rPr>
          <w:rFonts w:asciiTheme="minorHAnsi" w:hAnsiTheme="minorHAnsi" w:cstheme="minorHAnsi"/>
          <w:sz w:val="22"/>
          <w:szCs w:val="22"/>
          <w:lang w:eastAsia="x-none"/>
        </w:rPr>
      </w:pPr>
    </w:p>
    <w:p w14:paraId="4DE80D10" w14:textId="77777777" w:rsidR="00370E57" w:rsidRPr="00F33976" w:rsidRDefault="00370E57" w:rsidP="00371773">
      <w:pPr>
        <w:jc w:val="both"/>
        <w:rPr>
          <w:rFonts w:asciiTheme="minorHAnsi" w:hAnsiTheme="minorHAnsi" w:cstheme="minorHAnsi"/>
          <w:sz w:val="22"/>
          <w:szCs w:val="22"/>
          <w:lang w:eastAsia="x-none"/>
        </w:rPr>
      </w:pPr>
      <w:r w:rsidRPr="00F33976">
        <w:rPr>
          <w:rFonts w:asciiTheme="minorHAnsi" w:hAnsiTheme="minorHAnsi" w:cstheme="minorHAnsi"/>
          <w:sz w:val="22"/>
          <w:szCs w:val="22"/>
          <w:lang w:eastAsia="x-none"/>
        </w:rPr>
        <w:t xml:space="preserve">One more video was filmed within the second communication campaign related to Human Rights awareness-raising. The two minutes long video shared the voices of ordinary persons from the left bank of </w:t>
      </w:r>
      <w:proofErr w:type="spellStart"/>
      <w:r w:rsidRPr="00F33976">
        <w:rPr>
          <w:rFonts w:asciiTheme="minorHAnsi" w:hAnsiTheme="minorHAnsi" w:cstheme="minorHAnsi"/>
          <w:sz w:val="22"/>
          <w:szCs w:val="22"/>
          <w:lang w:eastAsia="x-none"/>
        </w:rPr>
        <w:t>Nistru</w:t>
      </w:r>
      <w:proofErr w:type="spellEnd"/>
      <w:r w:rsidRPr="00F33976">
        <w:rPr>
          <w:rFonts w:asciiTheme="minorHAnsi" w:hAnsiTheme="minorHAnsi" w:cstheme="minorHAnsi"/>
          <w:sz w:val="22"/>
          <w:szCs w:val="22"/>
          <w:lang w:eastAsia="x-none"/>
        </w:rPr>
        <w:t xml:space="preserve"> River answering what association “human rights” bring to their mind. </w:t>
      </w:r>
    </w:p>
    <w:p w14:paraId="5A4A10C7" w14:textId="77777777" w:rsidR="00370E57" w:rsidRPr="00F33976" w:rsidRDefault="00370E57" w:rsidP="00371773">
      <w:pPr>
        <w:jc w:val="both"/>
        <w:rPr>
          <w:rFonts w:asciiTheme="minorHAnsi" w:hAnsiTheme="minorHAnsi" w:cstheme="minorHAnsi"/>
          <w:sz w:val="22"/>
          <w:szCs w:val="22"/>
          <w:lang w:eastAsia="x-none"/>
        </w:rPr>
      </w:pPr>
    </w:p>
    <w:p w14:paraId="667286B2" w14:textId="77777777" w:rsidR="00370E57" w:rsidRPr="00F33976" w:rsidRDefault="00370E57" w:rsidP="00371773">
      <w:pPr>
        <w:jc w:val="both"/>
        <w:rPr>
          <w:rFonts w:asciiTheme="minorHAnsi" w:hAnsiTheme="minorHAnsi" w:cstheme="minorHAnsi"/>
          <w:sz w:val="22"/>
          <w:szCs w:val="22"/>
          <w:lang w:eastAsia="x-none"/>
        </w:rPr>
      </w:pPr>
      <w:r w:rsidRPr="00F33976">
        <w:rPr>
          <w:rFonts w:asciiTheme="minorHAnsi" w:hAnsiTheme="minorHAnsi" w:cstheme="minorHAnsi"/>
          <w:sz w:val="22"/>
          <w:szCs w:val="22"/>
          <w:lang w:eastAsia="x-none"/>
        </w:rPr>
        <w:t>All 5 videos were promoted in social media and ranked in the top of UN Moldova FB page video clips. The videos recorded over 5.9K views on UN Moldova Facebook page. The overall impact of the posts on Facebook is 12.1K organic reach and 85 shares (see the screen capture below).</w:t>
      </w:r>
    </w:p>
    <w:p w14:paraId="60103004" w14:textId="77777777" w:rsidR="00F33976" w:rsidRDefault="00F33976" w:rsidP="00371773">
      <w:pPr>
        <w:jc w:val="both"/>
        <w:rPr>
          <w:rFonts w:asciiTheme="minorHAnsi" w:hAnsiTheme="minorHAnsi" w:cstheme="minorHAnsi"/>
          <w:sz w:val="22"/>
          <w:szCs w:val="22"/>
          <w:lang w:eastAsia="x-none"/>
        </w:rPr>
      </w:pPr>
    </w:p>
    <w:p w14:paraId="71FCE490" w14:textId="35357D2E" w:rsidR="00370E57" w:rsidRPr="00F33976" w:rsidRDefault="00370E57" w:rsidP="00371773">
      <w:pPr>
        <w:jc w:val="both"/>
        <w:rPr>
          <w:rFonts w:asciiTheme="minorHAnsi" w:hAnsiTheme="minorHAnsi" w:cstheme="minorHAnsi"/>
          <w:sz w:val="22"/>
          <w:szCs w:val="22"/>
          <w:lang w:eastAsia="x-none"/>
        </w:rPr>
      </w:pPr>
      <w:r w:rsidRPr="00F33976">
        <w:rPr>
          <w:rFonts w:asciiTheme="minorHAnsi" w:hAnsiTheme="minorHAnsi" w:cstheme="minorHAnsi"/>
          <w:sz w:val="22"/>
          <w:szCs w:val="22"/>
          <w:lang w:eastAsia="x-none"/>
        </w:rPr>
        <w:t xml:space="preserve">One of the highlights of this component was organization of the first-ever roundtable on the left bank of the </w:t>
      </w:r>
      <w:proofErr w:type="spellStart"/>
      <w:r w:rsidRPr="00F33976">
        <w:rPr>
          <w:rFonts w:asciiTheme="minorHAnsi" w:hAnsiTheme="minorHAnsi" w:cstheme="minorHAnsi"/>
          <w:sz w:val="22"/>
          <w:szCs w:val="22"/>
          <w:lang w:eastAsia="x-none"/>
        </w:rPr>
        <w:t>Nistru</w:t>
      </w:r>
      <w:proofErr w:type="spellEnd"/>
      <w:r w:rsidRPr="00F33976">
        <w:rPr>
          <w:rFonts w:asciiTheme="minorHAnsi" w:hAnsiTheme="minorHAnsi" w:cstheme="minorHAnsi"/>
          <w:sz w:val="22"/>
          <w:szCs w:val="22"/>
          <w:lang w:eastAsia="x-none"/>
        </w:rPr>
        <w:t xml:space="preserve"> river, at which various aspects of right to health and not only healthcare were discussed. Around 70 representatives of vulnerable groups, de facto structures, high-level representatives of implementing UN agencies, as well as WHO and SDC, participated in the event. It generated active discussions during the event, as well as significant coverage in the local media afterwards. The experience proved to be positive and will be replicated with other occasions during the </w:t>
      </w:r>
      <w:proofErr w:type="spellStart"/>
      <w:r w:rsidRPr="00F33976">
        <w:rPr>
          <w:rFonts w:asciiTheme="minorHAnsi" w:hAnsiTheme="minorHAnsi" w:cstheme="minorHAnsi"/>
          <w:sz w:val="22"/>
          <w:szCs w:val="22"/>
          <w:lang w:eastAsia="x-none"/>
        </w:rPr>
        <w:t>Programme’s</w:t>
      </w:r>
      <w:proofErr w:type="spellEnd"/>
      <w:r w:rsidRPr="00F33976">
        <w:rPr>
          <w:rFonts w:asciiTheme="minorHAnsi" w:hAnsiTheme="minorHAnsi" w:cstheme="minorHAnsi"/>
          <w:sz w:val="22"/>
          <w:szCs w:val="22"/>
          <w:lang w:eastAsia="x-none"/>
        </w:rPr>
        <w:t xml:space="preserve"> implementation period.</w:t>
      </w:r>
    </w:p>
    <w:p w14:paraId="0DD96093" w14:textId="77777777" w:rsidR="00370E57" w:rsidRPr="00F33976" w:rsidRDefault="00370E57" w:rsidP="00371773">
      <w:pPr>
        <w:jc w:val="both"/>
        <w:rPr>
          <w:rFonts w:asciiTheme="minorHAnsi" w:hAnsiTheme="minorHAnsi" w:cstheme="minorHAnsi"/>
          <w:sz w:val="22"/>
          <w:szCs w:val="22"/>
          <w:lang w:eastAsia="x-none"/>
        </w:rPr>
      </w:pPr>
    </w:p>
    <w:p w14:paraId="0B5DD868" w14:textId="77777777" w:rsidR="00370E57" w:rsidRPr="00F33976" w:rsidRDefault="00370E57" w:rsidP="00371773">
      <w:pPr>
        <w:jc w:val="both"/>
        <w:rPr>
          <w:rFonts w:asciiTheme="minorHAnsi" w:hAnsiTheme="minorHAnsi" w:cstheme="minorHAnsi"/>
          <w:sz w:val="22"/>
          <w:szCs w:val="22"/>
          <w:lang w:eastAsia="x-none"/>
        </w:rPr>
      </w:pPr>
      <w:r w:rsidRPr="00F33976">
        <w:rPr>
          <w:rFonts w:asciiTheme="minorHAnsi" w:hAnsiTheme="minorHAnsi" w:cstheme="minorHAnsi"/>
          <w:sz w:val="22"/>
          <w:szCs w:val="22"/>
          <w:lang w:eastAsia="x-none"/>
        </w:rPr>
        <w:t xml:space="preserve">Overall, the cooperation with mass-media is satisfactory, though in the reported period, minor impediments have been created by the de-facto authorities for participation of the TV outlets controlled by them, but they have been resolved by consultations with the Transnistrian counterparts. In the following period cooperation will intensify and thematic trainings, press-clubs and brunches with journalist are to be </w:t>
      </w:r>
      <w:proofErr w:type="spellStart"/>
      <w:r w:rsidRPr="00F33976">
        <w:rPr>
          <w:rFonts w:asciiTheme="minorHAnsi" w:hAnsiTheme="minorHAnsi" w:cstheme="minorHAnsi"/>
          <w:sz w:val="22"/>
          <w:szCs w:val="22"/>
          <w:lang w:eastAsia="x-none"/>
        </w:rPr>
        <w:t>organised</w:t>
      </w:r>
      <w:proofErr w:type="spellEnd"/>
      <w:r w:rsidRPr="00F33976">
        <w:rPr>
          <w:rFonts w:asciiTheme="minorHAnsi" w:hAnsiTheme="minorHAnsi" w:cstheme="minorHAnsi"/>
          <w:sz w:val="22"/>
          <w:szCs w:val="22"/>
          <w:lang w:eastAsia="x-none"/>
        </w:rPr>
        <w:t>.</w:t>
      </w:r>
    </w:p>
    <w:p w14:paraId="2A43D0B2" w14:textId="77777777" w:rsidR="00370E57" w:rsidRDefault="00370E57" w:rsidP="00371773">
      <w:pPr>
        <w:tabs>
          <w:tab w:val="left" w:pos="9105"/>
        </w:tabs>
        <w:jc w:val="both"/>
        <w:rPr>
          <w:lang w:val="en-GB"/>
        </w:rPr>
      </w:pPr>
    </w:p>
    <w:p w14:paraId="06A9F803" w14:textId="77777777" w:rsidR="00370E57" w:rsidRPr="0086262B" w:rsidRDefault="00370E57" w:rsidP="00371773">
      <w:pPr>
        <w:tabs>
          <w:tab w:val="left" w:pos="9105"/>
        </w:tabs>
        <w:jc w:val="both"/>
        <w:rPr>
          <w:rFonts w:asciiTheme="minorHAnsi" w:hAnsiTheme="minorHAnsi" w:cstheme="minorHAnsi"/>
          <w:lang w:val="en-GB"/>
        </w:rPr>
      </w:pPr>
      <w:r w:rsidRPr="0086262B">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78527234" wp14:editId="0DF4285C">
                <wp:simplePos x="0" y="0"/>
                <wp:positionH relativeFrom="column">
                  <wp:posOffset>2540</wp:posOffset>
                </wp:positionH>
                <wp:positionV relativeFrom="paragraph">
                  <wp:posOffset>13335</wp:posOffset>
                </wp:positionV>
                <wp:extent cx="6610350" cy="3238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323850"/>
                        </a:xfrm>
                        <a:prstGeom prst="rect">
                          <a:avLst/>
                        </a:prstGeom>
                        <a:solidFill>
                          <a:srgbClr val="F2F2F2"/>
                        </a:solidFill>
                        <a:ln w="9525">
                          <a:solidFill>
                            <a:srgbClr val="D8D8D8"/>
                          </a:solidFill>
                          <a:miter lim="800000"/>
                          <a:headEnd/>
                          <a:tailEnd/>
                        </a:ln>
                      </wps:spPr>
                      <wps:txbx>
                        <w:txbxContent>
                          <w:p w14:paraId="74827751" w14:textId="4C502C09" w:rsidR="00370E57" w:rsidRPr="0086262B" w:rsidRDefault="00370E57" w:rsidP="0086262B">
                            <w:pPr>
                              <w:rPr>
                                <w:rFonts w:asciiTheme="minorHAnsi" w:hAnsiTheme="minorHAnsi" w:cstheme="minorHAnsi"/>
                                <w:b/>
                              </w:rPr>
                            </w:pPr>
                            <w:r w:rsidRPr="0086262B">
                              <w:rPr>
                                <w:rFonts w:asciiTheme="minorHAnsi" w:hAnsiTheme="minorHAnsi" w:cstheme="minorHAnsi"/>
                                <w:b/>
                              </w:rPr>
                              <w:t>Indicator Based Performance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27234" id="_x0000_t202" coordsize="21600,21600" o:spt="202" path="m,l,21600r21600,l21600,xe">
                <v:stroke joinstyle="miter"/>
                <v:path gradientshapeok="t" o:connecttype="rect"/>
              </v:shapetype>
              <v:shape id="Text Box 2" o:spid="_x0000_s1026" type="#_x0000_t202" style="position:absolute;left:0;text-align:left;margin-left:.2pt;margin-top:1.05pt;width:520.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" fillcolor="#f2f2f2" strokecolor="#d8d8d8">
                <v:textbox>
                  <w:txbxContent>
                    <w:p w14:paraId="74827751" w14:textId="4C502C09" w:rsidR="00370E57" w:rsidRPr="0086262B" w:rsidRDefault="00370E57" w:rsidP="0086262B">
                      <w:pPr>
                        <w:rPr>
                          <w:rFonts w:asciiTheme="minorHAnsi" w:hAnsiTheme="minorHAnsi" w:cstheme="minorHAnsi"/>
                          <w:b/>
                        </w:rPr>
                      </w:pPr>
                      <w:r w:rsidRPr="0086262B">
                        <w:rPr>
                          <w:rFonts w:asciiTheme="minorHAnsi" w:hAnsiTheme="minorHAnsi" w:cstheme="minorHAnsi"/>
                          <w:b/>
                        </w:rPr>
                        <w:t>Indicator Based Performance Assessment:</w:t>
                      </w:r>
                    </w:p>
                  </w:txbxContent>
                </v:textbox>
              </v:shape>
            </w:pict>
          </mc:Fallback>
        </mc:AlternateContent>
      </w:r>
    </w:p>
    <w:p w14:paraId="419C392C" w14:textId="77777777" w:rsidR="00370E57" w:rsidRDefault="00370E57" w:rsidP="00371773">
      <w:pPr>
        <w:tabs>
          <w:tab w:val="left" w:pos="9105"/>
        </w:tabs>
        <w:jc w:val="both"/>
        <w:rPr>
          <w:lang w:val="en-GB"/>
        </w:rPr>
      </w:pPr>
    </w:p>
    <w:p w14:paraId="214A1BA9" w14:textId="77777777" w:rsidR="00370E57" w:rsidRDefault="00370E57" w:rsidP="00371773">
      <w:pPr>
        <w:tabs>
          <w:tab w:val="left" w:pos="9105"/>
        </w:tabs>
        <w:jc w:val="both"/>
        <w:rPr>
          <w:lang w:val="en-GB" w:eastAsia="x-none"/>
        </w:rPr>
      </w:pPr>
    </w:p>
    <w:p w14:paraId="3313F198" w14:textId="28CB9D1C" w:rsidR="00370E57" w:rsidRPr="00BA6A1B" w:rsidRDefault="00370E57" w:rsidP="00371773">
      <w:pPr>
        <w:pStyle w:val="BodyText"/>
        <w:jc w:val="both"/>
        <w:rPr>
          <w:rFonts w:asciiTheme="minorHAnsi" w:hAnsiTheme="minorHAnsi" w:cstheme="minorHAnsi"/>
          <w:bCs/>
          <w:sz w:val="22"/>
          <w:szCs w:val="22"/>
        </w:rPr>
      </w:pPr>
      <w:r w:rsidRPr="00BA6A1B">
        <w:rPr>
          <w:rFonts w:asciiTheme="minorHAnsi" w:hAnsiTheme="minorHAnsi" w:cstheme="minorHAnsi"/>
          <w:bCs/>
          <w:sz w:val="22"/>
          <w:szCs w:val="22"/>
        </w:rPr>
        <w:t xml:space="preserve">Since this report covers only the initiation phase of the </w:t>
      </w:r>
      <w:r w:rsidR="00B53D81">
        <w:rPr>
          <w:rFonts w:asciiTheme="minorHAnsi" w:hAnsiTheme="minorHAnsi" w:cstheme="minorHAnsi"/>
          <w:bCs/>
          <w:sz w:val="22"/>
          <w:szCs w:val="22"/>
        </w:rPr>
        <w:t xml:space="preserve">only </w:t>
      </w:r>
      <w:r w:rsidRPr="00BA6A1B">
        <w:rPr>
          <w:rFonts w:asciiTheme="minorHAnsi" w:hAnsiTheme="minorHAnsi" w:cstheme="minorHAnsi"/>
          <w:bCs/>
          <w:sz w:val="22"/>
          <w:szCs w:val="22"/>
        </w:rPr>
        <w:t>project</w:t>
      </w:r>
      <w:r w:rsidR="00B53D81">
        <w:rPr>
          <w:rFonts w:asciiTheme="minorHAnsi" w:hAnsiTheme="minorHAnsi" w:cstheme="minorHAnsi"/>
          <w:bCs/>
          <w:sz w:val="22"/>
          <w:szCs w:val="22"/>
        </w:rPr>
        <w:t xml:space="preserve"> of the TF</w:t>
      </w:r>
      <w:r w:rsidRPr="00BA6A1B">
        <w:rPr>
          <w:rFonts w:asciiTheme="minorHAnsi" w:hAnsiTheme="minorHAnsi" w:cstheme="minorHAnsi"/>
          <w:bCs/>
          <w:sz w:val="22"/>
          <w:szCs w:val="22"/>
        </w:rPr>
        <w:t xml:space="preserve"> (5 months) there is no reporting data for this section of the report. Appropriate reporting on indicators-based assessment will be dully reported upon in the next annual reporting cycles. </w:t>
      </w:r>
    </w:p>
    <w:p w14:paraId="58276AB0" w14:textId="77777777" w:rsidR="00D62D07" w:rsidRPr="00DB5708" w:rsidRDefault="00D62D07" w:rsidP="00371773">
      <w:pPr>
        <w:pStyle w:val="BodyText"/>
        <w:jc w:val="both"/>
        <w:rPr>
          <w:rFonts w:asciiTheme="minorHAnsi" w:hAnsiTheme="minorHAnsi" w:cstheme="minorHAnsi"/>
          <w:b/>
          <w:sz w:val="22"/>
          <w:szCs w:val="22"/>
        </w:rPr>
      </w:pPr>
    </w:p>
    <w:p w14:paraId="7B34D8B2" w14:textId="77777777" w:rsidR="00D62D07" w:rsidRPr="00DB5708" w:rsidRDefault="00D62D07" w:rsidP="00371773">
      <w:pPr>
        <w:pStyle w:val="BodyText"/>
        <w:jc w:val="both"/>
        <w:rPr>
          <w:rFonts w:asciiTheme="minorHAnsi" w:hAnsiTheme="minorHAnsi" w:cstheme="minorHAnsi"/>
          <w:b/>
          <w:sz w:val="22"/>
          <w:szCs w:val="22"/>
        </w:rPr>
      </w:pPr>
    </w:p>
    <w:p w14:paraId="31354B29" w14:textId="1024AF4D" w:rsidR="0054003C" w:rsidRPr="00DF55AC" w:rsidRDefault="0054003C" w:rsidP="00371773">
      <w:pPr>
        <w:pStyle w:val="Heading1"/>
        <w:ind w:left="0"/>
        <w:rPr>
          <w:rFonts w:asciiTheme="minorHAnsi" w:hAnsiTheme="minorHAnsi" w:cstheme="minorHAnsi"/>
          <w:spacing w:val="-1"/>
          <w:sz w:val="32"/>
          <w:szCs w:val="32"/>
        </w:rPr>
      </w:pPr>
      <w:bookmarkStart w:id="12" w:name="_Toc41055988"/>
      <w:r w:rsidRPr="00DF55AC">
        <w:rPr>
          <w:rFonts w:asciiTheme="minorHAnsi" w:hAnsiTheme="minorHAnsi" w:cstheme="minorHAnsi"/>
          <w:spacing w:val="-1"/>
          <w:sz w:val="32"/>
          <w:szCs w:val="32"/>
        </w:rPr>
        <w:t>Conclusions</w:t>
      </w:r>
      <w:bookmarkEnd w:id="12"/>
    </w:p>
    <w:p w14:paraId="64911EB6" w14:textId="652A8A8D" w:rsidR="0054003C" w:rsidRDefault="0054003C" w:rsidP="00371773">
      <w:pPr>
        <w:pStyle w:val="BodyText"/>
        <w:jc w:val="both"/>
        <w:rPr>
          <w:rFonts w:asciiTheme="minorHAnsi" w:hAnsiTheme="minorHAnsi" w:cstheme="minorHAnsi"/>
          <w:bCs/>
          <w:sz w:val="22"/>
          <w:szCs w:val="22"/>
        </w:rPr>
      </w:pPr>
    </w:p>
    <w:p w14:paraId="2C123AF6" w14:textId="77777777" w:rsidR="00A71202" w:rsidRDefault="00A71202" w:rsidP="00371773">
      <w:pPr>
        <w:pStyle w:val="BodyText"/>
        <w:jc w:val="both"/>
        <w:rPr>
          <w:rFonts w:asciiTheme="minorHAnsi" w:hAnsiTheme="minorHAnsi" w:cstheme="minorHAnsi"/>
          <w:bCs/>
          <w:sz w:val="22"/>
          <w:szCs w:val="22"/>
        </w:rPr>
      </w:pPr>
    </w:p>
    <w:p w14:paraId="1F296F9C" w14:textId="77777777" w:rsidR="00126F1B" w:rsidRDefault="005D7392" w:rsidP="00371773">
      <w:pPr>
        <w:pStyle w:val="BodyText"/>
        <w:jc w:val="both"/>
        <w:rPr>
          <w:rFonts w:asciiTheme="minorHAnsi" w:hAnsiTheme="minorHAnsi" w:cstheme="minorHAnsi"/>
          <w:bCs/>
          <w:sz w:val="22"/>
          <w:szCs w:val="22"/>
        </w:rPr>
      </w:pPr>
      <w:r>
        <w:rPr>
          <w:rFonts w:asciiTheme="minorHAnsi" w:hAnsiTheme="minorHAnsi" w:cstheme="minorHAnsi"/>
          <w:bCs/>
          <w:sz w:val="22"/>
          <w:szCs w:val="22"/>
        </w:rPr>
        <w:t>Although established in 2018</w:t>
      </w:r>
      <w:r w:rsidR="00937843">
        <w:rPr>
          <w:rFonts w:asciiTheme="minorHAnsi" w:hAnsiTheme="minorHAnsi" w:cstheme="minorHAnsi"/>
          <w:bCs/>
          <w:sz w:val="22"/>
          <w:szCs w:val="22"/>
        </w:rPr>
        <w:t xml:space="preserve">, the first and only project so far funded through this Trust Fund </w:t>
      </w:r>
      <w:r w:rsidR="00AB2D44">
        <w:rPr>
          <w:rFonts w:asciiTheme="minorHAnsi" w:hAnsiTheme="minorHAnsi" w:cstheme="minorHAnsi"/>
          <w:bCs/>
          <w:sz w:val="22"/>
          <w:szCs w:val="22"/>
        </w:rPr>
        <w:t>started in second half of 2019. From this perspective the Fund</w:t>
      </w:r>
      <w:r w:rsidR="00CA0606">
        <w:rPr>
          <w:rFonts w:asciiTheme="minorHAnsi" w:hAnsiTheme="minorHAnsi" w:cstheme="minorHAnsi"/>
          <w:bCs/>
          <w:sz w:val="22"/>
          <w:szCs w:val="22"/>
        </w:rPr>
        <w:t>’</w:t>
      </w:r>
      <w:r w:rsidR="00AB2D44">
        <w:rPr>
          <w:rFonts w:asciiTheme="minorHAnsi" w:hAnsiTheme="minorHAnsi" w:cstheme="minorHAnsi"/>
          <w:bCs/>
          <w:sz w:val="22"/>
          <w:szCs w:val="22"/>
        </w:rPr>
        <w:t>s</w:t>
      </w:r>
      <w:r w:rsidR="00AC6692">
        <w:rPr>
          <w:rFonts w:asciiTheme="minorHAnsi" w:hAnsiTheme="minorHAnsi" w:cstheme="minorHAnsi"/>
          <w:bCs/>
          <w:sz w:val="22"/>
          <w:szCs w:val="22"/>
        </w:rPr>
        <w:t xml:space="preserve"> activities were limited in scope and impact respectively. Nonetheless, although </w:t>
      </w:r>
      <w:r w:rsidR="00BB7354">
        <w:rPr>
          <w:rFonts w:asciiTheme="minorHAnsi" w:hAnsiTheme="minorHAnsi" w:cstheme="minorHAnsi"/>
          <w:bCs/>
          <w:sz w:val="22"/>
          <w:szCs w:val="22"/>
        </w:rPr>
        <w:t xml:space="preserve">in a </w:t>
      </w:r>
      <w:r w:rsidR="00AC6692">
        <w:rPr>
          <w:rFonts w:asciiTheme="minorHAnsi" w:hAnsiTheme="minorHAnsi" w:cstheme="minorHAnsi"/>
          <w:bCs/>
          <w:sz w:val="22"/>
          <w:szCs w:val="22"/>
        </w:rPr>
        <w:t>short</w:t>
      </w:r>
      <w:r w:rsidR="00BB7354">
        <w:rPr>
          <w:rFonts w:asciiTheme="minorHAnsi" w:hAnsiTheme="minorHAnsi" w:cstheme="minorHAnsi"/>
          <w:bCs/>
          <w:sz w:val="22"/>
          <w:szCs w:val="22"/>
        </w:rPr>
        <w:t xml:space="preserve"> period of time</w:t>
      </w:r>
      <w:r w:rsidR="00AC6692">
        <w:rPr>
          <w:rFonts w:asciiTheme="minorHAnsi" w:hAnsiTheme="minorHAnsi" w:cstheme="minorHAnsi"/>
          <w:bCs/>
          <w:sz w:val="22"/>
          <w:szCs w:val="22"/>
        </w:rPr>
        <w:t xml:space="preserve"> the </w:t>
      </w:r>
      <w:r w:rsidR="009E58A0">
        <w:rPr>
          <w:rFonts w:asciiTheme="minorHAnsi" w:hAnsiTheme="minorHAnsi" w:cstheme="minorHAnsi"/>
          <w:bCs/>
          <w:sz w:val="22"/>
          <w:szCs w:val="22"/>
        </w:rPr>
        <w:t xml:space="preserve">Fund managed to mobilize resources in 2019 </w:t>
      </w:r>
      <w:r w:rsidR="0053241D">
        <w:rPr>
          <w:rFonts w:asciiTheme="minorHAnsi" w:hAnsiTheme="minorHAnsi" w:cstheme="minorHAnsi"/>
          <w:bCs/>
          <w:sz w:val="22"/>
          <w:szCs w:val="22"/>
        </w:rPr>
        <w:t>and achieve</w:t>
      </w:r>
      <w:r w:rsidR="009E58A0">
        <w:rPr>
          <w:rFonts w:asciiTheme="minorHAnsi" w:hAnsiTheme="minorHAnsi" w:cstheme="minorHAnsi"/>
          <w:bCs/>
          <w:sz w:val="22"/>
          <w:szCs w:val="22"/>
        </w:rPr>
        <w:t xml:space="preserve"> </w:t>
      </w:r>
      <w:r w:rsidR="008847CB">
        <w:rPr>
          <w:rFonts w:asciiTheme="minorHAnsi" w:hAnsiTheme="minorHAnsi" w:cstheme="minorHAnsi"/>
          <w:bCs/>
          <w:sz w:val="22"/>
          <w:szCs w:val="22"/>
        </w:rPr>
        <w:t>results.</w:t>
      </w:r>
      <w:r w:rsidR="0053241D">
        <w:rPr>
          <w:rFonts w:asciiTheme="minorHAnsi" w:hAnsiTheme="minorHAnsi" w:cstheme="minorHAnsi"/>
          <w:bCs/>
          <w:sz w:val="22"/>
          <w:szCs w:val="22"/>
        </w:rPr>
        <w:t xml:space="preserve"> </w:t>
      </w:r>
    </w:p>
    <w:p w14:paraId="33F6D394" w14:textId="77777777" w:rsidR="00126F1B" w:rsidRDefault="00126F1B" w:rsidP="00371773">
      <w:pPr>
        <w:pStyle w:val="BodyText"/>
        <w:jc w:val="both"/>
        <w:rPr>
          <w:rFonts w:asciiTheme="minorHAnsi" w:hAnsiTheme="minorHAnsi" w:cstheme="minorHAnsi"/>
          <w:bCs/>
          <w:sz w:val="22"/>
          <w:szCs w:val="22"/>
        </w:rPr>
      </w:pPr>
    </w:p>
    <w:p w14:paraId="03B24851" w14:textId="13AB76BC" w:rsidR="005D7392" w:rsidRDefault="0053241D" w:rsidP="00371773">
      <w:pPr>
        <w:pStyle w:val="BodyText"/>
        <w:jc w:val="both"/>
        <w:rPr>
          <w:rFonts w:asciiTheme="minorHAnsi" w:hAnsiTheme="minorHAnsi" w:cstheme="minorHAnsi"/>
          <w:bCs/>
          <w:sz w:val="22"/>
          <w:szCs w:val="22"/>
        </w:rPr>
      </w:pPr>
      <w:r>
        <w:rPr>
          <w:rFonts w:asciiTheme="minorHAnsi" w:hAnsiTheme="minorHAnsi" w:cstheme="minorHAnsi"/>
          <w:bCs/>
          <w:sz w:val="22"/>
          <w:szCs w:val="22"/>
        </w:rPr>
        <w:t xml:space="preserve">The Fund </w:t>
      </w:r>
      <w:r w:rsidR="002D1C99">
        <w:rPr>
          <w:rFonts w:asciiTheme="minorHAnsi" w:hAnsiTheme="minorHAnsi" w:cstheme="minorHAnsi"/>
          <w:bCs/>
          <w:sz w:val="22"/>
          <w:szCs w:val="22"/>
        </w:rPr>
        <w:t xml:space="preserve">through the programme </w:t>
      </w:r>
      <w:r>
        <w:rPr>
          <w:rFonts w:asciiTheme="minorHAnsi" w:hAnsiTheme="minorHAnsi" w:cstheme="minorHAnsi"/>
          <w:bCs/>
          <w:sz w:val="22"/>
          <w:szCs w:val="22"/>
        </w:rPr>
        <w:t xml:space="preserve">helped </w:t>
      </w:r>
      <w:r w:rsidR="002D1C99">
        <w:rPr>
          <w:rFonts w:asciiTheme="minorHAnsi" w:hAnsiTheme="minorHAnsi" w:cstheme="minorHAnsi"/>
          <w:bCs/>
          <w:sz w:val="22"/>
          <w:szCs w:val="22"/>
        </w:rPr>
        <w:t>to</w:t>
      </w:r>
      <w:r w:rsidR="002D1C99" w:rsidRPr="002D1C99">
        <w:rPr>
          <w:rFonts w:asciiTheme="minorHAnsi" w:hAnsiTheme="minorHAnsi" w:cstheme="minorHAnsi"/>
          <w:bCs/>
          <w:sz w:val="22"/>
          <w:szCs w:val="22"/>
        </w:rPr>
        <w:t xml:space="preserve"> established working relations and identified synergies with other projects and programmes implemented in the Transnistrian region, mainly with projects in the area of confidence building, implemented by </w:t>
      </w:r>
      <w:r w:rsidR="008036CA">
        <w:rPr>
          <w:rFonts w:asciiTheme="minorHAnsi" w:hAnsiTheme="minorHAnsi" w:cstheme="minorHAnsi"/>
          <w:bCs/>
          <w:sz w:val="22"/>
          <w:szCs w:val="22"/>
        </w:rPr>
        <w:t>other UN agencies</w:t>
      </w:r>
      <w:r w:rsidR="002D1C99" w:rsidRPr="002D1C99">
        <w:rPr>
          <w:rFonts w:asciiTheme="minorHAnsi" w:hAnsiTheme="minorHAnsi" w:cstheme="minorHAnsi"/>
          <w:bCs/>
          <w:sz w:val="22"/>
          <w:szCs w:val="22"/>
        </w:rPr>
        <w:t xml:space="preserve">. This resulted in participation of projects’ beneficiaries in </w:t>
      </w:r>
      <w:proofErr w:type="spellStart"/>
      <w:r w:rsidR="002D1C99" w:rsidRPr="002D1C99">
        <w:rPr>
          <w:rFonts w:asciiTheme="minorHAnsi" w:hAnsiTheme="minorHAnsi" w:cstheme="minorHAnsi"/>
          <w:bCs/>
          <w:sz w:val="22"/>
          <w:szCs w:val="22"/>
        </w:rPr>
        <w:t>Programme’s</w:t>
      </w:r>
      <w:proofErr w:type="spellEnd"/>
      <w:r w:rsidR="002D1C99" w:rsidRPr="002D1C99">
        <w:rPr>
          <w:rFonts w:asciiTheme="minorHAnsi" w:hAnsiTheme="minorHAnsi" w:cstheme="minorHAnsi"/>
          <w:bCs/>
          <w:sz w:val="22"/>
          <w:szCs w:val="22"/>
        </w:rPr>
        <w:t xml:space="preserve"> activities and vice versa, as well as in provision by the Programme Manager of advice on HRBA and vulnerability aspects of the respective projects. Additionally, the Programme is actively cooperating with OSCE in the area of institutional and general capacity building for CSOs and duty-bearers and a working group was established in this respect, which meets on a regular basis.</w:t>
      </w:r>
    </w:p>
    <w:p w14:paraId="6F35F13F" w14:textId="0374E25F" w:rsidR="008847CB" w:rsidRDefault="008847CB" w:rsidP="00371773">
      <w:pPr>
        <w:pStyle w:val="BodyText"/>
        <w:jc w:val="both"/>
        <w:rPr>
          <w:rFonts w:asciiTheme="minorHAnsi" w:hAnsiTheme="minorHAnsi" w:cstheme="minorHAnsi"/>
          <w:bCs/>
          <w:sz w:val="22"/>
          <w:szCs w:val="22"/>
        </w:rPr>
      </w:pPr>
    </w:p>
    <w:p w14:paraId="6BD692BF" w14:textId="67998066" w:rsidR="0054003C" w:rsidRDefault="00126F1B" w:rsidP="00371773">
      <w:pPr>
        <w:pStyle w:val="BodyText"/>
        <w:jc w:val="both"/>
        <w:rPr>
          <w:rFonts w:asciiTheme="minorHAnsi" w:hAnsiTheme="minorHAnsi" w:cstheme="minorHAnsi"/>
          <w:bCs/>
          <w:sz w:val="22"/>
          <w:szCs w:val="22"/>
        </w:rPr>
      </w:pPr>
      <w:r>
        <w:rPr>
          <w:rFonts w:asciiTheme="minorHAnsi" w:hAnsiTheme="minorHAnsi" w:cstheme="minorHAnsi"/>
          <w:bCs/>
          <w:sz w:val="22"/>
          <w:szCs w:val="22"/>
        </w:rPr>
        <w:t xml:space="preserve">It is planned the Fund to be capitalized in continuation and </w:t>
      </w:r>
      <w:r w:rsidR="005D651F">
        <w:rPr>
          <w:rFonts w:asciiTheme="minorHAnsi" w:hAnsiTheme="minorHAnsi" w:cstheme="minorHAnsi"/>
          <w:bCs/>
          <w:sz w:val="22"/>
          <w:szCs w:val="22"/>
        </w:rPr>
        <w:t xml:space="preserve">to be able to support at least several new joint programmes </w:t>
      </w:r>
      <w:r w:rsidR="00064981">
        <w:rPr>
          <w:rFonts w:asciiTheme="minorHAnsi" w:hAnsiTheme="minorHAnsi" w:cstheme="minorHAnsi"/>
          <w:bCs/>
          <w:sz w:val="22"/>
          <w:szCs w:val="22"/>
        </w:rPr>
        <w:t xml:space="preserve">to accelerate the implementation of the UN- Moldova </w:t>
      </w:r>
      <w:r w:rsidR="00B47C3E">
        <w:rPr>
          <w:rFonts w:asciiTheme="minorHAnsi" w:hAnsiTheme="minorHAnsi" w:cstheme="minorHAnsi"/>
          <w:bCs/>
          <w:sz w:val="22"/>
          <w:szCs w:val="22"/>
        </w:rPr>
        <w:t>UNSDPF 2018- 2022.</w:t>
      </w:r>
    </w:p>
    <w:p w14:paraId="438290EA" w14:textId="77777777" w:rsidR="00D62D07" w:rsidRPr="00DB5708" w:rsidRDefault="00D62D07" w:rsidP="00371773">
      <w:pPr>
        <w:pStyle w:val="BodyText"/>
        <w:jc w:val="both"/>
        <w:rPr>
          <w:rFonts w:asciiTheme="minorHAnsi" w:hAnsiTheme="minorHAnsi" w:cstheme="minorHAnsi"/>
          <w:sz w:val="22"/>
          <w:szCs w:val="22"/>
        </w:rPr>
      </w:pPr>
    </w:p>
    <w:sectPr w:rsidR="00D62D07" w:rsidRPr="00DB5708" w:rsidSect="00E44CC3">
      <w:footerReference w:type="default" r:id="rId13"/>
      <w:footerReference w:type="first" r:id="rId14"/>
      <w:type w:val="nextColumn"/>
      <w:pgSz w:w="12240" w:h="15840" w:code="1"/>
      <w:pgMar w:top="806" w:right="1080" w:bottom="1354" w:left="1260" w:header="720" w:footer="4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3B9C3" w14:textId="77777777" w:rsidR="00271470" w:rsidRDefault="00271470">
      <w:r>
        <w:separator/>
      </w:r>
    </w:p>
  </w:endnote>
  <w:endnote w:type="continuationSeparator" w:id="0">
    <w:p w14:paraId="6F8435A1" w14:textId="77777777" w:rsidR="00271470" w:rsidRDefault="00271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649A4" w14:textId="77777777" w:rsidR="00D62D07" w:rsidRDefault="00D62D07">
    <w:pPr>
      <w:spacing w:line="14" w:lineRule="auto"/>
      <w:rPr>
        <w:sz w:val="20"/>
        <w:szCs w:val="20"/>
      </w:rPr>
    </w:pPr>
    <w:r>
      <w:rPr>
        <w:noProof/>
      </w:rPr>
      <mc:AlternateContent>
        <mc:Choice Requires="wps">
          <w:drawing>
            <wp:anchor distT="0" distB="0" distL="114300" distR="114300" simplePos="0" relativeHeight="251658240" behindDoc="1" locked="0" layoutInCell="1" allowOverlap="1" wp14:anchorId="055C2BD0" wp14:editId="3C098262">
              <wp:simplePos x="0" y="0"/>
              <wp:positionH relativeFrom="page">
                <wp:posOffset>7050405</wp:posOffset>
              </wp:positionH>
              <wp:positionV relativeFrom="page">
                <wp:posOffset>9467850</wp:posOffset>
              </wp:positionV>
              <wp:extent cx="121920" cy="165735"/>
              <wp:effectExtent l="1905"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372F4" w14:textId="77777777" w:rsidR="00D62D07" w:rsidRDefault="00D62D07">
                          <w:pPr>
                            <w:pStyle w:val="BodyText"/>
                            <w:spacing w:line="245" w:lineRule="exact"/>
                            <w:ind w:left="4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5C2BD0" id="_x0000_t202" coordsize="21600,21600" o:spt="202" path="m,l,21600r21600,l21600,xe">
              <v:stroke joinstyle="miter"/>
              <v:path gradientshapeok="t" o:connecttype="rect"/>
            </v:shapetype>
            <v:shape id="Text Box 9" o:spid="_x0000_s1027" type="#_x0000_t202" style="position:absolute;margin-left:555.15pt;margin-top:745.5pt;width:9.6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Az4qwIAAKk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" filled="f" stroked="f">
              <v:textbox inset="0,0,0,0">
                <w:txbxContent>
                  <w:p w14:paraId="5F8372F4" w14:textId="77777777" w:rsidR="00D62D07" w:rsidRDefault="00D62D07">
                    <w:pPr>
                      <w:pStyle w:val="BodyText"/>
                      <w:spacing w:line="245" w:lineRule="exact"/>
                      <w:ind w:left="4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BCD4B" w14:textId="77777777" w:rsidR="00D62D07" w:rsidRDefault="00D62D07">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noProof/>
        <w:sz w:val="18"/>
        <w:szCs w:val="18"/>
      </w:rPr>
      <w:t>16</w:t>
    </w:r>
    <w:r>
      <w:rPr>
        <w:rFonts w:ascii="Arial" w:hAnsi="Arial" w:cs="Arial"/>
        <w:sz w:val="18"/>
        <w:szCs w:val="18"/>
      </w:rPr>
      <w:fldChar w:fldCharType="end"/>
    </w:r>
    <w:r>
      <w:rPr>
        <w:rFonts w:ascii="Arial" w:hAnsi="Arial" w:cs="Arial"/>
        <w:sz w:val="18"/>
        <w:szCs w:val="18"/>
      </w:rPr>
      <w:t xml:space="preserve"> of </w:t>
    </w:r>
    <w:r w:rsidR="00271470">
      <w:fldChar w:fldCharType="begin"/>
    </w:r>
    <w:r w:rsidR="00271470">
      <w:instrText xml:space="preserve"> NUMPAGES   \* MERGEFORMAT </w:instrText>
    </w:r>
    <w:r w:rsidR="00271470">
      <w:fldChar w:fldCharType="separate"/>
    </w:r>
    <w:r w:rsidRPr="00322A2A">
      <w:rPr>
        <w:rFonts w:ascii="Arial" w:hAnsi="Arial" w:cs="Arial"/>
        <w:noProof/>
        <w:sz w:val="18"/>
        <w:szCs w:val="18"/>
      </w:rPr>
      <w:t>17</w:t>
    </w:r>
    <w:r w:rsidR="00271470">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1826A" w14:textId="77777777" w:rsidR="00D62D07" w:rsidRDefault="00D62D07">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Sixth Six-Month Progress Report</w:t>
    </w:r>
    <w:r>
      <w:rPr>
        <w:rFonts w:ascii="Arial" w:hAnsi="Arial" w:cs="Arial"/>
        <w:sz w:val="18"/>
        <w:szCs w:val="18"/>
      </w:rPr>
      <w:tab/>
      <w:t xml:space="preserve">1 January – </w:t>
    </w:r>
    <w:smartTag w:uri="urn:schemas-microsoft-com:office:smarttags" w:element="country-region">
      <w:smartTagPr>
        <w:attr w:name="Month" w:val="6"/>
        <w:attr w:name="Day" w:val="30"/>
        <w:attr w:name="Year" w:val="2007"/>
      </w:smartTagPr>
      <w:r>
        <w:rPr>
          <w:rFonts w:ascii="Arial" w:hAnsi="Arial" w:cs="Arial"/>
          <w:sz w:val="18"/>
          <w:szCs w:val="18"/>
        </w:rPr>
        <w:t>30 June 2007</w:t>
      </w:r>
    </w:smartTag>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noProof/>
        <w:sz w:val="18"/>
        <w:szCs w:val="18"/>
      </w:rPr>
      <w:t>5</w:t>
    </w:r>
    <w:r>
      <w:rPr>
        <w:rFonts w:ascii="Arial" w:hAnsi="Arial" w:cs="Arial"/>
        <w:sz w:val="18"/>
        <w:szCs w:val="18"/>
      </w:rPr>
      <w:fldChar w:fldCharType="end"/>
    </w:r>
    <w:r>
      <w:rPr>
        <w:rFonts w:ascii="Arial" w:hAnsi="Arial" w:cs="Arial"/>
        <w:sz w:val="18"/>
        <w:szCs w:val="18"/>
      </w:rPr>
      <w:t xml:space="preserve"> of </w:t>
    </w:r>
    <w:r w:rsidR="00271470">
      <w:fldChar w:fldCharType="begin"/>
    </w:r>
    <w:r w:rsidR="00271470">
      <w:instrText xml:space="preserve"> NUMPAGES   \* MERGEFORMAT </w:instrText>
    </w:r>
    <w:r w:rsidR="00271470">
      <w:fldChar w:fldCharType="separate"/>
    </w:r>
    <w:r w:rsidRPr="00EC53DC">
      <w:rPr>
        <w:rFonts w:ascii="Arial" w:hAnsi="Arial" w:cs="Arial"/>
        <w:noProof/>
        <w:sz w:val="18"/>
        <w:szCs w:val="18"/>
      </w:rPr>
      <w:t>5</w:t>
    </w:r>
    <w:r w:rsidR="00271470">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81197" w14:textId="77777777" w:rsidR="00271470" w:rsidRDefault="00271470">
      <w:r>
        <w:separator/>
      </w:r>
    </w:p>
  </w:footnote>
  <w:footnote w:type="continuationSeparator" w:id="0">
    <w:p w14:paraId="46934EA3" w14:textId="77777777" w:rsidR="00271470" w:rsidRDefault="00271470">
      <w:r>
        <w:continuationSeparator/>
      </w:r>
    </w:p>
  </w:footnote>
  <w:footnote w:id="1">
    <w:p w14:paraId="6ABD0173" w14:textId="77777777" w:rsidR="00370E57" w:rsidRPr="000F645C" w:rsidRDefault="00370E57" w:rsidP="00370E57">
      <w:pPr>
        <w:pStyle w:val="FootnoteText"/>
        <w:rPr>
          <w:lang w:val="en-GB"/>
        </w:rPr>
      </w:pPr>
      <w:r>
        <w:rPr>
          <w:rStyle w:val="FootnoteReference"/>
        </w:rPr>
        <w:footnoteRef/>
      </w:r>
      <w:r>
        <w:t xml:space="preserve"> </w:t>
      </w:r>
      <w:r>
        <w:rPr>
          <w:color w:val="000000"/>
          <w:sz w:val="16"/>
          <w:szCs w:val="16"/>
        </w:rPr>
        <w:t>https://www.unodc.org/unodc/en/hiv-aids/new/prison_settings_HIV.html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6" type="#_x0000_t75" style="width:4.5pt;height:4.5pt" o:bullet="t">
        <v:imagedata r:id="rId1" o:title="bullet"/>
      </v:shape>
    </w:pict>
  </w:numPicBullet>
  <w:numPicBullet w:numPicBulletId="1">
    <w:pict>
      <v:shape id="_x0000_i1267" type="#_x0000_t75" style="width:3in;height:3in" o:bullet="t"/>
    </w:pict>
  </w:numPicBullet>
  <w:numPicBullet w:numPicBulletId="2">
    <w:pict>
      <v:shape id="_x0000_i1268" type="#_x0000_t75" style="width:3in;height:3in" o:bullet="t"/>
    </w:pict>
  </w:numPicBullet>
  <w:numPicBullet w:numPicBulletId="3">
    <w:pict>
      <v:shape id="_x0000_i1269" type="#_x0000_t75" style="width:3in;height:3in" o:bullet="t"/>
    </w:pict>
  </w:numPicBullet>
  <w:numPicBullet w:numPicBulletId="4">
    <w:pict>
      <v:shape id="_x0000_i1270" type="#_x0000_t75" style="width:3in;height:3in" o:bullet="t"/>
    </w:pict>
  </w:numPicBullet>
  <w:numPicBullet w:numPicBulletId="5">
    <w:pict>
      <v:shape id="_x0000_i1271" type="#_x0000_t75" style="width:3in;height:3in" o:bullet="t"/>
    </w:pict>
  </w:numPicBullet>
  <w:numPicBullet w:numPicBulletId="6">
    <w:pict>
      <v:shape id="_x0000_i1272" type="#_x0000_t75" style="width:3in;height:3in" o:bullet="t"/>
    </w:pict>
  </w:numPicBullet>
  <w:numPicBullet w:numPicBulletId="7">
    <w:pict>
      <v:shape id="_x0000_i1273" type="#_x0000_t75" style="width:3in;height:3in" o:bullet="t"/>
    </w:pict>
  </w:numPicBullet>
  <w:numPicBullet w:numPicBulletId="8">
    <w:pict>
      <v:shape id="_x0000_i1274" type="#_x0000_t75" style="width:3in;height:3in" o:bullet="t"/>
    </w:pict>
  </w:numPicBullet>
  <w:numPicBullet w:numPicBulletId="9">
    <w:pict>
      <v:shape id="_x0000_i1275" type="#_x0000_t75" style="width:3in;height:3in" o:bullet="t"/>
    </w:pict>
  </w:numPicBullet>
  <w:numPicBullet w:numPicBulletId="10">
    <w:pict>
      <v:shape id="_x0000_i1276" type="#_x0000_t75" style="width:3in;height:3in" o:bullet="t"/>
    </w:pict>
  </w:numPicBullet>
  <w:numPicBullet w:numPicBulletId="11">
    <w:pict>
      <v:shape id="_x0000_i1277" type="#_x0000_t75" style="width:3in;height:3in" o:bullet="t"/>
    </w:pict>
  </w:numPicBullet>
  <w:numPicBullet w:numPicBulletId="12">
    <w:pict>
      <v:shape id="_x0000_i1278" type="#_x0000_t75" style="width:3in;height:3in" o:bullet="t"/>
    </w:pict>
  </w:numPicBullet>
  <w:numPicBullet w:numPicBulletId="13">
    <w:pict>
      <v:shape id="_x0000_i1279" type="#_x0000_t75" style="width:3in;height:3in" o:bullet="t"/>
    </w:pict>
  </w:numPicBullet>
  <w:numPicBullet w:numPicBulletId="14">
    <w:pict>
      <v:shape id="_x0000_i1280" type="#_x0000_t75" style="width:3in;height:3in" o:bullet="t"/>
    </w:pict>
  </w:numPicBullet>
  <w:abstractNum w:abstractNumId="0" w15:restartNumberingAfterBreak="0">
    <w:nsid w:val="00DF0931"/>
    <w:multiLevelType w:val="multilevel"/>
    <w:tmpl w:val="8C1447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315792"/>
    <w:multiLevelType w:val="hybridMultilevel"/>
    <w:tmpl w:val="78666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BC26E0"/>
    <w:multiLevelType w:val="hybridMultilevel"/>
    <w:tmpl w:val="4288D0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4233868"/>
    <w:multiLevelType w:val="hybridMultilevel"/>
    <w:tmpl w:val="5A8E6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A321B"/>
    <w:multiLevelType w:val="multilevel"/>
    <w:tmpl w:val="5034467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BB46EEA"/>
    <w:multiLevelType w:val="hybridMultilevel"/>
    <w:tmpl w:val="B43258B2"/>
    <w:lvl w:ilvl="0" w:tplc="46161F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F96AC1"/>
    <w:multiLevelType w:val="hybridMultilevel"/>
    <w:tmpl w:val="CCD46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9B5F6C"/>
    <w:multiLevelType w:val="hybridMultilevel"/>
    <w:tmpl w:val="EB908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A19D2"/>
    <w:multiLevelType w:val="hybridMultilevel"/>
    <w:tmpl w:val="6868E332"/>
    <w:lvl w:ilvl="0" w:tplc="3DAAFC9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C96C5D"/>
    <w:multiLevelType w:val="hybridMultilevel"/>
    <w:tmpl w:val="13BEA530"/>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AA7A41"/>
    <w:multiLevelType w:val="hybridMultilevel"/>
    <w:tmpl w:val="C1C68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977C47"/>
    <w:multiLevelType w:val="hybridMultilevel"/>
    <w:tmpl w:val="F0A801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003A03"/>
    <w:multiLevelType w:val="hybridMultilevel"/>
    <w:tmpl w:val="7458F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3848CD"/>
    <w:multiLevelType w:val="multilevel"/>
    <w:tmpl w:val="2D7E937E"/>
    <w:lvl w:ilvl="0">
      <w:start w:val="1"/>
      <w:numFmt w:val="decimal"/>
      <w:lvlText w:val="%1"/>
      <w:lvlJc w:val="left"/>
      <w:pPr>
        <w:ind w:left="360" w:hanging="360"/>
      </w:pPr>
      <w:rPr>
        <w:rFonts w:hint="default"/>
      </w:rPr>
    </w:lvl>
    <w:lvl w:ilvl="1">
      <w:start w:val="1"/>
      <w:numFmt w:val="decimal"/>
      <w:lvlText w:val="%1.%2"/>
      <w:lvlJc w:val="left"/>
      <w:pPr>
        <w:ind w:left="721" w:hanging="360"/>
      </w:pPr>
      <w:rPr>
        <w:rFonts w:hint="default"/>
      </w:rPr>
    </w:lvl>
    <w:lvl w:ilvl="2">
      <w:start w:val="1"/>
      <w:numFmt w:val="decimal"/>
      <w:lvlText w:val="%1.%2.%3"/>
      <w:lvlJc w:val="left"/>
      <w:pPr>
        <w:ind w:left="1442" w:hanging="720"/>
      </w:pPr>
      <w:rPr>
        <w:rFonts w:hint="default"/>
      </w:rPr>
    </w:lvl>
    <w:lvl w:ilvl="3">
      <w:start w:val="1"/>
      <w:numFmt w:val="decimal"/>
      <w:lvlText w:val="%1.%2.%3.%4"/>
      <w:lvlJc w:val="left"/>
      <w:pPr>
        <w:ind w:left="1803" w:hanging="720"/>
      </w:pPr>
      <w:rPr>
        <w:rFonts w:hint="default"/>
      </w:rPr>
    </w:lvl>
    <w:lvl w:ilvl="4">
      <w:start w:val="1"/>
      <w:numFmt w:val="decimal"/>
      <w:lvlText w:val="%1.%2.%3.%4.%5"/>
      <w:lvlJc w:val="left"/>
      <w:pPr>
        <w:ind w:left="2164" w:hanging="720"/>
      </w:pPr>
      <w:rPr>
        <w:rFonts w:hint="default"/>
      </w:rPr>
    </w:lvl>
    <w:lvl w:ilvl="5">
      <w:start w:val="1"/>
      <w:numFmt w:val="decimal"/>
      <w:lvlText w:val="%1.%2.%3.%4.%5.%6"/>
      <w:lvlJc w:val="left"/>
      <w:pPr>
        <w:ind w:left="2885" w:hanging="1080"/>
      </w:pPr>
      <w:rPr>
        <w:rFonts w:hint="default"/>
      </w:rPr>
    </w:lvl>
    <w:lvl w:ilvl="6">
      <w:start w:val="1"/>
      <w:numFmt w:val="decimal"/>
      <w:lvlText w:val="%1.%2.%3.%4.%5.%6.%7"/>
      <w:lvlJc w:val="left"/>
      <w:pPr>
        <w:ind w:left="3246" w:hanging="1080"/>
      </w:pPr>
      <w:rPr>
        <w:rFonts w:hint="default"/>
      </w:rPr>
    </w:lvl>
    <w:lvl w:ilvl="7">
      <w:start w:val="1"/>
      <w:numFmt w:val="decimal"/>
      <w:lvlText w:val="%1.%2.%3.%4.%5.%6.%7.%8"/>
      <w:lvlJc w:val="left"/>
      <w:pPr>
        <w:ind w:left="3967" w:hanging="1440"/>
      </w:pPr>
      <w:rPr>
        <w:rFonts w:hint="default"/>
      </w:rPr>
    </w:lvl>
    <w:lvl w:ilvl="8">
      <w:start w:val="1"/>
      <w:numFmt w:val="decimal"/>
      <w:lvlText w:val="%1.%2.%3.%4.%5.%6.%7.%8.%9"/>
      <w:lvlJc w:val="left"/>
      <w:pPr>
        <w:ind w:left="4328" w:hanging="1440"/>
      </w:pPr>
      <w:rPr>
        <w:rFonts w:hint="default"/>
      </w:rPr>
    </w:lvl>
  </w:abstractNum>
  <w:abstractNum w:abstractNumId="15" w15:restartNumberingAfterBreak="0">
    <w:nsid w:val="66A63F06"/>
    <w:multiLevelType w:val="hybridMultilevel"/>
    <w:tmpl w:val="FB64E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1D7EB5"/>
    <w:multiLevelType w:val="hybridMultilevel"/>
    <w:tmpl w:val="F376B6BE"/>
    <w:lvl w:ilvl="0" w:tplc="F0720B78">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E9E70A0"/>
    <w:multiLevelType w:val="hybridMultilevel"/>
    <w:tmpl w:val="45FC3920"/>
    <w:lvl w:ilvl="0" w:tplc="50CCF61C">
      <w:start w:val="6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4B2297"/>
    <w:multiLevelType w:val="hybridMultilevel"/>
    <w:tmpl w:val="82EE4EA6"/>
    <w:lvl w:ilvl="0" w:tplc="3DAAFC9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20"/>
  </w:num>
  <w:num w:numId="4">
    <w:abstractNumId w:val="9"/>
  </w:num>
  <w:num w:numId="5">
    <w:abstractNumId w:val="12"/>
  </w:num>
  <w:num w:numId="6">
    <w:abstractNumId w:val="5"/>
  </w:num>
  <w:num w:numId="7">
    <w:abstractNumId w:val="6"/>
  </w:num>
  <w:num w:numId="8">
    <w:abstractNumId w:val="10"/>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6"/>
  </w:num>
  <w:num w:numId="13">
    <w:abstractNumId w:val="1"/>
  </w:num>
  <w:num w:numId="14">
    <w:abstractNumId w:val="7"/>
  </w:num>
  <w:num w:numId="15">
    <w:abstractNumId w:val="15"/>
  </w:num>
  <w:num w:numId="16">
    <w:abstractNumId w:val="14"/>
  </w:num>
  <w:num w:numId="17">
    <w:abstractNumId w:val="4"/>
  </w:num>
  <w:num w:numId="18">
    <w:abstractNumId w:val="19"/>
  </w:num>
  <w:num w:numId="19">
    <w:abstractNumId w:val="2"/>
  </w:num>
  <w:num w:numId="20">
    <w:abstractNumId w:val="8"/>
  </w:num>
  <w:num w:numId="21">
    <w:abstractNumId w:val="17"/>
  </w:num>
  <w:num w:numId="22">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AC2"/>
    <w:rsid w:val="00003AEB"/>
    <w:rsid w:val="000078BC"/>
    <w:rsid w:val="00007ECE"/>
    <w:rsid w:val="0001218D"/>
    <w:rsid w:val="000121B0"/>
    <w:rsid w:val="00013326"/>
    <w:rsid w:val="000134CC"/>
    <w:rsid w:val="00015168"/>
    <w:rsid w:val="00016418"/>
    <w:rsid w:val="00023835"/>
    <w:rsid w:val="00024F9B"/>
    <w:rsid w:val="00027D1B"/>
    <w:rsid w:val="000308D4"/>
    <w:rsid w:val="00031DC9"/>
    <w:rsid w:val="00032CE0"/>
    <w:rsid w:val="00034355"/>
    <w:rsid w:val="00043245"/>
    <w:rsid w:val="00043950"/>
    <w:rsid w:val="00046916"/>
    <w:rsid w:val="00050FA9"/>
    <w:rsid w:val="00052FF4"/>
    <w:rsid w:val="00054F86"/>
    <w:rsid w:val="00064352"/>
    <w:rsid w:val="00064981"/>
    <w:rsid w:val="0006588B"/>
    <w:rsid w:val="00066978"/>
    <w:rsid w:val="000672C9"/>
    <w:rsid w:val="0007784C"/>
    <w:rsid w:val="000803A0"/>
    <w:rsid w:val="00085C04"/>
    <w:rsid w:val="0008634E"/>
    <w:rsid w:val="0008651F"/>
    <w:rsid w:val="00090D90"/>
    <w:rsid w:val="00092501"/>
    <w:rsid w:val="00094B2F"/>
    <w:rsid w:val="00096711"/>
    <w:rsid w:val="000968C1"/>
    <w:rsid w:val="000978CA"/>
    <w:rsid w:val="000A0AC1"/>
    <w:rsid w:val="000A126F"/>
    <w:rsid w:val="000A146E"/>
    <w:rsid w:val="000A1605"/>
    <w:rsid w:val="000A20A1"/>
    <w:rsid w:val="000A2AFA"/>
    <w:rsid w:val="000A5536"/>
    <w:rsid w:val="000B09FF"/>
    <w:rsid w:val="000B246F"/>
    <w:rsid w:val="000B599B"/>
    <w:rsid w:val="000B7D96"/>
    <w:rsid w:val="000C0119"/>
    <w:rsid w:val="000C03EE"/>
    <w:rsid w:val="000C0B78"/>
    <w:rsid w:val="000C2A11"/>
    <w:rsid w:val="000C327A"/>
    <w:rsid w:val="000C35B0"/>
    <w:rsid w:val="000C656D"/>
    <w:rsid w:val="000D498F"/>
    <w:rsid w:val="000D6D9C"/>
    <w:rsid w:val="000F22DD"/>
    <w:rsid w:val="000F23F3"/>
    <w:rsid w:val="000F2434"/>
    <w:rsid w:val="000F4EB0"/>
    <w:rsid w:val="000F65A4"/>
    <w:rsid w:val="00105897"/>
    <w:rsid w:val="00106A96"/>
    <w:rsid w:val="00107760"/>
    <w:rsid w:val="001114B2"/>
    <w:rsid w:val="0011469D"/>
    <w:rsid w:val="00114C7D"/>
    <w:rsid w:val="0011699C"/>
    <w:rsid w:val="00117892"/>
    <w:rsid w:val="00120FBC"/>
    <w:rsid w:val="00122622"/>
    <w:rsid w:val="0012303A"/>
    <w:rsid w:val="00123EC0"/>
    <w:rsid w:val="00124B56"/>
    <w:rsid w:val="00124FA6"/>
    <w:rsid w:val="00126292"/>
    <w:rsid w:val="00126F1B"/>
    <w:rsid w:val="00127EA7"/>
    <w:rsid w:val="00130E9C"/>
    <w:rsid w:val="00132552"/>
    <w:rsid w:val="00133469"/>
    <w:rsid w:val="0013530A"/>
    <w:rsid w:val="0013612C"/>
    <w:rsid w:val="00136A69"/>
    <w:rsid w:val="00137F45"/>
    <w:rsid w:val="00141C9A"/>
    <w:rsid w:val="0014235A"/>
    <w:rsid w:val="00144ED5"/>
    <w:rsid w:val="0014549D"/>
    <w:rsid w:val="00145891"/>
    <w:rsid w:val="0015235B"/>
    <w:rsid w:val="0015472D"/>
    <w:rsid w:val="0015652A"/>
    <w:rsid w:val="0015763B"/>
    <w:rsid w:val="001602DF"/>
    <w:rsid w:val="00160579"/>
    <w:rsid w:val="00160B7C"/>
    <w:rsid w:val="001649DC"/>
    <w:rsid w:val="00165038"/>
    <w:rsid w:val="00167B40"/>
    <w:rsid w:val="00170DD0"/>
    <w:rsid w:val="00171470"/>
    <w:rsid w:val="001737DA"/>
    <w:rsid w:val="001767EF"/>
    <w:rsid w:val="001854AB"/>
    <w:rsid w:val="00187E8E"/>
    <w:rsid w:val="00190CFA"/>
    <w:rsid w:val="001928D8"/>
    <w:rsid w:val="00193B41"/>
    <w:rsid w:val="001957DC"/>
    <w:rsid w:val="00197283"/>
    <w:rsid w:val="00197C6B"/>
    <w:rsid w:val="001A2C73"/>
    <w:rsid w:val="001A5801"/>
    <w:rsid w:val="001A6C5F"/>
    <w:rsid w:val="001B1760"/>
    <w:rsid w:val="001B5EB5"/>
    <w:rsid w:val="001C1671"/>
    <w:rsid w:val="001C1E68"/>
    <w:rsid w:val="001C209F"/>
    <w:rsid w:val="001C30EE"/>
    <w:rsid w:val="001C3662"/>
    <w:rsid w:val="001D242B"/>
    <w:rsid w:val="001D32A0"/>
    <w:rsid w:val="001D4CA5"/>
    <w:rsid w:val="001D4F94"/>
    <w:rsid w:val="001D757B"/>
    <w:rsid w:val="001E101F"/>
    <w:rsid w:val="001E21A6"/>
    <w:rsid w:val="001E2946"/>
    <w:rsid w:val="001E5E20"/>
    <w:rsid w:val="001E7802"/>
    <w:rsid w:val="001F15E4"/>
    <w:rsid w:val="001F4083"/>
    <w:rsid w:val="001F4683"/>
    <w:rsid w:val="001F4D9E"/>
    <w:rsid w:val="001F58EF"/>
    <w:rsid w:val="00204B81"/>
    <w:rsid w:val="00205F81"/>
    <w:rsid w:val="00206941"/>
    <w:rsid w:val="0021182F"/>
    <w:rsid w:val="00212FEB"/>
    <w:rsid w:val="00213E87"/>
    <w:rsid w:val="00215D1B"/>
    <w:rsid w:val="002179BB"/>
    <w:rsid w:val="00220D29"/>
    <w:rsid w:val="00233E28"/>
    <w:rsid w:val="0023529C"/>
    <w:rsid w:val="002371DA"/>
    <w:rsid w:val="00237C2F"/>
    <w:rsid w:val="00241112"/>
    <w:rsid w:val="00241DAA"/>
    <w:rsid w:val="002435ED"/>
    <w:rsid w:val="00243F99"/>
    <w:rsid w:val="00246B66"/>
    <w:rsid w:val="00251130"/>
    <w:rsid w:val="00254BD2"/>
    <w:rsid w:val="00255B0E"/>
    <w:rsid w:val="0025606E"/>
    <w:rsid w:val="002573B9"/>
    <w:rsid w:val="00262580"/>
    <w:rsid w:val="00262DD5"/>
    <w:rsid w:val="002637DC"/>
    <w:rsid w:val="002664AD"/>
    <w:rsid w:val="00266760"/>
    <w:rsid w:val="0027001F"/>
    <w:rsid w:val="00270043"/>
    <w:rsid w:val="00271470"/>
    <w:rsid w:val="00274F02"/>
    <w:rsid w:val="00275A4A"/>
    <w:rsid w:val="002801C6"/>
    <w:rsid w:val="002805D4"/>
    <w:rsid w:val="00280FB9"/>
    <w:rsid w:val="00282356"/>
    <w:rsid w:val="00284411"/>
    <w:rsid w:val="002942A2"/>
    <w:rsid w:val="002A02A4"/>
    <w:rsid w:val="002A1BF6"/>
    <w:rsid w:val="002A3031"/>
    <w:rsid w:val="002A340B"/>
    <w:rsid w:val="002A5950"/>
    <w:rsid w:val="002A6952"/>
    <w:rsid w:val="002A7665"/>
    <w:rsid w:val="002B0B50"/>
    <w:rsid w:val="002B14C9"/>
    <w:rsid w:val="002B2B6B"/>
    <w:rsid w:val="002C126A"/>
    <w:rsid w:val="002C4A03"/>
    <w:rsid w:val="002C690B"/>
    <w:rsid w:val="002C6E2F"/>
    <w:rsid w:val="002D1C99"/>
    <w:rsid w:val="002D5C59"/>
    <w:rsid w:val="002E3B64"/>
    <w:rsid w:val="002E50CF"/>
    <w:rsid w:val="002E77D1"/>
    <w:rsid w:val="002F1156"/>
    <w:rsid w:val="002F228E"/>
    <w:rsid w:val="002F3EFE"/>
    <w:rsid w:val="002F5953"/>
    <w:rsid w:val="0030509D"/>
    <w:rsid w:val="00310168"/>
    <w:rsid w:val="00310C19"/>
    <w:rsid w:val="00311C11"/>
    <w:rsid w:val="00312685"/>
    <w:rsid w:val="00314A5F"/>
    <w:rsid w:val="00316E73"/>
    <w:rsid w:val="00320895"/>
    <w:rsid w:val="00322A2A"/>
    <w:rsid w:val="00326435"/>
    <w:rsid w:val="00330077"/>
    <w:rsid w:val="0033662C"/>
    <w:rsid w:val="003369D5"/>
    <w:rsid w:val="0034386B"/>
    <w:rsid w:val="00346939"/>
    <w:rsid w:val="00346CB7"/>
    <w:rsid w:val="00346FFE"/>
    <w:rsid w:val="003477B7"/>
    <w:rsid w:val="00351A14"/>
    <w:rsid w:val="00353CD0"/>
    <w:rsid w:val="00356D08"/>
    <w:rsid w:val="00360431"/>
    <w:rsid w:val="00360501"/>
    <w:rsid w:val="00360945"/>
    <w:rsid w:val="00361D5D"/>
    <w:rsid w:val="0036774E"/>
    <w:rsid w:val="003706C3"/>
    <w:rsid w:val="00370E57"/>
    <w:rsid w:val="00371773"/>
    <w:rsid w:val="00372AFF"/>
    <w:rsid w:val="00375FFA"/>
    <w:rsid w:val="003806B4"/>
    <w:rsid w:val="00381018"/>
    <w:rsid w:val="003815EF"/>
    <w:rsid w:val="00382573"/>
    <w:rsid w:val="003879DF"/>
    <w:rsid w:val="00390F98"/>
    <w:rsid w:val="003921C3"/>
    <w:rsid w:val="00396D76"/>
    <w:rsid w:val="003A08A5"/>
    <w:rsid w:val="003A1AF5"/>
    <w:rsid w:val="003A77A2"/>
    <w:rsid w:val="003B0303"/>
    <w:rsid w:val="003B1DFF"/>
    <w:rsid w:val="003B454A"/>
    <w:rsid w:val="003B5AFD"/>
    <w:rsid w:val="003C18EC"/>
    <w:rsid w:val="003C1A52"/>
    <w:rsid w:val="003C3941"/>
    <w:rsid w:val="003C3FC0"/>
    <w:rsid w:val="003C4D74"/>
    <w:rsid w:val="003C7A75"/>
    <w:rsid w:val="003D13A8"/>
    <w:rsid w:val="003D210A"/>
    <w:rsid w:val="003D30CF"/>
    <w:rsid w:val="003D3325"/>
    <w:rsid w:val="003D4331"/>
    <w:rsid w:val="003D51EE"/>
    <w:rsid w:val="003E51E4"/>
    <w:rsid w:val="003E62C0"/>
    <w:rsid w:val="003F4323"/>
    <w:rsid w:val="003F446E"/>
    <w:rsid w:val="003F480D"/>
    <w:rsid w:val="003F5497"/>
    <w:rsid w:val="003F672F"/>
    <w:rsid w:val="003F6918"/>
    <w:rsid w:val="003F6ABC"/>
    <w:rsid w:val="00405A55"/>
    <w:rsid w:val="0040630A"/>
    <w:rsid w:val="0041185F"/>
    <w:rsid w:val="004160BF"/>
    <w:rsid w:val="00417B11"/>
    <w:rsid w:val="00422082"/>
    <w:rsid w:val="00422B66"/>
    <w:rsid w:val="00422D08"/>
    <w:rsid w:val="00422D8B"/>
    <w:rsid w:val="00423E99"/>
    <w:rsid w:val="00427179"/>
    <w:rsid w:val="00432267"/>
    <w:rsid w:val="00432634"/>
    <w:rsid w:val="00435C09"/>
    <w:rsid w:val="00442C6B"/>
    <w:rsid w:val="00442F4C"/>
    <w:rsid w:val="0044408D"/>
    <w:rsid w:val="00444EE6"/>
    <w:rsid w:val="00452ED1"/>
    <w:rsid w:val="004534C2"/>
    <w:rsid w:val="00453BCC"/>
    <w:rsid w:val="00455CF2"/>
    <w:rsid w:val="00455DEA"/>
    <w:rsid w:val="00455E1B"/>
    <w:rsid w:val="004600E3"/>
    <w:rsid w:val="00460F5A"/>
    <w:rsid w:val="004658BE"/>
    <w:rsid w:val="00465B26"/>
    <w:rsid w:val="00466449"/>
    <w:rsid w:val="00466DEB"/>
    <w:rsid w:val="00466E3B"/>
    <w:rsid w:val="00470009"/>
    <w:rsid w:val="00471235"/>
    <w:rsid w:val="00471B35"/>
    <w:rsid w:val="0047708F"/>
    <w:rsid w:val="00480C5E"/>
    <w:rsid w:val="00482220"/>
    <w:rsid w:val="004840AD"/>
    <w:rsid w:val="004863CF"/>
    <w:rsid w:val="00490F0E"/>
    <w:rsid w:val="0049327D"/>
    <w:rsid w:val="00493CBB"/>
    <w:rsid w:val="004A0A50"/>
    <w:rsid w:val="004A3824"/>
    <w:rsid w:val="004B3940"/>
    <w:rsid w:val="004B5AAB"/>
    <w:rsid w:val="004C62BF"/>
    <w:rsid w:val="004C6C3B"/>
    <w:rsid w:val="004D1571"/>
    <w:rsid w:val="004D52B0"/>
    <w:rsid w:val="004D6DCD"/>
    <w:rsid w:val="004E4B51"/>
    <w:rsid w:val="004E7392"/>
    <w:rsid w:val="004F421C"/>
    <w:rsid w:val="004F5168"/>
    <w:rsid w:val="004F5F38"/>
    <w:rsid w:val="004F6B31"/>
    <w:rsid w:val="004F71AC"/>
    <w:rsid w:val="005014CA"/>
    <w:rsid w:val="00501D65"/>
    <w:rsid w:val="00510055"/>
    <w:rsid w:val="00510D98"/>
    <w:rsid w:val="00516B44"/>
    <w:rsid w:val="0051726B"/>
    <w:rsid w:val="00521F30"/>
    <w:rsid w:val="005223E2"/>
    <w:rsid w:val="0052663C"/>
    <w:rsid w:val="005268DC"/>
    <w:rsid w:val="0052760B"/>
    <w:rsid w:val="0053241D"/>
    <w:rsid w:val="00532A92"/>
    <w:rsid w:val="0053545E"/>
    <w:rsid w:val="00536B05"/>
    <w:rsid w:val="00537107"/>
    <w:rsid w:val="00537CAD"/>
    <w:rsid w:val="0054003C"/>
    <w:rsid w:val="00540142"/>
    <w:rsid w:val="00540389"/>
    <w:rsid w:val="005473D7"/>
    <w:rsid w:val="00555A12"/>
    <w:rsid w:val="005578E7"/>
    <w:rsid w:val="00564694"/>
    <w:rsid w:val="005654BD"/>
    <w:rsid w:val="00573033"/>
    <w:rsid w:val="00573DAD"/>
    <w:rsid w:val="00581F54"/>
    <w:rsid w:val="0058622B"/>
    <w:rsid w:val="00586325"/>
    <w:rsid w:val="005877C3"/>
    <w:rsid w:val="00591C0B"/>
    <w:rsid w:val="0059646F"/>
    <w:rsid w:val="005A0F3F"/>
    <w:rsid w:val="005A3CB9"/>
    <w:rsid w:val="005A67FB"/>
    <w:rsid w:val="005B1CBB"/>
    <w:rsid w:val="005B1F46"/>
    <w:rsid w:val="005B4B46"/>
    <w:rsid w:val="005B607F"/>
    <w:rsid w:val="005B6474"/>
    <w:rsid w:val="005C0233"/>
    <w:rsid w:val="005C1731"/>
    <w:rsid w:val="005C2459"/>
    <w:rsid w:val="005C437D"/>
    <w:rsid w:val="005C76B8"/>
    <w:rsid w:val="005D27D4"/>
    <w:rsid w:val="005D3179"/>
    <w:rsid w:val="005D3696"/>
    <w:rsid w:val="005D5D53"/>
    <w:rsid w:val="005D61D4"/>
    <w:rsid w:val="005D651F"/>
    <w:rsid w:val="005D7392"/>
    <w:rsid w:val="005D746B"/>
    <w:rsid w:val="005E4EDD"/>
    <w:rsid w:val="005F0467"/>
    <w:rsid w:val="005F2F7B"/>
    <w:rsid w:val="006002EE"/>
    <w:rsid w:val="00601E0F"/>
    <w:rsid w:val="006020B1"/>
    <w:rsid w:val="006053F9"/>
    <w:rsid w:val="006117B9"/>
    <w:rsid w:val="0061430E"/>
    <w:rsid w:val="00615E8B"/>
    <w:rsid w:val="00617CFC"/>
    <w:rsid w:val="00620475"/>
    <w:rsid w:val="00622CDD"/>
    <w:rsid w:val="00627271"/>
    <w:rsid w:val="0063326C"/>
    <w:rsid w:val="00636936"/>
    <w:rsid w:val="00641437"/>
    <w:rsid w:val="00641BE5"/>
    <w:rsid w:val="006447B1"/>
    <w:rsid w:val="00645E3A"/>
    <w:rsid w:val="00650E20"/>
    <w:rsid w:val="00652841"/>
    <w:rsid w:val="0065590C"/>
    <w:rsid w:val="00655D27"/>
    <w:rsid w:val="00656759"/>
    <w:rsid w:val="006602F1"/>
    <w:rsid w:val="00660346"/>
    <w:rsid w:val="006669ED"/>
    <w:rsid w:val="00673516"/>
    <w:rsid w:val="00675934"/>
    <w:rsid w:val="006774B1"/>
    <w:rsid w:val="0068496F"/>
    <w:rsid w:val="00685ABC"/>
    <w:rsid w:val="00690657"/>
    <w:rsid w:val="00693899"/>
    <w:rsid w:val="00694B63"/>
    <w:rsid w:val="006964E4"/>
    <w:rsid w:val="006A1378"/>
    <w:rsid w:val="006A4393"/>
    <w:rsid w:val="006B42EB"/>
    <w:rsid w:val="006B5835"/>
    <w:rsid w:val="006D1BF3"/>
    <w:rsid w:val="006D3D21"/>
    <w:rsid w:val="006D5B38"/>
    <w:rsid w:val="006E3536"/>
    <w:rsid w:val="006E3927"/>
    <w:rsid w:val="006F0970"/>
    <w:rsid w:val="006F1D4C"/>
    <w:rsid w:val="006F301D"/>
    <w:rsid w:val="006F43C0"/>
    <w:rsid w:val="006F4639"/>
    <w:rsid w:val="006F4E81"/>
    <w:rsid w:val="006F7271"/>
    <w:rsid w:val="0070329E"/>
    <w:rsid w:val="0070378C"/>
    <w:rsid w:val="007041E5"/>
    <w:rsid w:val="0070460B"/>
    <w:rsid w:val="0070583F"/>
    <w:rsid w:val="0070645E"/>
    <w:rsid w:val="0071347B"/>
    <w:rsid w:val="0071507D"/>
    <w:rsid w:val="00717598"/>
    <w:rsid w:val="00717C7A"/>
    <w:rsid w:val="00721FEA"/>
    <w:rsid w:val="00723E32"/>
    <w:rsid w:val="00725252"/>
    <w:rsid w:val="00730077"/>
    <w:rsid w:val="00733BB2"/>
    <w:rsid w:val="00741285"/>
    <w:rsid w:val="007416AC"/>
    <w:rsid w:val="007441A6"/>
    <w:rsid w:val="00744618"/>
    <w:rsid w:val="007450E5"/>
    <w:rsid w:val="00747763"/>
    <w:rsid w:val="007501B3"/>
    <w:rsid w:val="00751E22"/>
    <w:rsid w:val="00756F53"/>
    <w:rsid w:val="00760206"/>
    <w:rsid w:val="007626D9"/>
    <w:rsid w:val="00764769"/>
    <w:rsid w:val="00766AF4"/>
    <w:rsid w:val="00766B02"/>
    <w:rsid w:val="00766D32"/>
    <w:rsid w:val="00771F7F"/>
    <w:rsid w:val="007723A7"/>
    <w:rsid w:val="0077310A"/>
    <w:rsid w:val="00774831"/>
    <w:rsid w:val="00782335"/>
    <w:rsid w:val="00782BD2"/>
    <w:rsid w:val="007A2156"/>
    <w:rsid w:val="007A6BCD"/>
    <w:rsid w:val="007A6C2E"/>
    <w:rsid w:val="007A76EA"/>
    <w:rsid w:val="007B641A"/>
    <w:rsid w:val="007C14A5"/>
    <w:rsid w:val="007C59E8"/>
    <w:rsid w:val="007D0BEC"/>
    <w:rsid w:val="007D144D"/>
    <w:rsid w:val="007D37BA"/>
    <w:rsid w:val="007D3959"/>
    <w:rsid w:val="007D76F9"/>
    <w:rsid w:val="007E3ED6"/>
    <w:rsid w:val="007E464F"/>
    <w:rsid w:val="007E4FE2"/>
    <w:rsid w:val="007F1E32"/>
    <w:rsid w:val="007F423E"/>
    <w:rsid w:val="007F5010"/>
    <w:rsid w:val="0080284B"/>
    <w:rsid w:val="00802FDD"/>
    <w:rsid w:val="008036CA"/>
    <w:rsid w:val="0081014C"/>
    <w:rsid w:val="00811DC6"/>
    <w:rsid w:val="0081256F"/>
    <w:rsid w:val="00812F56"/>
    <w:rsid w:val="00813AC1"/>
    <w:rsid w:val="00814B1B"/>
    <w:rsid w:val="0082670A"/>
    <w:rsid w:val="00826E75"/>
    <w:rsid w:val="00832740"/>
    <w:rsid w:val="0084010D"/>
    <w:rsid w:val="00843477"/>
    <w:rsid w:val="00847324"/>
    <w:rsid w:val="00853B23"/>
    <w:rsid w:val="008542BD"/>
    <w:rsid w:val="00854B07"/>
    <w:rsid w:val="008552F1"/>
    <w:rsid w:val="00857CFA"/>
    <w:rsid w:val="00860180"/>
    <w:rsid w:val="00862256"/>
    <w:rsid w:val="0086262B"/>
    <w:rsid w:val="008635C8"/>
    <w:rsid w:val="008654FB"/>
    <w:rsid w:val="008658D0"/>
    <w:rsid w:val="00865FF9"/>
    <w:rsid w:val="008678FD"/>
    <w:rsid w:val="008679D3"/>
    <w:rsid w:val="00871699"/>
    <w:rsid w:val="00872B6C"/>
    <w:rsid w:val="0087336E"/>
    <w:rsid w:val="00873E5C"/>
    <w:rsid w:val="00875706"/>
    <w:rsid w:val="008809EA"/>
    <w:rsid w:val="00881946"/>
    <w:rsid w:val="0088302C"/>
    <w:rsid w:val="008847CB"/>
    <w:rsid w:val="008877E3"/>
    <w:rsid w:val="00892409"/>
    <w:rsid w:val="008926FE"/>
    <w:rsid w:val="008954F8"/>
    <w:rsid w:val="008A0734"/>
    <w:rsid w:val="008A295D"/>
    <w:rsid w:val="008B609E"/>
    <w:rsid w:val="008C1C25"/>
    <w:rsid w:val="008C224A"/>
    <w:rsid w:val="008C2FBD"/>
    <w:rsid w:val="008C3A05"/>
    <w:rsid w:val="008C479C"/>
    <w:rsid w:val="008C493E"/>
    <w:rsid w:val="008C7B0B"/>
    <w:rsid w:val="008D05CD"/>
    <w:rsid w:val="008D21A5"/>
    <w:rsid w:val="008D49CD"/>
    <w:rsid w:val="008D685F"/>
    <w:rsid w:val="008D701E"/>
    <w:rsid w:val="008D76B2"/>
    <w:rsid w:val="008E0959"/>
    <w:rsid w:val="008E5B7B"/>
    <w:rsid w:val="008E5BE7"/>
    <w:rsid w:val="008E650C"/>
    <w:rsid w:val="008F12AC"/>
    <w:rsid w:val="008F2AC2"/>
    <w:rsid w:val="008F2BCF"/>
    <w:rsid w:val="00903ED8"/>
    <w:rsid w:val="00905459"/>
    <w:rsid w:val="009060D5"/>
    <w:rsid w:val="00906395"/>
    <w:rsid w:val="00906D1C"/>
    <w:rsid w:val="00910018"/>
    <w:rsid w:val="00916967"/>
    <w:rsid w:val="00917A80"/>
    <w:rsid w:val="0092093C"/>
    <w:rsid w:val="00925EE6"/>
    <w:rsid w:val="009261CF"/>
    <w:rsid w:val="00930615"/>
    <w:rsid w:val="009361B7"/>
    <w:rsid w:val="009362FC"/>
    <w:rsid w:val="00937093"/>
    <w:rsid w:val="00937843"/>
    <w:rsid w:val="009419C5"/>
    <w:rsid w:val="009423FE"/>
    <w:rsid w:val="00942A18"/>
    <w:rsid w:val="009501CE"/>
    <w:rsid w:val="00950431"/>
    <w:rsid w:val="00953BFD"/>
    <w:rsid w:val="00954264"/>
    <w:rsid w:val="00954AD0"/>
    <w:rsid w:val="00957845"/>
    <w:rsid w:val="00957B3F"/>
    <w:rsid w:val="00962458"/>
    <w:rsid w:val="00962E51"/>
    <w:rsid w:val="009654E0"/>
    <w:rsid w:val="00966102"/>
    <w:rsid w:val="00966411"/>
    <w:rsid w:val="0096704B"/>
    <w:rsid w:val="00967129"/>
    <w:rsid w:val="00971F63"/>
    <w:rsid w:val="0097453F"/>
    <w:rsid w:val="00976DCC"/>
    <w:rsid w:val="00976E29"/>
    <w:rsid w:val="0098169A"/>
    <w:rsid w:val="00983256"/>
    <w:rsid w:val="00983606"/>
    <w:rsid w:val="009848E7"/>
    <w:rsid w:val="009854A5"/>
    <w:rsid w:val="009867D8"/>
    <w:rsid w:val="00986BA5"/>
    <w:rsid w:val="00995566"/>
    <w:rsid w:val="009977E6"/>
    <w:rsid w:val="009A108D"/>
    <w:rsid w:val="009A3BBC"/>
    <w:rsid w:val="009B286A"/>
    <w:rsid w:val="009B3EC0"/>
    <w:rsid w:val="009C05C5"/>
    <w:rsid w:val="009C1C57"/>
    <w:rsid w:val="009C5C27"/>
    <w:rsid w:val="009C7423"/>
    <w:rsid w:val="009D0955"/>
    <w:rsid w:val="009D2929"/>
    <w:rsid w:val="009D4B66"/>
    <w:rsid w:val="009D4FB1"/>
    <w:rsid w:val="009D5D55"/>
    <w:rsid w:val="009E1FDA"/>
    <w:rsid w:val="009E3952"/>
    <w:rsid w:val="009E58A0"/>
    <w:rsid w:val="009F043F"/>
    <w:rsid w:val="009F0627"/>
    <w:rsid w:val="009F2B5E"/>
    <w:rsid w:val="009F3E07"/>
    <w:rsid w:val="009F4D35"/>
    <w:rsid w:val="009F5AF1"/>
    <w:rsid w:val="009F649C"/>
    <w:rsid w:val="009F75DA"/>
    <w:rsid w:val="00A013D7"/>
    <w:rsid w:val="00A026AF"/>
    <w:rsid w:val="00A03233"/>
    <w:rsid w:val="00A06DA5"/>
    <w:rsid w:val="00A17B13"/>
    <w:rsid w:val="00A23616"/>
    <w:rsid w:val="00A2458B"/>
    <w:rsid w:val="00A24AA2"/>
    <w:rsid w:val="00A310A3"/>
    <w:rsid w:val="00A31DD7"/>
    <w:rsid w:val="00A32FDA"/>
    <w:rsid w:val="00A33A02"/>
    <w:rsid w:val="00A33FAB"/>
    <w:rsid w:val="00A359B9"/>
    <w:rsid w:val="00A46E8F"/>
    <w:rsid w:val="00A53EC7"/>
    <w:rsid w:val="00A61216"/>
    <w:rsid w:val="00A62503"/>
    <w:rsid w:val="00A65E9A"/>
    <w:rsid w:val="00A65EFC"/>
    <w:rsid w:val="00A71202"/>
    <w:rsid w:val="00A7197E"/>
    <w:rsid w:val="00A734CD"/>
    <w:rsid w:val="00A738A2"/>
    <w:rsid w:val="00A77C6F"/>
    <w:rsid w:val="00A813D5"/>
    <w:rsid w:val="00A81AC4"/>
    <w:rsid w:val="00A81EFE"/>
    <w:rsid w:val="00A82D0D"/>
    <w:rsid w:val="00A838CC"/>
    <w:rsid w:val="00A9121A"/>
    <w:rsid w:val="00A91552"/>
    <w:rsid w:val="00A91A74"/>
    <w:rsid w:val="00A93049"/>
    <w:rsid w:val="00A93982"/>
    <w:rsid w:val="00A96288"/>
    <w:rsid w:val="00A97C90"/>
    <w:rsid w:val="00AA26E5"/>
    <w:rsid w:val="00AA2FBE"/>
    <w:rsid w:val="00AA4D9C"/>
    <w:rsid w:val="00AA6424"/>
    <w:rsid w:val="00AB0274"/>
    <w:rsid w:val="00AB2D44"/>
    <w:rsid w:val="00AB36A9"/>
    <w:rsid w:val="00AB4503"/>
    <w:rsid w:val="00AC0117"/>
    <w:rsid w:val="00AC0B78"/>
    <w:rsid w:val="00AC2CF0"/>
    <w:rsid w:val="00AC4360"/>
    <w:rsid w:val="00AC5D88"/>
    <w:rsid w:val="00AC6692"/>
    <w:rsid w:val="00AC6753"/>
    <w:rsid w:val="00AC6E12"/>
    <w:rsid w:val="00AC7FD3"/>
    <w:rsid w:val="00AD036C"/>
    <w:rsid w:val="00AD1065"/>
    <w:rsid w:val="00AD1CE7"/>
    <w:rsid w:val="00AD3286"/>
    <w:rsid w:val="00AD36AD"/>
    <w:rsid w:val="00AD43A2"/>
    <w:rsid w:val="00AD4F41"/>
    <w:rsid w:val="00AD7BFD"/>
    <w:rsid w:val="00AE188B"/>
    <w:rsid w:val="00AE1F6B"/>
    <w:rsid w:val="00AE3237"/>
    <w:rsid w:val="00AE3459"/>
    <w:rsid w:val="00AE4A17"/>
    <w:rsid w:val="00AF6095"/>
    <w:rsid w:val="00AF7B8F"/>
    <w:rsid w:val="00B11C4C"/>
    <w:rsid w:val="00B137B8"/>
    <w:rsid w:val="00B21C60"/>
    <w:rsid w:val="00B24CE1"/>
    <w:rsid w:val="00B26E7E"/>
    <w:rsid w:val="00B27172"/>
    <w:rsid w:val="00B30E23"/>
    <w:rsid w:val="00B3184B"/>
    <w:rsid w:val="00B331DE"/>
    <w:rsid w:val="00B36B8A"/>
    <w:rsid w:val="00B42537"/>
    <w:rsid w:val="00B43BBE"/>
    <w:rsid w:val="00B447C7"/>
    <w:rsid w:val="00B460A1"/>
    <w:rsid w:val="00B47C3E"/>
    <w:rsid w:val="00B50BD2"/>
    <w:rsid w:val="00B53D81"/>
    <w:rsid w:val="00B54645"/>
    <w:rsid w:val="00B54704"/>
    <w:rsid w:val="00B67EEC"/>
    <w:rsid w:val="00B71065"/>
    <w:rsid w:val="00B72C73"/>
    <w:rsid w:val="00B72F0B"/>
    <w:rsid w:val="00B734EC"/>
    <w:rsid w:val="00B7777C"/>
    <w:rsid w:val="00B83224"/>
    <w:rsid w:val="00B83D73"/>
    <w:rsid w:val="00B84453"/>
    <w:rsid w:val="00B84BA4"/>
    <w:rsid w:val="00B86951"/>
    <w:rsid w:val="00B912E2"/>
    <w:rsid w:val="00B97FBF"/>
    <w:rsid w:val="00BA0DE5"/>
    <w:rsid w:val="00BA1736"/>
    <w:rsid w:val="00BA3272"/>
    <w:rsid w:val="00BA3663"/>
    <w:rsid w:val="00BA4D6F"/>
    <w:rsid w:val="00BA5995"/>
    <w:rsid w:val="00BA6A1B"/>
    <w:rsid w:val="00BB0A3A"/>
    <w:rsid w:val="00BB17B3"/>
    <w:rsid w:val="00BB1EF4"/>
    <w:rsid w:val="00BB294F"/>
    <w:rsid w:val="00BB3696"/>
    <w:rsid w:val="00BB4CC4"/>
    <w:rsid w:val="00BB5711"/>
    <w:rsid w:val="00BB5A76"/>
    <w:rsid w:val="00BB5AD7"/>
    <w:rsid w:val="00BB7074"/>
    <w:rsid w:val="00BB7354"/>
    <w:rsid w:val="00BD17AE"/>
    <w:rsid w:val="00BE0951"/>
    <w:rsid w:val="00BE25ED"/>
    <w:rsid w:val="00BE31C8"/>
    <w:rsid w:val="00BE3B0B"/>
    <w:rsid w:val="00BE5B12"/>
    <w:rsid w:val="00BF1CC9"/>
    <w:rsid w:val="00BF7CA4"/>
    <w:rsid w:val="00C02CA8"/>
    <w:rsid w:val="00C04E8D"/>
    <w:rsid w:val="00C107BB"/>
    <w:rsid w:val="00C17F79"/>
    <w:rsid w:val="00C2162B"/>
    <w:rsid w:val="00C21861"/>
    <w:rsid w:val="00C22ABC"/>
    <w:rsid w:val="00C23B8B"/>
    <w:rsid w:val="00C2533A"/>
    <w:rsid w:val="00C26EC4"/>
    <w:rsid w:val="00C276E2"/>
    <w:rsid w:val="00C37214"/>
    <w:rsid w:val="00C414AA"/>
    <w:rsid w:val="00C416C0"/>
    <w:rsid w:val="00C41F9C"/>
    <w:rsid w:val="00C44404"/>
    <w:rsid w:val="00C51A17"/>
    <w:rsid w:val="00C54B7D"/>
    <w:rsid w:val="00C5660F"/>
    <w:rsid w:val="00C5695E"/>
    <w:rsid w:val="00C57605"/>
    <w:rsid w:val="00C57AA9"/>
    <w:rsid w:val="00C57C0B"/>
    <w:rsid w:val="00C60354"/>
    <w:rsid w:val="00C61011"/>
    <w:rsid w:val="00C64516"/>
    <w:rsid w:val="00C72922"/>
    <w:rsid w:val="00C72A3A"/>
    <w:rsid w:val="00C73132"/>
    <w:rsid w:val="00C77BFB"/>
    <w:rsid w:val="00C80CE4"/>
    <w:rsid w:val="00C81746"/>
    <w:rsid w:val="00C823DA"/>
    <w:rsid w:val="00C82A2B"/>
    <w:rsid w:val="00C856B6"/>
    <w:rsid w:val="00C85B34"/>
    <w:rsid w:val="00C87E85"/>
    <w:rsid w:val="00C91B1F"/>
    <w:rsid w:val="00C92F5E"/>
    <w:rsid w:val="00C94870"/>
    <w:rsid w:val="00C9554C"/>
    <w:rsid w:val="00C96F44"/>
    <w:rsid w:val="00CA01FE"/>
    <w:rsid w:val="00CA0606"/>
    <w:rsid w:val="00CA0DEC"/>
    <w:rsid w:val="00CA33AC"/>
    <w:rsid w:val="00CA3884"/>
    <w:rsid w:val="00CA38BE"/>
    <w:rsid w:val="00CA38FE"/>
    <w:rsid w:val="00CB3C67"/>
    <w:rsid w:val="00CB4A25"/>
    <w:rsid w:val="00CC660A"/>
    <w:rsid w:val="00CC6E5F"/>
    <w:rsid w:val="00CC747D"/>
    <w:rsid w:val="00CD34FE"/>
    <w:rsid w:val="00CD3C4F"/>
    <w:rsid w:val="00CD4E4C"/>
    <w:rsid w:val="00CD522D"/>
    <w:rsid w:val="00CD7AF1"/>
    <w:rsid w:val="00CE49E6"/>
    <w:rsid w:val="00CE500A"/>
    <w:rsid w:val="00CE54A7"/>
    <w:rsid w:val="00CE5560"/>
    <w:rsid w:val="00CE5A5C"/>
    <w:rsid w:val="00CE60D6"/>
    <w:rsid w:val="00CF0205"/>
    <w:rsid w:val="00CF40A2"/>
    <w:rsid w:val="00CF414A"/>
    <w:rsid w:val="00CF4774"/>
    <w:rsid w:val="00CF69D4"/>
    <w:rsid w:val="00CF7237"/>
    <w:rsid w:val="00D00906"/>
    <w:rsid w:val="00D00E18"/>
    <w:rsid w:val="00D02FD3"/>
    <w:rsid w:val="00D10850"/>
    <w:rsid w:val="00D111DE"/>
    <w:rsid w:val="00D139C9"/>
    <w:rsid w:val="00D13E1C"/>
    <w:rsid w:val="00D14F94"/>
    <w:rsid w:val="00D218C2"/>
    <w:rsid w:val="00D2236E"/>
    <w:rsid w:val="00D24A1F"/>
    <w:rsid w:val="00D24E4E"/>
    <w:rsid w:val="00D24E7D"/>
    <w:rsid w:val="00D35F2B"/>
    <w:rsid w:val="00D36941"/>
    <w:rsid w:val="00D369DF"/>
    <w:rsid w:val="00D375AF"/>
    <w:rsid w:val="00D4003B"/>
    <w:rsid w:val="00D41DC0"/>
    <w:rsid w:val="00D43129"/>
    <w:rsid w:val="00D444C1"/>
    <w:rsid w:val="00D465A4"/>
    <w:rsid w:val="00D51087"/>
    <w:rsid w:val="00D5127E"/>
    <w:rsid w:val="00D55E3A"/>
    <w:rsid w:val="00D55FE8"/>
    <w:rsid w:val="00D5694D"/>
    <w:rsid w:val="00D615C3"/>
    <w:rsid w:val="00D62D07"/>
    <w:rsid w:val="00D6369A"/>
    <w:rsid w:val="00D658DF"/>
    <w:rsid w:val="00D72043"/>
    <w:rsid w:val="00D72415"/>
    <w:rsid w:val="00D72A60"/>
    <w:rsid w:val="00D72CDE"/>
    <w:rsid w:val="00D7553F"/>
    <w:rsid w:val="00D75C36"/>
    <w:rsid w:val="00D777A4"/>
    <w:rsid w:val="00D80AE6"/>
    <w:rsid w:val="00D86A12"/>
    <w:rsid w:val="00D9058B"/>
    <w:rsid w:val="00D91769"/>
    <w:rsid w:val="00D92A87"/>
    <w:rsid w:val="00D9468A"/>
    <w:rsid w:val="00D94E6E"/>
    <w:rsid w:val="00D96B6A"/>
    <w:rsid w:val="00DA131D"/>
    <w:rsid w:val="00DA3DCF"/>
    <w:rsid w:val="00DB514C"/>
    <w:rsid w:val="00DB5708"/>
    <w:rsid w:val="00DB6417"/>
    <w:rsid w:val="00DB64B1"/>
    <w:rsid w:val="00DB72BD"/>
    <w:rsid w:val="00DC12DE"/>
    <w:rsid w:val="00DC2F33"/>
    <w:rsid w:val="00DD14BB"/>
    <w:rsid w:val="00DD2243"/>
    <w:rsid w:val="00DD308B"/>
    <w:rsid w:val="00DD37D0"/>
    <w:rsid w:val="00DD3BAE"/>
    <w:rsid w:val="00DD4C1A"/>
    <w:rsid w:val="00DD5FF2"/>
    <w:rsid w:val="00DD6EE0"/>
    <w:rsid w:val="00DD736F"/>
    <w:rsid w:val="00DE012E"/>
    <w:rsid w:val="00DE2DAF"/>
    <w:rsid w:val="00DE2EC9"/>
    <w:rsid w:val="00DE47F4"/>
    <w:rsid w:val="00DE675D"/>
    <w:rsid w:val="00DE6E89"/>
    <w:rsid w:val="00DF1FC2"/>
    <w:rsid w:val="00DF4B7F"/>
    <w:rsid w:val="00DF4C99"/>
    <w:rsid w:val="00DF55AC"/>
    <w:rsid w:val="00DF5D57"/>
    <w:rsid w:val="00E042B4"/>
    <w:rsid w:val="00E07167"/>
    <w:rsid w:val="00E10174"/>
    <w:rsid w:val="00E20C3E"/>
    <w:rsid w:val="00E24DE1"/>
    <w:rsid w:val="00E2781B"/>
    <w:rsid w:val="00E27EB5"/>
    <w:rsid w:val="00E30984"/>
    <w:rsid w:val="00E35E16"/>
    <w:rsid w:val="00E364B9"/>
    <w:rsid w:val="00E43310"/>
    <w:rsid w:val="00E44CC3"/>
    <w:rsid w:val="00E45EF6"/>
    <w:rsid w:val="00E52100"/>
    <w:rsid w:val="00E527F5"/>
    <w:rsid w:val="00E571C3"/>
    <w:rsid w:val="00E626BD"/>
    <w:rsid w:val="00E64927"/>
    <w:rsid w:val="00E66C6F"/>
    <w:rsid w:val="00E671B4"/>
    <w:rsid w:val="00E7048D"/>
    <w:rsid w:val="00E72340"/>
    <w:rsid w:val="00E801ED"/>
    <w:rsid w:val="00E8097F"/>
    <w:rsid w:val="00E91E25"/>
    <w:rsid w:val="00E93034"/>
    <w:rsid w:val="00EA3B64"/>
    <w:rsid w:val="00EA4366"/>
    <w:rsid w:val="00EA6379"/>
    <w:rsid w:val="00EA6FA6"/>
    <w:rsid w:val="00EA795A"/>
    <w:rsid w:val="00EB1471"/>
    <w:rsid w:val="00EB1A36"/>
    <w:rsid w:val="00EB42D7"/>
    <w:rsid w:val="00EB559E"/>
    <w:rsid w:val="00EB580A"/>
    <w:rsid w:val="00EB585C"/>
    <w:rsid w:val="00EB5ED0"/>
    <w:rsid w:val="00EB71DA"/>
    <w:rsid w:val="00EC2E93"/>
    <w:rsid w:val="00EC53DC"/>
    <w:rsid w:val="00EC7307"/>
    <w:rsid w:val="00ED068F"/>
    <w:rsid w:val="00ED6293"/>
    <w:rsid w:val="00ED7D51"/>
    <w:rsid w:val="00EE031C"/>
    <w:rsid w:val="00EE0977"/>
    <w:rsid w:val="00EE1BD1"/>
    <w:rsid w:val="00EE6C4E"/>
    <w:rsid w:val="00EF024F"/>
    <w:rsid w:val="00EF101E"/>
    <w:rsid w:val="00EF17E7"/>
    <w:rsid w:val="00EF5825"/>
    <w:rsid w:val="00EF6E14"/>
    <w:rsid w:val="00EF7C96"/>
    <w:rsid w:val="00F000D7"/>
    <w:rsid w:val="00F01182"/>
    <w:rsid w:val="00F0199B"/>
    <w:rsid w:val="00F043EE"/>
    <w:rsid w:val="00F06ED4"/>
    <w:rsid w:val="00F1081E"/>
    <w:rsid w:val="00F113CF"/>
    <w:rsid w:val="00F1764E"/>
    <w:rsid w:val="00F207F5"/>
    <w:rsid w:val="00F2294C"/>
    <w:rsid w:val="00F22A76"/>
    <w:rsid w:val="00F25119"/>
    <w:rsid w:val="00F26045"/>
    <w:rsid w:val="00F316CE"/>
    <w:rsid w:val="00F31840"/>
    <w:rsid w:val="00F33976"/>
    <w:rsid w:val="00F33E1A"/>
    <w:rsid w:val="00F34B27"/>
    <w:rsid w:val="00F41298"/>
    <w:rsid w:val="00F41837"/>
    <w:rsid w:val="00F418E8"/>
    <w:rsid w:val="00F42E5E"/>
    <w:rsid w:val="00F45E68"/>
    <w:rsid w:val="00F46998"/>
    <w:rsid w:val="00F51A19"/>
    <w:rsid w:val="00F603BB"/>
    <w:rsid w:val="00F610A0"/>
    <w:rsid w:val="00F61F6D"/>
    <w:rsid w:val="00F61F8D"/>
    <w:rsid w:val="00F65954"/>
    <w:rsid w:val="00F66338"/>
    <w:rsid w:val="00F66CE4"/>
    <w:rsid w:val="00F66FA7"/>
    <w:rsid w:val="00F66FD0"/>
    <w:rsid w:val="00F70AB5"/>
    <w:rsid w:val="00F70C34"/>
    <w:rsid w:val="00F719EA"/>
    <w:rsid w:val="00F739FC"/>
    <w:rsid w:val="00F751A1"/>
    <w:rsid w:val="00F75503"/>
    <w:rsid w:val="00F755E7"/>
    <w:rsid w:val="00F7637C"/>
    <w:rsid w:val="00F77B53"/>
    <w:rsid w:val="00F80140"/>
    <w:rsid w:val="00F80443"/>
    <w:rsid w:val="00F80D48"/>
    <w:rsid w:val="00F81681"/>
    <w:rsid w:val="00F81682"/>
    <w:rsid w:val="00F85755"/>
    <w:rsid w:val="00F87ACD"/>
    <w:rsid w:val="00F87DC8"/>
    <w:rsid w:val="00F93AF2"/>
    <w:rsid w:val="00F96651"/>
    <w:rsid w:val="00F971C2"/>
    <w:rsid w:val="00FA06D0"/>
    <w:rsid w:val="00FA2EBE"/>
    <w:rsid w:val="00FA51FC"/>
    <w:rsid w:val="00FA60C6"/>
    <w:rsid w:val="00FA6787"/>
    <w:rsid w:val="00FA6803"/>
    <w:rsid w:val="00FA76E4"/>
    <w:rsid w:val="00FB1C5A"/>
    <w:rsid w:val="00FB7ECA"/>
    <w:rsid w:val="00FC0160"/>
    <w:rsid w:val="00FC0D89"/>
    <w:rsid w:val="00FC36F8"/>
    <w:rsid w:val="00FC3D80"/>
    <w:rsid w:val="00FC6DD9"/>
    <w:rsid w:val="00FD032B"/>
    <w:rsid w:val="00FD04EE"/>
    <w:rsid w:val="00FD506B"/>
    <w:rsid w:val="00FD5475"/>
    <w:rsid w:val="00FE0753"/>
    <w:rsid w:val="00FE3224"/>
    <w:rsid w:val="00FE7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1026"/>
    <o:shapelayout v:ext="edit">
      <o:idmap v:ext="edit" data="1"/>
    </o:shapelayout>
  </w:shapeDefaults>
  <w:decimalSymbol w:val="."/>
  <w:listSeparator w:val=","/>
  <w14:docId w14:val="37B164D1"/>
  <w15:chartTrackingRefBased/>
  <w15:docId w15:val="{05A1F504-9706-4880-BA72-DF5BF3E44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22B66"/>
    <w:rPr>
      <w:sz w:val="24"/>
      <w:szCs w:val="24"/>
    </w:rPr>
  </w:style>
  <w:style w:type="paragraph" w:styleId="Heading1">
    <w:name w:val="heading 1"/>
    <w:basedOn w:val="Normal"/>
    <w:next w:val="Normal"/>
    <w:link w:val="Heading1Char"/>
    <w:qFormat/>
    <w:rsid w:val="001A5801"/>
    <w:pPr>
      <w:keepNext/>
      <w:ind w:left="4320"/>
      <w:jc w:val="both"/>
      <w:outlineLvl w:val="0"/>
    </w:pPr>
    <w:rPr>
      <w:rFonts w:ascii="Arial" w:hAnsi="Arial"/>
      <w:b/>
      <w:bCs/>
      <w:sz w:val="20"/>
      <w:szCs w:val="20"/>
      <w:lang w:val="x-none" w:eastAsia="x-none"/>
    </w:rPr>
  </w:style>
  <w:style w:type="paragraph" w:styleId="Heading2">
    <w:name w:val="heading 2"/>
    <w:basedOn w:val="Normal"/>
    <w:next w:val="Normal"/>
    <w:link w:val="Heading2Char"/>
    <w:qFormat/>
    <w:rsid w:val="00E72340"/>
    <w:pPr>
      <w:keepNext/>
      <w:outlineLvl w:val="1"/>
    </w:pPr>
    <w:rPr>
      <w:b/>
      <w:bCs/>
      <w:sz w:val="26"/>
      <w:lang w:val="x-none" w:eastAsia="x-none"/>
    </w:rPr>
  </w:style>
  <w:style w:type="paragraph" w:styleId="Heading3">
    <w:name w:val="heading 3"/>
    <w:basedOn w:val="Normal"/>
    <w:next w:val="Normal"/>
    <w:link w:val="Heading3Char"/>
    <w:uiPriority w:val="9"/>
    <w:semiHidden/>
    <w:unhideWhenUsed/>
    <w:qFormat/>
    <w:rsid w:val="009423FE"/>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5801"/>
    <w:rPr>
      <w:color w:val="0000FF"/>
      <w:u w:val="single"/>
    </w:rPr>
  </w:style>
  <w:style w:type="paragraph" w:styleId="BodyText">
    <w:name w:val="Body Text"/>
    <w:basedOn w:val="Normal"/>
    <w:link w:val="BodyTextChar"/>
    <w:rsid w:val="001A5801"/>
    <w:rPr>
      <w:rFonts w:ascii="Arial" w:hAnsi="Arial" w:cs="Arial"/>
      <w:sz w:val="20"/>
      <w:szCs w:val="20"/>
    </w:rPr>
  </w:style>
  <w:style w:type="paragraph" w:styleId="Header">
    <w:name w:val="header"/>
    <w:basedOn w:val="Normal"/>
    <w:link w:val="HeaderChar"/>
    <w:uiPriority w:val="99"/>
    <w:rsid w:val="001A5801"/>
    <w:pPr>
      <w:tabs>
        <w:tab w:val="center" w:pos="4320"/>
        <w:tab w:val="right" w:pos="8640"/>
      </w:tabs>
    </w:pPr>
  </w:style>
  <w:style w:type="paragraph" w:styleId="Footer">
    <w:name w:val="footer"/>
    <w:basedOn w:val="Normal"/>
    <w:link w:val="FooterChar"/>
    <w:uiPriority w:val="99"/>
    <w:rsid w:val="001A5801"/>
    <w:pPr>
      <w:tabs>
        <w:tab w:val="center" w:pos="4320"/>
        <w:tab w:val="right" w:pos="8640"/>
      </w:tabs>
    </w:pPr>
    <w:rPr>
      <w:lang w:val="x-none" w:eastAsia="x-none"/>
    </w:rPr>
  </w:style>
  <w:style w:type="paragraph" w:styleId="BodyTextIndent">
    <w:name w:val="Body Text Indent"/>
    <w:basedOn w:val="Normal"/>
    <w:rsid w:val="001A5801"/>
    <w:pPr>
      <w:ind w:left="1440" w:hanging="1440"/>
    </w:pPr>
    <w:rPr>
      <w:rFonts w:ascii="Arial" w:hAnsi="Arial" w:cs="Arial"/>
      <w:b/>
      <w:bCs/>
      <w:sz w:val="20"/>
      <w:szCs w:val="20"/>
    </w:rPr>
  </w:style>
  <w:style w:type="paragraph" w:styleId="BodyText2">
    <w:name w:val="Body Text 2"/>
    <w:basedOn w:val="Normal"/>
    <w:rsid w:val="001A5801"/>
    <w:pPr>
      <w:jc w:val="both"/>
    </w:pPr>
    <w:rPr>
      <w:rFonts w:ascii="Arial" w:hAnsi="Arial" w:cs="Arial"/>
      <w:sz w:val="20"/>
      <w:szCs w:val="20"/>
    </w:rPr>
  </w:style>
  <w:style w:type="paragraph" w:styleId="BalloonText">
    <w:name w:val="Balloon Text"/>
    <w:basedOn w:val="Normal"/>
    <w:semiHidden/>
    <w:rsid w:val="001A5801"/>
    <w:rPr>
      <w:rFonts w:ascii="Tahoma" w:hAnsi="Tahoma" w:cs="Tahoma"/>
      <w:sz w:val="16"/>
      <w:szCs w:val="16"/>
    </w:rPr>
  </w:style>
  <w:style w:type="paragraph" w:styleId="DocumentMap">
    <w:name w:val="Document Map"/>
    <w:basedOn w:val="Normal"/>
    <w:semiHidden/>
    <w:rsid w:val="001A5801"/>
    <w:pPr>
      <w:shd w:val="clear" w:color="auto" w:fill="000080"/>
    </w:pPr>
    <w:rPr>
      <w:rFonts w:ascii="Tahoma" w:hAnsi="Tahoma" w:cs="Tahoma"/>
      <w:sz w:val="20"/>
      <w:szCs w:val="20"/>
    </w:rPr>
  </w:style>
  <w:style w:type="paragraph" w:styleId="PlainText">
    <w:name w:val="Plain Text"/>
    <w:basedOn w:val="Normal"/>
    <w:link w:val="PlainTextChar"/>
    <w:uiPriority w:val="99"/>
    <w:rsid w:val="00CC6E5F"/>
    <w:pPr>
      <w:spacing w:before="100" w:beforeAutospacing="1" w:after="100" w:afterAutospacing="1"/>
    </w:pPr>
    <w:rPr>
      <w:lang w:val="x-none" w:eastAsia="x-none"/>
    </w:rPr>
  </w:style>
  <w:style w:type="paragraph" w:styleId="NormalWeb">
    <w:name w:val="Normal (Web)"/>
    <w:basedOn w:val="Normal"/>
    <w:uiPriority w:val="99"/>
    <w:rsid w:val="001854AB"/>
    <w:pPr>
      <w:spacing w:before="100" w:beforeAutospacing="1" w:after="100" w:afterAutospacing="1"/>
    </w:pPr>
  </w:style>
  <w:style w:type="paragraph" w:styleId="ListParagraph">
    <w:name w:val="List Paragraph"/>
    <w:aliases w:val="List Paragraph (numbered (a)),List Paragraph1,WB Para,Bullets,Numbered Para 1,Dot pt,No Spacing1,List Paragraph Char Char Char,Indicator Text,Bullet 1,Bullet Points,F5 List Paragraph,Colorful List - Accent 11,List Paragraph2"/>
    <w:basedOn w:val="Normal"/>
    <w:link w:val="ListParagraphChar"/>
    <w:uiPriority w:val="34"/>
    <w:qFormat/>
    <w:rsid w:val="00396D76"/>
    <w:pPr>
      <w:ind w:left="720"/>
      <w:contextualSpacing/>
    </w:pPr>
  </w:style>
  <w:style w:type="character" w:customStyle="1" w:styleId="PlainTextChar">
    <w:name w:val="Plain Text Char"/>
    <w:link w:val="PlainText"/>
    <w:uiPriority w:val="99"/>
    <w:rsid w:val="003879DF"/>
    <w:rPr>
      <w:sz w:val="24"/>
      <w:szCs w:val="24"/>
    </w:rPr>
  </w:style>
  <w:style w:type="character" w:styleId="CommentReference">
    <w:name w:val="annotation reference"/>
    <w:uiPriority w:val="99"/>
    <w:rsid w:val="00B36B8A"/>
    <w:rPr>
      <w:sz w:val="16"/>
      <w:szCs w:val="16"/>
    </w:rPr>
  </w:style>
  <w:style w:type="paragraph" w:styleId="CommentText">
    <w:name w:val="annotation text"/>
    <w:basedOn w:val="Normal"/>
    <w:link w:val="CommentTextChar"/>
    <w:uiPriority w:val="99"/>
    <w:rsid w:val="00B36B8A"/>
    <w:rPr>
      <w:sz w:val="20"/>
      <w:szCs w:val="20"/>
    </w:rPr>
  </w:style>
  <w:style w:type="character" w:customStyle="1" w:styleId="CommentTextChar">
    <w:name w:val="Comment Text Char"/>
    <w:basedOn w:val="DefaultParagraphFont"/>
    <w:link w:val="CommentText"/>
    <w:uiPriority w:val="99"/>
    <w:rsid w:val="00B36B8A"/>
  </w:style>
  <w:style w:type="paragraph" w:styleId="CommentSubject">
    <w:name w:val="annotation subject"/>
    <w:basedOn w:val="CommentText"/>
    <w:next w:val="CommentText"/>
    <w:link w:val="CommentSubjectChar"/>
    <w:rsid w:val="00B36B8A"/>
    <w:rPr>
      <w:b/>
      <w:bCs/>
      <w:lang w:val="x-none" w:eastAsia="x-none"/>
    </w:rPr>
  </w:style>
  <w:style w:type="character" w:customStyle="1" w:styleId="CommentSubjectChar">
    <w:name w:val="Comment Subject Char"/>
    <w:link w:val="CommentSubject"/>
    <w:rsid w:val="00B36B8A"/>
    <w:rPr>
      <w:b/>
      <w:bCs/>
    </w:rPr>
  </w:style>
  <w:style w:type="paragraph" w:styleId="FootnoteText">
    <w:name w:val="footnote text"/>
    <w:basedOn w:val="Normal"/>
    <w:link w:val="FootnoteTextChar"/>
    <w:rsid w:val="00967129"/>
    <w:rPr>
      <w:sz w:val="20"/>
      <w:szCs w:val="20"/>
    </w:rPr>
  </w:style>
  <w:style w:type="character" w:customStyle="1" w:styleId="FootnoteTextChar">
    <w:name w:val="Footnote Text Char"/>
    <w:basedOn w:val="DefaultParagraphFont"/>
    <w:link w:val="FootnoteText"/>
    <w:rsid w:val="00967129"/>
  </w:style>
  <w:style w:type="character" w:styleId="FootnoteReference">
    <w:name w:val="footnote reference"/>
    <w:rsid w:val="00967129"/>
    <w:rPr>
      <w:vertAlign w:val="superscript"/>
    </w:rPr>
  </w:style>
  <w:style w:type="character" w:styleId="Strong">
    <w:name w:val="Strong"/>
    <w:uiPriority w:val="22"/>
    <w:qFormat/>
    <w:rsid w:val="00092501"/>
    <w:rPr>
      <w:b/>
      <w:bCs/>
    </w:rPr>
  </w:style>
  <w:style w:type="table" w:styleId="TableGrid">
    <w:name w:val="Table Grid"/>
    <w:basedOn w:val="TableNormal"/>
    <w:rsid w:val="00F33E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843477"/>
    <w:rPr>
      <w:sz w:val="24"/>
      <w:szCs w:val="24"/>
    </w:r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hAnsi="Arial" w:cs="Arial"/>
      <w:sz w:val="20"/>
    </w:rPr>
  </w:style>
  <w:style w:type="paragraph" w:styleId="TOCHeading">
    <w:name w:val="TOC Heading"/>
    <w:basedOn w:val="Heading1"/>
    <w:next w:val="Normal"/>
    <w:uiPriority w:val="39"/>
    <w:qFormat/>
    <w:rsid w:val="00312685"/>
    <w:pPr>
      <w:keepLines/>
      <w:spacing w:before="480" w:line="276" w:lineRule="auto"/>
      <w:ind w:left="0"/>
      <w:jc w:val="left"/>
      <w:outlineLvl w:val="9"/>
    </w:pPr>
    <w:rPr>
      <w:rFonts w:ascii="Cambria" w:hAnsi="Cambria"/>
      <w:color w:val="365F91"/>
      <w:sz w:val="28"/>
      <w:szCs w:val="28"/>
    </w:rPr>
  </w:style>
  <w:style w:type="paragraph" w:styleId="TOC2">
    <w:name w:val="toc 2"/>
    <w:basedOn w:val="Normal"/>
    <w:next w:val="Normal"/>
    <w:autoRedefine/>
    <w:uiPriority w:val="39"/>
    <w:rsid w:val="005C2459"/>
    <w:pPr>
      <w:tabs>
        <w:tab w:val="left" w:pos="9630"/>
        <w:tab w:val="left" w:pos="9900"/>
      </w:tabs>
      <w:spacing w:before="240" w:after="240"/>
      <w:ind w:left="270"/>
    </w:pPr>
    <w:rPr>
      <w:b/>
      <w:noProof/>
      <w:sz w:val="20"/>
      <w:szCs w:val="20"/>
    </w:rPr>
  </w:style>
  <w:style w:type="character" w:customStyle="1" w:styleId="Heading1Char">
    <w:name w:val="Heading 1 Char"/>
    <w:link w:val="Heading1"/>
    <w:rsid w:val="00F755E7"/>
    <w:rPr>
      <w:rFonts w:ascii="Arial" w:hAnsi="Arial" w:cs="Arial"/>
      <w:b/>
      <w:bCs/>
    </w:rPr>
  </w:style>
  <w:style w:type="character" w:customStyle="1" w:styleId="Heading2Char">
    <w:name w:val="Heading 2 Char"/>
    <w:link w:val="Heading2"/>
    <w:rsid w:val="00F755E7"/>
    <w:rPr>
      <w:b/>
      <w:bCs/>
      <w:sz w:val="26"/>
      <w:szCs w:val="24"/>
    </w:rPr>
  </w:style>
  <w:style w:type="paragraph" w:styleId="TOC1">
    <w:name w:val="toc 1"/>
    <w:basedOn w:val="Normal"/>
    <w:next w:val="Normal"/>
    <w:autoRedefine/>
    <w:uiPriority w:val="39"/>
    <w:rsid w:val="00F739FC"/>
    <w:pPr>
      <w:tabs>
        <w:tab w:val="right" w:leader="dot" w:pos="10434"/>
      </w:tabs>
      <w:spacing w:before="240" w:after="240"/>
    </w:pPr>
  </w:style>
  <w:style w:type="paragraph" w:styleId="EndnoteText">
    <w:name w:val="endnote text"/>
    <w:basedOn w:val="Normal"/>
    <w:link w:val="EndnoteTextChar"/>
    <w:uiPriority w:val="99"/>
    <w:semiHidden/>
    <w:unhideWhenUsed/>
    <w:rsid w:val="00090D90"/>
    <w:rPr>
      <w:sz w:val="20"/>
      <w:szCs w:val="20"/>
    </w:rPr>
  </w:style>
  <w:style w:type="character" w:customStyle="1" w:styleId="EndnoteTextChar">
    <w:name w:val="Endnote Text Char"/>
    <w:basedOn w:val="DefaultParagraphFont"/>
    <w:link w:val="EndnoteText"/>
    <w:uiPriority w:val="99"/>
    <w:semiHidden/>
    <w:rsid w:val="00090D90"/>
  </w:style>
  <w:style w:type="character" w:styleId="EndnoteReference">
    <w:name w:val="endnote reference"/>
    <w:uiPriority w:val="99"/>
    <w:semiHidden/>
    <w:unhideWhenUsed/>
    <w:rsid w:val="00090D90"/>
    <w:rPr>
      <w:vertAlign w:val="superscript"/>
    </w:rPr>
  </w:style>
  <w:style w:type="character" w:styleId="FollowedHyperlink">
    <w:name w:val="FollowedHyperlink"/>
    <w:uiPriority w:val="99"/>
    <w:semiHidden/>
    <w:unhideWhenUsed/>
    <w:rsid w:val="00976E29"/>
    <w:rPr>
      <w:color w:val="800080"/>
      <w:u w:val="single"/>
    </w:rPr>
  </w:style>
  <w:style w:type="paragraph" w:customStyle="1" w:styleId="H1">
    <w:name w:val="H1"/>
    <w:rsid w:val="000134CC"/>
    <w:pPr>
      <w:spacing w:before="60" w:after="60"/>
    </w:pPr>
    <w:rPr>
      <w:rFonts w:cs="Arial"/>
      <w:b/>
      <w:bCs/>
      <w:snapToGrid w:val="0"/>
      <w:kern w:val="32"/>
      <w:sz w:val="24"/>
      <w:szCs w:val="32"/>
      <w:lang w:val="en-GB"/>
    </w:rPr>
  </w:style>
  <w:style w:type="paragraph" w:customStyle="1" w:styleId="H2">
    <w:name w:val="H2"/>
    <w:rsid w:val="000134CC"/>
    <w:rPr>
      <w:rFonts w:cs="Arial"/>
      <w:b/>
      <w:bCs/>
      <w:iCs/>
      <w:snapToGrid w:val="0"/>
      <w:sz w:val="22"/>
      <w:szCs w:val="28"/>
      <w:lang w:val="en-GB"/>
    </w:rPr>
  </w:style>
  <w:style w:type="character" w:customStyle="1" w:styleId="HeaderChar">
    <w:name w:val="Header Char"/>
    <w:link w:val="Header"/>
    <w:uiPriority w:val="99"/>
    <w:rsid w:val="00262DD5"/>
    <w:rPr>
      <w:sz w:val="24"/>
      <w:szCs w:val="24"/>
    </w:rPr>
  </w:style>
  <w:style w:type="character" w:customStyle="1" w:styleId="ListParagraphChar">
    <w:name w:val="List Paragraph Char"/>
    <w:aliases w:val="List Paragraph (numbered (a)) Char,List Paragraph1 Char,WB Para Char,Bullets Char,Numbered Para 1 Char,Dot pt Char,No Spacing1 Char,List Paragraph Char Char Char Char,Indicator Text Char,Bullet 1 Char,Bullet Points Char"/>
    <w:link w:val="ListParagraph"/>
    <w:uiPriority w:val="34"/>
    <w:qFormat/>
    <w:locked/>
    <w:rsid w:val="005D61D4"/>
    <w:rPr>
      <w:sz w:val="24"/>
      <w:szCs w:val="24"/>
    </w:rPr>
  </w:style>
  <w:style w:type="character" w:customStyle="1" w:styleId="notranslate">
    <w:name w:val="notranslate"/>
    <w:rsid w:val="00E91E25"/>
  </w:style>
  <w:style w:type="character" w:customStyle="1" w:styleId="Heading3Char">
    <w:name w:val="Heading 3 Char"/>
    <w:basedOn w:val="DefaultParagraphFont"/>
    <w:link w:val="Heading3"/>
    <w:uiPriority w:val="9"/>
    <w:semiHidden/>
    <w:rsid w:val="009423FE"/>
    <w:rPr>
      <w:rFonts w:asciiTheme="majorHAnsi" w:eastAsiaTheme="majorEastAsia" w:hAnsiTheme="majorHAnsi" w:cstheme="majorBidi"/>
      <w:b/>
      <w:bCs/>
      <w:sz w:val="26"/>
      <w:szCs w:val="26"/>
    </w:rPr>
  </w:style>
  <w:style w:type="character" w:customStyle="1" w:styleId="BodyTextChar">
    <w:name w:val="Body Text Char"/>
    <w:link w:val="BodyText"/>
    <w:rsid w:val="00D62D07"/>
    <w:rPr>
      <w:rFonts w:ascii="Arial" w:hAnsi="Arial" w:cs="Arial"/>
    </w:rPr>
  </w:style>
  <w:style w:type="character" w:customStyle="1" w:styleId="spelle">
    <w:name w:val="spelle"/>
    <w:rsid w:val="00D62D07"/>
  </w:style>
  <w:style w:type="paragraph" w:customStyle="1" w:styleId="Default">
    <w:name w:val="Default"/>
    <w:rsid w:val="00D62D07"/>
    <w:pPr>
      <w:autoSpaceDE w:val="0"/>
      <w:autoSpaceDN w:val="0"/>
      <w:adjustRightInd w:val="0"/>
    </w:pPr>
    <w:rPr>
      <w:rFonts w:ascii="Calibri" w:eastAsia="Calibri" w:hAnsi="Calibri" w:cs="Calibri"/>
      <w:color w:val="000000"/>
      <w:sz w:val="24"/>
      <w:szCs w:val="24"/>
    </w:rPr>
  </w:style>
  <w:style w:type="paragraph" w:styleId="TOC3">
    <w:name w:val="toc 3"/>
    <w:basedOn w:val="Normal"/>
    <w:next w:val="Normal"/>
    <w:autoRedefine/>
    <w:uiPriority w:val="39"/>
    <w:unhideWhenUsed/>
    <w:rsid w:val="00F739FC"/>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099638">
      <w:bodyDiv w:val="1"/>
      <w:marLeft w:val="0"/>
      <w:marRight w:val="0"/>
      <w:marTop w:val="0"/>
      <w:marBottom w:val="0"/>
      <w:divBdr>
        <w:top w:val="none" w:sz="0" w:space="0" w:color="auto"/>
        <w:left w:val="none" w:sz="0" w:space="0" w:color="auto"/>
        <w:bottom w:val="none" w:sz="0" w:space="0" w:color="auto"/>
        <w:right w:val="none" w:sz="0" w:space="0" w:color="auto"/>
      </w:divBdr>
    </w:div>
    <w:div w:id="410277288">
      <w:bodyDiv w:val="1"/>
      <w:marLeft w:val="0"/>
      <w:marRight w:val="0"/>
      <w:marTop w:val="0"/>
      <w:marBottom w:val="0"/>
      <w:divBdr>
        <w:top w:val="none" w:sz="0" w:space="0" w:color="auto"/>
        <w:left w:val="none" w:sz="0" w:space="0" w:color="auto"/>
        <w:bottom w:val="none" w:sz="0" w:space="0" w:color="auto"/>
        <w:right w:val="none" w:sz="0" w:space="0" w:color="auto"/>
      </w:divBdr>
    </w:div>
    <w:div w:id="494609607">
      <w:bodyDiv w:val="1"/>
      <w:marLeft w:val="0"/>
      <w:marRight w:val="0"/>
      <w:marTop w:val="0"/>
      <w:marBottom w:val="0"/>
      <w:divBdr>
        <w:top w:val="none" w:sz="0" w:space="0" w:color="auto"/>
        <w:left w:val="none" w:sz="0" w:space="0" w:color="auto"/>
        <w:bottom w:val="none" w:sz="0" w:space="0" w:color="auto"/>
        <w:right w:val="none" w:sz="0" w:space="0" w:color="auto"/>
      </w:divBdr>
    </w:div>
    <w:div w:id="1291473889">
      <w:bodyDiv w:val="1"/>
      <w:marLeft w:val="0"/>
      <w:marRight w:val="0"/>
      <w:marTop w:val="0"/>
      <w:marBottom w:val="0"/>
      <w:divBdr>
        <w:top w:val="none" w:sz="0" w:space="0" w:color="auto"/>
        <w:left w:val="none" w:sz="0" w:space="0" w:color="auto"/>
        <w:bottom w:val="none" w:sz="0" w:space="0" w:color="auto"/>
        <w:right w:val="none" w:sz="0" w:space="0" w:color="auto"/>
      </w:divBdr>
      <w:divsChild>
        <w:div w:id="1693417213">
          <w:marLeft w:val="0"/>
          <w:marRight w:val="0"/>
          <w:marTop w:val="0"/>
          <w:marBottom w:val="360"/>
          <w:divBdr>
            <w:top w:val="none" w:sz="0" w:space="0" w:color="auto"/>
            <w:left w:val="none" w:sz="0" w:space="0" w:color="auto"/>
            <w:bottom w:val="none" w:sz="0" w:space="0" w:color="auto"/>
            <w:right w:val="none" w:sz="0" w:space="0" w:color="auto"/>
          </w:divBdr>
        </w:div>
      </w:divsChild>
    </w:div>
    <w:div w:id="1449201156">
      <w:bodyDiv w:val="1"/>
      <w:marLeft w:val="0"/>
      <w:marRight w:val="0"/>
      <w:marTop w:val="0"/>
      <w:marBottom w:val="0"/>
      <w:divBdr>
        <w:top w:val="none" w:sz="0" w:space="0" w:color="auto"/>
        <w:left w:val="none" w:sz="0" w:space="0" w:color="auto"/>
        <w:bottom w:val="none" w:sz="0" w:space="0" w:color="auto"/>
        <w:right w:val="none" w:sz="0" w:space="0" w:color="auto"/>
      </w:divBdr>
    </w:div>
    <w:div w:id="1608392018">
      <w:bodyDiv w:val="1"/>
      <w:marLeft w:val="0"/>
      <w:marRight w:val="0"/>
      <w:marTop w:val="0"/>
      <w:marBottom w:val="0"/>
      <w:divBdr>
        <w:top w:val="none" w:sz="0" w:space="0" w:color="auto"/>
        <w:left w:val="none" w:sz="0" w:space="0" w:color="auto"/>
        <w:bottom w:val="none" w:sz="0" w:space="0" w:color="auto"/>
        <w:right w:val="none" w:sz="0" w:space="0" w:color="auto"/>
      </w:divBdr>
      <w:divsChild>
        <w:div w:id="1654872997">
          <w:marLeft w:val="0"/>
          <w:marRight w:val="0"/>
          <w:marTop w:val="0"/>
          <w:marBottom w:val="360"/>
          <w:divBdr>
            <w:top w:val="none" w:sz="0" w:space="0" w:color="auto"/>
            <w:left w:val="none" w:sz="0" w:space="0" w:color="auto"/>
            <w:bottom w:val="none" w:sz="0" w:space="0" w:color="auto"/>
            <w:right w:val="none" w:sz="0" w:space="0" w:color="auto"/>
          </w:divBdr>
        </w:div>
      </w:divsChild>
    </w:div>
    <w:div w:id="1751806115">
      <w:bodyDiv w:val="1"/>
      <w:marLeft w:val="0"/>
      <w:marRight w:val="0"/>
      <w:marTop w:val="0"/>
      <w:marBottom w:val="0"/>
      <w:divBdr>
        <w:top w:val="none" w:sz="0" w:space="0" w:color="auto"/>
        <w:left w:val="none" w:sz="0" w:space="0" w:color="auto"/>
        <w:bottom w:val="none" w:sz="0" w:space="0" w:color="auto"/>
        <w:right w:val="none" w:sz="0" w:space="0" w:color="auto"/>
      </w:divBdr>
    </w:div>
    <w:div w:id="1796019748">
      <w:bodyDiv w:val="1"/>
      <w:marLeft w:val="0"/>
      <w:marRight w:val="0"/>
      <w:marTop w:val="0"/>
      <w:marBottom w:val="0"/>
      <w:divBdr>
        <w:top w:val="none" w:sz="0" w:space="0" w:color="auto"/>
        <w:left w:val="none" w:sz="0" w:space="0" w:color="auto"/>
        <w:bottom w:val="none" w:sz="0" w:space="0" w:color="auto"/>
        <w:right w:val="none" w:sz="0" w:space="0" w:color="auto"/>
      </w:divBdr>
      <w:divsChild>
        <w:div w:id="1269388967">
          <w:marLeft w:val="0"/>
          <w:marRight w:val="0"/>
          <w:marTop w:val="0"/>
          <w:marBottom w:val="360"/>
          <w:divBdr>
            <w:top w:val="none" w:sz="0" w:space="0" w:color="auto"/>
            <w:left w:val="none" w:sz="0" w:space="0" w:color="auto"/>
            <w:bottom w:val="none" w:sz="0" w:space="0" w:color="auto"/>
            <w:right w:val="none" w:sz="0" w:space="0" w:color="auto"/>
          </w:divBdr>
        </w:div>
      </w:divsChild>
    </w:div>
    <w:div w:id="1798255927">
      <w:bodyDiv w:val="1"/>
      <w:marLeft w:val="0"/>
      <w:marRight w:val="0"/>
      <w:marTop w:val="0"/>
      <w:marBottom w:val="0"/>
      <w:divBdr>
        <w:top w:val="none" w:sz="0" w:space="0" w:color="auto"/>
        <w:left w:val="none" w:sz="0" w:space="0" w:color="auto"/>
        <w:bottom w:val="none" w:sz="0" w:space="0" w:color="auto"/>
        <w:right w:val="none" w:sz="0" w:space="0" w:color="auto"/>
      </w:divBdr>
      <w:divsChild>
        <w:div w:id="1134103472">
          <w:marLeft w:val="0"/>
          <w:marRight w:val="0"/>
          <w:marTop w:val="0"/>
          <w:marBottom w:val="360"/>
          <w:divBdr>
            <w:top w:val="none" w:sz="0" w:space="0" w:color="auto"/>
            <w:left w:val="none" w:sz="0" w:space="0" w:color="auto"/>
            <w:bottom w:val="none" w:sz="0" w:space="0" w:color="auto"/>
            <w:right w:val="none" w:sz="0" w:space="0" w:color="auto"/>
          </w:divBdr>
        </w:div>
      </w:divsChild>
    </w:div>
    <w:div w:id="1818959356">
      <w:bodyDiv w:val="1"/>
      <w:marLeft w:val="0"/>
      <w:marRight w:val="0"/>
      <w:marTop w:val="0"/>
      <w:marBottom w:val="0"/>
      <w:divBdr>
        <w:top w:val="none" w:sz="0" w:space="0" w:color="auto"/>
        <w:left w:val="none" w:sz="0" w:space="0" w:color="auto"/>
        <w:bottom w:val="none" w:sz="0" w:space="0" w:color="auto"/>
        <w:right w:val="none" w:sz="0" w:space="0" w:color="auto"/>
      </w:divBdr>
      <w:divsChild>
        <w:div w:id="1032455938">
          <w:marLeft w:val="0"/>
          <w:marRight w:val="0"/>
          <w:marTop w:val="0"/>
          <w:marBottom w:val="0"/>
          <w:divBdr>
            <w:top w:val="none" w:sz="0" w:space="0" w:color="auto"/>
            <w:left w:val="none" w:sz="0" w:space="0" w:color="auto"/>
            <w:bottom w:val="none" w:sz="0" w:space="0" w:color="auto"/>
            <w:right w:val="none" w:sz="0" w:space="0" w:color="auto"/>
          </w:divBdr>
        </w:div>
      </w:divsChild>
    </w:div>
    <w:div w:id="1949772186">
      <w:bodyDiv w:val="1"/>
      <w:marLeft w:val="0"/>
      <w:marRight w:val="0"/>
      <w:marTop w:val="0"/>
      <w:marBottom w:val="0"/>
      <w:divBdr>
        <w:top w:val="none" w:sz="0" w:space="0" w:color="auto"/>
        <w:left w:val="none" w:sz="0" w:space="0" w:color="auto"/>
        <w:bottom w:val="none" w:sz="0" w:space="0" w:color="auto"/>
        <w:right w:val="none" w:sz="0" w:space="0" w:color="auto"/>
      </w:divBdr>
      <w:divsChild>
        <w:div w:id="224611770">
          <w:marLeft w:val="0"/>
          <w:marRight w:val="0"/>
          <w:marTop w:val="0"/>
          <w:marBottom w:val="360"/>
          <w:divBdr>
            <w:top w:val="none" w:sz="0" w:space="0" w:color="auto"/>
            <w:left w:val="none" w:sz="0" w:space="0" w:color="auto"/>
            <w:bottom w:val="none" w:sz="0" w:space="0" w:color="auto"/>
            <w:right w:val="none" w:sz="0" w:space="0" w:color="auto"/>
          </w:divBdr>
        </w:div>
      </w:divsChild>
    </w:div>
    <w:div w:id="201183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DP Document" ma:contentTypeID="0x010100F075C04BA242A84ABD3293E3AD35CDA400D1AAAE7E6891974D9C8CF00BB14F0F79" ma:contentTypeVersion="2" ma:contentTypeDescription="Create a new document." ma:contentTypeScope="" ma:versionID="3f15cd5937d9e653e4780f9948ced1d2">
  <xsd:schema xmlns:xsd="http://www.w3.org/2001/XMLSchema" xmlns:xs="http://www.w3.org/2001/XMLSchema" xmlns:p="http://schemas.microsoft.com/office/2006/metadata/properties" xmlns:ns2="http://schemas.microsoft.com/sharepoint/v3/fields" xmlns:ns3="c9def77c-978a-46d2-aeb8-0cfb20a6c31e" xmlns:ns4="1ed4137b-41b2-488b-8250-6d369ec27664" targetNamespace="http://schemas.microsoft.com/office/2006/metadata/properties" ma:root="true" ma:fieldsID="4e66b73b96d50e7aaebf79249ba4fe89" ns2:_="" ns3:_="" ns4:_="">
    <xsd:import namespace="http://schemas.microsoft.com/sharepoint/v3/fields"/>
    <xsd:import namespace="c9def77c-978a-46d2-aeb8-0cfb20a6c31e"/>
    <xsd:import namespace="1ed4137b-41b2-488b-8250-6d369ec27664"/>
    <xsd:element name="properties">
      <xsd:complexType>
        <xsd:sequence>
          <xsd:element name="documentManagement">
            <xsd:complexType>
              <xsd:all>
                <xsd:element ref="ns3:UNDPSummary" minOccurs="0"/>
                <xsd:element ref="ns2:_Publisher" minOccurs="0"/>
                <xsd:element ref="ns3:UNDPPublishedDate" minOccurs="0"/>
                <xsd:element ref="ns4:UN_x0020_LanguagesTaxHTField0" minOccurs="0"/>
                <xsd:element ref="ns3:TaxCatchAll" minOccurs="0"/>
                <xsd:element ref="ns3:TaxCatchAllLabel" minOccurs="0"/>
                <xsd:element ref="ns4:UndpClassificationLevel" minOccurs="0"/>
                <xsd:element ref="ns3:UNDPPOPPFunctionalArea" minOccurs="0"/>
                <xsd:element ref="ns4:UNDPDocumentCategoryTaxHTField0" minOccurs="0"/>
                <xsd:element ref="ns4:UndpDocTypeMMTaxHTField0" minOccurs="0"/>
                <xsd:element ref="ns3:c0f5d6bc94c24efb8cb3448ca9792810" minOccurs="0"/>
                <xsd:element ref="ns4:b6db62fdefd74bd188b0c1cc54de5bcf" minOccurs="0"/>
                <xsd:element ref="ns4:UNDPCountryTaxHTField0" minOccurs="0"/>
                <xsd:element ref="ns4:UndpProjectNo" minOccurs="0"/>
                <xsd:element ref="ns3:UndpDocStatus" minOccurs="0"/>
                <xsd:element ref="ns3:UndpIsTemplate" minOccurs="0"/>
                <xsd:element ref="ns4:UndpOUCode" minOccurs="0"/>
                <xsd:element ref="ns4:UndpDocFormat" minOccurs="0"/>
                <xsd:element ref="ns4:c4e2ab2cc9354bbf9064eeb465a566ea" minOccurs="0"/>
                <xsd:element ref="ns4:Undp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1" nillable="true" ma:displayName="Publisher" ma:description="The person, organization or service that published this resource" ma:internalName="_Publish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def77c-978a-46d2-aeb8-0cfb20a6c31e" elementFormDefault="qualified">
    <xsd:import namespace="http://schemas.microsoft.com/office/2006/documentManagement/types"/>
    <xsd:import namespace="http://schemas.microsoft.com/office/infopath/2007/PartnerControls"/>
    <xsd:element name="UNDPSummary" ma:index="9" nillable="true" ma:displayName="Summary" ma:description="A brief description or summary of the document" ma:internalName="UNDPSummary">
      <xsd:simpleType>
        <xsd:restriction base="dms:Note">
          <xsd:maxLength value="255"/>
        </xsd:restriction>
      </xsd:simpleType>
    </xsd:element>
    <xsd:element name="UNDPPublishedDate" ma:index="12" nillable="true" ma:displayName="Published Date" ma:description="The date the document was published" ma:format="DateOnly" ma:internalName="UNDPPublishedDate">
      <xsd:simpleType>
        <xsd:restriction base="dms:DateTime"/>
      </xsd:simpleType>
    </xsd:element>
    <xsd:element name="TaxCatchAll" ma:index="14" nillable="true" ma:displayName="Taxonomy Catch All Column" ma:description="" ma:hidden="true" ma:list="{af4d72b4-f69e-4274-9424-c635373c052c}" ma:internalName="TaxCatchAll" ma:showField="CatchAllData" ma:web="c9def77c-978a-46d2-aeb8-0cfb20a6c31e">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af4d72b4-f69e-4274-9424-c635373c052c}" ma:internalName="TaxCatchAllLabel" ma:readOnly="true" ma:showField="CatchAllDataLabel" ma:web="c9def77c-978a-46d2-aeb8-0cfb20a6c31e">
      <xsd:complexType>
        <xsd:complexContent>
          <xsd:extension base="dms:MultiChoiceLookup">
            <xsd:sequence>
              <xsd:element name="Value" type="dms:Lookup" maxOccurs="unbounded" minOccurs="0" nillable="true"/>
            </xsd:sequence>
          </xsd:extension>
        </xsd:complexContent>
      </xsd:complexType>
    </xsd:element>
    <xsd:element name="UNDPPOPPFunctionalArea" ma:index="18"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nd Accountability"/>
          <xsd:enumeration value="Security"/>
        </xsd:restriction>
      </xsd:simpleType>
    </xsd:element>
    <xsd:element name="c0f5d6bc94c24efb8cb3448ca9792810" ma:index="23" nillable="true" ma:taxonomy="true" ma:internalName="c0f5d6bc94c24efb8cb3448ca9792810" ma:taxonomyFieldName="UNDPFocusAreas" ma:displayName="Focus Area" ma:fieldId="{c0f5d6bc-94c2-4efb-8cb3-448ca9792810}"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UndpDocStatus" ma:index="30" nillable="true" ma:displayName="Document Status" ma:default="Draft" ma:description="The status of the document" ma:format="Dropdown" ma:internalName="UndpDocStatus">
      <xsd:simpleType>
        <xsd:restriction base="dms:Choice">
          <xsd:enumeration value="Draft"/>
          <xsd:enumeration value="Final"/>
          <xsd:enumeration value="Reviewed"/>
        </xsd:restriction>
      </xsd:simpleType>
    </xsd:element>
    <xsd:element name="UndpIsTemplate" ma:index="31"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_x0020_LanguagesTaxHTField0" ma:index="13" nillable="true" ma:taxonomy="true" ma:internalName="UN_x0020_LanguagesTaxHTField0" ma:taxonomyFieldName="UN_x0020_Languages" ma:displayName="UN Language" ma:default="" ma:fieldId="{41a2b052-e54a-4bfe-83da-6da45935c81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UndpClassificationLevel" ma:index="17"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DocumentCategoryTaxHTField0" ma:index="19" nillable="true" ma:taxonomy="true" ma:internalName="UNDPDocumentCategoryTaxHTField0" ma:taxonomyFieldName="UNDPDocumentCategory" ma:displayName="Document Category" ma:default="" ma:fieldId="{30683383-b7b1-438d-8f61-9bf6b516a9e8}"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UndpDocTypeMMTaxHTField0" ma:index="21" nillable="true" ma:taxonomy="true" ma:internalName="UndpDocTypeMMTaxHTField0" ma:taxonomyFieldName="UndpDocTypeMM" ma:displayName="Document Type" ma:default="" ma:fieldId="{ef94467a-fb76-4b42-91a0-5b5bdb6c8d34}"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b6db62fdefd74bd188b0c1cc54de5bcf" ma:index="25" nillable="true" ma:taxonomy="true" ma:internalName="b6db62fdefd74bd188b0c1cc54de5bcf" ma:taxonomyFieldName="UndpUnitMM" ma:displayName="Responsible Unit/Office" ma:default="" ma:fieldId="{b6db62fd-efd7-4bd1-88b0-c1cc54de5bc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Country" ma:default="" ma:fieldId="{81e4cc14-7d66-47aa-92fc-e5e3ceab8cf9}"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UndpProjectNo" ma:index="29" nillable="true" ma:displayName="Project No" ma:description="If applicable, the Atlas Project Number of the authoring Unit" ma:internalName="UndpProjectNo">
      <xsd:simpleType>
        <xsd:restriction base="dms:Text">
          <xsd:maxLength value="12"/>
        </xsd:restriction>
      </xsd:simpleType>
    </xsd:element>
    <xsd:element name="UndpOUCode" ma:index="32"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44"/>
          <xsd:enumeration value="R45"/>
          <xsd:enumeration value="R46"/>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restriction>
      </xsd:simpleType>
    </xsd:element>
    <xsd:element name="UndpDocFormat" ma:index="33"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UndpDocID" ma:index="36" nillable="true" ma:displayName="Doc ID" ma:description="The Unique ID number for this document" ma:internalName="UndpDocID">
      <xsd:simpleType>
        <xsd:restriction base="dms:Text">
          <xsd:maxLength value="3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CountryTaxHTField0 xmlns="1ed4137b-41b2-488b-8250-6d369ec27664">
      <Terms xmlns="http://schemas.microsoft.com/office/infopath/2007/PartnerControls"/>
    </UNDPCountryTaxHTField0>
    <UndpDocFormat xmlns="1ed4137b-41b2-488b-8250-6d369ec27664" xsi:nil="true"/>
    <UndpDocTypeMMTaxHTField0 xmlns="1ed4137b-41b2-488b-8250-6d369ec27664">
      <Terms xmlns="http://schemas.microsoft.com/office/infopath/2007/PartnerControls"/>
    </UndpDocTypeMMTaxHTField0>
    <UndpOUCode xmlns="1ed4137b-41b2-488b-8250-6d369ec27664" xsi:nil="true"/>
    <UNDPSummary xmlns="c9def77c-978a-46d2-aeb8-0cfb20a6c31e" xsi:nil="true"/>
    <_Publisher xmlns="http://schemas.microsoft.com/sharepoint/v3/fields" xsi:nil="true"/>
    <UNDPPublishedDate xmlns="c9def77c-978a-46d2-aeb8-0cfb20a6c31e" xsi:nil="true"/>
    <c4e2ab2cc9354bbf9064eeb465a566ea xmlns="1ed4137b-41b2-488b-8250-6d369ec27664">
      <Terms xmlns="http://schemas.microsoft.com/office/infopath/2007/PartnerControls"/>
    </c4e2ab2cc9354bbf9064eeb465a566ea>
    <UndpProjectNo xmlns="1ed4137b-41b2-488b-8250-6d369ec27664" xsi:nil="true"/>
    <TaxCatchAll xmlns="c9def77c-978a-46d2-aeb8-0cfb20a6c31e"/>
    <UndpClassificationLevel xmlns="1ed4137b-41b2-488b-8250-6d369ec27664">Internal Use Only</UndpClassificationLevel>
    <UndpDocStatus xmlns="c9def77c-978a-46d2-aeb8-0cfb20a6c31e">Draft</UndpDocStatus>
    <UndpIsTemplate xmlns="c9def77c-978a-46d2-aeb8-0cfb20a6c31e">No</UndpIsTemplate>
    <UNDPPOPPFunctionalArea xmlns="c9def77c-978a-46d2-aeb8-0cfb20a6c31e" xsi:nil="true"/>
    <UndpDocID xmlns="1ed4137b-41b2-488b-8250-6d369ec27664" xsi:nil="true"/>
    <UN_x0020_LanguagesTaxHTField0 xmlns="1ed4137b-41b2-488b-8250-6d369ec27664">
      <Terms xmlns="http://schemas.microsoft.com/office/infopath/2007/PartnerControls"/>
    </UN_x0020_LanguagesTaxHTField0>
    <c0f5d6bc94c24efb8cb3448ca9792810 xmlns="c9def77c-978a-46d2-aeb8-0cfb20a6c31e">
      <Terms xmlns="http://schemas.microsoft.com/office/infopath/2007/PartnerControls"/>
    </c0f5d6bc94c24efb8cb3448ca9792810>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09DD2-6465-4F5F-8152-E0551B147545}">
  <ds:schemaRefs>
    <ds:schemaRef ds:uri="http://schemas.microsoft.com/sharepoint/v3/contenttype/forms"/>
  </ds:schemaRefs>
</ds:datastoreItem>
</file>

<file path=customXml/itemProps2.xml><?xml version="1.0" encoding="utf-8"?>
<ds:datastoreItem xmlns:ds="http://schemas.openxmlformats.org/officeDocument/2006/customXml" ds:itemID="{7E1F9CE5-F400-471A-82B2-8BD7EFAB0367}"/>
</file>

<file path=customXml/itemProps3.xml><?xml version="1.0" encoding="utf-8"?>
<ds:datastoreItem xmlns:ds="http://schemas.openxmlformats.org/officeDocument/2006/customXml" ds:itemID="{E6F35B75-5CA4-479D-BB4C-322A3E5827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F8C458-5E42-4909-9503-36818FF55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6010</Words>
  <Characters>34263</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lpstr>
    </vt:vector>
  </TitlesOfParts>
  <Company>UNDP</Company>
  <LinksUpToDate>false</LinksUpToDate>
  <CharactersWithSpaces>40193</CharactersWithSpaces>
  <SharedDoc>false</SharedDoc>
  <HLinks>
    <vt:vector size="18" baseType="variant">
      <vt:variant>
        <vt:i4>655430</vt:i4>
      </vt:variant>
      <vt:variant>
        <vt:i4>6</vt:i4>
      </vt:variant>
      <vt:variant>
        <vt:i4>0</vt:i4>
      </vt:variant>
      <vt:variant>
        <vt:i4>5</vt:i4>
      </vt:variant>
      <vt:variant>
        <vt:lpwstr>http://mdtf.undp.org/</vt:lpwstr>
      </vt:variant>
      <vt:variant>
        <vt:lpwstr/>
      </vt:variant>
      <vt:variant>
        <vt:i4>655430</vt:i4>
      </vt:variant>
      <vt:variant>
        <vt:i4>3</vt:i4>
      </vt:variant>
      <vt:variant>
        <vt:i4>0</vt:i4>
      </vt:variant>
      <vt:variant>
        <vt:i4>5</vt:i4>
      </vt:variant>
      <vt:variant>
        <vt:lpwstr>http://mdtf.undp.org/</vt:lpwstr>
      </vt:variant>
      <vt:variant>
        <vt:lpwstr/>
      </vt:variant>
      <vt:variant>
        <vt:i4>655430</vt:i4>
      </vt:variant>
      <vt:variant>
        <vt:i4>0</vt:i4>
      </vt:variant>
      <vt:variant>
        <vt:i4>0</vt:i4>
      </vt:variant>
      <vt:variant>
        <vt:i4>5</vt:i4>
      </vt:variant>
      <vt:variant>
        <vt:lpwstr>http://mdtf.undp.org/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Dalia</dc:creator>
  <cp:keywords/>
  <cp:lastModifiedBy>Mari Matsumoto</cp:lastModifiedBy>
  <cp:revision>3</cp:revision>
  <cp:lastPrinted>2012-11-28T15:52:00Z</cp:lastPrinted>
  <dcterms:created xsi:type="dcterms:W3CDTF">2020-05-28T22:03:00Z</dcterms:created>
  <dcterms:modified xsi:type="dcterms:W3CDTF">2020-05-28T22:04:00Z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0x010100F075C04BA242A84ABD3293E3AD35CDA400D1AAAE7E6891974D9C8CF00BB14F0F79</vt:lpwstr>
  </property>
</Properties>
</file>