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5009" w14:textId="77777777" w:rsidR="00F004BF" w:rsidRPr="00627A1C" w:rsidRDefault="00F004BF" w:rsidP="00F004BF">
      <w:pPr>
        <w:rPr>
          <w:b/>
        </w:rPr>
      </w:pPr>
    </w:p>
    <w:p w14:paraId="68571DCB" w14:textId="77777777" w:rsidR="00F004BF" w:rsidRPr="00136BFF" w:rsidRDefault="00F004BF" w:rsidP="00F004BF">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Pr="000F43A8">
        <w:rPr>
          <w:spacing w:val="-3"/>
          <w:lang w:val="fr-FR"/>
        </w:rPr>
        <w:tab/>
      </w:r>
      <w:r w:rsidRPr="00136BFF">
        <w:rPr>
          <w:b/>
          <w:lang w:val="fr-FR"/>
        </w:rPr>
        <w:t>RAPPORT DE PROGRES DE PROJET PBF</w:t>
      </w:r>
    </w:p>
    <w:p w14:paraId="711EDB3F" w14:textId="77777777" w:rsidR="00F004BF" w:rsidRPr="00136BFF" w:rsidRDefault="00825948" w:rsidP="00F004BF">
      <w:pPr>
        <w:jc w:val="center"/>
        <w:rPr>
          <w:b/>
          <w:bCs/>
          <w:caps/>
          <w:lang w:val="fr-FR"/>
        </w:rPr>
      </w:pPr>
      <w:r w:rsidRPr="00136BFF">
        <w:rPr>
          <w:b/>
          <w:bCs/>
          <w:caps/>
          <w:lang w:val="fr-FR"/>
        </w:rPr>
        <w:t>PAYS :</w:t>
      </w:r>
      <w:r w:rsidR="00F004BF" w:rsidRPr="00136BFF">
        <w:rPr>
          <w:bCs/>
          <w:iCs/>
          <w:snapToGrid w:val="0"/>
          <w:szCs w:val="28"/>
          <w:lang w:val="fr-FR"/>
        </w:rPr>
        <w:t xml:space="preserve"> </w:t>
      </w:r>
      <w:r w:rsidR="00F004BF" w:rsidRPr="00753190">
        <w:rPr>
          <w:lang w:val="fr-FR"/>
        </w:rPr>
        <w:t>REPUBLIQUE CENTRAFRICAINE</w:t>
      </w:r>
    </w:p>
    <w:p w14:paraId="47CDEC4F" w14:textId="7DE43CDD" w:rsidR="00F004BF" w:rsidRPr="00126D9D" w:rsidRDefault="00F004BF" w:rsidP="00F004BF">
      <w:pPr>
        <w:jc w:val="center"/>
        <w:rPr>
          <w:b/>
          <w:bCs/>
          <w:caps/>
          <w:sz w:val="22"/>
          <w:szCs w:val="22"/>
          <w:lang w:val="fr-FR"/>
        </w:rPr>
      </w:pPr>
      <w:r w:rsidRPr="001948EA">
        <w:rPr>
          <w:b/>
          <w:bCs/>
          <w:caps/>
          <w:sz w:val="22"/>
          <w:szCs w:val="22"/>
          <w:lang w:val="fr-FR"/>
        </w:rPr>
        <w:t>TYPE DE RAPPORT : SEMESTRIEL, annuEl OU FINAL</w:t>
      </w:r>
      <w:proofErr w:type="gramStart"/>
      <w:r w:rsidRPr="001948EA">
        <w:rPr>
          <w:b/>
          <w:bCs/>
          <w:caps/>
          <w:sz w:val="22"/>
          <w:szCs w:val="22"/>
          <w:lang w:val="fr-FR"/>
        </w:rPr>
        <w:t> </w:t>
      </w:r>
      <w:r w:rsidR="00126D9D" w:rsidRPr="001948EA">
        <w:rPr>
          <w:b/>
          <w:bCs/>
          <w:caps/>
          <w:sz w:val="22"/>
          <w:szCs w:val="22"/>
          <w:lang w:val="fr-FR"/>
        </w:rPr>
        <w:t>:</w:t>
      </w:r>
      <w:r w:rsidR="006C5937" w:rsidRPr="008F2372">
        <w:rPr>
          <w:b/>
          <w:sz w:val="22"/>
          <w:szCs w:val="22"/>
          <w:lang w:val="fr-FR"/>
        </w:rPr>
        <w:t>A</w:t>
      </w:r>
      <w:r w:rsidR="006C5937">
        <w:rPr>
          <w:b/>
          <w:sz w:val="22"/>
          <w:szCs w:val="22"/>
          <w:lang w:val="fr-FR"/>
        </w:rPr>
        <w:t>NNUEL</w:t>
      </w:r>
      <w:proofErr w:type="gramEnd"/>
    </w:p>
    <w:p w14:paraId="41EF663F" w14:textId="77777777" w:rsidR="00F004BF" w:rsidRDefault="00F004BF" w:rsidP="00F004BF">
      <w:pPr>
        <w:jc w:val="center"/>
        <w:rPr>
          <w:bCs/>
          <w:iCs/>
          <w:snapToGrid w:val="0"/>
          <w:szCs w:val="28"/>
        </w:rPr>
      </w:pPr>
      <w:r>
        <w:rPr>
          <w:b/>
          <w:bCs/>
          <w:caps/>
        </w:rPr>
        <w:t xml:space="preserve">ANNEE DE RAPPORT: </w:t>
      </w:r>
      <w:r w:rsidRPr="00636E71">
        <w:rPr>
          <w:b/>
          <w:iCs/>
          <w:snapToGrid w:val="0"/>
          <w:szCs w:val="28"/>
        </w:rPr>
        <w:t>2020</w:t>
      </w:r>
    </w:p>
    <w:tbl>
      <w:tblPr>
        <w:tblpPr w:leftFromText="141" w:rightFromText="141" w:vertAnchor="text" w:horzAnchor="margin" w:tblpXSpec="center" w:tblpY="149"/>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0"/>
        <w:gridCol w:w="6812"/>
        <w:gridCol w:w="23"/>
      </w:tblGrid>
      <w:tr w:rsidR="008F684C" w:rsidRPr="002E41B3" w14:paraId="55867723" w14:textId="77777777" w:rsidTr="008F684C">
        <w:trPr>
          <w:trHeight w:val="403"/>
        </w:trPr>
        <w:tc>
          <w:tcPr>
            <w:tcW w:w="10735" w:type="dxa"/>
            <w:gridSpan w:val="3"/>
          </w:tcPr>
          <w:p w14:paraId="68F9C93B" w14:textId="77777777" w:rsidR="006C5937" w:rsidRDefault="008F684C" w:rsidP="006C5937">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 </w:t>
            </w:r>
            <w:r w:rsidRPr="00636E71">
              <w:rPr>
                <w:rFonts w:ascii="Times New Roman" w:hAnsi="Times New Roman" w:cs="Times New Roman"/>
                <w:b/>
                <w:sz w:val="24"/>
                <w:szCs w:val="24"/>
                <w:lang w:val="fr-FR"/>
              </w:rPr>
              <w:t xml:space="preserve">PROJET D’APPUI AUX VICTIMES ET AUX POPULATIONS </w:t>
            </w:r>
            <w:r w:rsidR="006C5937">
              <w:rPr>
                <w:rFonts w:ascii="Times New Roman" w:hAnsi="Times New Roman" w:cs="Times New Roman"/>
                <w:b/>
                <w:sz w:val="24"/>
                <w:szCs w:val="24"/>
                <w:lang w:val="fr-FR"/>
              </w:rPr>
              <w:t xml:space="preserve">  </w:t>
            </w:r>
          </w:p>
          <w:p w14:paraId="63B0B9E8" w14:textId="158728BF" w:rsidR="008F684C" w:rsidRPr="00136BFF" w:rsidRDefault="006C5937" w:rsidP="00636E71">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8F684C" w:rsidRPr="00636E71">
              <w:rPr>
                <w:rFonts w:ascii="Times New Roman" w:hAnsi="Times New Roman" w:cs="Times New Roman"/>
                <w:b/>
                <w:sz w:val="24"/>
                <w:szCs w:val="24"/>
                <w:lang w:val="fr-FR"/>
              </w:rPr>
              <w:t>CENTRAFRICAINES POUR ACCEDER A LA JUSTICE ET A LA VERITE</w:t>
            </w:r>
          </w:p>
          <w:p w14:paraId="0DD8E99A" w14:textId="77777777" w:rsidR="008F684C" w:rsidRPr="000E4E78" w:rsidRDefault="008F684C" w:rsidP="008F684C">
            <w:pPr>
              <w:rPr>
                <w:b/>
                <w:lang w:val="en-CA"/>
              </w:rPr>
            </w:pPr>
            <w:proofErr w:type="spellStart"/>
            <w:r w:rsidRPr="000E4E78">
              <w:rPr>
                <w:b/>
                <w:lang w:val="en-CA"/>
              </w:rPr>
              <w:t>Numéro</w:t>
            </w:r>
            <w:proofErr w:type="spellEnd"/>
            <w:r w:rsidRPr="000E4E78">
              <w:rPr>
                <w:b/>
                <w:lang w:val="en-CA"/>
              </w:rPr>
              <w:t xml:space="preserve"> </w:t>
            </w:r>
            <w:proofErr w:type="spellStart"/>
            <w:r w:rsidRPr="000E4E78">
              <w:rPr>
                <w:b/>
                <w:lang w:val="en-CA"/>
              </w:rPr>
              <w:t>Projet</w:t>
            </w:r>
            <w:proofErr w:type="spellEnd"/>
            <w:r w:rsidRPr="000E4E78">
              <w:rPr>
                <w:b/>
                <w:lang w:val="en-CA"/>
              </w:rPr>
              <w:t xml:space="preserve"> / MPTF Gateway: PBF-CA</w:t>
            </w:r>
            <w:r>
              <w:rPr>
                <w:b/>
                <w:lang w:val="en-CA"/>
              </w:rPr>
              <w:t>F-A9/</w:t>
            </w:r>
            <w:r>
              <w:rPr>
                <w:b/>
              </w:rPr>
              <w:t>00116887</w:t>
            </w:r>
          </w:p>
        </w:tc>
      </w:tr>
      <w:tr w:rsidR="008F684C" w:rsidRPr="00636E71" w14:paraId="2A2F502B" w14:textId="77777777" w:rsidTr="008F684C">
        <w:trPr>
          <w:gridAfter w:val="1"/>
          <w:wAfter w:w="23" w:type="dxa"/>
          <w:trHeight w:val="403"/>
        </w:trPr>
        <w:tc>
          <w:tcPr>
            <w:tcW w:w="3900" w:type="dxa"/>
          </w:tcPr>
          <w:p w14:paraId="22954A6A" w14:textId="77777777" w:rsidR="008F684C" w:rsidRPr="0069221B"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 </w:t>
            </w:r>
          </w:p>
          <w:p w14:paraId="54549009" w14:textId="77777777" w:rsidR="008F684C" w:rsidRPr="0069221B" w:rsidRDefault="008F684C" w:rsidP="008F684C">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869AD">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4B2686B4" w14:textId="77777777" w:rsidR="008F684C" w:rsidRDefault="008F684C" w:rsidP="008F684C">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869A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200A94A3" w14:textId="77777777" w:rsidR="008F684C" w:rsidRPr="0069221B" w:rsidRDefault="008F684C" w:rsidP="008F684C">
            <w:pPr>
              <w:tabs>
                <w:tab w:val="left" w:pos="0"/>
              </w:tabs>
              <w:suppressAutoHyphens/>
              <w:rPr>
                <w:b/>
                <w:lang w:val="fr-FR"/>
              </w:rPr>
            </w:pPr>
          </w:p>
          <w:p w14:paraId="50F5049C" w14:textId="77777777" w:rsidR="008F684C" w:rsidRPr="0069221B"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 </w:t>
            </w:r>
            <w:r>
              <w:rPr>
                <w:bCs/>
                <w:iCs/>
                <w:snapToGrid w:val="0"/>
                <w:szCs w:val="28"/>
              </w:rPr>
              <w:fldChar w:fldCharType="begin">
                <w:ffData>
                  <w:name w:val=""/>
                  <w:enabled/>
                  <w:calcOnExit w:val="0"/>
                  <w:textInput>
                    <w:format w:val="Première majuscule"/>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snapToGrid w:val="0"/>
                <w:szCs w:val="28"/>
              </w:rPr>
              <w:fldChar w:fldCharType="end"/>
            </w:r>
          </w:p>
          <w:p w14:paraId="62BEB4E1" w14:textId="77777777" w:rsidR="008F684C" w:rsidRPr="00627A1C" w:rsidRDefault="008F684C" w:rsidP="008F684C">
            <w:pPr>
              <w:tabs>
                <w:tab w:val="left" w:pos="0"/>
              </w:tabs>
              <w:suppressAutoHyphens/>
              <w:jc w:val="both"/>
              <w:rPr>
                <w:b/>
              </w:rPr>
            </w:pPr>
          </w:p>
        </w:tc>
        <w:tc>
          <w:tcPr>
            <w:tcW w:w="6812" w:type="dxa"/>
          </w:tcPr>
          <w:p w14:paraId="492DFE45" w14:textId="77777777" w:rsidR="008F684C" w:rsidRPr="000F43A8" w:rsidRDefault="008F684C" w:rsidP="008F684C">
            <w:pPr>
              <w:rPr>
                <w:b/>
                <w:bCs/>
                <w:iCs/>
                <w:lang w:val="fr-FR"/>
              </w:rPr>
            </w:pPr>
            <w:r w:rsidRPr="000F43A8">
              <w:rPr>
                <w:b/>
                <w:bCs/>
                <w:iCs/>
                <w:lang w:val="fr-FR"/>
              </w:rPr>
              <w:t xml:space="preserve">Type et nom d’agence récipiendaire : </w:t>
            </w:r>
          </w:p>
          <w:p w14:paraId="04807171" w14:textId="77777777" w:rsidR="008F684C" w:rsidRPr="000F43A8" w:rsidRDefault="008F684C" w:rsidP="008F684C">
            <w:pPr>
              <w:rPr>
                <w:b/>
                <w:bCs/>
                <w:iCs/>
                <w:lang w:val="fr-FR"/>
              </w:rPr>
            </w:pPr>
          </w:p>
          <w:p w14:paraId="4E8C9D65" w14:textId="77777777" w:rsidR="008F684C" w:rsidRPr="00825948" w:rsidRDefault="008F684C" w:rsidP="008F684C">
            <w:pPr>
              <w:pStyle w:val="BalloonText"/>
              <w:numPr>
                <w:ilvl w:val="12"/>
                <w:numId w:val="0"/>
              </w:numPr>
              <w:tabs>
                <w:tab w:val="left" w:pos="-720"/>
                <w:tab w:val="left" w:pos="4500"/>
              </w:tabs>
              <w:ind w:left="5760" w:hanging="5760"/>
              <w:rPr>
                <w:rFonts w:ascii="Times New Roman" w:hAnsi="Times New Roman" w:cs="Times New Roman"/>
                <w:b/>
                <w:sz w:val="24"/>
                <w:szCs w:val="24"/>
                <w:lang w:val="fr-FR"/>
              </w:rPr>
            </w:pPr>
            <w:r w:rsidRPr="00270874">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825948">
              <w:rPr>
                <w:rFonts w:ascii="Times New Roman" w:hAnsi="Times New Roman" w:cs="Times New Roman"/>
                <w:b/>
                <w:sz w:val="24"/>
                <w:szCs w:val="24"/>
                <w:lang w:val="fr-FR"/>
              </w:rPr>
              <w:instrText xml:space="preserve"> FORMDROPDOWN </w:instrText>
            </w:r>
            <w:r w:rsidR="004869AD">
              <w:rPr>
                <w:rFonts w:ascii="Times New Roman" w:hAnsi="Times New Roman" w:cs="Times New Roman"/>
                <w:b/>
                <w:sz w:val="24"/>
                <w:szCs w:val="24"/>
              </w:rPr>
            </w:r>
            <w:r w:rsidR="004869AD">
              <w:rPr>
                <w:rFonts w:ascii="Times New Roman" w:hAnsi="Times New Roman" w:cs="Times New Roman"/>
                <w:b/>
                <w:sz w:val="24"/>
                <w:szCs w:val="24"/>
              </w:rPr>
              <w:fldChar w:fldCharType="separate"/>
            </w:r>
            <w:r w:rsidRPr="00270874">
              <w:rPr>
                <w:rFonts w:ascii="Times New Roman" w:hAnsi="Times New Roman" w:cs="Times New Roman"/>
                <w:b/>
                <w:sz w:val="24"/>
                <w:szCs w:val="24"/>
              </w:rPr>
              <w:fldChar w:fldCharType="end"/>
            </w:r>
            <w:r w:rsidRPr="00825948">
              <w:rPr>
                <w:rFonts w:ascii="Times New Roman" w:hAnsi="Times New Roman" w:cs="Times New Roman"/>
                <w:b/>
                <w:sz w:val="24"/>
                <w:szCs w:val="24"/>
                <w:lang w:val="fr-FR"/>
              </w:rPr>
              <w:t xml:space="preserve">     PNUD (Agence coordinatrice)</w:t>
            </w:r>
          </w:p>
          <w:p w14:paraId="037EFF04" w14:textId="77777777" w:rsidR="008F684C" w:rsidRPr="00825948"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r w:rsidRPr="00270874">
              <w:rPr>
                <w:rFonts w:ascii="Times New Roman" w:hAnsi="Times New Roman" w:cs="Times New Roman"/>
                <w:b/>
                <w:sz w:val="24"/>
                <w:szCs w:val="24"/>
              </w:rPr>
              <w:fldChar w:fldCharType="begin">
                <w:ffData>
                  <w:name w:val=""/>
                  <w:enabled/>
                  <w:calcOnExit/>
                  <w:ddList>
                    <w:listEntry w:val="RUNO"/>
                    <w:listEntry w:val="Veuillez sélectionner"/>
                    <w:listEntry w:val="NUNO"/>
                  </w:ddList>
                </w:ffData>
              </w:fldChar>
            </w:r>
            <w:r w:rsidRPr="00825948">
              <w:rPr>
                <w:rFonts w:ascii="Times New Roman" w:hAnsi="Times New Roman" w:cs="Times New Roman"/>
                <w:b/>
                <w:sz w:val="24"/>
                <w:szCs w:val="24"/>
                <w:lang w:val="fr-FR"/>
              </w:rPr>
              <w:instrText xml:space="preserve"> FORMDROPDOWN </w:instrText>
            </w:r>
            <w:r w:rsidR="004869AD">
              <w:rPr>
                <w:rFonts w:ascii="Times New Roman" w:hAnsi="Times New Roman" w:cs="Times New Roman"/>
                <w:b/>
                <w:sz w:val="24"/>
                <w:szCs w:val="24"/>
              </w:rPr>
            </w:r>
            <w:r w:rsidR="004869AD">
              <w:rPr>
                <w:rFonts w:ascii="Times New Roman" w:hAnsi="Times New Roman" w:cs="Times New Roman"/>
                <w:b/>
                <w:sz w:val="24"/>
                <w:szCs w:val="24"/>
              </w:rPr>
              <w:fldChar w:fldCharType="separate"/>
            </w:r>
            <w:r w:rsidRPr="00270874">
              <w:rPr>
                <w:rFonts w:ascii="Times New Roman" w:hAnsi="Times New Roman" w:cs="Times New Roman"/>
                <w:b/>
                <w:sz w:val="24"/>
                <w:szCs w:val="24"/>
              </w:rPr>
              <w:fldChar w:fldCharType="end"/>
            </w:r>
            <w:r w:rsidRPr="00825948">
              <w:rPr>
                <w:rFonts w:ascii="Times New Roman" w:hAnsi="Times New Roman" w:cs="Times New Roman"/>
                <w:b/>
                <w:sz w:val="24"/>
                <w:szCs w:val="24"/>
                <w:lang w:val="fr-FR"/>
              </w:rPr>
              <w:t xml:space="preserve">     ONU Femmes</w:t>
            </w:r>
          </w:p>
          <w:p w14:paraId="3A09EF55" w14:textId="77777777" w:rsidR="008F684C" w:rsidRPr="00825948" w:rsidRDefault="008F684C" w:rsidP="008F684C">
            <w:pPr>
              <w:pStyle w:val="BalloonText"/>
              <w:numPr>
                <w:ilvl w:val="12"/>
                <w:numId w:val="0"/>
              </w:numPr>
              <w:tabs>
                <w:tab w:val="left" w:pos="-720"/>
                <w:tab w:val="left" w:pos="4500"/>
              </w:tabs>
              <w:rPr>
                <w:rFonts w:ascii="Times New Roman" w:hAnsi="Times New Roman" w:cs="Times New Roman"/>
                <w:b/>
                <w:sz w:val="24"/>
                <w:szCs w:val="24"/>
                <w:lang w:val="fr-FR"/>
              </w:rPr>
            </w:pPr>
          </w:p>
        </w:tc>
      </w:tr>
      <w:tr w:rsidR="008F684C" w:rsidRPr="00BA3088" w14:paraId="5FBCD540" w14:textId="77777777" w:rsidTr="008F684C">
        <w:trPr>
          <w:trHeight w:val="351"/>
        </w:trPr>
        <w:tc>
          <w:tcPr>
            <w:tcW w:w="10735" w:type="dxa"/>
            <w:gridSpan w:val="3"/>
          </w:tcPr>
          <w:p w14:paraId="7423559D" w14:textId="5F0405E5" w:rsidR="008F684C" w:rsidRPr="000F43A8" w:rsidRDefault="008F684C" w:rsidP="008F684C">
            <w:pPr>
              <w:rPr>
                <w:b/>
                <w:bCs/>
                <w:iCs/>
                <w:lang w:val="fr-FR"/>
              </w:rPr>
            </w:pPr>
            <w:r w:rsidRPr="001D7A66">
              <w:rPr>
                <w:b/>
                <w:bCs/>
                <w:iCs/>
                <w:lang w:val="fr-FR"/>
              </w:rPr>
              <w:t xml:space="preserve">Date du premier transfert de fonds : </w:t>
            </w:r>
            <w:r>
              <w:rPr>
                <w:bCs/>
                <w:iCs/>
                <w:lang w:val="fr-FR"/>
              </w:rPr>
              <w:t>22</w:t>
            </w:r>
            <w:r w:rsidRPr="001D7A66">
              <w:rPr>
                <w:bCs/>
                <w:iCs/>
                <w:lang w:val="fr-FR"/>
              </w:rPr>
              <w:t xml:space="preserve"> juillet 2019</w:t>
            </w:r>
          </w:p>
          <w:p w14:paraId="0A9859A1" w14:textId="77777777" w:rsidR="008F684C" w:rsidRPr="000F43A8" w:rsidRDefault="008F684C" w:rsidP="008F684C">
            <w:pPr>
              <w:rPr>
                <w:bCs/>
                <w:iCs/>
                <w:snapToGrid w:val="0"/>
                <w:lang w:val="fr-FR"/>
              </w:rPr>
            </w:pPr>
            <w:r w:rsidRPr="000F43A8">
              <w:rPr>
                <w:b/>
                <w:bCs/>
                <w:iCs/>
                <w:lang w:val="fr-FR"/>
              </w:rPr>
              <w:t xml:space="preserve">Date de fin de projet : </w:t>
            </w:r>
            <w:r>
              <w:rPr>
                <w:bCs/>
                <w:iCs/>
                <w:snapToGrid w:val="0"/>
                <w:lang w:val="fr-FR"/>
              </w:rPr>
              <w:t>19</w:t>
            </w:r>
            <w:r w:rsidRPr="00D53328">
              <w:rPr>
                <w:bCs/>
                <w:iCs/>
                <w:snapToGrid w:val="0"/>
                <w:lang w:val="fr-FR"/>
              </w:rPr>
              <w:t xml:space="preserve"> juillet 2021</w:t>
            </w:r>
            <w:r w:rsidRPr="000F43A8">
              <w:rPr>
                <w:bCs/>
                <w:iCs/>
                <w:snapToGrid w:val="0"/>
                <w:lang w:val="fr-FR"/>
              </w:rPr>
              <w:t xml:space="preserve">     </w:t>
            </w:r>
          </w:p>
          <w:p w14:paraId="11B3370E" w14:textId="77777777" w:rsidR="008F684C" w:rsidRPr="00BF4E1E" w:rsidRDefault="008F684C" w:rsidP="008F684C">
            <w:pPr>
              <w:rPr>
                <w:bCs/>
                <w:iCs/>
                <w:snapToGrid w:val="0"/>
                <w:lang w:val="fr-FR"/>
              </w:rPr>
            </w:pPr>
            <w:r w:rsidRPr="000F43A8">
              <w:rPr>
                <w:b/>
                <w:iCs/>
                <w:snapToGrid w:val="0"/>
                <w:lang w:val="fr-FR"/>
              </w:rPr>
              <w:t>Le projet est-il dans ces six derniers mois de mise en œuvre ?</w:t>
            </w:r>
            <w:r w:rsidRPr="000F43A8">
              <w:rPr>
                <w:bCs/>
                <w:iCs/>
                <w:snapToGrid w:val="0"/>
                <w:lang w:val="fr-FR"/>
              </w:rPr>
              <w:t xml:space="preserve"> </w:t>
            </w:r>
            <w:r>
              <w:rPr>
                <w:bCs/>
                <w:iCs/>
                <w:snapToGrid w:val="0"/>
              </w:rPr>
              <w:t>Non</w:t>
            </w:r>
          </w:p>
          <w:p w14:paraId="2353C517" w14:textId="77777777" w:rsidR="008F684C" w:rsidRPr="000F43A8" w:rsidRDefault="008F684C" w:rsidP="008F684C">
            <w:pPr>
              <w:rPr>
                <w:b/>
                <w:bCs/>
                <w:iCs/>
                <w:lang w:val="fr-FR"/>
              </w:rPr>
            </w:pPr>
          </w:p>
        </w:tc>
      </w:tr>
      <w:tr w:rsidR="008F684C" w:rsidRPr="00627A1C" w14:paraId="033326AA" w14:textId="77777777" w:rsidTr="008F684C">
        <w:trPr>
          <w:trHeight w:val="351"/>
        </w:trPr>
        <w:tc>
          <w:tcPr>
            <w:tcW w:w="10735" w:type="dxa"/>
            <w:gridSpan w:val="3"/>
          </w:tcPr>
          <w:p w14:paraId="6A4DE68B" w14:textId="77777777" w:rsidR="008F684C" w:rsidRPr="005D721B" w:rsidRDefault="008F684C" w:rsidP="008F684C">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 xml:space="preserve"> :</w:t>
            </w:r>
          </w:p>
          <w:p w14:paraId="49924AB9" w14:textId="77777777" w:rsidR="008F684C" w:rsidRPr="005D721B"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869AD">
              <w:rPr>
                <w:lang w:val="fr-FR"/>
              </w:rPr>
            </w:r>
            <w:r w:rsidR="004869AD">
              <w:rPr>
                <w:lang w:val="fr-FR"/>
              </w:rPr>
              <w:fldChar w:fldCharType="separate"/>
            </w:r>
            <w:r w:rsidRPr="005D721B">
              <w:rPr>
                <w:lang w:val="fr-FR"/>
              </w:rPr>
              <w:fldChar w:fldCharType="end"/>
            </w:r>
            <w:r w:rsidRPr="005D721B">
              <w:rPr>
                <w:lang w:val="fr-FR"/>
              </w:rPr>
              <w:t xml:space="preserve"> Initiative de promotion du genre</w:t>
            </w:r>
          </w:p>
          <w:p w14:paraId="0C496816" w14:textId="77777777" w:rsidR="008F684C" w:rsidRPr="005D721B"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869AD">
              <w:rPr>
                <w:lang w:val="fr-FR"/>
              </w:rPr>
            </w:r>
            <w:r w:rsidR="004869AD">
              <w:rPr>
                <w:lang w:val="fr-FR"/>
              </w:rPr>
              <w:fldChar w:fldCharType="separate"/>
            </w:r>
            <w:r w:rsidRPr="005D721B">
              <w:rPr>
                <w:lang w:val="fr-FR"/>
              </w:rPr>
              <w:fldChar w:fldCharType="end"/>
            </w:r>
            <w:r w:rsidRPr="005D721B">
              <w:rPr>
                <w:lang w:val="fr-FR"/>
              </w:rPr>
              <w:t xml:space="preserve"> Initiative de promotion de la jeunesse</w:t>
            </w:r>
          </w:p>
          <w:p w14:paraId="772AD567" w14:textId="77777777" w:rsidR="008F684C" w:rsidRPr="005D721B" w:rsidRDefault="008F684C" w:rsidP="008F684C">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869AD">
              <w:rPr>
                <w:lang w:val="fr-FR"/>
              </w:rPr>
            </w:r>
            <w:r w:rsidR="004869A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4149C036" w14:textId="77777777" w:rsidR="008F684C" w:rsidRDefault="008F684C" w:rsidP="008F684C">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869AD">
              <w:rPr>
                <w:lang w:val="fr-FR"/>
              </w:rPr>
            </w:r>
            <w:r w:rsidR="004869AD">
              <w:rPr>
                <w:lang w:val="fr-FR"/>
              </w:rPr>
              <w:fldChar w:fldCharType="separate"/>
            </w:r>
            <w:r w:rsidRPr="005D721B">
              <w:rPr>
                <w:lang w:val="fr-FR"/>
              </w:rPr>
              <w:fldChar w:fldCharType="end"/>
            </w:r>
            <w:r w:rsidRPr="005D721B">
              <w:rPr>
                <w:lang w:val="fr-FR"/>
              </w:rPr>
              <w:t xml:space="preserve"> Projet transfrontalier ou régional</w:t>
            </w:r>
          </w:p>
          <w:p w14:paraId="455FB1C2" w14:textId="77777777" w:rsidR="008F684C" w:rsidRPr="00627A1C" w:rsidRDefault="008F684C" w:rsidP="008F684C">
            <w:pPr>
              <w:rPr>
                <w:b/>
                <w:bCs/>
                <w:iCs/>
              </w:rPr>
            </w:pPr>
          </w:p>
        </w:tc>
      </w:tr>
      <w:tr w:rsidR="008F684C" w:rsidRPr="003A2591" w14:paraId="7422ECD6" w14:textId="77777777" w:rsidTr="008F684C">
        <w:trPr>
          <w:trHeight w:val="1074"/>
        </w:trPr>
        <w:tc>
          <w:tcPr>
            <w:tcW w:w="10735" w:type="dxa"/>
            <w:gridSpan w:val="3"/>
          </w:tcPr>
          <w:p w14:paraId="5C5EEA4C" w14:textId="77777777" w:rsidR="008F684C" w:rsidRPr="000F43A8" w:rsidRDefault="008F684C" w:rsidP="008F684C">
            <w:pPr>
              <w:rPr>
                <w:b/>
                <w:bCs/>
                <w:iCs/>
                <w:lang w:val="fr-FR"/>
              </w:rPr>
            </w:pPr>
            <w:r w:rsidRPr="000F43A8">
              <w:rPr>
                <w:b/>
                <w:bCs/>
                <w:iCs/>
                <w:lang w:val="fr-FR"/>
              </w:rPr>
              <w:t>Budget PBF total approuvé (par agence récipiendaire</w:t>
            </w:r>
            <w:proofErr w:type="gramStart"/>
            <w:r w:rsidRPr="000F43A8">
              <w:rPr>
                <w:b/>
                <w:bCs/>
                <w:iCs/>
                <w:lang w:val="fr-FR"/>
              </w:rPr>
              <w:t>):</w:t>
            </w:r>
            <w:proofErr w:type="gramEnd"/>
            <w:r w:rsidRPr="000F43A8">
              <w:rPr>
                <w:b/>
                <w:bCs/>
                <w:iCs/>
                <w:lang w:val="fr-FR"/>
              </w:rPr>
              <w:t xml:space="preserve"> </w:t>
            </w:r>
          </w:p>
          <w:p w14:paraId="404F5BB3" w14:textId="77777777" w:rsidR="008F684C" w:rsidRPr="007C7B57" w:rsidRDefault="008F684C" w:rsidP="008F684C">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  </w:t>
            </w:r>
          </w:p>
          <w:bookmarkEnd w:id="0"/>
          <w:p w14:paraId="3F7DB6B2" w14:textId="77777777" w:rsidR="008F684C" w:rsidRPr="007C7B57" w:rsidRDefault="008F684C" w:rsidP="008F684C">
            <w:pPr>
              <w:rPr>
                <w:iCs/>
                <w:lang w:val="fr-FR"/>
              </w:rPr>
            </w:pPr>
            <w:r w:rsidRPr="00D53328">
              <w:rPr>
                <w:bCs/>
                <w:iCs/>
                <w:snapToGrid w:val="0"/>
                <w:lang w:val="fr-FR"/>
              </w:rPr>
              <w:t>PNUD</w:t>
            </w:r>
            <w:r w:rsidRPr="007C7B57">
              <w:rPr>
                <w:bCs/>
                <w:iCs/>
                <w:snapToGrid w:val="0"/>
                <w:lang w:val="fr-FR"/>
              </w:rPr>
              <w:t xml:space="preserve">   </w:t>
            </w:r>
            <w:r w:rsidRPr="007C7B57">
              <w:rPr>
                <w:b/>
                <w:bCs/>
                <w:iCs/>
                <w:lang w:val="fr-FR"/>
              </w:rPr>
              <w:t xml:space="preserve">                                                     </w:t>
            </w:r>
            <w:r w:rsidRPr="007C7B57">
              <w:rPr>
                <w:iCs/>
                <w:lang w:val="fr-FR"/>
              </w:rPr>
              <w:t xml:space="preserve">$ </w:t>
            </w:r>
            <w:r w:rsidRPr="008206E4">
              <w:rPr>
                <w:lang w:val="fr-FR"/>
              </w:rPr>
              <w:t>3,467,900</w:t>
            </w:r>
          </w:p>
          <w:p w14:paraId="54D6AE3E" w14:textId="77777777" w:rsidR="008F684C" w:rsidRPr="007C7B57" w:rsidRDefault="008F684C" w:rsidP="008F684C">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53328">
              <w:rPr>
                <w:rFonts w:ascii="Times New Roman" w:hAnsi="Times New Roman" w:cs="Times New Roman"/>
                <w:bCs/>
                <w:iCs/>
                <w:snapToGrid w:val="0"/>
                <w:sz w:val="24"/>
                <w:szCs w:val="24"/>
                <w:lang w:val="fr-FR"/>
              </w:rPr>
              <w:t>ONU Femmes</w:t>
            </w:r>
            <w:r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2C1683">
              <w:rPr>
                <w:rFonts w:ascii="Times New Roman" w:hAnsi="Times New Roman" w:cs="Times New Roman"/>
                <w:sz w:val="24"/>
                <w:szCs w:val="24"/>
                <w:lang w:val="fr-FR"/>
              </w:rPr>
              <w:t>1,032,100</w:t>
            </w:r>
          </w:p>
          <w:p w14:paraId="4AE769B9" w14:textId="2C1BA724" w:rsidR="008F684C" w:rsidRPr="008F2372" w:rsidRDefault="008F684C" w:rsidP="008F684C">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4364B2">
              <w:rPr>
                <w:rFonts w:ascii="Times New Roman" w:hAnsi="Times New Roman" w:cs="Times New Roman"/>
                <w:sz w:val="24"/>
                <w:szCs w:val="24"/>
                <w:lang w:val="fr-FR"/>
              </w:rPr>
              <w:t xml:space="preserve">Total : $ </w:t>
            </w:r>
            <w:r w:rsidRPr="008F2372">
              <w:rPr>
                <w:rFonts w:ascii="Times New Roman" w:hAnsi="Times New Roman" w:cs="Times New Roman"/>
                <w:bCs/>
                <w:iCs/>
                <w:snapToGrid w:val="0"/>
                <w:sz w:val="24"/>
                <w:szCs w:val="24"/>
                <w:lang w:val="fr-FR"/>
              </w:rPr>
              <w:t xml:space="preserve">4,500,000 </w:t>
            </w:r>
          </w:p>
          <w:p w14:paraId="2ACFB8F2" w14:textId="5175588E" w:rsidR="008F684C" w:rsidRPr="00A55FE1" w:rsidRDefault="008F684C" w:rsidP="008F684C">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8F2372">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8F2372">
              <w:rPr>
                <w:rFonts w:ascii="Times New Roman" w:hAnsi="Times New Roman" w:cs="Times New Roman"/>
                <w:bCs/>
                <w:iCs/>
                <w:snapToGrid w:val="0"/>
                <w:sz w:val="24"/>
                <w:szCs w:val="24"/>
                <w:lang w:val="fr-FR"/>
              </w:rPr>
              <w:t>projet:</w:t>
            </w:r>
            <w:proofErr w:type="gramEnd"/>
            <w:r w:rsidRPr="008F2372">
              <w:rPr>
                <w:rFonts w:ascii="Times New Roman" w:hAnsi="Times New Roman" w:cs="Times New Roman"/>
                <w:bCs/>
                <w:iCs/>
                <w:snapToGrid w:val="0"/>
                <w:sz w:val="24"/>
                <w:szCs w:val="24"/>
                <w:lang w:val="fr-FR"/>
              </w:rPr>
              <w:t xml:space="preserve"> </w:t>
            </w:r>
            <w:r w:rsidR="00FC6762" w:rsidRPr="008F2372">
              <w:rPr>
                <w:rFonts w:ascii="Times New Roman" w:hAnsi="Times New Roman" w:cs="Times New Roman"/>
                <w:bCs/>
                <w:iCs/>
                <w:snapToGrid w:val="0"/>
                <w:sz w:val="24"/>
                <w:szCs w:val="24"/>
                <w:lang w:val="fr-FR"/>
              </w:rPr>
              <w:t>27</w:t>
            </w:r>
            <w:r w:rsidRPr="004364B2">
              <w:rPr>
                <w:rFonts w:ascii="Times New Roman" w:hAnsi="Times New Roman" w:cs="Times New Roman"/>
                <w:bCs/>
                <w:iCs/>
                <w:snapToGrid w:val="0"/>
                <w:sz w:val="24"/>
                <w:szCs w:val="24"/>
                <w:lang w:val="fr-FR"/>
              </w:rPr>
              <w:t>%</w:t>
            </w:r>
          </w:p>
          <w:p w14:paraId="7DF6F47A" w14:textId="77777777" w:rsidR="008F684C" w:rsidRPr="00BF4E1E" w:rsidRDefault="008F684C" w:rsidP="008F684C">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060DE0FD" w14:textId="77777777" w:rsidR="008F684C" w:rsidRPr="000F43A8" w:rsidRDefault="008F684C" w:rsidP="008F684C">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 sensible au genre :</w:t>
            </w:r>
          </w:p>
          <w:p w14:paraId="5D7CF657" w14:textId="77777777" w:rsidR="008F684C" w:rsidRPr="00A55FE1" w:rsidRDefault="008F684C" w:rsidP="008F684C">
            <w:pPr>
              <w:rPr>
                <w:lang w:val="fr-FR"/>
              </w:rPr>
            </w:pPr>
            <w:r w:rsidRPr="00DD2FC8">
              <w:rPr>
                <w:lang w:val="fr-FR"/>
              </w:rPr>
              <w:t xml:space="preserve">Indiquez le montant ($) du budget dans le document de projet alloué aux activités dédiées à l’égalité des sexes ou à </w:t>
            </w:r>
            <w:r w:rsidRPr="00A55FE1">
              <w:rPr>
                <w:lang w:val="fr-FR"/>
              </w:rPr>
              <w:t xml:space="preserve">l’autonomisation des femmes : </w:t>
            </w:r>
            <w:r w:rsidRPr="00126D9D">
              <w:rPr>
                <w:bCs/>
                <w:lang w:val="fr-FR"/>
              </w:rPr>
              <w:t>37.50% soit $ 1,687,448.94</w:t>
            </w:r>
            <w:r w:rsidRPr="00A55FE1">
              <w:rPr>
                <w:bCs/>
                <w:lang w:val="fr-FR"/>
              </w:rPr>
              <w:t xml:space="preserve"> </w:t>
            </w:r>
          </w:p>
          <w:p w14:paraId="1E035CCC" w14:textId="77777777" w:rsidR="008F684C" w:rsidRPr="00A55FE1" w:rsidRDefault="008F684C" w:rsidP="008F684C">
            <w:pPr>
              <w:rPr>
                <w:lang w:val="fr-FR"/>
              </w:rPr>
            </w:pPr>
          </w:p>
          <w:p w14:paraId="020BB4E3" w14:textId="77777777" w:rsidR="008F684C" w:rsidRPr="00A55FE1" w:rsidRDefault="008F684C" w:rsidP="008F684C">
            <w:pPr>
              <w:rPr>
                <w:lang w:val="fr-FR"/>
              </w:rPr>
            </w:pPr>
            <w:bookmarkStart w:id="1" w:name="_GoBack"/>
            <w:r w:rsidRPr="00A55FE1">
              <w:rPr>
                <w:lang w:val="fr-FR"/>
              </w:rPr>
              <w:t xml:space="preserve">Indiquez le montant ($) du budget dépensé jusqu’à maintenant pour les activités dédiées à l’égalité des sexes ou à l’autonomisation des femmes : </w:t>
            </w:r>
            <w:bookmarkEnd w:id="1"/>
          </w:p>
          <w:p w14:paraId="1627137A" w14:textId="46096777" w:rsidR="008F684C" w:rsidRPr="000F43A8" w:rsidRDefault="002636E2" w:rsidP="008F684C">
            <w:pPr>
              <w:rPr>
                <w:lang w:val="fr-FR"/>
              </w:rPr>
            </w:pPr>
            <w:r>
              <w:rPr>
                <w:bCs/>
                <w:iCs/>
                <w:snapToGrid w:val="0"/>
                <w:lang w:val="fr-FR"/>
              </w:rPr>
              <w:t>560 142.91 USD</w:t>
            </w:r>
            <w:r w:rsidRPr="003A2591">
              <w:rPr>
                <w:bCs/>
                <w:iCs/>
                <w:snapToGrid w:val="0"/>
                <w:lang w:val="fr-FR"/>
              </w:rPr>
              <w:t xml:space="preserve"> </w:t>
            </w:r>
          </w:p>
        </w:tc>
      </w:tr>
      <w:tr w:rsidR="008F684C" w:rsidRPr="00DE1699" w14:paraId="348DBEB4" w14:textId="77777777" w:rsidTr="008F684C">
        <w:trPr>
          <w:trHeight w:val="1074"/>
        </w:trPr>
        <w:tc>
          <w:tcPr>
            <w:tcW w:w="10735" w:type="dxa"/>
            <w:gridSpan w:val="3"/>
          </w:tcPr>
          <w:p w14:paraId="7AE4C374" w14:textId="77777777" w:rsidR="008F684C" w:rsidRPr="000F43A8" w:rsidRDefault="008F684C" w:rsidP="008F684C">
            <w:pPr>
              <w:rPr>
                <w:b/>
                <w:bCs/>
                <w:iCs/>
                <w:lang w:val="fr-FR"/>
              </w:rPr>
            </w:pPr>
            <w:r w:rsidRPr="00DD2FC8">
              <w:rPr>
                <w:b/>
                <w:bCs/>
                <w:iCs/>
                <w:lang w:val="fr-FR"/>
              </w:rPr>
              <w:t>Marquer de genre du projet :</w:t>
            </w:r>
            <w:r w:rsidRPr="000F43A8">
              <w:rPr>
                <w:b/>
                <w:bCs/>
                <w:iCs/>
                <w:lang w:val="fr-FR"/>
              </w:rPr>
              <w:t xml:space="preserve"> </w:t>
            </w:r>
            <w:r>
              <w:rPr>
                <w:b/>
                <w:bCs/>
                <w:iCs/>
              </w:rPr>
              <w:fldChar w:fldCharType="begin">
                <w:ffData>
                  <w:name w:val="gendermarker"/>
                  <w:enabled/>
                  <w:calcOnExit w:val="0"/>
                  <w:ddList>
                    <w:listEntry w:val="GM2"/>
                    <w:listEntry w:val="Veuillez sélectionner"/>
                    <w:listEntry w:val="GM3"/>
                    <w:listEntry w:val="GM1"/>
                  </w:ddList>
                </w:ffData>
              </w:fldChar>
            </w:r>
            <w:bookmarkStart w:id="2" w:name="gendermarker"/>
            <w:r w:rsidRPr="00D53328">
              <w:rPr>
                <w:b/>
                <w:bCs/>
                <w:iCs/>
                <w:lang w:val="fr-FR"/>
              </w:rPr>
              <w:instrText xml:space="preserve"> FORMDROPDOWN </w:instrText>
            </w:r>
            <w:r w:rsidR="004869AD">
              <w:rPr>
                <w:b/>
                <w:bCs/>
                <w:iCs/>
              </w:rPr>
            </w:r>
            <w:r w:rsidR="004869AD">
              <w:rPr>
                <w:b/>
                <w:bCs/>
                <w:iCs/>
              </w:rPr>
              <w:fldChar w:fldCharType="separate"/>
            </w:r>
            <w:r>
              <w:rPr>
                <w:b/>
                <w:bCs/>
                <w:iCs/>
              </w:rPr>
              <w:fldChar w:fldCharType="end"/>
            </w:r>
            <w:bookmarkEnd w:id="2"/>
          </w:p>
          <w:p w14:paraId="352B20C4" w14:textId="77777777" w:rsidR="008F684C" w:rsidRPr="000F43A8" w:rsidRDefault="008F684C" w:rsidP="008F684C">
            <w:pPr>
              <w:rPr>
                <w:b/>
                <w:bCs/>
                <w:iCs/>
                <w:lang w:val="fr-FR"/>
              </w:rPr>
            </w:pPr>
            <w:r w:rsidRPr="000F43A8">
              <w:rPr>
                <w:b/>
                <w:bCs/>
                <w:iCs/>
                <w:lang w:val="fr-FR"/>
              </w:rPr>
              <w:t xml:space="preserve">Marquer de risque du projet : </w:t>
            </w:r>
            <w:r>
              <w:rPr>
                <w:b/>
                <w:bCs/>
                <w:iCs/>
              </w:rPr>
              <w:fldChar w:fldCharType="begin">
                <w:ffData>
                  <w:name w:val="riskmarker"/>
                  <w:enabled/>
                  <w:calcOnExit w:val="0"/>
                  <w:ddList>
                    <w:listEntry w:val="Élevé"/>
                    <w:listEntry w:val="Moyen"/>
                    <w:listEntry w:val="Veuillez sélectionner"/>
                    <w:listEntry w:val="Faible"/>
                  </w:ddList>
                </w:ffData>
              </w:fldChar>
            </w:r>
            <w:bookmarkStart w:id="3" w:name="riskmarker"/>
            <w:r w:rsidRPr="00D53328">
              <w:rPr>
                <w:b/>
                <w:bCs/>
                <w:iCs/>
                <w:lang w:val="fr-FR"/>
              </w:rPr>
              <w:instrText xml:space="preserve"> FORMDROPDOWN </w:instrText>
            </w:r>
            <w:r w:rsidR="004869AD">
              <w:rPr>
                <w:b/>
                <w:bCs/>
                <w:iCs/>
              </w:rPr>
            </w:r>
            <w:r w:rsidR="004869AD">
              <w:rPr>
                <w:b/>
                <w:bCs/>
                <w:iCs/>
              </w:rPr>
              <w:fldChar w:fldCharType="separate"/>
            </w:r>
            <w:r>
              <w:rPr>
                <w:b/>
                <w:bCs/>
                <w:iCs/>
              </w:rPr>
              <w:fldChar w:fldCharType="end"/>
            </w:r>
            <w:bookmarkEnd w:id="3"/>
          </w:p>
          <w:p w14:paraId="5294E122" w14:textId="77777777" w:rsidR="008F684C" w:rsidRPr="000F43A8" w:rsidRDefault="008F684C" w:rsidP="008F684C">
            <w:pPr>
              <w:rPr>
                <w:b/>
                <w:bCs/>
                <w:iCs/>
                <w:lang w:val="fr-FR"/>
              </w:rPr>
            </w:pPr>
            <w:r w:rsidRPr="0018069C">
              <w:rPr>
                <w:b/>
                <w:bCs/>
                <w:szCs w:val="22"/>
                <w:lang w:val="fr-FR"/>
              </w:rPr>
              <w:t xml:space="preserve">Domaine de priorité de l’intervention PBF (« PBF </w:t>
            </w:r>
            <w:r w:rsidRPr="0018069C">
              <w:rPr>
                <w:b/>
                <w:bCs/>
                <w:iCs/>
                <w:lang w:val="fr-FR"/>
              </w:rPr>
              <w:t>focus area ») :</w:t>
            </w:r>
            <w:r w:rsidRPr="000F43A8">
              <w:rPr>
                <w:b/>
                <w:bCs/>
                <w:iCs/>
                <w:lang w:val="fr-FR"/>
              </w:rPr>
              <w:t xml:space="preserve"> </w:t>
            </w:r>
            <w:r>
              <w:rPr>
                <w:b/>
                <w:bCs/>
                <w:iCs/>
              </w:rPr>
              <w:fldChar w:fldCharType="begin">
                <w:ffData>
                  <w:name w:val="focusarea"/>
                  <w:enabled/>
                  <w:calcOnExit w:val="0"/>
                  <w:ddList>
                    <w:listEntry w:val="(1.2) État de droit"/>
                    <w:listEntry w:val="Veuillez sélectionner"/>
                    <w:listEntry w:val="(1.1) Réforme du Secteur de la Sécurité"/>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4" w:name="focusarea"/>
            <w:r w:rsidRPr="00D53328">
              <w:rPr>
                <w:b/>
                <w:bCs/>
                <w:iCs/>
                <w:lang w:val="fr-FR"/>
              </w:rPr>
              <w:instrText xml:space="preserve"> FORMDROPDOWN </w:instrText>
            </w:r>
            <w:r w:rsidR="004869AD">
              <w:rPr>
                <w:b/>
                <w:bCs/>
                <w:iCs/>
              </w:rPr>
            </w:r>
            <w:r w:rsidR="004869AD">
              <w:rPr>
                <w:b/>
                <w:bCs/>
                <w:iCs/>
              </w:rPr>
              <w:fldChar w:fldCharType="separate"/>
            </w:r>
            <w:r>
              <w:rPr>
                <w:b/>
                <w:bCs/>
                <w:iCs/>
              </w:rPr>
              <w:fldChar w:fldCharType="end"/>
            </w:r>
            <w:bookmarkEnd w:id="4"/>
          </w:p>
        </w:tc>
      </w:tr>
      <w:tr w:rsidR="008F684C" w:rsidRPr="00DE1699" w14:paraId="202D3B01" w14:textId="77777777" w:rsidTr="008F684C">
        <w:trPr>
          <w:trHeight w:val="1074"/>
        </w:trPr>
        <w:tc>
          <w:tcPr>
            <w:tcW w:w="10735" w:type="dxa"/>
            <w:gridSpan w:val="3"/>
          </w:tcPr>
          <w:p w14:paraId="3CD9C1B4" w14:textId="77777777" w:rsidR="008F684C" w:rsidRPr="00136BFF" w:rsidRDefault="008F684C" w:rsidP="008F684C">
            <w:pPr>
              <w:rPr>
                <w:b/>
                <w:bCs/>
                <w:sz w:val="22"/>
                <w:lang w:val="fr-FR"/>
              </w:rPr>
            </w:pPr>
            <w:r w:rsidRPr="00136BFF">
              <w:rPr>
                <w:b/>
                <w:bCs/>
                <w:sz w:val="22"/>
                <w:lang w:val="fr-FR"/>
              </w:rPr>
              <w:t>Préparation du rapport :</w:t>
            </w:r>
          </w:p>
          <w:p w14:paraId="08E8E6B8" w14:textId="4A6B8F44" w:rsidR="008F684C" w:rsidRPr="00826923" w:rsidRDefault="008F684C" w:rsidP="008F684C">
            <w:pPr>
              <w:rPr>
                <w:lang w:val="fr-FR"/>
              </w:rPr>
            </w:pPr>
            <w:r w:rsidRPr="00826923">
              <w:rPr>
                <w:lang w:val="fr-FR"/>
              </w:rPr>
              <w:t xml:space="preserve">Rapport préparé par : </w:t>
            </w:r>
            <w:r>
              <w:rPr>
                <w:lang w:val="fr-FR"/>
              </w:rPr>
              <w:t>Florence Jolidon</w:t>
            </w:r>
            <w:r w:rsidR="00FC6762">
              <w:rPr>
                <w:lang w:val="fr-FR"/>
              </w:rPr>
              <w:t>, Ulrich Sandy et</w:t>
            </w:r>
            <w:r>
              <w:rPr>
                <w:lang w:val="fr-FR"/>
              </w:rPr>
              <w:t xml:space="preserve"> Antje Kraft</w:t>
            </w:r>
          </w:p>
          <w:p w14:paraId="69E7C987" w14:textId="77777777" w:rsidR="008F684C" w:rsidRPr="00826923" w:rsidRDefault="008F684C" w:rsidP="008F684C">
            <w:pPr>
              <w:rPr>
                <w:lang w:val="fr-FR"/>
              </w:rPr>
            </w:pPr>
            <w:r w:rsidRPr="00826923">
              <w:rPr>
                <w:lang w:val="fr-FR"/>
              </w:rPr>
              <w:t xml:space="preserve">Rapport approuvé par : </w:t>
            </w:r>
            <w:r>
              <w:rPr>
                <w:lang w:val="fr-FR"/>
              </w:rPr>
              <w:t>Natalie Boucly, RR PNUD</w:t>
            </w:r>
          </w:p>
          <w:p w14:paraId="7C2B3215" w14:textId="71D30DEE" w:rsidR="008F684C" w:rsidRPr="004364B2" w:rsidRDefault="008F684C" w:rsidP="008F684C">
            <w:pPr>
              <w:rPr>
                <w:lang w:val="fr-FR"/>
              </w:rPr>
            </w:pPr>
            <w:r w:rsidRPr="00826923">
              <w:rPr>
                <w:lang w:val="fr-FR"/>
              </w:rPr>
              <w:t>Le Secrétariat PBF a-t-il revu le rapport</w:t>
            </w:r>
            <w:r w:rsidRPr="00136BFF">
              <w:rPr>
                <w:sz w:val="22"/>
                <w:lang w:val="fr-FR"/>
              </w:rPr>
              <w:t xml:space="preserve"> : </w:t>
            </w:r>
            <w:r w:rsidR="00A039DD" w:rsidRPr="00636E71">
              <w:rPr>
                <w:b/>
                <w:bCs/>
                <w:lang w:val="fr-FR"/>
              </w:rPr>
              <w:t>Oui</w:t>
            </w:r>
          </w:p>
        </w:tc>
      </w:tr>
    </w:tbl>
    <w:p w14:paraId="183246AC" w14:textId="77777777" w:rsidR="00F004BF" w:rsidRPr="008F2372" w:rsidRDefault="00F004BF" w:rsidP="00F004BF">
      <w:pPr>
        <w:jc w:val="center"/>
        <w:rPr>
          <w:b/>
          <w:bCs/>
          <w:caps/>
          <w:lang w:val="fr-FR"/>
        </w:rPr>
      </w:pPr>
    </w:p>
    <w:p w14:paraId="4A895095" w14:textId="77777777" w:rsidR="00F004BF" w:rsidRPr="000F43A8" w:rsidRDefault="00F004BF" w:rsidP="00F004BF">
      <w:pPr>
        <w:rPr>
          <w:b/>
          <w:lang w:val="fr-FR"/>
        </w:rPr>
        <w:sectPr w:rsidR="00F004BF" w:rsidRPr="000F43A8" w:rsidSect="00F004BF">
          <w:headerReference w:type="default" r:id="rId8"/>
          <w:footerReference w:type="default" r:id="rId9"/>
          <w:pgSz w:w="11906" w:h="16838"/>
          <w:pgMar w:top="1440" w:right="1800" w:bottom="1440" w:left="1800" w:header="720" w:footer="720" w:gutter="0"/>
          <w:cols w:space="720"/>
          <w:docGrid w:linePitch="360"/>
        </w:sectPr>
      </w:pPr>
    </w:p>
    <w:p w14:paraId="10E550C7" w14:textId="77777777" w:rsidR="00F004BF" w:rsidRPr="00F778A1" w:rsidRDefault="00F004BF" w:rsidP="00F004BF">
      <w:pPr>
        <w:ind w:hanging="810"/>
        <w:jc w:val="both"/>
        <w:rPr>
          <w:b/>
          <w:i/>
          <w:iCs/>
          <w:lang w:val="fr-FR"/>
        </w:rPr>
      </w:pPr>
      <w:r w:rsidRPr="00F778A1">
        <w:rPr>
          <w:b/>
          <w:i/>
          <w:iCs/>
          <w:lang w:val="fr-FR"/>
        </w:rPr>
        <w:lastRenderedPageBreak/>
        <w:t xml:space="preserve">NOTES POUR REMPLIR LE </w:t>
      </w:r>
      <w:r w:rsidR="00825948" w:rsidRPr="00F778A1">
        <w:rPr>
          <w:b/>
          <w:i/>
          <w:iCs/>
          <w:lang w:val="fr-FR"/>
        </w:rPr>
        <w:t>RAPPORT :</w:t>
      </w:r>
    </w:p>
    <w:p w14:paraId="4858A44E" w14:textId="77777777" w:rsidR="00F004BF" w:rsidRPr="00F778A1" w:rsidRDefault="00F004BF" w:rsidP="00F004BF">
      <w:pPr>
        <w:numPr>
          <w:ilvl w:val="0"/>
          <w:numId w:val="44"/>
        </w:numPr>
        <w:ind w:left="-540"/>
        <w:jc w:val="both"/>
        <w:rPr>
          <w:i/>
          <w:iCs/>
          <w:lang w:val="fr-FR"/>
        </w:rPr>
      </w:pPr>
      <w:r w:rsidRPr="00F778A1">
        <w:rPr>
          <w:i/>
          <w:iCs/>
          <w:lang w:val="fr-FR"/>
        </w:rPr>
        <w:t>Évitez les acronymes et le jargon des Nations Unies, utilisez un langage général / commun.</w:t>
      </w:r>
    </w:p>
    <w:p w14:paraId="0BA41F27" w14:textId="77777777" w:rsidR="00F004BF" w:rsidRPr="00F778A1" w:rsidRDefault="00F004BF" w:rsidP="00F004BF">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24BD457" w14:textId="77777777" w:rsidR="00F004BF" w:rsidRPr="00BF4E1E" w:rsidRDefault="00F004BF" w:rsidP="00F004BF">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221DD7C9" w14:textId="77777777" w:rsidR="00F004BF" w:rsidRPr="00F778A1" w:rsidRDefault="00F004BF" w:rsidP="00F004BF">
      <w:pPr>
        <w:numPr>
          <w:ilvl w:val="0"/>
          <w:numId w:val="44"/>
        </w:numPr>
        <w:ind w:left="-810" w:hanging="90"/>
        <w:jc w:val="both"/>
        <w:rPr>
          <w:i/>
          <w:iCs/>
          <w:lang w:val="fr-FR"/>
        </w:rPr>
      </w:pPr>
      <w:r>
        <w:rPr>
          <w:i/>
          <w:iCs/>
          <w:lang w:val="fr-FR"/>
        </w:rPr>
        <w:t xml:space="preserve">    </w:t>
      </w:r>
      <w:r w:rsidRPr="00F778A1">
        <w:rPr>
          <w:i/>
          <w:iCs/>
          <w:lang w:val="fr-FR"/>
        </w:rPr>
        <w:t>Veillez à ce que l'analyse et l'évaluation des progrès du projet tiennent compte des spécificités du sexe et de l'âge.</w:t>
      </w:r>
    </w:p>
    <w:p w14:paraId="6DEC0D1D" w14:textId="77777777" w:rsidR="00F004BF" w:rsidRDefault="00F004BF" w:rsidP="00F004BF">
      <w:pPr>
        <w:rPr>
          <w:b/>
          <w:lang w:val="fr-FR"/>
        </w:rPr>
      </w:pPr>
    </w:p>
    <w:p w14:paraId="13BFFC3C" w14:textId="77777777" w:rsidR="00F004BF" w:rsidRDefault="00F004BF" w:rsidP="00F004BF">
      <w:pPr>
        <w:rPr>
          <w:b/>
          <w:lang w:val="fr-FR"/>
        </w:rPr>
      </w:pPr>
    </w:p>
    <w:p w14:paraId="473C5673" w14:textId="77777777" w:rsidR="00F004BF" w:rsidRPr="00476758" w:rsidRDefault="00F004BF" w:rsidP="00F004BF">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70CD4CA5" w14:textId="77777777" w:rsidR="00F004BF" w:rsidRPr="00F778A1" w:rsidRDefault="00F004BF" w:rsidP="00F004BF">
      <w:pPr>
        <w:rPr>
          <w:b/>
          <w:lang w:val="fr-FR"/>
        </w:rPr>
      </w:pPr>
    </w:p>
    <w:p w14:paraId="0F02521A" w14:textId="77777777" w:rsidR="001225A8" w:rsidRPr="00ED3C25" w:rsidRDefault="00F004BF" w:rsidP="001225A8">
      <w:pPr>
        <w:ind w:left="-810"/>
        <w:jc w:val="both"/>
        <w:rPr>
          <w:b/>
          <w:lang w:val="fr-FR"/>
        </w:rPr>
      </w:pPr>
      <w:r w:rsidRPr="00250C0A">
        <w:rPr>
          <w:b/>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D53328">
        <w:rPr>
          <w:b/>
          <w:lang w:val="fr-FR"/>
        </w:rPr>
        <w:t>(limite de 1500 caractères</w:t>
      </w:r>
      <w:proofErr w:type="gramStart"/>
      <w:r w:rsidRPr="00D53328">
        <w:rPr>
          <w:b/>
          <w:lang w:val="fr-FR"/>
        </w:rPr>
        <w:t>):</w:t>
      </w:r>
      <w:proofErr w:type="gramEnd"/>
      <w:r w:rsidRPr="00D53328">
        <w:rPr>
          <w:b/>
          <w:lang w:val="fr-FR"/>
        </w:rPr>
        <w:t xml:space="preserve"> </w:t>
      </w:r>
    </w:p>
    <w:p w14:paraId="6714622B" w14:textId="77777777" w:rsidR="00886FB0" w:rsidRDefault="00886FB0" w:rsidP="00473D3A">
      <w:pPr>
        <w:jc w:val="both"/>
        <w:rPr>
          <w:lang w:val="fr-FR"/>
        </w:rPr>
      </w:pPr>
    </w:p>
    <w:p w14:paraId="14070AB4" w14:textId="3E75F8D3" w:rsidR="00197745" w:rsidRPr="00D53328" w:rsidRDefault="00886FB0" w:rsidP="00197745">
      <w:pPr>
        <w:ind w:left="-810"/>
        <w:jc w:val="both"/>
        <w:rPr>
          <w:lang w:val="fr-FR"/>
        </w:rPr>
      </w:pPr>
      <w:r>
        <w:rPr>
          <w:lang w:val="fr-FR"/>
        </w:rPr>
        <w:t>L</w:t>
      </w:r>
      <w:r w:rsidR="00197745">
        <w:rPr>
          <w:lang w:val="fr-FR"/>
        </w:rPr>
        <w:t>'appui au</w:t>
      </w:r>
      <w:r w:rsidR="006F4D98">
        <w:rPr>
          <w:lang w:val="fr-FR"/>
        </w:rPr>
        <w:t xml:space="preserve">x partenaires du secteur de la justice et </w:t>
      </w:r>
      <w:r w:rsidR="00A039DD">
        <w:rPr>
          <w:lang w:val="fr-FR"/>
        </w:rPr>
        <w:t xml:space="preserve">de la </w:t>
      </w:r>
      <w:r w:rsidR="006F4D98">
        <w:rPr>
          <w:lang w:val="fr-FR"/>
        </w:rPr>
        <w:t xml:space="preserve">justice transitionnelle </w:t>
      </w:r>
      <w:r w:rsidR="00A039DD">
        <w:rPr>
          <w:lang w:val="fr-FR"/>
        </w:rPr>
        <w:t>a</w:t>
      </w:r>
      <w:r w:rsidR="006F4D98">
        <w:rPr>
          <w:lang w:val="fr-FR"/>
        </w:rPr>
        <w:t xml:space="preserve"> </w:t>
      </w:r>
      <w:r w:rsidR="00A039DD">
        <w:rPr>
          <w:lang w:val="fr-FR"/>
        </w:rPr>
        <w:t xml:space="preserve">favorisé </w:t>
      </w:r>
      <w:r w:rsidR="006F4D98">
        <w:rPr>
          <w:lang w:val="fr-FR"/>
        </w:rPr>
        <w:t xml:space="preserve">l’adoption et </w:t>
      </w:r>
      <w:r w:rsidR="00A039DD">
        <w:rPr>
          <w:lang w:val="fr-FR"/>
        </w:rPr>
        <w:t xml:space="preserve">la </w:t>
      </w:r>
      <w:r w:rsidR="006F4D98">
        <w:rPr>
          <w:lang w:val="fr-FR"/>
        </w:rPr>
        <w:t xml:space="preserve">mise en </w:t>
      </w:r>
      <w:proofErr w:type="spellStart"/>
      <w:r w:rsidR="006F4D98">
        <w:rPr>
          <w:lang w:val="fr-FR"/>
        </w:rPr>
        <w:t>oeuvre</w:t>
      </w:r>
      <w:proofErr w:type="spellEnd"/>
      <w:r w:rsidR="00197745">
        <w:rPr>
          <w:lang w:val="fr-FR"/>
        </w:rPr>
        <w:t xml:space="preserve"> de la Politique Sectorielle de Justice 2020-2024, la loi portant </w:t>
      </w:r>
      <w:r>
        <w:rPr>
          <w:lang w:val="fr-FR"/>
        </w:rPr>
        <w:t>sur</w:t>
      </w:r>
      <w:r w:rsidR="00197745">
        <w:rPr>
          <w:lang w:val="fr-FR"/>
        </w:rPr>
        <w:t xml:space="preserve"> l'aide légale et la loi sur la Commission Vérité, Justice, Réparation et Réconciliation (CVJRR). </w:t>
      </w:r>
      <w:r w:rsidR="00375775">
        <w:rPr>
          <w:lang w:val="fr-FR"/>
        </w:rPr>
        <w:t>Une Commission de Sélection des Commissaires a été établie et appuyé</w:t>
      </w:r>
      <w:r w:rsidR="00A039DD">
        <w:rPr>
          <w:lang w:val="fr-FR"/>
        </w:rPr>
        <w:t>e</w:t>
      </w:r>
      <w:r w:rsidR="00375775">
        <w:rPr>
          <w:lang w:val="fr-FR"/>
        </w:rPr>
        <w:t xml:space="preserve">, en vue de l’établissement de la CVJRR avant la fin </w:t>
      </w:r>
      <w:proofErr w:type="spellStart"/>
      <w:r w:rsidR="00375775">
        <w:rPr>
          <w:lang w:val="fr-FR"/>
        </w:rPr>
        <w:t>de</w:t>
      </w:r>
      <w:r w:rsidR="00A039DD">
        <w:rPr>
          <w:lang w:val="fr-FR"/>
        </w:rPr>
        <w:t>cette</w:t>
      </w:r>
      <w:proofErr w:type="spellEnd"/>
      <w:r w:rsidR="00A039DD">
        <w:rPr>
          <w:lang w:val="fr-FR"/>
        </w:rPr>
        <w:t xml:space="preserve"> </w:t>
      </w:r>
      <w:r w:rsidR="00375775">
        <w:rPr>
          <w:lang w:val="fr-FR"/>
        </w:rPr>
        <w:t>année.</w:t>
      </w:r>
    </w:p>
    <w:p w14:paraId="6D325143" w14:textId="77777777" w:rsidR="00197745" w:rsidRPr="00D53328" w:rsidRDefault="00197745" w:rsidP="00197745">
      <w:pPr>
        <w:ind w:left="-810"/>
        <w:jc w:val="both"/>
        <w:rPr>
          <w:lang w:val="fr-FR"/>
        </w:rPr>
      </w:pPr>
    </w:p>
    <w:p w14:paraId="3E64682F" w14:textId="0D5F9275" w:rsidR="00197745" w:rsidRDefault="00A27FF5" w:rsidP="00197745">
      <w:pPr>
        <w:ind w:left="-810"/>
        <w:jc w:val="both"/>
        <w:rPr>
          <w:lang w:val="fr-FR"/>
        </w:rPr>
      </w:pPr>
      <w:r w:rsidRPr="008F2372">
        <w:rPr>
          <w:lang w:val="fr-FR"/>
        </w:rPr>
        <w:t xml:space="preserve">L'appui du Projet s'est également porté sur les </w:t>
      </w:r>
      <w:r w:rsidR="00375775">
        <w:rPr>
          <w:lang w:val="fr-FR"/>
        </w:rPr>
        <w:t>ONGs</w:t>
      </w:r>
      <w:r w:rsidRPr="008F2372">
        <w:rPr>
          <w:lang w:val="fr-FR"/>
        </w:rPr>
        <w:t>, avec le renforcement des capacités et l'appui pour l'ouverture</w:t>
      </w:r>
      <w:r w:rsidR="006F4D98">
        <w:rPr>
          <w:lang w:val="fr-FR"/>
        </w:rPr>
        <w:t xml:space="preserve"> et</w:t>
      </w:r>
      <w:r w:rsidR="00A039DD">
        <w:rPr>
          <w:lang w:val="fr-FR"/>
        </w:rPr>
        <w:t xml:space="preserve"> le</w:t>
      </w:r>
      <w:r w:rsidR="006F4D98">
        <w:rPr>
          <w:lang w:val="fr-FR"/>
        </w:rPr>
        <w:t xml:space="preserve"> fonctionnement</w:t>
      </w:r>
      <w:r w:rsidRPr="008F2372">
        <w:rPr>
          <w:lang w:val="fr-FR"/>
        </w:rPr>
        <w:t xml:space="preserve"> de cliniques juridiques et </w:t>
      </w:r>
      <w:r w:rsidR="007F1C8E">
        <w:rPr>
          <w:lang w:val="fr-FR"/>
        </w:rPr>
        <w:t>c</w:t>
      </w:r>
      <w:r w:rsidRPr="008F2372">
        <w:rPr>
          <w:lang w:val="fr-FR"/>
        </w:rPr>
        <w:t>entres d’</w:t>
      </w:r>
      <w:r w:rsidR="007F1C8E">
        <w:rPr>
          <w:lang w:val="fr-FR"/>
        </w:rPr>
        <w:t>é</w:t>
      </w:r>
      <w:r w:rsidRPr="008F2372">
        <w:rPr>
          <w:lang w:val="fr-FR"/>
        </w:rPr>
        <w:t xml:space="preserve">coute </w:t>
      </w:r>
      <w:r w:rsidR="006F4D98">
        <w:rPr>
          <w:lang w:val="fr-FR"/>
        </w:rPr>
        <w:t>dans 9 localités</w:t>
      </w:r>
      <w:r w:rsidRPr="008F2372">
        <w:rPr>
          <w:lang w:val="fr-FR"/>
        </w:rPr>
        <w:t xml:space="preserve">, qui </w:t>
      </w:r>
      <w:r w:rsidR="006F4D98">
        <w:rPr>
          <w:lang w:val="fr-FR"/>
        </w:rPr>
        <w:t>fournissent</w:t>
      </w:r>
      <w:r w:rsidRPr="008F2372">
        <w:rPr>
          <w:lang w:val="fr-FR"/>
        </w:rPr>
        <w:t xml:space="preserve"> des services d'appui psychosocial</w:t>
      </w:r>
      <w:r w:rsidR="006F4D98">
        <w:rPr>
          <w:lang w:val="fr-FR"/>
        </w:rPr>
        <w:t xml:space="preserve"> et de l’aide légale</w:t>
      </w:r>
      <w:r>
        <w:rPr>
          <w:lang w:val="fr-FR"/>
        </w:rPr>
        <w:t xml:space="preserve"> </w:t>
      </w:r>
      <w:r w:rsidRPr="008F2372">
        <w:rPr>
          <w:lang w:val="fr-FR"/>
        </w:rPr>
        <w:t>aux populations et victimes de violations de droits humains</w:t>
      </w:r>
      <w:r w:rsidR="00197745">
        <w:rPr>
          <w:lang w:val="fr-FR"/>
        </w:rPr>
        <w:t xml:space="preserve">. </w:t>
      </w:r>
      <w:r w:rsidR="00886FB0">
        <w:rPr>
          <w:lang w:val="fr-FR"/>
        </w:rPr>
        <w:t>D</w:t>
      </w:r>
      <w:r w:rsidR="00886FB0" w:rsidRPr="00473D3A">
        <w:rPr>
          <w:lang w:val="fr-FR"/>
        </w:rPr>
        <w:t xml:space="preserve">es mécanismes communautaires d’alerte précoce pour le référencement des victimes des </w:t>
      </w:r>
      <w:r w:rsidR="00375775">
        <w:rPr>
          <w:lang w:val="fr-FR"/>
        </w:rPr>
        <w:t>VBG</w:t>
      </w:r>
      <w:r w:rsidR="00886FB0" w:rsidRPr="00473D3A">
        <w:rPr>
          <w:lang w:val="fr-FR"/>
        </w:rPr>
        <w:t xml:space="preserve"> </w:t>
      </w:r>
      <w:r w:rsidR="007F3740">
        <w:rPr>
          <w:lang w:val="fr-FR"/>
        </w:rPr>
        <w:t xml:space="preserve">ont été </w:t>
      </w:r>
      <w:r w:rsidR="00375775">
        <w:rPr>
          <w:lang w:val="fr-FR"/>
        </w:rPr>
        <w:t>établis</w:t>
      </w:r>
      <w:r w:rsidR="007F3740">
        <w:rPr>
          <w:lang w:val="fr-FR"/>
        </w:rPr>
        <w:t xml:space="preserve"> </w:t>
      </w:r>
      <w:r w:rsidR="00886FB0" w:rsidRPr="00473D3A">
        <w:rPr>
          <w:lang w:val="fr-FR"/>
        </w:rPr>
        <w:t>à travers des relais communautaires.</w:t>
      </w:r>
    </w:p>
    <w:p w14:paraId="2CFD9BD5" w14:textId="77777777" w:rsidR="00197745" w:rsidRDefault="00197745" w:rsidP="00197745">
      <w:pPr>
        <w:ind w:left="-810"/>
        <w:jc w:val="both"/>
        <w:rPr>
          <w:lang w:val="fr-FR"/>
        </w:rPr>
      </w:pPr>
    </w:p>
    <w:p w14:paraId="184FFC2B" w14:textId="1EA975AF" w:rsidR="00197745" w:rsidRDefault="00197745" w:rsidP="00197745">
      <w:pPr>
        <w:ind w:left="-810"/>
        <w:jc w:val="both"/>
        <w:rPr>
          <w:lang w:val="fr-FR"/>
        </w:rPr>
      </w:pPr>
      <w:r>
        <w:rPr>
          <w:lang w:val="fr-FR"/>
        </w:rPr>
        <w:t xml:space="preserve">Les études de perception sur la paix, justice et sécurité, menées </w:t>
      </w:r>
      <w:r w:rsidR="00F93368">
        <w:rPr>
          <w:lang w:val="fr-FR"/>
        </w:rPr>
        <w:t xml:space="preserve">avec </w:t>
      </w:r>
      <w:r>
        <w:rPr>
          <w:lang w:val="fr-FR"/>
        </w:rPr>
        <w:t>la Harvard Humanitarian Initiative (HHI)</w:t>
      </w:r>
      <w:r w:rsidR="00644E5F">
        <w:rPr>
          <w:rStyle w:val="FootnoteReference"/>
          <w:lang w:val="fr-FR"/>
        </w:rPr>
        <w:footnoteReference w:id="1"/>
      </w:r>
      <w:r>
        <w:rPr>
          <w:lang w:val="fr-FR"/>
        </w:rPr>
        <w:t xml:space="preserve">, ont avancé, avec la finalisation du </w:t>
      </w:r>
      <w:r w:rsidR="00DD0423">
        <w:rPr>
          <w:lang w:val="fr-FR"/>
        </w:rPr>
        <w:t xml:space="preserve">cinquième </w:t>
      </w:r>
      <w:r w:rsidR="003F26A7">
        <w:rPr>
          <w:lang w:val="fr-FR"/>
        </w:rPr>
        <w:t>rapport</w:t>
      </w:r>
      <w:r>
        <w:rPr>
          <w:lang w:val="fr-FR"/>
        </w:rPr>
        <w:t>, fournissant des données clés sur l’APPR</w:t>
      </w:r>
      <w:r w:rsidR="00905F47">
        <w:rPr>
          <w:lang w:val="fr-FR"/>
        </w:rPr>
        <w:t xml:space="preserve">, la </w:t>
      </w:r>
      <w:r>
        <w:rPr>
          <w:lang w:val="fr-FR"/>
        </w:rPr>
        <w:t>justice</w:t>
      </w:r>
      <w:r w:rsidR="00456F38">
        <w:rPr>
          <w:lang w:val="fr-FR"/>
        </w:rPr>
        <w:t xml:space="preserve"> et</w:t>
      </w:r>
      <w:r w:rsidR="00905F47">
        <w:rPr>
          <w:lang w:val="fr-FR"/>
        </w:rPr>
        <w:t xml:space="preserve"> la </w:t>
      </w:r>
      <w:r>
        <w:rPr>
          <w:lang w:val="fr-FR"/>
        </w:rPr>
        <w:t xml:space="preserve">sécurité. </w:t>
      </w:r>
      <w:r w:rsidR="00E87EAD">
        <w:rPr>
          <w:lang w:val="fr-FR"/>
        </w:rPr>
        <w:t xml:space="preserve">Les sondages du prochain rapport qui concerneront la justice </w:t>
      </w:r>
      <w:proofErr w:type="spellStart"/>
      <w:r w:rsidR="00E87EAD">
        <w:rPr>
          <w:lang w:val="fr-FR"/>
        </w:rPr>
        <w:t>transitionelle</w:t>
      </w:r>
      <w:proofErr w:type="spellEnd"/>
      <w:r w:rsidR="00E87EAD">
        <w:rPr>
          <w:lang w:val="fr-FR"/>
        </w:rPr>
        <w:t xml:space="preserve"> en RCA ont débuté en novembre 2020.</w:t>
      </w:r>
    </w:p>
    <w:p w14:paraId="269302C7" w14:textId="4428C5C0" w:rsidR="00177EA7" w:rsidRDefault="00177EA7" w:rsidP="00197745">
      <w:pPr>
        <w:ind w:left="-810"/>
        <w:jc w:val="both"/>
        <w:rPr>
          <w:lang w:val="fr-FR"/>
        </w:rPr>
      </w:pPr>
    </w:p>
    <w:p w14:paraId="6B37256C" w14:textId="37E44F83" w:rsidR="00177EA7" w:rsidRDefault="003F26A7" w:rsidP="00197745">
      <w:pPr>
        <w:ind w:left="-810"/>
        <w:jc w:val="both"/>
        <w:rPr>
          <w:lang w:val="fr-FR"/>
        </w:rPr>
      </w:pPr>
      <w:r>
        <w:rPr>
          <w:lang w:val="fr-FR"/>
        </w:rPr>
        <w:t>L</w:t>
      </w:r>
      <w:r w:rsidR="00177EA7">
        <w:rPr>
          <w:lang w:val="fr-FR"/>
        </w:rPr>
        <w:t xml:space="preserve">es consultants qui réaliseront l’Etude </w:t>
      </w:r>
      <w:r w:rsidR="00375775" w:rsidRPr="00375775">
        <w:rPr>
          <w:lang w:val="fr-FR"/>
        </w:rPr>
        <w:t xml:space="preserve">sur les options et les modalités de réparations </w:t>
      </w:r>
      <w:r w:rsidR="00177EA7">
        <w:rPr>
          <w:lang w:val="fr-FR"/>
        </w:rPr>
        <w:t xml:space="preserve">en RCA </w:t>
      </w:r>
      <w:r>
        <w:rPr>
          <w:lang w:val="fr-FR"/>
        </w:rPr>
        <w:t>ainsi que ceux qui réaliseront une Etude sur l’accès à la justice des femmes</w:t>
      </w:r>
      <w:r w:rsidR="009A337D">
        <w:rPr>
          <w:lang w:val="fr-FR"/>
        </w:rPr>
        <w:t>,</w:t>
      </w:r>
      <w:r>
        <w:rPr>
          <w:lang w:val="fr-FR"/>
        </w:rPr>
        <w:t xml:space="preserve"> </w:t>
      </w:r>
      <w:r w:rsidR="00177EA7">
        <w:rPr>
          <w:lang w:val="fr-FR"/>
        </w:rPr>
        <w:t xml:space="preserve">ont été recrutés et commenceront leurs activités </w:t>
      </w:r>
      <w:r>
        <w:rPr>
          <w:lang w:val="fr-FR"/>
        </w:rPr>
        <w:t>à la fin de l’année 2020</w:t>
      </w:r>
      <w:r w:rsidR="00177EA7">
        <w:rPr>
          <w:lang w:val="fr-FR"/>
        </w:rPr>
        <w:t xml:space="preserve">. </w:t>
      </w:r>
      <w:r w:rsidR="007F3740">
        <w:rPr>
          <w:lang w:val="fr-FR"/>
        </w:rPr>
        <w:t>Il est prévu que les études soient finalisées durant le premier semestre de 2021.</w:t>
      </w:r>
    </w:p>
    <w:p w14:paraId="4F89C387" w14:textId="77777777" w:rsidR="00197745" w:rsidRDefault="00197745" w:rsidP="00197745">
      <w:pPr>
        <w:ind w:left="-810"/>
        <w:jc w:val="both"/>
        <w:rPr>
          <w:lang w:val="fr-FR"/>
        </w:rPr>
      </w:pPr>
    </w:p>
    <w:p w14:paraId="731EFDF0" w14:textId="267109C9" w:rsidR="001225A8" w:rsidRPr="00D53328" w:rsidRDefault="00177EA7" w:rsidP="00473D3A">
      <w:pPr>
        <w:ind w:left="-810"/>
        <w:jc w:val="both"/>
        <w:rPr>
          <w:lang w:val="fr-FR"/>
        </w:rPr>
      </w:pPr>
      <w:r>
        <w:rPr>
          <w:lang w:val="fr-FR"/>
        </w:rPr>
        <w:t>La mise en œuvre de certaines</w:t>
      </w:r>
      <w:r w:rsidR="00197745">
        <w:rPr>
          <w:lang w:val="fr-FR"/>
        </w:rPr>
        <w:t xml:space="preserve"> activités </w:t>
      </w:r>
      <w:r>
        <w:rPr>
          <w:lang w:val="fr-FR"/>
        </w:rPr>
        <w:t>a été retardée</w:t>
      </w:r>
      <w:r w:rsidR="00197745">
        <w:rPr>
          <w:lang w:val="fr-FR"/>
        </w:rPr>
        <w:t xml:space="preserve"> à cause des restrictions liées </w:t>
      </w:r>
      <w:r w:rsidR="00375775">
        <w:rPr>
          <w:lang w:val="fr-FR"/>
        </w:rPr>
        <w:t>au</w:t>
      </w:r>
      <w:r w:rsidR="00197745">
        <w:rPr>
          <w:lang w:val="fr-FR"/>
        </w:rPr>
        <w:t xml:space="preserve"> COVID</w:t>
      </w:r>
      <w:r w:rsidR="00375775">
        <w:rPr>
          <w:lang w:val="fr-FR"/>
        </w:rPr>
        <w:t>19</w:t>
      </w:r>
      <w:r w:rsidR="00197745">
        <w:rPr>
          <w:lang w:val="fr-FR"/>
        </w:rPr>
        <w:t xml:space="preserve">, </w:t>
      </w:r>
      <w:r w:rsidR="00A039DD">
        <w:rPr>
          <w:lang w:val="fr-FR"/>
        </w:rPr>
        <w:t>notamment avec</w:t>
      </w:r>
      <w:r w:rsidR="00D66F62">
        <w:rPr>
          <w:lang w:val="fr-FR"/>
        </w:rPr>
        <w:t xml:space="preserve"> la présence limitée du personnel dans le pays et dans les bureaux</w:t>
      </w:r>
      <w:r w:rsidR="00375775">
        <w:rPr>
          <w:lang w:val="fr-FR"/>
        </w:rPr>
        <w:t xml:space="preserve"> entre avril et septembre</w:t>
      </w:r>
      <w:r w:rsidR="00D66F62">
        <w:rPr>
          <w:lang w:val="fr-FR"/>
        </w:rPr>
        <w:t xml:space="preserve">, </w:t>
      </w:r>
      <w:r w:rsidR="00197745">
        <w:rPr>
          <w:lang w:val="fr-FR"/>
        </w:rPr>
        <w:t>l</w:t>
      </w:r>
      <w:r w:rsidR="00783B44">
        <w:rPr>
          <w:lang w:val="fr-FR"/>
        </w:rPr>
        <w:t xml:space="preserve">a difficulté </w:t>
      </w:r>
      <w:r w:rsidR="00197745">
        <w:rPr>
          <w:lang w:val="fr-FR"/>
        </w:rPr>
        <w:t xml:space="preserve">d’organiser des réunions </w:t>
      </w:r>
      <w:r w:rsidR="00456F38">
        <w:rPr>
          <w:lang w:val="fr-FR"/>
        </w:rPr>
        <w:t xml:space="preserve">et </w:t>
      </w:r>
      <w:r w:rsidR="00D66F62">
        <w:rPr>
          <w:lang w:val="fr-FR"/>
        </w:rPr>
        <w:t xml:space="preserve">l’interdiction de se déplacer </w:t>
      </w:r>
      <w:r w:rsidR="007F3740">
        <w:rPr>
          <w:lang w:val="fr-FR"/>
        </w:rPr>
        <w:t>dans les régions</w:t>
      </w:r>
      <w:r w:rsidR="00D66F62">
        <w:rPr>
          <w:lang w:val="fr-FR"/>
        </w:rPr>
        <w:t xml:space="preserve">. </w:t>
      </w:r>
      <w:r w:rsidR="00197745">
        <w:rPr>
          <w:lang w:val="fr-FR"/>
        </w:rPr>
        <w:t xml:space="preserve"> </w:t>
      </w:r>
    </w:p>
    <w:p w14:paraId="0700CF9C" w14:textId="77777777" w:rsidR="00D52121" w:rsidRPr="00D53328" w:rsidRDefault="00D52121" w:rsidP="001225A8">
      <w:pPr>
        <w:ind w:left="-810"/>
        <w:jc w:val="both"/>
        <w:rPr>
          <w:lang w:val="fr-FR"/>
        </w:rPr>
      </w:pPr>
    </w:p>
    <w:p w14:paraId="45294B0B" w14:textId="77777777" w:rsidR="00F004BF" w:rsidRDefault="00F004BF" w:rsidP="00F004BF">
      <w:pPr>
        <w:ind w:left="-810"/>
        <w:jc w:val="both"/>
        <w:rPr>
          <w:b/>
          <w:lang w:val="fr-FR"/>
        </w:rPr>
      </w:pPr>
      <w:r w:rsidRPr="00C77BEF">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Pr="00C77BEF">
        <w:rPr>
          <w:b/>
          <w:lang w:val="fr-FR"/>
        </w:rPr>
        <w:t>(limite de 1000 caractères</w:t>
      </w:r>
      <w:r w:rsidR="003C6732" w:rsidRPr="00C77BEF">
        <w:rPr>
          <w:b/>
          <w:lang w:val="fr-FR"/>
        </w:rPr>
        <w:t>) :</w:t>
      </w:r>
      <w:r w:rsidRPr="00250C0A">
        <w:rPr>
          <w:b/>
          <w:lang w:val="fr-FR"/>
        </w:rPr>
        <w:t xml:space="preserve"> </w:t>
      </w:r>
    </w:p>
    <w:p w14:paraId="5C30C7C0" w14:textId="77777777" w:rsidR="002A7E08" w:rsidRPr="00250C0A" w:rsidRDefault="002A7E08" w:rsidP="00F004BF">
      <w:pPr>
        <w:ind w:left="-810"/>
        <w:jc w:val="both"/>
        <w:rPr>
          <w:b/>
          <w:lang w:val="fr-FR"/>
        </w:rPr>
      </w:pPr>
    </w:p>
    <w:p w14:paraId="566BFA06" w14:textId="67A5850D" w:rsidR="00197745" w:rsidRDefault="00197745" w:rsidP="003F26A7">
      <w:pPr>
        <w:pStyle w:val="ListParagraph"/>
        <w:numPr>
          <w:ilvl w:val="0"/>
          <w:numId w:val="44"/>
        </w:numPr>
        <w:jc w:val="both"/>
        <w:rPr>
          <w:lang w:val="fr-FR"/>
        </w:rPr>
      </w:pPr>
      <w:r>
        <w:rPr>
          <w:lang w:val="fr-FR"/>
        </w:rPr>
        <w:t xml:space="preserve">La Politique Sectorielle de Justice </w:t>
      </w:r>
      <w:r w:rsidR="00177EA7">
        <w:rPr>
          <w:lang w:val="fr-FR"/>
        </w:rPr>
        <w:t>continue</w:t>
      </w:r>
      <w:r w:rsidR="003F26A7">
        <w:rPr>
          <w:lang w:val="fr-FR"/>
        </w:rPr>
        <w:t xml:space="preserve">ra à </w:t>
      </w:r>
      <w:r w:rsidR="00177EA7" w:rsidRPr="003F26A7">
        <w:rPr>
          <w:lang w:val="fr-FR"/>
        </w:rPr>
        <w:t>être</w:t>
      </w:r>
      <w:r w:rsidRPr="003F26A7">
        <w:rPr>
          <w:lang w:val="fr-FR"/>
        </w:rPr>
        <w:t xml:space="preserve"> </w:t>
      </w:r>
      <w:r w:rsidR="003F26A7" w:rsidRPr="003F26A7">
        <w:rPr>
          <w:lang w:val="fr-FR"/>
        </w:rPr>
        <w:t xml:space="preserve">mise </w:t>
      </w:r>
      <w:r w:rsidRPr="003F26A7">
        <w:rPr>
          <w:lang w:val="fr-FR"/>
        </w:rPr>
        <w:t xml:space="preserve">en œuvre à travers </w:t>
      </w:r>
      <w:r w:rsidR="00177EA7" w:rsidRPr="003F26A7">
        <w:rPr>
          <w:lang w:val="fr-FR"/>
        </w:rPr>
        <w:t xml:space="preserve">les activités organisées par </w:t>
      </w:r>
      <w:r w:rsidR="003F26A7" w:rsidRPr="003F26A7">
        <w:rPr>
          <w:lang w:val="fr-FR"/>
        </w:rPr>
        <w:t>l</w:t>
      </w:r>
      <w:r w:rsidRPr="003F26A7">
        <w:rPr>
          <w:lang w:val="fr-FR"/>
        </w:rPr>
        <w:t>e</w:t>
      </w:r>
      <w:r w:rsidR="00456F38" w:rsidRPr="003F26A7">
        <w:rPr>
          <w:lang w:val="fr-FR"/>
        </w:rPr>
        <w:t>s</w:t>
      </w:r>
      <w:r w:rsidRPr="003F26A7">
        <w:rPr>
          <w:lang w:val="fr-FR"/>
        </w:rPr>
        <w:t xml:space="preserve"> groupes thématiques où participent le</w:t>
      </w:r>
      <w:r w:rsidR="009C2781" w:rsidRPr="003F26A7">
        <w:rPr>
          <w:lang w:val="fr-FR"/>
        </w:rPr>
        <w:t xml:space="preserve">s </w:t>
      </w:r>
      <w:r w:rsidR="008F684C" w:rsidRPr="003F26A7">
        <w:rPr>
          <w:lang w:val="fr-FR"/>
        </w:rPr>
        <w:t>représentants</w:t>
      </w:r>
      <w:r w:rsidR="009C2781" w:rsidRPr="003F26A7">
        <w:rPr>
          <w:lang w:val="fr-FR"/>
        </w:rPr>
        <w:t xml:space="preserve"> étatiques</w:t>
      </w:r>
      <w:r w:rsidRPr="003F26A7">
        <w:rPr>
          <w:lang w:val="fr-FR"/>
        </w:rPr>
        <w:t xml:space="preserve"> et les </w:t>
      </w:r>
      <w:proofErr w:type="spellStart"/>
      <w:r w:rsidRPr="003F26A7">
        <w:rPr>
          <w:lang w:val="fr-FR"/>
        </w:rPr>
        <w:t>PTFs</w:t>
      </w:r>
      <w:proofErr w:type="spellEnd"/>
      <w:r w:rsidRPr="003F26A7">
        <w:rPr>
          <w:lang w:val="fr-FR"/>
        </w:rPr>
        <w:t xml:space="preserve">. Le Projet </w:t>
      </w:r>
      <w:proofErr w:type="spellStart"/>
      <w:r w:rsidRPr="003F26A7">
        <w:rPr>
          <w:lang w:val="fr-FR"/>
        </w:rPr>
        <w:t>co</w:t>
      </w:r>
      <w:proofErr w:type="spellEnd"/>
      <w:r w:rsidRPr="003F26A7">
        <w:rPr>
          <w:lang w:val="fr-FR"/>
        </w:rPr>
        <w:t>-lead le</w:t>
      </w:r>
      <w:r w:rsidR="00456F38" w:rsidRPr="003F26A7">
        <w:rPr>
          <w:lang w:val="fr-FR"/>
        </w:rPr>
        <w:t>s</w:t>
      </w:r>
      <w:r w:rsidRPr="003F26A7">
        <w:rPr>
          <w:lang w:val="fr-FR"/>
        </w:rPr>
        <w:t xml:space="preserve"> groupe</w:t>
      </w:r>
      <w:r w:rsidR="003C1564" w:rsidRPr="003F26A7">
        <w:rPr>
          <w:lang w:val="fr-FR"/>
        </w:rPr>
        <w:t>s</w:t>
      </w:r>
      <w:r w:rsidRPr="003F26A7">
        <w:rPr>
          <w:lang w:val="fr-FR"/>
        </w:rPr>
        <w:t xml:space="preserve"> de demande de la justice et de justice transitionnelle</w:t>
      </w:r>
      <w:r w:rsidR="003C1564" w:rsidRPr="003F26A7">
        <w:rPr>
          <w:lang w:val="fr-FR"/>
        </w:rPr>
        <w:t xml:space="preserve"> </w:t>
      </w:r>
      <w:r w:rsidR="003C1564" w:rsidRPr="003F26A7">
        <w:rPr>
          <w:lang w:val="fr-FR"/>
        </w:rPr>
        <w:lastRenderedPageBreak/>
        <w:t>et droits humains</w:t>
      </w:r>
      <w:r w:rsidR="003F26A7" w:rsidRPr="003F26A7">
        <w:rPr>
          <w:lang w:val="fr-FR"/>
        </w:rPr>
        <w:t xml:space="preserve"> et participe activement aux quatre autres groupes</w:t>
      </w:r>
      <w:r w:rsidRPr="003F26A7">
        <w:rPr>
          <w:lang w:val="fr-FR"/>
        </w:rPr>
        <w:t>.</w:t>
      </w:r>
      <w:r w:rsidR="00375775">
        <w:rPr>
          <w:lang w:val="fr-FR"/>
        </w:rPr>
        <w:t xml:space="preserve"> Un Comité de Pilotage présidé par le Ministre de la Justice et </w:t>
      </w:r>
      <w:proofErr w:type="gramStart"/>
      <w:r w:rsidR="00375775">
        <w:rPr>
          <w:lang w:val="fr-FR"/>
        </w:rPr>
        <w:t>la</w:t>
      </w:r>
      <w:proofErr w:type="gramEnd"/>
      <w:r w:rsidR="00375775">
        <w:rPr>
          <w:lang w:val="fr-FR"/>
        </w:rPr>
        <w:t xml:space="preserve"> DSRSG/RC est prévu pour mi-décembre.</w:t>
      </w:r>
    </w:p>
    <w:p w14:paraId="1F3C3956" w14:textId="6F552A75" w:rsidR="00A1586D" w:rsidRPr="003F26A7" w:rsidRDefault="00A1586D" w:rsidP="003F26A7">
      <w:pPr>
        <w:pStyle w:val="ListParagraph"/>
        <w:numPr>
          <w:ilvl w:val="0"/>
          <w:numId w:val="44"/>
        </w:numPr>
        <w:jc w:val="both"/>
        <w:rPr>
          <w:lang w:val="fr-FR"/>
        </w:rPr>
      </w:pPr>
      <w:r>
        <w:rPr>
          <w:lang w:val="fr-FR"/>
        </w:rPr>
        <w:t>Les mécanismes stipulés dans la loi sur l’aide légale seront établis, tels le Comité Nationale de l’Aide Légale et son Fonds, ainsi que les bureaux régionaux attachés aux tribunaux.</w:t>
      </w:r>
    </w:p>
    <w:p w14:paraId="076399E4" w14:textId="3224A7EF" w:rsidR="002047B0" w:rsidRPr="003C1564" w:rsidRDefault="00456F38" w:rsidP="003C1564">
      <w:pPr>
        <w:pStyle w:val="ListParagraph"/>
        <w:numPr>
          <w:ilvl w:val="0"/>
          <w:numId w:val="44"/>
        </w:numPr>
        <w:jc w:val="both"/>
        <w:rPr>
          <w:lang w:val="fr-FR"/>
        </w:rPr>
      </w:pPr>
      <w:r>
        <w:rPr>
          <w:lang w:val="fr-FR"/>
        </w:rPr>
        <w:t xml:space="preserve">Les </w:t>
      </w:r>
      <w:r w:rsidR="008F684C">
        <w:rPr>
          <w:lang w:val="fr-FR"/>
        </w:rPr>
        <w:t>Études</w:t>
      </w:r>
      <w:r w:rsidR="00375775" w:rsidRPr="00375775">
        <w:rPr>
          <w:lang w:val="fr-FR"/>
        </w:rPr>
        <w:t xml:space="preserve"> sur les options et les modalités de réparations</w:t>
      </w:r>
      <w:r w:rsidR="00375775">
        <w:rPr>
          <w:lang w:val="fr-FR"/>
        </w:rPr>
        <w:t>, l’</w:t>
      </w:r>
      <w:r w:rsidR="00F004BF" w:rsidRPr="003C1564">
        <w:rPr>
          <w:lang w:val="fr-FR"/>
        </w:rPr>
        <w:t>étude sur l’accès à la justice des femmes</w:t>
      </w:r>
      <w:r w:rsidR="00375775">
        <w:rPr>
          <w:lang w:val="fr-FR"/>
        </w:rPr>
        <w:t>,</w:t>
      </w:r>
      <w:r>
        <w:rPr>
          <w:lang w:val="fr-FR"/>
        </w:rPr>
        <w:t xml:space="preserve"> et</w:t>
      </w:r>
      <w:r w:rsidR="003C1564">
        <w:rPr>
          <w:lang w:val="fr-FR"/>
        </w:rPr>
        <w:t xml:space="preserve"> </w:t>
      </w:r>
      <w:r w:rsidR="00375775">
        <w:rPr>
          <w:lang w:val="fr-FR"/>
        </w:rPr>
        <w:t>le manuel de référence</w:t>
      </w:r>
      <w:r w:rsidR="002047B0" w:rsidRPr="003C1564">
        <w:rPr>
          <w:lang w:val="fr-FR"/>
        </w:rPr>
        <w:t xml:space="preserve"> sur le Genre et la CVJRR</w:t>
      </w:r>
      <w:r>
        <w:rPr>
          <w:lang w:val="fr-FR"/>
        </w:rPr>
        <w:t xml:space="preserve"> seront réalisées.</w:t>
      </w:r>
    </w:p>
    <w:p w14:paraId="23531B83" w14:textId="515A12BF" w:rsidR="00456F38" w:rsidRDefault="00A1586D" w:rsidP="00F004BF">
      <w:pPr>
        <w:pStyle w:val="ListParagraph"/>
        <w:numPr>
          <w:ilvl w:val="0"/>
          <w:numId w:val="44"/>
        </w:numPr>
        <w:jc w:val="both"/>
        <w:rPr>
          <w:lang w:val="fr-FR"/>
        </w:rPr>
      </w:pPr>
      <w:r>
        <w:rPr>
          <w:lang w:val="fr-FR"/>
        </w:rPr>
        <w:t>Le 2</w:t>
      </w:r>
      <w:r w:rsidRPr="008F2372">
        <w:rPr>
          <w:vertAlign w:val="superscript"/>
          <w:lang w:val="fr-FR"/>
        </w:rPr>
        <w:t>ème</w:t>
      </w:r>
      <w:r>
        <w:rPr>
          <w:lang w:val="fr-FR"/>
        </w:rPr>
        <w:t xml:space="preserve"> rapport d’étude de perception sera finalisé avec une focalisation sur la justice </w:t>
      </w:r>
      <w:proofErr w:type="spellStart"/>
      <w:r>
        <w:rPr>
          <w:lang w:val="fr-FR"/>
        </w:rPr>
        <w:t>transitionelle</w:t>
      </w:r>
      <w:proofErr w:type="spellEnd"/>
      <w:r>
        <w:rPr>
          <w:lang w:val="fr-FR"/>
        </w:rPr>
        <w:t>, ainsi que l’enquête pour le 3ème</w:t>
      </w:r>
      <w:r w:rsidR="00F004BF">
        <w:rPr>
          <w:lang w:val="fr-FR"/>
        </w:rPr>
        <w:t xml:space="preserve"> </w:t>
      </w:r>
      <w:proofErr w:type="gramStart"/>
      <w:r w:rsidR="00F004BF">
        <w:rPr>
          <w:lang w:val="fr-FR"/>
        </w:rPr>
        <w:t>sondage .</w:t>
      </w:r>
      <w:proofErr w:type="gramEnd"/>
      <w:r w:rsidR="00F004BF">
        <w:rPr>
          <w:lang w:val="fr-FR"/>
        </w:rPr>
        <w:t xml:space="preserve"> </w:t>
      </w:r>
    </w:p>
    <w:p w14:paraId="359EE2FD" w14:textId="3D7AAE7E" w:rsidR="00197745" w:rsidRPr="00456F38" w:rsidRDefault="00177EA7" w:rsidP="00456F38">
      <w:pPr>
        <w:pStyle w:val="ListParagraph"/>
        <w:numPr>
          <w:ilvl w:val="0"/>
          <w:numId w:val="44"/>
        </w:numPr>
        <w:jc w:val="both"/>
        <w:rPr>
          <w:lang w:val="fr-FR"/>
        </w:rPr>
      </w:pPr>
      <w:r>
        <w:rPr>
          <w:lang w:val="fr-FR"/>
        </w:rPr>
        <w:t>La Commission de sélection des commissaires de</w:t>
      </w:r>
      <w:r w:rsidR="009C2781" w:rsidRPr="00456F38">
        <w:rPr>
          <w:lang w:val="fr-FR"/>
        </w:rPr>
        <w:t xml:space="preserve"> la CVJRR</w:t>
      </w:r>
      <w:r w:rsidR="00197745" w:rsidRPr="00456F38">
        <w:rPr>
          <w:lang w:val="fr-FR"/>
        </w:rPr>
        <w:t> </w:t>
      </w:r>
      <w:r>
        <w:rPr>
          <w:lang w:val="fr-FR"/>
        </w:rPr>
        <w:t>proposera une liste de commissaires au président en décembre</w:t>
      </w:r>
      <w:r w:rsidR="00A1586D">
        <w:rPr>
          <w:lang w:val="fr-FR"/>
        </w:rPr>
        <w:t xml:space="preserve"> 2020</w:t>
      </w:r>
      <w:r>
        <w:rPr>
          <w:lang w:val="fr-FR"/>
        </w:rPr>
        <w:t xml:space="preserve"> et la CVJRR </w:t>
      </w:r>
      <w:r w:rsidR="00A1586D">
        <w:rPr>
          <w:lang w:val="fr-FR"/>
        </w:rPr>
        <w:t xml:space="preserve">pourra débuter son opérationnalisation </w:t>
      </w:r>
      <w:r>
        <w:rPr>
          <w:lang w:val="fr-FR"/>
        </w:rPr>
        <w:t>d</w:t>
      </w:r>
      <w:r w:rsidR="00A1586D">
        <w:rPr>
          <w:lang w:val="fr-FR"/>
        </w:rPr>
        <w:t>ès</w:t>
      </w:r>
      <w:r>
        <w:rPr>
          <w:lang w:val="fr-FR"/>
        </w:rPr>
        <w:t xml:space="preserve"> le premier</w:t>
      </w:r>
      <w:r w:rsidR="00A1586D">
        <w:rPr>
          <w:lang w:val="fr-FR"/>
        </w:rPr>
        <w:t xml:space="preserve"> semestre de 2021.</w:t>
      </w:r>
      <w:r w:rsidR="00FF27E4" w:rsidRPr="00456F38">
        <w:rPr>
          <w:lang w:val="fr-FR"/>
        </w:rPr>
        <w:t xml:space="preserve"> </w:t>
      </w:r>
    </w:p>
    <w:p w14:paraId="2B76DD9A" w14:textId="77777777" w:rsidR="00F004BF" w:rsidRPr="00D53328" w:rsidRDefault="00F004BF" w:rsidP="00F004BF">
      <w:pPr>
        <w:ind w:left="-810" w:right="-154"/>
        <w:jc w:val="both"/>
        <w:rPr>
          <w:lang w:val="fr-FR"/>
        </w:rPr>
      </w:pPr>
    </w:p>
    <w:p w14:paraId="0A2020AF" w14:textId="77777777" w:rsidR="00F004BF" w:rsidRPr="00250C0A" w:rsidRDefault="00F004BF" w:rsidP="00F004BF">
      <w:pPr>
        <w:ind w:left="-810" w:right="-154"/>
        <w:jc w:val="both"/>
        <w:rPr>
          <w:b/>
          <w:lang w:val="fr-FR"/>
        </w:rPr>
      </w:pPr>
      <w:r w:rsidRPr="00250C0A">
        <w:rPr>
          <w:b/>
          <w:lang w:val="fr-FR"/>
        </w:rPr>
        <w:t>POUR LES PROJETS DANS LES SIX DERNIERS MOIS DE MISE EN ŒUVRE :</w:t>
      </w:r>
    </w:p>
    <w:p w14:paraId="0D9294D9" w14:textId="77777777" w:rsidR="00F004BF" w:rsidRPr="000E4E78" w:rsidRDefault="00F004BF" w:rsidP="00F004BF">
      <w:pPr>
        <w:ind w:left="-810" w:right="-154"/>
        <w:jc w:val="both"/>
        <w:rPr>
          <w:b/>
          <w:lang w:val="fr-FR"/>
        </w:rPr>
      </w:pPr>
      <w:r w:rsidRPr="00250C0A">
        <w:rPr>
          <w:b/>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0E4E78">
        <w:rPr>
          <w:b/>
          <w:lang w:val="fr-FR"/>
        </w:rPr>
        <w:t>(</w:t>
      </w:r>
      <w:r w:rsidR="00825948" w:rsidRPr="000E4E78">
        <w:rPr>
          <w:b/>
          <w:lang w:val="fr-FR"/>
        </w:rPr>
        <w:t>Limite</w:t>
      </w:r>
      <w:r w:rsidRPr="000E4E78">
        <w:rPr>
          <w:b/>
          <w:lang w:val="fr-FR"/>
        </w:rPr>
        <w:t xml:space="preserve"> de 1500 </w:t>
      </w:r>
      <w:r w:rsidRPr="00250C0A">
        <w:rPr>
          <w:b/>
          <w:lang w:val="fr-FR"/>
        </w:rPr>
        <w:t>caractères</w:t>
      </w:r>
      <w:r w:rsidR="00825948" w:rsidRPr="000E4E78">
        <w:rPr>
          <w:b/>
          <w:lang w:val="fr-FR"/>
        </w:rPr>
        <w:t>) :</w:t>
      </w:r>
      <w:r w:rsidRPr="000E4E78">
        <w:rPr>
          <w:b/>
          <w:lang w:val="fr-FR"/>
        </w:rPr>
        <w:t xml:space="preserve"> </w:t>
      </w:r>
    </w:p>
    <w:p w14:paraId="4B64EFF2" w14:textId="77777777" w:rsidR="00F004BF" w:rsidRPr="000E4E78" w:rsidRDefault="00F004BF" w:rsidP="00F004BF">
      <w:pPr>
        <w:ind w:left="-810"/>
        <w:jc w:val="both"/>
        <w:rPr>
          <w:lang w:val="fr-FR"/>
        </w:rPr>
      </w:pPr>
    </w:p>
    <w:p w14:paraId="7A55E9B5" w14:textId="77777777" w:rsidR="00F004BF" w:rsidRPr="000E4E78" w:rsidRDefault="00F004BF" w:rsidP="00F004BF">
      <w:pPr>
        <w:ind w:left="-810"/>
        <w:jc w:val="both"/>
        <w:rPr>
          <w:lang w:val="fr-FR"/>
        </w:rPr>
      </w:pPr>
      <w:r w:rsidRPr="000E4E78">
        <w:rPr>
          <w:lang w:val="fr-FR"/>
        </w:rPr>
        <w:t>N/A</w:t>
      </w:r>
    </w:p>
    <w:p w14:paraId="4CF3B9F1" w14:textId="77777777" w:rsidR="00F004BF" w:rsidRPr="000E4E78" w:rsidRDefault="00F004BF" w:rsidP="00F004BF">
      <w:pPr>
        <w:ind w:left="-810"/>
        <w:jc w:val="both"/>
        <w:rPr>
          <w:lang w:val="fr-FR"/>
        </w:rPr>
      </w:pPr>
    </w:p>
    <w:p w14:paraId="3D312FB0" w14:textId="77777777" w:rsidR="00F004BF" w:rsidRPr="00926EB2" w:rsidRDefault="00F004BF" w:rsidP="00F004BF">
      <w:pPr>
        <w:ind w:left="-810"/>
        <w:jc w:val="both"/>
        <w:rPr>
          <w:b/>
          <w:lang w:val="fr-FR"/>
        </w:rPr>
      </w:pPr>
      <w:r w:rsidRPr="00926EB2">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825948" w:rsidRPr="00926EB2">
        <w:rPr>
          <w:b/>
          <w:lang w:val="fr-FR"/>
        </w:rPr>
        <w:t>web links</w:t>
      </w:r>
      <w:r w:rsidRPr="00926EB2">
        <w:rPr>
          <w:b/>
          <w:lang w:val="fr-FR"/>
        </w:rPr>
        <w:t xml:space="preserve"> à la communication stratégique publiée. (</w:t>
      </w:r>
      <w:r w:rsidR="00825948" w:rsidRPr="00926EB2">
        <w:rPr>
          <w:b/>
          <w:lang w:val="fr-FR"/>
        </w:rPr>
        <w:t>Limite</w:t>
      </w:r>
      <w:r w:rsidRPr="00926EB2">
        <w:rPr>
          <w:b/>
          <w:lang w:val="fr-FR"/>
        </w:rPr>
        <w:t xml:space="preserve"> de 2000 caractères</w:t>
      </w:r>
      <w:r w:rsidR="00EF13BF" w:rsidRPr="00926EB2">
        <w:rPr>
          <w:b/>
          <w:lang w:val="fr-FR"/>
        </w:rPr>
        <w:t>) :</w:t>
      </w:r>
    </w:p>
    <w:p w14:paraId="22FF4450" w14:textId="77777777" w:rsidR="00F004BF" w:rsidRDefault="00F004BF" w:rsidP="00F004BF">
      <w:pPr>
        <w:ind w:left="-810"/>
        <w:jc w:val="both"/>
        <w:rPr>
          <w:lang w:val="fr-FR"/>
        </w:rPr>
      </w:pPr>
    </w:p>
    <w:p w14:paraId="35EC6E94" w14:textId="434B4AA6" w:rsidR="00F4352B" w:rsidRDefault="006550CB" w:rsidP="00F4352B">
      <w:pPr>
        <w:ind w:left="-810"/>
        <w:jc w:val="both"/>
        <w:rPr>
          <w:lang w:val="fr-FR"/>
        </w:rPr>
      </w:pPr>
      <w:r>
        <w:rPr>
          <w:lang w:val="fr-FR"/>
        </w:rPr>
        <w:t xml:space="preserve">Depuis le mois d’avril, </w:t>
      </w:r>
      <w:r w:rsidR="003F26A7">
        <w:rPr>
          <w:lang w:val="fr-FR"/>
        </w:rPr>
        <w:t>sept</w:t>
      </w:r>
      <w:r w:rsidR="00722DD7">
        <w:rPr>
          <w:lang w:val="fr-FR"/>
        </w:rPr>
        <w:t xml:space="preserve"> (7)</w:t>
      </w:r>
      <w:r>
        <w:rPr>
          <w:lang w:val="fr-FR"/>
        </w:rPr>
        <w:t xml:space="preserve"> </w:t>
      </w:r>
      <w:r w:rsidR="00A1586D">
        <w:rPr>
          <w:lang w:val="fr-FR"/>
        </w:rPr>
        <w:t xml:space="preserve">nouvelles </w:t>
      </w:r>
      <w:r w:rsidR="00F004BF" w:rsidRPr="00473D3A">
        <w:rPr>
          <w:lang w:val="fr-FR"/>
        </w:rPr>
        <w:t xml:space="preserve">cliniques juridiques </w:t>
      </w:r>
      <w:r w:rsidR="00EF13BF" w:rsidRPr="00473D3A">
        <w:rPr>
          <w:lang w:val="fr-FR"/>
        </w:rPr>
        <w:t xml:space="preserve">et </w:t>
      </w:r>
      <w:r w:rsidR="003F26A7">
        <w:rPr>
          <w:lang w:val="fr-FR"/>
        </w:rPr>
        <w:t>plusieurs</w:t>
      </w:r>
      <w:r>
        <w:rPr>
          <w:lang w:val="fr-FR"/>
        </w:rPr>
        <w:t xml:space="preserve"> </w:t>
      </w:r>
      <w:r w:rsidR="00722DD7">
        <w:rPr>
          <w:lang w:val="fr-FR"/>
        </w:rPr>
        <w:t>C</w:t>
      </w:r>
      <w:r w:rsidR="00EF13BF" w:rsidRPr="00473D3A">
        <w:rPr>
          <w:lang w:val="fr-FR"/>
        </w:rPr>
        <w:t>entre</w:t>
      </w:r>
      <w:r w:rsidR="00722DD7">
        <w:rPr>
          <w:lang w:val="fr-FR"/>
        </w:rPr>
        <w:t>s</w:t>
      </w:r>
      <w:r w:rsidR="00EF13BF" w:rsidRPr="00473D3A">
        <w:rPr>
          <w:lang w:val="fr-FR"/>
        </w:rPr>
        <w:t xml:space="preserve"> d’écoute</w:t>
      </w:r>
      <w:r>
        <w:rPr>
          <w:lang w:val="fr-FR"/>
        </w:rPr>
        <w:t xml:space="preserve"> appuyés par le Projet</w:t>
      </w:r>
      <w:r w:rsidR="00EF13BF" w:rsidRPr="00473D3A">
        <w:rPr>
          <w:lang w:val="fr-FR"/>
        </w:rPr>
        <w:t xml:space="preserve"> </w:t>
      </w:r>
      <w:r w:rsidR="00722DD7">
        <w:rPr>
          <w:lang w:val="fr-FR"/>
        </w:rPr>
        <w:t>s</w:t>
      </w:r>
      <w:r>
        <w:rPr>
          <w:lang w:val="fr-FR"/>
        </w:rPr>
        <w:t>ont ouvert</w:t>
      </w:r>
      <w:r w:rsidR="00A1586D">
        <w:rPr>
          <w:lang w:val="fr-FR"/>
        </w:rPr>
        <w:t>s</w:t>
      </w:r>
      <w:r>
        <w:rPr>
          <w:lang w:val="fr-FR"/>
        </w:rPr>
        <w:t xml:space="preserve"> dans toutes les localités</w:t>
      </w:r>
      <w:r w:rsidR="003F26A7">
        <w:rPr>
          <w:lang w:val="fr-FR"/>
        </w:rPr>
        <w:t xml:space="preserve"> du Projet</w:t>
      </w:r>
      <w:r w:rsidR="00A1586D">
        <w:rPr>
          <w:lang w:val="fr-FR"/>
        </w:rPr>
        <w:t xml:space="preserve"> (en rajout aux 2 cliniques existantes)</w:t>
      </w:r>
      <w:r>
        <w:rPr>
          <w:lang w:val="fr-FR"/>
        </w:rPr>
        <w:t>, en collaborations avec les autorités locales</w:t>
      </w:r>
      <w:r w:rsidR="00992A2A">
        <w:rPr>
          <w:lang w:val="fr-FR"/>
        </w:rPr>
        <w:t>,</w:t>
      </w:r>
      <w:r>
        <w:rPr>
          <w:lang w:val="fr-FR"/>
        </w:rPr>
        <w:t xml:space="preserve"> les chefs traditionnels et les organisations de la société civile</w:t>
      </w:r>
      <w:r w:rsidR="00F004BF" w:rsidRPr="002602B4">
        <w:rPr>
          <w:lang w:val="fr-FR"/>
        </w:rPr>
        <w:t xml:space="preserve">. Les </w:t>
      </w:r>
      <w:r w:rsidR="00F004BF">
        <w:rPr>
          <w:lang w:val="fr-FR"/>
        </w:rPr>
        <w:t>populations sur le terrain</w:t>
      </w:r>
      <w:r w:rsidR="00F004BF" w:rsidRPr="002602B4">
        <w:rPr>
          <w:lang w:val="fr-FR"/>
        </w:rPr>
        <w:t xml:space="preserve"> ont particulièrement mentionné </w:t>
      </w:r>
      <w:r w:rsidR="00F004BF">
        <w:rPr>
          <w:lang w:val="fr-FR"/>
        </w:rPr>
        <w:t>la nécessité de</w:t>
      </w:r>
      <w:r w:rsidR="00F004BF" w:rsidRPr="002602B4">
        <w:rPr>
          <w:lang w:val="fr-FR"/>
        </w:rPr>
        <w:t xml:space="preserve"> recevoir un appui tant juridique</w:t>
      </w:r>
      <w:r w:rsidR="003F26A7">
        <w:rPr>
          <w:lang w:val="fr-FR"/>
        </w:rPr>
        <w:t>, judiciaire</w:t>
      </w:r>
      <w:r w:rsidR="00F004BF" w:rsidRPr="002602B4">
        <w:rPr>
          <w:lang w:val="fr-FR"/>
        </w:rPr>
        <w:t xml:space="preserve"> que psychosocial après avoir vécu </w:t>
      </w:r>
      <w:r w:rsidR="00F004BF" w:rsidRPr="00663D1B">
        <w:rPr>
          <w:lang w:val="fr-FR"/>
        </w:rPr>
        <w:t>des violations et crimes graves</w:t>
      </w:r>
      <w:r w:rsidR="00F004BF" w:rsidRPr="002602B4">
        <w:rPr>
          <w:lang w:val="fr-FR"/>
        </w:rPr>
        <w:t xml:space="preserve"> et face à une présence de l'Etat encore relativement faible</w:t>
      </w:r>
      <w:r w:rsidR="00F004BF">
        <w:rPr>
          <w:lang w:val="fr-FR"/>
        </w:rPr>
        <w:t>, ce que les cliniques juridiques et les centres d’écoute fournissent (cf. résultat 2 et 4)</w:t>
      </w:r>
      <w:r w:rsidR="00F004BF" w:rsidRPr="002602B4">
        <w:rPr>
          <w:lang w:val="fr-FR"/>
        </w:rPr>
        <w:t>.</w:t>
      </w:r>
      <w:r w:rsidR="002047B0" w:rsidRPr="002047B0">
        <w:rPr>
          <w:lang w:val="fr-FR"/>
        </w:rPr>
        <w:t xml:space="preserve"> </w:t>
      </w:r>
      <w:r w:rsidR="00F4352B" w:rsidRPr="00473D3A">
        <w:rPr>
          <w:lang w:val="fr-FR"/>
        </w:rPr>
        <w:t xml:space="preserve">Les </w:t>
      </w:r>
      <w:r w:rsidR="00EF13BF" w:rsidRPr="00473D3A">
        <w:rPr>
          <w:lang w:val="fr-FR"/>
        </w:rPr>
        <w:t xml:space="preserve">organisations féminines </w:t>
      </w:r>
      <w:r w:rsidR="002047B0" w:rsidRPr="00473D3A">
        <w:rPr>
          <w:lang w:val="fr-FR"/>
        </w:rPr>
        <w:t xml:space="preserve">ont aussi exprimé leur satisfaction </w:t>
      </w:r>
      <w:r w:rsidR="00F4352B" w:rsidRPr="00473D3A">
        <w:rPr>
          <w:lang w:val="fr-FR"/>
        </w:rPr>
        <w:t>que le projet se penche</w:t>
      </w:r>
      <w:r w:rsidR="002047B0" w:rsidRPr="00473D3A">
        <w:rPr>
          <w:lang w:val="fr-FR"/>
        </w:rPr>
        <w:t xml:space="preserve"> sur les questions des droits</w:t>
      </w:r>
      <w:r w:rsidR="00A1586D">
        <w:rPr>
          <w:lang w:val="fr-FR"/>
        </w:rPr>
        <w:t xml:space="preserve"> humains</w:t>
      </w:r>
      <w:r w:rsidR="002047B0" w:rsidRPr="00473D3A">
        <w:rPr>
          <w:lang w:val="fr-FR"/>
        </w:rPr>
        <w:t xml:space="preserve"> des femmes en matière d’accès à la justice.</w:t>
      </w:r>
      <w:r w:rsidR="002047B0" w:rsidRPr="009C2781">
        <w:rPr>
          <w:lang w:val="fr-FR"/>
        </w:rPr>
        <w:t xml:space="preserve"> </w:t>
      </w:r>
    </w:p>
    <w:p w14:paraId="4A5B027A" w14:textId="77777777" w:rsidR="00F4352B" w:rsidRDefault="00F4352B" w:rsidP="00F4352B">
      <w:pPr>
        <w:ind w:left="-810"/>
        <w:jc w:val="both"/>
        <w:rPr>
          <w:lang w:val="fr-FR"/>
        </w:rPr>
      </w:pPr>
    </w:p>
    <w:p w14:paraId="207ACC94" w14:textId="2FDEAA1D" w:rsidR="00F004BF" w:rsidRDefault="00F4352B" w:rsidP="00F4352B">
      <w:pPr>
        <w:ind w:left="-810"/>
        <w:jc w:val="both"/>
        <w:rPr>
          <w:lang w:val="fr-FR"/>
        </w:rPr>
      </w:pPr>
      <w:r>
        <w:rPr>
          <w:lang w:val="fr-FR"/>
        </w:rPr>
        <w:t>En février 2020, à</w:t>
      </w:r>
      <w:r w:rsidR="00F004BF" w:rsidRPr="00F449D4">
        <w:rPr>
          <w:lang w:val="fr-FR"/>
        </w:rPr>
        <w:t xml:space="preserve"> l’issu</w:t>
      </w:r>
      <w:r w:rsidR="00F004BF">
        <w:rPr>
          <w:lang w:val="fr-FR"/>
        </w:rPr>
        <w:t xml:space="preserve">e </w:t>
      </w:r>
      <w:r>
        <w:rPr>
          <w:lang w:val="fr-FR"/>
        </w:rPr>
        <w:t>des assises criminelles de Bangui</w:t>
      </w:r>
      <w:r w:rsidR="00F004BF">
        <w:rPr>
          <w:lang w:val="fr-FR"/>
        </w:rPr>
        <w:t>, cinq</w:t>
      </w:r>
      <w:r w:rsidR="00F004BF" w:rsidRPr="00F449D4">
        <w:rPr>
          <w:lang w:val="fr-FR"/>
        </w:rPr>
        <w:t xml:space="preserve"> chefs de guerres ont été condamnés</w:t>
      </w:r>
      <w:r w:rsidR="00F004BF" w:rsidRPr="003D6046">
        <w:rPr>
          <w:lang w:val="fr-FR"/>
        </w:rPr>
        <w:t>, incluant pour crimes de guerre</w:t>
      </w:r>
      <w:r w:rsidR="00F004BF" w:rsidRPr="00F449D4">
        <w:rPr>
          <w:lang w:val="fr-FR"/>
        </w:rPr>
        <w:t xml:space="preserve">. </w:t>
      </w:r>
      <w:r w:rsidR="00A1586D">
        <w:rPr>
          <w:lang w:val="fr-FR"/>
        </w:rPr>
        <w:t>C</w:t>
      </w:r>
      <w:r w:rsidR="00F004BF" w:rsidRPr="00F449D4">
        <w:rPr>
          <w:lang w:val="fr-FR"/>
        </w:rPr>
        <w:t>ette session a connu une participation très active des avocats tant de la défense que des parties civiles (au</w:t>
      </w:r>
      <w:r w:rsidR="00F004BF">
        <w:rPr>
          <w:lang w:val="fr-FR"/>
        </w:rPr>
        <w:t xml:space="preserve"> </w:t>
      </w:r>
      <w:r w:rsidR="00F004BF" w:rsidRPr="00F449D4">
        <w:rPr>
          <w:lang w:val="fr-FR"/>
        </w:rPr>
        <w:t xml:space="preserve">nom de divers organisations des droits </w:t>
      </w:r>
      <w:r w:rsidR="000352E6">
        <w:rPr>
          <w:lang w:val="fr-FR"/>
        </w:rPr>
        <w:t>humains</w:t>
      </w:r>
      <w:r w:rsidR="00F004BF" w:rsidRPr="00F449D4">
        <w:rPr>
          <w:lang w:val="fr-FR"/>
        </w:rPr>
        <w:t xml:space="preserve"> comme l’AFJC, le </w:t>
      </w:r>
      <w:r w:rsidR="00F004BF">
        <w:rPr>
          <w:lang w:val="fr-FR"/>
        </w:rPr>
        <w:t>Fédération International</w:t>
      </w:r>
      <w:r w:rsidR="000352E6">
        <w:rPr>
          <w:lang w:val="fr-FR"/>
        </w:rPr>
        <w:t>e</w:t>
      </w:r>
      <w:r w:rsidR="00F004BF">
        <w:rPr>
          <w:lang w:val="fr-FR"/>
        </w:rPr>
        <w:t xml:space="preserve"> des droits de l'</w:t>
      </w:r>
      <w:r w:rsidR="000352E6">
        <w:rPr>
          <w:lang w:val="fr-FR"/>
        </w:rPr>
        <w:t>H</w:t>
      </w:r>
      <w:r w:rsidR="00F004BF">
        <w:rPr>
          <w:lang w:val="fr-FR"/>
        </w:rPr>
        <w:t>omme et</w:t>
      </w:r>
      <w:r w:rsidR="00F004BF" w:rsidRPr="00F449D4">
        <w:rPr>
          <w:lang w:val="fr-FR"/>
        </w:rPr>
        <w:t xml:space="preserve"> </w:t>
      </w:r>
      <w:r w:rsidR="00F004BF">
        <w:rPr>
          <w:lang w:val="fr-FR"/>
        </w:rPr>
        <w:t>Avocats sans frontières</w:t>
      </w:r>
      <w:r w:rsidR="00F004BF" w:rsidRPr="00F449D4">
        <w:rPr>
          <w:lang w:val="fr-FR"/>
        </w:rPr>
        <w:t>)</w:t>
      </w:r>
      <w:r w:rsidR="00F004BF">
        <w:rPr>
          <w:lang w:val="fr-FR"/>
        </w:rPr>
        <w:t xml:space="preserve">. Transmises en directe à la radio dans tout le pays, les assises criminelles ont augmenté </w:t>
      </w:r>
      <w:r w:rsidR="00722DD7">
        <w:rPr>
          <w:lang w:val="fr-FR"/>
        </w:rPr>
        <w:t xml:space="preserve">le niveau </w:t>
      </w:r>
      <w:proofErr w:type="gramStart"/>
      <w:r w:rsidR="00722DD7">
        <w:rPr>
          <w:lang w:val="fr-FR"/>
        </w:rPr>
        <w:t xml:space="preserve">de  </w:t>
      </w:r>
      <w:r w:rsidR="00F004BF">
        <w:rPr>
          <w:lang w:val="fr-FR"/>
        </w:rPr>
        <w:t>confiance</w:t>
      </w:r>
      <w:proofErr w:type="gramEnd"/>
      <w:r w:rsidR="00F004BF">
        <w:rPr>
          <w:lang w:val="fr-FR"/>
        </w:rPr>
        <w:t xml:space="preserve"> de la population dans la justice ordinaire et la lutte contre l'impunité dans le pays. Ceci a été reflété dans l</w:t>
      </w:r>
      <w:r w:rsidR="009A337D">
        <w:rPr>
          <w:lang w:val="fr-FR"/>
        </w:rPr>
        <w:t>e sondage de l’étude de perception de février 2020</w:t>
      </w:r>
      <w:r w:rsidR="00F004BF">
        <w:rPr>
          <w:lang w:val="fr-FR"/>
        </w:rPr>
        <w:t xml:space="preserve">, qui mentionne notamment que 76% de la population considère qu’il y a eu une amélioration du travail des acteurs de la justice ordinaire au cours de 12 derniers mois. A cet égard 49% de la </w:t>
      </w:r>
      <w:proofErr w:type="spellStart"/>
      <w:r w:rsidR="00F004BF">
        <w:rPr>
          <w:lang w:val="fr-FR"/>
        </w:rPr>
        <w:t>population</w:t>
      </w:r>
      <w:r w:rsidR="00722DD7">
        <w:rPr>
          <w:lang w:val="fr-FR"/>
        </w:rPr>
        <w:t>ont</w:t>
      </w:r>
      <w:proofErr w:type="spellEnd"/>
      <w:r w:rsidR="00F004BF">
        <w:rPr>
          <w:lang w:val="fr-FR"/>
        </w:rPr>
        <w:t xml:space="preserve"> indiqué préfér</w:t>
      </w:r>
      <w:r w:rsidR="00722DD7">
        <w:rPr>
          <w:lang w:val="fr-FR"/>
        </w:rPr>
        <w:t>er</w:t>
      </w:r>
      <w:r w:rsidR="00F004BF">
        <w:rPr>
          <w:lang w:val="fr-FR"/>
        </w:rPr>
        <w:t xml:space="preserve"> avoir recours à la justice ordinaire (contre 40% à la Cour Pénale Spéciale</w:t>
      </w:r>
      <w:r w:rsidR="00A1586D">
        <w:rPr>
          <w:lang w:val="fr-FR"/>
        </w:rPr>
        <w:t>, et 10% à la Cour Pénale Internationale</w:t>
      </w:r>
      <w:r w:rsidR="00F004BF">
        <w:rPr>
          <w:lang w:val="fr-FR"/>
        </w:rPr>
        <w:t xml:space="preserve">) en cas d’abus et de violences commises pendant le conflit. </w:t>
      </w:r>
    </w:p>
    <w:p w14:paraId="7CBE7ADA" w14:textId="77777777" w:rsidR="008F684C" w:rsidRPr="00D53328" w:rsidRDefault="008F684C" w:rsidP="00F004BF">
      <w:pPr>
        <w:jc w:val="both"/>
        <w:rPr>
          <w:b/>
          <w:lang w:val="fr-FR"/>
        </w:rPr>
      </w:pPr>
    </w:p>
    <w:p w14:paraId="285D663A" w14:textId="77777777" w:rsidR="00F004BF" w:rsidRPr="00476758" w:rsidRDefault="00F004BF" w:rsidP="00F004BF">
      <w:pPr>
        <w:jc w:val="both"/>
        <w:rPr>
          <w:b/>
          <w:u w:val="single"/>
          <w:lang w:val="fr-FR"/>
        </w:rPr>
      </w:pPr>
      <w:r w:rsidRPr="00476758">
        <w:rPr>
          <w:b/>
          <w:u w:val="single"/>
          <w:lang w:val="fr-FR"/>
        </w:rPr>
        <w:lastRenderedPageBreak/>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2278E6C" w14:textId="77777777" w:rsidR="00F004BF" w:rsidRPr="00476758" w:rsidRDefault="00F004BF" w:rsidP="00F004BF">
      <w:pPr>
        <w:jc w:val="both"/>
        <w:rPr>
          <w:b/>
          <w:u w:val="single"/>
          <w:lang w:val="fr-FR"/>
        </w:rPr>
      </w:pPr>
    </w:p>
    <w:p w14:paraId="628F91EC" w14:textId="77777777" w:rsidR="00F004BF" w:rsidRPr="00BF4E1E" w:rsidRDefault="00F004BF" w:rsidP="00F004BF">
      <w:pPr>
        <w:ind w:left="-810"/>
        <w:jc w:val="both"/>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8DDF446" w14:textId="77777777" w:rsidR="00F004BF" w:rsidRPr="005D15A3" w:rsidRDefault="00F004BF" w:rsidP="00F004BF">
      <w:pPr>
        <w:ind w:left="-810"/>
        <w:jc w:val="both"/>
        <w:rPr>
          <w:i/>
          <w:lang w:val="fr-FR"/>
        </w:rPr>
      </w:pPr>
      <w:r w:rsidRPr="005D15A3">
        <w:rPr>
          <w:i/>
          <w:lang w:val="fr-FR"/>
        </w:rPr>
        <w:t xml:space="preserve">. </w:t>
      </w:r>
    </w:p>
    <w:p w14:paraId="35F0E205" w14:textId="77777777" w:rsidR="00F004BF" w:rsidRPr="005D15A3" w:rsidRDefault="00F004BF" w:rsidP="00F004BF">
      <w:pPr>
        <w:numPr>
          <w:ilvl w:val="0"/>
          <w:numId w:val="46"/>
        </w:numPr>
        <w:jc w:val="both"/>
        <w:rPr>
          <w:i/>
          <w:lang w:val="fr-FR"/>
        </w:rPr>
      </w:pPr>
      <w:r w:rsidRPr="005D15A3">
        <w:rPr>
          <w:i/>
          <w:lang w:val="fr-FR"/>
        </w:rPr>
        <w:t xml:space="preserve">“On </w:t>
      </w:r>
      <w:proofErr w:type="spellStart"/>
      <w:r w:rsidRPr="005D15A3">
        <w:rPr>
          <w:i/>
          <w:lang w:val="fr-FR"/>
        </w:rPr>
        <w:t>track</w:t>
      </w:r>
      <w:proofErr w:type="spellEnd"/>
      <w:r w:rsidRPr="005D15A3">
        <w:rPr>
          <w:i/>
          <w:lang w:val="fr-FR"/>
        </w:rPr>
        <w:t>” – il s’agit de l'achèvement en temps voulu des produits</w:t>
      </w:r>
      <w:r>
        <w:rPr>
          <w:i/>
          <w:lang w:val="fr-FR"/>
        </w:rPr>
        <w:t xml:space="preserve"> du projet</w:t>
      </w:r>
      <w:r w:rsidRPr="005D15A3">
        <w:rPr>
          <w:i/>
          <w:lang w:val="fr-FR"/>
        </w:rPr>
        <w:t>, comme indiqué dans le plan de travail</w:t>
      </w:r>
      <w:r>
        <w:rPr>
          <w:i/>
          <w:lang w:val="fr-FR"/>
        </w:rPr>
        <w:t xml:space="preserve"> annuel ;</w:t>
      </w:r>
    </w:p>
    <w:p w14:paraId="751BA351" w14:textId="77777777" w:rsidR="00F004BF" w:rsidRPr="005D15A3" w:rsidRDefault="00F004BF" w:rsidP="00F004BF">
      <w:pPr>
        <w:numPr>
          <w:ilvl w:val="0"/>
          <w:numId w:val="46"/>
        </w:numPr>
        <w:jc w:val="both"/>
        <w:rPr>
          <w:i/>
          <w:lang w:val="fr-FR"/>
        </w:rPr>
      </w:pPr>
      <w:r w:rsidRPr="005D15A3">
        <w:rPr>
          <w:i/>
          <w:lang w:val="fr-FR"/>
        </w:rPr>
        <w:t xml:space="preserve"> “On </w:t>
      </w:r>
      <w:proofErr w:type="spellStart"/>
      <w:r w:rsidRPr="005D15A3">
        <w:rPr>
          <w:i/>
          <w:lang w:val="fr-FR"/>
        </w:rPr>
        <w:t>track</w:t>
      </w:r>
      <w:proofErr w:type="spellEnd"/>
      <w:r w:rsidRPr="005D15A3">
        <w:rPr>
          <w:i/>
          <w:lang w:val="fr-FR"/>
        </w:rPr>
        <w:t xml:space="preserve"> </w:t>
      </w:r>
      <w:proofErr w:type="spellStart"/>
      <w:r w:rsidRPr="005D15A3">
        <w:rPr>
          <w:i/>
          <w:lang w:val="fr-FR"/>
        </w:rPr>
        <w:t>with</w:t>
      </w:r>
      <w:proofErr w:type="spellEnd"/>
      <w:r w:rsidRPr="005D15A3">
        <w:rPr>
          <w:i/>
          <w:lang w:val="fr-FR"/>
        </w:rPr>
        <w:t xml:space="preserve"> </w:t>
      </w:r>
      <w:proofErr w:type="spellStart"/>
      <w:r w:rsidRPr="005D15A3">
        <w:rPr>
          <w:i/>
          <w:lang w:val="fr-FR"/>
        </w:rPr>
        <w:t>peacebuilding</w:t>
      </w:r>
      <w:proofErr w:type="spellEnd"/>
      <w:r w:rsidRPr="005D15A3">
        <w:rPr>
          <w:i/>
          <w:lang w:val="fr-FR"/>
        </w:rPr>
        <w:t xml:space="preserve"> </w:t>
      </w:r>
      <w:proofErr w:type="spellStart"/>
      <w:r w:rsidRPr="005D15A3">
        <w:rPr>
          <w:i/>
          <w:lang w:val="fr-FR"/>
        </w:rPr>
        <w:t>results</w:t>
      </w:r>
      <w:proofErr w:type="spellEnd"/>
      <w:r w:rsidRPr="005D15A3">
        <w:rPr>
          <w:i/>
          <w:lang w:val="fr-FR"/>
        </w:rPr>
        <w:t>” -</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405561E5" w14:textId="77777777" w:rsidR="00F004BF" w:rsidRPr="005D15A3" w:rsidRDefault="00F004BF" w:rsidP="00F004BF">
      <w:pPr>
        <w:jc w:val="both"/>
        <w:rPr>
          <w:i/>
          <w:lang w:val="fr-FR"/>
        </w:rPr>
      </w:pPr>
    </w:p>
    <w:p w14:paraId="2699779E" w14:textId="77777777" w:rsidR="00F004BF" w:rsidRPr="005D15A3" w:rsidRDefault="00F004BF" w:rsidP="00F004BF">
      <w:pPr>
        <w:ind w:left="-810"/>
        <w:jc w:val="both"/>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688EB1AD" w14:textId="77777777" w:rsidR="00F004BF" w:rsidRPr="005D15A3" w:rsidRDefault="00F004BF" w:rsidP="00F004BF">
      <w:pPr>
        <w:jc w:val="both"/>
        <w:rPr>
          <w:b/>
          <w:u w:val="single"/>
          <w:lang w:val="fr-FR"/>
        </w:rPr>
      </w:pPr>
    </w:p>
    <w:p w14:paraId="45432C6A" w14:textId="7CCE8F1F" w:rsidR="00F004BF" w:rsidRPr="00615EA3" w:rsidRDefault="00F004BF" w:rsidP="00F004BF">
      <w:pPr>
        <w:ind w:left="-720"/>
        <w:jc w:val="both"/>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636E71">
        <w:rPr>
          <w:b/>
          <w:bCs/>
          <w:lang w:val="fr-FR"/>
        </w:rPr>
        <w:t>Les institutions du secteur de la justice et les mécanismes de justice transitionnelle sont capables de fournir des services de qualité répondant aux besoins des populations, en particulier des victimes</w:t>
      </w:r>
      <w:r w:rsidR="00EA29C7">
        <w:rPr>
          <w:b/>
          <w:bCs/>
          <w:lang w:val="fr-FR"/>
        </w:rPr>
        <w:t>.</w:t>
      </w:r>
    </w:p>
    <w:p w14:paraId="3D0BADEF" w14:textId="77777777" w:rsidR="00F004BF" w:rsidRPr="00615EA3" w:rsidRDefault="00F004BF" w:rsidP="00F004BF">
      <w:pPr>
        <w:ind w:left="-720"/>
        <w:jc w:val="both"/>
        <w:rPr>
          <w:b/>
          <w:lang w:val="fr-FR"/>
        </w:rPr>
      </w:pPr>
    </w:p>
    <w:p w14:paraId="041C71FC" w14:textId="7C917ADC" w:rsidR="00F004BF" w:rsidRPr="00615EA3"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Pr>
          <w:b/>
          <w:lang w:val="fr-FR"/>
        </w:rPr>
        <w:t>O</w:t>
      </w:r>
      <w:r w:rsidR="000352E6">
        <w:rPr>
          <w:b/>
          <w:lang w:val="fr-FR"/>
        </w:rPr>
        <w:t>n</w:t>
      </w:r>
      <w:r>
        <w:rPr>
          <w:b/>
          <w:lang w:val="fr-FR"/>
        </w:rPr>
        <w:t xml:space="preserve"> Track</w:t>
      </w:r>
      <w:r w:rsidR="000352E6">
        <w:rPr>
          <w:rStyle w:val="FootnoteReference"/>
          <w:b/>
          <w:lang w:val="fr-FR"/>
        </w:rPr>
        <w:footnoteReference w:id="2"/>
      </w:r>
    </w:p>
    <w:p w14:paraId="524D80F3" w14:textId="77777777" w:rsidR="00F004BF" w:rsidRPr="005D15A3" w:rsidRDefault="00F004BF" w:rsidP="00F004BF">
      <w:pPr>
        <w:ind w:left="-720"/>
        <w:jc w:val="both"/>
        <w:rPr>
          <w:b/>
          <w:lang w:val="fr-FR"/>
        </w:rPr>
      </w:pPr>
    </w:p>
    <w:p w14:paraId="0258D128" w14:textId="0E63443D" w:rsidR="00F004BF" w:rsidRPr="005D15A3" w:rsidRDefault="008F684C" w:rsidP="00F004BF">
      <w:pPr>
        <w:ind w:left="-720"/>
        <w:jc w:val="both"/>
        <w:rPr>
          <w:i/>
          <w:lang w:val="fr-FR"/>
        </w:rPr>
      </w:pPr>
      <w:r w:rsidRPr="005D15A3">
        <w:rPr>
          <w:b/>
          <w:lang w:val="fr-FR"/>
        </w:rPr>
        <w:t>Résumé</w:t>
      </w:r>
      <w:r w:rsidR="00F004BF" w:rsidRPr="005D15A3">
        <w:rPr>
          <w:b/>
          <w:lang w:val="fr-FR"/>
        </w:rPr>
        <w:t xml:space="preserve"> de </w:t>
      </w:r>
      <w:proofErr w:type="gramStart"/>
      <w:r w:rsidR="00F004BF" w:rsidRPr="005D15A3">
        <w:rPr>
          <w:rFonts w:ascii="inherit" w:hAnsi="inherit"/>
          <w:b/>
          <w:bCs/>
          <w:color w:val="212121"/>
          <w:lang w:val="fr-FR"/>
        </w:rPr>
        <w:t>progrès</w:t>
      </w:r>
      <w:r w:rsidR="00F004BF" w:rsidRPr="005D15A3">
        <w:rPr>
          <w:b/>
          <w:lang w:val="fr-FR"/>
        </w:rPr>
        <w:t>:</w:t>
      </w:r>
      <w:proofErr w:type="gramEnd"/>
      <w:r w:rsidR="00F004BF" w:rsidRPr="005D15A3">
        <w:rPr>
          <w:b/>
          <w:lang w:val="fr-FR"/>
        </w:rPr>
        <w:t xml:space="preserve"> </w:t>
      </w:r>
      <w:r w:rsidR="00F004BF">
        <w:rPr>
          <w:rFonts w:ascii="inherit" w:hAnsi="inherit"/>
          <w:color w:val="212121"/>
          <w:lang w:val="fr-FR"/>
        </w:rPr>
        <w:t>(Limite de 3000 caractères)</w:t>
      </w:r>
    </w:p>
    <w:p w14:paraId="7D5C7203" w14:textId="77777777" w:rsidR="00506BB9" w:rsidRDefault="00506BB9" w:rsidP="00506BB9">
      <w:pPr>
        <w:ind w:left="-720"/>
        <w:jc w:val="both"/>
        <w:rPr>
          <w:lang w:val="fr-FR"/>
        </w:rPr>
      </w:pPr>
    </w:p>
    <w:p w14:paraId="245CAE12" w14:textId="40302F24" w:rsidR="00197745" w:rsidRPr="00506BB9" w:rsidRDefault="004364B2" w:rsidP="00506BB9">
      <w:pPr>
        <w:ind w:left="-720"/>
        <w:jc w:val="both"/>
        <w:rPr>
          <w:lang w:val="fr-FR"/>
        </w:rPr>
      </w:pPr>
      <w:r w:rsidRPr="00506BB9">
        <w:rPr>
          <w:lang w:val="fr-FR"/>
        </w:rPr>
        <w:t xml:space="preserve">Ce résultat a </w:t>
      </w:r>
      <w:proofErr w:type="spellStart"/>
      <w:r w:rsidR="00722DD7">
        <w:rPr>
          <w:lang w:val="fr-FR"/>
        </w:rPr>
        <w:t>a</w:t>
      </w:r>
      <w:proofErr w:type="spellEnd"/>
      <w:r w:rsidR="00722DD7">
        <w:rPr>
          <w:lang w:val="fr-FR"/>
        </w:rPr>
        <w:t xml:space="preserve"> été</w:t>
      </w:r>
      <w:r w:rsidRPr="00506BB9">
        <w:rPr>
          <w:lang w:val="fr-FR"/>
        </w:rPr>
        <w:t xml:space="preserve"> probant et stratégique en 2020. </w:t>
      </w:r>
      <w:r w:rsidR="00F004BF" w:rsidRPr="00506BB9">
        <w:rPr>
          <w:lang w:val="fr-FR"/>
        </w:rPr>
        <w:t xml:space="preserve">Le projet </w:t>
      </w:r>
      <w:r w:rsidR="008924C7" w:rsidRPr="00506BB9">
        <w:rPr>
          <w:lang w:val="fr-FR"/>
        </w:rPr>
        <w:t>appuie la mise en œuvre</w:t>
      </w:r>
      <w:r w:rsidR="00F004BF" w:rsidRPr="00506BB9">
        <w:rPr>
          <w:lang w:val="fr-FR"/>
        </w:rPr>
        <w:t xml:space="preserve"> de la politique sectorielle de la justice (PSJ)</w:t>
      </w:r>
      <w:r w:rsidRPr="00506BB9">
        <w:rPr>
          <w:lang w:val="fr-FR"/>
        </w:rPr>
        <w:t xml:space="preserve">, </w:t>
      </w:r>
      <w:proofErr w:type="gramStart"/>
      <w:r w:rsidRPr="00506BB9">
        <w:rPr>
          <w:lang w:val="fr-FR"/>
        </w:rPr>
        <w:t>suite à</w:t>
      </w:r>
      <w:proofErr w:type="gramEnd"/>
      <w:r w:rsidRPr="00506BB9">
        <w:rPr>
          <w:lang w:val="fr-FR"/>
        </w:rPr>
        <w:t xml:space="preserve"> l’appui à son élaboration. Bien qu’en raison de la COVID-19</w:t>
      </w:r>
      <w:r w:rsidR="00722DD7">
        <w:rPr>
          <w:lang w:val="fr-FR"/>
        </w:rPr>
        <w:t>,</w:t>
      </w:r>
      <w:r w:rsidRPr="00506BB9">
        <w:rPr>
          <w:lang w:val="fr-FR"/>
        </w:rPr>
        <w:t xml:space="preserve"> la mise en œuvre ait été ralentie, le premier Comité de Pilotage a eu lieu</w:t>
      </w:r>
      <w:r w:rsidR="00722DD7">
        <w:rPr>
          <w:lang w:val="fr-FR"/>
        </w:rPr>
        <w:t>,</w:t>
      </w:r>
      <w:r w:rsidRPr="00506BB9">
        <w:rPr>
          <w:lang w:val="fr-FR"/>
        </w:rPr>
        <w:t xml:space="preserve"> présidé par le Ministre de la Justice, et des réunions des Groupes Thématiques créés par l’Arrêté – 6 en total – se tiennent </w:t>
      </w:r>
      <w:proofErr w:type="spellStart"/>
      <w:r w:rsidRPr="00506BB9">
        <w:rPr>
          <w:lang w:val="fr-FR"/>
        </w:rPr>
        <w:t>desormais</w:t>
      </w:r>
      <w:proofErr w:type="spellEnd"/>
      <w:r w:rsidRPr="00506BB9">
        <w:rPr>
          <w:lang w:val="fr-FR"/>
        </w:rPr>
        <w:t xml:space="preserve"> </w:t>
      </w:r>
      <w:proofErr w:type="spellStart"/>
      <w:r w:rsidRPr="00506BB9">
        <w:rPr>
          <w:lang w:val="fr-FR"/>
        </w:rPr>
        <w:t>regulièrement</w:t>
      </w:r>
      <w:proofErr w:type="spellEnd"/>
      <w:r w:rsidRPr="00506BB9">
        <w:rPr>
          <w:lang w:val="fr-FR"/>
        </w:rPr>
        <w:t xml:space="preserve"> avec toutes les parties prenantes étatiques (gouvernement et pouvoir judiciaire), de la société civile ainsi que de</w:t>
      </w:r>
      <w:r>
        <w:rPr>
          <w:lang w:val="fr-FR"/>
        </w:rPr>
        <w:t xml:space="preserve"> la communauté internationale. Chaque groupe a élaboré et adopté des plans opérationnels, dont la mise en œuvre est </w:t>
      </w:r>
      <w:proofErr w:type="gramStart"/>
      <w:r>
        <w:rPr>
          <w:lang w:val="fr-FR"/>
        </w:rPr>
        <w:t>suivi</w:t>
      </w:r>
      <w:proofErr w:type="gramEnd"/>
      <w:r>
        <w:rPr>
          <w:lang w:val="fr-FR"/>
        </w:rPr>
        <w:t xml:space="preserve"> conjointement et présentés durant les réunions de coordination mensuelles. Le projet </w:t>
      </w:r>
      <w:proofErr w:type="spellStart"/>
      <w:r>
        <w:rPr>
          <w:lang w:val="fr-FR"/>
        </w:rPr>
        <w:t>co</w:t>
      </w:r>
      <w:proofErr w:type="spellEnd"/>
      <w:r>
        <w:rPr>
          <w:lang w:val="fr-FR"/>
        </w:rPr>
        <w:t xml:space="preserve">-lead les groupes sur la demande de justice et sur la justice transitionnelle et participe activement au sein de tous les groupes, facilitant ainsi les cadres de coordination et la complémentarité entre les différentes institutions nationales du domaine. </w:t>
      </w:r>
    </w:p>
    <w:p w14:paraId="0B3E5F0D" w14:textId="3E1AB121" w:rsidR="007317E1" w:rsidRDefault="007317E1" w:rsidP="00197745">
      <w:pPr>
        <w:ind w:left="-720"/>
        <w:jc w:val="both"/>
        <w:rPr>
          <w:lang w:val="fr-FR"/>
        </w:rPr>
      </w:pPr>
    </w:p>
    <w:p w14:paraId="5F45A2C1" w14:textId="138D5EA8" w:rsidR="007317E1" w:rsidRDefault="004364B2" w:rsidP="008F2372">
      <w:pPr>
        <w:ind w:left="-720"/>
        <w:jc w:val="both"/>
        <w:rPr>
          <w:lang w:val="fr-FR"/>
        </w:rPr>
      </w:pPr>
      <w:r>
        <w:rPr>
          <w:lang w:val="fr-FR"/>
        </w:rPr>
        <w:t>Afin de permettre le fonctionnement des mécanismes de la PSJ, ainsi que du travail judiciaire, en temps de COVID</w:t>
      </w:r>
      <w:r w:rsidR="00722DD7">
        <w:rPr>
          <w:lang w:val="fr-FR"/>
        </w:rPr>
        <w:t>-19</w:t>
      </w:r>
      <w:r>
        <w:rPr>
          <w:lang w:val="fr-FR"/>
        </w:rPr>
        <w:t xml:space="preserve">, le Projet a remis des matériels de prévention </w:t>
      </w:r>
      <w:r w:rsidR="00722DD7">
        <w:rPr>
          <w:lang w:val="fr-FR"/>
        </w:rPr>
        <w:t>contre la pandémie</w:t>
      </w:r>
      <w:r>
        <w:rPr>
          <w:lang w:val="fr-FR"/>
        </w:rPr>
        <w:t xml:space="preserve"> à tout le secteur</w:t>
      </w:r>
      <w:r w:rsidR="00914B87">
        <w:rPr>
          <w:lang w:val="fr-FR"/>
        </w:rPr>
        <w:t>.</w:t>
      </w:r>
    </w:p>
    <w:p w14:paraId="128EA769" w14:textId="77777777" w:rsidR="00F004BF" w:rsidRDefault="00F004BF" w:rsidP="00F004BF">
      <w:pPr>
        <w:jc w:val="both"/>
        <w:rPr>
          <w:lang w:val="fr-FR"/>
        </w:rPr>
      </w:pPr>
    </w:p>
    <w:p w14:paraId="05B91A79" w14:textId="0A698F4B" w:rsidR="00F004BF" w:rsidRPr="008F2372" w:rsidRDefault="00F004BF" w:rsidP="00F004BF">
      <w:pPr>
        <w:ind w:left="-720"/>
        <w:jc w:val="both"/>
        <w:rPr>
          <w:lang w:val="fr-FR"/>
        </w:rPr>
      </w:pPr>
      <w:r>
        <w:rPr>
          <w:lang w:val="fr-FR"/>
        </w:rPr>
        <w:t xml:space="preserve">Avec l'appui technique du Projet, la </w:t>
      </w:r>
      <w:r w:rsidR="00BB74F5" w:rsidRPr="00B0451A">
        <w:rPr>
          <w:lang w:val="fr-FR"/>
        </w:rPr>
        <w:t xml:space="preserve">loi No 20.005 du 14 janvier 2020 portant organisation de l’aide </w:t>
      </w:r>
      <w:r w:rsidR="008F684C" w:rsidRPr="00B0451A">
        <w:rPr>
          <w:lang w:val="fr-FR"/>
        </w:rPr>
        <w:t>légale</w:t>
      </w:r>
      <w:r w:rsidR="00BB74F5" w:rsidRPr="00B0451A">
        <w:rPr>
          <w:lang w:val="fr-FR"/>
        </w:rPr>
        <w:t xml:space="preserve"> en </w:t>
      </w:r>
      <w:r w:rsidR="008F684C" w:rsidRPr="00B0451A">
        <w:rPr>
          <w:lang w:val="fr-FR"/>
        </w:rPr>
        <w:t>République</w:t>
      </w:r>
      <w:r w:rsidR="00BB74F5" w:rsidRPr="00B0451A">
        <w:rPr>
          <w:lang w:val="fr-FR"/>
        </w:rPr>
        <w:t xml:space="preserve"> </w:t>
      </w:r>
      <w:r w:rsidR="008F684C" w:rsidRPr="00B0451A">
        <w:rPr>
          <w:lang w:val="fr-FR"/>
        </w:rPr>
        <w:t>Centrafricaine,</w:t>
      </w:r>
      <w:r>
        <w:rPr>
          <w:lang w:val="fr-FR"/>
        </w:rPr>
        <w:t xml:space="preserve"> marquant une étape essentielle pour mettre en place les mécanismes d'offre et demande de la justice ordinaire et transitionnelle. A cet égard</w:t>
      </w:r>
      <w:r w:rsidRPr="00430794">
        <w:rPr>
          <w:lang w:val="fr-FR"/>
        </w:rPr>
        <w:t xml:space="preserve">, </w:t>
      </w:r>
      <w:r w:rsidR="009A337D">
        <w:rPr>
          <w:lang w:val="fr-FR"/>
        </w:rPr>
        <w:t xml:space="preserve">et dans le cadre du Groupe Thématique de la PSJ sur la demande de la Justice, </w:t>
      </w:r>
      <w:r w:rsidRPr="00430794">
        <w:rPr>
          <w:lang w:val="fr-FR"/>
        </w:rPr>
        <w:t xml:space="preserve">des concertations sont en cours avec le Barreau, le Ministère de la Justice et la société civile afin d'opérationnaliser </w:t>
      </w:r>
      <w:r w:rsidRPr="00430794">
        <w:rPr>
          <w:lang w:val="fr-FR"/>
        </w:rPr>
        <w:lastRenderedPageBreak/>
        <w:t>les mécanismes d'offre d'aide légale stipulés dans la loi, incluant l'appui aux cliniques juridiques de la société civile</w:t>
      </w:r>
      <w:r>
        <w:rPr>
          <w:lang w:val="fr-FR"/>
        </w:rPr>
        <w:t>.</w:t>
      </w:r>
      <w:r w:rsidR="00992A2A">
        <w:rPr>
          <w:lang w:val="fr-FR"/>
        </w:rPr>
        <w:t xml:space="preserve"> Le Projet </w:t>
      </w:r>
      <w:r w:rsidR="00F16936">
        <w:rPr>
          <w:lang w:val="fr-FR"/>
        </w:rPr>
        <w:t>apporte</w:t>
      </w:r>
      <w:r w:rsidR="00992A2A">
        <w:rPr>
          <w:lang w:val="fr-FR"/>
        </w:rPr>
        <w:t xml:space="preserve"> notamment </w:t>
      </w:r>
      <w:r w:rsidR="00F16936">
        <w:rPr>
          <w:lang w:val="fr-FR"/>
        </w:rPr>
        <w:t xml:space="preserve">un appui technique à </w:t>
      </w:r>
      <w:r w:rsidR="00992A2A">
        <w:rPr>
          <w:lang w:val="fr-FR"/>
        </w:rPr>
        <w:t>l</w:t>
      </w:r>
      <w:r w:rsidR="003F26A7">
        <w:rPr>
          <w:lang w:val="fr-FR"/>
        </w:rPr>
        <w:t>a</w:t>
      </w:r>
      <w:r w:rsidR="00992A2A">
        <w:rPr>
          <w:lang w:val="fr-FR"/>
        </w:rPr>
        <w:t xml:space="preserve"> réd</w:t>
      </w:r>
      <w:r w:rsidR="003F26A7">
        <w:rPr>
          <w:lang w:val="fr-FR"/>
        </w:rPr>
        <w:t>a</w:t>
      </w:r>
      <w:r w:rsidR="00992A2A">
        <w:rPr>
          <w:lang w:val="fr-FR"/>
        </w:rPr>
        <w:t>ction d</w:t>
      </w:r>
      <w:r w:rsidR="009A337D">
        <w:rPr>
          <w:lang w:val="fr-FR"/>
        </w:rPr>
        <w:t>es textes d’application de la loi, notamment le Décret</w:t>
      </w:r>
      <w:r w:rsidR="00992A2A">
        <w:rPr>
          <w:lang w:val="fr-FR"/>
        </w:rPr>
        <w:t xml:space="preserve"> port</w:t>
      </w:r>
      <w:r w:rsidR="003F26A7">
        <w:rPr>
          <w:lang w:val="fr-FR"/>
        </w:rPr>
        <w:t>a</w:t>
      </w:r>
      <w:r w:rsidR="00992A2A">
        <w:rPr>
          <w:lang w:val="fr-FR"/>
        </w:rPr>
        <w:t xml:space="preserve">nt organisation et </w:t>
      </w:r>
      <w:r w:rsidR="00992A2A" w:rsidRPr="008F2372">
        <w:rPr>
          <w:lang w:val="fr-FR"/>
        </w:rPr>
        <w:t xml:space="preserve">fonctionnement du Comité National d’Aide Légale </w:t>
      </w:r>
      <w:r w:rsidR="009A337D" w:rsidRPr="008F2372">
        <w:rPr>
          <w:lang w:val="fr-FR"/>
        </w:rPr>
        <w:t xml:space="preserve">et son Fonds, </w:t>
      </w:r>
      <w:r w:rsidR="003F26A7" w:rsidRPr="008F2372">
        <w:rPr>
          <w:lang w:val="fr-FR"/>
        </w:rPr>
        <w:t>et appuiera son opérationnalisation</w:t>
      </w:r>
      <w:r w:rsidR="00992A2A" w:rsidRPr="008F2372">
        <w:rPr>
          <w:lang w:val="fr-FR"/>
        </w:rPr>
        <w:t xml:space="preserve">. </w:t>
      </w:r>
    </w:p>
    <w:p w14:paraId="293957B2" w14:textId="2F983F8A" w:rsidR="00F004BF" w:rsidRPr="008F2372" w:rsidRDefault="00F004BF" w:rsidP="00F004BF">
      <w:pPr>
        <w:ind w:left="-720"/>
        <w:jc w:val="both"/>
        <w:rPr>
          <w:lang w:val="fr-FR"/>
        </w:rPr>
      </w:pPr>
    </w:p>
    <w:p w14:paraId="7ECA4BE0" w14:textId="3C5DB6D4" w:rsidR="00914B87" w:rsidRDefault="00914B87" w:rsidP="00F004BF">
      <w:pPr>
        <w:ind w:left="-720"/>
        <w:jc w:val="both"/>
        <w:rPr>
          <w:lang w:val="fr-FR"/>
        </w:rPr>
      </w:pPr>
      <w:r w:rsidRPr="008F2372">
        <w:rPr>
          <w:lang w:val="fr-FR"/>
        </w:rPr>
        <w:t>De plus, le Projet a appuyé l'édition et la diffusion en format livret de la PSJ et son plan d'action, ainsi que du texte de loi sur l’Aide Légale.</w:t>
      </w:r>
    </w:p>
    <w:p w14:paraId="723BB62F" w14:textId="77777777" w:rsidR="00914B87" w:rsidRDefault="00914B87" w:rsidP="00F004BF">
      <w:pPr>
        <w:ind w:left="-720"/>
        <w:jc w:val="both"/>
        <w:rPr>
          <w:lang w:val="fr-FR"/>
        </w:rPr>
      </w:pPr>
    </w:p>
    <w:p w14:paraId="7FD3DFD6" w14:textId="3175200F" w:rsidR="00311F57" w:rsidRPr="00311F57" w:rsidRDefault="009A337D" w:rsidP="00522B0D">
      <w:pPr>
        <w:ind w:left="-720"/>
        <w:jc w:val="both"/>
        <w:rPr>
          <w:lang w:val="fr-FR"/>
        </w:rPr>
      </w:pPr>
      <w:r>
        <w:rPr>
          <w:lang w:val="fr-FR"/>
        </w:rPr>
        <w:t xml:space="preserve">En vue de l’appui à l’organisation des </w:t>
      </w:r>
      <w:r w:rsidR="00F004BF" w:rsidRPr="00F449D4">
        <w:rPr>
          <w:lang w:val="fr-FR"/>
        </w:rPr>
        <w:t>session</w:t>
      </w:r>
      <w:r>
        <w:rPr>
          <w:lang w:val="fr-FR"/>
        </w:rPr>
        <w:t>s</w:t>
      </w:r>
      <w:r w:rsidR="00F004BF" w:rsidRPr="00F449D4">
        <w:rPr>
          <w:lang w:val="fr-FR"/>
        </w:rPr>
        <w:t xml:space="preserve"> criminelle</w:t>
      </w:r>
      <w:r>
        <w:rPr>
          <w:lang w:val="fr-FR"/>
        </w:rPr>
        <w:t>s</w:t>
      </w:r>
      <w:r w:rsidR="00F004BF" w:rsidRPr="00F449D4">
        <w:rPr>
          <w:lang w:val="fr-FR"/>
        </w:rPr>
        <w:t>, il est apparu déterminant d</w:t>
      </w:r>
      <w:r w:rsidR="00F004BF">
        <w:rPr>
          <w:lang w:val="fr-FR"/>
        </w:rPr>
        <w:t>'améliorer l'encadrement</w:t>
      </w:r>
      <w:r w:rsidR="00F004BF" w:rsidRPr="00F449D4">
        <w:rPr>
          <w:lang w:val="fr-FR"/>
        </w:rPr>
        <w:t xml:space="preserve"> </w:t>
      </w:r>
      <w:r w:rsidR="00F004BF">
        <w:rPr>
          <w:lang w:val="fr-FR"/>
        </w:rPr>
        <w:t>et l'organisation d</w:t>
      </w:r>
      <w:r w:rsidR="00F004BF" w:rsidRPr="00F449D4">
        <w:rPr>
          <w:lang w:val="fr-FR"/>
        </w:rPr>
        <w:t>es sessions afin d’assurer une meilleure qualité</w:t>
      </w:r>
      <w:r w:rsidR="00F4352B">
        <w:rPr>
          <w:lang w:val="fr-FR"/>
        </w:rPr>
        <w:t>,</w:t>
      </w:r>
      <w:r w:rsidR="00F004BF" w:rsidRPr="00F449D4">
        <w:rPr>
          <w:lang w:val="fr-FR"/>
        </w:rPr>
        <w:t xml:space="preserve"> efficacité et complémentarité entre la CPS et les juridictions ordinaires. </w:t>
      </w:r>
      <w:r w:rsidR="00F004BF">
        <w:rPr>
          <w:lang w:val="fr-FR"/>
        </w:rPr>
        <w:t>Le</w:t>
      </w:r>
      <w:r w:rsidR="00F004BF" w:rsidRPr="00F449D4">
        <w:rPr>
          <w:lang w:val="fr-FR"/>
        </w:rPr>
        <w:t xml:space="preserve"> PNUD et </w:t>
      </w:r>
      <w:r>
        <w:rPr>
          <w:lang w:val="fr-FR"/>
        </w:rPr>
        <w:t>ABA</w:t>
      </w:r>
      <w:r w:rsidR="00F004BF" w:rsidRPr="00F449D4">
        <w:rPr>
          <w:lang w:val="fr-FR"/>
        </w:rPr>
        <w:t xml:space="preserve"> ont</w:t>
      </w:r>
      <w:r w:rsidR="00F004BF">
        <w:rPr>
          <w:lang w:val="fr-FR"/>
        </w:rPr>
        <w:t xml:space="preserve"> ainsi</w:t>
      </w:r>
      <w:r w:rsidR="00F004BF" w:rsidRPr="00F449D4">
        <w:rPr>
          <w:lang w:val="fr-FR"/>
        </w:rPr>
        <w:t xml:space="preserve"> contribué à ce que le Ministère de </w:t>
      </w:r>
      <w:r w:rsidR="00F004BF">
        <w:rPr>
          <w:lang w:val="fr-FR"/>
        </w:rPr>
        <w:t xml:space="preserve">la Justice, </w:t>
      </w:r>
      <w:r w:rsidR="00F004BF" w:rsidRPr="00F449D4">
        <w:rPr>
          <w:lang w:val="fr-FR"/>
        </w:rPr>
        <w:t>les autorités judiciaires ordinaires des Cour</w:t>
      </w:r>
      <w:r w:rsidR="00F4352B">
        <w:rPr>
          <w:lang w:val="fr-FR"/>
        </w:rPr>
        <w:t>s</w:t>
      </w:r>
      <w:r w:rsidR="00F004BF" w:rsidRPr="00F449D4">
        <w:rPr>
          <w:lang w:val="fr-FR"/>
        </w:rPr>
        <w:t xml:space="preserve"> d’appel, la CPS et le Barreau organisent un atelier technique sur l’encadrement et l’organisation des sessions criminelles</w:t>
      </w:r>
      <w:r w:rsidR="007402F6">
        <w:rPr>
          <w:lang w:val="fr-FR"/>
        </w:rPr>
        <w:t xml:space="preserve">. </w:t>
      </w:r>
      <w:r w:rsidR="00F004BF" w:rsidRPr="00F449D4">
        <w:rPr>
          <w:lang w:val="fr-FR"/>
        </w:rPr>
        <w:t xml:space="preserve">Les résultats ont été probants </w:t>
      </w:r>
      <w:r w:rsidR="0058228D">
        <w:rPr>
          <w:lang w:val="fr-FR"/>
        </w:rPr>
        <w:t xml:space="preserve">avec la signature d’un </w:t>
      </w:r>
      <w:r w:rsidR="00F004BF" w:rsidRPr="00F449D4">
        <w:rPr>
          <w:lang w:val="fr-FR"/>
        </w:rPr>
        <w:t>«</w:t>
      </w:r>
      <w:r w:rsidR="00F004BF" w:rsidRPr="00294085">
        <w:rPr>
          <w:lang w:val="fr-FR"/>
        </w:rPr>
        <w:t>’</w:t>
      </w:r>
      <w:r w:rsidR="0058228D">
        <w:rPr>
          <w:lang w:val="fr-FR"/>
        </w:rPr>
        <w:t>A</w:t>
      </w:r>
      <w:r w:rsidR="00F004BF" w:rsidRPr="00294085">
        <w:rPr>
          <w:lang w:val="fr-FR"/>
        </w:rPr>
        <w:t>rrêté portant création du comité préparatoire des sessions criminelles au sein des Cours d’appel »</w:t>
      </w:r>
      <w:r>
        <w:rPr>
          <w:lang w:val="fr-FR"/>
        </w:rPr>
        <w:t xml:space="preserve">. </w:t>
      </w:r>
      <w:r w:rsidR="00311F57" w:rsidRPr="00311F57">
        <w:rPr>
          <w:lang w:val="fr-FR"/>
        </w:rPr>
        <w:t xml:space="preserve">Le projet a accompagné le lancement et l’opérationnalisation du Comité préparatoire des sessions criminelles au sein de la Cour d’appel de Bangui et de Bouar, permettant aux acteurs judiciaires de démarrer les activités préliminaires à l’organisation d’une session criminelle au titre de l’année 2020 et promouvoir la concertation et la complémentarité entre toutes les entités compétentes. De manière spécifique, ces activités concourent à s’assurer que les dossiers enrôlés à Bangui et à Bouar seront effectivement en état d’être jugés. En outre, ce cadre a permis de convenir des modalités spécifiques de prévention contre la propagation de la COVID-19 à mettre en place durant les sessions criminelles. </w:t>
      </w:r>
    </w:p>
    <w:p w14:paraId="7E3EFEEA" w14:textId="77777777" w:rsidR="00311F57" w:rsidRPr="00311F57" w:rsidRDefault="00311F57" w:rsidP="00311F57">
      <w:pPr>
        <w:ind w:left="-720"/>
        <w:jc w:val="both"/>
        <w:rPr>
          <w:lang w:val="fr-FR"/>
        </w:rPr>
      </w:pPr>
    </w:p>
    <w:p w14:paraId="320BA6FE" w14:textId="594DAFA9" w:rsidR="00457AF8" w:rsidRDefault="00311F57" w:rsidP="00311F57">
      <w:pPr>
        <w:ind w:left="-720"/>
        <w:jc w:val="both"/>
        <w:rPr>
          <w:lang w:val="fr-FR"/>
        </w:rPr>
      </w:pPr>
      <w:r w:rsidRPr="00311F57">
        <w:rPr>
          <w:lang w:val="fr-FR"/>
        </w:rPr>
        <w:t xml:space="preserve">Afin de renforcer l’accès à la justice des populations les plus éloignées géographiquement des chefs lieu des Cours et de juridictions, le projet a fourni l’appui nécessaire à l’organisation d’audiences </w:t>
      </w:r>
      <w:r w:rsidR="009A337D">
        <w:rPr>
          <w:lang w:val="fr-FR"/>
        </w:rPr>
        <w:t xml:space="preserve">foraines </w:t>
      </w:r>
      <w:r w:rsidRPr="00311F57">
        <w:rPr>
          <w:lang w:val="fr-FR"/>
        </w:rPr>
        <w:t xml:space="preserve">correctionnelles, instructions foraines et audiences civiles à </w:t>
      </w:r>
      <w:proofErr w:type="spellStart"/>
      <w:r w:rsidRPr="00311F57">
        <w:rPr>
          <w:lang w:val="fr-FR"/>
        </w:rPr>
        <w:t>B</w:t>
      </w:r>
      <w:r w:rsidR="00722DD7">
        <w:rPr>
          <w:lang w:val="fr-FR"/>
        </w:rPr>
        <w:t>é</w:t>
      </w:r>
      <w:r w:rsidRPr="00311F57">
        <w:rPr>
          <w:lang w:val="fr-FR"/>
        </w:rPr>
        <w:t>loko</w:t>
      </w:r>
      <w:proofErr w:type="spellEnd"/>
      <w:r w:rsidRPr="00311F57">
        <w:rPr>
          <w:lang w:val="fr-FR"/>
        </w:rPr>
        <w:t>, ressort du T</w:t>
      </w:r>
      <w:r w:rsidR="00722DD7">
        <w:rPr>
          <w:lang w:val="fr-FR"/>
        </w:rPr>
        <w:t>r</w:t>
      </w:r>
      <w:r w:rsidR="002013C9">
        <w:rPr>
          <w:lang w:val="fr-FR"/>
        </w:rPr>
        <w:t>i</w:t>
      </w:r>
      <w:r w:rsidR="00722DD7">
        <w:rPr>
          <w:lang w:val="fr-FR"/>
        </w:rPr>
        <w:t xml:space="preserve">bunal de </w:t>
      </w:r>
      <w:r w:rsidRPr="00311F57">
        <w:rPr>
          <w:lang w:val="fr-FR"/>
        </w:rPr>
        <w:t>G</w:t>
      </w:r>
      <w:r w:rsidR="00722DD7">
        <w:rPr>
          <w:lang w:val="fr-FR"/>
        </w:rPr>
        <w:t xml:space="preserve">rande </w:t>
      </w:r>
      <w:r w:rsidRPr="00311F57">
        <w:rPr>
          <w:lang w:val="fr-FR"/>
        </w:rPr>
        <w:t>I</w:t>
      </w:r>
      <w:r w:rsidR="00722DD7">
        <w:rPr>
          <w:lang w:val="fr-FR"/>
        </w:rPr>
        <w:t>nstance (TGI)</w:t>
      </w:r>
      <w:r w:rsidRPr="00311F57">
        <w:rPr>
          <w:lang w:val="fr-FR"/>
        </w:rPr>
        <w:t xml:space="preserve"> de Bouar.</w:t>
      </w:r>
    </w:p>
    <w:p w14:paraId="6E0B584C" w14:textId="77777777" w:rsidR="00F004BF" w:rsidRDefault="00F004BF" w:rsidP="00F004BF">
      <w:pPr>
        <w:ind w:left="-720"/>
        <w:jc w:val="both"/>
        <w:rPr>
          <w:lang w:val="fr-FR"/>
        </w:rPr>
      </w:pPr>
    </w:p>
    <w:p w14:paraId="7F8BD876" w14:textId="1458C16F" w:rsidR="00F004BF" w:rsidRDefault="009A337D" w:rsidP="007402F6">
      <w:pPr>
        <w:ind w:left="-720"/>
        <w:jc w:val="both"/>
        <w:rPr>
          <w:b/>
          <w:lang w:val="fr-FR"/>
        </w:rPr>
      </w:pPr>
      <w:r>
        <w:rPr>
          <w:lang w:val="fr-FR"/>
        </w:rPr>
        <w:t xml:space="preserve">Les </w:t>
      </w:r>
      <w:r w:rsidR="00F004BF" w:rsidRPr="002602B4">
        <w:rPr>
          <w:lang w:val="fr-FR"/>
        </w:rPr>
        <w:t>études de perception</w:t>
      </w:r>
      <w:r w:rsidR="00F004BF">
        <w:rPr>
          <w:lang w:val="fr-FR"/>
        </w:rPr>
        <w:t xml:space="preserve"> sur la paix, justice et sécurité</w:t>
      </w:r>
      <w:r w:rsidR="00F004BF" w:rsidRPr="002602B4">
        <w:rPr>
          <w:lang w:val="fr-FR"/>
        </w:rPr>
        <w:t xml:space="preserve"> réalisées </w:t>
      </w:r>
      <w:r w:rsidR="00F004BF">
        <w:rPr>
          <w:lang w:val="fr-FR"/>
        </w:rPr>
        <w:t xml:space="preserve">par la </w:t>
      </w:r>
      <w:r w:rsidR="00F4352B">
        <w:rPr>
          <w:lang w:val="fr-FR"/>
        </w:rPr>
        <w:t>HHI</w:t>
      </w:r>
      <w:r>
        <w:rPr>
          <w:lang w:val="fr-FR"/>
        </w:rPr>
        <w:t xml:space="preserve"> ont continué, avec</w:t>
      </w:r>
      <w:r w:rsidR="00F004BF" w:rsidRPr="002602B4">
        <w:rPr>
          <w:lang w:val="fr-FR"/>
        </w:rPr>
        <w:t xml:space="preserve"> </w:t>
      </w:r>
      <w:r w:rsidR="0058228D">
        <w:rPr>
          <w:lang w:val="fr-FR"/>
        </w:rPr>
        <w:t>un</w:t>
      </w:r>
      <w:r w:rsidR="0058228D" w:rsidRPr="002602B4">
        <w:rPr>
          <w:lang w:val="fr-FR"/>
        </w:rPr>
        <w:t xml:space="preserve"> </w:t>
      </w:r>
      <w:r w:rsidR="00F004BF" w:rsidRPr="002602B4">
        <w:rPr>
          <w:lang w:val="fr-FR"/>
        </w:rPr>
        <w:t xml:space="preserve">sondage </w:t>
      </w:r>
      <w:r w:rsidR="00F4352B">
        <w:rPr>
          <w:lang w:val="fr-FR"/>
        </w:rPr>
        <w:t>réalisé</w:t>
      </w:r>
      <w:r>
        <w:rPr>
          <w:lang w:val="fr-FR"/>
        </w:rPr>
        <w:t xml:space="preserve"> en février</w:t>
      </w:r>
      <w:r w:rsidR="00F004BF">
        <w:rPr>
          <w:lang w:val="fr-FR"/>
        </w:rPr>
        <w:t xml:space="preserve">, couvrant 14 préfectures et tous les arrondissements de Bangui. Le </w:t>
      </w:r>
      <w:r w:rsidR="00974DA4">
        <w:rPr>
          <w:lang w:val="fr-FR"/>
        </w:rPr>
        <w:t xml:space="preserve">Projet </w:t>
      </w:r>
      <w:r w:rsidR="00F004BF">
        <w:rPr>
          <w:lang w:val="fr-FR"/>
        </w:rPr>
        <w:t xml:space="preserve">coordonne </w:t>
      </w:r>
      <w:r w:rsidR="00912A4E">
        <w:rPr>
          <w:lang w:val="fr-FR"/>
        </w:rPr>
        <w:t xml:space="preserve">les financements des études </w:t>
      </w:r>
      <w:r w:rsidR="00F004BF">
        <w:rPr>
          <w:lang w:val="fr-FR"/>
        </w:rPr>
        <w:t>et l'analy</w:t>
      </w:r>
      <w:r w:rsidR="00F004BF" w:rsidRPr="005B6B77">
        <w:rPr>
          <w:lang w:val="fr-FR"/>
        </w:rPr>
        <w:t>s</w:t>
      </w:r>
      <w:r w:rsidR="00F004BF">
        <w:rPr>
          <w:lang w:val="fr-FR"/>
        </w:rPr>
        <w:t>e et la contextualisation de</w:t>
      </w:r>
      <w:r w:rsidR="00F004BF" w:rsidRPr="005B6B77">
        <w:rPr>
          <w:lang w:val="fr-FR"/>
        </w:rPr>
        <w:t>s données</w:t>
      </w:r>
      <w:r w:rsidR="00912A4E">
        <w:rPr>
          <w:lang w:val="fr-FR"/>
        </w:rPr>
        <w:t xml:space="preserve"> avec HHI</w:t>
      </w:r>
      <w:r w:rsidR="00F004BF">
        <w:rPr>
          <w:lang w:val="fr-FR"/>
        </w:rPr>
        <w:t xml:space="preserve">. Le premier rapport, qui fera emphase sur la sécurité et le genre, </w:t>
      </w:r>
      <w:r w:rsidR="00992A2A">
        <w:rPr>
          <w:lang w:val="fr-FR"/>
        </w:rPr>
        <w:t>a été finalisé</w:t>
      </w:r>
      <w:r w:rsidR="00E87EAD">
        <w:rPr>
          <w:lang w:val="fr-FR"/>
        </w:rPr>
        <w:t>.</w:t>
      </w:r>
      <w:r w:rsidR="00992A2A">
        <w:rPr>
          <w:lang w:val="fr-FR"/>
        </w:rPr>
        <w:t xml:space="preserve"> </w:t>
      </w:r>
      <w:r w:rsidR="00E87EAD">
        <w:rPr>
          <w:lang w:val="fr-FR"/>
        </w:rPr>
        <w:t>Les</w:t>
      </w:r>
      <w:r w:rsidR="00992A2A">
        <w:rPr>
          <w:lang w:val="fr-FR"/>
        </w:rPr>
        <w:t xml:space="preserve"> sondages </w:t>
      </w:r>
      <w:r w:rsidR="00E87EAD">
        <w:rPr>
          <w:lang w:val="fr-FR"/>
        </w:rPr>
        <w:t xml:space="preserve">qui mèneront au rapport sur la justice </w:t>
      </w:r>
      <w:proofErr w:type="spellStart"/>
      <w:r w:rsidR="00E87EAD">
        <w:rPr>
          <w:lang w:val="fr-FR"/>
        </w:rPr>
        <w:t>transitionelle</w:t>
      </w:r>
      <w:proofErr w:type="spellEnd"/>
      <w:r w:rsidR="00E87EAD">
        <w:rPr>
          <w:lang w:val="fr-FR"/>
        </w:rPr>
        <w:t xml:space="preserve"> en RCA commenc</w:t>
      </w:r>
      <w:r>
        <w:rPr>
          <w:lang w:val="fr-FR"/>
        </w:rPr>
        <w:t>e</w:t>
      </w:r>
      <w:r w:rsidR="00EA29C7">
        <w:rPr>
          <w:lang w:val="fr-FR"/>
        </w:rPr>
        <w:t>ront</w:t>
      </w:r>
      <w:r>
        <w:rPr>
          <w:lang w:val="fr-FR"/>
        </w:rPr>
        <w:t xml:space="preserve"> la deuxième moitié de</w:t>
      </w:r>
      <w:r w:rsidR="00E87EAD">
        <w:rPr>
          <w:lang w:val="fr-FR"/>
        </w:rPr>
        <w:t xml:space="preserve"> novembre</w:t>
      </w:r>
      <w:r w:rsidR="00EA29C7">
        <w:rPr>
          <w:lang w:val="fr-FR"/>
        </w:rPr>
        <w:t xml:space="preserve"> 2020</w:t>
      </w:r>
      <w:r w:rsidR="00F004BF">
        <w:rPr>
          <w:lang w:val="fr-FR"/>
        </w:rPr>
        <w:t>.</w:t>
      </w:r>
    </w:p>
    <w:p w14:paraId="15888F4A" w14:textId="77777777" w:rsidR="00457AF8" w:rsidRPr="00D53328" w:rsidRDefault="00457AF8" w:rsidP="00F004BF">
      <w:pPr>
        <w:ind w:left="-720"/>
        <w:jc w:val="both"/>
        <w:rPr>
          <w:b/>
          <w:lang w:val="fr-FR"/>
        </w:rPr>
      </w:pPr>
    </w:p>
    <w:p w14:paraId="32FC3156" w14:textId="77777777" w:rsidR="00F004BF" w:rsidRPr="005D15A3" w:rsidRDefault="00F004BF" w:rsidP="00F004BF">
      <w:pPr>
        <w:ind w:left="-720"/>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A2720" w:rsidRPr="00920CA5">
        <w:rPr>
          <w:b/>
          <w:bCs/>
          <w:color w:val="000000"/>
          <w:lang w:val="fr-FR" w:eastAsia="en-US"/>
        </w:rPr>
        <w:t>résultat</w:t>
      </w:r>
      <w:r w:rsidR="001A2720" w:rsidRPr="00920CA5">
        <w:rPr>
          <w:b/>
          <w:lang w:val="fr-FR"/>
        </w:rPr>
        <w:t xml:space="preserve"> :</w:t>
      </w:r>
      <w:r w:rsidRPr="00920CA5">
        <w:rPr>
          <w:b/>
          <w:lang w:val="fr-FR"/>
        </w:rPr>
        <w:t xml:space="preserve"> </w:t>
      </w:r>
      <w:r w:rsidRPr="00920CA5">
        <w:rPr>
          <w:i/>
          <w:lang w:val="fr-FR"/>
        </w:rPr>
        <w:t>(</w:t>
      </w:r>
      <w:r w:rsidRPr="00920CA5">
        <w:rPr>
          <w:rFonts w:ascii="inherit" w:hAnsi="inherit"/>
          <w:color w:val="212121"/>
          <w:lang w:val="fr-FR"/>
        </w:rPr>
        <w:t>Limite de 1000 caractères</w:t>
      </w:r>
      <w:r w:rsidRPr="00920CA5">
        <w:rPr>
          <w:i/>
          <w:lang w:val="fr-FR"/>
        </w:rPr>
        <w:t>)</w:t>
      </w:r>
    </w:p>
    <w:p w14:paraId="0FFD7D7F" w14:textId="77777777" w:rsidR="00F004BF" w:rsidRPr="00D53328" w:rsidRDefault="00F004BF" w:rsidP="00F004BF">
      <w:pPr>
        <w:ind w:left="-720"/>
        <w:jc w:val="both"/>
        <w:rPr>
          <w:b/>
          <w:lang w:val="fr-FR"/>
        </w:rPr>
      </w:pPr>
    </w:p>
    <w:p w14:paraId="0AC42F08" w14:textId="2E2ACC14" w:rsidR="00F004BF" w:rsidRDefault="00F004BF" w:rsidP="00F004BF">
      <w:pPr>
        <w:ind w:left="-720"/>
        <w:jc w:val="both"/>
        <w:rPr>
          <w:lang w:val="fr-FR"/>
        </w:rPr>
      </w:pPr>
      <w:r>
        <w:rPr>
          <w:lang w:val="fr-FR"/>
        </w:rPr>
        <w:t>L</w:t>
      </w:r>
      <w:r w:rsidR="00D37A00">
        <w:rPr>
          <w:lang w:val="fr-FR"/>
        </w:rPr>
        <w:t xml:space="preserve">e cinquième rapport des </w:t>
      </w:r>
      <w:r w:rsidR="00912A4E">
        <w:rPr>
          <w:lang w:val="fr-FR"/>
        </w:rPr>
        <w:t>étude</w:t>
      </w:r>
      <w:r w:rsidR="00D37A00">
        <w:rPr>
          <w:lang w:val="fr-FR"/>
        </w:rPr>
        <w:t>s</w:t>
      </w:r>
      <w:r w:rsidR="00912A4E">
        <w:rPr>
          <w:lang w:val="fr-FR"/>
        </w:rPr>
        <w:t xml:space="preserve"> de perception </w:t>
      </w:r>
      <w:r w:rsidR="00D37A00">
        <w:rPr>
          <w:lang w:val="fr-FR"/>
        </w:rPr>
        <w:t xml:space="preserve">réalisées par HHI </w:t>
      </w:r>
      <w:r w:rsidR="00762B91">
        <w:rPr>
          <w:lang w:val="fr-FR"/>
        </w:rPr>
        <w:t>s’est</w:t>
      </w:r>
      <w:r>
        <w:rPr>
          <w:lang w:val="fr-FR"/>
        </w:rPr>
        <w:t xml:space="preserve"> </w:t>
      </w:r>
      <w:proofErr w:type="gramStart"/>
      <w:r>
        <w:rPr>
          <w:lang w:val="fr-FR"/>
        </w:rPr>
        <w:t>concentr</w:t>
      </w:r>
      <w:r w:rsidR="00762B91">
        <w:rPr>
          <w:lang w:val="fr-FR"/>
        </w:rPr>
        <w:t>ée</w:t>
      </w:r>
      <w:proofErr w:type="gramEnd"/>
      <w:r>
        <w:rPr>
          <w:lang w:val="fr-FR"/>
        </w:rPr>
        <w:t xml:space="preserve"> sur le genre et la sécurité, détaillant les perceptions de la population centrafricaine sur des aspects comme l’égalité entre les sexes et les violences sexuelles et basées sur le genre. Dans le sondage par exemple, des questions ont notamment été posées sur la perception des victimes de violences sexuelles et sur les efforts des acteurs pour lutter contre celles-ci, ce qui par conséquent informera non uniquement le projet mais plus globalement l’action de l’Etat sur la sécurité et notamment la sécurité des femmes.</w:t>
      </w:r>
    </w:p>
    <w:p w14:paraId="234CFABC" w14:textId="77777777" w:rsidR="00197745" w:rsidRDefault="00197745" w:rsidP="00F004BF">
      <w:pPr>
        <w:ind w:left="-720"/>
        <w:jc w:val="both"/>
        <w:rPr>
          <w:lang w:val="fr-FR"/>
        </w:rPr>
      </w:pPr>
    </w:p>
    <w:p w14:paraId="5B3BB3F2" w14:textId="7CF90B62" w:rsidR="00197745" w:rsidRDefault="00197745" w:rsidP="00197745">
      <w:pPr>
        <w:ind w:left="-720"/>
        <w:jc w:val="both"/>
        <w:rPr>
          <w:lang w:val="fr-FR"/>
        </w:rPr>
      </w:pPr>
      <w:r>
        <w:rPr>
          <w:lang w:val="fr-FR"/>
        </w:rPr>
        <w:t xml:space="preserve">De même, les autres activités du projet ont également mis en avant l’intégration de la perspective genre. La Politique Sectorielle Justice contient notamment </w:t>
      </w:r>
      <w:r w:rsidR="00CB6136">
        <w:rPr>
          <w:lang w:val="fr-FR"/>
        </w:rPr>
        <w:t>les recommandations</w:t>
      </w:r>
      <w:r>
        <w:rPr>
          <w:lang w:val="fr-FR"/>
        </w:rPr>
        <w:t xml:space="preserve"> </w:t>
      </w:r>
      <w:r>
        <w:rPr>
          <w:lang w:val="fr-FR"/>
        </w:rPr>
        <w:lastRenderedPageBreak/>
        <w:t>sur la recherche de l’équilibre de genre</w:t>
      </w:r>
      <w:r w:rsidR="006E1D6B">
        <w:rPr>
          <w:lang w:val="fr-FR"/>
        </w:rPr>
        <w:t xml:space="preserve"> dans les professions de la justice</w:t>
      </w:r>
      <w:r>
        <w:rPr>
          <w:lang w:val="fr-FR"/>
        </w:rPr>
        <w:t xml:space="preserve"> </w:t>
      </w:r>
      <w:r w:rsidR="00CB6136">
        <w:rPr>
          <w:lang w:val="fr-FR"/>
        </w:rPr>
        <w:t>ainsi que des actions prioritaires sur l’accès des femmes à la justice</w:t>
      </w:r>
      <w:r>
        <w:rPr>
          <w:lang w:val="fr-FR"/>
        </w:rPr>
        <w:t>. La perspective genre a également été intégrée dans la loi sur la CVJRR</w:t>
      </w:r>
      <w:r w:rsidR="00905F68">
        <w:rPr>
          <w:lang w:val="fr-FR"/>
        </w:rPr>
        <w:t xml:space="preserve"> (quota de minimum de 4 femmes sur 11 Commissaires)</w:t>
      </w:r>
      <w:r w:rsidR="00762B91">
        <w:rPr>
          <w:lang w:val="fr-FR"/>
        </w:rPr>
        <w:t xml:space="preserve"> et des activités ont été réalisées pour promouvoir les candidatures féminines aux postes de commissaires</w:t>
      </w:r>
      <w:r>
        <w:rPr>
          <w:lang w:val="fr-FR"/>
        </w:rPr>
        <w:t xml:space="preserve">. </w:t>
      </w:r>
    </w:p>
    <w:p w14:paraId="1C7326DB" w14:textId="77777777" w:rsidR="00197745" w:rsidRPr="00E744FD" w:rsidRDefault="00197745" w:rsidP="00F004BF">
      <w:pPr>
        <w:ind w:left="-720"/>
        <w:jc w:val="both"/>
        <w:rPr>
          <w:lang w:val="fr-FR"/>
        </w:rPr>
      </w:pPr>
    </w:p>
    <w:p w14:paraId="08A64E2B" w14:textId="77777777" w:rsidR="00F004BF" w:rsidRPr="00D53328" w:rsidRDefault="00F004BF" w:rsidP="00F004BF">
      <w:pPr>
        <w:jc w:val="both"/>
        <w:rPr>
          <w:b/>
          <w:lang w:val="fr-FR"/>
        </w:rPr>
      </w:pPr>
    </w:p>
    <w:p w14:paraId="6F117A58" w14:textId="77777777" w:rsidR="00F004BF" w:rsidRPr="00EA29C7" w:rsidRDefault="00F004BF" w:rsidP="00F004BF">
      <w:pPr>
        <w:ind w:left="-720"/>
        <w:jc w:val="both"/>
        <w:rPr>
          <w:b/>
          <w:bCs/>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636E71">
        <w:rPr>
          <w:b/>
          <w:bCs/>
          <w:lang w:val="fr-FR"/>
        </w:rPr>
        <w:t xml:space="preserve">A travers une société civile bénéficiant d’une capacité technique et opérationnelle accrue, les victimes et témoins ont un meilleur accès à la justice, incluant l’aide légale et la protection. </w:t>
      </w:r>
    </w:p>
    <w:p w14:paraId="0C8F810D" w14:textId="77777777" w:rsidR="00F004BF" w:rsidRPr="00615EA3" w:rsidRDefault="00F004BF" w:rsidP="00F004BF">
      <w:pPr>
        <w:ind w:left="-720"/>
        <w:jc w:val="both"/>
        <w:rPr>
          <w:b/>
          <w:lang w:val="fr-FR"/>
        </w:rPr>
      </w:pPr>
    </w:p>
    <w:p w14:paraId="78568598" w14:textId="6C7C5F63" w:rsidR="00F004BF" w:rsidRPr="009720B5"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90EA8">
        <w:rPr>
          <w:rFonts w:ascii="inherit" w:hAnsi="inherit"/>
          <w:color w:val="212121"/>
          <w:lang w:val="fr-FR"/>
        </w:rPr>
        <w:t>résultat</w:t>
      </w:r>
      <w:r w:rsidR="00290EA8" w:rsidRPr="009C39D0">
        <w:rPr>
          <w:rFonts w:ascii="inherit" w:hAnsi="inherit"/>
          <w:color w:val="212121"/>
          <w:lang w:val="fr-FR"/>
        </w:rPr>
        <w:t xml:space="preserve"> :</w:t>
      </w:r>
      <w:r w:rsidRPr="00615EA3">
        <w:rPr>
          <w:b/>
          <w:lang w:val="fr-FR"/>
        </w:rPr>
        <w:t xml:space="preserve"> </w:t>
      </w:r>
      <w:r w:rsidR="000352E6" w:rsidRPr="000E4E78">
        <w:rPr>
          <w:rFonts w:ascii="Arial Narrow" w:hAnsi="Arial Narrow"/>
          <w:b/>
          <w:sz w:val="22"/>
          <w:szCs w:val="22"/>
          <w:lang w:val="fr-FR"/>
        </w:rPr>
        <w:t>O</w:t>
      </w:r>
      <w:r w:rsidR="000352E6">
        <w:rPr>
          <w:rFonts w:ascii="Arial Narrow" w:hAnsi="Arial Narrow"/>
          <w:b/>
          <w:sz w:val="22"/>
          <w:szCs w:val="22"/>
          <w:lang w:val="fr-FR"/>
        </w:rPr>
        <w:t xml:space="preserve">n </w:t>
      </w:r>
      <w:proofErr w:type="spellStart"/>
      <w:r>
        <w:rPr>
          <w:rFonts w:ascii="Arial Narrow" w:hAnsi="Arial Narrow"/>
          <w:b/>
          <w:sz w:val="22"/>
          <w:szCs w:val="22"/>
          <w:lang w:val="fr-FR"/>
        </w:rPr>
        <w:t>track</w:t>
      </w:r>
      <w:proofErr w:type="spellEnd"/>
      <w:r w:rsidR="000352E6">
        <w:rPr>
          <w:rStyle w:val="FootnoteReference"/>
          <w:rFonts w:ascii="Arial Narrow" w:hAnsi="Arial Narrow"/>
          <w:b/>
          <w:sz w:val="22"/>
          <w:szCs w:val="22"/>
          <w:lang w:val="fr-FR"/>
        </w:rPr>
        <w:footnoteReference w:id="3"/>
      </w:r>
    </w:p>
    <w:p w14:paraId="2A500910" w14:textId="77777777" w:rsidR="00F004BF" w:rsidRPr="005D15A3" w:rsidRDefault="00F004BF" w:rsidP="00F004BF">
      <w:pPr>
        <w:ind w:left="-720"/>
        <w:jc w:val="both"/>
        <w:rPr>
          <w:b/>
          <w:lang w:val="fr-FR"/>
        </w:rPr>
      </w:pPr>
    </w:p>
    <w:p w14:paraId="5B787391" w14:textId="77777777" w:rsidR="00F004BF" w:rsidRPr="005D15A3" w:rsidRDefault="00290EA8" w:rsidP="00F004BF">
      <w:pPr>
        <w:ind w:left="-720"/>
        <w:jc w:val="both"/>
        <w:rPr>
          <w:i/>
          <w:lang w:val="fr-FR"/>
        </w:rPr>
      </w:pPr>
      <w:r w:rsidRPr="005D15A3">
        <w:rPr>
          <w:b/>
          <w:lang w:val="fr-FR"/>
        </w:rPr>
        <w:t>Résumé</w:t>
      </w:r>
      <w:r w:rsidR="00F004BF"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F004BF" w:rsidRPr="005D15A3">
        <w:rPr>
          <w:b/>
          <w:lang w:val="fr-FR"/>
        </w:rPr>
        <w:t xml:space="preserve"> </w:t>
      </w:r>
      <w:r w:rsidR="00F004BF">
        <w:rPr>
          <w:rFonts w:ascii="inherit" w:hAnsi="inherit"/>
          <w:color w:val="212121"/>
          <w:lang w:val="fr-FR"/>
        </w:rPr>
        <w:t>(Limite de 3000 caractères)</w:t>
      </w:r>
    </w:p>
    <w:p w14:paraId="36F669D4" w14:textId="77777777" w:rsidR="00F004BF" w:rsidRDefault="00F004BF" w:rsidP="00F004BF">
      <w:pPr>
        <w:ind w:left="-720"/>
        <w:jc w:val="both"/>
        <w:rPr>
          <w:lang w:val="fr-FR"/>
        </w:rPr>
      </w:pPr>
    </w:p>
    <w:p w14:paraId="2646AFED" w14:textId="2C018D67" w:rsidR="00DD79CB" w:rsidRDefault="00F004BF" w:rsidP="00F004BF">
      <w:pPr>
        <w:ind w:left="-720"/>
        <w:jc w:val="both"/>
        <w:rPr>
          <w:lang w:val="fr-FR"/>
        </w:rPr>
      </w:pPr>
      <w:r w:rsidRPr="002602B4">
        <w:rPr>
          <w:lang w:val="fr-FR"/>
        </w:rPr>
        <w:t xml:space="preserve">Dans le cadre </w:t>
      </w:r>
      <w:r w:rsidR="00EA29C7">
        <w:rPr>
          <w:lang w:val="fr-FR"/>
        </w:rPr>
        <w:t>de ce résultat</w:t>
      </w:r>
      <w:r w:rsidRPr="002602B4">
        <w:rPr>
          <w:lang w:val="fr-FR"/>
        </w:rPr>
        <w:t>, des missions de terrain ayant pour but de mettre en place des cliniques juridiques ont été organisées et réalisées de façon conjointe avec l'Association de Femmes Juristes Centrafricaines et le Réseau des ONG pour la promotion et la défense des droits de l'</w:t>
      </w:r>
      <w:r w:rsidRPr="00424F93">
        <w:rPr>
          <w:lang w:val="fr-FR"/>
        </w:rPr>
        <w:t>H</w:t>
      </w:r>
      <w:r w:rsidRPr="002602B4">
        <w:rPr>
          <w:lang w:val="fr-FR"/>
        </w:rPr>
        <w:t>omme.</w:t>
      </w:r>
      <w:r>
        <w:rPr>
          <w:lang w:val="fr-FR"/>
        </w:rPr>
        <w:t xml:space="preserve"> Celles-ci ont mené à l'identification des partenaires locaux et des besoins des populations sur place, permettant ainsi une mise sur pied adaptée de </w:t>
      </w:r>
      <w:r w:rsidR="00BB74F5">
        <w:rPr>
          <w:lang w:val="fr-FR"/>
        </w:rPr>
        <w:t xml:space="preserve">sept </w:t>
      </w:r>
      <w:r>
        <w:rPr>
          <w:lang w:val="fr-FR"/>
        </w:rPr>
        <w:t>cliniques juridiques</w:t>
      </w:r>
      <w:r w:rsidR="00BB74F5">
        <w:rPr>
          <w:lang w:val="fr-FR"/>
        </w:rPr>
        <w:t xml:space="preserve"> additionnelles</w:t>
      </w:r>
      <w:r>
        <w:rPr>
          <w:lang w:val="fr-FR"/>
        </w:rPr>
        <w:t xml:space="preserve">. </w:t>
      </w:r>
      <w:r w:rsidR="00BB74F5">
        <w:rPr>
          <w:lang w:val="fr-FR"/>
        </w:rPr>
        <w:t>La présence du personnel de la section justice de la MINUSCA à Berberati, Bouar et Bangassou a facilité ce processus et continuera de servir utilement au suivi de la mise en œuvre des activités.</w:t>
      </w:r>
    </w:p>
    <w:p w14:paraId="00D7DCA3" w14:textId="77777777" w:rsidR="00DD79CB" w:rsidRDefault="00DD79CB" w:rsidP="00F004BF">
      <w:pPr>
        <w:ind w:left="-720"/>
        <w:jc w:val="both"/>
        <w:rPr>
          <w:lang w:val="fr-FR"/>
        </w:rPr>
      </w:pPr>
    </w:p>
    <w:p w14:paraId="72795CF4" w14:textId="71560A1F" w:rsidR="00762B91" w:rsidRDefault="00F004BF" w:rsidP="00DD79CB">
      <w:pPr>
        <w:ind w:left="-720"/>
        <w:jc w:val="both"/>
        <w:rPr>
          <w:lang w:val="fr-FR"/>
        </w:rPr>
      </w:pPr>
      <w:r>
        <w:rPr>
          <w:lang w:val="fr-FR"/>
        </w:rPr>
        <w:t>Les cliniques juridiques ont été ouvertes dans sept villes supplémentaires (</w:t>
      </w:r>
      <w:proofErr w:type="spellStart"/>
      <w:r>
        <w:rPr>
          <w:lang w:val="fr-FR"/>
        </w:rPr>
        <w:t>Boda</w:t>
      </w:r>
      <w:proofErr w:type="spellEnd"/>
      <w:r>
        <w:rPr>
          <w:lang w:val="fr-FR"/>
        </w:rPr>
        <w:t>, Sibut, Nola, Carnot, Berberati, Bouar et Bangassou)</w:t>
      </w:r>
      <w:r w:rsidR="00905F68">
        <w:rPr>
          <w:lang w:val="fr-FR"/>
        </w:rPr>
        <w:t xml:space="preserve"> – en rajout à celles de Bangui et Bossangoa -</w:t>
      </w:r>
      <w:r>
        <w:rPr>
          <w:lang w:val="fr-FR"/>
        </w:rPr>
        <w:t xml:space="preserve"> et </w:t>
      </w:r>
      <w:r w:rsidR="00197745">
        <w:rPr>
          <w:lang w:val="fr-FR"/>
        </w:rPr>
        <w:t xml:space="preserve">ont commencé à fournir </w:t>
      </w:r>
      <w:r>
        <w:rPr>
          <w:lang w:val="fr-FR"/>
        </w:rPr>
        <w:t xml:space="preserve">des services d'appui psychosocial et </w:t>
      </w:r>
      <w:r w:rsidR="00F16936">
        <w:rPr>
          <w:lang w:val="fr-FR"/>
        </w:rPr>
        <w:t xml:space="preserve">d’orientation </w:t>
      </w:r>
      <w:r>
        <w:rPr>
          <w:lang w:val="fr-FR"/>
        </w:rPr>
        <w:t>juridique</w:t>
      </w:r>
      <w:r w:rsidR="00F16936">
        <w:rPr>
          <w:lang w:val="fr-FR"/>
        </w:rPr>
        <w:t xml:space="preserve"> et d’assistance judiciaire</w:t>
      </w:r>
      <w:r>
        <w:rPr>
          <w:lang w:val="fr-FR"/>
        </w:rPr>
        <w:t xml:space="preserve"> aux populations et victimes de violations de droits humains. </w:t>
      </w:r>
      <w:r w:rsidR="003C6732">
        <w:rPr>
          <w:lang w:val="fr-FR"/>
        </w:rPr>
        <w:t>Les chiffres détaillés</w:t>
      </w:r>
      <w:r>
        <w:rPr>
          <w:lang w:val="fr-FR"/>
        </w:rPr>
        <w:t xml:space="preserve"> sur le nombre de personnes ayant reçu les services suivront </w:t>
      </w:r>
      <w:proofErr w:type="gramStart"/>
      <w:r>
        <w:rPr>
          <w:lang w:val="fr-FR"/>
        </w:rPr>
        <w:t>suite à</w:t>
      </w:r>
      <w:proofErr w:type="gramEnd"/>
      <w:r>
        <w:rPr>
          <w:lang w:val="fr-FR"/>
        </w:rPr>
        <w:t xml:space="preserve"> la vérification de celles-ci, incluant </w:t>
      </w:r>
      <w:r w:rsidR="003C6732">
        <w:rPr>
          <w:lang w:val="fr-FR"/>
        </w:rPr>
        <w:t>des missions</w:t>
      </w:r>
      <w:r>
        <w:rPr>
          <w:lang w:val="fr-FR"/>
        </w:rPr>
        <w:t xml:space="preserve"> de terrain de S</w:t>
      </w:r>
      <w:r w:rsidR="00EA29C7">
        <w:rPr>
          <w:lang w:val="fr-FR"/>
        </w:rPr>
        <w:t xml:space="preserve">uivi </w:t>
      </w:r>
      <w:r>
        <w:rPr>
          <w:lang w:val="fr-FR"/>
        </w:rPr>
        <w:t>&amp;</w:t>
      </w:r>
      <w:r w:rsidR="00EA29C7">
        <w:rPr>
          <w:lang w:val="fr-FR"/>
        </w:rPr>
        <w:t xml:space="preserve"> </w:t>
      </w:r>
      <w:r>
        <w:rPr>
          <w:lang w:val="fr-FR"/>
        </w:rPr>
        <w:t>E</w:t>
      </w:r>
      <w:r w:rsidR="00EA29C7">
        <w:rPr>
          <w:lang w:val="fr-FR"/>
        </w:rPr>
        <w:t>valuation</w:t>
      </w:r>
      <w:r w:rsidR="00905F68">
        <w:rPr>
          <w:rStyle w:val="FootnoteReference"/>
          <w:lang w:val="fr-FR"/>
        </w:rPr>
        <w:footnoteReference w:id="4"/>
      </w:r>
      <w:r>
        <w:rPr>
          <w:lang w:val="fr-FR"/>
        </w:rPr>
        <w:t>. Les cliniques utilisent des outils qui ont été élaborés et validés conjointement entre le Projet et l'AFJC et permettent d'assurer le suivi et la qualité des services fournis. Des circuits de référencement seront établis entre les cliniques juridiques et les centres d’écoute (</w:t>
      </w:r>
      <w:r w:rsidRPr="0080263E">
        <w:rPr>
          <w:lang w:val="fr-FR"/>
        </w:rPr>
        <w:t xml:space="preserve">cf. résultat 4), afin de faciliter l’appui juridique et judiciaire </w:t>
      </w:r>
      <w:proofErr w:type="gramStart"/>
      <w:r w:rsidRPr="0080263E">
        <w:rPr>
          <w:lang w:val="fr-FR"/>
        </w:rPr>
        <w:t>suite à</w:t>
      </w:r>
      <w:proofErr w:type="gramEnd"/>
      <w:r w:rsidRPr="0080263E">
        <w:rPr>
          <w:lang w:val="fr-FR"/>
        </w:rPr>
        <w:t xml:space="preserve"> l’appui en écoute et santé de </w:t>
      </w:r>
      <w:r w:rsidRPr="00EF7C35">
        <w:rPr>
          <w:lang w:val="fr-FR"/>
        </w:rPr>
        <w:t>survivantes de VSBG.</w:t>
      </w:r>
      <w:r w:rsidR="00197745" w:rsidRPr="0080263E">
        <w:rPr>
          <w:lang w:val="fr-FR"/>
        </w:rPr>
        <w:t xml:space="preserve"> </w:t>
      </w:r>
      <w:r w:rsidR="00DD79CB" w:rsidRPr="0080263E">
        <w:rPr>
          <w:lang w:val="fr-FR"/>
        </w:rPr>
        <w:t>Les mécanismes communautaires de protection mis en place par le Projet facilitent le rapportage et le référencement des cas. Les</w:t>
      </w:r>
      <w:r w:rsidR="00DD79CB" w:rsidRPr="00473D3A">
        <w:rPr>
          <w:lang w:val="fr-FR"/>
        </w:rPr>
        <w:t xml:space="preserve"> populations </w:t>
      </w:r>
      <w:r w:rsidR="0080263E">
        <w:rPr>
          <w:lang w:val="fr-FR"/>
        </w:rPr>
        <w:t xml:space="preserve">et </w:t>
      </w:r>
      <w:r w:rsidR="00DD79CB" w:rsidRPr="00473D3A">
        <w:rPr>
          <w:lang w:val="fr-FR"/>
        </w:rPr>
        <w:t xml:space="preserve">spécifiquement les femmes se sentent plus proches des relais communautaires identifiés au sein de leur communauté et plus en confiance pour déclarer les cas de </w:t>
      </w:r>
      <w:r w:rsidR="0080263E">
        <w:rPr>
          <w:lang w:val="fr-FR"/>
        </w:rPr>
        <w:t>VSBG</w:t>
      </w:r>
      <w:r w:rsidR="00DD79CB" w:rsidRPr="00473D3A">
        <w:rPr>
          <w:lang w:val="fr-FR"/>
        </w:rPr>
        <w:t xml:space="preserve"> dont elles </w:t>
      </w:r>
      <w:r w:rsidR="0080263E" w:rsidRPr="00473D3A">
        <w:rPr>
          <w:lang w:val="fr-FR"/>
        </w:rPr>
        <w:t xml:space="preserve">ou leurs proches </w:t>
      </w:r>
      <w:r w:rsidR="00DD79CB" w:rsidRPr="00473D3A">
        <w:rPr>
          <w:lang w:val="fr-FR"/>
        </w:rPr>
        <w:t xml:space="preserve">sont victimes.   </w:t>
      </w:r>
    </w:p>
    <w:p w14:paraId="71E408E8" w14:textId="77777777" w:rsidR="00762B91" w:rsidRDefault="00762B91" w:rsidP="00DD79CB">
      <w:pPr>
        <w:ind w:left="-720"/>
        <w:jc w:val="both"/>
        <w:rPr>
          <w:lang w:val="fr-FR"/>
        </w:rPr>
      </w:pPr>
    </w:p>
    <w:p w14:paraId="7437FBE7" w14:textId="57CA638C" w:rsidR="00F004BF" w:rsidRPr="00D53328" w:rsidRDefault="00762B91" w:rsidP="00DD79CB">
      <w:pPr>
        <w:ind w:left="-720"/>
        <w:jc w:val="both"/>
        <w:rPr>
          <w:b/>
          <w:lang w:val="fr-FR"/>
        </w:rPr>
      </w:pPr>
      <w:r>
        <w:rPr>
          <w:lang w:val="fr-FR"/>
        </w:rPr>
        <w:t>Sept</w:t>
      </w:r>
      <w:r w:rsidR="00EA29C7">
        <w:rPr>
          <w:lang w:val="fr-FR"/>
        </w:rPr>
        <w:t xml:space="preserve"> (7)</w:t>
      </w:r>
      <w:r>
        <w:rPr>
          <w:lang w:val="fr-FR"/>
        </w:rPr>
        <w:t xml:space="preserve"> avocats ont été recruté</w:t>
      </w:r>
      <w:r w:rsidR="00EA29C7">
        <w:rPr>
          <w:lang w:val="fr-FR"/>
        </w:rPr>
        <w:t>s</w:t>
      </w:r>
      <w:r>
        <w:rPr>
          <w:lang w:val="fr-FR"/>
        </w:rPr>
        <w:t xml:space="preserve"> pour fournir une assistance judiciaire aux </w:t>
      </w:r>
      <w:r w:rsidR="00F16936">
        <w:rPr>
          <w:lang w:val="fr-FR"/>
        </w:rPr>
        <w:t xml:space="preserve">populations et </w:t>
      </w:r>
      <w:r>
        <w:rPr>
          <w:lang w:val="fr-FR"/>
        </w:rPr>
        <w:t xml:space="preserve">victimes dans les cliniques juridiques. Une formation intégrale </w:t>
      </w:r>
      <w:r w:rsidR="00A10060">
        <w:rPr>
          <w:lang w:val="fr-FR"/>
        </w:rPr>
        <w:t xml:space="preserve">d’une semaine </w:t>
      </w:r>
      <w:r>
        <w:rPr>
          <w:lang w:val="fr-FR"/>
        </w:rPr>
        <w:t xml:space="preserve">a ensuite été organisée </w:t>
      </w:r>
      <w:r w:rsidR="00A10060">
        <w:rPr>
          <w:lang w:val="fr-FR"/>
        </w:rPr>
        <w:t xml:space="preserve">en octobre </w:t>
      </w:r>
      <w:r w:rsidR="00D37A00">
        <w:rPr>
          <w:lang w:val="fr-FR"/>
        </w:rPr>
        <w:t xml:space="preserve">par le Projet </w:t>
      </w:r>
      <w:r>
        <w:rPr>
          <w:lang w:val="fr-FR"/>
        </w:rPr>
        <w:t xml:space="preserve">pour les avocats, les juristes et les assistants psychosociaux pour renforcer leurs capacités et assurer une qualité élevée des services fournis. </w:t>
      </w:r>
      <w:r w:rsidR="00A10060">
        <w:rPr>
          <w:lang w:val="fr-FR"/>
        </w:rPr>
        <w:t>Elle a pu couvrir</w:t>
      </w:r>
      <w:r>
        <w:rPr>
          <w:lang w:val="fr-FR"/>
        </w:rPr>
        <w:t xml:space="preserve"> </w:t>
      </w:r>
      <w:r w:rsidR="00D37A00">
        <w:rPr>
          <w:lang w:val="fr-FR"/>
        </w:rPr>
        <w:t>l’orientation</w:t>
      </w:r>
      <w:r>
        <w:rPr>
          <w:lang w:val="fr-FR"/>
        </w:rPr>
        <w:t xml:space="preserve"> juridique</w:t>
      </w:r>
      <w:r w:rsidR="00D37A00">
        <w:rPr>
          <w:lang w:val="fr-FR"/>
        </w:rPr>
        <w:t>, l’assistance</w:t>
      </w:r>
      <w:r>
        <w:rPr>
          <w:lang w:val="fr-FR"/>
        </w:rPr>
        <w:t xml:space="preserve"> judiciaire, l’appui psychosocial, les droits des femmes et le genre, les mécanismes de coordination entre acteurs fournissant des services </w:t>
      </w:r>
      <w:r>
        <w:rPr>
          <w:lang w:val="fr-FR"/>
        </w:rPr>
        <w:lastRenderedPageBreak/>
        <w:t xml:space="preserve">d’aide légale et le </w:t>
      </w:r>
      <w:proofErr w:type="spellStart"/>
      <w:r>
        <w:rPr>
          <w:lang w:val="fr-FR"/>
        </w:rPr>
        <w:t>reporting</w:t>
      </w:r>
      <w:proofErr w:type="spellEnd"/>
      <w:r w:rsidR="00A10060">
        <w:rPr>
          <w:lang w:val="fr-FR"/>
        </w:rPr>
        <w:t xml:space="preserve"> (sur l’aide légale dans le cadre du Groupe Thématique de la PSJ, ainsi qu’au Projet)</w:t>
      </w:r>
      <w:r>
        <w:rPr>
          <w:lang w:val="fr-FR"/>
        </w:rPr>
        <w:t xml:space="preserve">. </w:t>
      </w:r>
    </w:p>
    <w:p w14:paraId="22C7D0F2" w14:textId="77777777" w:rsidR="00F004BF" w:rsidRPr="00D53328" w:rsidRDefault="00F004BF" w:rsidP="00F004BF">
      <w:pPr>
        <w:ind w:left="-720"/>
        <w:jc w:val="both"/>
        <w:rPr>
          <w:b/>
          <w:lang w:val="fr-FR"/>
        </w:rPr>
      </w:pPr>
    </w:p>
    <w:p w14:paraId="66A794E0" w14:textId="77777777" w:rsidR="00F004BF" w:rsidRPr="005D15A3" w:rsidRDefault="00F004BF" w:rsidP="00F004BF">
      <w:pPr>
        <w:ind w:left="-720"/>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6872C1" w:rsidRPr="00920CA5">
        <w:rPr>
          <w:b/>
          <w:bCs/>
          <w:color w:val="000000"/>
          <w:lang w:val="fr-FR" w:eastAsia="en-US"/>
        </w:rPr>
        <w:t>résultat</w:t>
      </w:r>
      <w:r w:rsidR="006872C1" w:rsidRPr="00920CA5">
        <w:rPr>
          <w:b/>
          <w:lang w:val="fr-FR"/>
        </w:rPr>
        <w:t xml:space="preserve"> :</w:t>
      </w:r>
      <w:r w:rsidRPr="00920CA5">
        <w:rPr>
          <w:b/>
          <w:lang w:val="fr-FR"/>
        </w:rPr>
        <w:t xml:space="preserve"> </w:t>
      </w:r>
      <w:r w:rsidRPr="00920CA5">
        <w:rPr>
          <w:i/>
          <w:lang w:val="fr-FR"/>
        </w:rPr>
        <w:t>(</w:t>
      </w:r>
      <w:r w:rsidRPr="00920CA5">
        <w:rPr>
          <w:rFonts w:ascii="inherit" w:hAnsi="inherit"/>
          <w:color w:val="212121"/>
          <w:lang w:val="fr-FR"/>
        </w:rPr>
        <w:t>Limite de 1000 caractères</w:t>
      </w:r>
      <w:r w:rsidRPr="00920CA5">
        <w:rPr>
          <w:i/>
          <w:lang w:val="fr-FR"/>
        </w:rPr>
        <w:t>)</w:t>
      </w:r>
    </w:p>
    <w:p w14:paraId="460741B9" w14:textId="77777777" w:rsidR="00F004BF" w:rsidRPr="00D53328" w:rsidRDefault="00F004BF" w:rsidP="00F004BF">
      <w:pPr>
        <w:ind w:left="-720"/>
        <w:jc w:val="both"/>
        <w:rPr>
          <w:b/>
          <w:lang w:val="fr-FR"/>
        </w:rPr>
      </w:pPr>
    </w:p>
    <w:p w14:paraId="1F7122B6" w14:textId="529A663C" w:rsidR="00F004BF" w:rsidRPr="00FB7079" w:rsidRDefault="00F004BF" w:rsidP="00F004BF">
      <w:pPr>
        <w:ind w:left="-720"/>
        <w:jc w:val="both"/>
        <w:rPr>
          <w:lang w:val="fr-FR"/>
        </w:rPr>
      </w:pPr>
      <w:r>
        <w:rPr>
          <w:lang w:val="fr-FR"/>
        </w:rPr>
        <w:t>Tout le personnel des</w:t>
      </w:r>
      <w:r w:rsidRPr="00FB7079">
        <w:rPr>
          <w:lang w:val="fr-FR"/>
        </w:rPr>
        <w:t xml:space="preserve"> cliniques juridiques</w:t>
      </w:r>
      <w:r>
        <w:rPr>
          <w:lang w:val="fr-FR"/>
        </w:rPr>
        <w:t xml:space="preserve"> a été formé en droits des femmes et égalité entre les sexes. L’AFJC dispose de grandes connaissances en la matière et une attention particulière </w:t>
      </w:r>
      <w:r w:rsidR="00EA29C7">
        <w:rPr>
          <w:lang w:val="fr-FR"/>
        </w:rPr>
        <w:t xml:space="preserve">a été </w:t>
      </w:r>
      <w:r>
        <w:rPr>
          <w:lang w:val="fr-FR"/>
        </w:rPr>
        <w:t>donné à tous les cas sollicitant l’appui des cliniques en la matière. A cet égard, les avocats déployés dans les cliniques à Bangui collaborent directement avec l’UMIRR</w:t>
      </w:r>
      <w:r w:rsidR="009715F2">
        <w:rPr>
          <w:lang w:val="fr-FR"/>
        </w:rPr>
        <w:t xml:space="preserve"> (</w:t>
      </w:r>
      <w:r w:rsidR="009715F2" w:rsidRPr="009715F2">
        <w:rPr>
          <w:lang w:val="fr-FR"/>
        </w:rPr>
        <w:t>Unité Mixte d'Intervention Rapide et de Répression des violences sexuelles faites aux femmes et aux enfants</w:t>
      </w:r>
      <w:r w:rsidR="00522B0D">
        <w:rPr>
          <w:lang w:val="fr-FR"/>
        </w:rPr>
        <w:t xml:space="preserve">) </w:t>
      </w:r>
      <w:r>
        <w:rPr>
          <w:lang w:val="fr-FR"/>
        </w:rPr>
        <w:t xml:space="preserve">pour faire le suivi des cas de violences sexuelles reçus. </w:t>
      </w:r>
    </w:p>
    <w:p w14:paraId="524D650D" w14:textId="77777777" w:rsidR="00F004BF" w:rsidRPr="00D53328" w:rsidRDefault="00F004BF" w:rsidP="00F004BF">
      <w:pPr>
        <w:ind w:left="-720"/>
        <w:jc w:val="both"/>
        <w:rPr>
          <w:b/>
          <w:lang w:val="fr-FR"/>
        </w:rPr>
      </w:pPr>
    </w:p>
    <w:p w14:paraId="7E2A81C1" w14:textId="77777777" w:rsidR="00F004BF" w:rsidRPr="00615EA3" w:rsidRDefault="00F004BF" w:rsidP="00F004BF">
      <w:pPr>
        <w:ind w:left="-720"/>
        <w:jc w:val="both"/>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636E71">
        <w:rPr>
          <w:b/>
          <w:bCs/>
          <w:lang w:val="fr-FR"/>
        </w:rPr>
        <w:t>Le travail de gestion de la mémoire et de recherche de la vérité est engagé par un appui technique et opérationnel à la Commission Vérité, Justice, Réparation et Réconciliation CVJRR) et aux organisations de la société civile, y compris les associations de victimes.</w:t>
      </w:r>
    </w:p>
    <w:p w14:paraId="3FC0C7BE" w14:textId="77777777" w:rsidR="00F004BF" w:rsidRPr="00615EA3" w:rsidRDefault="00F004BF" w:rsidP="00F004BF">
      <w:pPr>
        <w:ind w:left="-720"/>
        <w:jc w:val="both"/>
        <w:rPr>
          <w:b/>
          <w:lang w:val="fr-FR"/>
        </w:rPr>
      </w:pPr>
    </w:p>
    <w:p w14:paraId="61BB9CF6" w14:textId="4CBF9745" w:rsidR="00F004BF" w:rsidRPr="00750773"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F240B6">
        <w:rPr>
          <w:rFonts w:ascii="inherit" w:hAnsi="inherit"/>
          <w:color w:val="212121"/>
          <w:lang w:val="fr-FR"/>
        </w:rPr>
        <w:t>résultat</w:t>
      </w:r>
      <w:r w:rsidR="00F240B6" w:rsidRPr="009C39D0">
        <w:rPr>
          <w:rFonts w:ascii="inherit" w:hAnsi="inherit"/>
          <w:color w:val="212121"/>
          <w:lang w:val="fr-FR"/>
        </w:rPr>
        <w:t xml:space="preserve"> :</w:t>
      </w:r>
      <w:r w:rsidRPr="00615EA3">
        <w:rPr>
          <w:b/>
          <w:lang w:val="fr-FR"/>
        </w:rPr>
        <w:t xml:space="preserve"> </w:t>
      </w:r>
      <w:r w:rsidR="00762B91">
        <w:rPr>
          <w:rFonts w:ascii="Arial Narrow" w:hAnsi="Arial Narrow"/>
          <w:b/>
          <w:sz w:val="22"/>
          <w:szCs w:val="22"/>
          <w:lang w:val="fr-FR"/>
        </w:rPr>
        <w:t xml:space="preserve">On </w:t>
      </w:r>
      <w:proofErr w:type="spellStart"/>
      <w:r>
        <w:rPr>
          <w:rFonts w:ascii="Arial Narrow" w:hAnsi="Arial Narrow"/>
          <w:b/>
          <w:sz w:val="22"/>
          <w:szCs w:val="22"/>
          <w:lang w:val="fr-FR"/>
        </w:rPr>
        <w:t>track</w:t>
      </w:r>
      <w:proofErr w:type="spellEnd"/>
    </w:p>
    <w:p w14:paraId="75817A82" w14:textId="77777777" w:rsidR="00F004BF" w:rsidRPr="005D15A3" w:rsidRDefault="00F004BF" w:rsidP="00F004BF">
      <w:pPr>
        <w:ind w:left="-720"/>
        <w:jc w:val="both"/>
        <w:rPr>
          <w:b/>
          <w:lang w:val="fr-FR"/>
        </w:rPr>
      </w:pPr>
    </w:p>
    <w:p w14:paraId="0345B1B6" w14:textId="77777777" w:rsidR="00F004BF" w:rsidRPr="005D15A3" w:rsidRDefault="00EA1754" w:rsidP="00F004BF">
      <w:pPr>
        <w:ind w:left="-720"/>
        <w:jc w:val="both"/>
        <w:rPr>
          <w:i/>
          <w:lang w:val="fr-FR"/>
        </w:rPr>
      </w:pPr>
      <w:r w:rsidRPr="005D15A3">
        <w:rPr>
          <w:b/>
          <w:lang w:val="fr-FR"/>
        </w:rPr>
        <w:t>Résumé</w:t>
      </w:r>
      <w:r w:rsidR="00F004BF"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F004BF" w:rsidRPr="005D15A3">
        <w:rPr>
          <w:b/>
          <w:lang w:val="fr-FR"/>
        </w:rPr>
        <w:t xml:space="preserve"> </w:t>
      </w:r>
      <w:r w:rsidR="00F004BF">
        <w:rPr>
          <w:rFonts w:ascii="inherit" w:hAnsi="inherit"/>
          <w:color w:val="212121"/>
          <w:lang w:val="fr-FR"/>
        </w:rPr>
        <w:t>(Limite de 3000 caractères)</w:t>
      </w:r>
    </w:p>
    <w:p w14:paraId="23BF368F" w14:textId="77777777" w:rsidR="00F004BF" w:rsidRDefault="00F004BF" w:rsidP="00F004BF">
      <w:pPr>
        <w:ind w:left="-720"/>
        <w:jc w:val="both"/>
        <w:rPr>
          <w:lang w:val="fr-FR"/>
        </w:rPr>
      </w:pPr>
    </w:p>
    <w:p w14:paraId="799CE291" w14:textId="0850E005" w:rsidR="00B72B13" w:rsidRDefault="00F004BF" w:rsidP="00F004BF">
      <w:pPr>
        <w:ind w:left="-720"/>
        <w:jc w:val="both"/>
        <w:rPr>
          <w:lang w:val="fr-FR"/>
        </w:rPr>
      </w:pPr>
      <w:r w:rsidRPr="008428E8">
        <w:rPr>
          <w:lang w:val="fr-FR"/>
        </w:rPr>
        <w:t>L'accord de paix entre le gouvernement et 14 groupes armé</w:t>
      </w:r>
      <w:r>
        <w:rPr>
          <w:lang w:val="fr-FR"/>
        </w:rPr>
        <w:t>s signé en février 2019</w:t>
      </w:r>
      <w:r w:rsidR="00EA29C7">
        <w:rPr>
          <w:lang w:val="fr-FR"/>
        </w:rPr>
        <w:t>,</w:t>
      </w:r>
      <w:r>
        <w:rPr>
          <w:lang w:val="fr-FR"/>
        </w:rPr>
        <w:t xml:space="preserve"> établi</w:t>
      </w:r>
      <w:r w:rsidR="004544D8">
        <w:rPr>
          <w:lang w:val="fr-FR"/>
        </w:rPr>
        <w:t>t</w:t>
      </w:r>
      <w:r w:rsidRPr="008428E8">
        <w:rPr>
          <w:lang w:val="fr-FR"/>
        </w:rPr>
        <w:t xml:space="preserve"> qu'une Commission de Vérité, Justice, Réparation et Réconciliation </w:t>
      </w:r>
      <w:r w:rsidR="00EA29C7">
        <w:rPr>
          <w:lang w:val="fr-FR"/>
        </w:rPr>
        <w:t>soit</w:t>
      </w:r>
      <w:r w:rsidR="00EA29C7" w:rsidRPr="008428E8">
        <w:rPr>
          <w:lang w:val="fr-FR"/>
        </w:rPr>
        <w:t xml:space="preserve"> </w:t>
      </w:r>
      <w:r w:rsidRPr="008428E8">
        <w:rPr>
          <w:lang w:val="fr-FR"/>
        </w:rPr>
        <w:t xml:space="preserve">établie. </w:t>
      </w:r>
      <w:r w:rsidR="008F684C" w:rsidRPr="008428E8">
        <w:rPr>
          <w:lang w:val="fr-FR"/>
        </w:rPr>
        <w:t>Le projet</w:t>
      </w:r>
      <w:r w:rsidR="008F684C">
        <w:rPr>
          <w:lang w:val="fr-FR"/>
        </w:rPr>
        <w:t>, conjointement avec la MINUSCA et le International Center for Transitionnel Justice (ICTJ)</w:t>
      </w:r>
      <w:r w:rsidR="008F684C" w:rsidRPr="008428E8">
        <w:rPr>
          <w:lang w:val="fr-FR"/>
        </w:rPr>
        <w:t xml:space="preserve"> a fourni une expertise technique visant à la rédaction de l</w:t>
      </w:r>
      <w:r w:rsidR="008F684C">
        <w:rPr>
          <w:lang w:val="fr-FR"/>
        </w:rPr>
        <w:t xml:space="preserve">’avant-projet de </w:t>
      </w:r>
      <w:r w:rsidR="008F684C" w:rsidRPr="008428E8">
        <w:rPr>
          <w:lang w:val="fr-FR"/>
        </w:rPr>
        <w:t>loi</w:t>
      </w:r>
      <w:r w:rsidR="008F684C">
        <w:rPr>
          <w:lang w:val="fr-FR"/>
        </w:rPr>
        <w:t xml:space="preserve"> sur la CVJRR</w:t>
      </w:r>
      <w:r w:rsidR="008F684C" w:rsidRPr="008428E8">
        <w:rPr>
          <w:lang w:val="fr-FR"/>
        </w:rPr>
        <w:t xml:space="preserve"> </w:t>
      </w:r>
      <w:r w:rsidR="008F684C">
        <w:rPr>
          <w:lang w:val="fr-FR"/>
        </w:rPr>
        <w:t xml:space="preserve">par le Comité de pilotage </w:t>
      </w:r>
      <w:r w:rsidR="008F684C" w:rsidRPr="008428E8">
        <w:rPr>
          <w:lang w:val="fr-FR"/>
        </w:rPr>
        <w:t>et réalisé un plaidoyer continu</w:t>
      </w:r>
      <w:r w:rsidR="008F684C">
        <w:rPr>
          <w:lang w:val="fr-FR"/>
        </w:rPr>
        <w:t>, incluant sur le genre, y compris à travers la transmission des observations à la Commission de lois de l’Assemblée Nationale avant son</w:t>
      </w:r>
      <w:r w:rsidR="008F684C" w:rsidRPr="008428E8">
        <w:rPr>
          <w:lang w:val="fr-FR"/>
        </w:rPr>
        <w:t xml:space="preserve"> </w:t>
      </w:r>
      <w:r w:rsidR="008F684C">
        <w:rPr>
          <w:lang w:val="fr-FR"/>
        </w:rPr>
        <w:t>adoption le 27 février 2020 et sa promulgation par le Président de la République</w:t>
      </w:r>
      <w:r w:rsidR="008F684C" w:rsidRPr="002F3579">
        <w:rPr>
          <w:lang w:val="fr-FR"/>
        </w:rPr>
        <w:t xml:space="preserve"> le 7</w:t>
      </w:r>
      <w:r w:rsidR="008F684C">
        <w:rPr>
          <w:lang w:val="fr-FR"/>
        </w:rPr>
        <w:t xml:space="preserve"> avril 2020.</w:t>
      </w:r>
    </w:p>
    <w:p w14:paraId="12ACC49F" w14:textId="77777777" w:rsidR="00B72B13" w:rsidRDefault="00B72B13" w:rsidP="00F004BF">
      <w:pPr>
        <w:ind w:left="-720"/>
        <w:jc w:val="both"/>
        <w:rPr>
          <w:lang w:val="fr-FR"/>
        </w:rPr>
      </w:pPr>
    </w:p>
    <w:p w14:paraId="08FFC9A1" w14:textId="4BDE2B0E" w:rsidR="00D95B87" w:rsidRDefault="00710000" w:rsidP="00EF7C35">
      <w:pPr>
        <w:ind w:left="-720"/>
        <w:jc w:val="both"/>
        <w:rPr>
          <w:lang w:val="fr-FR"/>
        </w:rPr>
      </w:pPr>
      <w:r>
        <w:rPr>
          <w:lang w:val="fr-FR"/>
        </w:rPr>
        <w:t>Après cette étape, de</w:t>
      </w:r>
      <w:r w:rsidR="00EA29C7">
        <w:rPr>
          <w:lang w:val="fr-FR"/>
        </w:rPr>
        <w:t>s</w:t>
      </w:r>
      <w:r w:rsidR="00611019">
        <w:rPr>
          <w:lang w:val="fr-FR"/>
        </w:rPr>
        <w:t xml:space="preserve"> activités préparatoires à la mise en place de la CVJRR</w:t>
      </w:r>
      <w:r>
        <w:rPr>
          <w:lang w:val="fr-FR"/>
        </w:rPr>
        <w:t xml:space="preserve"> bénéficient de la participation du projet à travers la désignation</w:t>
      </w:r>
      <w:r w:rsidR="007C0964">
        <w:rPr>
          <w:lang w:val="fr-FR"/>
        </w:rPr>
        <w:t xml:space="preserve"> en </w:t>
      </w:r>
      <w:r w:rsidR="00762B91">
        <w:rPr>
          <w:lang w:val="fr-FR"/>
        </w:rPr>
        <w:t>m</w:t>
      </w:r>
      <w:r w:rsidR="007C0964">
        <w:rPr>
          <w:lang w:val="fr-FR"/>
        </w:rPr>
        <w:t>ai 2020</w:t>
      </w:r>
      <w:r>
        <w:rPr>
          <w:lang w:val="fr-FR"/>
        </w:rPr>
        <w:t xml:space="preserve"> du Représentant des N</w:t>
      </w:r>
      <w:r w:rsidR="005125B8">
        <w:rPr>
          <w:lang w:val="fr-FR"/>
        </w:rPr>
        <w:t xml:space="preserve">ations Unies </w:t>
      </w:r>
      <w:r>
        <w:rPr>
          <w:lang w:val="fr-FR"/>
        </w:rPr>
        <w:t>à la Commission de S</w:t>
      </w:r>
      <w:r w:rsidR="004C6FC5">
        <w:rPr>
          <w:lang w:val="fr-FR"/>
        </w:rPr>
        <w:t>é</w:t>
      </w:r>
      <w:r>
        <w:rPr>
          <w:lang w:val="fr-FR"/>
        </w:rPr>
        <w:t xml:space="preserve">lection des commissaires établie sur base de la loi </w:t>
      </w:r>
      <w:r w:rsidR="007C0964">
        <w:rPr>
          <w:lang w:val="fr-FR"/>
        </w:rPr>
        <w:t xml:space="preserve">qui favorisera le choix des </w:t>
      </w:r>
      <w:r w:rsidR="00611019">
        <w:rPr>
          <w:lang w:val="fr-FR"/>
        </w:rPr>
        <w:t>commissaires</w:t>
      </w:r>
      <w:r w:rsidR="007C0964">
        <w:rPr>
          <w:lang w:val="fr-FR"/>
        </w:rPr>
        <w:t xml:space="preserve"> laquelle marquera l’</w:t>
      </w:r>
      <w:r w:rsidR="008F684C">
        <w:rPr>
          <w:lang w:val="fr-FR"/>
        </w:rPr>
        <w:t>opérationnalisation</w:t>
      </w:r>
      <w:r w:rsidR="007C0964">
        <w:rPr>
          <w:lang w:val="fr-FR"/>
        </w:rPr>
        <w:t xml:space="preserve"> de la CVJRR, </w:t>
      </w:r>
      <w:r w:rsidR="00522B0D">
        <w:rPr>
          <w:lang w:val="fr-FR"/>
        </w:rPr>
        <w:t>prévu</w:t>
      </w:r>
      <w:r w:rsidR="007C0964">
        <w:rPr>
          <w:lang w:val="fr-FR"/>
        </w:rPr>
        <w:t xml:space="preserve"> avant les élections</w:t>
      </w:r>
      <w:r w:rsidR="00611019">
        <w:rPr>
          <w:lang w:val="fr-FR"/>
        </w:rPr>
        <w:t xml:space="preserve">. </w:t>
      </w:r>
      <w:r w:rsidR="00522B0D">
        <w:rPr>
          <w:lang w:val="fr-FR"/>
        </w:rPr>
        <w:t>Le Projet a permis d’équipe</w:t>
      </w:r>
      <w:r w:rsidR="00EA29C7">
        <w:rPr>
          <w:lang w:val="fr-FR"/>
        </w:rPr>
        <w:t>r la</w:t>
      </w:r>
      <w:r w:rsidR="00522B0D">
        <w:rPr>
          <w:lang w:val="fr-FR"/>
        </w:rPr>
        <w:t xml:space="preserve"> Commission de Sélection avec le </w:t>
      </w:r>
      <w:proofErr w:type="spellStart"/>
      <w:r w:rsidR="00522B0D">
        <w:rPr>
          <w:lang w:val="fr-FR"/>
        </w:rPr>
        <w:t>materiel</w:t>
      </w:r>
      <w:proofErr w:type="spellEnd"/>
      <w:r w:rsidR="00522B0D">
        <w:rPr>
          <w:lang w:val="fr-FR"/>
        </w:rPr>
        <w:t xml:space="preserve"> bureautique et informatique </w:t>
      </w:r>
      <w:proofErr w:type="spellStart"/>
      <w:r w:rsidR="00522B0D">
        <w:rPr>
          <w:lang w:val="fr-FR"/>
        </w:rPr>
        <w:t>nécéssaire</w:t>
      </w:r>
      <w:proofErr w:type="spellEnd"/>
      <w:r w:rsidR="00522B0D">
        <w:rPr>
          <w:lang w:val="fr-FR"/>
        </w:rPr>
        <w:t xml:space="preserve"> à son fonctionnement, et qui sera remi</w:t>
      </w:r>
      <w:r w:rsidR="00EA29C7">
        <w:rPr>
          <w:lang w:val="fr-FR"/>
        </w:rPr>
        <w:t>s</w:t>
      </w:r>
      <w:r w:rsidR="00522B0D">
        <w:rPr>
          <w:lang w:val="fr-FR"/>
        </w:rPr>
        <w:t xml:space="preserve"> à la CVJRR dès son </w:t>
      </w:r>
      <w:proofErr w:type="spellStart"/>
      <w:r w:rsidR="00522B0D">
        <w:rPr>
          <w:lang w:val="fr-FR"/>
        </w:rPr>
        <w:t>éxistence</w:t>
      </w:r>
      <w:proofErr w:type="spellEnd"/>
      <w:r w:rsidR="00522B0D">
        <w:rPr>
          <w:lang w:val="fr-FR"/>
        </w:rPr>
        <w:t xml:space="preserve">. </w:t>
      </w:r>
      <w:r w:rsidR="00762B91">
        <w:rPr>
          <w:lang w:val="fr-FR"/>
        </w:rPr>
        <w:t>Cette Commission, appuyée par le Projet</w:t>
      </w:r>
      <w:r w:rsidR="00F16936">
        <w:rPr>
          <w:lang w:val="fr-FR"/>
        </w:rPr>
        <w:t xml:space="preserve"> et le</w:t>
      </w:r>
      <w:r w:rsidR="00522B0D">
        <w:rPr>
          <w:lang w:val="fr-FR"/>
        </w:rPr>
        <w:t xml:space="preserve">s </w:t>
      </w:r>
      <w:r w:rsidR="00F16936">
        <w:rPr>
          <w:lang w:val="fr-FR"/>
        </w:rPr>
        <w:t>Nations Unies dans son ensemble</w:t>
      </w:r>
      <w:r w:rsidR="00762B91">
        <w:rPr>
          <w:lang w:val="fr-FR"/>
        </w:rPr>
        <w:t>, proposera d’ici à décembre 2020 une liste de 11 commissaires. Cette étape permettra à la CVJRR de commencer officiellement ses activités</w:t>
      </w:r>
      <w:r w:rsidR="00F16936">
        <w:rPr>
          <w:lang w:val="fr-FR"/>
        </w:rPr>
        <w:t>, probablement en début 2021</w:t>
      </w:r>
      <w:r w:rsidR="00762B91">
        <w:rPr>
          <w:lang w:val="fr-FR"/>
        </w:rPr>
        <w:t xml:space="preserve">. </w:t>
      </w:r>
      <w:r w:rsidR="004544D8">
        <w:rPr>
          <w:lang w:val="fr-FR"/>
        </w:rPr>
        <w:t>Dans ce cadre, le Projet pourra commencer les activités d’appui technique et fin</w:t>
      </w:r>
      <w:r w:rsidR="00EA29C7">
        <w:rPr>
          <w:lang w:val="fr-FR"/>
        </w:rPr>
        <w:t>a</w:t>
      </w:r>
      <w:r w:rsidR="004544D8">
        <w:rPr>
          <w:lang w:val="fr-FR"/>
        </w:rPr>
        <w:t xml:space="preserve">ncier à cette institution. </w:t>
      </w:r>
      <w:r w:rsidR="00762B91">
        <w:rPr>
          <w:lang w:val="fr-FR"/>
        </w:rPr>
        <w:t xml:space="preserve"> </w:t>
      </w:r>
      <w:r w:rsidR="00522B0D">
        <w:rPr>
          <w:lang w:val="fr-FR"/>
        </w:rPr>
        <w:t xml:space="preserve">On note que dans le cadre du Groupe Thématique de la Politique Sectorielle de la Justice sur la Justice </w:t>
      </w:r>
      <w:proofErr w:type="spellStart"/>
      <w:r w:rsidR="00522B0D">
        <w:rPr>
          <w:lang w:val="fr-FR"/>
        </w:rPr>
        <w:t>Transitinnelle</w:t>
      </w:r>
      <w:proofErr w:type="spellEnd"/>
      <w:r w:rsidR="00522B0D">
        <w:rPr>
          <w:lang w:val="fr-FR"/>
        </w:rPr>
        <w:t xml:space="preserve"> – co-présidé par le Projet – des échanges réguliers entre </w:t>
      </w:r>
      <w:proofErr w:type="gramStart"/>
      <w:r w:rsidR="00522B0D">
        <w:rPr>
          <w:lang w:val="fr-FR"/>
        </w:rPr>
        <w:t>les parties prenants</w:t>
      </w:r>
      <w:proofErr w:type="gramEnd"/>
      <w:r w:rsidR="00522B0D">
        <w:rPr>
          <w:lang w:val="fr-FR"/>
        </w:rPr>
        <w:t xml:space="preserve"> étatiques et de la Société Civile ont pu avoir lieu, ainsi qu’un Plan Opérationnel commun établi.</w:t>
      </w:r>
    </w:p>
    <w:p w14:paraId="57E6CC00" w14:textId="77777777" w:rsidR="00D95B87" w:rsidRDefault="00D95B87" w:rsidP="00EF7C35">
      <w:pPr>
        <w:ind w:left="-720"/>
        <w:jc w:val="both"/>
        <w:rPr>
          <w:lang w:val="fr-FR"/>
        </w:rPr>
      </w:pPr>
    </w:p>
    <w:p w14:paraId="75F6B2B8" w14:textId="77777777" w:rsidR="00B72B13" w:rsidRDefault="00B72B13" w:rsidP="00F004BF">
      <w:pPr>
        <w:ind w:left="-720"/>
        <w:jc w:val="both"/>
        <w:rPr>
          <w:b/>
          <w:bCs/>
          <w:color w:val="000000"/>
          <w:lang w:val="fr-FR" w:eastAsia="en-US"/>
        </w:rPr>
      </w:pPr>
    </w:p>
    <w:p w14:paraId="14333D59" w14:textId="77777777" w:rsidR="00F004BF" w:rsidRPr="005D15A3" w:rsidRDefault="00F004BF" w:rsidP="00F004BF">
      <w:pPr>
        <w:ind w:left="-720"/>
        <w:jc w:val="both"/>
        <w:rPr>
          <w:b/>
          <w:lang w:val="fr-FR"/>
        </w:rPr>
      </w:pPr>
      <w:r w:rsidRPr="00920CA5">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A1620" w:rsidRPr="00920CA5">
        <w:rPr>
          <w:b/>
          <w:bCs/>
          <w:color w:val="000000"/>
          <w:lang w:val="fr-FR" w:eastAsia="en-US"/>
        </w:rPr>
        <w:t>résultat</w:t>
      </w:r>
      <w:r w:rsidR="00BA1620" w:rsidRPr="00920CA5">
        <w:rPr>
          <w:b/>
          <w:lang w:val="fr-FR"/>
        </w:rPr>
        <w:t xml:space="preserve"> :</w:t>
      </w:r>
      <w:r w:rsidRPr="00920CA5">
        <w:rPr>
          <w:b/>
          <w:lang w:val="fr-FR"/>
        </w:rPr>
        <w:t xml:space="preserve"> </w:t>
      </w:r>
      <w:r w:rsidRPr="00920CA5">
        <w:rPr>
          <w:i/>
          <w:lang w:val="fr-FR"/>
        </w:rPr>
        <w:t>(</w:t>
      </w:r>
      <w:r w:rsidRPr="00920CA5">
        <w:rPr>
          <w:rFonts w:ascii="inherit" w:hAnsi="inherit"/>
          <w:color w:val="212121"/>
          <w:lang w:val="fr-FR"/>
        </w:rPr>
        <w:t>Limite de 1000 caractères</w:t>
      </w:r>
      <w:r w:rsidRPr="00920CA5">
        <w:rPr>
          <w:i/>
          <w:lang w:val="fr-FR"/>
        </w:rPr>
        <w:t>)</w:t>
      </w:r>
    </w:p>
    <w:p w14:paraId="0CC54698" w14:textId="77777777" w:rsidR="00F004BF" w:rsidRPr="00D53328" w:rsidRDefault="00F004BF" w:rsidP="00F004BF">
      <w:pPr>
        <w:ind w:left="-720"/>
        <w:jc w:val="both"/>
        <w:rPr>
          <w:b/>
          <w:lang w:val="fr-FR"/>
        </w:rPr>
      </w:pPr>
    </w:p>
    <w:p w14:paraId="0731DEBC" w14:textId="39AEC458" w:rsidR="00F004BF" w:rsidRPr="0016167F" w:rsidRDefault="00F004BF" w:rsidP="00F004BF">
      <w:pPr>
        <w:ind w:left="-720"/>
        <w:jc w:val="both"/>
        <w:rPr>
          <w:lang w:val="fr-FR"/>
        </w:rPr>
      </w:pPr>
      <w:r w:rsidRPr="0016167F">
        <w:rPr>
          <w:lang w:val="fr-FR"/>
        </w:rPr>
        <w:t>Grâce au plaidoyer du Projet, le principe de</w:t>
      </w:r>
      <w:r w:rsidR="00522B0D">
        <w:rPr>
          <w:lang w:val="fr-FR"/>
        </w:rPr>
        <w:t xml:space="preserve"> genre </w:t>
      </w:r>
      <w:r>
        <w:rPr>
          <w:lang w:val="fr-FR"/>
        </w:rPr>
        <w:t>des commissaires de la CVJRR a été pris en compte par les législateurs e</w:t>
      </w:r>
      <w:r w:rsidR="00522B0D">
        <w:rPr>
          <w:lang w:val="fr-FR"/>
        </w:rPr>
        <w:t>t</w:t>
      </w:r>
      <w:r>
        <w:rPr>
          <w:lang w:val="fr-FR"/>
        </w:rPr>
        <w:t xml:space="preserve"> intégré dans la loi sur la CVJRR</w:t>
      </w:r>
      <w:r w:rsidR="00522B0D">
        <w:rPr>
          <w:lang w:val="fr-FR"/>
        </w:rPr>
        <w:t>, avec un quota de minimum 4 femmes sur 11 Commissaires</w:t>
      </w:r>
      <w:r>
        <w:rPr>
          <w:lang w:val="fr-FR"/>
        </w:rPr>
        <w:t xml:space="preserve">. </w:t>
      </w:r>
    </w:p>
    <w:p w14:paraId="1F3A778A" w14:textId="77777777" w:rsidR="00F004BF" w:rsidRPr="00D53328" w:rsidRDefault="00F004BF" w:rsidP="00F004BF">
      <w:pPr>
        <w:ind w:left="-720"/>
        <w:jc w:val="both"/>
        <w:rPr>
          <w:b/>
          <w:lang w:val="fr-FR"/>
        </w:rPr>
      </w:pPr>
    </w:p>
    <w:p w14:paraId="2108A72D" w14:textId="77777777" w:rsidR="00F004BF" w:rsidRPr="00615EA3" w:rsidRDefault="00F004BF" w:rsidP="00F004BF">
      <w:pPr>
        <w:ind w:left="-720"/>
        <w:jc w:val="both"/>
        <w:rPr>
          <w:b/>
          <w:lang w:val="fr-FR"/>
        </w:rPr>
      </w:pPr>
      <w:r w:rsidRPr="00615EA3">
        <w:rPr>
          <w:b/>
          <w:u w:val="single"/>
          <w:lang w:val="fr-FR"/>
        </w:rPr>
        <w:t xml:space="preserve">Résultat </w:t>
      </w:r>
      <w:r w:rsidR="00011620">
        <w:rPr>
          <w:b/>
          <w:u w:val="single"/>
          <w:lang w:val="fr-FR"/>
        </w:rPr>
        <w:t>4</w:t>
      </w:r>
      <w:r w:rsidR="00011620" w:rsidRPr="00615EA3">
        <w:rPr>
          <w:b/>
          <w:u w:val="single"/>
          <w:lang w:val="fr-FR"/>
        </w:rPr>
        <w:t xml:space="preserve"> :</w:t>
      </w:r>
      <w:r w:rsidRPr="00615EA3">
        <w:rPr>
          <w:b/>
          <w:lang w:val="fr-FR"/>
        </w:rPr>
        <w:t xml:space="preserve"> </w:t>
      </w:r>
      <w:r w:rsidRPr="00636E71">
        <w:rPr>
          <w:b/>
          <w:bCs/>
          <w:lang w:val="fr-FR"/>
        </w:rPr>
        <w:t>Les institutions de l’architecture de la justice transitionnelle en RCA ont les capacités techniques et opérationnelles pour assurer l’accès des femmes à la justice et à la vérité, et les organisations féminines ont les capacités requises pour fournir un appui psychosocial aux victimes</w:t>
      </w:r>
    </w:p>
    <w:p w14:paraId="64022C1B" w14:textId="77777777" w:rsidR="00F004BF" w:rsidRPr="00615EA3" w:rsidRDefault="00F004BF" w:rsidP="00F004BF">
      <w:pPr>
        <w:ind w:left="-720"/>
        <w:jc w:val="both"/>
        <w:rPr>
          <w:b/>
          <w:lang w:val="fr-FR"/>
        </w:rPr>
      </w:pPr>
    </w:p>
    <w:p w14:paraId="426301F1" w14:textId="5A0ECBF8" w:rsidR="00F004BF" w:rsidRPr="00750773" w:rsidRDefault="00F004BF" w:rsidP="00F00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97112B">
        <w:rPr>
          <w:rFonts w:ascii="inherit" w:hAnsi="inherit"/>
          <w:color w:val="212121"/>
          <w:lang w:val="fr-FR"/>
        </w:rPr>
        <w:t>résultat</w:t>
      </w:r>
      <w:r w:rsidR="0097112B" w:rsidRPr="009C39D0">
        <w:rPr>
          <w:rFonts w:ascii="inherit" w:hAnsi="inherit"/>
          <w:color w:val="212121"/>
          <w:lang w:val="fr-FR"/>
        </w:rPr>
        <w:t xml:space="preserve"> :</w:t>
      </w:r>
      <w:r w:rsidRPr="00615EA3">
        <w:rPr>
          <w:b/>
          <w:lang w:val="fr-FR"/>
        </w:rPr>
        <w:t xml:space="preserve"> </w:t>
      </w:r>
      <w:r w:rsidR="00A27FF5">
        <w:rPr>
          <w:rFonts w:ascii="Arial Narrow" w:hAnsi="Arial Narrow"/>
          <w:b/>
          <w:sz w:val="22"/>
          <w:szCs w:val="22"/>
          <w:lang w:val="fr-FR"/>
        </w:rPr>
        <w:t xml:space="preserve">On </w:t>
      </w:r>
      <w:proofErr w:type="spellStart"/>
      <w:r>
        <w:rPr>
          <w:rFonts w:ascii="Arial Narrow" w:hAnsi="Arial Narrow"/>
          <w:b/>
          <w:sz w:val="22"/>
          <w:szCs w:val="22"/>
          <w:lang w:val="fr-FR"/>
        </w:rPr>
        <w:t>track</w:t>
      </w:r>
      <w:proofErr w:type="spellEnd"/>
    </w:p>
    <w:p w14:paraId="6B4E573C" w14:textId="77777777" w:rsidR="00F004BF" w:rsidRPr="005D15A3" w:rsidRDefault="00F004BF" w:rsidP="00F004BF">
      <w:pPr>
        <w:ind w:left="-720"/>
        <w:jc w:val="both"/>
        <w:rPr>
          <w:b/>
          <w:lang w:val="fr-FR"/>
        </w:rPr>
      </w:pPr>
    </w:p>
    <w:p w14:paraId="37758D16" w14:textId="77777777" w:rsidR="003828F8" w:rsidRDefault="00BA1620" w:rsidP="003828F8">
      <w:pPr>
        <w:ind w:left="-720"/>
        <w:jc w:val="both"/>
        <w:rPr>
          <w:rFonts w:ascii="inherit" w:hAnsi="inherit"/>
          <w:color w:val="212121"/>
          <w:lang w:val="fr-FR"/>
        </w:rPr>
      </w:pPr>
      <w:r w:rsidRPr="005D15A3">
        <w:rPr>
          <w:b/>
          <w:lang w:val="fr-FR"/>
        </w:rPr>
        <w:t>Résumé</w:t>
      </w:r>
      <w:r w:rsidR="00F004BF"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F004BF" w:rsidRPr="005D15A3">
        <w:rPr>
          <w:b/>
          <w:lang w:val="fr-FR"/>
        </w:rPr>
        <w:t xml:space="preserve"> </w:t>
      </w:r>
      <w:r w:rsidR="003828F8">
        <w:rPr>
          <w:rFonts w:ascii="inherit" w:hAnsi="inherit"/>
          <w:color w:val="212121"/>
          <w:lang w:val="fr-FR"/>
        </w:rPr>
        <w:t>(Limite de 3000 caractères)</w:t>
      </w:r>
    </w:p>
    <w:p w14:paraId="33B25B3C" w14:textId="77777777" w:rsidR="003828F8" w:rsidRDefault="003828F8" w:rsidP="00473D3A">
      <w:pPr>
        <w:jc w:val="both"/>
        <w:rPr>
          <w:rFonts w:ascii="inherit" w:hAnsi="inherit"/>
          <w:color w:val="212121"/>
          <w:lang w:val="fr-FR"/>
        </w:rPr>
      </w:pPr>
    </w:p>
    <w:p w14:paraId="2D154136" w14:textId="25269094" w:rsidR="00A27FF5" w:rsidRPr="008F2372" w:rsidRDefault="00A27FF5" w:rsidP="00A27FF5">
      <w:pPr>
        <w:ind w:left="-720"/>
        <w:jc w:val="both"/>
        <w:rPr>
          <w:lang w:val="fr-FR"/>
        </w:rPr>
      </w:pPr>
      <w:r w:rsidRPr="008F2372">
        <w:rPr>
          <w:lang w:val="fr-FR"/>
        </w:rPr>
        <w:t xml:space="preserve">Le plaidoyer mené par le </w:t>
      </w:r>
      <w:r w:rsidR="00522B0D">
        <w:rPr>
          <w:lang w:val="fr-FR"/>
        </w:rPr>
        <w:t>P</w:t>
      </w:r>
      <w:r w:rsidRPr="008F2372">
        <w:rPr>
          <w:lang w:val="fr-FR"/>
        </w:rPr>
        <w:t xml:space="preserve">rojet auprès du Ministère d’Action Humanitaire et de la Réconciliation Nationale et le renforcement des capacités des femmes leaders ont permis de garantir la sensibilité au genre du processus de la mise en place de la CVJRR </w:t>
      </w:r>
      <w:r w:rsidR="00EA29C7">
        <w:rPr>
          <w:lang w:val="fr-FR"/>
        </w:rPr>
        <w:t>avec</w:t>
      </w:r>
      <w:r w:rsidRPr="008F2372">
        <w:rPr>
          <w:lang w:val="fr-FR"/>
        </w:rPr>
        <w:t xml:space="preserve"> l’</w:t>
      </w:r>
      <w:proofErr w:type="spellStart"/>
      <w:r w:rsidRPr="008F2372">
        <w:rPr>
          <w:lang w:val="fr-FR"/>
        </w:rPr>
        <w:t>incusion</w:t>
      </w:r>
      <w:proofErr w:type="spellEnd"/>
      <w:r w:rsidRPr="008F2372">
        <w:rPr>
          <w:lang w:val="fr-FR"/>
        </w:rPr>
        <w:t xml:space="preserve"> des femmes dans la démarche. Un plaidoyer pour l’intégration de la dimension genre dans le processus de la CVJRR a été mené et a abouti à l’adoption d’un principe de quota de 35% de place</w:t>
      </w:r>
      <w:r w:rsidR="00522B0D">
        <w:rPr>
          <w:lang w:val="fr-FR"/>
        </w:rPr>
        <w:t>s</w:t>
      </w:r>
      <w:r w:rsidRPr="008F2372">
        <w:rPr>
          <w:lang w:val="fr-FR"/>
        </w:rPr>
        <w:t xml:space="preserve"> accordé aux femmes au sein de la CVJRR. Les leaders de 15 Organisations féminines et des victimes ont bénéficié d’un renforcement des capacités sur le processus de la mise en place de la CVJRR et ont reçu des copies de la Loi portant création de la CVJRR et de l’appel à candidature pour le poste des commissaires. Cet exercice a suscité l’adhésion des femmes</w:t>
      </w:r>
      <w:r w:rsidR="000A6004">
        <w:rPr>
          <w:lang w:val="fr-FR"/>
        </w:rPr>
        <w:t>, et s</w:t>
      </w:r>
      <w:r w:rsidRPr="008F2372">
        <w:rPr>
          <w:lang w:val="fr-FR"/>
        </w:rPr>
        <w:t xml:space="preserve">ur 53 dossiers retenus pour le poste de Commissaires, 23 sont des candidatures féminines, soit 43,40%. </w:t>
      </w:r>
    </w:p>
    <w:p w14:paraId="23738923" w14:textId="77777777" w:rsidR="00A27FF5" w:rsidRPr="008F2372" w:rsidRDefault="00A27FF5" w:rsidP="00A27FF5">
      <w:pPr>
        <w:ind w:left="-720"/>
        <w:jc w:val="both"/>
        <w:rPr>
          <w:lang w:val="fr-FR"/>
        </w:rPr>
      </w:pPr>
    </w:p>
    <w:p w14:paraId="2128DE1B" w14:textId="53854519" w:rsidR="000A6004" w:rsidRDefault="00A27FF5" w:rsidP="00A27FF5">
      <w:pPr>
        <w:ind w:left="-720"/>
        <w:jc w:val="both"/>
        <w:rPr>
          <w:lang w:val="fr-FR"/>
        </w:rPr>
      </w:pPr>
      <w:r w:rsidRPr="008F2372">
        <w:rPr>
          <w:lang w:val="fr-FR"/>
        </w:rPr>
        <w:t xml:space="preserve">Le </w:t>
      </w:r>
      <w:r w:rsidR="000A6004">
        <w:rPr>
          <w:lang w:val="fr-FR"/>
        </w:rPr>
        <w:t>P</w:t>
      </w:r>
      <w:r w:rsidRPr="008F2372">
        <w:rPr>
          <w:lang w:val="fr-FR"/>
        </w:rPr>
        <w:t xml:space="preserve">rojet continue d’appuyer l’offre de service d’appui psychosocial aux victimes et aux populations, à travers les Centres d’écoute créés et les 18 (9 hommes et 9 femmes) </w:t>
      </w:r>
      <w:r w:rsidR="004544D8" w:rsidRPr="008F2372">
        <w:rPr>
          <w:lang w:val="fr-FR"/>
        </w:rPr>
        <w:t>r</w:t>
      </w:r>
      <w:r w:rsidRPr="008F2372">
        <w:rPr>
          <w:lang w:val="fr-FR"/>
        </w:rPr>
        <w:t xml:space="preserve">elais communautaires. Ces </w:t>
      </w:r>
      <w:r w:rsidR="00AD5E22">
        <w:rPr>
          <w:lang w:val="fr-FR"/>
        </w:rPr>
        <w:t>C</w:t>
      </w:r>
      <w:r w:rsidRPr="008F2372">
        <w:rPr>
          <w:lang w:val="fr-FR"/>
        </w:rPr>
        <w:t>entres d’écoute apportent non seulement l’appui psycho</w:t>
      </w:r>
      <w:r w:rsidR="000A6004">
        <w:rPr>
          <w:lang w:val="fr-FR"/>
        </w:rPr>
        <w:t>social</w:t>
      </w:r>
      <w:r w:rsidRPr="008F2372">
        <w:rPr>
          <w:lang w:val="fr-FR"/>
        </w:rPr>
        <w:t xml:space="preserve"> aux victimes</w:t>
      </w:r>
      <w:r w:rsidR="000A6004">
        <w:rPr>
          <w:lang w:val="fr-FR"/>
        </w:rPr>
        <w:t>,</w:t>
      </w:r>
      <w:r w:rsidRPr="008F2372">
        <w:rPr>
          <w:lang w:val="fr-FR"/>
        </w:rPr>
        <w:t xml:space="preserve"> mais les réfèrent vers les cliniques juridiques créées dans le cadre du </w:t>
      </w:r>
      <w:r w:rsidR="000A6004">
        <w:rPr>
          <w:lang w:val="fr-FR"/>
        </w:rPr>
        <w:t>P</w:t>
      </w:r>
      <w:r w:rsidRPr="008F2372">
        <w:rPr>
          <w:lang w:val="fr-FR"/>
        </w:rPr>
        <w:t>rojet</w:t>
      </w:r>
      <w:r w:rsidR="000A6004">
        <w:rPr>
          <w:lang w:val="fr-FR"/>
        </w:rPr>
        <w:t xml:space="preserve"> en cas de besoin et</w:t>
      </w:r>
      <w:r w:rsidRPr="008F2372">
        <w:rPr>
          <w:lang w:val="fr-FR"/>
        </w:rPr>
        <w:t xml:space="preserve"> afin de faciliter l’accès des femmes et filles à la justice. </w:t>
      </w:r>
    </w:p>
    <w:p w14:paraId="4369945B" w14:textId="77777777" w:rsidR="000A6004" w:rsidRDefault="000A6004" w:rsidP="00A27FF5">
      <w:pPr>
        <w:ind w:left="-720"/>
        <w:jc w:val="both"/>
        <w:rPr>
          <w:lang w:val="fr-FR"/>
        </w:rPr>
      </w:pPr>
    </w:p>
    <w:p w14:paraId="2260D95C" w14:textId="6E58A78B" w:rsidR="00A27FF5" w:rsidRPr="008F2372" w:rsidRDefault="009B1540" w:rsidP="00A27FF5">
      <w:pPr>
        <w:ind w:left="-720"/>
        <w:jc w:val="both"/>
        <w:rPr>
          <w:lang w:val="fr-FR"/>
        </w:rPr>
      </w:pPr>
      <w:r>
        <w:rPr>
          <w:lang w:val="fr-FR"/>
        </w:rPr>
        <w:t>D</w:t>
      </w:r>
      <w:r w:rsidR="00A27FF5" w:rsidRPr="008F2372">
        <w:rPr>
          <w:lang w:val="fr-FR"/>
        </w:rPr>
        <w:t>es ONG locales</w:t>
      </w:r>
      <w:r>
        <w:rPr>
          <w:lang w:val="fr-FR"/>
        </w:rPr>
        <w:t xml:space="preserve"> et partenaires d’ONU Femmes</w:t>
      </w:r>
      <w:r w:rsidR="00A27FF5" w:rsidRPr="008F2372">
        <w:rPr>
          <w:lang w:val="fr-FR"/>
        </w:rPr>
        <w:t xml:space="preserve"> (GEPAD, Levier plus et IDD) appuient la mise en œuvre du projet et continuent d’apporter leur appui technique pour la réalisation des activités. Des sensibilisations par les relais communautaires et à travers les Radios communautaires sur les droits des femmes et leur accès à la justice ont touchées plus de 70,000 personnes</w:t>
      </w:r>
      <w:r>
        <w:rPr>
          <w:lang w:val="fr-FR"/>
        </w:rPr>
        <w:t xml:space="preserve"> (selon les rapports des ONGs)</w:t>
      </w:r>
      <w:r w:rsidR="00A27FF5" w:rsidRPr="008F2372">
        <w:rPr>
          <w:lang w:val="fr-FR"/>
        </w:rPr>
        <w:t xml:space="preserve"> et ont permis une prise de conscience des communautés et des leaders locaux sur les rôles qui sont les leurs dans la protection des droits humains. Les membres des mécanismes d’alerte précoce contribuent à la prévention et au référencement des survivantes des VSBG. Les missions de suivi et évaluation du projet ont permis de </w:t>
      </w:r>
      <w:r w:rsidR="00AD5E22">
        <w:rPr>
          <w:lang w:val="fr-FR"/>
        </w:rPr>
        <w:t>suivre régulièrement l’état de mise en œuvre, les défis et apprécier examiner le changement</w:t>
      </w:r>
      <w:r w:rsidR="00AD5E22" w:rsidRPr="008F2372">
        <w:rPr>
          <w:lang w:val="fr-FR"/>
        </w:rPr>
        <w:t xml:space="preserve"> </w:t>
      </w:r>
      <w:r w:rsidR="00A27FF5" w:rsidRPr="008F2372">
        <w:rPr>
          <w:lang w:val="fr-FR"/>
        </w:rPr>
        <w:t xml:space="preserve">réel </w:t>
      </w:r>
      <w:r w:rsidR="00AD5E22">
        <w:rPr>
          <w:lang w:val="fr-FR"/>
        </w:rPr>
        <w:t xml:space="preserve">induit par le projet </w:t>
      </w:r>
      <w:r w:rsidR="00A27FF5" w:rsidRPr="008F2372">
        <w:rPr>
          <w:lang w:val="fr-FR"/>
        </w:rPr>
        <w:t xml:space="preserve">au profit des populations et victimes, ainsi que le référencement avec les cliniques juridiques (résultat 2). </w:t>
      </w:r>
    </w:p>
    <w:p w14:paraId="787F697F" w14:textId="77777777" w:rsidR="00A27FF5" w:rsidRPr="008F2372" w:rsidRDefault="00A27FF5" w:rsidP="00A27FF5">
      <w:pPr>
        <w:jc w:val="both"/>
        <w:rPr>
          <w:lang w:val="fr-FR"/>
        </w:rPr>
      </w:pPr>
    </w:p>
    <w:p w14:paraId="4AFF2D7D" w14:textId="0EC753F4" w:rsidR="00A27FF5" w:rsidRPr="00473D3A" w:rsidRDefault="00A27FF5" w:rsidP="00A27FF5">
      <w:pPr>
        <w:ind w:left="-720"/>
        <w:jc w:val="both"/>
        <w:rPr>
          <w:lang w:val="fr-FR"/>
        </w:rPr>
      </w:pPr>
      <w:r w:rsidRPr="008F2372">
        <w:rPr>
          <w:lang w:val="fr-FR"/>
        </w:rPr>
        <w:t>L’étude d’envergure nationale e</w:t>
      </w:r>
      <w:r w:rsidR="00AD5E22">
        <w:rPr>
          <w:lang w:val="fr-FR"/>
        </w:rPr>
        <w:t>s</w:t>
      </w:r>
      <w:r w:rsidRPr="008F2372">
        <w:rPr>
          <w:lang w:val="fr-FR"/>
        </w:rPr>
        <w:t>t essentielle pour la programmation future sur l’accès des femmes à la justice et les obstacles auxquelles elles font face au niveau institutionnel, légal et social</w:t>
      </w:r>
      <w:r w:rsidR="009B1540">
        <w:rPr>
          <w:lang w:val="fr-FR"/>
        </w:rPr>
        <w:t xml:space="preserve"> </w:t>
      </w:r>
      <w:r w:rsidRPr="008F2372">
        <w:rPr>
          <w:lang w:val="fr-FR"/>
        </w:rPr>
        <w:t>est en cours de mise en œuvre : le processus de recrutement des Consultants est en cours de finalisation pour qu’ils commen</w:t>
      </w:r>
      <w:r w:rsidR="004544D8" w:rsidRPr="008F2372">
        <w:rPr>
          <w:lang w:val="fr-FR"/>
        </w:rPr>
        <w:t>ce</w:t>
      </w:r>
      <w:r w:rsidR="009B1540">
        <w:rPr>
          <w:lang w:val="fr-FR"/>
        </w:rPr>
        <w:t>n</w:t>
      </w:r>
      <w:r w:rsidRPr="008F2372">
        <w:rPr>
          <w:lang w:val="fr-FR"/>
        </w:rPr>
        <w:t xml:space="preserve">t les recherches </w:t>
      </w:r>
      <w:r w:rsidR="004544D8" w:rsidRPr="008F2372">
        <w:rPr>
          <w:lang w:val="fr-FR"/>
        </w:rPr>
        <w:t>en</w:t>
      </w:r>
      <w:r w:rsidRPr="008F2372">
        <w:rPr>
          <w:lang w:val="fr-FR"/>
        </w:rPr>
        <w:t xml:space="preserve"> </w:t>
      </w:r>
      <w:r w:rsidR="004544D8" w:rsidRPr="008F2372">
        <w:rPr>
          <w:lang w:val="fr-FR"/>
        </w:rPr>
        <w:t>n</w:t>
      </w:r>
      <w:r w:rsidRPr="008F2372">
        <w:rPr>
          <w:lang w:val="fr-FR"/>
        </w:rPr>
        <w:t xml:space="preserve">ovembre 2020. Cette étude comblera notamment le gap en connaissances sur les défis clairement identifié dans la politique sectorielle de la justice. </w:t>
      </w:r>
    </w:p>
    <w:p w14:paraId="17654393" w14:textId="7E61777E" w:rsidR="001F4520" w:rsidRPr="00473D3A" w:rsidRDefault="001F4520" w:rsidP="001F4520">
      <w:pPr>
        <w:ind w:left="-720"/>
        <w:jc w:val="both"/>
        <w:rPr>
          <w:lang w:val="fr-FR"/>
        </w:rPr>
      </w:pPr>
    </w:p>
    <w:p w14:paraId="22DE0A16" w14:textId="77777777" w:rsidR="00F004BF" w:rsidRPr="006F3245" w:rsidRDefault="00F004BF" w:rsidP="00473D3A">
      <w:pPr>
        <w:jc w:val="both"/>
        <w:rPr>
          <w:b/>
          <w:lang w:val="fr-FR"/>
        </w:rPr>
      </w:pPr>
    </w:p>
    <w:p w14:paraId="3B35C3DC" w14:textId="77777777" w:rsidR="00F004BF" w:rsidRPr="005D15A3" w:rsidRDefault="00F004BF" w:rsidP="00F004B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62CB179" w14:textId="77777777" w:rsidR="00A6110D" w:rsidRPr="008F2372" w:rsidRDefault="00A6110D" w:rsidP="00F004BF">
      <w:pPr>
        <w:ind w:left="-720"/>
        <w:jc w:val="both"/>
        <w:rPr>
          <w:b/>
          <w:lang w:val="fr-FR"/>
        </w:rPr>
      </w:pPr>
    </w:p>
    <w:p w14:paraId="18A7AEE8" w14:textId="4A652AED" w:rsidR="00F004BF" w:rsidRPr="008F2372" w:rsidRDefault="007D0F1B" w:rsidP="00F004BF">
      <w:pPr>
        <w:ind w:left="-720"/>
        <w:jc w:val="both"/>
        <w:rPr>
          <w:bCs/>
          <w:lang w:val="fr-FR"/>
        </w:rPr>
      </w:pPr>
      <w:r w:rsidRPr="008F2372">
        <w:rPr>
          <w:bCs/>
          <w:lang w:val="fr-FR"/>
        </w:rPr>
        <w:t>RAS</w:t>
      </w:r>
    </w:p>
    <w:p w14:paraId="73EDC7E7" w14:textId="77777777" w:rsidR="00F004BF" w:rsidRPr="008F2372" w:rsidRDefault="00F004BF" w:rsidP="00F004BF">
      <w:pPr>
        <w:rPr>
          <w:b/>
          <w:lang w:val="fr-FR"/>
        </w:rPr>
      </w:pPr>
    </w:p>
    <w:p w14:paraId="041AF005" w14:textId="77777777" w:rsidR="00F004BF" w:rsidRPr="008F2372" w:rsidRDefault="00F004BF" w:rsidP="00F004BF">
      <w:pPr>
        <w:rPr>
          <w:b/>
          <w:lang w:val="fr-FR"/>
        </w:rPr>
      </w:pPr>
    </w:p>
    <w:p w14:paraId="1876901D" w14:textId="77777777" w:rsidR="00F004BF" w:rsidRPr="008F2372" w:rsidRDefault="00F004BF" w:rsidP="00F004BF">
      <w:pPr>
        <w:rPr>
          <w:b/>
          <w:lang w:val="fr-FR"/>
        </w:rPr>
      </w:pPr>
    </w:p>
    <w:p w14:paraId="17836707" w14:textId="77777777" w:rsidR="00F004BF" w:rsidRPr="00476758" w:rsidRDefault="00F004BF" w:rsidP="00F004BF">
      <w:pPr>
        <w:rPr>
          <w:b/>
          <w:u w:val="single"/>
          <w:lang w:val="fr-FR"/>
        </w:rPr>
      </w:pPr>
      <w:r w:rsidRPr="00476758">
        <w:rPr>
          <w:b/>
          <w:u w:val="single"/>
          <w:lang w:val="fr-FR"/>
        </w:rPr>
        <w:t xml:space="preserve">Partie </w:t>
      </w:r>
      <w:r w:rsidR="00F20146" w:rsidRPr="00476758">
        <w:rPr>
          <w:b/>
          <w:u w:val="single"/>
          <w:lang w:val="fr-FR"/>
        </w:rPr>
        <w:t>II</w:t>
      </w:r>
      <w:r w:rsidR="00F20146">
        <w:rPr>
          <w:b/>
          <w:u w:val="single"/>
          <w:lang w:val="fr-FR"/>
        </w:rPr>
        <w:t>I</w:t>
      </w:r>
      <w:r w:rsidR="00F20146" w:rsidRPr="00476758">
        <w:rPr>
          <w:b/>
          <w:u w:val="single"/>
          <w:lang w:val="fr-FR"/>
        </w:rPr>
        <w:t xml:space="preserve"> :</w:t>
      </w:r>
      <w:r w:rsidRPr="00476758">
        <w:rPr>
          <w:b/>
          <w:u w:val="single"/>
          <w:lang w:val="fr-FR"/>
        </w:rPr>
        <w:t xml:space="preserve"> </w:t>
      </w:r>
      <w:r>
        <w:rPr>
          <w:b/>
          <w:u w:val="single"/>
          <w:lang w:val="fr-FR"/>
        </w:rPr>
        <w:t>Questions transversales</w:t>
      </w:r>
    </w:p>
    <w:p w14:paraId="27143DC1" w14:textId="77777777" w:rsidR="00F004BF" w:rsidRPr="00675507" w:rsidRDefault="00F004BF" w:rsidP="00F004BF">
      <w:pPr>
        <w:ind w:left="360"/>
        <w:rPr>
          <w:b/>
          <w:lang w:val="fr-FR"/>
        </w:rPr>
      </w:pPr>
    </w:p>
    <w:p w14:paraId="4E91D028" w14:textId="77777777" w:rsidR="00F004BF" w:rsidRPr="008F2372" w:rsidRDefault="00F004BF" w:rsidP="00F004BF">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F004BF" w:rsidRPr="00DE1699" w14:paraId="4FE5E1A1" w14:textId="77777777" w:rsidTr="00F004BF">
        <w:tc>
          <w:tcPr>
            <w:tcW w:w="4230" w:type="dxa"/>
            <w:shd w:val="clear" w:color="auto" w:fill="auto"/>
          </w:tcPr>
          <w:p w14:paraId="4AEB6D77" w14:textId="77777777" w:rsidR="00F004BF" w:rsidRPr="00675507" w:rsidRDefault="00F20146" w:rsidP="00F004BF">
            <w:pPr>
              <w:rPr>
                <w:lang w:val="fr-FR"/>
              </w:rPr>
            </w:pPr>
            <w:r w:rsidRPr="00675507">
              <w:rPr>
                <w:b/>
                <w:bCs/>
                <w:u w:val="single"/>
                <w:lang w:val="fr-FR"/>
              </w:rPr>
              <w:t>Suivi</w:t>
            </w:r>
            <w:r w:rsidRPr="00675507">
              <w:rPr>
                <w:b/>
                <w:bCs/>
                <w:lang w:val="fr-FR"/>
              </w:rPr>
              <w:t xml:space="preserve"> :</w:t>
            </w:r>
            <w:r w:rsidR="00F004BF" w:rsidRPr="00675507">
              <w:rPr>
                <w:b/>
                <w:bCs/>
                <w:lang w:val="fr-FR"/>
              </w:rPr>
              <w:t xml:space="preserve"> </w:t>
            </w:r>
            <w:r w:rsidR="00F004BF" w:rsidRPr="00675507">
              <w:rPr>
                <w:lang w:val="fr-FR"/>
              </w:rPr>
              <w:t>Indiquez les activités de suivi con</w:t>
            </w:r>
            <w:r w:rsidR="00F004BF">
              <w:rPr>
                <w:lang w:val="fr-FR"/>
              </w:rPr>
              <w:t>duites dans la période du rapport</w:t>
            </w:r>
            <w:r w:rsidR="00F004BF" w:rsidRPr="00675507">
              <w:rPr>
                <w:lang w:val="fr-FR"/>
              </w:rPr>
              <w:t xml:space="preserve"> (Limite de 1000 caractères)</w:t>
            </w:r>
          </w:p>
          <w:p w14:paraId="44D34D64" w14:textId="77777777" w:rsidR="00F004BF" w:rsidRPr="00675507" w:rsidRDefault="00F004BF" w:rsidP="00F004BF">
            <w:pPr>
              <w:rPr>
                <w:iCs/>
                <w:lang w:val="fr-FR"/>
              </w:rPr>
            </w:pPr>
          </w:p>
          <w:p w14:paraId="2C0EFA19" w14:textId="77777777" w:rsidR="00A27FF5" w:rsidRDefault="00A27FF5" w:rsidP="00F004BF">
            <w:pPr>
              <w:rPr>
                <w:lang w:val="fr-FR"/>
              </w:rPr>
            </w:pPr>
          </w:p>
          <w:p w14:paraId="7B1EFCF7" w14:textId="77777777" w:rsidR="00F004BF" w:rsidRDefault="00F004BF" w:rsidP="00F004BF">
            <w:pPr>
              <w:rPr>
                <w:lang w:val="fr-FR"/>
              </w:rPr>
            </w:pPr>
          </w:p>
          <w:p w14:paraId="6EDB9A6C" w14:textId="77777777" w:rsidR="00F004BF" w:rsidRPr="00D53328" w:rsidRDefault="00F004BF" w:rsidP="00F004BF">
            <w:pPr>
              <w:rPr>
                <w:i/>
                <w:lang w:val="fr-FR"/>
              </w:rPr>
            </w:pPr>
            <w:r w:rsidRPr="00321839">
              <w:rPr>
                <w:lang w:val="fr-FR"/>
              </w:rPr>
              <w:t xml:space="preserve"> </w:t>
            </w:r>
            <w:r w:rsidRPr="008C3416">
              <w:rPr>
                <w:lang w:val="fr-FR"/>
              </w:rPr>
              <w:t xml:space="preserve"> </w:t>
            </w:r>
            <w:r w:rsidRPr="00D53328">
              <w:rPr>
                <w:i/>
                <w:lang w:val="fr-FR"/>
              </w:rPr>
              <w:t xml:space="preserve"> </w:t>
            </w:r>
          </w:p>
          <w:p w14:paraId="79C00376" w14:textId="77777777" w:rsidR="00F004BF" w:rsidRPr="00D53328" w:rsidRDefault="00F004BF" w:rsidP="00F004BF">
            <w:pPr>
              <w:rPr>
                <w:lang w:val="fr-FR"/>
              </w:rPr>
            </w:pPr>
          </w:p>
        </w:tc>
        <w:tc>
          <w:tcPr>
            <w:tcW w:w="5940" w:type="dxa"/>
            <w:shd w:val="clear" w:color="auto" w:fill="auto"/>
          </w:tcPr>
          <w:p w14:paraId="5651CB2A" w14:textId="77777777" w:rsidR="00F004BF" w:rsidRPr="00675507" w:rsidRDefault="00F004BF" w:rsidP="00636E71">
            <w:pPr>
              <w:jc w:val="both"/>
              <w:rPr>
                <w:lang w:val="fr-FR"/>
              </w:rPr>
            </w:pPr>
            <w:r w:rsidRPr="00675507">
              <w:rPr>
                <w:lang w:val="fr-FR"/>
              </w:rPr>
              <w:t xml:space="preserve">Est-ce que les indicateurs des résultats ont des bases de </w:t>
            </w:r>
            <w:r w:rsidR="00F20146" w:rsidRPr="00675507">
              <w:rPr>
                <w:lang w:val="fr-FR"/>
              </w:rPr>
              <w:t>référe</w:t>
            </w:r>
            <w:r w:rsidR="00F20146">
              <w:rPr>
                <w:lang w:val="fr-FR"/>
              </w:rPr>
              <w:t>nce</w:t>
            </w:r>
            <w:r w:rsidR="00F20146" w:rsidRPr="00675507">
              <w:rPr>
                <w:lang w:val="fr-FR"/>
              </w:rPr>
              <w:t xml:space="preserve"> ?</w:t>
            </w:r>
            <w:r w:rsidRPr="00675507">
              <w:rPr>
                <w:lang w:val="fr-FR"/>
              </w:rPr>
              <w:t xml:space="preserve"> </w:t>
            </w:r>
            <w:r>
              <w:fldChar w:fldCharType="begin">
                <w:ffData>
                  <w:name w:val="Dropdown3"/>
                  <w:enabled/>
                  <w:calcOnExit w:val="0"/>
                  <w:ddList>
                    <w:listEntry w:val="Oui"/>
                    <w:listEntry w:val="Veuillez sélectionner"/>
                    <w:listEntry w:val="Non"/>
                  </w:ddList>
                </w:ffData>
              </w:fldChar>
            </w:r>
            <w:bookmarkStart w:id="5" w:name="Dropdown3"/>
            <w:r w:rsidRPr="00D53328">
              <w:rPr>
                <w:lang w:val="fr-FR"/>
              </w:rPr>
              <w:instrText xml:space="preserve"> FORMDROPDOWN </w:instrText>
            </w:r>
            <w:r w:rsidR="004869AD">
              <w:fldChar w:fldCharType="separate"/>
            </w:r>
            <w:r>
              <w:fldChar w:fldCharType="end"/>
            </w:r>
            <w:bookmarkEnd w:id="5"/>
          </w:p>
          <w:p w14:paraId="1AEBE97F" w14:textId="77777777" w:rsidR="00F004BF" w:rsidRPr="00675507" w:rsidRDefault="00F004BF" w:rsidP="00636E71">
            <w:pPr>
              <w:jc w:val="both"/>
              <w:rPr>
                <w:lang w:val="fr-FR"/>
              </w:rPr>
            </w:pPr>
          </w:p>
          <w:p w14:paraId="58DF07EC" w14:textId="77777777" w:rsidR="00F004BF" w:rsidRPr="008F2372" w:rsidRDefault="00F004BF" w:rsidP="00636E71">
            <w:pPr>
              <w:jc w:val="both"/>
              <w:rPr>
                <w:lang w:val="fr-FR"/>
              </w:rPr>
            </w:pPr>
            <w:r w:rsidRPr="00675507">
              <w:rPr>
                <w:lang w:val="fr-FR"/>
              </w:rPr>
              <w:t xml:space="preserve">Le projet a-t-il lancé des enquêtes de perception ou d'autres collectes de données </w:t>
            </w:r>
            <w:r w:rsidR="00F20146" w:rsidRPr="00675507">
              <w:rPr>
                <w:lang w:val="fr-FR"/>
              </w:rPr>
              <w:t>communautaires ?</w:t>
            </w:r>
            <w:r w:rsidRPr="00675507">
              <w:rPr>
                <w:lang w:val="fr-FR"/>
              </w:rPr>
              <w:t xml:space="preserve"> </w:t>
            </w:r>
            <w:r>
              <w:fldChar w:fldCharType="begin">
                <w:ffData>
                  <w:name w:val=""/>
                  <w:enabled/>
                  <w:calcOnExit w:val="0"/>
                  <w:ddList>
                    <w:listEntry w:val="Oui"/>
                    <w:listEntry w:val="Veuillez sélectionner"/>
                    <w:listEntry w:val="Non"/>
                  </w:ddList>
                </w:ffData>
              </w:fldChar>
            </w:r>
            <w:r w:rsidRPr="00D53328">
              <w:rPr>
                <w:lang w:val="fr-FR"/>
              </w:rPr>
              <w:instrText xml:space="preserve"> FORMDROPDOWN </w:instrText>
            </w:r>
            <w:r w:rsidR="004869AD">
              <w:fldChar w:fldCharType="separate"/>
            </w:r>
            <w:r>
              <w:fldChar w:fldCharType="end"/>
            </w:r>
          </w:p>
          <w:p w14:paraId="4F097131" w14:textId="77777777" w:rsidR="003A4DB0" w:rsidRPr="008F2372" w:rsidRDefault="003A4DB0" w:rsidP="00636E71">
            <w:pPr>
              <w:jc w:val="both"/>
              <w:rPr>
                <w:lang w:val="fr-FR"/>
              </w:rPr>
            </w:pPr>
          </w:p>
          <w:p w14:paraId="7EEF260D" w14:textId="006012FA" w:rsidR="008409C9" w:rsidRDefault="003A4DB0" w:rsidP="00636E71">
            <w:pPr>
              <w:jc w:val="both"/>
              <w:rPr>
                <w:lang w:val="fr-FR"/>
              </w:rPr>
            </w:pPr>
            <w:r w:rsidRPr="00753190">
              <w:rPr>
                <w:lang w:val="fr-FR"/>
              </w:rPr>
              <w:t>La m</w:t>
            </w:r>
            <w:r>
              <w:rPr>
                <w:lang w:val="fr-FR"/>
              </w:rPr>
              <w:t>é</w:t>
            </w:r>
            <w:r w:rsidRPr="00753190">
              <w:rPr>
                <w:lang w:val="fr-FR"/>
              </w:rPr>
              <w:t xml:space="preserve">thode de suivi </w:t>
            </w:r>
            <w:r w:rsidRPr="00123D19">
              <w:rPr>
                <w:lang w:val="fr-FR"/>
              </w:rPr>
              <w:t xml:space="preserve">et évaluation </w:t>
            </w:r>
            <w:r w:rsidRPr="00753190">
              <w:rPr>
                <w:lang w:val="fr-FR"/>
              </w:rPr>
              <w:t xml:space="preserve">du </w:t>
            </w:r>
            <w:r w:rsidR="008409C9">
              <w:rPr>
                <w:lang w:val="fr-FR"/>
              </w:rPr>
              <w:t>P</w:t>
            </w:r>
            <w:r w:rsidRPr="00753190">
              <w:rPr>
                <w:lang w:val="fr-FR"/>
              </w:rPr>
              <w:t xml:space="preserve">rojet s'effectue à travers </w:t>
            </w:r>
            <w:r w:rsidRPr="00123D19">
              <w:rPr>
                <w:lang w:val="fr-FR"/>
              </w:rPr>
              <w:t>de</w:t>
            </w:r>
            <w:r>
              <w:rPr>
                <w:lang w:val="fr-FR"/>
              </w:rPr>
              <w:t>s</w:t>
            </w:r>
            <w:r w:rsidRPr="00123D19">
              <w:rPr>
                <w:lang w:val="fr-FR"/>
              </w:rPr>
              <w:t xml:space="preserve"> réunions de</w:t>
            </w:r>
            <w:r w:rsidR="008409C9">
              <w:rPr>
                <w:lang w:val="fr-FR"/>
              </w:rPr>
              <w:t xml:space="preserve"> l’équipe conjointe des Nations Unies collaborateurs du Projet, i.e. PNUD, ONU Femmes et MINUSCA Division des Droits de l’Hommes ainsi que la Section des Affaires Judiciaires et Pénitentiaires. En outre, les activités du projet sont directement </w:t>
            </w:r>
            <w:proofErr w:type="gramStart"/>
            <w:r w:rsidR="008409C9">
              <w:rPr>
                <w:lang w:val="fr-FR"/>
              </w:rPr>
              <w:t>discutés</w:t>
            </w:r>
            <w:proofErr w:type="gramEnd"/>
            <w:r w:rsidR="008409C9">
              <w:rPr>
                <w:lang w:val="fr-FR"/>
              </w:rPr>
              <w:t xml:space="preserve"> au niveau stratégique et national dans le cadre des réunions des Groupes Thématiques de la Politique Sectorielle de la Justice co-présidés par le Projet, c’est-à-dire le groupe sur la demande de la justice et celui sur la justice transitionnelle respectivement. Le premier Comité de Pilotage sur la politique sectorielle de février et présidé par le Ministre de la Justice, a permis d’entériner les mécanismes de pilotage et de coordination du secteur, et un 2</w:t>
            </w:r>
            <w:r w:rsidR="008409C9" w:rsidRPr="008F2372">
              <w:rPr>
                <w:vertAlign w:val="superscript"/>
                <w:lang w:val="fr-FR"/>
              </w:rPr>
              <w:t>ème</w:t>
            </w:r>
            <w:r w:rsidR="008409C9">
              <w:rPr>
                <w:lang w:val="fr-FR"/>
              </w:rPr>
              <w:t xml:space="preserve"> est prévu pour décembre 2020, facilitant le suivi </w:t>
            </w:r>
            <w:r w:rsidR="00DF6832">
              <w:rPr>
                <w:lang w:val="fr-FR"/>
              </w:rPr>
              <w:t xml:space="preserve">et l’appropriation </w:t>
            </w:r>
            <w:r w:rsidR="008409C9">
              <w:rPr>
                <w:lang w:val="fr-FR"/>
              </w:rPr>
              <w:t>des réformes et des thématiques clé de ce Projet au plus haut niveau.</w:t>
            </w:r>
          </w:p>
          <w:p w14:paraId="1D65A9E7" w14:textId="77777777" w:rsidR="008409C9" w:rsidRDefault="008409C9" w:rsidP="00636E71">
            <w:pPr>
              <w:jc w:val="both"/>
              <w:rPr>
                <w:lang w:val="fr-FR"/>
              </w:rPr>
            </w:pPr>
          </w:p>
          <w:p w14:paraId="29D98495" w14:textId="3E3DF7EA" w:rsidR="003A4DB0" w:rsidRDefault="003A4DB0" w:rsidP="00636E71">
            <w:pPr>
              <w:jc w:val="both"/>
              <w:rPr>
                <w:lang w:val="fr-FR"/>
              </w:rPr>
            </w:pPr>
            <w:r w:rsidRPr="00A9601F">
              <w:rPr>
                <w:lang w:val="fr-FR"/>
              </w:rPr>
              <w:t xml:space="preserve">A travers les </w:t>
            </w:r>
            <w:r w:rsidR="008409C9">
              <w:rPr>
                <w:lang w:val="fr-FR"/>
              </w:rPr>
              <w:t xml:space="preserve">sondages pour les </w:t>
            </w:r>
            <w:r w:rsidRPr="00A9601F">
              <w:rPr>
                <w:lang w:val="fr-FR"/>
              </w:rPr>
              <w:t xml:space="preserve">études de perception sur la paix, la sécurité et la justice </w:t>
            </w:r>
            <w:r>
              <w:rPr>
                <w:lang w:val="fr-FR"/>
              </w:rPr>
              <w:t>avec</w:t>
            </w:r>
            <w:r w:rsidRPr="00A9601F">
              <w:rPr>
                <w:lang w:val="fr-FR"/>
              </w:rPr>
              <w:t xml:space="preserve"> la Har</w:t>
            </w:r>
            <w:r>
              <w:rPr>
                <w:lang w:val="fr-FR"/>
              </w:rPr>
              <w:t>vard Humanitarian Initiative, le</w:t>
            </w:r>
            <w:r w:rsidRPr="00A9601F">
              <w:rPr>
                <w:lang w:val="fr-FR"/>
              </w:rPr>
              <w:t xml:space="preserve"> projet </w:t>
            </w:r>
            <w:r w:rsidRPr="00321839">
              <w:rPr>
                <w:lang w:val="fr-FR"/>
              </w:rPr>
              <w:t>m</w:t>
            </w:r>
            <w:r>
              <w:rPr>
                <w:lang w:val="fr-FR"/>
              </w:rPr>
              <w:t>e</w:t>
            </w:r>
            <w:r w:rsidRPr="00321839">
              <w:rPr>
                <w:lang w:val="fr-FR"/>
              </w:rPr>
              <w:t xml:space="preserve">sure </w:t>
            </w:r>
            <w:r>
              <w:rPr>
                <w:lang w:val="fr-FR"/>
              </w:rPr>
              <w:t xml:space="preserve">les effets et </w:t>
            </w:r>
            <w:r w:rsidRPr="00A9601F">
              <w:rPr>
                <w:lang w:val="fr-FR"/>
              </w:rPr>
              <w:t>l'impact de ses activité</w:t>
            </w:r>
            <w:r w:rsidRPr="00321839">
              <w:rPr>
                <w:lang w:val="fr-FR"/>
              </w:rPr>
              <w:t>s</w:t>
            </w:r>
            <w:r w:rsidRPr="00A9601F">
              <w:rPr>
                <w:lang w:val="fr-FR"/>
              </w:rPr>
              <w:t xml:space="preserve"> en matière de justice, </w:t>
            </w:r>
            <w:r>
              <w:rPr>
                <w:lang w:val="fr-FR"/>
              </w:rPr>
              <w:t xml:space="preserve">consolidation de la </w:t>
            </w:r>
            <w:r w:rsidRPr="00321839">
              <w:rPr>
                <w:lang w:val="fr-FR"/>
              </w:rPr>
              <w:t>paix et l'appui à la mise en œuvre de l'APPR</w:t>
            </w:r>
            <w:r>
              <w:rPr>
                <w:lang w:val="fr-FR"/>
              </w:rPr>
              <w:t xml:space="preserve">. Le premier rapport a été finalisé en octobre. </w:t>
            </w:r>
          </w:p>
          <w:p w14:paraId="18C02112" w14:textId="77777777" w:rsidR="003A4DB0" w:rsidRDefault="003A4DB0" w:rsidP="00636E71">
            <w:pPr>
              <w:jc w:val="both"/>
              <w:rPr>
                <w:lang w:val="fr-FR"/>
              </w:rPr>
            </w:pPr>
          </w:p>
          <w:p w14:paraId="1DC17A52" w14:textId="2B705EED" w:rsidR="003A4DB0" w:rsidRDefault="003A4DB0" w:rsidP="00636E71">
            <w:pPr>
              <w:jc w:val="both"/>
              <w:rPr>
                <w:lang w:val="fr-FR"/>
              </w:rPr>
            </w:pPr>
            <w:r w:rsidRPr="008F2372">
              <w:rPr>
                <w:lang w:val="fr-FR"/>
              </w:rPr>
              <w:t>Une mission de suivi de mise en œuvre des activités a été réalisée</w:t>
            </w:r>
            <w:r w:rsidR="00E66041" w:rsidRPr="008F2372">
              <w:rPr>
                <w:lang w:val="fr-FR"/>
              </w:rPr>
              <w:t xml:space="preserve"> par ONU Femmes</w:t>
            </w:r>
            <w:r w:rsidRPr="008F2372">
              <w:rPr>
                <w:lang w:val="fr-FR"/>
              </w:rPr>
              <w:t xml:space="preserve"> en août et a permis de renforcer les capacités des relais communautaires et agents psychosociaux et d’améliorer la visibilité du Projet dans lesdites zones. La mission a aussi permis d’assurer le suivi du bon fonctionnement des mécanismes de référencement </w:t>
            </w:r>
            <w:r w:rsidRPr="008F2372">
              <w:rPr>
                <w:lang w:val="fr-FR"/>
              </w:rPr>
              <w:lastRenderedPageBreak/>
              <w:t>des victimes vers les cliniques juridiques pour leur accès à la justice.</w:t>
            </w:r>
            <w:r w:rsidRPr="004364B2">
              <w:rPr>
                <w:lang w:val="fr-FR"/>
              </w:rPr>
              <w:t xml:space="preserve"> </w:t>
            </w:r>
            <w:r w:rsidR="00E66041" w:rsidRPr="004364B2">
              <w:rPr>
                <w:rStyle w:val="FootnoteReference"/>
                <w:lang w:val="fr-FR"/>
              </w:rPr>
              <w:footnoteReference w:id="5"/>
            </w:r>
          </w:p>
          <w:p w14:paraId="138F2CC4" w14:textId="77777777" w:rsidR="003A4DB0" w:rsidRDefault="003A4DB0">
            <w:pPr>
              <w:jc w:val="both"/>
              <w:rPr>
                <w:lang w:val="fr-FR"/>
              </w:rPr>
            </w:pPr>
          </w:p>
          <w:p w14:paraId="67695B71" w14:textId="2D947A71" w:rsidR="002013C9" w:rsidRPr="00675507" w:rsidRDefault="002013C9" w:rsidP="00636E71">
            <w:pPr>
              <w:jc w:val="both"/>
              <w:rPr>
                <w:lang w:val="fr-FR"/>
              </w:rPr>
            </w:pPr>
            <w:r>
              <w:rPr>
                <w:lang w:val="fr-FR"/>
              </w:rPr>
              <w:t>On note qu’avec le COVID et les difficultés y afférent, le plan de mission de S&amp;E a été mis en standby entre mars et début septembre. Une mission de suivi des Cliniques Juridiques suivra en début de 2021.</w:t>
            </w:r>
          </w:p>
        </w:tc>
      </w:tr>
      <w:tr w:rsidR="00F004BF" w:rsidRPr="00DE1699" w14:paraId="69601A9B" w14:textId="77777777" w:rsidTr="00F004BF">
        <w:tc>
          <w:tcPr>
            <w:tcW w:w="4230" w:type="dxa"/>
            <w:shd w:val="clear" w:color="auto" w:fill="auto"/>
          </w:tcPr>
          <w:p w14:paraId="410DC6B0" w14:textId="77777777" w:rsidR="00F004BF" w:rsidRPr="00675507" w:rsidRDefault="00147E2C" w:rsidP="00F004BF">
            <w:pPr>
              <w:rPr>
                <w:lang w:val="fr-FR"/>
              </w:rPr>
            </w:pPr>
            <w:r w:rsidRPr="00675507">
              <w:rPr>
                <w:b/>
                <w:bCs/>
                <w:u w:val="single"/>
                <w:lang w:val="fr-FR"/>
              </w:rPr>
              <w:lastRenderedPageBreak/>
              <w:t>Evaluation :</w:t>
            </w:r>
            <w:r w:rsidR="00F004BF" w:rsidRPr="00675507">
              <w:rPr>
                <w:lang w:val="fr-FR"/>
              </w:rPr>
              <w:t xml:space="preserve"> Est-ce qu’un exercice évaluati</w:t>
            </w:r>
            <w:r w:rsidR="00F004BF">
              <w:rPr>
                <w:lang w:val="fr-FR"/>
              </w:rPr>
              <w:t>f</w:t>
            </w:r>
            <w:r w:rsidR="00F004BF" w:rsidRPr="00675507">
              <w:rPr>
                <w:lang w:val="fr-FR"/>
              </w:rPr>
              <w:t xml:space="preserve"> a été conduit pendant la p</w:t>
            </w:r>
            <w:r w:rsidR="00F004BF">
              <w:rPr>
                <w:lang w:val="fr-FR"/>
              </w:rPr>
              <w:t xml:space="preserve">ériode du </w:t>
            </w:r>
            <w:r w:rsidR="00FF6E78">
              <w:rPr>
                <w:lang w:val="fr-FR"/>
              </w:rPr>
              <w:t>rapport</w:t>
            </w:r>
            <w:r w:rsidR="00FF6E78" w:rsidRPr="00675507">
              <w:rPr>
                <w:lang w:val="fr-FR"/>
              </w:rPr>
              <w:t xml:space="preserve"> ?</w:t>
            </w:r>
          </w:p>
          <w:p w14:paraId="488C28AD" w14:textId="77777777" w:rsidR="00F004BF" w:rsidRPr="00627A1C" w:rsidRDefault="00F004BF" w:rsidP="00F004BF">
            <w:r>
              <w:fldChar w:fldCharType="begin">
                <w:ffData>
                  <w:name w:val=""/>
                  <w:enabled/>
                  <w:calcOnExit w:val="0"/>
                  <w:ddList>
                    <w:listEntry w:val="Non"/>
                    <w:listEntry w:val="Veuillez sélectionner"/>
                    <w:listEntry w:val="Oui"/>
                  </w:ddList>
                </w:ffData>
              </w:fldChar>
            </w:r>
            <w:r>
              <w:instrText xml:space="preserve"> FORMDROPDOWN </w:instrText>
            </w:r>
            <w:r w:rsidR="004869AD">
              <w:fldChar w:fldCharType="separate"/>
            </w:r>
            <w:r>
              <w:fldChar w:fldCharType="end"/>
            </w:r>
          </w:p>
        </w:tc>
        <w:tc>
          <w:tcPr>
            <w:tcW w:w="5940" w:type="dxa"/>
            <w:shd w:val="clear" w:color="auto" w:fill="auto"/>
          </w:tcPr>
          <w:p w14:paraId="44014D6A" w14:textId="77777777" w:rsidR="00F004BF" w:rsidRPr="00FA79EB" w:rsidRDefault="00F004BF" w:rsidP="00F004BF">
            <w:pPr>
              <w:rPr>
                <w:lang w:val="fr-FR"/>
              </w:rPr>
            </w:pPr>
            <w:r w:rsidRPr="00A55FE1">
              <w:rPr>
                <w:lang w:val="fr-FR"/>
              </w:rPr>
              <w:t>Budget pour évaluation finale (réponse obligatoire</w:t>
            </w:r>
            <w:r w:rsidR="00147E2C" w:rsidRPr="00A55FE1">
              <w:rPr>
                <w:lang w:val="fr-FR"/>
              </w:rPr>
              <w:t>) :</w:t>
            </w:r>
            <w:r w:rsidRPr="00A55FE1">
              <w:rPr>
                <w:lang w:val="fr-FR"/>
              </w:rPr>
              <w:t xml:space="preserve">  145 000 USD.</w:t>
            </w:r>
          </w:p>
          <w:p w14:paraId="0103A9D0" w14:textId="77777777" w:rsidR="00F004BF" w:rsidRPr="00675507" w:rsidRDefault="00F004BF" w:rsidP="00F004BF">
            <w:pPr>
              <w:rPr>
                <w:lang w:val="fr-FR"/>
              </w:rPr>
            </w:pPr>
          </w:p>
          <w:p w14:paraId="04963CED" w14:textId="297FA93E" w:rsidR="00F004BF" w:rsidRPr="00675507" w:rsidRDefault="00F004BF" w:rsidP="00F004BF">
            <w:pPr>
              <w:rPr>
                <w:lang w:val="fr-FR"/>
              </w:rPr>
            </w:pPr>
            <w:r w:rsidRPr="00675507">
              <w:rPr>
                <w:lang w:val="fr-FR"/>
              </w:rPr>
              <w:t>Si le projet se termi</w:t>
            </w:r>
            <w:r>
              <w:rPr>
                <w:lang w:val="fr-FR"/>
              </w:rPr>
              <w:t>ne dans les 6 prochains mois, décrire les préparatifs pour l’évaluation</w:t>
            </w:r>
            <w:r w:rsidRPr="00675507">
              <w:rPr>
                <w:lang w:val="fr-FR"/>
              </w:rPr>
              <w:t xml:space="preserve"> </w:t>
            </w:r>
            <w:r w:rsidRPr="00675507">
              <w:rPr>
                <w:i/>
                <w:lang w:val="fr-FR"/>
              </w:rPr>
              <w:t>(</w:t>
            </w:r>
            <w:r w:rsidRPr="00675507">
              <w:rPr>
                <w:lang w:val="fr-FR"/>
              </w:rPr>
              <w:t>Limite de 1</w:t>
            </w:r>
            <w:r>
              <w:rPr>
                <w:lang w:val="fr-FR"/>
              </w:rPr>
              <w:t>5</w:t>
            </w:r>
            <w:r w:rsidRPr="00675507">
              <w:rPr>
                <w:lang w:val="fr-FR"/>
              </w:rPr>
              <w:t>00 caractères</w:t>
            </w:r>
            <w:r w:rsidR="00FF6E78" w:rsidRPr="00675507">
              <w:rPr>
                <w:i/>
                <w:lang w:val="fr-FR"/>
              </w:rPr>
              <w:t>)</w:t>
            </w:r>
            <w:r w:rsidR="00FF6E78" w:rsidRPr="00675507">
              <w:rPr>
                <w:lang w:val="fr-FR"/>
              </w:rPr>
              <w:t xml:space="preserve"> :</w:t>
            </w:r>
            <w:r w:rsidRPr="00675507">
              <w:rPr>
                <w:lang w:val="fr-FR"/>
              </w:rPr>
              <w:t xml:space="preserve"> </w:t>
            </w:r>
            <w:r w:rsidR="0095559E">
              <w:rPr>
                <w:lang w:val="fr-FR"/>
              </w:rPr>
              <w:t>N/A</w:t>
            </w:r>
          </w:p>
          <w:p w14:paraId="12ABF198" w14:textId="77777777" w:rsidR="00F004BF" w:rsidRPr="00675507" w:rsidRDefault="00F004BF" w:rsidP="00F004BF">
            <w:pPr>
              <w:rPr>
                <w:lang w:val="fr-FR"/>
              </w:rPr>
            </w:pPr>
          </w:p>
        </w:tc>
      </w:tr>
      <w:tr w:rsidR="00F004BF" w:rsidRPr="00DE1699" w14:paraId="5A34F3DE" w14:textId="77777777" w:rsidTr="00F004BF">
        <w:tc>
          <w:tcPr>
            <w:tcW w:w="4230" w:type="dxa"/>
            <w:shd w:val="clear" w:color="auto" w:fill="auto"/>
          </w:tcPr>
          <w:p w14:paraId="26E9AAB2" w14:textId="77777777" w:rsidR="00F004BF" w:rsidRPr="00675507" w:rsidRDefault="00F004BF" w:rsidP="00F004BF">
            <w:pPr>
              <w:rPr>
                <w:lang w:val="fr-FR"/>
              </w:rPr>
            </w:pPr>
            <w:r w:rsidRPr="00675507">
              <w:rPr>
                <w:b/>
                <w:bCs/>
                <w:u w:val="single"/>
                <w:lang w:val="fr-FR"/>
              </w:rPr>
              <w:t>Effets catalytiques (financiers</w:t>
            </w:r>
            <w:r w:rsidR="00D319FE" w:rsidRPr="00675507">
              <w:rPr>
                <w:b/>
                <w:bCs/>
                <w:u w:val="single"/>
                <w:lang w:val="fr-FR"/>
              </w:rPr>
              <w:t>)</w:t>
            </w:r>
            <w:r w:rsidR="00D319FE" w:rsidRPr="00675507">
              <w:rPr>
                <w:b/>
                <w:bCs/>
                <w:lang w:val="fr-FR"/>
              </w:rPr>
              <w:t xml:space="preserve"> :</w:t>
            </w:r>
            <w:r w:rsidRPr="00675507">
              <w:rPr>
                <w:lang w:val="fr-FR"/>
              </w:rPr>
              <w:t xml:space="preserve"> 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6D463A6A" w14:textId="77777777" w:rsidR="00F004BF" w:rsidRPr="00D53328" w:rsidRDefault="00F004BF" w:rsidP="00F004BF">
            <w:pPr>
              <w:rPr>
                <w:lang w:val="fr-FR"/>
              </w:rPr>
            </w:pPr>
            <w:r w:rsidRPr="00D53328">
              <w:rPr>
                <w:lang w:val="fr-FR"/>
              </w:rPr>
              <w:t xml:space="preserve">Nom de </w:t>
            </w:r>
            <w:r w:rsidR="00FF6E78" w:rsidRPr="00D53328">
              <w:rPr>
                <w:lang w:val="fr-FR"/>
              </w:rPr>
              <w:t>donateur :</w:t>
            </w:r>
            <w:r w:rsidRPr="00D53328">
              <w:rPr>
                <w:lang w:val="fr-FR"/>
              </w:rPr>
              <w:t xml:space="preserve">     Montant ($</w:t>
            </w:r>
            <w:r w:rsidR="004E6986" w:rsidRPr="00D53328">
              <w:rPr>
                <w:lang w:val="fr-FR"/>
              </w:rPr>
              <w:t>) :</w:t>
            </w:r>
          </w:p>
          <w:p w14:paraId="7EB52E9D" w14:textId="77777777" w:rsidR="007C797D" w:rsidRDefault="00F004BF" w:rsidP="00F004BF">
            <w:pPr>
              <w:rPr>
                <w:b/>
                <w:lang w:val="fr-FR"/>
              </w:rPr>
            </w:pPr>
            <w:r>
              <w:rPr>
                <w:b/>
                <w:lang w:val="fr-FR"/>
              </w:rPr>
              <w:t xml:space="preserve">Pour études de perception : </w:t>
            </w:r>
          </w:p>
          <w:p w14:paraId="7403C5D5" w14:textId="77777777" w:rsidR="007C797D" w:rsidRDefault="007C797D" w:rsidP="00F004BF">
            <w:pPr>
              <w:rPr>
                <w:b/>
                <w:lang w:val="fr-FR"/>
              </w:rPr>
            </w:pPr>
          </w:p>
          <w:p w14:paraId="3A3BE6D9" w14:textId="57A27A84" w:rsidR="00F004BF" w:rsidRPr="008F2372" w:rsidRDefault="00F004BF" w:rsidP="00F004BF">
            <w:pPr>
              <w:rPr>
                <w:bCs/>
                <w:lang w:val="fr-FR"/>
              </w:rPr>
            </w:pPr>
            <w:r w:rsidRPr="008F2372">
              <w:rPr>
                <w:bCs/>
                <w:lang w:val="fr-FR"/>
              </w:rPr>
              <w:t>MINUSCA (</w:t>
            </w:r>
            <w:r w:rsidR="00D319FE" w:rsidRPr="008F2372">
              <w:rPr>
                <w:bCs/>
                <w:lang w:val="fr-FR"/>
              </w:rPr>
              <w:t>SCIPI)</w:t>
            </w:r>
            <w:r w:rsidR="007C797D">
              <w:rPr>
                <w:bCs/>
                <w:lang w:val="fr-FR"/>
              </w:rPr>
              <w:t> :</w:t>
            </w:r>
            <w:r w:rsidR="00D319FE" w:rsidRPr="004364B2">
              <w:rPr>
                <w:bCs/>
                <w:lang w:val="fr-FR"/>
              </w:rPr>
              <w:t xml:space="preserve"> </w:t>
            </w:r>
            <w:r w:rsidRPr="008F2372">
              <w:rPr>
                <w:bCs/>
                <w:lang w:val="fr-FR"/>
              </w:rPr>
              <w:t>100.000</w:t>
            </w:r>
            <w:r w:rsidR="00875398" w:rsidRPr="008F2372">
              <w:rPr>
                <w:bCs/>
                <w:lang w:val="fr-FR"/>
              </w:rPr>
              <w:t xml:space="preserve"> </w:t>
            </w:r>
            <w:r w:rsidRPr="008F2372">
              <w:rPr>
                <w:bCs/>
                <w:lang w:val="fr-FR"/>
              </w:rPr>
              <w:t>USD</w:t>
            </w:r>
          </w:p>
          <w:p w14:paraId="437F47BE" w14:textId="37DBA7A6" w:rsidR="00F004BF" w:rsidRPr="008F2372" w:rsidRDefault="00F004BF" w:rsidP="00636E71">
            <w:pPr>
              <w:jc w:val="both"/>
              <w:rPr>
                <w:bCs/>
                <w:lang w:val="fr-FR"/>
              </w:rPr>
            </w:pPr>
            <w:r w:rsidRPr="008F2372">
              <w:rPr>
                <w:bCs/>
                <w:lang w:val="fr-FR"/>
              </w:rPr>
              <w:t>Equipe d’experts des Nations Unies sur l’Etat de droit et sur les violences sexuelles liées au conflit</w:t>
            </w:r>
            <w:r w:rsidR="007C797D">
              <w:rPr>
                <w:bCs/>
                <w:lang w:val="fr-FR"/>
              </w:rPr>
              <w:t> :</w:t>
            </w:r>
            <w:r w:rsidRPr="008F2372">
              <w:rPr>
                <w:bCs/>
                <w:lang w:val="fr-FR"/>
              </w:rPr>
              <w:t xml:space="preserve"> 125.000USD</w:t>
            </w:r>
          </w:p>
          <w:p w14:paraId="08D94E6E" w14:textId="00BB4F58" w:rsidR="00F004BF" w:rsidRPr="008F2372" w:rsidRDefault="00F004BF" w:rsidP="00636E71">
            <w:pPr>
              <w:jc w:val="both"/>
              <w:rPr>
                <w:bCs/>
                <w:lang w:val="fr-FR"/>
              </w:rPr>
            </w:pPr>
            <w:r w:rsidRPr="008F2372">
              <w:rPr>
                <w:bCs/>
                <w:lang w:val="fr-FR"/>
              </w:rPr>
              <w:t>Etats-Unis</w:t>
            </w:r>
            <w:r w:rsidR="007C797D">
              <w:rPr>
                <w:bCs/>
                <w:lang w:val="fr-FR"/>
              </w:rPr>
              <w:t> :</w:t>
            </w:r>
            <w:r w:rsidRPr="008F2372">
              <w:rPr>
                <w:bCs/>
                <w:lang w:val="fr-FR"/>
              </w:rPr>
              <w:t xml:space="preserve"> 125.000 USD</w:t>
            </w:r>
          </w:p>
          <w:p w14:paraId="13A27E8C" w14:textId="77777777" w:rsidR="003828F8" w:rsidRPr="00473D3A" w:rsidRDefault="003828F8" w:rsidP="00636E71">
            <w:pPr>
              <w:jc w:val="both"/>
              <w:rPr>
                <w:lang w:val="fr-FR"/>
              </w:rPr>
            </w:pPr>
          </w:p>
          <w:p w14:paraId="2EE9339B" w14:textId="77777777" w:rsidR="007C797D" w:rsidRPr="008F2372" w:rsidRDefault="007C797D" w:rsidP="00636E71">
            <w:pPr>
              <w:jc w:val="both"/>
              <w:rPr>
                <w:b/>
                <w:bCs/>
                <w:lang w:val="fr-CH"/>
              </w:rPr>
            </w:pPr>
            <w:r w:rsidRPr="008F2372">
              <w:rPr>
                <w:b/>
                <w:bCs/>
                <w:lang w:val="fr-CH"/>
              </w:rPr>
              <w:t>Ressources Humaines :</w:t>
            </w:r>
          </w:p>
          <w:p w14:paraId="5FB7A909" w14:textId="77777777" w:rsidR="007C797D" w:rsidRDefault="007C797D" w:rsidP="00636E71">
            <w:pPr>
              <w:jc w:val="both"/>
              <w:rPr>
                <w:lang w:val="fr-CH"/>
              </w:rPr>
            </w:pPr>
          </w:p>
          <w:p w14:paraId="4D5B898F" w14:textId="470830AD" w:rsidR="003828F8" w:rsidRDefault="003828F8" w:rsidP="00636E71">
            <w:pPr>
              <w:jc w:val="both"/>
              <w:rPr>
                <w:lang w:val="fr-FR"/>
              </w:rPr>
            </w:pPr>
            <w:r w:rsidRPr="00510C36">
              <w:rPr>
                <w:lang w:val="fr-CH"/>
              </w:rPr>
              <w:t>Suisse</w:t>
            </w:r>
            <w:r w:rsidR="007C797D">
              <w:rPr>
                <w:lang w:val="fr-CH"/>
              </w:rPr>
              <w:t> :</w:t>
            </w:r>
            <w:r w:rsidRPr="00510C36">
              <w:rPr>
                <w:lang w:val="fr-CH"/>
              </w:rPr>
              <w:t xml:space="preserve"> </w:t>
            </w:r>
            <w:r w:rsidRPr="00510C36">
              <w:rPr>
                <w:lang w:val="fr-FR"/>
              </w:rPr>
              <w:t>Déploiement d’une expert</w:t>
            </w:r>
            <w:r>
              <w:rPr>
                <w:lang w:val="fr-FR"/>
              </w:rPr>
              <w:t>e</w:t>
            </w:r>
            <w:r w:rsidRPr="00510C36">
              <w:rPr>
                <w:lang w:val="fr-FR"/>
              </w:rPr>
              <w:t xml:space="preserve"> en justice (P2)</w:t>
            </w:r>
            <w:r w:rsidR="003B514E">
              <w:rPr>
                <w:lang w:val="fr-FR"/>
              </w:rPr>
              <w:t xml:space="preserve"> depuis aout 2019 et </w:t>
            </w:r>
            <w:proofErr w:type="spellStart"/>
            <w:r w:rsidR="008F684C">
              <w:rPr>
                <w:lang w:val="fr-FR"/>
              </w:rPr>
              <w:t>renouvell</w:t>
            </w:r>
            <w:r w:rsidR="007C797D">
              <w:rPr>
                <w:lang w:val="fr-FR"/>
              </w:rPr>
              <w:t>ée</w:t>
            </w:r>
            <w:proofErr w:type="spellEnd"/>
            <w:r w:rsidR="003B514E">
              <w:rPr>
                <w:lang w:val="fr-FR"/>
              </w:rPr>
              <w:t xml:space="preserve"> pour 1 année</w:t>
            </w:r>
          </w:p>
          <w:p w14:paraId="17517A5B" w14:textId="77777777" w:rsidR="00831911" w:rsidRDefault="00831911" w:rsidP="00636E71">
            <w:pPr>
              <w:jc w:val="both"/>
              <w:rPr>
                <w:lang w:val="fr-CH"/>
              </w:rPr>
            </w:pPr>
          </w:p>
          <w:p w14:paraId="5B062951" w14:textId="77777777" w:rsidR="00831911" w:rsidRPr="008F2372" w:rsidRDefault="00831911" w:rsidP="00636E71">
            <w:pPr>
              <w:jc w:val="both"/>
              <w:rPr>
                <w:b/>
                <w:bCs/>
                <w:lang w:val="fr-CH"/>
              </w:rPr>
            </w:pPr>
            <w:r w:rsidRPr="008F2372">
              <w:rPr>
                <w:b/>
                <w:bCs/>
                <w:lang w:val="fr-CH"/>
              </w:rPr>
              <w:t xml:space="preserve">Aide Légale : </w:t>
            </w:r>
          </w:p>
          <w:p w14:paraId="45A8A74B" w14:textId="77777777" w:rsidR="00831911" w:rsidRDefault="00831911" w:rsidP="00636E71">
            <w:pPr>
              <w:jc w:val="both"/>
              <w:rPr>
                <w:lang w:val="fr-CH"/>
              </w:rPr>
            </w:pPr>
          </w:p>
          <w:p w14:paraId="5BDD7742" w14:textId="51DBD3A0" w:rsidR="00831911" w:rsidRPr="00473D3A" w:rsidRDefault="00831911" w:rsidP="00636E71">
            <w:pPr>
              <w:jc w:val="both"/>
              <w:rPr>
                <w:lang w:val="fr-CH"/>
              </w:rPr>
            </w:pPr>
            <w:r>
              <w:rPr>
                <w:lang w:val="fr-CH"/>
              </w:rPr>
              <w:t xml:space="preserve">Union Européenne : avec l’appui budgétaire au secteur de la Justice 75 millions de XAF seront alloués pour la mise en place des mécanismes de l’aide légale, en ce moment en train d’être définis avec les textes d’application de la loi de l’aide légale </w:t>
            </w:r>
            <w:proofErr w:type="spellStart"/>
            <w:r>
              <w:rPr>
                <w:lang w:val="fr-CH"/>
              </w:rPr>
              <w:t>co-rédigés</w:t>
            </w:r>
            <w:proofErr w:type="spellEnd"/>
            <w:r>
              <w:rPr>
                <w:lang w:val="fr-CH"/>
              </w:rPr>
              <w:t xml:space="preserve"> avec l’appui du Projet (i.e. comme </w:t>
            </w:r>
            <w:proofErr w:type="spellStart"/>
            <w:r>
              <w:rPr>
                <w:lang w:val="fr-CH"/>
              </w:rPr>
              <w:t>sus mentionnée</w:t>
            </w:r>
            <w:proofErr w:type="spellEnd"/>
            <w:r>
              <w:rPr>
                <w:lang w:val="fr-CH"/>
              </w:rPr>
              <w:t>, le futur Comité National de l’Aide Légale et le Fonds d’Aide Légale) et délibérés dans le cadre du Groupe Thématique de la politique sectorielle de la justice sur la demande de la justice.</w:t>
            </w:r>
          </w:p>
        </w:tc>
      </w:tr>
      <w:tr w:rsidR="00F004BF" w:rsidRPr="00DE1699" w14:paraId="4BD08AAB" w14:textId="77777777" w:rsidTr="00F004BF">
        <w:tc>
          <w:tcPr>
            <w:tcW w:w="4230" w:type="dxa"/>
            <w:shd w:val="clear" w:color="auto" w:fill="auto"/>
          </w:tcPr>
          <w:p w14:paraId="3C7C8422" w14:textId="77777777" w:rsidR="00F004BF" w:rsidRPr="00675507" w:rsidRDefault="00E91D4E" w:rsidP="00F004BF">
            <w:pPr>
              <w:rPr>
                <w:lang w:val="fr-FR"/>
              </w:rPr>
            </w:pPr>
            <w:r w:rsidRPr="00675507">
              <w:rPr>
                <w:b/>
                <w:bCs/>
                <w:u w:val="single"/>
                <w:lang w:val="fr-FR"/>
              </w:rPr>
              <w:t>Autre</w:t>
            </w:r>
            <w:r w:rsidRPr="00675507">
              <w:rPr>
                <w:lang w:val="fr-FR"/>
              </w:rPr>
              <w:t xml:space="preserve"> :</w:t>
            </w:r>
            <w:r w:rsidR="00F004BF" w:rsidRPr="00675507">
              <w:rPr>
                <w:lang w:val="fr-FR"/>
              </w:rPr>
              <w:t xml:space="preserve"> Y a-t-il d'autres points concernant la mise en œuvre du projet que vous souhaitez partager, y compris sur les besoins en capacité des organisations </w:t>
            </w:r>
            <w:proofErr w:type="gramStart"/>
            <w:r w:rsidR="00F004BF" w:rsidRPr="00675507">
              <w:rPr>
                <w:lang w:val="fr-FR"/>
              </w:rPr>
              <w:t>bénéficiaires?</w:t>
            </w:r>
            <w:proofErr w:type="gramEnd"/>
            <w:r w:rsidR="00F004BF" w:rsidRPr="00675507">
              <w:rPr>
                <w:lang w:val="fr-FR"/>
              </w:rPr>
              <w:t xml:space="preserve"> (Limite de 1500 caractères)</w:t>
            </w:r>
          </w:p>
          <w:p w14:paraId="0FE5E931" w14:textId="77777777" w:rsidR="00F004BF" w:rsidRPr="00675507" w:rsidRDefault="00F004BF" w:rsidP="00F004BF">
            <w:pPr>
              <w:rPr>
                <w:lang w:val="fr-FR"/>
              </w:rPr>
            </w:pPr>
          </w:p>
        </w:tc>
        <w:tc>
          <w:tcPr>
            <w:tcW w:w="5940" w:type="dxa"/>
            <w:shd w:val="clear" w:color="auto" w:fill="auto"/>
          </w:tcPr>
          <w:p w14:paraId="022FB24E" w14:textId="77777777" w:rsidR="00F004BF" w:rsidRPr="00C0670D" w:rsidRDefault="00F004BF" w:rsidP="00F004BF">
            <w:pPr>
              <w:rPr>
                <w:lang w:val="fr-FR"/>
              </w:rPr>
            </w:pPr>
          </w:p>
          <w:p w14:paraId="7AD801F8" w14:textId="00BABB96" w:rsidR="00F004BF" w:rsidRPr="008F2372" w:rsidRDefault="0001014C" w:rsidP="00F004BF">
            <w:pPr>
              <w:rPr>
                <w:lang w:val="fr-FR"/>
              </w:rPr>
            </w:pPr>
            <w:r w:rsidRPr="008F2372">
              <w:rPr>
                <w:lang w:val="fr-FR"/>
              </w:rPr>
              <w:t>RAS</w:t>
            </w:r>
            <w:r w:rsidR="00831911" w:rsidRPr="008F2372">
              <w:rPr>
                <w:lang w:val="fr-FR"/>
              </w:rPr>
              <w:t>, mis à part l</w:t>
            </w:r>
            <w:r w:rsidR="00831911">
              <w:rPr>
                <w:lang w:val="fr-FR"/>
              </w:rPr>
              <w:t xml:space="preserve">’opérationnalisation de la CVJRR dès la nomination des Commissaires, </w:t>
            </w:r>
            <w:proofErr w:type="spellStart"/>
            <w:r w:rsidR="00831911">
              <w:rPr>
                <w:lang w:val="fr-FR"/>
              </w:rPr>
              <w:t>cf</w:t>
            </w:r>
            <w:proofErr w:type="spellEnd"/>
            <w:r w:rsidR="00831911">
              <w:rPr>
                <w:lang w:val="fr-FR"/>
              </w:rPr>
              <w:t xml:space="preserve"> résultat 3</w:t>
            </w:r>
            <w:r w:rsidR="00F301AA">
              <w:rPr>
                <w:lang w:val="fr-FR"/>
              </w:rPr>
              <w:t>.</w:t>
            </w:r>
          </w:p>
        </w:tc>
      </w:tr>
    </w:tbl>
    <w:p w14:paraId="1A64B18B" w14:textId="77777777" w:rsidR="00F004BF" w:rsidRPr="008F2372" w:rsidRDefault="00F004BF" w:rsidP="00F004BF">
      <w:pPr>
        <w:rPr>
          <w:b/>
          <w:lang w:val="fr-FR"/>
        </w:rPr>
      </w:pPr>
    </w:p>
    <w:p w14:paraId="23FBD8CC" w14:textId="77777777" w:rsidR="00F004BF" w:rsidRPr="008F2372" w:rsidRDefault="00F004BF" w:rsidP="00F004BF">
      <w:pPr>
        <w:rPr>
          <w:lang w:val="fr-FR"/>
        </w:rPr>
      </w:pPr>
    </w:p>
    <w:p w14:paraId="6438AE2F" w14:textId="77777777" w:rsidR="00F004BF" w:rsidRPr="008F2372" w:rsidRDefault="00F004BF" w:rsidP="00F004BF">
      <w:pPr>
        <w:rPr>
          <w:lang w:val="fr-FR"/>
        </w:rPr>
      </w:pPr>
    </w:p>
    <w:p w14:paraId="4154E7E0" w14:textId="77777777" w:rsidR="003E4B68" w:rsidRPr="008F2372" w:rsidRDefault="003E4B68" w:rsidP="003E4B68">
      <w:pPr>
        <w:rPr>
          <w:lang w:val="fr-FR"/>
        </w:rPr>
      </w:pPr>
    </w:p>
    <w:p w14:paraId="715063D9" w14:textId="77777777" w:rsidR="003E4B68" w:rsidRDefault="003E4B68" w:rsidP="003E4B68">
      <w:pPr>
        <w:rPr>
          <w:b/>
          <w:u w:val="single"/>
          <w:lang w:val="fr-FR"/>
        </w:rPr>
      </w:pPr>
    </w:p>
    <w:p w14:paraId="3413761E" w14:textId="77777777" w:rsidR="003E4B68" w:rsidRPr="00547F47" w:rsidRDefault="003E4B68" w:rsidP="003E4B68">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69A72128" w14:textId="77777777" w:rsidR="003E4B68" w:rsidRPr="00547F47" w:rsidRDefault="003E4B68" w:rsidP="003E4B68">
      <w:pPr>
        <w:rPr>
          <w:b/>
          <w:bCs/>
          <w:lang w:val="fr-FR"/>
        </w:rPr>
      </w:pPr>
      <w:r w:rsidRPr="00547F47">
        <w:rPr>
          <w:i/>
          <w:iCs/>
          <w:lang w:val="fr-FR"/>
        </w:rPr>
        <w:t>Veuillez répondre à ces questions si le projet a subi des ajustements financiers ou non</w:t>
      </w:r>
      <w:r>
        <w:rPr>
          <w:i/>
          <w:iCs/>
          <w:lang w:val="fr-FR"/>
        </w:rPr>
        <w:t xml:space="preserve">-financiers </w:t>
      </w:r>
      <w:r w:rsidRPr="00547F47">
        <w:rPr>
          <w:i/>
          <w:iCs/>
          <w:lang w:val="fr-FR"/>
        </w:rPr>
        <w:t>en raison de la pandémie COVID-19.</w:t>
      </w:r>
    </w:p>
    <w:p w14:paraId="4BAFE794" w14:textId="77777777" w:rsidR="003E4B68" w:rsidRPr="00547F47" w:rsidRDefault="003E4B68" w:rsidP="003E4B68">
      <w:pPr>
        <w:pStyle w:val="ListParagraph"/>
        <w:rPr>
          <w:lang w:val="fr-FR"/>
        </w:rPr>
      </w:pPr>
    </w:p>
    <w:p w14:paraId="3653EFC2" w14:textId="77777777" w:rsidR="003E4B68" w:rsidRPr="001745E8" w:rsidRDefault="003E4B68" w:rsidP="003E4B68">
      <w:pPr>
        <w:pStyle w:val="ListParagraph"/>
        <w:numPr>
          <w:ilvl w:val="0"/>
          <w:numId w:val="48"/>
        </w:numPr>
        <w:rPr>
          <w:lang w:val="fr-FR"/>
        </w:rPr>
      </w:pPr>
      <w:r w:rsidRPr="001745E8">
        <w:rPr>
          <w:lang w:val="fr-FR"/>
        </w:rPr>
        <w:t xml:space="preserve">Ajustements </w:t>
      </w:r>
      <w:r>
        <w:rPr>
          <w:lang w:val="fr-FR"/>
        </w:rPr>
        <w:t>financiers</w:t>
      </w:r>
      <w:r w:rsidRPr="001745E8">
        <w:rPr>
          <w:lang w:val="fr-FR"/>
        </w:rPr>
        <w:t xml:space="preserve"> : </w:t>
      </w:r>
      <w:r>
        <w:rPr>
          <w:lang w:val="fr-FR"/>
        </w:rPr>
        <w:t>V</w:t>
      </w:r>
      <w:r w:rsidRPr="001745E8">
        <w:rPr>
          <w:lang w:val="fr-FR"/>
        </w:rPr>
        <w:t>euillez indiquer le montant total en USD des ajustements liés au COVID-19</w:t>
      </w:r>
      <w:r>
        <w:rPr>
          <w:lang w:val="fr-FR"/>
        </w:rPr>
        <w:t>.</w:t>
      </w:r>
    </w:p>
    <w:p w14:paraId="4D21BAE5" w14:textId="77777777" w:rsidR="003E4B68" w:rsidRPr="001745E8" w:rsidRDefault="003E4B68" w:rsidP="003E4B68">
      <w:pPr>
        <w:rPr>
          <w:lang w:val="fr-FR"/>
        </w:rPr>
      </w:pPr>
    </w:p>
    <w:p w14:paraId="220BBFBB" w14:textId="27D3559D" w:rsidR="003E4B68" w:rsidRPr="008F2372" w:rsidRDefault="003E4B68" w:rsidP="00636E71">
      <w:pPr>
        <w:jc w:val="both"/>
        <w:rPr>
          <w:lang w:val="fr-FR"/>
        </w:rPr>
      </w:pPr>
      <w:r w:rsidRPr="003107C9">
        <w:rPr>
          <w:lang w:val="fr-FR"/>
        </w:rPr>
        <w:t>$</w:t>
      </w:r>
      <w:r w:rsidR="008F2372">
        <w:rPr>
          <w:lang w:val="fr-FR"/>
        </w:rPr>
        <w:t xml:space="preserve"> </w:t>
      </w:r>
      <w:r w:rsidR="008F2372" w:rsidRPr="008F2372">
        <w:rPr>
          <w:lang w:val="fr-FR"/>
        </w:rPr>
        <w:t>10 000 (TBC suite à facture</w:t>
      </w:r>
      <w:r w:rsidR="00636E71">
        <w:rPr>
          <w:lang w:val="fr-FR"/>
        </w:rPr>
        <w:t xml:space="preserve"> reçue</w:t>
      </w:r>
      <w:proofErr w:type="gramStart"/>
      <w:r w:rsidR="008F2372" w:rsidRPr="008F2372">
        <w:rPr>
          <w:lang w:val="fr-FR"/>
        </w:rPr>
        <w:t>):</w:t>
      </w:r>
      <w:proofErr w:type="gramEnd"/>
      <w:r w:rsidR="008F2372" w:rsidRPr="008F2372">
        <w:rPr>
          <w:lang w:val="fr-FR"/>
        </w:rPr>
        <w:t xml:space="preserve"> a</w:t>
      </w:r>
      <w:r w:rsidR="008F2372">
        <w:rPr>
          <w:lang w:val="fr-FR"/>
        </w:rPr>
        <w:t>chats d’équipements de protection pour le secteur de la justice et remis au Ministère de la Justice, afin de permettre fonctionnement du travail judiciaire ainsi que des mécanismes de coordination de la politique sectorielle de la justice</w:t>
      </w:r>
      <w:r w:rsidR="00C1342A">
        <w:rPr>
          <w:lang w:val="fr-FR"/>
        </w:rPr>
        <w:t>, ainsi qu’aux cliniques juridiques.</w:t>
      </w:r>
    </w:p>
    <w:p w14:paraId="37C728EC" w14:textId="77777777" w:rsidR="003E4B68" w:rsidRPr="003107C9" w:rsidRDefault="003E4B68" w:rsidP="00636E71">
      <w:pPr>
        <w:jc w:val="both"/>
        <w:rPr>
          <w:lang w:val="fr-FR"/>
        </w:rPr>
      </w:pPr>
    </w:p>
    <w:p w14:paraId="6E79C437" w14:textId="77777777" w:rsidR="003E4B68" w:rsidRPr="003107C9" w:rsidRDefault="003E4B68" w:rsidP="00636E71">
      <w:pPr>
        <w:pStyle w:val="ListParagraph"/>
        <w:numPr>
          <w:ilvl w:val="0"/>
          <w:numId w:val="48"/>
        </w:numPr>
        <w:jc w:val="both"/>
        <w:rPr>
          <w:lang w:val="fr-FR"/>
        </w:rPr>
      </w:pPr>
      <w:r w:rsidRPr="003107C9">
        <w:rPr>
          <w:lang w:val="fr-FR"/>
        </w:rPr>
        <w:t>Ajustements no</w:t>
      </w:r>
      <w:r>
        <w:rPr>
          <w:lang w:val="fr-FR"/>
        </w:rPr>
        <w:t>n-financiers</w:t>
      </w:r>
      <w:r w:rsidRPr="003107C9">
        <w:rPr>
          <w:lang w:val="fr-FR"/>
        </w:rPr>
        <w:t xml:space="preserve"> : </w:t>
      </w:r>
      <w:r>
        <w:rPr>
          <w:lang w:val="fr-FR"/>
        </w:rPr>
        <w:t>V</w:t>
      </w:r>
      <w:r w:rsidRPr="003107C9">
        <w:rPr>
          <w:lang w:val="fr-FR"/>
        </w:rPr>
        <w:t>euillez indiquer tout ajustement du projet qui n'a pas eu de conséquences financières</w:t>
      </w:r>
      <w:r>
        <w:rPr>
          <w:lang w:val="fr-FR"/>
        </w:rPr>
        <w:t>.</w:t>
      </w:r>
    </w:p>
    <w:p w14:paraId="373620E3" w14:textId="77777777" w:rsidR="00BA2FD0" w:rsidRDefault="00BA2FD0" w:rsidP="00636E71">
      <w:pPr>
        <w:jc w:val="both"/>
        <w:rPr>
          <w:lang w:val="fr-FR"/>
        </w:rPr>
      </w:pPr>
    </w:p>
    <w:p w14:paraId="5069740E" w14:textId="7C1B1D0B" w:rsidR="003E4B68" w:rsidRPr="00C1342A" w:rsidRDefault="00C1342A" w:rsidP="00636E71">
      <w:pPr>
        <w:jc w:val="both"/>
        <w:rPr>
          <w:lang w:val="fr-FR"/>
        </w:rPr>
      </w:pPr>
      <w:r w:rsidRPr="00C1342A">
        <w:rPr>
          <w:lang w:val="fr-FR"/>
        </w:rPr>
        <w:t>Délais engendr</w:t>
      </w:r>
      <w:r>
        <w:rPr>
          <w:lang w:val="fr-FR"/>
        </w:rPr>
        <w:t>é</w:t>
      </w:r>
      <w:r w:rsidRPr="00C1342A">
        <w:rPr>
          <w:lang w:val="fr-FR"/>
        </w:rPr>
        <w:t>s par non-</w:t>
      </w:r>
      <w:r>
        <w:rPr>
          <w:lang w:val="fr-FR"/>
        </w:rPr>
        <w:t xml:space="preserve">tenue de réunions et </w:t>
      </w:r>
      <w:proofErr w:type="spellStart"/>
      <w:r>
        <w:rPr>
          <w:lang w:val="fr-FR"/>
        </w:rPr>
        <w:t>atéliers</w:t>
      </w:r>
      <w:proofErr w:type="spellEnd"/>
      <w:r>
        <w:rPr>
          <w:lang w:val="fr-FR"/>
        </w:rPr>
        <w:t xml:space="preserve"> et la non-organisation de missions de terrain et de S&amp;E. Détails dans introduction et sections sur résultats ci-dessus.</w:t>
      </w:r>
    </w:p>
    <w:p w14:paraId="78962383" w14:textId="77777777" w:rsidR="003E4B68" w:rsidRPr="00C1342A" w:rsidRDefault="003E4B68" w:rsidP="00636E71">
      <w:pPr>
        <w:jc w:val="both"/>
        <w:rPr>
          <w:lang w:val="fr-FR"/>
        </w:rPr>
      </w:pPr>
    </w:p>
    <w:p w14:paraId="32DD3E0B" w14:textId="77777777" w:rsidR="003E4B68" w:rsidRDefault="003E4B68" w:rsidP="00636E71">
      <w:pPr>
        <w:pStyle w:val="ListParagraph"/>
        <w:numPr>
          <w:ilvl w:val="0"/>
          <w:numId w:val="48"/>
        </w:numPr>
        <w:jc w:val="both"/>
        <w:rPr>
          <w:lang w:val="fr-FR"/>
        </w:rPr>
      </w:pPr>
      <w:r w:rsidRPr="002D6DA0">
        <w:rPr>
          <w:lang w:val="fr-FR"/>
        </w:rPr>
        <w:t>Veuillez sélectionner toutes les catégories qui décrivent les ajustements du projet (et inclure des détails dans les sections générales de ce rapport)</w:t>
      </w:r>
      <w:r>
        <w:rPr>
          <w:lang w:val="fr-FR"/>
        </w:rPr>
        <w:t xml:space="preserve"> : </w:t>
      </w:r>
    </w:p>
    <w:p w14:paraId="6CA203BC" w14:textId="77777777" w:rsidR="003E4B68" w:rsidRPr="002D6DA0" w:rsidRDefault="003E4B68" w:rsidP="00636E71">
      <w:pPr>
        <w:pStyle w:val="ListParagraph"/>
        <w:jc w:val="both"/>
        <w:rPr>
          <w:lang w:val="fr-FR"/>
        </w:rPr>
      </w:pPr>
    </w:p>
    <w:p w14:paraId="1E76380A" w14:textId="7F2A0A47" w:rsidR="003E4B68" w:rsidRPr="00CB5499" w:rsidRDefault="004869AD" w:rsidP="00636E71">
      <w:pPr>
        <w:jc w:val="both"/>
        <w:rPr>
          <w:lang w:val="fr-FR"/>
        </w:rPr>
      </w:pPr>
      <w:sdt>
        <w:sdtPr>
          <w:rPr>
            <w:lang w:val="fr-FR"/>
          </w:rPr>
          <w:id w:val="402566072"/>
          <w14:checkbox>
            <w14:checked w14:val="1"/>
            <w14:checkedState w14:val="2612" w14:font="MS Gothic"/>
            <w14:uncheckedState w14:val="2610" w14:font="MS Gothic"/>
          </w14:checkbox>
        </w:sdtPr>
        <w:sdtEndPr/>
        <w:sdtContent>
          <w:r w:rsidR="00BA2FD0">
            <w:rPr>
              <w:rFonts w:ascii="MS Gothic" w:eastAsia="MS Gothic" w:hAnsi="MS Gothic" w:hint="eastAsia"/>
              <w:lang w:val="fr-FR"/>
            </w:rPr>
            <w:t>☒</w:t>
          </w:r>
        </w:sdtContent>
      </w:sdt>
      <w:r w:rsidR="003E4B68" w:rsidRPr="00CB5499">
        <w:rPr>
          <w:lang w:val="fr-FR"/>
        </w:rPr>
        <w:t xml:space="preserve"> Renforcer les capacités de gestion de crise et de communication</w:t>
      </w:r>
    </w:p>
    <w:p w14:paraId="38508B1C" w14:textId="77777777" w:rsidR="003E4B68" w:rsidRDefault="004869AD" w:rsidP="00636E71">
      <w:pPr>
        <w:jc w:val="both"/>
        <w:rPr>
          <w:lang w:val="fr-FR"/>
        </w:rPr>
      </w:pPr>
      <w:sdt>
        <w:sdtPr>
          <w:rPr>
            <w:lang w:val="fr-FR"/>
          </w:rPr>
          <w:id w:val="1706904896"/>
          <w14:checkbox>
            <w14:checked w14:val="0"/>
            <w14:checkedState w14:val="2612" w14:font="MS Gothic"/>
            <w14:uncheckedState w14:val="2610" w14:font="MS Gothic"/>
          </w14:checkbox>
        </w:sdtPr>
        <w:sdtEndPr/>
        <w:sdtContent>
          <w:r w:rsidR="003E4B68" w:rsidRPr="009E329B">
            <w:rPr>
              <w:rFonts w:ascii="MS Gothic" w:eastAsia="MS Gothic" w:hAnsi="MS Gothic" w:hint="eastAsia"/>
              <w:lang w:val="fr-FR"/>
            </w:rPr>
            <w:t>☐</w:t>
          </w:r>
        </w:sdtContent>
      </w:sdt>
      <w:r w:rsidR="003E4B68" w:rsidRPr="009E329B">
        <w:rPr>
          <w:lang w:val="fr-FR"/>
        </w:rPr>
        <w:t xml:space="preserve"> Assurer une réponse et </w:t>
      </w:r>
      <w:r w:rsidR="003E4B68">
        <w:rPr>
          <w:lang w:val="fr-FR"/>
        </w:rPr>
        <w:t xml:space="preserve">une reprise </w:t>
      </w:r>
      <w:r w:rsidR="003E4B68" w:rsidRPr="009E329B">
        <w:rPr>
          <w:lang w:val="fr-FR"/>
        </w:rPr>
        <w:t>inclusi</w:t>
      </w:r>
      <w:r w:rsidR="003E4B68">
        <w:rPr>
          <w:lang w:val="fr-FR"/>
        </w:rPr>
        <w:t>ves</w:t>
      </w:r>
      <w:r w:rsidR="003E4B68" w:rsidRPr="009E329B">
        <w:rPr>
          <w:lang w:val="fr-FR"/>
        </w:rPr>
        <w:t xml:space="preserve"> et équitables</w:t>
      </w:r>
    </w:p>
    <w:p w14:paraId="04F582D9" w14:textId="77777777" w:rsidR="003E4B68" w:rsidRPr="009E329B" w:rsidRDefault="004869AD" w:rsidP="00636E71">
      <w:pPr>
        <w:jc w:val="both"/>
        <w:rPr>
          <w:lang w:val="fr-FR"/>
        </w:rPr>
      </w:pPr>
      <w:sdt>
        <w:sdtPr>
          <w:rPr>
            <w:lang w:val="fr-FR"/>
          </w:rPr>
          <w:id w:val="1028075960"/>
          <w14:checkbox>
            <w14:checked w14:val="0"/>
            <w14:checkedState w14:val="2612" w14:font="MS Gothic"/>
            <w14:uncheckedState w14:val="2610" w14:font="MS Gothic"/>
          </w14:checkbox>
        </w:sdtPr>
        <w:sdtEndPr/>
        <w:sdtContent>
          <w:r w:rsidR="003E4B68" w:rsidRPr="009E329B">
            <w:rPr>
              <w:rFonts w:ascii="MS Gothic" w:eastAsia="MS Gothic" w:hAnsi="MS Gothic" w:hint="eastAsia"/>
              <w:lang w:val="fr-FR"/>
            </w:rPr>
            <w:t>☐</w:t>
          </w:r>
        </w:sdtContent>
      </w:sdt>
      <w:r w:rsidR="003E4B68" w:rsidRPr="009E329B">
        <w:rPr>
          <w:lang w:val="fr-FR"/>
        </w:rPr>
        <w:t xml:space="preserve"> </w:t>
      </w:r>
      <w:r w:rsidR="003E4B68" w:rsidRPr="00953C30">
        <w:rPr>
          <w:lang w:val="fr-FR"/>
        </w:rPr>
        <w:t>Renforcer la cohésion sociale intercommunautaire et la gestion des frontières</w:t>
      </w:r>
    </w:p>
    <w:p w14:paraId="59A971DB" w14:textId="77777777" w:rsidR="003E4B68" w:rsidRPr="00782959" w:rsidRDefault="004869AD" w:rsidP="00636E71">
      <w:pPr>
        <w:jc w:val="both"/>
        <w:rPr>
          <w:lang w:val="fr-FR"/>
        </w:rPr>
      </w:pPr>
      <w:sdt>
        <w:sdtPr>
          <w:rPr>
            <w:lang w:val="fr-FR"/>
          </w:rPr>
          <w:id w:val="1433550173"/>
          <w14:checkbox>
            <w14:checked w14:val="0"/>
            <w14:checkedState w14:val="2612" w14:font="MS Gothic"/>
            <w14:uncheckedState w14:val="2610" w14:font="MS Gothic"/>
          </w14:checkbox>
        </w:sdtPr>
        <w:sdtEndPr/>
        <w:sdtContent>
          <w:r w:rsidR="003E4B68" w:rsidRPr="00782959">
            <w:rPr>
              <w:rFonts w:ascii="MS Gothic" w:eastAsia="MS Gothic" w:hAnsi="MS Gothic" w:hint="eastAsia"/>
              <w:lang w:val="fr-FR"/>
            </w:rPr>
            <w:t>☐</w:t>
          </w:r>
        </w:sdtContent>
      </w:sdt>
      <w:r w:rsidR="003E4B68" w:rsidRPr="00782959">
        <w:rPr>
          <w:lang w:val="fr-FR"/>
        </w:rPr>
        <w:t xml:space="preserve"> Lutter contre le discours de haine et la stigmatisation et </w:t>
      </w:r>
      <w:r w:rsidR="003E4B68">
        <w:rPr>
          <w:lang w:val="fr-FR"/>
        </w:rPr>
        <w:t>répondre</w:t>
      </w:r>
      <w:r w:rsidR="003E4B68" w:rsidRPr="00782959">
        <w:rPr>
          <w:lang w:val="fr-FR"/>
        </w:rPr>
        <w:t xml:space="preserve"> </w:t>
      </w:r>
      <w:r w:rsidR="003E4B68">
        <w:rPr>
          <w:lang w:val="fr-FR"/>
        </w:rPr>
        <w:t>aux</w:t>
      </w:r>
      <w:r w:rsidR="003E4B68" w:rsidRPr="00782959">
        <w:rPr>
          <w:lang w:val="fr-FR"/>
        </w:rPr>
        <w:t xml:space="preserve"> traumatismes</w:t>
      </w:r>
    </w:p>
    <w:p w14:paraId="5481D325" w14:textId="77777777" w:rsidR="003E4B68" w:rsidRPr="005D653E" w:rsidRDefault="004869AD" w:rsidP="00636E71">
      <w:pPr>
        <w:jc w:val="both"/>
        <w:rPr>
          <w:lang w:val="fr-FR"/>
        </w:rPr>
      </w:pPr>
      <w:sdt>
        <w:sdtPr>
          <w:rPr>
            <w:lang w:val="fr-FR"/>
          </w:rPr>
          <w:id w:val="-197162951"/>
          <w14:checkbox>
            <w14:checked w14:val="0"/>
            <w14:checkedState w14:val="2612" w14:font="MS Gothic"/>
            <w14:uncheckedState w14:val="2610" w14:font="MS Gothic"/>
          </w14:checkbox>
        </w:sdtPr>
        <w:sdtEndPr/>
        <w:sdtContent>
          <w:r w:rsidR="003E4B68" w:rsidRPr="005D653E">
            <w:rPr>
              <w:rFonts w:ascii="MS Gothic" w:eastAsia="MS Gothic" w:hAnsi="MS Gothic" w:hint="eastAsia"/>
              <w:lang w:val="fr-FR"/>
            </w:rPr>
            <w:t>☐</w:t>
          </w:r>
        </w:sdtContent>
      </w:sdt>
      <w:r w:rsidR="003E4B68" w:rsidRPr="005D653E">
        <w:rPr>
          <w:lang w:val="fr-FR"/>
        </w:rPr>
        <w:t xml:space="preserve"> Souten</w:t>
      </w:r>
      <w:r w:rsidR="003E4B68">
        <w:rPr>
          <w:lang w:val="fr-FR"/>
        </w:rPr>
        <w:t>ir</w:t>
      </w:r>
      <w:r w:rsidR="003E4B68" w:rsidRPr="005D653E">
        <w:rPr>
          <w:lang w:val="fr-FR"/>
        </w:rPr>
        <w:t xml:space="preserve"> l'appel du SG </w:t>
      </w:r>
      <w:r w:rsidR="003E4B68">
        <w:rPr>
          <w:lang w:val="fr-FR"/>
        </w:rPr>
        <w:t>au « </w:t>
      </w:r>
      <w:r w:rsidR="003E4B68" w:rsidRPr="005D653E">
        <w:rPr>
          <w:lang w:val="fr-FR"/>
        </w:rPr>
        <w:t>cessez-le-feu mondial</w:t>
      </w:r>
      <w:r w:rsidR="003E4B68">
        <w:rPr>
          <w:lang w:val="fr-FR"/>
        </w:rPr>
        <w:t> »</w:t>
      </w:r>
    </w:p>
    <w:p w14:paraId="138E248F" w14:textId="77777777" w:rsidR="003E4B68" w:rsidRPr="00B456F4" w:rsidRDefault="004869AD" w:rsidP="00636E71">
      <w:pPr>
        <w:jc w:val="both"/>
        <w:rPr>
          <w:lang w:val="fr-FR"/>
        </w:rPr>
      </w:pPr>
      <w:sdt>
        <w:sdtPr>
          <w:rPr>
            <w:lang w:val="fr-FR"/>
          </w:rPr>
          <w:id w:val="810906333"/>
          <w14:checkbox>
            <w14:checked w14:val="0"/>
            <w14:checkedState w14:val="2612" w14:font="MS Gothic"/>
            <w14:uncheckedState w14:val="2610" w14:font="MS Gothic"/>
          </w14:checkbox>
        </w:sdtPr>
        <w:sdtEndPr/>
        <w:sdtContent>
          <w:r w:rsidR="003E4B68" w:rsidRPr="00B456F4">
            <w:rPr>
              <w:rFonts w:ascii="MS Gothic" w:eastAsia="MS Gothic" w:hAnsi="MS Gothic" w:hint="eastAsia"/>
              <w:lang w:val="fr-FR"/>
            </w:rPr>
            <w:t>☐</w:t>
          </w:r>
        </w:sdtContent>
      </w:sdt>
      <w:r w:rsidR="003E4B68" w:rsidRPr="00B456F4">
        <w:rPr>
          <w:lang w:val="fr-FR"/>
        </w:rPr>
        <w:t xml:space="preserve"> Autres (veuillez préciser</w:t>
      </w:r>
      <w:proofErr w:type="gramStart"/>
      <w:r w:rsidR="003E4B68" w:rsidRPr="00B456F4">
        <w:rPr>
          <w:lang w:val="fr-FR"/>
        </w:rPr>
        <w:t>):</w:t>
      </w:r>
      <w:proofErr w:type="gramEnd"/>
      <w:r w:rsidR="003E4B68" w:rsidRPr="00B456F4">
        <w:rPr>
          <w:lang w:val="fr-FR"/>
        </w:rPr>
        <w:t xml:space="preserve"> </w:t>
      </w:r>
      <w:r w:rsidR="003E4B68">
        <w:fldChar w:fldCharType="begin">
          <w:ffData>
            <w:name w:val=""/>
            <w:enabled/>
            <w:calcOnExit w:val="0"/>
            <w:textInput>
              <w:maxLength w:val="1500"/>
              <w:format w:val="Première majuscule"/>
            </w:textInput>
          </w:ffData>
        </w:fldChar>
      </w:r>
      <w:r w:rsidR="003E4B68" w:rsidRPr="00B456F4">
        <w:rPr>
          <w:lang w:val="fr-FR"/>
        </w:rPr>
        <w:instrText xml:space="preserve"> FORMTEXT </w:instrText>
      </w:r>
      <w:r w:rsidR="003E4B68">
        <w:fldChar w:fldCharType="separate"/>
      </w:r>
      <w:r w:rsidR="003E4B68">
        <w:rPr>
          <w:noProof/>
        </w:rPr>
        <w:t> </w:t>
      </w:r>
      <w:r w:rsidR="003E4B68">
        <w:rPr>
          <w:noProof/>
        </w:rPr>
        <w:t> </w:t>
      </w:r>
      <w:r w:rsidR="003E4B68">
        <w:rPr>
          <w:noProof/>
        </w:rPr>
        <w:t> </w:t>
      </w:r>
      <w:r w:rsidR="003E4B68">
        <w:rPr>
          <w:noProof/>
        </w:rPr>
        <w:t> </w:t>
      </w:r>
      <w:r w:rsidR="003E4B68">
        <w:rPr>
          <w:noProof/>
        </w:rPr>
        <w:t> </w:t>
      </w:r>
      <w:r w:rsidR="003E4B68">
        <w:fldChar w:fldCharType="end"/>
      </w:r>
    </w:p>
    <w:p w14:paraId="4F1D4DED" w14:textId="77777777" w:rsidR="003E4B68" w:rsidRPr="00B456F4" w:rsidRDefault="003E4B68" w:rsidP="00636E71">
      <w:pPr>
        <w:ind w:left="2160"/>
        <w:jc w:val="both"/>
        <w:rPr>
          <w:lang w:val="fr-FR"/>
        </w:rPr>
      </w:pPr>
    </w:p>
    <w:p w14:paraId="32435DFB" w14:textId="77777777" w:rsidR="003E4B68" w:rsidRPr="00D61557" w:rsidRDefault="003E4B68" w:rsidP="00636E71">
      <w:pPr>
        <w:jc w:val="both"/>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comment les ajustements de ce projet ont fait une différence et ont contribué à une réponse positive à la pandémie / empêché les tensions ou la violence liées à la pandémie, etc.</w:t>
      </w:r>
      <w:r w:rsidRPr="00D61557">
        <w:rPr>
          <w:lang w:val="fr-FR"/>
        </w:rPr>
        <w:t>)</w:t>
      </w:r>
    </w:p>
    <w:p w14:paraId="5D793AB4" w14:textId="77777777" w:rsidR="003E4B68" w:rsidRPr="00D61557" w:rsidRDefault="003E4B68" w:rsidP="003E4B68">
      <w:pPr>
        <w:rPr>
          <w:lang w:val="fr-FR"/>
        </w:rPr>
      </w:pPr>
    </w:p>
    <w:p w14:paraId="0ECDE109" w14:textId="00C9CD52" w:rsidR="003E4B68" w:rsidRPr="00636E71" w:rsidRDefault="00BA2FD0" w:rsidP="003E4B68">
      <w:pPr>
        <w:rPr>
          <w:lang w:val="fr-FR"/>
        </w:rPr>
      </w:pPr>
      <w:r w:rsidRPr="00636E71">
        <w:rPr>
          <w:lang w:val="fr-FR"/>
        </w:rPr>
        <w:t>RAS</w:t>
      </w:r>
    </w:p>
    <w:p w14:paraId="0FB8BF89" w14:textId="18ADF264" w:rsidR="003E4B68" w:rsidRPr="00636E71" w:rsidRDefault="003E4B68" w:rsidP="00F004BF">
      <w:pPr>
        <w:rPr>
          <w:lang w:val="fr-FR"/>
        </w:rPr>
        <w:sectPr w:rsidR="003E4B68" w:rsidRPr="00636E71" w:rsidSect="00F004BF">
          <w:pgSz w:w="11906" w:h="16838"/>
          <w:pgMar w:top="1440" w:right="1800" w:bottom="1440" w:left="1800" w:header="720" w:footer="720" w:gutter="0"/>
          <w:cols w:space="720"/>
          <w:docGrid w:linePitch="360"/>
        </w:sectPr>
      </w:pPr>
    </w:p>
    <w:p w14:paraId="3D98B1CD"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25E9E6CE"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194844CE"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r>
        <w:rPr>
          <w:rFonts w:ascii="Times New Roman" w:hAnsi="Times New Roman" w:cs="Times New Roman"/>
          <w:b/>
          <w:sz w:val="24"/>
          <w:szCs w:val="24"/>
          <w:u w:val="single"/>
          <w:lang w:val="fr-FR" w:eastAsia="en-GB"/>
        </w:rPr>
        <w:t>P</w:t>
      </w:r>
      <w:r w:rsidRPr="00675507">
        <w:rPr>
          <w:rFonts w:ascii="Times New Roman" w:hAnsi="Times New Roman" w:cs="Times New Roman"/>
          <w:b/>
          <w:sz w:val="24"/>
          <w:szCs w:val="24"/>
          <w:u w:val="single"/>
          <w:lang w:val="fr-FR" w:eastAsia="en-GB"/>
        </w:rPr>
        <w:t xml:space="preserve">artie IV : ÉVALUATION DE LA PERFORMANCE DU PROJET SUR LA BASE DES </w:t>
      </w:r>
      <w:r w:rsidR="000850E0"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04844FC2" w14:textId="77777777" w:rsidR="00F004BF" w:rsidRDefault="00F004BF" w:rsidP="00F004BF">
      <w:pPr>
        <w:pStyle w:val="HTMLPreformatted"/>
        <w:shd w:val="clear" w:color="auto" w:fill="FFFFFF"/>
        <w:rPr>
          <w:rFonts w:ascii="Times New Roman" w:hAnsi="Times New Roman" w:cs="Times New Roman"/>
          <w:b/>
          <w:sz w:val="24"/>
          <w:szCs w:val="24"/>
          <w:u w:val="single"/>
          <w:lang w:val="fr-FR" w:eastAsia="en-GB"/>
        </w:rPr>
      </w:pPr>
    </w:p>
    <w:p w14:paraId="62F46C70" w14:textId="77777777" w:rsidR="00F004BF" w:rsidRPr="005529F5" w:rsidRDefault="00F004BF" w:rsidP="00F004BF">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5F0EFE9" w14:textId="77777777" w:rsidR="00F004BF" w:rsidRPr="005529F5" w:rsidRDefault="00F004BF" w:rsidP="00F004BF">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F004BF" w:rsidRPr="00DE1699" w14:paraId="71FD7A63" w14:textId="77777777" w:rsidTr="00F004BF">
        <w:trPr>
          <w:tblHeader/>
        </w:trPr>
        <w:tc>
          <w:tcPr>
            <w:tcW w:w="1530" w:type="dxa"/>
          </w:tcPr>
          <w:p w14:paraId="173094B7" w14:textId="77777777" w:rsidR="00F004BF" w:rsidRPr="005A6420" w:rsidRDefault="00F004BF" w:rsidP="00F004BF">
            <w:pPr>
              <w:jc w:val="center"/>
              <w:rPr>
                <w:rFonts w:cs="Tahoma"/>
                <w:b/>
                <w:szCs w:val="20"/>
                <w:lang w:val="fr-FR" w:eastAsia="en-US"/>
              </w:rPr>
            </w:pPr>
          </w:p>
        </w:tc>
        <w:tc>
          <w:tcPr>
            <w:tcW w:w="2070" w:type="dxa"/>
            <w:shd w:val="clear" w:color="auto" w:fill="EEECE1"/>
          </w:tcPr>
          <w:p w14:paraId="3DC5E681"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6C28BB47" w14:textId="53C9B111" w:rsidR="00F004BF" w:rsidRPr="005A6420" w:rsidRDefault="00F004BF" w:rsidP="00F004BF">
            <w:pPr>
              <w:jc w:val="center"/>
              <w:rPr>
                <w:rFonts w:cs="Tahoma"/>
                <w:b/>
                <w:szCs w:val="20"/>
                <w:lang w:val="fr-FR" w:eastAsia="en-US"/>
              </w:rPr>
            </w:pPr>
            <w:r w:rsidRPr="005A6420">
              <w:rPr>
                <w:rFonts w:cs="Tahoma"/>
                <w:b/>
                <w:szCs w:val="20"/>
                <w:lang w:val="fr-FR" w:eastAsia="en-US"/>
              </w:rPr>
              <w:t xml:space="preserve">Base de </w:t>
            </w:r>
            <w:r w:rsidR="003D2607" w:rsidRPr="005A6420">
              <w:rPr>
                <w:rFonts w:cs="Tahoma"/>
                <w:b/>
                <w:szCs w:val="20"/>
                <w:lang w:val="fr-FR" w:eastAsia="en-US"/>
              </w:rPr>
              <w:t>données</w:t>
            </w:r>
            <w:r w:rsidR="006D1970">
              <w:rPr>
                <w:rFonts w:cs="Tahoma"/>
                <w:b/>
                <w:szCs w:val="20"/>
                <w:lang w:val="fr-FR" w:eastAsia="en-US"/>
              </w:rPr>
              <w:t xml:space="preserve"> </w:t>
            </w:r>
          </w:p>
        </w:tc>
        <w:tc>
          <w:tcPr>
            <w:tcW w:w="1620" w:type="dxa"/>
            <w:shd w:val="clear" w:color="auto" w:fill="EEECE1"/>
          </w:tcPr>
          <w:p w14:paraId="71A57984"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Cible de fin de projet</w:t>
            </w:r>
          </w:p>
        </w:tc>
        <w:tc>
          <w:tcPr>
            <w:tcW w:w="2070" w:type="dxa"/>
          </w:tcPr>
          <w:p w14:paraId="7433BE5A" w14:textId="77777777" w:rsidR="00F004BF" w:rsidRPr="005A6420" w:rsidRDefault="00F004BF" w:rsidP="00F004BF">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01A7737"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25C177B" w14:textId="77777777" w:rsidR="00F004BF" w:rsidRPr="005A6420" w:rsidRDefault="00F004BF" w:rsidP="00F004BF">
            <w:pPr>
              <w:jc w:val="center"/>
              <w:rPr>
                <w:rFonts w:cs="Tahoma"/>
                <w:b/>
                <w:szCs w:val="20"/>
                <w:lang w:val="fr-FR" w:eastAsia="en-US"/>
              </w:rPr>
            </w:pPr>
            <w:r w:rsidRPr="005A6420">
              <w:rPr>
                <w:rFonts w:cs="Tahoma"/>
                <w:b/>
                <w:szCs w:val="20"/>
                <w:lang w:val="fr-FR" w:eastAsia="en-US"/>
              </w:rPr>
              <w:t>Raisons pour les retards ou changements</w:t>
            </w:r>
          </w:p>
        </w:tc>
      </w:tr>
      <w:tr w:rsidR="00B804F2" w:rsidRPr="005A6420" w14:paraId="659CEF79" w14:textId="77777777" w:rsidTr="00F004BF">
        <w:trPr>
          <w:trHeight w:val="548"/>
        </w:trPr>
        <w:tc>
          <w:tcPr>
            <w:tcW w:w="1530" w:type="dxa"/>
            <w:vMerge w:val="restart"/>
          </w:tcPr>
          <w:p w14:paraId="244D12B9" w14:textId="77777777" w:rsidR="00B804F2" w:rsidRPr="005A6420" w:rsidRDefault="00B804F2" w:rsidP="00B804F2">
            <w:pPr>
              <w:rPr>
                <w:rFonts w:cs="Tahoma"/>
                <w:b/>
                <w:szCs w:val="20"/>
                <w:lang w:val="fr-FR" w:eastAsia="en-US"/>
              </w:rPr>
            </w:pPr>
            <w:r w:rsidRPr="005A6420">
              <w:rPr>
                <w:rFonts w:cs="Tahoma"/>
                <w:b/>
                <w:szCs w:val="20"/>
                <w:lang w:val="fr-FR" w:eastAsia="en-US"/>
              </w:rPr>
              <w:t>Résultat 1</w:t>
            </w:r>
          </w:p>
          <w:p w14:paraId="3BD3F855" w14:textId="77777777" w:rsidR="00B804F2" w:rsidRPr="005A6420" w:rsidRDefault="00B804F2" w:rsidP="00B804F2">
            <w:pPr>
              <w:rPr>
                <w:rFonts w:cs="Tahoma"/>
                <w:b/>
                <w:szCs w:val="20"/>
                <w:lang w:val="fr-FR" w:eastAsia="en-US"/>
              </w:rPr>
            </w:pPr>
            <w:r w:rsidRPr="00A01C3A">
              <w:rPr>
                <w:lang w:val="fr-FR" w:eastAsia="en-US"/>
              </w:rPr>
              <w:t xml:space="preserve">Les institutions du secteur de la justice et les mécanismes de justice transitionnelle sont capables de fournir des services de qualité répondant aux besoins </w:t>
            </w:r>
            <w:r w:rsidRPr="00A01C3A">
              <w:rPr>
                <w:lang w:val="fr-FR" w:eastAsia="en-US"/>
              </w:rPr>
              <w:lastRenderedPageBreak/>
              <w:t>des populations, en particulier des victimes</w:t>
            </w:r>
          </w:p>
        </w:tc>
        <w:tc>
          <w:tcPr>
            <w:tcW w:w="2070" w:type="dxa"/>
            <w:shd w:val="clear" w:color="auto" w:fill="EEECE1"/>
          </w:tcPr>
          <w:p w14:paraId="4DEAA666"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1.1</w:t>
            </w:r>
          </w:p>
          <w:p w14:paraId="3DFE88DF" w14:textId="77777777" w:rsidR="00B804F2" w:rsidRPr="005A6420" w:rsidRDefault="00B804F2" w:rsidP="00B804F2">
            <w:pPr>
              <w:jc w:val="both"/>
              <w:rPr>
                <w:rFonts w:cs="Tahoma"/>
                <w:szCs w:val="20"/>
                <w:lang w:val="fr-FR" w:eastAsia="en-US"/>
              </w:rPr>
            </w:pPr>
            <w:r w:rsidRPr="00A01C3A">
              <w:rPr>
                <w:lang w:val="fr-FR" w:eastAsia="en-US"/>
              </w:rPr>
              <w:t>Confiance accrue de la population dans la justice formelle</w:t>
            </w:r>
          </w:p>
        </w:tc>
        <w:tc>
          <w:tcPr>
            <w:tcW w:w="1530" w:type="dxa"/>
            <w:shd w:val="clear" w:color="auto" w:fill="EEECE1"/>
          </w:tcPr>
          <w:p w14:paraId="68D5A97A" w14:textId="77777777" w:rsidR="00B804F2" w:rsidRPr="00A01C3A" w:rsidRDefault="00B804F2" w:rsidP="00B804F2">
            <w:pPr>
              <w:rPr>
                <w:lang w:val="fr-FR" w:eastAsia="en-US"/>
              </w:rPr>
            </w:pPr>
            <w:r w:rsidRPr="00A01C3A">
              <w:rPr>
                <w:lang w:val="fr-FR" w:eastAsia="en-US"/>
              </w:rPr>
              <w:t>50% (5</w:t>
            </w:r>
            <w:r>
              <w:rPr>
                <w:lang w:val="fr-FR" w:eastAsia="en-US"/>
              </w:rPr>
              <w:t>8</w:t>
            </w:r>
            <w:r w:rsidRPr="00A01C3A">
              <w:rPr>
                <w:lang w:val="fr-FR" w:eastAsia="en-US"/>
              </w:rPr>
              <w:t>% H / 42% F)</w:t>
            </w:r>
          </w:p>
          <w:p w14:paraId="67D39EAF" w14:textId="77777777" w:rsidR="00B804F2" w:rsidRPr="005A6420" w:rsidRDefault="00B804F2" w:rsidP="00B804F2">
            <w:pPr>
              <w:rPr>
                <w:rFonts w:cs="Tahoma"/>
                <w:szCs w:val="20"/>
                <w:lang w:val="fr-FR" w:eastAsia="en-US"/>
              </w:rPr>
            </w:pPr>
          </w:p>
        </w:tc>
        <w:tc>
          <w:tcPr>
            <w:tcW w:w="1620" w:type="dxa"/>
            <w:shd w:val="clear" w:color="auto" w:fill="EEECE1"/>
          </w:tcPr>
          <w:p w14:paraId="3C7B98F5" w14:textId="77777777" w:rsidR="00B804F2" w:rsidRPr="005A6420" w:rsidRDefault="00B804F2" w:rsidP="00B804F2">
            <w:pPr>
              <w:rPr>
                <w:lang w:val="fr-FR"/>
              </w:rPr>
            </w:pPr>
            <w:r>
              <w:rPr>
                <w:lang w:val="fr-FR" w:eastAsia="en-US"/>
              </w:rPr>
              <w:t>58</w:t>
            </w:r>
            <w:r w:rsidRPr="00A01C3A">
              <w:rPr>
                <w:lang w:val="fr-FR" w:eastAsia="en-US"/>
              </w:rPr>
              <w:t>% (</w:t>
            </w:r>
            <w:r>
              <w:rPr>
                <w:lang w:val="fr-FR" w:eastAsia="en-US"/>
              </w:rPr>
              <w:t>66</w:t>
            </w:r>
            <w:r w:rsidRPr="00A01C3A">
              <w:rPr>
                <w:lang w:val="fr-FR" w:eastAsia="en-US"/>
              </w:rPr>
              <w:t>% H/</w:t>
            </w:r>
            <w:r>
              <w:rPr>
                <w:lang w:val="fr-FR" w:eastAsia="en-US"/>
              </w:rPr>
              <w:t>5</w:t>
            </w:r>
            <w:r w:rsidRPr="00A01C3A">
              <w:rPr>
                <w:lang w:val="fr-FR" w:eastAsia="en-US"/>
              </w:rPr>
              <w:t>0%F)</w:t>
            </w:r>
            <w:r w:rsidR="003D0957">
              <w:rPr>
                <w:rStyle w:val="FootnoteReference"/>
                <w:lang w:val="fr-FR" w:eastAsia="en-US"/>
              </w:rPr>
              <w:footnoteReference w:id="6"/>
            </w:r>
          </w:p>
        </w:tc>
        <w:tc>
          <w:tcPr>
            <w:tcW w:w="2070" w:type="dxa"/>
          </w:tcPr>
          <w:p w14:paraId="6CA7D2BB" w14:textId="77777777" w:rsidR="00B804F2" w:rsidRPr="003D0957" w:rsidRDefault="00B804F2" w:rsidP="00636E71">
            <w:pPr>
              <w:jc w:val="both"/>
              <w:rPr>
                <w:lang w:val="fr-FR"/>
              </w:rPr>
            </w:pPr>
            <w:r w:rsidRPr="00EF7C35">
              <w:rPr>
                <w:sz w:val="22"/>
                <w:szCs w:val="22"/>
                <w:lang w:val="fr-FR" w:eastAsia="en-US"/>
              </w:rPr>
              <w:t xml:space="preserve">54% (62%H / 46% F) en un an </w:t>
            </w:r>
            <w:r w:rsidR="003D0957" w:rsidRPr="00EF7C35">
              <w:rPr>
                <w:sz w:val="22"/>
                <w:szCs w:val="22"/>
                <w:lang w:val="fr-FR" w:eastAsia="en-US"/>
              </w:rPr>
              <w:t xml:space="preserve">de projet </w:t>
            </w:r>
          </w:p>
        </w:tc>
        <w:tc>
          <w:tcPr>
            <w:tcW w:w="2070" w:type="dxa"/>
          </w:tcPr>
          <w:p w14:paraId="7D4C4711" w14:textId="77777777" w:rsidR="00B804F2" w:rsidRPr="00535D1C" w:rsidRDefault="00B804F2" w:rsidP="00B804F2">
            <w:pPr>
              <w:rPr>
                <w:sz w:val="22"/>
                <w:szCs w:val="22"/>
                <w:lang w:val="fr-FR" w:eastAsia="en-US"/>
              </w:rPr>
            </w:pPr>
            <w:r w:rsidRPr="00535D1C">
              <w:rPr>
                <w:sz w:val="22"/>
                <w:szCs w:val="22"/>
                <w:lang w:val="fr-FR" w:eastAsia="en-US"/>
              </w:rPr>
              <w:t>53% Hommes</w:t>
            </w:r>
          </w:p>
          <w:p w14:paraId="724F502F" w14:textId="77777777" w:rsidR="00B804F2" w:rsidRPr="005A6420" w:rsidRDefault="00B804F2" w:rsidP="00B804F2">
            <w:pPr>
              <w:rPr>
                <w:lang w:val="fr-FR"/>
              </w:rPr>
            </w:pPr>
            <w:r w:rsidRPr="00535D1C">
              <w:rPr>
                <w:sz w:val="22"/>
                <w:szCs w:val="22"/>
                <w:lang w:val="fr-FR" w:eastAsia="en-US"/>
              </w:rPr>
              <w:t>38% Femmes</w:t>
            </w:r>
          </w:p>
        </w:tc>
        <w:tc>
          <w:tcPr>
            <w:tcW w:w="4140" w:type="dxa"/>
          </w:tcPr>
          <w:p w14:paraId="67C40266" w14:textId="77777777" w:rsidR="00B804F2" w:rsidRPr="005A6420" w:rsidRDefault="003D0957" w:rsidP="00636E71">
            <w:pPr>
              <w:jc w:val="both"/>
              <w:rPr>
                <w:lang w:val="fr-FR"/>
              </w:rPr>
            </w:pPr>
            <w:r>
              <w:rPr>
                <w:b/>
                <w:sz w:val="22"/>
                <w:szCs w:val="22"/>
                <w:lang w:val="fr-FR" w:eastAsia="en-US"/>
              </w:rPr>
              <w:t>-</w:t>
            </w:r>
          </w:p>
        </w:tc>
      </w:tr>
      <w:tr w:rsidR="00B804F2" w:rsidRPr="00DE1699" w14:paraId="52633E78" w14:textId="77777777" w:rsidTr="00F004BF">
        <w:trPr>
          <w:trHeight w:val="548"/>
        </w:trPr>
        <w:tc>
          <w:tcPr>
            <w:tcW w:w="1530" w:type="dxa"/>
            <w:vMerge/>
          </w:tcPr>
          <w:p w14:paraId="509BEECA" w14:textId="77777777" w:rsidR="00B804F2" w:rsidRPr="005A6420" w:rsidRDefault="00B804F2" w:rsidP="00B804F2">
            <w:pPr>
              <w:rPr>
                <w:rFonts w:cs="Tahoma"/>
                <w:b/>
                <w:szCs w:val="20"/>
                <w:lang w:val="fr-FR" w:eastAsia="en-US"/>
              </w:rPr>
            </w:pPr>
          </w:p>
        </w:tc>
        <w:tc>
          <w:tcPr>
            <w:tcW w:w="2070" w:type="dxa"/>
            <w:shd w:val="clear" w:color="auto" w:fill="EEECE1"/>
          </w:tcPr>
          <w:p w14:paraId="0924A290"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1.2</w:t>
            </w:r>
          </w:p>
          <w:p w14:paraId="5D7D265B" w14:textId="77777777" w:rsidR="00B804F2" w:rsidRPr="005A6420" w:rsidRDefault="00B804F2" w:rsidP="00B804F2">
            <w:pPr>
              <w:jc w:val="both"/>
              <w:rPr>
                <w:rFonts w:cs="Tahoma"/>
                <w:szCs w:val="20"/>
                <w:lang w:val="fr-FR" w:eastAsia="en-US"/>
              </w:rPr>
            </w:pPr>
            <w:r>
              <w:rPr>
                <w:lang w:val="fr-FR" w:eastAsia="en-US"/>
              </w:rPr>
              <w:t>E</w:t>
            </w:r>
            <w:r w:rsidRPr="00A01C3A">
              <w:rPr>
                <w:lang w:val="fr-FR" w:eastAsia="en-US"/>
              </w:rPr>
              <w:t>xistence d’un mécanisme de coordination/complémentarité entre la CVJRR, la justice ordinaire et la CPS</w:t>
            </w:r>
          </w:p>
        </w:tc>
        <w:tc>
          <w:tcPr>
            <w:tcW w:w="1530" w:type="dxa"/>
            <w:shd w:val="clear" w:color="auto" w:fill="EEECE1"/>
          </w:tcPr>
          <w:p w14:paraId="25356C2B" w14:textId="345592DB" w:rsidR="00B804F2" w:rsidRPr="004F2456" w:rsidRDefault="00875398" w:rsidP="00B804F2">
            <w:pPr>
              <w:rPr>
                <w:lang w:val="fr-FR"/>
              </w:rPr>
            </w:pPr>
            <w:r>
              <w:rPr>
                <w:sz w:val="22"/>
                <w:szCs w:val="22"/>
                <w:lang w:val="fr-FR" w:eastAsia="en-US"/>
              </w:rPr>
              <w:t>Non</w:t>
            </w:r>
          </w:p>
        </w:tc>
        <w:tc>
          <w:tcPr>
            <w:tcW w:w="1620" w:type="dxa"/>
            <w:shd w:val="clear" w:color="auto" w:fill="EEECE1"/>
          </w:tcPr>
          <w:p w14:paraId="0D8371CF" w14:textId="51EFADE7" w:rsidR="00B804F2" w:rsidRPr="004F2456" w:rsidRDefault="00875398" w:rsidP="00B804F2">
            <w:pPr>
              <w:rPr>
                <w:lang w:val="fr-FR"/>
              </w:rPr>
            </w:pPr>
            <w:r>
              <w:rPr>
                <w:sz w:val="22"/>
                <w:szCs w:val="22"/>
                <w:lang w:val="fr-FR" w:eastAsia="en-US"/>
              </w:rPr>
              <w:t>Oui</w:t>
            </w:r>
          </w:p>
        </w:tc>
        <w:tc>
          <w:tcPr>
            <w:tcW w:w="2070" w:type="dxa"/>
          </w:tcPr>
          <w:p w14:paraId="06B1D0EB" w14:textId="23BE3C6C" w:rsidR="00B804F2" w:rsidRPr="00EF7C35" w:rsidRDefault="00BE41A4" w:rsidP="00636E71">
            <w:pPr>
              <w:jc w:val="both"/>
              <w:rPr>
                <w:sz w:val="22"/>
                <w:szCs w:val="22"/>
                <w:lang w:val="fr-FR"/>
              </w:rPr>
            </w:pPr>
            <w:r w:rsidRPr="00EF7C35">
              <w:rPr>
                <w:sz w:val="22"/>
                <w:szCs w:val="22"/>
                <w:lang w:val="fr-FR" w:eastAsia="en-US"/>
              </w:rPr>
              <w:t>Existence du groupe thématique sur la « justice transitionnelle et les Droits Humains » de la politique sectorielle de la justice</w:t>
            </w:r>
            <w:r w:rsidR="00E77002" w:rsidRPr="00E13104">
              <w:rPr>
                <w:sz w:val="22"/>
                <w:szCs w:val="22"/>
                <w:lang w:val="fr-FR" w:eastAsia="en-US"/>
              </w:rPr>
              <w:t xml:space="preserve"> en juin 2020 et existence d’un arrêté portant sur Comité préparatoire des assises </w:t>
            </w:r>
            <w:r w:rsidR="00E77002" w:rsidRPr="00E13104">
              <w:rPr>
                <w:sz w:val="22"/>
                <w:szCs w:val="22"/>
                <w:lang w:val="fr-FR" w:eastAsia="en-US"/>
              </w:rPr>
              <w:lastRenderedPageBreak/>
              <w:t xml:space="preserve">criminelles intégrant </w:t>
            </w:r>
            <w:r w:rsidR="008F684C" w:rsidRPr="00E13104">
              <w:rPr>
                <w:sz w:val="22"/>
                <w:szCs w:val="22"/>
                <w:lang w:val="fr-FR" w:eastAsia="en-US"/>
              </w:rPr>
              <w:t>représentants</w:t>
            </w:r>
            <w:r w:rsidR="00E77002" w:rsidRPr="00E13104">
              <w:rPr>
                <w:sz w:val="22"/>
                <w:szCs w:val="22"/>
                <w:lang w:val="fr-FR" w:eastAsia="en-US"/>
              </w:rPr>
              <w:t xml:space="preserve"> de la CPS (juin 2020) </w:t>
            </w:r>
          </w:p>
        </w:tc>
        <w:tc>
          <w:tcPr>
            <w:tcW w:w="2070" w:type="dxa"/>
          </w:tcPr>
          <w:p w14:paraId="6EA87C1E" w14:textId="72EF68A8" w:rsidR="00B804F2" w:rsidRPr="005A6420" w:rsidRDefault="00875398" w:rsidP="00B804F2">
            <w:pPr>
              <w:rPr>
                <w:lang w:val="fr-FR"/>
              </w:rPr>
            </w:pPr>
            <w:r>
              <w:rPr>
                <w:b/>
                <w:sz w:val="22"/>
                <w:szCs w:val="22"/>
                <w:lang w:val="fr-FR" w:eastAsia="en-US"/>
              </w:rPr>
              <w:lastRenderedPageBreak/>
              <w:t>Non</w:t>
            </w:r>
          </w:p>
        </w:tc>
        <w:tc>
          <w:tcPr>
            <w:tcW w:w="4140" w:type="dxa"/>
          </w:tcPr>
          <w:p w14:paraId="50AE864E" w14:textId="4CC170AB" w:rsidR="00B804F2" w:rsidRPr="00E13104" w:rsidRDefault="00B804F2" w:rsidP="00636E71">
            <w:pPr>
              <w:jc w:val="both"/>
              <w:rPr>
                <w:lang w:val="fr-FR"/>
              </w:rPr>
            </w:pPr>
            <w:r w:rsidRPr="00E13104">
              <w:rPr>
                <w:lang w:val="fr-FR"/>
              </w:rPr>
              <w:t xml:space="preserve">La CVJRR </w:t>
            </w:r>
            <w:r w:rsidR="0073550D">
              <w:rPr>
                <w:lang w:val="fr-FR"/>
              </w:rPr>
              <w:t>n’est pas encore opérationnelle</w:t>
            </w:r>
            <w:r w:rsidRPr="00E13104">
              <w:rPr>
                <w:lang w:val="fr-FR"/>
              </w:rPr>
              <w:t xml:space="preserve">. Un mécanisme de coordination sera mis en place pour assurer la complémentarité de la CVJRR, justice ordinaire et CPS, selon la loi </w:t>
            </w:r>
            <w:r w:rsidR="00BB74F5">
              <w:rPr>
                <w:lang w:val="fr-FR"/>
              </w:rPr>
              <w:t>portant création de la</w:t>
            </w:r>
            <w:r w:rsidRPr="00E13104">
              <w:rPr>
                <w:lang w:val="fr-FR"/>
              </w:rPr>
              <w:t xml:space="preserve"> CPS</w:t>
            </w:r>
            <w:r w:rsidR="00BE41A4" w:rsidRPr="00E13104">
              <w:rPr>
                <w:lang w:val="fr-FR"/>
              </w:rPr>
              <w:t xml:space="preserve">. </w:t>
            </w:r>
            <w:proofErr w:type="gramStart"/>
            <w:r w:rsidR="00BE41A4" w:rsidRPr="00E13104">
              <w:rPr>
                <w:lang w:val="fr-FR"/>
              </w:rPr>
              <w:t>Ceci étant</w:t>
            </w:r>
            <w:proofErr w:type="gramEnd"/>
            <w:r w:rsidR="00BE41A4" w:rsidRPr="00E13104">
              <w:rPr>
                <w:lang w:val="fr-FR"/>
              </w:rPr>
              <w:t xml:space="preserve"> dit, le Groupe Thématique sur la justice transitionnelle de </w:t>
            </w:r>
            <w:r w:rsidRPr="00E13104">
              <w:rPr>
                <w:lang w:val="fr-FR"/>
              </w:rPr>
              <w:t xml:space="preserve">la politique sectorielle de justice </w:t>
            </w:r>
            <w:r w:rsidR="00BE41A4" w:rsidRPr="00E13104">
              <w:rPr>
                <w:lang w:val="fr-FR"/>
              </w:rPr>
              <w:t xml:space="preserve">est établi et permet d’assurer la coordination entre pouvoir judiciaire, CPS, société civile et CNDH, et dans le </w:t>
            </w:r>
            <w:r w:rsidR="00BE41A4" w:rsidRPr="00E13104">
              <w:rPr>
                <w:lang w:val="fr-FR"/>
              </w:rPr>
              <w:lastRenderedPageBreak/>
              <w:t xml:space="preserve">futur </w:t>
            </w:r>
            <w:r w:rsidR="008F684C" w:rsidRPr="00E13104">
              <w:rPr>
                <w:lang w:val="fr-FR"/>
              </w:rPr>
              <w:t>intègrera</w:t>
            </w:r>
            <w:r w:rsidR="00BE41A4" w:rsidRPr="00E13104">
              <w:rPr>
                <w:lang w:val="fr-FR"/>
              </w:rPr>
              <w:t xml:space="preserve"> la CVJRR</w:t>
            </w:r>
            <w:r w:rsidRPr="00E13104">
              <w:rPr>
                <w:lang w:val="fr-FR"/>
              </w:rPr>
              <w:t>.</w:t>
            </w:r>
            <w:r w:rsidR="00BE41A4" w:rsidRPr="00E13104">
              <w:rPr>
                <w:lang w:val="fr-FR"/>
              </w:rPr>
              <w:t xml:space="preserve"> Le PNUD</w:t>
            </w:r>
            <w:r w:rsidR="001906B1" w:rsidRPr="00E13104">
              <w:rPr>
                <w:lang w:val="fr-FR"/>
              </w:rPr>
              <w:t>/projet</w:t>
            </w:r>
            <w:r w:rsidR="00BE41A4" w:rsidRPr="00E13104">
              <w:rPr>
                <w:lang w:val="fr-FR"/>
              </w:rPr>
              <w:t xml:space="preserve"> étant co-responsable de ce groupe</w:t>
            </w:r>
            <w:r w:rsidR="001658A6" w:rsidRPr="00E13104">
              <w:rPr>
                <w:lang w:val="fr-FR"/>
              </w:rPr>
              <w:t xml:space="preserve"> (cf. </w:t>
            </w:r>
            <w:proofErr w:type="gramStart"/>
            <w:r w:rsidR="001658A6" w:rsidRPr="00E13104">
              <w:rPr>
                <w:lang w:val="fr-FR"/>
              </w:rPr>
              <w:t>arrêté</w:t>
            </w:r>
            <w:proofErr w:type="gramEnd"/>
            <w:r w:rsidR="001658A6" w:rsidRPr="00E13104">
              <w:rPr>
                <w:lang w:val="fr-FR"/>
              </w:rPr>
              <w:t xml:space="preserve"> sur les mécanismes de pilotage et coordination de la PSJ)</w:t>
            </w:r>
            <w:r w:rsidR="00BE41A4" w:rsidRPr="00E13104">
              <w:rPr>
                <w:lang w:val="fr-FR"/>
              </w:rPr>
              <w:t>.</w:t>
            </w:r>
          </w:p>
        </w:tc>
      </w:tr>
      <w:tr w:rsidR="00B804F2" w:rsidRPr="005A6420" w14:paraId="2D5A69F4" w14:textId="77777777" w:rsidTr="00F004BF">
        <w:trPr>
          <w:trHeight w:val="548"/>
        </w:trPr>
        <w:tc>
          <w:tcPr>
            <w:tcW w:w="1530" w:type="dxa"/>
            <w:vMerge/>
          </w:tcPr>
          <w:p w14:paraId="44605D28" w14:textId="77777777" w:rsidR="00B804F2" w:rsidRPr="005A6420" w:rsidRDefault="00B804F2" w:rsidP="00B804F2">
            <w:pPr>
              <w:rPr>
                <w:rFonts w:cs="Tahoma"/>
                <w:szCs w:val="20"/>
                <w:lang w:val="fr-FR" w:eastAsia="en-US"/>
              </w:rPr>
            </w:pPr>
          </w:p>
        </w:tc>
        <w:tc>
          <w:tcPr>
            <w:tcW w:w="2070" w:type="dxa"/>
            <w:shd w:val="clear" w:color="auto" w:fill="EEECE1"/>
          </w:tcPr>
          <w:p w14:paraId="3FE2A006"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1.3</w:t>
            </w:r>
          </w:p>
          <w:p w14:paraId="7421CD82" w14:textId="77777777" w:rsidR="00B804F2" w:rsidRPr="005A6420" w:rsidRDefault="00B804F2" w:rsidP="00B804F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FD5F16E"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D9BF6E1"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5B017C" w14:textId="77777777" w:rsidR="00B804F2" w:rsidRPr="00EF7C35" w:rsidRDefault="00B804F2" w:rsidP="00B804F2">
            <w:pPr>
              <w:rPr>
                <w:sz w:val="22"/>
                <w:szCs w:val="22"/>
                <w:lang w:val="fr-FR"/>
              </w:rPr>
            </w:pPr>
            <w:r w:rsidRPr="00E13104">
              <w:rPr>
                <w:b/>
                <w:sz w:val="22"/>
                <w:szCs w:val="22"/>
                <w:lang w:val="fr-FR" w:eastAsia="en-US"/>
              </w:rPr>
              <w:fldChar w:fldCharType="begin">
                <w:ffData>
                  <w:name w:val=""/>
                  <w:enabled/>
                  <w:calcOnExit w:val="0"/>
                  <w:textInput>
                    <w:maxLength w:val="300"/>
                  </w:textInput>
                </w:ffData>
              </w:fldChar>
            </w:r>
            <w:r w:rsidRPr="00E13104">
              <w:rPr>
                <w:b/>
                <w:sz w:val="22"/>
                <w:szCs w:val="22"/>
                <w:lang w:val="fr-FR" w:eastAsia="en-US"/>
              </w:rPr>
              <w:instrText xml:space="preserve"> FORMTEXT </w:instrText>
            </w:r>
            <w:r w:rsidRPr="00E13104">
              <w:rPr>
                <w:b/>
                <w:sz w:val="22"/>
                <w:szCs w:val="22"/>
                <w:lang w:val="fr-FR" w:eastAsia="en-US"/>
              </w:rPr>
            </w:r>
            <w:r w:rsidRPr="00E13104">
              <w:rPr>
                <w:b/>
                <w:sz w:val="22"/>
                <w:szCs w:val="22"/>
                <w:lang w:val="fr-FR" w:eastAsia="en-US"/>
              </w:rPr>
              <w:fldChar w:fldCharType="separate"/>
            </w:r>
            <w:r w:rsidRPr="00E13104">
              <w:rPr>
                <w:b/>
                <w:noProof/>
                <w:sz w:val="22"/>
                <w:szCs w:val="22"/>
                <w:lang w:val="fr-FR" w:eastAsia="en-US"/>
              </w:rPr>
              <w:t> </w:t>
            </w:r>
            <w:r w:rsidRPr="00E13104">
              <w:rPr>
                <w:b/>
                <w:noProof/>
                <w:sz w:val="22"/>
                <w:szCs w:val="22"/>
                <w:lang w:val="fr-FR" w:eastAsia="en-US"/>
              </w:rPr>
              <w:t> </w:t>
            </w:r>
            <w:r w:rsidRPr="00E13104">
              <w:rPr>
                <w:b/>
                <w:noProof/>
                <w:sz w:val="22"/>
                <w:szCs w:val="22"/>
                <w:lang w:val="fr-FR" w:eastAsia="en-US"/>
              </w:rPr>
              <w:t> </w:t>
            </w:r>
            <w:r w:rsidRPr="00E13104">
              <w:rPr>
                <w:b/>
                <w:noProof/>
                <w:sz w:val="22"/>
                <w:szCs w:val="22"/>
                <w:lang w:val="fr-FR" w:eastAsia="en-US"/>
              </w:rPr>
              <w:t> </w:t>
            </w:r>
            <w:r w:rsidRPr="00E13104">
              <w:rPr>
                <w:b/>
                <w:noProof/>
                <w:sz w:val="22"/>
                <w:szCs w:val="22"/>
                <w:lang w:val="fr-FR" w:eastAsia="en-US"/>
              </w:rPr>
              <w:t> </w:t>
            </w:r>
            <w:r w:rsidRPr="00E13104">
              <w:rPr>
                <w:b/>
                <w:sz w:val="22"/>
                <w:szCs w:val="22"/>
                <w:lang w:val="fr-FR" w:eastAsia="en-US"/>
              </w:rPr>
              <w:fldChar w:fldCharType="end"/>
            </w:r>
          </w:p>
        </w:tc>
        <w:tc>
          <w:tcPr>
            <w:tcW w:w="2070" w:type="dxa"/>
          </w:tcPr>
          <w:p w14:paraId="1554D388" w14:textId="77777777" w:rsidR="00B804F2" w:rsidRPr="005A6420" w:rsidRDefault="00B804F2" w:rsidP="00B804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43C7F1" w14:textId="77777777" w:rsidR="00B804F2" w:rsidRPr="00E13104" w:rsidRDefault="00B804F2" w:rsidP="00B804F2">
            <w:pPr>
              <w:rPr>
                <w:lang w:val="fr-FR"/>
              </w:rPr>
            </w:pPr>
            <w:r w:rsidRPr="00EF7C35">
              <w:rPr>
                <w:b/>
                <w:lang w:val="fr-FR" w:eastAsia="en-US"/>
              </w:rPr>
              <w:fldChar w:fldCharType="begin">
                <w:ffData>
                  <w:name w:val=""/>
                  <w:enabled/>
                  <w:calcOnExit w:val="0"/>
                  <w:textInput>
                    <w:maxLength w:val="300"/>
                  </w:textInput>
                </w:ffData>
              </w:fldChar>
            </w:r>
            <w:r w:rsidRPr="00EF7C35">
              <w:rPr>
                <w:b/>
                <w:lang w:val="fr-FR" w:eastAsia="en-US"/>
              </w:rPr>
              <w:instrText xml:space="preserve"> FORMTEXT </w:instrText>
            </w:r>
            <w:r w:rsidRPr="00EF7C35">
              <w:rPr>
                <w:b/>
                <w:lang w:val="fr-FR" w:eastAsia="en-US"/>
              </w:rPr>
            </w:r>
            <w:r w:rsidRPr="00EF7C35">
              <w:rPr>
                <w:b/>
                <w:lang w:val="fr-FR" w:eastAsia="en-US"/>
              </w:rPr>
              <w:fldChar w:fldCharType="separate"/>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lang w:val="fr-FR" w:eastAsia="en-US"/>
              </w:rPr>
              <w:fldChar w:fldCharType="end"/>
            </w:r>
          </w:p>
        </w:tc>
      </w:tr>
      <w:tr w:rsidR="00B804F2" w:rsidRPr="005A6420" w14:paraId="2816F6EF" w14:textId="77777777" w:rsidTr="00F004BF">
        <w:trPr>
          <w:trHeight w:val="548"/>
        </w:trPr>
        <w:tc>
          <w:tcPr>
            <w:tcW w:w="1530" w:type="dxa"/>
            <w:vMerge w:val="restart"/>
          </w:tcPr>
          <w:p w14:paraId="009F83CC" w14:textId="77777777" w:rsidR="00B804F2" w:rsidRPr="005A6420" w:rsidRDefault="00B804F2" w:rsidP="00B804F2">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028FC789" w14:textId="77777777" w:rsidR="00B804F2" w:rsidRPr="005A6420" w:rsidRDefault="00B804F2" w:rsidP="00B804F2">
            <w:pPr>
              <w:rPr>
                <w:rFonts w:cs="Tahoma"/>
                <w:szCs w:val="20"/>
                <w:lang w:val="fr-FR" w:eastAsia="en-US"/>
              </w:rPr>
            </w:pPr>
            <w:r w:rsidRPr="00A01C3A">
              <w:rPr>
                <w:lang w:val="fr-FR" w:eastAsia="en-US"/>
              </w:rPr>
              <w:t>Réformes et mécanismes pour une architecture de justice transitionnelle mises en œuvre et communiquées au centrafricains</w:t>
            </w:r>
          </w:p>
          <w:p w14:paraId="60E67C81" w14:textId="77777777" w:rsidR="00B804F2" w:rsidRPr="005A6420" w:rsidRDefault="00B804F2" w:rsidP="00B804F2">
            <w:pPr>
              <w:rPr>
                <w:rFonts w:cs="Tahoma"/>
                <w:b/>
                <w:szCs w:val="20"/>
                <w:lang w:val="fr-FR" w:eastAsia="en-US"/>
              </w:rPr>
            </w:pPr>
          </w:p>
        </w:tc>
        <w:tc>
          <w:tcPr>
            <w:tcW w:w="2070" w:type="dxa"/>
            <w:shd w:val="clear" w:color="auto" w:fill="EEECE1"/>
          </w:tcPr>
          <w:p w14:paraId="05434CE0"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1.1.1</w:t>
            </w:r>
          </w:p>
          <w:p w14:paraId="01E8D6BD" w14:textId="77777777" w:rsidR="00B804F2" w:rsidRPr="005A6420" w:rsidRDefault="00B804F2" w:rsidP="00B804F2">
            <w:pPr>
              <w:jc w:val="both"/>
              <w:rPr>
                <w:rFonts w:cs="Tahoma"/>
                <w:szCs w:val="20"/>
                <w:lang w:val="fr-FR" w:eastAsia="en-US"/>
              </w:rPr>
            </w:pPr>
            <w:r w:rsidRPr="00A01C3A">
              <w:rPr>
                <w:lang w:val="fr-FR" w:eastAsia="en-US"/>
              </w:rPr>
              <w:t>La politique sectorielle de la justice est élaborée et validée</w:t>
            </w:r>
          </w:p>
        </w:tc>
        <w:tc>
          <w:tcPr>
            <w:tcW w:w="1530" w:type="dxa"/>
            <w:shd w:val="clear" w:color="auto" w:fill="EEECE1"/>
          </w:tcPr>
          <w:p w14:paraId="5C82CE53" w14:textId="36D62264" w:rsidR="00B804F2" w:rsidRPr="005A6420" w:rsidRDefault="00B804F2" w:rsidP="00B804F2">
            <w:pPr>
              <w:rPr>
                <w:lang w:val="fr-FR"/>
              </w:rPr>
            </w:pPr>
            <w:r w:rsidRPr="008F684C">
              <w:rPr>
                <w:lang w:val="fr-FR"/>
              </w:rPr>
              <w:t>1 draft exist</w:t>
            </w:r>
            <w:r w:rsidR="00181656" w:rsidRPr="008F684C">
              <w:rPr>
                <w:lang w:val="fr-FR"/>
              </w:rPr>
              <w:t>a</w:t>
            </w:r>
            <w:r w:rsidRPr="008F684C">
              <w:rPr>
                <w:lang w:val="fr-FR"/>
              </w:rPr>
              <w:t>nt</w:t>
            </w:r>
            <w:r w:rsidR="00875398" w:rsidRPr="008F684C">
              <w:rPr>
                <w:lang w:val="fr-FR"/>
              </w:rPr>
              <w:t xml:space="preserve"> </w:t>
            </w:r>
          </w:p>
        </w:tc>
        <w:tc>
          <w:tcPr>
            <w:tcW w:w="1620" w:type="dxa"/>
            <w:shd w:val="clear" w:color="auto" w:fill="EEECE1"/>
          </w:tcPr>
          <w:p w14:paraId="213232CE" w14:textId="77777777" w:rsidR="00B804F2" w:rsidRPr="005A6420" w:rsidRDefault="00B804F2" w:rsidP="00B804F2">
            <w:pPr>
              <w:rPr>
                <w:lang w:val="fr-FR"/>
              </w:rPr>
            </w:pPr>
            <w:r w:rsidRPr="00A01C3A">
              <w:rPr>
                <w:lang w:val="fr-FR" w:eastAsia="en-US"/>
              </w:rPr>
              <w:t>Document validé au niveau national et rendu public</w:t>
            </w:r>
          </w:p>
        </w:tc>
        <w:tc>
          <w:tcPr>
            <w:tcW w:w="2070" w:type="dxa"/>
          </w:tcPr>
          <w:p w14:paraId="1DD3BB7D" w14:textId="4FF22FF1" w:rsidR="00B804F2" w:rsidRPr="00EF7C35" w:rsidRDefault="00B804F2" w:rsidP="00B804F2">
            <w:pPr>
              <w:rPr>
                <w:sz w:val="22"/>
                <w:szCs w:val="22"/>
                <w:lang w:val="fr-FR"/>
              </w:rPr>
            </w:pPr>
            <w:r w:rsidRPr="00EF7C35">
              <w:rPr>
                <w:sz w:val="22"/>
                <w:szCs w:val="22"/>
                <w:lang w:val="fr-FR" w:eastAsia="en-US"/>
              </w:rPr>
              <w:t>1 document validé au niveau national et rendu public</w:t>
            </w:r>
            <w:r w:rsidR="00875398">
              <w:rPr>
                <w:sz w:val="22"/>
                <w:szCs w:val="22"/>
                <w:lang w:val="fr-FR" w:eastAsia="en-US"/>
              </w:rPr>
              <w:t xml:space="preserve"> </w:t>
            </w:r>
          </w:p>
        </w:tc>
        <w:tc>
          <w:tcPr>
            <w:tcW w:w="2070" w:type="dxa"/>
          </w:tcPr>
          <w:p w14:paraId="5ECC7C28" w14:textId="4BE400C0" w:rsidR="00B804F2" w:rsidRPr="005A6420" w:rsidRDefault="00B804F2" w:rsidP="00B804F2">
            <w:pPr>
              <w:rPr>
                <w:lang w:val="fr-FR"/>
              </w:rPr>
            </w:pPr>
            <w:r>
              <w:rPr>
                <w:lang w:val="fr-FR" w:eastAsia="en-US"/>
              </w:rPr>
              <w:t xml:space="preserve">1 </w:t>
            </w:r>
            <w:r w:rsidRPr="00A01C3A">
              <w:rPr>
                <w:lang w:val="fr-FR" w:eastAsia="en-US"/>
              </w:rPr>
              <w:t>document validé au niveau national et rendu public</w:t>
            </w:r>
            <w:r w:rsidR="00B81B7D">
              <w:rPr>
                <w:lang w:val="fr-FR" w:eastAsia="en-US"/>
              </w:rPr>
              <w:t xml:space="preserve"> (décembre 2019)</w:t>
            </w:r>
          </w:p>
        </w:tc>
        <w:tc>
          <w:tcPr>
            <w:tcW w:w="4140" w:type="dxa"/>
          </w:tcPr>
          <w:p w14:paraId="65C3EAE3" w14:textId="77777777" w:rsidR="00B804F2" w:rsidRPr="00E13104" w:rsidRDefault="00B804F2" w:rsidP="00B804F2">
            <w:pPr>
              <w:rPr>
                <w:lang w:val="fr-FR"/>
              </w:rPr>
            </w:pPr>
            <w:r w:rsidRPr="00EF7C35">
              <w:rPr>
                <w:b/>
                <w:lang w:val="fr-FR" w:eastAsia="en-US"/>
              </w:rPr>
              <w:fldChar w:fldCharType="begin">
                <w:ffData>
                  <w:name w:val=""/>
                  <w:enabled/>
                  <w:calcOnExit w:val="0"/>
                  <w:textInput>
                    <w:maxLength w:val="300"/>
                  </w:textInput>
                </w:ffData>
              </w:fldChar>
            </w:r>
            <w:r w:rsidRPr="00EF7C35">
              <w:rPr>
                <w:b/>
                <w:lang w:val="fr-FR" w:eastAsia="en-US"/>
              </w:rPr>
              <w:instrText xml:space="preserve"> FORMTEXT </w:instrText>
            </w:r>
            <w:r w:rsidRPr="00EF7C35">
              <w:rPr>
                <w:b/>
                <w:lang w:val="fr-FR" w:eastAsia="en-US"/>
              </w:rPr>
            </w:r>
            <w:r w:rsidRPr="00EF7C35">
              <w:rPr>
                <w:b/>
                <w:lang w:val="fr-FR" w:eastAsia="en-US"/>
              </w:rPr>
              <w:fldChar w:fldCharType="separate"/>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noProof/>
                <w:lang w:val="fr-FR" w:eastAsia="en-US"/>
              </w:rPr>
              <w:t> </w:t>
            </w:r>
            <w:r w:rsidRPr="00EF7C35">
              <w:rPr>
                <w:b/>
                <w:lang w:val="fr-FR" w:eastAsia="en-US"/>
              </w:rPr>
              <w:fldChar w:fldCharType="end"/>
            </w:r>
          </w:p>
        </w:tc>
      </w:tr>
      <w:tr w:rsidR="00B804F2" w:rsidRPr="00DE1699" w14:paraId="318973C5" w14:textId="77777777" w:rsidTr="00F004BF">
        <w:trPr>
          <w:trHeight w:val="512"/>
        </w:trPr>
        <w:tc>
          <w:tcPr>
            <w:tcW w:w="1530" w:type="dxa"/>
            <w:vMerge/>
          </w:tcPr>
          <w:p w14:paraId="140BFAF4" w14:textId="77777777" w:rsidR="00B804F2" w:rsidRPr="005A6420" w:rsidRDefault="00B804F2" w:rsidP="00B804F2">
            <w:pPr>
              <w:rPr>
                <w:rFonts w:cs="Tahoma"/>
                <w:b/>
                <w:szCs w:val="20"/>
                <w:lang w:val="fr-FR" w:eastAsia="en-US"/>
              </w:rPr>
            </w:pPr>
          </w:p>
        </w:tc>
        <w:tc>
          <w:tcPr>
            <w:tcW w:w="2070" w:type="dxa"/>
            <w:shd w:val="clear" w:color="auto" w:fill="EEECE1"/>
          </w:tcPr>
          <w:p w14:paraId="2AA72B19"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1.1.2</w:t>
            </w:r>
          </w:p>
          <w:p w14:paraId="6A2D2A5B" w14:textId="77777777" w:rsidR="00B804F2" w:rsidRDefault="00B804F2" w:rsidP="00B804F2">
            <w:pPr>
              <w:rPr>
                <w:lang w:val="fr-FR" w:eastAsia="en-US"/>
              </w:rPr>
            </w:pPr>
            <w:r>
              <w:rPr>
                <w:lang w:val="fr-FR" w:eastAsia="en-US"/>
              </w:rPr>
              <w:t xml:space="preserve">Un </w:t>
            </w:r>
            <w:r w:rsidRPr="00A01C3A">
              <w:rPr>
                <w:lang w:val="fr-FR" w:eastAsia="en-US"/>
              </w:rPr>
              <w:t>cadre de coordination et de consultation des secteurs de la justice et de la JT installé et fonctionnel</w:t>
            </w:r>
          </w:p>
          <w:p w14:paraId="61BEE1D0" w14:textId="77777777" w:rsidR="00B804F2" w:rsidRPr="005A6420" w:rsidRDefault="00B804F2" w:rsidP="00B804F2">
            <w:pPr>
              <w:jc w:val="both"/>
              <w:rPr>
                <w:rFonts w:cs="Tahoma"/>
                <w:szCs w:val="20"/>
                <w:lang w:val="fr-FR" w:eastAsia="en-US"/>
              </w:rPr>
            </w:pPr>
          </w:p>
        </w:tc>
        <w:tc>
          <w:tcPr>
            <w:tcW w:w="1530" w:type="dxa"/>
            <w:shd w:val="clear" w:color="auto" w:fill="EEECE1"/>
          </w:tcPr>
          <w:p w14:paraId="72E9D2F5" w14:textId="192613AF" w:rsidR="00B804F2" w:rsidRPr="008F684C" w:rsidRDefault="00B804F2" w:rsidP="00B804F2">
            <w:pPr>
              <w:rPr>
                <w:lang w:val="fr-FR"/>
              </w:rPr>
            </w:pPr>
            <w:r w:rsidRPr="008F684C">
              <w:rPr>
                <w:lang w:val="fr-FR"/>
              </w:rPr>
              <w:t>0 cadre exist</w:t>
            </w:r>
            <w:r w:rsidR="00181656" w:rsidRPr="008F684C">
              <w:rPr>
                <w:lang w:val="fr-FR"/>
              </w:rPr>
              <w:t>a</w:t>
            </w:r>
            <w:r w:rsidRPr="008F684C">
              <w:rPr>
                <w:lang w:val="fr-FR"/>
              </w:rPr>
              <w:t>nt</w:t>
            </w:r>
            <w:r w:rsidR="00875398" w:rsidRPr="008F684C">
              <w:rPr>
                <w:lang w:val="fr-FR"/>
              </w:rPr>
              <w:t xml:space="preserve"> </w:t>
            </w:r>
          </w:p>
          <w:p w14:paraId="0F4EFE83" w14:textId="77777777" w:rsidR="00B804F2" w:rsidRPr="005A6420" w:rsidRDefault="00B804F2" w:rsidP="00B804F2">
            <w:pPr>
              <w:rPr>
                <w:lang w:val="fr-FR"/>
              </w:rPr>
            </w:pPr>
          </w:p>
        </w:tc>
        <w:tc>
          <w:tcPr>
            <w:tcW w:w="1620" w:type="dxa"/>
            <w:shd w:val="clear" w:color="auto" w:fill="EEECE1"/>
          </w:tcPr>
          <w:p w14:paraId="6486A4A8" w14:textId="77777777" w:rsidR="00B804F2" w:rsidRDefault="00B804F2" w:rsidP="00B804F2">
            <w:r>
              <w:t xml:space="preserve">1 cadre </w:t>
            </w:r>
            <w:proofErr w:type="spellStart"/>
            <w:r>
              <w:t>exist</w:t>
            </w:r>
            <w:r w:rsidR="00181656">
              <w:t>a</w:t>
            </w:r>
            <w:r>
              <w:t>nt</w:t>
            </w:r>
            <w:proofErr w:type="spellEnd"/>
          </w:p>
          <w:p w14:paraId="1C679C4C" w14:textId="77777777" w:rsidR="00B804F2" w:rsidRPr="005A6420" w:rsidRDefault="00B804F2" w:rsidP="00B804F2">
            <w:pPr>
              <w:rPr>
                <w:lang w:val="fr-FR"/>
              </w:rPr>
            </w:pPr>
          </w:p>
        </w:tc>
        <w:tc>
          <w:tcPr>
            <w:tcW w:w="2070" w:type="dxa"/>
          </w:tcPr>
          <w:p w14:paraId="4DE3CC3A" w14:textId="28FFA6FB" w:rsidR="00B804F2" w:rsidRPr="00EF7C35" w:rsidRDefault="00E13104" w:rsidP="00B804F2">
            <w:pPr>
              <w:rPr>
                <w:sz w:val="22"/>
                <w:szCs w:val="22"/>
                <w:lang w:val="fr-FR"/>
              </w:rPr>
            </w:pPr>
            <w:r w:rsidRPr="00E13104">
              <w:rPr>
                <w:sz w:val="22"/>
                <w:szCs w:val="22"/>
                <w:lang w:val="fr-FR" w:eastAsia="en-US"/>
              </w:rPr>
              <w:t xml:space="preserve">Existence du groupe thématique sur la « justice transitionnelle et les Droits Humains » de la politique sectorielle de la justice en juin 2020 et existence d’un arrêté portant sur Comité préparatoire des assises criminelles intégrant </w:t>
            </w:r>
            <w:r w:rsidR="008F684C" w:rsidRPr="00E13104">
              <w:rPr>
                <w:sz w:val="22"/>
                <w:szCs w:val="22"/>
                <w:lang w:val="fr-FR" w:eastAsia="en-US"/>
              </w:rPr>
              <w:t>représentants</w:t>
            </w:r>
            <w:r w:rsidRPr="00E13104">
              <w:rPr>
                <w:sz w:val="22"/>
                <w:szCs w:val="22"/>
                <w:lang w:val="fr-FR" w:eastAsia="en-US"/>
              </w:rPr>
              <w:t xml:space="preserve"> de la CPS (juin 2020) </w:t>
            </w:r>
            <w:r w:rsidR="00E77002" w:rsidRPr="00E13104">
              <w:rPr>
                <w:sz w:val="22"/>
                <w:szCs w:val="22"/>
                <w:lang w:val="fr-FR" w:eastAsia="en-US"/>
              </w:rPr>
              <w:t>(cf. indicateur 1.2)</w:t>
            </w:r>
          </w:p>
        </w:tc>
        <w:tc>
          <w:tcPr>
            <w:tcW w:w="2070" w:type="dxa"/>
          </w:tcPr>
          <w:p w14:paraId="371EA4E3" w14:textId="77777777" w:rsidR="00B804F2" w:rsidRPr="005A6420" w:rsidRDefault="00B804F2" w:rsidP="00B804F2">
            <w:pPr>
              <w:rPr>
                <w:lang w:val="fr-FR"/>
              </w:rPr>
            </w:pPr>
            <w:r>
              <w:rPr>
                <w:b/>
                <w:sz w:val="22"/>
                <w:szCs w:val="22"/>
                <w:lang w:val="fr-FR" w:eastAsia="en-US"/>
              </w:rPr>
              <w:t>0</w:t>
            </w:r>
          </w:p>
        </w:tc>
        <w:tc>
          <w:tcPr>
            <w:tcW w:w="4140" w:type="dxa"/>
          </w:tcPr>
          <w:p w14:paraId="2DA86DCF" w14:textId="77777777" w:rsidR="00B804F2" w:rsidRPr="00E13104" w:rsidRDefault="00B804F2" w:rsidP="00636E71">
            <w:pPr>
              <w:jc w:val="both"/>
              <w:rPr>
                <w:lang w:val="fr-FR"/>
              </w:rPr>
            </w:pPr>
            <w:r w:rsidRPr="00E13104">
              <w:rPr>
                <w:lang w:val="fr-FR"/>
              </w:rPr>
              <w:t>Le Comité de Pilotage de la CVJRR existe mais aucune réunion n'a été convoqué par le Ministère des Affaires Humanitaires depuis des mois.</w:t>
            </w:r>
          </w:p>
        </w:tc>
      </w:tr>
      <w:tr w:rsidR="00B804F2" w:rsidRPr="00DE1699" w14:paraId="62088B87" w14:textId="77777777" w:rsidTr="00F004BF">
        <w:trPr>
          <w:trHeight w:val="440"/>
        </w:trPr>
        <w:tc>
          <w:tcPr>
            <w:tcW w:w="1530" w:type="dxa"/>
          </w:tcPr>
          <w:p w14:paraId="012B10AE" w14:textId="77777777" w:rsidR="00B804F2" w:rsidRPr="005A6420" w:rsidRDefault="00B804F2" w:rsidP="00B804F2">
            <w:pPr>
              <w:rPr>
                <w:rFonts w:cs="Tahoma"/>
                <w:szCs w:val="20"/>
                <w:lang w:val="fr-FR" w:eastAsia="en-US"/>
              </w:rPr>
            </w:pPr>
            <w:r w:rsidRPr="005A6420">
              <w:rPr>
                <w:rFonts w:cs="Tahoma"/>
                <w:szCs w:val="20"/>
                <w:lang w:val="fr-FR" w:eastAsia="en-US"/>
              </w:rPr>
              <w:lastRenderedPageBreak/>
              <w:t>Produit 1.2</w:t>
            </w:r>
          </w:p>
          <w:p w14:paraId="6C2B9AF5" w14:textId="77777777" w:rsidR="00B804F2" w:rsidRPr="005A6420" w:rsidRDefault="00B804F2" w:rsidP="00B804F2">
            <w:pPr>
              <w:rPr>
                <w:rFonts w:cs="Tahoma"/>
                <w:szCs w:val="20"/>
                <w:lang w:val="fr-FR" w:eastAsia="en-US"/>
              </w:rPr>
            </w:pPr>
            <w:r w:rsidRPr="00D168BE">
              <w:rPr>
                <w:lang w:val="fr-FR" w:eastAsia="en-US"/>
              </w:rPr>
              <w:t>L</w:t>
            </w:r>
            <w:r w:rsidRPr="002602B4">
              <w:rPr>
                <w:lang w:val="fr-FR"/>
              </w:rPr>
              <w:t>'</w:t>
            </w:r>
            <w:r w:rsidRPr="00C0370C">
              <w:rPr>
                <w:lang w:val="fr-FR" w:eastAsia="en-US"/>
              </w:rPr>
              <w:t>Études de perception sur la paix, justice, vérité et sécurité produites à travers 3 sondages</w:t>
            </w:r>
          </w:p>
        </w:tc>
        <w:tc>
          <w:tcPr>
            <w:tcW w:w="2070" w:type="dxa"/>
            <w:shd w:val="clear" w:color="auto" w:fill="EEECE1"/>
          </w:tcPr>
          <w:p w14:paraId="5FE4883D"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1.2.1</w:t>
            </w:r>
          </w:p>
          <w:p w14:paraId="5D4B6C71" w14:textId="77777777" w:rsidR="00B804F2" w:rsidRPr="005A6420" w:rsidRDefault="00B804F2" w:rsidP="00B804F2">
            <w:pPr>
              <w:jc w:val="both"/>
              <w:rPr>
                <w:rFonts w:cs="Tahoma"/>
                <w:szCs w:val="20"/>
                <w:lang w:val="fr-FR" w:eastAsia="en-US"/>
              </w:rPr>
            </w:pPr>
            <w:r w:rsidRPr="00C0370C">
              <w:rPr>
                <w:lang w:val="fr-FR" w:eastAsia="en-US"/>
              </w:rPr>
              <w:t>Nombre de sondages mis en œuvre</w:t>
            </w:r>
          </w:p>
        </w:tc>
        <w:tc>
          <w:tcPr>
            <w:tcW w:w="1530" w:type="dxa"/>
            <w:shd w:val="clear" w:color="auto" w:fill="EEECE1"/>
          </w:tcPr>
          <w:p w14:paraId="318C148D" w14:textId="0AF95819" w:rsidR="00B804F2" w:rsidRPr="00EF53DE" w:rsidRDefault="00B804F2" w:rsidP="00B804F2">
            <w:pPr>
              <w:rPr>
                <w:lang w:val="fr-FR"/>
              </w:rPr>
            </w:pPr>
            <w:r w:rsidRPr="00EF53DE">
              <w:rPr>
                <w:sz w:val="22"/>
                <w:szCs w:val="22"/>
                <w:lang w:val="fr-FR" w:eastAsia="en-US"/>
              </w:rPr>
              <w:t>4</w:t>
            </w:r>
            <w:r w:rsidR="00875398">
              <w:rPr>
                <w:sz w:val="22"/>
                <w:szCs w:val="22"/>
                <w:lang w:val="fr-FR" w:eastAsia="en-US"/>
              </w:rPr>
              <w:t xml:space="preserve"> </w:t>
            </w:r>
          </w:p>
        </w:tc>
        <w:tc>
          <w:tcPr>
            <w:tcW w:w="1620" w:type="dxa"/>
            <w:shd w:val="clear" w:color="auto" w:fill="EEECE1"/>
          </w:tcPr>
          <w:p w14:paraId="65FD3578" w14:textId="77777777" w:rsidR="00B804F2" w:rsidRPr="00EF53DE" w:rsidRDefault="00B804F2" w:rsidP="00B804F2">
            <w:pPr>
              <w:rPr>
                <w:lang w:val="fr-FR"/>
              </w:rPr>
            </w:pPr>
            <w:r w:rsidRPr="00EF53DE">
              <w:rPr>
                <w:sz w:val="22"/>
                <w:szCs w:val="22"/>
                <w:lang w:val="fr-FR" w:eastAsia="en-US"/>
              </w:rPr>
              <w:t>7</w:t>
            </w:r>
          </w:p>
        </w:tc>
        <w:tc>
          <w:tcPr>
            <w:tcW w:w="2070" w:type="dxa"/>
          </w:tcPr>
          <w:p w14:paraId="3DF92B0A" w14:textId="77777777" w:rsidR="00B804F2" w:rsidRPr="00EF7C35" w:rsidRDefault="00181656" w:rsidP="00B804F2">
            <w:pPr>
              <w:rPr>
                <w:sz w:val="22"/>
                <w:szCs w:val="22"/>
                <w:lang w:val="fr-FR"/>
              </w:rPr>
            </w:pPr>
            <w:r w:rsidRPr="00E13104">
              <w:rPr>
                <w:sz w:val="22"/>
                <w:szCs w:val="22"/>
                <w:lang w:val="fr-FR" w:eastAsia="en-US"/>
              </w:rPr>
              <w:t>6</w:t>
            </w:r>
            <w:r w:rsidR="00EA1436" w:rsidRPr="00E13104">
              <w:rPr>
                <w:sz w:val="22"/>
                <w:szCs w:val="22"/>
                <w:lang w:val="fr-FR" w:eastAsia="en-US"/>
              </w:rPr>
              <w:t xml:space="preserve"> en décembre 2020</w:t>
            </w:r>
          </w:p>
        </w:tc>
        <w:tc>
          <w:tcPr>
            <w:tcW w:w="2070" w:type="dxa"/>
          </w:tcPr>
          <w:p w14:paraId="1AF4EE6F" w14:textId="7B18A083" w:rsidR="00B804F2" w:rsidRPr="005A6420" w:rsidRDefault="00181656" w:rsidP="00636E71">
            <w:pPr>
              <w:jc w:val="both"/>
              <w:rPr>
                <w:lang w:val="fr-FR"/>
              </w:rPr>
            </w:pPr>
            <w:r>
              <w:rPr>
                <w:lang w:val="fr-FR"/>
              </w:rPr>
              <w:t>5</w:t>
            </w:r>
            <w:r w:rsidR="00981BC3">
              <w:rPr>
                <w:lang w:val="fr-FR"/>
              </w:rPr>
              <w:t> : l</w:t>
            </w:r>
            <w:r w:rsidR="00B804F2">
              <w:rPr>
                <w:lang w:val="fr-FR"/>
              </w:rPr>
              <w:t xml:space="preserve">e premier sondage </w:t>
            </w:r>
            <w:r w:rsidR="008F684C">
              <w:rPr>
                <w:lang w:val="fr-FR"/>
              </w:rPr>
              <w:t>a été</w:t>
            </w:r>
            <w:r w:rsidR="00B804F2">
              <w:rPr>
                <w:lang w:val="fr-FR"/>
              </w:rPr>
              <w:t xml:space="preserve"> réalisé </w:t>
            </w:r>
            <w:r w:rsidR="00981BC3">
              <w:rPr>
                <w:lang w:val="fr-FR"/>
              </w:rPr>
              <w:t>en février</w:t>
            </w:r>
            <w:r w:rsidR="00B804F2">
              <w:rPr>
                <w:lang w:val="fr-FR"/>
              </w:rPr>
              <w:t xml:space="preserve"> </w:t>
            </w:r>
            <w:r w:rsidR="00B804F2" w:rsidRPr="00720A3E">
              <w:rPr>
                <w:lang w:val="fr-FR"/>
              </w:rPr>
              <w:t xml:space="preserve"> </w:t>
            </w:r>
          </w:p>
        </w:tc>
        <w:tc>
          <w:tcPr>
            <w:tcW w:w="4140" w:type="dxa"/>
          </w:tcPr>
          <w:p w14:paraId="416BDCF5" w14:textId="340C319B" w:rsidR="00B804F2" w:rsidRPr="00E13104" w:rsidRDefault="00981BC3" w:rsidP="00636E71">
            <w:pPr>
              <w:jc w:val="both"/>
              <w:rPr>
                <w:lang w:val="fr-FR"/>
              </w:rPr>
            </w:pPr>
            <w:r w:rsidRPr="00E13104">
              <w:rPr>
                <w:lang w:val="fr-FR"/>
              </w:rPr>
              <w:t xml:space="preserve">Le prochain sondage, prévu en </w:t>
            </w:r>
            <w:r w:rsidR="002B7668">
              <w:rPr>
                <w:lang w:val="fr-FR"/>
              </w:rPr>
              <w:t>novembre</w:t>
            </w:r>
            <w:r w:rsidRPr="00E13104">
              <w:rPr>
                <w:lang w:val="fr-FR"/>
              </w:rPr>
              <w:t xml:space="preserve"> 2020, commencera avec du retard, dépendant de la situation sanitaire (comme les enquêteurs doivent se rendre sur le terrain et les mouvements sont actuellement restreints).</w:t>
            </w:r>
          </w:p>
        </w:tc>
      </w:tr>
      <w:tr w:rsidR="00B804F2" w:rsidRPr="00DE1699" w14:paraId="7DE030EC" w14:textId="77777777" w:rsidTr="00F004BF">
        <w:trPr>
          <w:trHeight w:val="422"/>
        </w:trPr>
        <w:tc>
          <w:tcPr>
            <w:tcW w:w="1530" w:type="dxa"/>
            <w:vMerge w:val="restart"/>
          </w:tcPr>
          <w:p w14:paraId="7CDDA2CA" w14:textId="77777777" w:rsidR="00B804F2" w:rsidRPr="005A6420" w:rsidRDefault="00B804F2" w:rsidP="00B804F2">
            <w:pPr>
              <w:rPr>
                <w:rFonts w:cs="Tahoma"/>
                <w:szCs w:val="20"/>
                <w:lang w:val="fr-FR" w:eastAsia="en-US"/>
              </w:rPr>
            </w:pPr>
            <w:r w:rsidRPr="005A6420">
              <w:rPr>
                <w:rFonts w:cs="Tahoma"/>
                <w:szCs w:val="20"/>
                <w:lang w:val="fr-FR" w:eastAsia="en-US"/>
              </w:rPr>
              <w:t>Produit 1.3</w:t>
            </w:r>
          </w:p>
          <w:p w14:paraId="5DBB1D09" w14:textId="77777777" w:rsidR="00B804F2" w:rsidRPr="005A6420" w:rsidRDefault="00B804F2" w:rsidP="00B804F2">
            <w:pPr>
              <w:rPr>
                <w:rFonts w:cs="Tahoma"/>
                <w:szCs w:val="20"/>
                <w:lang w:val="fr-FR" w:eastAsia="en-US"/>
              </w:rPr>
            </w:pPr>
            <w:r w:rsidRPr="00C0370C">
              <w:rPr>
                <w:lang w:val="fr-FR" w:eastAsia="en-US"/>
              </w:rPr>
              <w:t>Les options et modalités d’offre de réparations et pour l’établissement d’un fonds fiduciaire pour les réparations sont proposées</w:t>
            </w:r>
          </w:p>
        </w:tc>
        <w:tc>
          <w:tcPr>
            <w:tcW w:w="2070" w:type="dxa"/>
            <w:shd w:val="clear" w:color="auto" w:fill="EEECE1"/>
          </w:tcPr>
          <w:p w14:paraId="6E55D3A2"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1.3.1</w:t>
            </w:r>
          </w:p>
          <w:p w14:paraId="6DA4E73C" w14:textId="77777777" w:rsidR="00B804F2" w:rsidRPr="005A6420" w:rsidRDefault="00B804F2" w:rsidP="00B804F2">
            <w:pPr>
              <w:jc w:val="both"/>
              <w:rPr>
                <w:rFonts w:cs="Tahoma"/>
                <w:szCs w:val="20"/>
                <w:lang w:val="fr-FR" w:eastAsia="en-US"/>
              </w:rPr>
            </w:pPr>
            <w:r w:rsidRPr="00C0370C">
              <w:rPr>
                <w:lang w:val="fr-FR" w:eastAsia="en-US"/>
              </w:rPr>
              <w:t>Une étude comparative sur les options de réparation des victimes est réalisée</w:t>
            </w:r>
          </w:p>
        </w:tc>
        <w:tc>
          <w:tcPr>
            <w:tcW w:w="1530" w:type="dxa"/>
            <w:shd w:val="clear" w:color="auto" w:fill="EEECE1"/>
          </w:tcPr>
          <w:p w14:paraId="6A47CC86" w14:textId="77777777" w:rsidR="00B804F2" w:rsidRPr="005A6420" w:rsidRDefault="00B804F2" w:rsidP="00B804F2">
            <w:pPr>
              <w:rPr>
                <w:lang w:val="fr-FR"/>
              </w:rPr>
            </w:pPr>
            <w:r w:rsidRPr="00C0370C">
              <w:rPr>
                <w:lang w:val="fr-FR" w:eastAsia="en-US"/>
              </w:rPr>
              <w:t>Base de données 2018 = 1 cartographie des victimes par zone disponible</w:t>
            </w:r>
          </w:p>
        </w:tc>
        <w:tc>
          <w:tcPr>
            <w:tcW w:w="1620" w:type="dxa"/>
            <w:shd w:val="clear" w:color="auto" w:fill="EEECE1"/>
          </w:tcPr>
          <w:p w14:paraId="5F7E27E4" w14:textId="77777777" w:rsidR="00B804F2" w:rsidRPr="005A6420" w:rsidRDefault="00B804F2" w:rsidP="00B804F2">
            <w:pPr>
              <w:rPr>
                <w:lang w:val="fr-FR"/>
              </w:rPr>
            </w:pPr>
            <w:r w:rsidRPr="00C0370C">
              <w:rPr>
                <w:lang w:val="fr-FR" w:eastAsia="en-US"/>
              </w:rPr>
              <w:t>Cible 2021 = 1 étude sur la réparation et options de mise en place et pilotage d’un fond de réparation des victimes</w:t>
            </w:r>
          </w:p>
        </w:tc>
        <w:tc>
          <w:tcPr>
            <w:tcW w:w="2070" w:type="dxa"/>
          </w:tcPr>
          <w:p w14:paraId="05CD2F4C" w14:textId="77777777" w:rsidR="00B804F2" w:rsidRPr="00EF7C35" w:rsidRDefault="00181656" w:rsidP="00B804F2">
            <w:pPr>
              <w:rPr>
                <w:sz w:val="22"/>
                <w:szCs w:val="22"/>
                <w:lang w:val="fr-FR"/>
              </w:rPr>
            </w:pPr>
            <w:r w:rsidRPr="00EF7C35">
              <w:rPr>
                <w:sz w:val="22"/>
                <w:szCs w:val="22"/>
                <w:lang w:val="fr-FR" w:eastAsia="en-US"/>
              </w:rPr>
              <w:t>1 étude réalisée en début 2021.</w:t>
            </w:r>
          </w:p>
        </w:tc>
        <w:tc>
          <w:tcPr>
            <w:tcW w:w="2070" w:type="dxa"/>
          </w:tcPr>
          <w:p w14:paraId="2B9C2571" w14:textId="4F621E34" w:rsidR="00B804F2" w:rsidRPr="00EF53DE" w:rsidRDefault="002B7668" w:rsidP="00636E71">
            <w:pPr>
              <w:jc w:val="both"/>
              <w:rPr>
                <w:lang w:val="fr-FR"/>
              </w:rPr>
            </w:pPr>
            <w:r>
              <w:rPr>
                <w:lang w:val="fr-FR"/>
              </w:rPr>
              <w:t>Une</w:t>
            </w:r>
            <w:r w:rsidR="00B804F2" w:rsidRPr="00473D3A">
              <w:rPr>
                <w:lang w:val="fr-FR"/>
              </w:rPr>
              <w:t xml:space="preserve"> consultant</w:t>
            </w:r>
            <w:r>
              <w:rPr>
                <w:lang w:val="fr-FR"/>
              </w:rPr>
              <w:t>e</w:t>
            </w:r>
            <w:r w:rsidR="00B804F2" w:rsidRPr="00473D3A">
              <w:rPr>
                <w:lang w:val="fr-FR"/>
              </w:rPr>
              <w:t xml:space="preserve"> international</w:t>
            </w:r>
            <w:r>
              <w:rPr>
                <w:lang w:val="fr-FR"/>
              </w:rPr>
              <w:t>e</w:t>
            </w:r>
            <w:r w:rsidR="00B804F2" w:rsidRPr="00473D3A">
              <w:rPr>
                <w:lang w:val="fr-FR"/>
              </w:rPr>
              <w:t xml:space="preserve"> et un</w:t>
            </w:r>
            <w:r>
              <w:rPr>
                <w:lang w:val="fr-FR"/>
              </w:rPr>
              <w:t xml:space="preserve"> consultant</w:t>
            </w:r>
            <w:r w:rsidR="00B804F2" w:rsidRPr="00473D3A">
              <w:rPr>
                <w:lang w:val="fr-FR"/>
              </w:rPr>
              <w:t xml:space="preserve"> </w:t>
            </w:r>
            <w:proofErr w:type="gramStart"/>
            <w:r w:rsidR="00B804F2" w:rsidRPr="00473D3A">
              <w:rPr>
                <w:lang w:val="fr-FR"/>
              </w:rPr>
              <w:t xml:space="preserve">national </w:t>
            </w:r>
            <w:r>
              <w:rPr>
                <w:lang w:val="fr-FR"/>
              </w:rPr>
              <w:t xml:space="preserve"> ont</w:t>
            </w:r>
            <w:proofErr w:type="gramEnd"/>
            <w:r>
              <w:rPr>
                <w:lang w:val="fr-FR"/>
              </w:rPr>
              <w:t xml:space="preserve"> été recruté et leurs activités commenceront durant à la fin de l’année 2020</w:t>
            </w:r>
            <w:r w:rsidR="00B804F2" w:rsidRPr="00473D3A">
              <w:rPr>
                <w:lang w:val="fr-FR"/>
              </w:rPr>
              <w:t>.</w:t>
            </w:r>
          </w:p>
        </w:tc>
        <w:tc>
          <w:tcPr>
            <w:tcW w:w="4140" w:type="dxa"/>
          </w:tcPr>
          <w:p w14:paraId="205527AF" w14:textId="77777777" w:rsidR="00B804F2" w:rsidRPr="00E13104" w:rsidRDefault="00981BC3" w:rsidP="00636E71">
            <w:pPr>
              <w:jc w:val="both"/>
              <w:rPr>
                <w:lang w:val="fr-FR"/>
              </w:rPr>
            </w:pPr>
            <w:r w:rsidRPr="00EF7C35">
              <w:rPr>
                <w:lang w:val="fr-FR"/>
              </w:rPr>
              <w:t>Difficulté de lancer études, consultations et recherches en temps de COVID.</w:t>
            </w:r>
          </w:p>
        </w:tc>
      </w:tr>
      <w:tr w:rsidR="00B804F2" w:rsidRPr="00DE1699" w14:paraId="414D52B5" w14:textId="77777777" w:rsidTr="00F004BF">
        <w:trPr>
          <w:trHeight w:val="422"/>
        </w:trPr>
        <w:tc>
          <w:tcPr>
            <w:tcW w:w="1530" w:type="dxa"/>
            <w:vMerge/>
          </w:tcPr>
          <w:p w14:paraId="1CC1D176" w14:textId="77777777" w:rsidR="00B804F2" w:rsidRPr="005A6420" w:rsidRDefault="00B804F2" w:rsidP="00B804F2">
            <w:pPr>
              <w:rPr>
                <w:rFonts w:cs="Tahoma"/>
                <w:b/>
                <w:szCs w:val="20"/>
                <w:lang w:val="fr-FR" w:eastAsia="en-US"/>
              </w:rPr>
            </w:pPr>
          </w:p>
        </w:tc>
        <w:tc>
          <w:tcPr>
            <w:tcW w:w="2070" w:type="dxa"/>
            <w:shd w:val="clear" w:color="auto" w:fill="EEECE1"/>
          </w:tcPr>
          <w:p w14:paraId="528D5BEE"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1.3.2</w:t>
            </w:r>
          </w:p>
          <w:p w14:paraId="140C9EEB" w14:textId="77777777" w:rsidR="00B804F2" w:rsidRPr="005A6420" w:rsidRDefault="00B804F2" w:rsidP="00B804F2">
            <w:pPr>
              <w:jc w:val="both"/>
              <w:rPr>
                <w:rFonts w:cs="Tahoma"/>
                <w:szCs w:val="20"/>
                <w:lang w:val="fr-FR" w:eastAsia="en-US"/>
              </w:rPr>
            </w:pPr>
            <w:r w:rsidRPr="002602B4">
              <w:rPr>
                <w:lang w:val="fr-FR"/>
              </w:rPr>
              <w:t>Une</w:t>
            </w:r>
            <w:r w:rsidRPr="00C0370C">
              <w:rPr>
                <w:lang w:val="fr-FR" w:eastAsia="en-US"/>
              </w:rPr>
              <w:t xml:space="preserve"> stratégie de mobilisation des ressources pour le Trust </w:t>
            </w:r>
            <w:proofErr w:type="spellStart"/>
            <w:r w:rsidRPr="00C0370C">
              <w:rPr>
                <w:lang w:val="fr-FR" w:eastAsia="en-US"/>
              </w:rPr>
              <w:t>Fund</w:t>
            </w:r>
            <w:proofErr w:type="spellEnd"/>
            <w:r w:rsidRPr="00C0370C">
              <w:rPr>
                <w:lang w:val="fr-FR" w:eastAsia="en-US"/>
              </w:rPr>
              <w:t xml:space="preserve"> disponible et validée par le </w:t>
            </w:r>
            <w:proofErr w:type="spellStart"/>
            <w:r w:rsidRPr="00C0370C">
              <w:rPr>
                <w:lang w:val="fr-FR" w:eastAsia="en-US"/>
              </w:rPr>
              <w:t>GoCAR</w:t>
            </w:r>
            <w:proofErr w:type="spellEnd"/>
          </w:p>
        </w:tc>
        <w:tc>
          <w:tcPr>
            <w:tcW w:w="1530" w:type="dxa"/>
            <w:shd w:val="clear" w:color="auto" w:fill="EEECE1"/>
          </w:tcPr>
          <w:p w14:paraId="43394E99" w14:textId="1AB56BFC" w:rsidR="00B804F2" w:rsidRPr="00EF53DE" w:rsidRDefault="00875398" w:rsidP="00B804F2">
            <w:pPr>
              <w:rPr>
                <w:lang w:val="fr-FR"/>
              </w:rPr>
            </w:pPr>
            <w:r>
              <w:rPr>
                <w:sz w:val="22"/>
                <w:szCs w:val="22"/>
                <w:lang w:val="fr-FR" w:eastAsia="en-US"/>
              </w:rPr>
              <w:t>Non</w:t>
            </w:r>
          </w:p>
        </w:tc>
        <w:tc>
          <w:tcPr>
            <w:tcW w:w="1620" w:type="dxa"/>
            <w:shd w:val="clear" w:color="auto" w:fill="EEECE1"/>
          </w:tcPr>
          <w:p w14:paraId="08892A63" w14:textId="3CFC5F2A" w:rsidR="00B804F2" w:rsidRPr="00EF53DE" w:rsidRDefault="00875398" w:rsidP="00B804F2">
            <w:pPr>
              <w:rPr>
                <w:lang w:val="fr-FR"/>
              </w:rPr>
            </w:pPr>
            <w:r>
              <w:rPr>
                <w:sz w:val="22"/>
                <w:szCs w:val="22"/>
                <w:lang w:val="fr-FR" w:eastAsia="en-US"/>
              </w:rPr>
              <w:t>Oui</w:t>
            </w:r>
          </w:p>
        </w:tc>
        <w:tc>
          <w:tcPr>
            <w:tcW w:w="2070" w:type="dxa"/>
          </w:tcPr>
          <w:p w14:paraId="112BD389" w14:textId="77777777" w:rsidR="00B804F2" w:rsidRPr="00EF7C35" w:rsidRDefault="00E77002" w:rsidP="00B804F2">
            <w:pPr>
              <w:rPr>
                <w:sz w:val="22"/>
                <w:szCs w:val="22"/>
                <w:lang w:val="fr-FR"/>
              </w:rPr>
            </w:pPr>
            <w:r w:rsidRPr="00E13104">
              <w:rPr>
                <w:sz w:val="22"/>
                <w:szCs w:val="22"/>
                <w:lang w:val="fr-FR" w:eastAsia="en-US"/>
              </w:rPr>
              <w:t xml:space="preserve">Existence d’un draft de stratégie basée sur l’étude réparations (indicateur 1.3.1) </w:t>
            </w:r>
            <w:proofErr w:type="gramStart"/>
            <w:r w:rsidRPr="00E13104">
              <w:rPr>
                <w:sz w:val="22"/>
                <w:szCs w:val="22"/>
                <w:lang w:val="fr-FR" w:eastAsia="en-US"/>
              </w:rPr>
              <w:t>suite à</w:t>
            </w:r>
            <w:proofErr w:type="gramEnd"/>
            <w:r w:rsidRPr="00E13104">
              <w:rPr>
                <w:sz w:val="22"/>
                <w:szCs w:val="22"/>
                <w:lang w:val="fr-FR" w:eastAsia="en-US"/>
              </w:rPr>
              <w:t xml:space="preserve"> la finalisation de cette étude en février 2021</w:t>
            </w:r>
          </w:p>
        </w:tc>
        <w:tc>
          <w:tcPr>
            <w:tcW w:w="2070" w:type="dxa"/>
          </w:tcPr>
          <w:p w14:paraId="595EF1C1" w14:textId="6B9FD274" w:rsidR="00B804F2" w:rsidRPr="005A6420" w:rsidRDefault="00B81B7D" w:rsidP="00B804F2">
            <w:pPr>
              <w:rPr>
                <w:lang w:val="fr-FR"/>
              </w:rPr>
            </w:pPr>
            <w:r>
              <w:rPr>
                <w:b/>
                <w:sz w:val="22"/>
                <w:szCs w:val="22"/>
                <w:lang w:val="fr-FR" w:eastAsia="en-US"/>
              </w:rPr>
              <w:t>Non</w:t>
            </w:r>
          </w:p>
        </w:tc>
        <w:tc>
          <w:tcPr>
            <w:tcW w:w="4140" w:type="dxa"/>
          </w:tcPr>
          <w:p w14:paraId="2A6D61CA" w14:textId="007396B8" w:rsidR="00B804F2" w:rsidRPr="00E13104" w:rsidRDefault="00981BC3" w:rsidP="00636E71">
            <w:pPr>
              <w:jc w:val="both"/>
              <w:rPr>
                <w:lang w:val="fr-FR"/>
              </w:rPr>
            </w:pPr>
            <w:r w:rsidRPr="00E13104">
              <w:rPr>
                <w:lang w:val="fr-FR"/>
              </w:rPr>
              <w:t>Et</w:t>
            </w:r>
            <w:r w:rsidR="00474A16" w:rsidRPr="00E13104">
              <w:rPr>
                <w:lang w:val="fr-FR"/>
              </w:rPr>
              <w:t xml:space="preserve">ape </w:t>
            </w:r>
            <w:proofErr w:type="gramStart"/>
            <w:r w:rsidR="00474A16" w:rsidRPr="00E13104">
              <w:rPr>
                <w:lang w:val="fr-FR"/>
              </w:rPr>
              <w:t>suite à</w:t>
            </w:r>
            <w:proofErr w:type="gramEnd"/>
            <w:r w:rsidR="00474A16" w:rsidRPr="00E13104">
              <w:rPr>
                <w:lang w:val="fr-FR"/>
              </w:rPr>
              <w:t xml:space="preserve"> et basée sur</w:t>
            </w:r>
            <w:r w:rsidRPr="00E13104">
              <w:rPr>
                <w:lang w:val="fr-FR"/>
              </w:rPr>
              <w:t xml:space="preserve"> étude réparations</w:t>
            </w:r>
            <w:r w:rsidR="0073550D">
              <w:rPr>
                <w:lang w:val="fr-FR"/>
              </w:rPr>
              <w:t xml:space="preserve"> qui commencera en novembre 2020</w:t>
            </w:r>
            <w:r w:rsidRPr="00E13104">
              <w:rPr>
                <w:lang w:val="fr-FR"/>
              </w:rPr>
              <w:t>.</w:t>
            </w:r>
          </w:p>
        </w:tc>
      </w:tr>
      <w:tr w:rsidR="00B804F2" w:rsidRPr="00DE1699" w14:paraId="2E928380" w14:textId="77777777" w:rsidTr="00F004BF">
        <w:trPr>
          <w:trHeight w:val="422"/>
        </w:trPr>
        <w:tc>
          <w:tcPr>
            <w:tcW w:w="1530" w:type="dxa"/>
            <w:vMerge w:val="restart"/>
          </w:tcPr>
          <w:p w14:paraId="4E6AB8CD" w14:textId="77777777" w:rsidR="00B804F2" w:rsidRPr="005A6420" w:rsidRDefault="00B804F2" w:rsidP="00B804F2">
            <w:pPr>
              <w:rPr>
                <w:rFonts w:cs="Tahoma"/>
                <w:b/>
                <w:szCs w:val="20"/>
                <w:lang w:val="fr-FR" w:eastAsia="en-US"/>
              </w:rPr>
            </w:pPr>
            <w:r w:rsidRPr="005A6420">
              <w:rPr>
                <w:rFonts w:cs="Tahoma"/>
                <w:b/>
                <w:szCs w:val="20"/>
                <w:lang w:val="fr-FR" w:eastAsia="en-US"/>
              </w:rPr>
              <w:lastRenderedPageBreak/>
              <w:t>Résultat 2</w:t>
            </w:r>
          </w:p>
          <w:p w14:paraId="6F408283" w14:textId="77777777" w:rsidR="00B804F2" w:rsidRPr="005A6420" w:rsidRDefault="00B804F2" w:rsidP="00B804F2">
            <w:pPr>
              <w:rPr>
                <w:rFonts w:cs="Tahoma"/>
                <w:b/>
                <w:szCs w:val="20"/>
                <w:lang w:val="fr-FR" w:eastAsia="en-US"/>
              </w:rPr>
            </w:pPr>
            <w:r w:rsidRPr="00C0370C">
              <w:rPr>
                <w:lang w:val="fr-FR" w:eastAsia="en-US"/>
              </w:rPr>
              <w:t>A travers une société civile bénéficiant d’une capacite technique et opérationnelle accrue, les victimes et témoins ont un meilleur accès à la justice, incluant l’aide légale et la protection</w:t>
            </w:r>
          </w:p>
          <w:p w14:paraId="18DBC6F7" w14:textId="77777777" w:rsidR="00B804F2" w:rsidRPr="005A6420" w:rsidRDefault="00B804F2" w:rsidP="00B804F2">
            <w:pPr>
              <w:rPr>
                <w:rFonts w:cs="Tahoma"/>
                <w:b/>
                <w:szCs w:val="20"/>
                <w:lang w:val="fr-FR" w:eastAsia="en-US"/>
              </w:rPr>
            </w:pPr>
          </w:p>
        </w:tc>
        <w:tc>
          <w:tcPr>
            <w:tcW w:w="2070" w:type="dxa"/>
            <w:shd w:val="clear" w:color="auto" w:fill="EEECE1"/>
          </w:tcPr>
          <w:p w14:paraId="426CB072"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2.1</w:t>
            </w:r>
          </w:p>
          <w:p w14:paraId="5EB9E086" w14:textId="77777777" w:rsidR="00B804F2" w:rsidRPr="005A6420" w:rsidRDefault="00B804F2" w:rsidP="00B804F2">
            <w:pPr>
              <w:jc w:val="both"/>
              <w:rPr>
                <w:rFonts w:cs="Tahoma"/>
                <w:szCs w:val="20"/>
                <w:lang w:val="fr-FR" w:eastAsia="en-US"/>
              </w:rPr>
            </w:pPr>
            <w:r w:rsidRPr="001F3D07">
              <w:rPr>
                <w:lang w:val="fr-FR" w:eastAsia="en-US"/>
              </w:rPr>
              <w:t>Nombre de personnes ayant eu accès à l’aide légale et informés sur leur accès à la justice</w:t>
            </w:r>
          </w:p>
        </w:tc>
        <w:tc>
          <w:tcPr>
            <w:tcW w:w="1530" w:type="dxa"/>
            <w:shd w:val="clear" w:color="auto" w:fill="EEECE1"/>
          </w:tcPr>
          <w:p w14:paraId="1BE77017" w14:textId="77777777" w:rsidR="00B804F2" w:rsidRPr="005A6420" w:rsidRDefault="00B804F2" w:rsidP="00B804F2">
            <w:pPr>
              <w:rPr>
                <w:lang w:val="fr-FR"/>
              </w:rPr>
            </w:pPr>
            <w:r w:rsidRPr="001F3D07">
              <w:rPr>
                <w:lang w:val="fr-FR" w:eastAsia="en-US"/>
              </w:rPr>
              <w:t>17309 (4296 H / 13013 F)</w:t>
            </w:r>
          </w:p>
        </w:tc>
        <w:tc>
          <w:tcPr>
            <w:tcW w:w="1620" w:type="dxa"/>
            <w:shd w:val="clear" w:color="auto" w:fill="EEECE1"/>
          </w:tcPr>
          <w:p w14:paraId="2CDDB351" w14:textId="77777777" w:rsidR="00181656" w:rsidRPr="005A6420" w:rsidRDefault="00181656" w:rsidP="00B804F2">
            <w:pPr>
              <w:rPr>
                <w:lang w:val="fr-FR"/>
              </w:rPr>
            </w:pPr>
            <w:r>
              <w:rPr>
                <w:lang w:val="fr-FR" w:eastAsia="en-US"/>
              </w:rPr>
              <w:t>27 000 (7000 H / 20 000 F)</w:t>
            </w:r>
            <w:r w:rsidR="0006600E">
              <w:rPr>
                <w:rStyle w:val="FootnoteReference"/>
                <w:lang w:val="fr-FR" w:eastAsia="en-US"/>
              </w:rPr>
              <w:footnoteReference w:id="7"/>
            </w:r>
          </w:p>
        </w:tc>
        <w:tc>
          <w:tcPr>
            <w:tcW w:w="2070" w:type="dxa"/>
          </w:tcPr>
          <w:p w14:paraId="50350709" w14:textId="77777777" w:rsidR="00B804F2" w:rsidRPr="00EF7C35" w:rsidRDefault="00181656" w:rsidP="00B804F2">
            <w:pPr>
              <w:rPr>
                <w:sz w:val="22"/>
                <w:szCs w:val="22"/>
                <w:lang w:val="fr-FR"/>
              </w:rPr>
            </w:pPr>
            <w:r w:rsidRPr="00EF7C35">
              <w:rPr>
                <w:sz w:val="22"/>
                <w:szCs w:val="22"/>
                <w:lang w:val="fr-FR" w:eastAsia="en-US"/>
              </w:rPr>
              <w:t>23 000 (6000 H / 17 000 F) au début de 2021</w:t>
            </w:r>
          </w:p>
        </w:tc>
        <w:tc>
          <w:tcPr>
            <w:tcW w:w="2070" w:type="dxa"/>
          </w:tcPr>
          <w:p w14:paraId="1D5BD198" w14:textId="77777777" w:rsidR="00B804F2" w:rsidRDefault="00B804F2" w:rsidP="00B804F2">
            <w:pPr>
              <w:rPr>
                <w:b/>
                <w:sz w:val="22"/>
                <w:szCs w:val="22"/>
                <w:lang w:val="fr-FR" w:eastAsia="en-US"/>
              </w:rPr>
            </w:pPr>
          </w:p>
          <w:p w14:paraId="66846838" w14:textId="6D59969C" w:rsidR="00B804F2" w:rsidRDefault="00875398" w:rsidP="00B804F2">
            <w:pPr>
              <w:rPr>
                <w:lang w:val="fr-FR"/>
              </w:rPr>
            </w:pPr>
            <w:r>
              <w:rPr>
                <w:lang w:val="fr-FR"/>
              </w:rPr>
              <w:t xml:space="preserve"> Non disponible</w:t>
            </w:r>
          </w:p>
          <w:p w14:paraId="009F086F" w14:textId="77777777" w:rsidR="00B804F2" w:rsidRPr="005A6420" w:rsidRDefault="00B804F2" w:rsidP="00B804F2">
            <w:pPr>
              <w:rPr>
                <w:lang w:val="fr-FR"/>
              </w:rPr>
            </w:pPr>
          </w:p>
        </w:tc>
        <w:tc>
          <w:tcPr>
            <w:tcW w:w="4140" w:type="dxa"/>
          </w:tcPr>
          <w:p w14:paraId="701346DD" w14:textId="77777777" w:rsidR="00B804F2" w:rsidRPr="00E13104" w:rsidRDefault="00B804F2" w:rsidP="00636E71">
            <w:pPr>
              <w:jc w:val="both"/>
              <w:rPr>
                <w:lang w:val="fr-FR"/>
              </w:rPr>
            </w:pPr>
            <w:r w:rsidRPr="00EF7C35">
              <w:rPr>
                <w:lang w:val="fr-FR" w:eastAsia="en-US"/>
              </w:rPr>
              <w:t xml:space="preserve">Les cliniques juridiques ayant commencé leurs activités sur le terrain durant le mois d’avril 2020, les chiffres sont en cours de vérification (et des missions de S&amp;E seront organisées dès que le contexte COVID19 le permettra). </w:t>
            </w:r>
          </w:p>
        </w:tc>
      </w:tr>
      <w:tr w:rsidR="00B804F2" w:rsidRPr="00DE1699" w14:paraId="1C6D6F7A" w14:textId="77777777" w:rsidTr="00F004BF">
        <w:trPr>
          <w:trHeight w:val="422"/>
        </w:trPr>
        <w:tc>
          <w:tcPr>
            <w:tcW w:w="1530" w:type="dxa"/>
            <w:vMerge/>
          </w:tcPr>
          <w:p w14:paraId="45CB8437" w14:textId="77777777" w:rsidR="00B804F2" w:rsidRPr="005A6420" w:rsidRDefault="00B804F2" w:rsidP="00B804F2">
            <w:pPr>
              <w:rPr>
                <w:rFonts w:cs="Tahoma"/>
                <w:szCs w:val="20"/>
                <w:lang w:val="fr-FR" w:eastAsia="en-US"/>
              </w:rPr>
            </w:pPr>
          </w:p>
        </w:tc>
        <w:tc>
          <w:tcPr>
            <w:tcW w:w="2070" w:type="dxa"/>
            <w:shd w:val="clear" w:color="auto" w:fill="EEECE1"/>
          </w:tcPr>
          <w:p w14:paraId="2B9C0D18"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2.2</w:t>
            </w:r>
          </w:p>
          <w:p w14:paraId="1CAF26C4" w14:textId="77777777" w:rsidR="00B804F2" w:rsidRPr="005A6420" w:rsidRDefault="00B804F2" w:rsidP="00B804F2">
            <w:pPr>
              <w:jc w:val="both"/>
              <w:rPr>
                <w:rFonts w:cs="Tahoma"/>
                <w:szCs w:val="20"/>
                <w:lang w:val="fr-FR" w:eastAsia="en-US"/>
              </w:rPr>
            </w:pPr>
            <w:r w:rsidRPr="001F3D07">
              <w:rPr>
                <w:lang w:val="fr-FR" w:eastAsia="en-US"/>
              </w:rPr>
              <w:t>Nombre de victimes et témoins ayant eu accès à la protection</w:t>
            </w:r>
          </w:p>
        </w:tc>
        <w:tc>
          <w:tcPr>
            <w:tcW w:w="1530" w:type="dxa"/>
            <w:shd w:val="clear" w:color="auto" w:fill="EEECE1"/>
          </w:tcPr>
          <w:p w14:paraId="066EE6E7" w14:textId="77777777" w:rsidR="00B804F2" w:rsidRPr="005A6420" w:rsidRDefault="00B804F2" w:rsidP="00B804F2">
            <w:pPr>
              <w:rPr>
                <w:lang w:val="fr-FR"/>
              </w:rPr>
            </w:pPr>
            <w:r>
              <w:t>A determiner</w:t>
            </w:r>
          </w:p>
        </w:tc>
        <w:tc>
          <w:tcPr>
            <w:tcW w:w="1620" w:type="dxa"/>
            <w:shd w:val="clear" w:color="auto" w:fill="EEECE1"/>
          </w:tcPr>
          <w:p w14:paraId="679CDA26" w14:textId="77777777" w:rsidR="00B804F2" w:rsidRPr="005A6420" w:rsidRDefault="00B804F2" w:rsidP="00B804F2">
            <w:pPr>
              <w:rPr>
                <w:lang w:val="fr-FR"/>
              </w:rPr>
            </w:pPr>
            <w:r w:rsidRPr="00685700">
              <w:rPr>
                <w:sz w:val="22"/>
                <w:szCs w:val="22"/>
                <w:lang w:val="fr-FR" w:eastAsia="en-US"/>
              </w:rPr>
              <w:t>B</w:t>
            </w:r>
            <w:r w:rsidRPr="00685700">
              <w:rPr>
                <w:lang w:val="fr-FR" w:eastAsia="en-US"/>
              </w:rPr>
              <w:t>e</w:t>
            </w:r>
            <w:r w:rsidRPr="001F3D07">
              <w:rPr>
                <w:lang w:val="fr-FR" w:eastAsia="en-US"/>
              </w:rPr>
              <w:t>soins à identifier lors de la 1ère phase du projet</w:t>
            </w:r>
          </w:p>
        </w:tc>
        <w:tc>
          <w:tcPr>
            <w:tcW w:w="2070" w:type="dxa"/>
          </w:tcPr>
          <w:p w14:paraId="0769C06B" w14:textId="0345DE2F" w:rsidR="00B804F2" w:rsidRPr="00FA2811" w:rsidRDefault="00FA2811" w:rsidP="00B804F2">
            <w:pPr>
              <w:rPr>
                <w:sz w:val="22"/>
                <w:szCs w:val="22"/>
                <w:lang w:val="fr-FR"/>
              </w:rPr>
            </w:pPr>
            <w:r w:rsidRPr="00FA2811">
              <w:rPr>
                <w:sz w:val="22"/>
                <w:szCs w:val="22"/>
                <w:lang w:val="fr-FR" w:eastAsia="en-US"/>
              </w:rPr>
              <w:t xml:space="preserve">A </w:t>
            </w:r>
            <w:r w:rsidR="008F684C" w:rsidRPr="00FA2811">
              <w:rPr>
                <w:sz w:val="22"/>
                <w:szCs w:val="22"/>
                <w:lang w:val="fr-FR" w:eastAsia="en-US"/>
              </w:rPr>
              <w:t>déterm</w:t>
            </w:r>
            <w:r w:rsidR="008F684C">
              <w:rPr>
                <w:sz w:val="22"/>
                <w:szCs w:val="22"/>
                <w:lang w:val="fr-FR" w:eastAsia="en-US"/>
              </w:rPr>
              <w:t>in</w:t>
            </w:r>
            <w:r w:rsidR="008F684C" w:rsidRPr="00FA2811">
              <w:rPr>
                <w:sz w:val="22"/>
                <w:szCs w:val="22"/>
                <w:lang w:val="fr-FR" w:eastAsia="en-US"/>
              </w:rPr>
              <w:t>er</w:t>
            </w:r>
          </w:p>
        </w:tc>
        <w:tc>
          <w:tcPr>
            <w:tcW w:w="2070" w:type="dxa"/>
          </w:tcPr>
          <w:p w14:paraId="7F078FD3" w14:textId="20F3E339" w:rsidR="00B804F2" w:rsidRPr="00FA2811" w:rsidRDefault="00875398" w:rsidP="00B804F2">
            <w:pPr>
              <w:rPr>
                <w:lang w:val="fr-FR"/>
              </w:rPr>
            </w:pPr>
            <w:r>
              <w:rPr>
                <w:sz w:val="22"/>
                <w:szCs w:val="22"/>
                <w:lang w:val="fr-FR" w:eastAsia="en-US"/>
              </w:rPr>
              <w:t xml:space="preserve"> </w:t>
            </w:r>
            <w:r>
              <w:rPr>
                <w:lang w:val="fr-FR"/>
              </w:rPr>
              <w:t>Non disponible</w:t>
            </w:r>
          </w:p>
        </w:tc>
        <w:tc>
          <w:tcPr>
            <w:tcW w:w="4140" w:type="dxa"/>
          </w:tcPr>
          <w:p w14:paraId="60259261" w14:textId="269E714A" w:rsidR="00B804F2" w:rsidRPr="00E13104" w:rsidRDefault="0006600E" w:rsidP="00636E71">
            <w:pPr>
              <w:jc w:val="both"/>
              <w:rPr>
                <w:lang w:val="fr-FR"/>
              </w:rPr>
            </w:pPr>
            <w:r w:rsidRPr="00EF7C35">
              <w:rPr>
                <w:lang w:val="fr-FR" w:eastAsia="en-US"/>
              </w:rPr>
              <w:t xml:space="preserve">Discussions </w:t>
            </w:r>
            <w:r w:rsidR="00914B87">
              <w:rPr>
                <w:lang w:val="fr-FR" w:eastAsia="en-US"/>
              </w:rPr>
              <w:t xml:space="preserve">en cours </w:t>
            </w:r>
            <w:r w:rsidRPr="00EF7C35">
              <w:rPr>
                <w:lang w:val="fr-FR" w:eastAsia="en-US"/>
              </w:rPr>
              <w:t>avec unité protection de témoins et victimes de la CPS ainsi que partenaires de la société civile</w:t>
            </w:r>
            <w:r w:rsidR="00914B87">
              <w:rPr>
                <w:lang w:val="fr-FR" w:eastAsia="en-US"/>
              </w:rPr>
              <w:t xml:space="preserve">. Le retard est </w:t>
            </w:r>
            <w:proofErr w:type="spellStart"/>
            <w:r w:rsidR="00914B87">
              <w:rPr>
                <w:lang w:val="fr-FR" w:eastAsia="en-US"/>
              </w:rPr>
              <w:t>du</w:t>
            </w:r>
            <w:proofErr w:type="spellEnd"/>
            <w:r w:rsidR="00914B87">
              <w:rPr>
                <w:lang w:val="fr-FR" w:eastAsia="en-US"/>
              </w:rPr>
              <w:t xml:space="preserve"> au</w:t>
            </w:r>
            <w:r w:rsidRPr="00EF7C35">
              <w:rPr>
                <w:lang w:val="fr-FR" w:eastAsia="en-US"/>
              </w:rPr>
              <w:t xml:space="preserve"> contexte sanitaire</w:t>
            </w:r>
            <w:r w:rsidR="00914B87">
              <w:rPr>
                <w:lang w:val="fr-FR" w:eastAsia="en-US"/>
              </w:rPr>
              <w:t xml:space="preserve">, mais un atelier sur la traçabilité </w:t>
            </w:r>
            <w:proofErr w:type="spellStart"/>
            <w:r w:rsidR="00914B87">
              <w:rPr>
                <w:lang w:val="fr-FR" w:eastAsia="en-US"/>
              </w:rPr>
              <w:t>judiciare</w:t>
            </w:r>
            <w:proofErr w:type="spellEnd"/>
            <w:r w:rsidR="00914B87">
              <w:rPr>
                <w:lang w:val="fr-FR" w:eastAsia="en-US"/>
              </w:rPr>
              <w:t xml:space="preserve"> est prévu qui permettra d’identifier les gaps, points d’actions </w:t>
            </w:r>
            <w:proofErr w:type="spellStart"/>
            <w:r w:rsidR="00914B87">
              <w:rPr>
                <w:lang w:val="fr-FR" w:eastAsia="en-US"/>
              </w:rPr>
              <w:t>concrèts</w:t>
            </w:r>
            <w:proofErr w:type="spellEnd"/>
            <w:r w:rsidR="00914B87">
              <w:rPr>
                <w:lang w:val="fr-FR" w:eastAsia="en-US"/>
              </w:rPr>
              <w:t xml:space="preserve"> et formalisera cette collaboration</w:t>
            </w:r>
          </w:p>
        </w:tc>
      </w:tr>
      <w:tr w:rsidR="00B804F2" w:rsidRPr="00DE1699" w14:paraId="41A319BE" w14:textId="77777777" w:rsidTr="00F004BF">
        <w:trPr>
          <w:trHeight w:val="422"/>
        </w:trPr>
        <w:tc>
          <w:tcPr>
            <w:tcW w:w="1530" w:type="dxa"/>
            <w:vMerge w:val="restart"/>
          </w:tcPr>
          <w:p w14:paraId="2D5A65CD" w14:textId="77777777" w:rsidR="00B804F2" w:rsidRPr="005A6420" w:rsidRDefault="00B804F2" w:rsidP="00B804F2">
            <w:pPr>
              <w:rPr>
                <w:rFonts w:cs="Tahoma"/>
                <w:szCs w:val="20"/>
                <w:lang w:val="fr-FR" w:eastAsia="en-US"/>
              </w:rPr>
            </w:pPr>
            <w:r w:rsidRPr="005A6420">
              <w:rPr>
                <w:rFonts w:cs="Tahoma"/>
                <w:szCs w:val="20"/>
                <w:lang w:val="fr-FR" w:eastAsia="en-US"/>
              </w:rPr>
              <w:t>Produit 2.1</w:t>
            </w:r>
          </w:p>
          <w:p w14:paraId="00003215" w14:textId="77777777" w:rsidR="00B804F2" w:rsidRPr="005A6420" w:rsidRDefault="00B804F2" w:rsidP="00B804F2">
            <w:pPr>
              <w:rPr>
                <w:rFonts w:cs="Tahoma"/>
                <w:b/>
                <w:szCs w:val="20"/>
                <w:lang w:val="fr-FR" w:eastAsia="en-US"/>
              </w:rPr>
            </w:pPr>
            <w:r w:rsidRPr="00C0370C">
              <w:rPr>
                <w:lang w:val="fr-FR" w:eastAsia="en-US"/>
              </w:rPr>
              <w:t xml:space="preserve">Au moins 10 000 </w:t>
            </w:r>
            <w:r w:rsidRPr="00C0370C">
              <w:rPr>
                <w:lang w:val="fr-FR" w:eastAsia="en-US"/>
              </w:rPr>
              <w:lastRenderedPageBreak/>
              <w:t xml:space="preserve">centrafricains (avec au moins 50% femmes) dans au moins 7 localités ont bénéficié de services d’aide légale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p>
        </w:tc>
        <w:tc>
          <w:tcPr>
            <w:tcW w:w="2070" w:type="dxa"/>
            <w:shd w:val="clear" w:color="auto" w:fill="EEECE1"/>
          </w:tcPr>
          <w:p w14:paraId="228E037B"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2.1.1</w:t>
            </w:r>
          </w:p>
          <w:p w14:paraId="3D2853D6" w14:textId="77777777" w:rsidR="00B804F2" w:rsidRPr="005A6420" w:rsidRDefault="00B804F2" w:rsidP="00B804F2">
            <w:pPr>
              <w:jc w:val="both"/>
              <w:rPr>
                <w:rFonts w:cs="Tahoma"/>
                <w:szCs w:val="20"/>
                <w:lang w:val="fr-FR" w:eastAsia="en-US"/>
              </w:rPr>
            </w:pPr>
            <w:r w:rsidRPr="00905A33">
              <w:rPr>
                <w:lang w:val="fr-FR" w:eastAsia="en-US"/>
              </w:rPr>
              <w:t xml:space="preserve">Nombre de cliniques d’aides </w:t>
            </w:r>
            <w:r w:rsidRPr="00905A33">
              <w:rPr>
                <w:lang w:val="fr-FR" w:eastAsia="en-US"/>
              </w:rPr>
              <w:lastRenderedPageBreak/>
              <w:t>légale opérationnelles     </w:t>
            </w:r>
          </w:p>
        </w:tc>
        <w:tc>
          <w:tcPr>
            <w:tcW w:w="1530" w:type="dxa"/>
            <w:shd w:val="clear" w:color="auto" w:fill="EEECE1"/>
          </w:tcPr>
          <w:p w14:paraId="4F250B50" w14:textId="77777777" w:rsidR="00B804F2" w:rsidRPr="005A6420" w:rsidRDefault="00B804F2" w:rsidP="00B804F2">
            <w:pPr>
              <w:rPr>
                <w:lang w:val="fr-FR"/>
              </w:rPr>
            </w:pPr>
            <w:r>
              <w:rPr>
                <w:b/>
                <w:sz w:val="22"/>
                <w:szCs w:val="22"/>
                <w:lang w:val="fr-FR" w:eastAsia="en-US"/>
              </w:rPr>
              <w:lastRenderedPageBreak/>
              <w:t>3</w:t>
            </w:r>
          </w:p>
        </w:tc>
        <w:tc>
          <w:tcPr>
            <w:tcW w:w="1620" w:type="dxa"/>
            <w:shd w:val="clear" w:color="auto" w:fill="EEECE1"/>
          </w:tcPr>
          <w:p w14:paraId="5B2FDC58" w14:textId="77777777" w:rsidR="00B804F2" w:rsidRPr="005A6420" w:rsidRDefault="00B804F2" w:rsidP="00B804F2">
            <w:pPr>
              <w:rPr>
                <w:lang w:val="fr-FR"/>
              </w:rPr>
            </w:pPr>
            <w:r>
              <w:rPr>
                <w:b/>
                <w:sz w:val="22"/>
                <w:szCs w:val="22"/>
                <w:lang w:val="fr-FR" w:eastAsia="en-US"/>
              </w:rPr>
              <w:t>8</w:t>
            </w:r>
          </w:p>
        </w:tc>
        <w:tc>
          <w:tcPr>
            <w:tcW w:w="2070" w:type="dxa"/>
          </w:tcPr>
          <w:p w14:paraId="56250577" w14:textId="77777777" w:rsidR="00B804F2" w:rsidRPr="00E13104" w:rsidRDefault="002C4A25" w:rsidP="00B804F2">
            <w:pPr>
              <w:rPr>
                <w:lang w:val="fr-FR"/>
              </w:rPr>
            </w:pPr>
            <w:r w:rsidRPr="00EF7C35">
              <w:rPr>
                <w:sz w:val="22"/>
                <w:szCs w:val="22"/>
                <w:lang w:val="fr-FR" w:eastAsia="en-US"/>
              </w:rPr>
              <w:t>10</w:t>
            </w:r>
            <w:r w:rsidR="00E13104" w:rsidRPr="00EF7C35">
              <w:rPr>
                <w:sz w:val="22"/>
                <w:szCs w:val="22"/>
                <w:lang w:val="fr-FR" w:eastAsia="en-US"/>
              </w:rPr>
              <w:t xml:space="preserve"> après un an du projet </w:t>
            </w:r>
            <w:r w:rsidR="00E13104">
              <w:rPr>
                <w:sz w:val="22"/>
                <w:szCs w:val="22"/>
                <w:lang w:val="fr-FR" w:eastAsia="en-US"/>
              </w:rPr>
              <w:t>(dans 9 villes)</w:t>
            </w:r>
          </w:p>
        </w:tc>
        <w:tc>
          <w:tcPr>
            <w:tcW w:w="2070" w:type="dxa"/>
          </w:tcPr>
          <w:p w14:paraId="654F9CD7" w14:textId="77777777" w:rsidR="00B804F2" w:rsidRDefault="002C4A25" w:rsidP="00B804F2">
            <w:pPr>
              <w:rPr>
                <w:b/>
                <w:sz w:val="22"/>
                <w:szCs w:val="22"/>
                <w:lang w:val="fr-FR" w:eastAsia="en-US"/>
              </w:rPr>
            </w:pPr>
            <w:r>
              <w:rPr>
                <w:b/>
                <w:sz w:val="22"/>
                <w:szCs w:val="22"/>
                <w:lang w:val="fr-FR" w:eastAsia="en-US"/>
              </w:rPr>
              <w:t>10</w:t>
            </w:r>
          </w:p>
          <w:p w14:paraId="3A40D28D" w14:textId="77777777" w:rsidR="00B804F2" w:rsidRDefault="00B804F2" w:rsidP="00B804F2">
            <w:pPr>
              <w:rPr>
                <w:b/>
                <w:sz w:val="22"/>
                <w:szCs w:val="22"/>
                <w:lang w:val="fr-FR" w:eastAsia="en-US"/>
              </w:rPr>
            </w:pPr>
          </w:p>
          <w:p w14:paraId="63DA3B05" w14:textId="77777777" w:rsidR="00B804F2" w:rsidRDefault="00B804F2" w:rsidP="00B804F2">
            <w:pPr>
              <w:rPr>
                <w:lang w:val="fr-FR"/>
              </w:rPr>
            </w:pPr>
            <w:r w:rsidRPr="00950867">
              <w:rPr>
                <w:lang w:val="fr-FR"/>
              </w:rPr>
              <w:t>L</w:t>
            </w:r>
            <w:r>
              <w:rPr>
                <w:lang w:val="fr-FR"/>
              </w:rPr>
              <w:t xml:space="preserve">es cliniques juridiques ont été </w:t>
            </w:r>
            <w:r>
              <w:rPr>
                <w:lang w:val="fr-FR"/>
              </w:rPr>
              <w:lastRenderedPageBreak/>
              <w:t xml:space="preserve">ouvertes dans 7 localités sur le terrain, en plus des trois cliniques actuellement fonctionnelles à Bangui et Bossangoa. </w:t>
            </w:r>
          </w:p>
          <w:p w14:paraId="461719D0" w14:textId="77777777" w:rsidR="00B804F2" w:rsidRPr="005A6420" w:rsidRDefault="00B804F2" w:rsidP="00B804F2">
            <w:pPr>
              <w:rPr>
                <w:lang w:val="fr-FR"/>
              </w:rPr>
            </w:pPr>
          </w:p>
        </w:tc>
        <w:tc>
          <w:tcPr>
            <w:tcW w:w="4140" w:type="dxa"/>
          </w:tcPr>
          <w:p w14:paraId="7F462915" w14:textId="77777777" w:rsidR="00B804F2" w:rsidRPr="005A6420" w:rsidRDefault="00B804F2" w:rsidP="00636E71">
            <w:pPr>
              <w:jc w:val="both"/>
              <w:rPr>
                <w:lang w:val="fr-FR"/>
              </w:rPr>
            </w:pPr>
            <w:r w:rsidRPr="00123D19">
              <w:rPr>
                <w:lang w:val="fr-FR"/>
              </w:rPr>
              <w:lastRenderedPageBreak/>
              <w:t>Ajustement de la base de donnée</w:t>
            </w:r>
            <w:r>
              <w:rPr>
                <w:lang w:val="fr-FR"/>
              </w:rPr>
              <w:t>s</w:t>
            </w:r>
            <w:r w:rsidRPr="00123D19">
              <w:rPr>
                <w:lang w:val="fr-FR"/>
              </w:rPr>
              <w:t xml:space="preserve"> à 3</w:t>
            </w:r>
            <w:r>
              <w:rPr>
                <w:lang w:val="fr-FR"/>
              </w:rPr>
              <w:t xml:space="preserve"> (Bangui centre, Bédé et Bossangoa)</w:t>
            </w:r>
            <w:r w:rsidRPr="00123D19">
              <w:rPr>
                <w:lang w:val="fr-FR"/>
              </w:rPr>
              <w:t xml:space="preserve"> car la clinique juridique de Bria ne sera plus </w:t>
            </w:r>
            <w:r w:rsidRPr="00123D19">
              <w:rPr>
                <w:lang w:val="fr-FR"/>
              </w:rPr>
              <w:lastRenderedPageBreak/>
              <w:t>inclue dans le projet pour des raisons de sécurité.</w:t>
            </w:r>
          </w:p>
        </w:tc>
      </w:tr>
      <w:tr w:rsidR="00B804F2" w:rsidRPr="00DE1699" w14:paraId="1DA5D4E2" w14:textId="77777777" w:rsidTr="00F004BF">
        <w:trPr>
          <w:trHeight w:val="458"/>
        </w:trPr>
        <w:tc>
          <w:tcPr>
            <w:tcW w:w="1530" w:type="dxa"/>
            <w:vMerge/>
          </w:tcPr>
          <w:p w14:paraId="291F6577" w14:textId="77777777" w:rsidR="00B804F2" w:rsidRPr="005A6420" w:rsidRDefault="00B804F2" w:rsidP="00B804F2">
            <w:pPr>
              <w:rPr>
                <w:rFonts w:cs="Tahoma"/>
                <w:b/>
                <w:szCs w:val="20"/>
                <w:lang w:val="fr-FR" w:eastAsia="en-US"/>
              </w:rPr>
            </w:pPr>
          </w:p>
        </w:tc>
        <w:tc>
          <w:tcPr>
            <w:tcW w:w="2070" w:type="dxa"/>
            <w:shd w:val="clear" w:color="auto" w:fill="EEECE1"/>
          </w:tcPr>
          <w:p w14:paraId="34845F19"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2.1.2</w:t>
            </w:r>
          </w:p>
          <w:p w14:paraId="554105E4" w14:textId="77777777" w:rsidR="00B804F2" w:rsidRPr="005A6420" w:rsidRDefault="00B804F2" w:rsidP="00B804F2">
            <w:pPr>
              <w:jc w:val="both"/>
              <w:rPr>
                <w:rFonts w:cs="Tahoma"/>
                <w:szCs w:val="20"/>
                <w:lang w:val="fr-FR" w:eastAsia="en-US"/>
              </w:rPr>
            </w:pPr>
            <w:r w:rsidRPr="00905A33">
              <w:rPr>
                <w:lang w:val="fr-FR" w:eastAsia="en-US"/>
              </w:rPr>
              <w:t>Nombre de Centrafricains ayant eu accès à l’aide légale</w:t>
            </w:r>
          </w:p>
        </w:tc>
        <w:tc>
          <w:tcPr>
            <w:tcW w:w="1530" w:type="dxa"/>
            <w:shd w:val="clear" w:color="auto" w:fill="EEECE1"/>
          </w:tcPr>
          <w:p w14:paraId="3A8BE46E" w14:textId="77777777" w:rsidR="00B804F2" w:rsidRPr="005A6420" w:rsidRDefault="00B804F2" w:rsidP="00B804F2">
            <w:pPr>
              <w:rPr>
                <w:lang w:val="fr-FR"/>
              </w:rPr>
            </w:pPr>
            <w:r>
              <w:t>10972</w:t>
            </w:r>
          </w:p>
        </w:tc>
        <w:tc>
          <w:tcPr>
            <w:tcW w:w="1620" w:type="dxa"/>
            <w:shd w:val="clear" w:color="auto" w:fill="EEECE1"/>
          </w:tcPr>
          <w:p w14:paraId="23C71951" w14:textId="77777777" w:rsidR="00B804F2" w:rsidRPr="005A6420" w:rsidRDefault="00B804F2" w:rsidP="00B804F2">
            <w:pPr>
              <w:rPr>
                <w:lang w:val="fr-FR"/>
              </w:rPr>
            </w:pPr>
            <w:r>
              <w:t>21000</w:t>
            </w:r>
          </w:p>
        </w:tc>
        <w:tc>
          <w:tcPr>
            <w:tcW w:w="2070" w:type="dxa"/>
          </w:tcPr>
          <w:p w14:paraId="28230B99" w14:textId="77777777" w:rsidR="00B804F2" w:rsidRPr="00E13104" w:rsidRDefault="00181656" w:rsidP="00B804F2">
            <w:pPr>
              <w:rPr>
                <w:lang w:val="fr-FR"/>
              </w:rPr>
            </w:pPr>
            <w:r w:rsidRPr="00EF7C35">
              <w:rPr>
                <w:sz w:val="22"/>
                <w:szCs w:val="22"/>
                <w:lang w:val="fr-FR" w:eastAsia="en-US"/>
              </w:rPr>
              <w:t>17 000 en début 2021.</w:t>
            </w:r>
          </w:p>
        </w:tc>
        <w:tc>
          <w:tcPr>
            <w:tcW w:w="2070" w:type="dxa"/>
          </w:tcPr>
          <w:p w14:paraId="6380B7E2" w14:textId="77777777" w:rsidR="00B804F2" w:rsidRPr="005A6420" w:rsidRDefault="00373B0B" w:rsidP="00B804F2">
            <w:pPr>
              <w:rPr>
                <w:lang w:val="fr-FR"/>
              </w:rPr>
            </w:pPr>
            <w:r w:rsidRPr="008F684C">
              <w:rPr>
                <w:lang w:val="fr-FR"/>
              </w:rPr>
              <w:t>Non disponible</w:t>
            </w:r>
          </w:p>
        </w:tc>
        <w:tc>
          <w:tcPr>
            <w:tcW w:w="4140" w:type="dxa"/>
          </w:tcPr>
          <w:p w14:paraId="5C1B47FE" w14:textId="77777777" w:rsidR="00B804F2" w:rsidRPr="005A6420" w:rsidRDefault="00B804F2" w:rsidP="00636E71">
            <w:pPr>
              <w:jc w:val="both"/>
              <w:rPr>
                <w:lang w:val="fr-FR"/>
              </w:rPr>
            </w:pPr>
            <w:r w:rsidRPr="00EF7C35">
              <w:rPr>
                <w:lang w:val="fr-FR"/>
              </w:rPr>
              <w:t>Les cliniques juridiques ayant commencé leurs activités sur le terrain durant le mois d’avril 2020, les chiffres sont en cours de vérification.</w:t>
            </w:r>
            <w:r w:rsidRPr="00E139B1">
              <w:rPr>
                <w:sz w:val="22"/>
                <w:szCs w:val="22"/>
                <w:lang w:val="fr-FR" w:eastAsia="en-US"/>
              </w:rPr>
              <w:t xml:space="preserve"> </w:t>
            </w:r>
          </w:p>
        </w:tc>
      </w:tr>
      <w:tr w:rsidR="00B804F2" w:rsidRPr="00DE1699" w14:paraId="15E92EC9" w14:textId="77777777" w:rsidTr="00F004BF">
        <w:trPr>
          <w:trHeight w:val="512"/>
        </w:trPr>
        <w:tc>
          <w:tcPr>
            <w:tcW w:w="1530" w:type="dxa"/>
            <w:vMerge w:val="restart"/>
          </w:tcPr>
          <w:p w14:paraId="7DE4B45F" w14:textId="77777777" w:rsidR="00B804F2" w:rsidRPr="005A6420" w:rsidRDefault="00B804F2" w:rsidP="00B804F2">
            <w:pPr>
              <w:rPr>
                <w:rFonts w:cs="Tahoma"/>
                <w:b/>
                <w:szCs w:val="20"/>
                <w:lang w:val="fr-FR" w:eastAsia="en-US"/>
              </w:rPr>
            </w:pPr>
          </w:p>
          <w:p w14:paraId="49E88B49" w14:textId="77777777" w:rsidR="00B804F2" w:rsidRPr="005A6420" w:rsidRDefault="00B804F2" w:rsidP="00B804F2">
            <w:pPr>
              <w:rPr>
                <w:rFonts w:cs="Tahoma"/>
                <w:szCs w:val="20"/>
                <w:lang w:val="fr-FR" w:eastAsia="en-US"/>
              </w:rPr>
            </w:pPr>
            <w:r w:rsidRPr="005A6420">
              <w:rPr>
                <w:rFonts w:cs="Tahoma"/>
                <w:szCs w:val="20"/>
                <w:lang w:val="fr-FR" w:eastAsia="en-US"/>
              </w:rPr>
              <w:t>Produit 2.2</w:t>
            </w:r>
          </w:p>
          <w:p w14:paraId="79344336" w14:textId="77777777" w:rsidR="00B804F2" w:rsidRPr="005A6420" w:rsidRDefault="00B804F2" w:rsidP="00B804F2">
            <w:pPr>
              <w:rPr>
                <w:rFonts w:cs="Tahoma"/>
                <w:szCs w:val="20"/>
                <w:lang w:val="fr-FR" w:eastAsia="en-US"/>
              </w:rPr>
            </w:pPr>
            <w:r w:rsidRPr="00C0370C">
              <w:rPr>
                <w:lang w:val="fr-FR" w:eastAsia="en-US"/>
              </w:rPr>
              <w:t xml:space="preserve">Les victimes et témoins ont accès aux mécanismes de protection en accédant aux juridictions ordinaires, la </w:t>
            </w:r>
            <w:r w:rsidRPr="00C0370C">
              <w:rPr>
                <w:lang w:val="fr-FR" w:eastAsia="en-US"/>
              </w:rPr>
              <w:lastRenderedPageBreak/>
              <w:t>CPS et/ou la CVJRR</w:t>
            </w:r>
          </w:p>
        </w:tc>
        <w:tc>
          <w:tcPr>
            <w:tcW w:w="2070" w:type="dxa"/>
            <w:shd w:val="clear" w:color="auto" w:fill="EEECE1"/>
          </w:tcPr>
          <w:p w14:paraId="65036AB2"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2.2.1</w:t>
            </w:r>
          </w:p>
          <w:p w14:paraId="4F212713" w14:textId="77777777" w:rsidR="00B804F2" w:rsidRPr="00905A33" w:rsidRDefault="00B804F2" w:rsidP="00B804F2">
            <w:pPr>
              <w:rPr>
                <w:lang w:val="fr-FR" w:eastAsia="en-US"/>
              </w:rPr>
            </w:pPr>
            <w:r>
              <w:rPr>
                <w:lang w:val="fr-FR" w:eastAsia="en-US"/>
              </w:rPr>
              <w:t>No</w:t>
            </w:r>
            <w:r w:rsidRPr="00905A33">
              <w:rPr>
                <w:lang w:val="fr-FR" w:eastAsia="en-US"/>
              </w:rPr>
              <w:t>mbre de victimes ayant reçu une assistance de protection V/T</w:t>
            </w:r>
          </w:p>
          <w:p w14:paraId="45E4D9C5" w14:textId="77777777" w:rsidR="00B804F2" w:rsidRPr="005A6420" w:rsidRDefault="00B804F2" w:rsidP="00B804F2">
            <w:pPr>
              <w:jc w:val="both"/>
              <w:rPr>
                <w:rFonts w:cs="Tahoma"/>
                <w:szCs w:val="20"/>
                <w:lang w:val="fr-FR" w:eastAsia="en-US"/>
              </w:rPr>
            </w:pPr>
          </w:p>
        </w:tc>
        <w:tc>
          <w:tcPr>
            <w:tcW w:w="1530" w:type="dxa"/>
            <w:shd w:val="clear" w:color="auto" w:fill="EEECE1"/>
          </w:tcPr>
          <w:p w14:paraId="77833A8C" w14:textId="77777777" w:rsidR="00B804F2" w:rsidRPr="005A6420" w:rsidRDefault="00B804F2" w:rsidP="00B804F2">
            <w:pPr>
              <w:rPr>
                <w:lang w:val="fr-FR"/>
              </w:rPr>
            </w:pPr>
            <w:r>
              <w:t>pas disponible</w:t>
            </w:r>
          </w:p>
        </w:tc>
        <w:tc>
          <w:tcPr>
            <w:tcW w:w="1620" w:type="dxa"/>
            <w:shd w:val="clear" w:color="auto" w:fill="EEECE1"/>
          </w:tcPr>
          <w:p w14:paraId="006A00DA" w14:textId="77777777" w:rsidR="00B804F2" w:rsidRPr="005A6420" w:rsidRDefault="00B804F2" w:rsidP="00B804F2">
            <w:pPr>
              <w:rPr>
                <w:lang w:val="fr-FR"/>
              </w:rPr>
            </w:pPr>
            <w:r w:rsidRPr="00905A33">
              <w:rPr>
                <w:lang w:val="fr-FR" w:eastAsia="en-US"/>
              </w:rPr>
              <w:t>à confirmer durant phase 1 du projet</w:t>
            </w:r>
          </w:p>
        </w:tc>
        <w:tc>
          <w:tcPr>
            <w:tcW w:w="2070" w:type="dxa"/>
          </w:tcPr>
          <w:p w14:paraId="7DAF6590" w14:textId="197FBFB5" w:rsidR="00775F02" w:rsidRPr="0050529E" w:rsidRDefault="00775F02" w:rsidP="00775F02">
            <w:pPr>
              <w:rPr>
                <w:lang w:val="fr-FR"/>
              </w:rPr>
            </w:pPr>
          </w:p>
        </w:tc>
        <w:tc>
          <w:tcPr>
            <w:tcW w:w="2070" w:type="dxa"/>
          </w:tcPr>
          <w:p w14:paraId="4CD83242" w14:textId="54EA3807" w:rsidR="00775F02" w:rsidRPr="005A6420" w:rsidRDefault="004D6304" w:rsidP="00B804F2">
            <w:pPr>
              <w:rPr>
                <w:lang w:val="fr-FR"/>
              </w:rPr>
            </w:pPr>
            <w:r>
              <w:rPr>
                <w:lang w:val="fr-FR"/>
              </w:rPr>
              <w:t xml:space="preserve">Dans le cadre des sessions criminelles, certaines victimes ont reçu une assistance de protection V/T. </w:t>
            </w:r>
          </w:p>
        </w:tc>
        <w:tc>
          <w:tcPr>
            <w:tcW w:w="4140" w:type="dxa"/>
          </w:tcPr>
          <w:p w14:paraId="1D0CFA40" w14:textId="3B5132AE" w:rsidR="00B804F2" w:rsidRPr="005A6420" w:rsidRDefault="00B804F2" w:rsidP="00636E71">
            <w:pPr>
              <w:jc w:val="both"/>
              <w:rPr>
                <w:lang w:val="fr-FR"/>
              </w:rPr>
            </w:pPr>
          </w:p>
        </w:tc>
      </w:tr>
      <w:tr w:rsidR="00B804F2" w:rsidRPr="00DE1699" w14:paraId="40B59A46" w14:textId="77777777" w:rsidTr="00F004BF">
        <w:trPr>
          <w:trHeight w:val="458"/>
        </w:trPr>
        <w:tc>
          <w:tcPr>
            <w:tcW w:w="1530" w:type="dxa"/>
            <w:vMerge/>
          </w:tcPr>
          <w:p w14:paraId="2DB49E13" w14:textId="77777777" w:rsidR="00B804F2" w:rsidRPr="005A6420" w:rsidRDefault="00B804F2" w:rsidP="00B804F2">
            <w:pPr>
              <w:rPr>
                <w:rFonts w:cs="Tahoma"/>
                <w:b/>
                <w:szCs w:val="20"/>
                <w:lang w:val="fr-FR" w:eastAsia="en-US"/>
              </w:rPr>
            </w:pPr>
          </w:p>
        </w:tc>
        <w:tc>
          <w:tcPr>
            <w:tcW w:w="2070" w:type="dxa"/>
            <w:shd w:val="clear" w:color="auto" w:fill="EEECE1"/>
          </w:tcPr>
          <w:p w14:paraId="05211C91"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2.2.2</w:t>
            </w:r>
          </w:p>
          <w:p w14:paraId="62519C19" w14:textId="77777777" w:rsidR="00B804F2" w:rsidRPr="005A6420" w:rsidRDefault="00B804F2" w:rsidP="00B804F2">
            <w:pPr>
              <w:jc w:val="both"/>
              <w:rPr>
                <w:rFonts w:cs="Tahoma"/>
                <w:szCs w:val="20"/>
                <w:lang w:val="fr-FR" w:eastAsia="en-US"/>
              </w:rPr>
            </w:pPr>
            <w:r w:rsidRPr="00905A33">
              <w:rPr>
                <w:lang w:val="fr-FR" w:eastAsia="en-US"/>
              </w:rPr>
              <w:t xml:space="preserve">Existence de mécanismes de protection des victimes et témoins </w:t>
            </w:r>
            <w:r w:rsidRPr="00905A33">
              <w:rPr>
                <w:lang w:val="fr-FR" w:eastAsia="en-US"/>
              </w:rPr>
              <w:lastRenderedPageBreak/>
              <w:t>promouvant la coordination entre l’expertise dans la CPS et l’appui des organisations de la société civile</w:t>
            </w:r>
          </w:p>
        </w:tc>
        <w:tc>
          <w:tcPr>
            <w:tcW w:w="1530" w:type="dxa"/>
            <w:shd w:val="clear" w:color="auto" w:fill="EEECE1"/>
          </w:tcPr>
          <w:p w14:paraId="6FDE587A" w14:textId="77777777" w:rsidR="00B804F2" w:rsidRPr="005A6420" w:rsidRDefault="00B804F2" w:rsidP="00B804F2">
            <w:pPr>
              <w:rPr>
                <w:lang w:val="fr-FR"/>
              </w:rPr>
            </w:pPr>
            <w:r>
              <w:rPr>
                <w:b/>
                <w:sz w:val="22"/>
                <w:szCs w:val="22"/>
                <w:lang w:val="fr-FR" w:eastAsia="en-US"/>
              </w:rPr>
              <w:lastRenderedPageBreak/>
              <w:t>0</w:t>
            </w:r>
          </w:p>
        </w:tc>
        <w:tc>
          <w:tcPr>
            <w:tcW w:w="1620" w:type="dxa"/>
            <w:shd w:val="clear" w:color="auto" w:fill="EEECE1"/>
          </w:tcPr>
          <w:p w14:paraId="3FF521A7" w14:textId="77777777" w:rsidR="00B804F2" w:rsidRPr="005A6420" w:rsidRDefault="00B804F2" w:rsidP="00B804F2">
            <w:pPr>
              <w:rPr>
                <w:lang w:val="fr-FR"/>
              </w:rPr>
            </w:pPr>
            <w:r>
              <w:rPr>
                <w:b/>
                <w:sz w:val="22"/>
                <w:szCs w:val="22"/>
                <w:lang w:val="fr-FR" w:eastAsia="en-US"/>
              </w:rPr>
              <w:t>1</w:t>
            </w:r>
          </w:p>
        </w:tc>
        <w:tc>
          <w:tcPr>
            <w:tcW w:w="2070" w:type="dxa"/>
          </w:tcPr>
          <w:p w14:paraId="3A18DBB6" w14:textId="5C76D0B4" w:rsidR="00B804F2" w:rsidRPr="005A6420" w:rsidRDefault="00775F02" w:rsidP="00B804F2">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r w:rsidR="00B804F2" w:rsidRPr="005A6420">
              <w:rPr>
                <w:b/>
                <w:sz w:val="22"/>
                <w:szCs w:val="22"/>
                <w:lang w:val="fr-FR" w:eastAsia="en-US"/>
              </w:rPr>
              <w:fldChar w:fldCharType="begin">
                <w:ffData>
                  <w:name w:val=""/>
                  <w:enabled/>
                  <w:calcOnExit w:val="0"/>
                  <w:textInput>
                    <w:maxLength w:val="300"/>
                  </w:textInput>
                </w:ffData>
              </w:fldChar>
            </w:r>
            <w:r w:rsidR="00B804F2" w:rsidRPr="005A6420">
              <w:rPr>
                <w:b/>
                <w:sz w:val="22"/>
                <w:szCs w:val="22"/>
                <w:lang w:val="fr-FR" w:eastAsia="en-US"/>
              </w:rPr>
              <w:instrText xml:space="preserve"> FORMTEXT </w:instrText>
            </w:r>
            <w:r w:rsidR="00B804F2" w:rsidRPr="005A6420">
              <w:rPr>
                <w:b/>
                <w:sz w:val="22"/>
                <w:szCs w:val="22"/>
                <w:lang w:val="fr-FR" w:eastAsia="en-US"/>
              </w:rPr>
            </w:r>
            <w:r w:rsidR="00B804F2" w:rsidRPr="005A6420">
              <w:rPr>
                <w:b/>
                <w:sz w:val="22"/>
                <w:szCs w:val="22"/>
                <w:lang w:val="fr-FR" w:eastAsia="en-US"/>
              </w:rPr>
              <w:fldChar w:fldCharType="separate"/>
            </w:r>
            <w:r w:rsidR="00B804F2">
              <w:rPr>
                <w:b/>
                <w:noProof/>
                <w:sz w:val="22"/>
                <w:szCs w:val="22"/>
                <w:lang w:val="fr-FR" w:eastAsia="en-US"/>
              </w:rPr>
              <w:t> </w:t>
            </w:r>
            <w:r w:rsidR="00B804F2">
              <w:rPr>
                <w:b/>
                <w:noProof/>
                <w:sz w:val="22"/>
                <w:szCs w:val="22"/>
                <w:lang w:val="fr-FR" w:eastAsia="en-US"/>
              </w:rPr>
              <w:t> </w:t>
            </w:r>
            <w:r w:rsidR="00B804F2">
              <w:rPr>
                <w:b/>
                <w:noProof/>
                <w:sz w:val="22"/>
                <w:szCs w:val="22"/>
                <w:lang w:val="fr-FR" w:eastAsia="en-US"/>
              </w:rPr>
              <w:t> </w:t>
            </w:r>
            <w:r w:rsidR="0050529E" w:rsidRPr="0050529E">
              <w:rPr>
                <w:sz w:val="22"/>
                <w:szCs w:val="22"/>
                <w:lang w:val="fr-FR" w:eastAsia="en-US"/>
              </w:rPr>
              <w:t xml:space="preserve"> Proposition de mécanisme d’appui et collecte de données existant </w:t>
            </w:r>
            <w:r w:rsidR="0050529E" w:rsidRPr="0050529E">
              <w:rPr>
                <w:sz w:val="22"/>
                <w:szCs w:val="22"/>
                <w:lang w:val="fr-FR" w:eastAsia="en-US"/>
              </w:rPr>
              <w:lastRenderedPageBreak/>
              <w:t>après un an de projet</w:t>
            </w:r>
            <w:r w:rsidR="0050529E">
              <w:rPr>
                <w:b/>
                <w:noProof/>
                <w:sz w:val="22"/>
                <w:szCs w:val="22"/>
                <w:lang w:val="fr-FR" w:eastAsia="en-US"/>
              </w:rPr>
              <w:t xml:space="preserve"> </w:t>
            </w:r>
            <w:r w:rsidR="00B804F2">
              <w:rPr>
                <w:b/>
                <w:noProof/>
                <w:sz w:val="22"/>
                <w:szCs w:val="22"/>
                <w:lang w:val="fr-FR" w:eastAsia="en-US"/>
              </w:rPr>
              <w:t> </w:t>
            </w:r>
            <w:r w:rsidR="00B804F2">
              <w:rPr>
                <w:b/>
                <w:noProof/>
                <w:sz w:val="22"/>
                <w:szCs w:val="22"/>
                <w:lang w:val="fr-FR" w:eastAsia="en-US"/>
              </w:rPr>
              <w:t> </w:t>
            </w:r>
            <w:r w:rsidR="00B804F2" w:rsidRPr="005A6420">
              <w:rPr>
                <w:b/>
                <w:sz w:val="22"/>
                <w:szCs w:val="22"/>
                <w:lang w:val="fr-FR" w:eastAsia="en-US"/>
              </w:rPr>
              <w:fldChar w:fldCharType="end"/>
            </w:r>
          </w:p>
        </w:tc>
        <w:tc>
          <w:tcPr>
            <w:tcW w:w="2070" w:type="dxa"/>
          </w:tcPr>
          <w:p w14:paraId="66B19900" w14:textId="77777777" w:rsidR="00B804F2" w:rsidRPr="005A6420" w:rsidRDefault="00B804F2" w:rsidP="00B804F2">
            <w:pPr>
              <w:rPr>
                <w:lang w:val="fr-FR"/>
              </w:rPr>
            </w:pPr>
            <w:r>
              <w:rPr>
                <w:b/>
                <w:sz w:val="22"/>
                <w:szCs w:val="22"/>
                <w:lang w:val="fr-FR" w:eastAsia="en-US"/>
              </w:rPr>
              <w:lastRenderedPageBreak/>
              <w:t>0</w:t>
            </w:r>
          </w:p>
        </w:tc>
        <w:tc>
          <w:tcPr>
            <w:tcW w:w="4140" w:type="dxa"/>
          </w:tcPr>
          <w:p w14:paraId="46478491" w14:textId="77777777" w:rsidR="00B804F2" w:rsidRPr="005A6420" w:rsidRDefault="00B804F2" w:rsidP="00636E71">
            <w:pPr>
              <w:jc w:val="both"/>
              <w:rPr>
                <w:lang w:val="fr-FR"/>
              </w:rPr>
            </w:pPr>
            <w:r w:rsidRPr="00EF7C35">
              <w:rPr>
                <w:szCs w:val="22"/>
                <w:lang w:val="fr-FR" w:eastAsia="en-US"/>
              </w:rPr>
              <w:t xml:space="preserve">Pas encore de retard. Des consultations seront organisées entre l’équipe du projet, les partenaires de la société civile (notamment l’AFJC et RONGDH) et </w:t>
            </w:r>
            <w:r w:rsidRPr="00EF7C35">
              <w:rPr>
                <w:szCs w:val="22"/>
                <w:lang w:val="fr-FR" w:eastAsia="en-US"/>
              </w:rPr>
              <w:lastRenderedPageBreak/>
              <w:t>l’Unité de Protection des témoins et victimes de la CPS.</w:t>
            </w:r>
          </w:p>
        </w:tc>
      </w:tr>
      <w:tr w:rsidR="00B804F2" w:rsidRPr="00DE1699" w14:paraId="7738A29E" w14:textId="77777777" w:rsidTr="00F004BF">
        <w:trPr>
          <w:trHeight w:val="458"/>
        </w:trPr>
        <w:tc>
          <w:tcPr>
            <w:tcW w:w="1530" w:type="dxa"/>
            <w:vMerge w:val="restart"/>
          </w:tcPr>
          <w:p w14:paraId="11EC42FA" w14:textId="77777777" w:rsidR="00B804F2" w:rsidRPr="005A6420" w:rsidRDefault="00B804F2" w:rsidP="00B804F2">
            <w:pPr>
              <w:rPr>
                <w:rFonts w:cs="Tahoma"/>
                <w:b/>
                <w:szCs w:val="20"/>
                <w:lang w:val="fr-FR" w:eastAsia="en-US"/>
              </w:rPr>
            </w:pPr>
            <w:r w:rsidRPr="005A6420">
              <w:rPr>
                <w:rFonts w:cs="Tahoma"/>
                <w:b/>
                <w:szCs w:val="20"/>
                <w:lang w:val="fr-FR" w:eastAsia="en-US"/>
              </w:rPr>
              <w:lastRenderedPageBreak/>
              <w:t>Résultat 3</w:t>
            </w:r>
          </w:p>
          <w:p w14:paraId="2FD2389A" w14:textId="77777777" w:rsidR="00B804F2" w:rsidRPr="005A6420" w:rsidRDefault="00B804F2" w:rsidP="00B804F2">
            <w:pPr>
              <w:rPr>
                <w:rFonts w:cs="Tahoma"/>
                <w:b/>
                <w:szCs w:val="20"/>
                <w:lang w:val="fr-FR" w:eastAsia="en-US"/>
              </w:rPr>
            </w:pPr>
            <w:r w:rsidRPr="00905A33">
              <w:rPr>
                <w:lang w:val="fr-FR" w:eastAsia="en-US"/>
              </w:rPr>
              <w:t xml:space="preserve">Le travail de gestion de la mémoire et de recherche de la vérité est engagé par un appui technique et opérationnel à la Commission Vérité, Justice, Réparation et Réconciliation CVJRR) et aux organisations de la société </w:t>
            </w:r>
            <w:r w:rsidRPr="00905A33">
              <w:rPr>
                <w:lang w:val="fr-FR" w:eastAsia="en-US"/>
              </w:rPr>
              <w:lastRenderedPageBreak/>
              <w:t>civile, y compris les associations de victimes</w:t>
            </w:r>
          </w:p>
        </w:tc>
        <w:tc>
          <w:tcPr>
            <w:tcW w:w="2070" w:type="dxa"/>
            <w:shd w:val="clear" w:color="auto" w:fill="EEECE1"/>
          </w:tcPr>
          <w:p w14:paraId="2ED2463C"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3.1</w:t>
            </w:r>
          </w:p>
          <w:p w14:paraId="53DD40EA" w14:textId="77777777" w:rsidR="00B804F2" w:rsidRPr="001F3D07" w:rsidRDefault="00B804F2" w:rsidP="00B804F2">
            <w:pPr>
              <w:rPr>
                <w:lang w:val="fr-FR" w:eastAsia="en-US"/>
              </w:rPr>
            </w:pPr>
            <w:r w:rsidRPr="001F3D07">
              <w:rPr>
                <w:lang w:val="fr-FR" w:eastAsia="en-US"/>
              </w:rPr>
              <w:t xml:space="preserve">La Commission vérité, justice, réparation et réconciliation est créée et opérationnelle </w:t>
            </w:r>
          </w:p>
          <w:p w14:paraId="6A103808" w14:textId="77777777" w:rsidR="00B804F2" w:rsidRPr="005A6420" w:rsidRDefault="00B804F2" w:rsidP="00B804F2">
            <w:pPr>
              <w:jc w:val="both"/>
              <w:rPr>
                <w:rFonts w:cs="Tahoma"/>
                <w:szCs w:val="20"/>
                <w:lang w:val="fr-FR" w:eastAsia="en-US"/>
              </w:rPr>
            </w:pPr>
          </w:p>
        </w:tc>
        <w:tc>
          <w:tcPr>
            <w:tcW w:w="1530" w:type="dxa"/>
            <w:shd w:val="clear" w:color="auto" w:fill="EEECE1"/>
          </w:tcPr>
          <w:p w14:paraId="0B4281BF"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11783303" w14:textId="77777777" w:rsidR="00B804F2" w:rsidRPr="005A6420" w:rsidRDefault="00B804F2" w:rsidP="00B804F2">
            <w:pPr>
              <w:rPr>
                <w:lang w:val="fr-FR"/>
              </w:rPr>
            </w:pPr>
            <w:r>
              <w:rPr>
                <w:b/>
                <w:sz w:val="22"/>
                <w:szCs w:val="22"/>
                <w:lang w:val="fr-FR" w:eastAsia="en-US"/>
              </w:rPr>
              <w:t>1</w:t>
            </w:r>
          </w:p>
        </w:tc>
        <w:tc>
          <w:tcPr>
            <w:tcW w:w="2070" w:type="dxa"/>
          </w:tcPr>
          <w:p w14:paraId="4B49BD86" w14:textId="77777777" w:rsidR="00B804F2" w:rsidRPr="00C6637A" w:rsidRDefault="00B804F2" w:rsidP="00B804F2">
            <w:pPr>
              <w:rPr>
                <w:lang w:val="fr-FR"/>
              </w:rPr>
            </w:pPr>
            <w:r w:rsidRPr="00EF7C35">
              <w:rPr>
                <w:sz w:val="22"/>
                <w:szCs w:val="22"/>
                <w:lang w:val="fr-FR" w:eastAsia="en-US"/>
              </w:rPr>
              <w:t>1</w:t>
            </w:r>
            <w:r w:rsidR="00181656" w:rsidRPr="00EF7C35">
              <w:rPr>
                <w:sz w:val="22"/>
                <w:szCs w:val="22"/>
                <w:lang w:val="fr-FR" w:eastAsia="en-US"/>
              </w:rPr>
              <w:t xml:space="preserve"> </w:t>
            </w:r>
            <w:r w:rsidR="00EA1436" w:rsidRPr="00EF7C35">
              <w:rPr>
                <w:sz w:val="22"/>
                <w:szCs w:val="22"/>
                <w:lang w:val="fr-FR" w:eastAsia="en-US"/>
              </w:rPr>
              <w:t>en début 2021.</w:t>
            </w:r>
          </w:p>
        </w:tc>
        <w:tc>
          <w:tcPr>
            <w:tcW w:w="2070" w:type="dxa"/>
          </w:tcPr>
          <w:p w14:paraId="66F8A9CD" w14:textId="77777777" w:rsidR="00B804F2" w:rsidRPr="005A6420" w:rsidRDefault="00B804F2" w:rsidP="00B804F2">
            <w:pPr>
              <w:rPr>
                <w:lang w:val="fr-FR"/>
              </w:rPr>
            </w:pPr>
            <w:r>
              <w:rPr>
                <w:b/>
                <w:sz w:val="22"/>
                <w:szCs w:val="22"/>
                <w:lang w:val="fr-FR" w:eastAsia="en-US"/>
              </w:rPr>
              <w:t>0</w:t>
            </w:r>
          </w:p>
        </w:tc>
        <w:tc>
          <w:tcPr>
            <w:tcW w:w="4140" w:type="dxa"/>
          </w:tcPr>
          <w:p w14:paraId="6C96FB6E" w14:textId="4CA549CF" w:rsidR="00B804F2" w:rsidRPr="005A6420" w:rsidRDefault="00B804F2" w:rsidP="00C6637A">
            <w:pPr>
              <w:rPr>
                <w:lang w:val="fr-FR"/>
              </w:rPr>
            </w:pPr>
            <w:r>
              <w:rPr>
                <w:lang w:val="fr-FR"/>
              </w:rPr>
              <w:t xml:space="preserve">La loi sur la CVJRR a été adoptée mais la CVJRR </w:t>
            </w:r>
            <w:r w:rsidR="0073550D">
              <w:rPr>
                <w:lang w:val="fr-FR"/>
              </w:rPr>
              <w:t>n’est pas encore opérationnelle</w:t>
            </w:r>
            <w:r>
              <w:rPr>
                <w:lang w:val="fr-FR"/>
              </w:rPr>
              <w:t>.</w:t>
            </w:r>
            <w:r w:rsidR="00EA1436">
              <w:rPr>
                <w:lang w:val="fr-FR"/>
              </w:rPr>
              <w:t xml:space="preserve"> Des efforts sont faits pour que la CVJRR soit mise </w:t>
            </w:r>
            <w:r w:rsidR="0073550D">
              <w:rPr>
                <w:lang w:val="fr-FR"/>
              </w:rPr>
              <w:t xml:space="preserve">en </w:t>
            </w:r>
            <w:r w:rsidR="00EA1436">
              <w:rPr>
                <w:lang w:val="fr-FR"/>
              </w:rPr>
              <w:t xml:space="preserve">place avant les </w:t>
            </w:r>
            <w:r w:rsidR="008F684C">
              <w:rPr>
                <w:lang w:val="fr-FR"/>
              </w:rPr>
              <w:t>élections</w:t>
            </w:r>
            <w:r w:rsidR="00EA1436">
              <w:rPr>
                <w:lang w:val="fr-FR"/>
              </w:rPr>
              <w:t xml:space="preserve"> en fin d’année 2020 mais il </w:t>
            </w:r>
            <w:r w:rsidR="00C6637A">
              <w:rPr>
                <w:lang w:val="fr-FR"/>
              </w:rPr>
              <w:t>est possible</w:t>
            </w:r>
            <w:r w:rsidR="00EA1436">
              <w:rPr>
                <w:lang w:val="fr-FR"/>
              </w:rPr>
              <w:t xml:space="preserve"> que la conjoncture politique ne </w:t>
            </w:r>
            <w:r w:rsidR="0073550D">
              <w:rPr>
                <w:lang w:val="fr-FR"/>
              </w:rPr>
              <w:t xml:space="preserve">le </w:t>
            </w:r>
            <w:r w:rsidR="00EA1436">
              <w:rPr>
                <w:lang w:val="fr-FR"/>
              </w:rPr>
              <w:t xml:space="preserve">permette pas. </w:t>
            </w:r>
            <w:r w:rsidR="0073550D">
              <w:rPr>
                <w:lang w:val="fr-FR"/>
              </w:rPr>
              <w:t xml:space="preserve">La Commission de sélection des Commissaires transmettra une proposition de commissaires au Président au début du mois de décembre. </w:t>
            </w:r>
          </w:p>
        </w:tc>
      </w:tr>
      <w:tr w:rsidR="00B804F2" w:rsidRPr="00DE1699" w14:paraId="440BAF8B" w14:textId="77777777" w:rsidTr="00F004BF">
        <w:trPr>
          <w:trHeight w:val="458"/>
        </w:trPr>
        <w:tc>
          <w:tcPr>
            <w:tcW w:w="1530" w:type="dxa"/>
            <w:vMerge/>
          </w:tcPr>
          <w:p w14:paraId="52C38ABF" w14:textId="77777777" w:rsidR="00B804F2" w:rsidRPr="005A6420" w:rsidRDefault="00B804F2" w:rsidP="00B804F2">
            <w:pPr>
              <w:rPr>
                <w:rFonts w:cs="Tahoma"/>
                <w:szCs w:val="20"/>
                <w:lang w:val="fr-FR" w:eastAsia="en-US"/>
              </w:rPr>
            </w:pPr>
          </w:p>
        </w:tc>
        <w:tc>
          <w:tcPr>
            <w:tcW w:w="2070" w:type="dxa"/>
            <w:shd w:val="clear" w:color="auto" w:fill="EEECE1"/>
          </w:tcPr>
          <w:p w14:paraId="32AEAB43"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3.2</w:t>
            </w:r>
          </w:p>
          <w:p w14:paraId="71ECF610" w14:textId="77777777" w:rsidR="00B804F2" w:rsidRPr="005A6420" w:rsidRDefault="00B804F2" w:rsidP="00B804F2">
            <w:pPr>
              <w:jc w:val="both"/>
              <w:rPr>
                <w:rFonts w:cs="Tahoma"/>
                <w:szCs w:val="20"/>
                <w:lang w:val="fr-FR" w:eastAsia="en-US"/>
              </w:rPr>
            </w:pPr>
            <w:r w:rsidRPr="001F3D07">
              <w:rPr>
                <w:lang w:val="fr-FR" w:eastAsia="en-US"/>
              </w:rPr>
              <w:t>Taux de la population étant informée de l’existence et des missions de la CVJRR (désagrégé par sexe)</w:t>
            </w:r>
          </w:p>
        </w:tc>
        <w:tc>
          <w:tcPr>
            <w:tcW w:w="1530" w:type="dxa"/>
            <w:shd w:val="clear" w:color="auto" w:fill="EEECE1"/>
          </w:tcPr>
          <w:p w14:paraId="2AA8C404"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27749F34" w14:textId="77777777" w:rsidR="00B804F2" w:rsidRPr="005A6420" w:rsidRDefault="00B804F2" w:rsidP="00B804F2">
            <w:pPr>
              <w:rPr>
                <w:lang w:val="fr-FR"/>
              </w:rPr>
            </w:pPr>
            <w:r>
              <w:t>50% H/F</w:t>
            </w:r>
          </w:p>
        </w:tc>
        <w:tc>
          <w:tcPr>
            <w:tcW w:w="2070" w:type="dxa"/>
          </w:tcPr>
          <w:p w14:paraId="400C47E3" w14:textId="77777777" w:rsidR="00B804F2" w:rsidRPr="00732990" w:rsidRDefault="00181656" w:rsidP="00B804F2">
            <w:pPr>
              <w:rPr>
                <w:lang w:val="fr-FR"/>
              </w:rPr>
            </w:pPr>
            <w:r w:rsidRPr="00EF7C35">
              <w:rPr>
                <w:sz w:val="22"/>
                <w:szCs w:val="22"/>
                <w:lang w:val="fr-FR" w:eastAsia="en-US"/>
              </w:rPr>
              <w:t>45% H / 37% F en début 2021 (à vérifier avec les études de perception)</w:t>
            </w:r>
          </w:p>
        </w:tc>
        <w:tc>
          <w:tcPr>
            <w:tcW w:w="2070" w:type="dxa"/>
          </w:tcPr>
          <w:p w14:paraId="322E9992" w14:textId="77777777" w:rsidR="00B804F2" w:rsidRPr="004F2456" w:rsidRDefault="00B804F2" w:rsidP="00B804F2">
            <w:pPr>
              <w:rPr>
                <w:sz w:val="22"/>
                <w:szCs w:val="22"/>
                <w:lang w:val="fr-FR" w:eastAsia="en-US"/>
              </w:rPr>
            </w:pPr>
            <w:r w:rsidRPr="004F2456">
              <w:rPr>
                <w:sz w:val="22"/>
                <w:szCs w:val="22"/>
                <w:lang w:val="fr-FR" w:eastAsia="en-US"/>
              </w:rPr>
              <w:t>42% Hommes</w:t>
            </w:r>
          </w:p>
          <w:p w14:paraId="40C6422B" w14:textId="77777777" w:rsidR="00B804F2" w:rsidRPr="0042629C" w:rsidRDefault="00B804F2" w:rsidP="00B804F2">
            <w:pPr>
              <w:rPr>
                <w:highlight w:val="yellow"/>
                <w:lang w:val="fr-FR"/>
              </w:rPr>
            </w:pPr>
            <w:r w:rsidRPr="004F2456">
              <w:rPr>
                <w:sz w:val="22"/>
                <w:szCs w:val="22"/>
                <w:lang w:val="fr-FR" w:eastAsia="en-US"/>
              </w:rPr>
              <w:t>31% Femmes</w:t>
            </w:r>
          </w:p>
        </w:tc>
        <w:tc>
          <w:tcPr>
            <w:tcW w:w="4140" w:type="dxa"/>
          </w:tcPr>
          <w:p w14:paraId="10E53414" w14:textId="7C0D593F" w:rsidR="00B804F2" w:rsidRPr="0073550D" w:rsidRDefault="0073550D" w:rsidP="00B804F2">
            <w:pPr>
              <w:rPr>
                <w:bCs/>
                <w:lang w:val="fr-FR"/>
              </w:rPr>
            </w:pPr>
            <w:r w:rsidRPr="008F2372">
              <w:rPr>
                <w:bCs/>
                <w:sz w:val="22"/>
                <w:szCs w:val="22"/>
                <w:lang w:val="fr-FR" w:eastAsia="en-US"/>
              </w:rPr>
              <w:t>Il est attendu que ce nombre augmente dès l’opérationnalisation de la CVJRR.</w:t>
            </w:r>
          </w:p>
        </w:tc>
      </w:tr>
      <w:tr w:rsidR="00B804F2" w:rsidRPr="00DE1699" w14:paraId="006F7104" w14:textId="77777777" w:rsidTr="00F004BF">
        <w:trPr>
          <w:trHeight w:val="458"/>
        </w:trPr>
        <w:tc>
          <w:tcPr>
            <w:tcW w:w="1530" w:type="dxa"/>
            <w:vMerge/>
          </w:tcPr>
          <w:p w14:paraId="0F5A3DE4" w14:textId="77777777" w:rsidR="00B804F2" w:rsidRPr="005A6420" w:rsidRDefault="00B804F2" w:rsidP="00B804F2">
            <w:pPr>
              <w:rPr>
                <w:rFonts w:cs="Tahoma"/>
                <w:szCs w:val="20"/>
                <w:lang w:val="fr-FR" w:eastAsia="en-US"/>
              </w:rPr>
            </w:pPr>
          </w:p>
        </w:tc>
        <w:tc>
          <w:tcPr>
            <w:tcW w:w="2070" w:type="dxa"/>
            <w:shd w:val="clear" w:color="auto" w:fill="EEECE1"/>
          </w:tcPr>
          <w:p w14:paraId="140517DE"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3.3</w:t>
            </w:r>
          </w:p>
          <w:p w14:paraId="2271506E" w14:textId="77777777" w:rsidR="00B804F2" w:rsidRPr="005A6420" w:rsidRDefault="00B804F2" w:rsidP="00B804F2">
            <w:pPr>
              <w:jc w:val="both"/>
              <w:rPr>
                <w:rFonts w:cs="Tahoma"/>
                <w:szCs w:val="20"/>
                <w:lang w:val="fr-FR" w:eastAsia="en-US"/>
              </w:rPr>
            </w:pPr>
            <w:r w:rsidRPr="001F3D07">
              <w:rPr>
                <w:lang w:val="fr-FR" w:eastAsia="en-US"/>
              </w:rPr>
              <w:t>Nombre de recommandations émanant du CVJRR sur l’administration de la justice et la réduction de l’impunité</w:t>
            </w:r>
          </w:p>
        </w:tc>
        <w:tc>
          <w:tcPr>
            <w:tcW w:w="1530" w:type="dxa"/>
            <w:shd w:val="clear" w:color="auto" w:fill="EEECE1"/>
          </w:tcPr>
          <w:p w14:paraId="702748F3"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2E268CF0" w14:textId="77777777" w:rsidR="00B804F2" w:rsidRPr="005A6420" w:rsidRDefault="00B804F2" w:rsidP="00B804F2">
            <w:pPr>
              <w:rPr>
                <w:lang w:val="fr-FR"/>
              </w:rPr>
            </w:pPr>
            <w:r>
              <w:rPr>
                <w:b/>
                <w:sz w:val="22"/>
                <w:szCs w:val="22"/>
                <w:lang w:val="fr-FR" w:eastAsia="en-US"/>
              </w:rPr>
              <w:t>10</w:t>
            </w:r>
          </w:p>
        </w:tc>
        <w:tc>
          <w:tcPr>
            <w:tcW w:w="2070" w:type="dxa"/>
          </w:tcPr>
          <w:p w14:paraId="17F99401" w14:textId="65F0C847" w:rsidR="00B804F2" w:rsidRPr="008F684C" w:rsidRDefault="00373B0B" w:rsidP="00B804F2">
            <w:pPr>
              <w:rPr>
                <w:sz w:val="22"/>
                <w:szCs w:val="22"/>
                <w:lang w:val="fr-FR" w:eastAsia="en-US"/>
              </w:rPr>
            </w:pPr>
            <w:r w:rsidRPr="008F684C">
              <w:rPr>
                <w:sz w:val="22"/>
                <w:szCs w:val="22"/>
                <w:lang w:val="fr-FR" w:eastAsia="en-US"/>
              </w:rPr>
              <w:t>Non disponible</w:t>
            </w:r>
          </w:p>
        </w:tc>
        <w:tc>
          <w:tcPr>
            <w:tcW w:w="2070" w:type="dxa"/>
          </w:tcPr>
          <w:p w14:paraId="5CAFA269" w14:textId="77777777" w:rsidR="00B804F2" w:rsidRPr="005A6420" w:rsidRDefault="00B804F2" w:rsidP="00B804F2">
            <w:pPr>
              <w:rPr>
                <w:lang w:val="fr-FR"/>
              </w:rPr>
            </w:pPr>
            <w:r>
              <w:rPr>
                <w:b/>
                <w:sz w:val="22"/>
                <w:szCs w:val="22"/>
                <w:lang w:val="fr-FR" w:eastAsia="en-US"/>
              </w:rPr>
              <w:t>0</w:t>
            </w:r>
          </w:p>
        </w:tc>
        <w:tc>
          <w:tcPr>
            <w:tcW w:w="4140" w:type="dxa"/>
          </w:tcPr>
          <w:p w14:paraId="58F66AE3" w14:textId="77777777" w:rsidR="00B804F2" w:rsidRPr="001A616F" w:rsidRDefault="001A616F" w:rsidP="00B804F2">
            <w:pPr>
              <w:rPr>
                <w:lang w:val="fr-FR"/>
              </w:rPr>
            </w:pPr>
            <w:r w:rsidRPr="00EF7C35">
              <w:rPr>
                <w:sz w:val="22"/>
                <w:szCs w:val="22"/>
                <w:lang w:val="fr-FR" w:eastAsia="en-US"/>
              </w:rPr>
              <w:t>Possible uniquement après établissement et travaux de la CVJRR.</w:t>
            </w:r>
          </w:p>
        </w:tc>
      </w:tr>
      <w:tr w:rsidR="00B804F2" w:rsidRPr="00DE1699" w14:paraId="3524B66F" w14:textId="77777777" w:rsidTr="00F004BF">
        <w:trPr>
          <w:trHeight w:val="458"/>
        </w:trPr>
        <w:tc>
          <w:tcPr>
            <w:tcW w:w="1530" w:type="dxa"/>
            <w:vMerge w:val="restart"/>
          </w:tcPr>
          <w:p w14:paraId="4E4F652B" w14:textId="77777777" w:rsidR="00B804F2" w:rsidRPr="005A6420" w:rsidRDefault="00B804F2" w:rsidP="00B804F2">
            <w:pPr>
              <w:rPr>
                <w:rFonts w:cs="Tahoma"/>
                <w:szCs w:val="20"/>
                <w:lang w:val="fr-FR" w:eastAsia="en-US"/>
              </w:rPr>
            </w:pPr>
            <w:r w:rsidRPr="005A6420">
              <w:rPr>
                <w:rFonts w:cs="Tahoma"/>
                <w:szCs w:val="20"/>
                <w:lang w:val="fr-FR" w:eastAsia="en-US"/>
              </w:rPr>
              <w:t>Produit 3.1</w:t>
            </w:r>
          </w:p>
          <w:p w14:paraId="56E8FDBC" w14:textId="77777777" w:rsidR="00B804F2" w:rsidRPr="005A6420" w:rsidRDefault="00B804F2" w:rsidP="00B804F2">
            <w:pPr>
              <w:rPr>
                <w:rFonts w:cs="Tahoma"/>
                <w:szCs w:val="20"/>
                <w:lang w:val="fr-FR" w:eastAsia="en-US"/>
              </w:rPr>
            </w:pPr>
            <w:r w:rsidRPr="00905A33">
              <w:rPr>
                <w:lang w:val="fr-FR" w:eastAsia="en-US"/>
              </w:rPr>
              <w:t>Les Commissaires de la CVJRR et délégués de régions disposent des capacités techniques et opérationnelles pour mener à bien leurs travaux</w:t>
            </w:r>
          </w:p>
        </w:tc>
        <w:tc>
          <w:tcPr>
            <w:tcW w:w="2070" w:type="dxa"/>
            <w:shd w:val="clear" w:color="auto" w:fill="EEECE1"/>
          </w:tcPr>
          <w:p w14:paraId="435AF5CE"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3.1.1</w:t>
            </w:r>
          </w:p>
          <w:p w14:paraId="1394B7E1" w14:textId="77777777" w:rsidR="00B804F2" w:rsidRPr="005A6420" w:rsidRDefault="00B804F2" w:rsidP="00B804F2">
            <w:pPr>
              <w:jc w:val="both"/>
              <w:rPr>
                <w:rFonts w:cs="Tahoma"/>
                <w:szCs w:val="20"/>
                <w:lang w:val="fr-FR" w:eastAsia="en-US"/>
              </w:rPr>
            </w:pPr>
            <w:r w:rsidRPr="00905A33">
              <w:rPr>
                <w:lang w:val="fr-FR" w:eastAsia="en-US"/>
              </w:rPr>
              <w:t>Nombre de formations organisées pour les Commissaires et les délégués de région</w:t>
            </w:r>
          </w:p>
        </w:tc>
        <w:tc>
          <w:tcPr>
            <w:tcW w:w="1530" w:type="dxa"/>
            <w:shd w:val="clear" w:color="auto" w:fill="EEECE1"/>
          </w:tcPr>
          <w:p w14:paraId="4B5EF69F"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15282155" w14:textId="77777777" w:rsidR="00B804F2" w:rsidRPr="005A6420" w:rsidRDefault="00B804F2" w:rsidP="00B804F2">
            <w:pPr>
              <w:rPr>
                <w:lang w:val="fr-FR"/>
              </w:rPr>
            </w:pPr>
            <w:r>
              <w:rPr>
                <w:b/>
                <w:sz w:val="22"/>
                <w:szCs w:val="22"/>
                <w:lang w:val="fr-FR" w:eastAsia="en-US"/>
              </w:rPr>
              <w:t>12</w:t>
            </w:r>
          </w:p>
        </w:tc>
        <w:tc>
          <w:tcPr>
            <w:tcW w:w="2070" w:type="dxa"/>
          </w:tcPr>
          <w:p w14:paraId="3F937F1D" w14:textId="61402BA0" w:rsidR="00B804F2" w:rsidRPr="008F684C" w:rsidRDefault="00373B0B" w:rsidP="00B804F2">
            <w:pPr>
              <w:rPr>
                <w:sz w:val="22"/>
                <w:szCs w:val="22"/>
                <w:lang w:val="fr-FR" w:eastAsia="en-US"/>
              </w:rPr>
            </w:pPr>
            <w:r w:rsidRPr="008F684C">
              <w:rPr>
                <w:sz w:val="22"/>
                <w:szCs w:val="22"/>
                <w:lang w:val="fr-FR" w:eastAsia="en-US"/>
              </w:rPr>
              <w:t>Non disponible</w:t>
            </w:r>
          </w:p>
        </w:tc>
        <w:tc>
          <w:tcPr>
            <w:tcW w:w="2070" w:type="dxa"/>
          </w:tcPr>
          <w:p w14:paraId="18804F15" w14:textId="77777777" w:rsidR="00B804F2" w:rsidRPr="005A6420" w:rsidRDefault="00B804F2" w:rsidP="00B804F2">
            <w:pPr>
              <w:rPr>
                <w:lang w:val="fr-FR"/>
              </w:rPr>
            </w:pPr>
            <w:r>
              <w:rPr>
                <w:b/>
                <w:sz w:val="22"/>
                <w:szCs w:val="22"/>
                <w:lang w:val="fr-FR" w:eastAsia="en-US"/>
              </w:rPr>
              <w:t>0</w:t>
            </w:r>
          </w:p>
        </w:tc>
        <w:tc>
          <w:tcPr>
            <w:tcW w:w="4140" w:type="dxa"/>
          </w:tcPr>
          <w:p w14:paraId="0D66A06A" w14:textId="77777777" w:rsidR="00B804F2" w:rsidRPr="005A6420" w:rsidRDefault="001A616F" w:rsidP="001A616F">
            <w:pPr>
              <w:rPr>
                <w:lang w:val="fr-FR"/>
              </w:rPr>
            </w:pPr>
            <w:r w:rsidRPr="0084070E">
              <w:rPr>
                <w:sz w:val="22"/>
                <w:szCs w:val="22"/>
                <w:lang w:val="fr-FR" w:eastAsia="en-US"/>
              </w:rPr>
              <w:t>Possible uniquement après établissement de la CVJRR</w:t>
            </w:r>
          </w:p>
        </w:tc>
      </w:tr>
      <w:tr w:rsidR="00B804F2" w:rsidRPr="00DE1699" w14:paraId="5CD3FC72" w14:textId="77777777" w:rsidTr="00F004BF">
        <w:trPr>
          <w:trHeight w:val="458"/>
        </w:trPr>
        <w:tc>
          <w:tcPr>
            <w:tcW w:w="1530" w:type="dxa"/>
            <w:vMerge/>
          </w:tcPr>
          <w:p w14:paraId="5C779571" w14:textId="77777777" w:rsidR="00B804F2" w:rsidRPr="005A6420" w:rsidRDefault="00B804F2" w:rsidP="00B804F2">
            <w:pPr>
              <w:rPr>
                <w:rFonts w:cs="Tahoma"/>
                <w:szCs w:val="20"/>
                <w:lang w:val="fr-FR" w:eastAsia="en-US"/>
              </w:rPr>
            </w:pPr>
          </w:p>
        </w:tc>
        <w:tc>
          <w:tcPr>
            <w:tcW w:w="2070" w:type="dxa"/>
            <w:shd w:val="clear" w:color="auto" w:fill="EEECE1"/>
          </w:tcPr>
          <w:p w14:paraId="72ACF713"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3.1.2</w:t>
            </w:r>
          </w:p>
          <w:p w14:paraId="708F8ABC" w14:textId="77777777" w:rsidR="00B804F2" w:rsidRPr="005A6420" w:rsidRDefault="00B804F2" w:rsidP="00B804F2">
            <w:pPr>
              <w:jc w:val="both"/>
              <w:rPr>
                <w:rFonts w:cs="Tahoma"/>
                <w:szCs w:val="20"/>
                <w:lang w:val="fr-FR" w:eastAsia="en-US"/>
              </w:rPr>
            </w:pPr>
            <w:r w:rsidRPr="00905A33">
              <w:rPr>
                <w:lang w:val="fr-FR" w:eastAsia="en-US"/>
              </w:rPr>
              <w:t>La stratégie d’intervention et le manuel de procédures de la CVJRR élaborés et validés</w:t>
            </w:r>
          </w:p>
        </w:tc>
        <w:tc>
          <w:tcPr>
            <w:tcW w:w="1530" w:type="dxa"/>
            <w:shd w:val="clear" w:color="auto" w:fill="EEECE1"/>
          </w:tcPr>
          <w:p w14:paraId="4DCA51CC" w14:textId="77777777" w:rsidR="00B804F2" w:rsidRPr="005A6420" w:rsidRDefault="00B804F2" w:rsidP="00B804F2">
            <w:pPr>
              <w:rPr>
                <w:lang w:val="fr-FR"/>
              </w:rPr>
            </w:pPr>
            <w:r w:rsidRPr="00905A33">
              <w:rPr>
                <w:lang w:val="fr-FR" w:eastAsia="en-US"/>
              </w:rPr>
              <w:t>0 stratégie d’intervention ; 0 manuel de procédures</w:t>
            </w:r>
          </w:p>
        </w:tc>
        <w:tc>
          <w:tcPr>
            <w:tcW w:w="1620" w:type="dxa"/>
            <w:shd w:val="clear" w:color="auto" w:fill="EEECE1"/>
          </w:tcPr>
          <w:p w14:paraId="65B0D08E" w14:textId="77777777" w:rsidR="00B804F2" w:rsidRPr="002602B4" w:rsidRDefault="00B804F2" w:rsidP="00B804F2">
            <w:pPr>
              <w:rPr>
                <w:lang w:val="fr-FR"/>
              </w:rPr>
            </w:pPr>
            <w:r>
              <w:rPr>
                <w:lang w:val="fr-FR" w:eastAsia="en-US"/>
              </w:rPr>
              <w:t xml:space="preserve">1 </w:t>
            </w:r>
            <w:r w:rsidRPr="00905A33">
              <w:rPr>
                <w:lang w:val="fr-FR" w:eastAsia="en-US"/>
              </w:rPr>
              <w:t>stratégie d’information élaborée, validée et diffusée auprès de la p</w:t>
            </w:r>
            <w:r w:rsidRPr="002602B4">
              <w:rPr>
                <w:lang w:val="fr-FR"/>
              </w:rPr>
              <w:t>opulation</w:t>
            </w:r>
          </w:p>
          <w:p w14:paraId="4B3DC26F" w14:textId="77777777" w:rsidR="00B804F2" w:rsidRPr="005A6420" w:rsidRDefault="00B804F2" w:rsidP="00B804F2">
            <w:pPr>
              <w:rPr>
                <w:lang w:val="fr-FR"/>
              </w:rPr>
            </w:pPr>
            <w:r w:rsidRPr="002602B4">
              <w:rPr>
                <w:lang w:val="fr-FR"/>
              </w:rPr>
              <w:t xml:space="preserve">1 manuel de saisine et 1 manuel de </w:t>
            </w:r>
            <w:r w:rsidRPr="002602B4">
              <w:rPr>
                <w:lang w:val="fr-FR"/>
              </w:rPr>
              <w:lastRenderedPageBreak/>
              <w:t>procédure disponibles en français et Sango</w:t>
            </w:r>
          </w:p>
        </w:tc>
        <w:tc>
          <w:tcPr>
            <w:tcW w:w="2070" w:type="dxa"/>
          </w:tcPr>
          <w:p w14:paraId="1B58F6EA" w14:textId="75D67F2D" w:rsidR="00B804F2" w:rsidRPr="003B514E" w:rsidRDefault="00373B0B" w:rsidP="00B804F2">
            <w:pPr>
              <w:rPr>
                <w:lang w:val="fr-FR"/>
              </w:rPr>
            </w:pPr>
            <w:r w:rsidRPr="008F684C">
              <w:rPr>
                <w:sz w:val="22"/>
                <w:szCs w:val="22"/>
                <w:lang w:val="fr-FR" w:eastAsia="en-US"/>
              </w:rPr>
              <w:lastRenderedPageBreak/>
              <w:t>Non disponible</w:t>
            </w:r>
          </w:p>
        </w:tc>
        <w:tc>
          <w:tcPr>
            <w:tcW w:w="2070" w:type="dxa"/>
          </w:tcPr>
          <w:p w14:paraId="3F0539A3" w14:textId="77777777" w:rsidR="00B804F2" w:rsidRPr="005A6420" w:rsidRDefault="00B804F2" w:rsidP="00B804F2">
            <w:pPr>
              <w:rPr>
                <w:lang w:val="fr-FR"/>
              </w:rPr>
            </w:pPr>
            <w:r>
              <w:rPr>
                <w:b/>
                <w:sz w:val="22"/>
                <w:szCs w:val="22"/>
                <w:lang w:val="fr-FR" w:eastAsia="en-US"/>
              </w:rPr>
              <w:t>0</w:t>
            </w:r>
          </w:p>
        </w:tc>
        <w:tc>
          <w:tcPr>
            <w:tcW w:w="4140" w:type="dxa"/>
          </w:tcPr>
          <w:p w14:paraId="4680F8C2"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DE1699" w14:paraId="12BA716B" w14:textId="77777777" w:rsidTr="00F004BF">
        <w:trPr>
          <w:trHeight w:val="458"/>
        </w:trPr>
        <w:tc>
          <w:tcPr>
            <w:tcW w:w="1530" w:type="dxa"/>
            <w:vMerge w:val="restart"/>
          </w:tcPr>
          <w:p w14:paraId="4B8896AD" w14:textId="77777777" w:rsidR="00B804F2" w:rsidRPr="005A6420" w:rsidRDefault="00B804F2" w:rsidP="00B804F2">
            <w:pPr>
              <w:rPr>
                <w:rFonts w:cs="Tahoma"/>
                <w:szCs w:val="20"/>
                <w:lang w:val="fr-FR" w:eastAsia="en-US"/>
              </w:rPr>
            </w:pPr>
            <w:r w:rsidRPr="005A6420">
              <w:rPr>
                <w:rFonts w:cs="Tahoma"/>
                <w:szCs w:val="20"/>
                <w:lang w:val="fr-FR" w:eastAsia="en-US"/>
              </w:rPr>
              <w:t>Produit 3.2</w:t>
            </w:r>
          </w:p>
          <w:p w14:paraId="52094EF3" w14:textId="77777777" w:rsidR="00B804F2" w:rsidRPr="005A6420" w:rsidRDefault="00B804F2" w:rsidP="00B804F2">
            <w:pPr>
              <w:rPr>
                <w:rFonts w:cs="Tahoma"/>
                <w:szCs w:val="20"/>
                <w:lang w:val="fr-FR" w:eastAsia="en-US"/>
              </w:rPr>
            </w:pPr>
            <w:r w:rsidRPr="00905A33">
              <w:rPr>
                <w:lang w:val="fr-FR" w:eastAsia="en-US"/>
              </w:rPr>
              <w:t xml:space="preserve">Les leaders communautaires et les organisations de la société civile - en particulier les associations de victimes, les ONG de défense des droits humains, les Comités locaux de paix et de réconciliation - sont préparés à contribuer à la bonne </w:t>
            </w:r>
            <w:r w:rsidRPr="00905A33">
              <w:rPr>
                <w:lang w:val="fr-FR" w:eastAsia="en-US"/>
              </w:rPr>
              <w:lastRenderedPageBreak/>
              <w:t>conduite des activités de la CVJRR</w:t>
            </w:r>
          </w:p>
        </w:tc>
        <w:tc>
          <w:tcPr>
            <w:tcW w:w="2070" w:type="dxa"/>
            <w:shd w:val="clear" w:color="auto" w:fill="EEECE1"/>
          </w:tcPr>
          <w:p w14:paraId="4A26B3E4"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3.2.1</w:t>
            </w:r>
          </w:p>
          <w:p w14:paraId="49D01615" w14:textId="77777777" w:rsidR="00B804F2" w:rsidRPr="005A6420" w:rsidRDefault="00B804F2" w:rsidP="00B804F2">
            <w:pPr>
              <w:jc w:val="both"/>
              <w:rPr>
                <w:rFonts w:cs="Tahoma"/>
                <w:szCs w:val="20"/>
                <w:lang w:val="fr-FR" w:eastAsia="en-US"/>
              </w:rPr>
            </w:pPr>
            <w:r w:rsidRPr="00905A33">
              <w:rPr>
                <w:lang w:val="fr-FR" w:eastAsia="en-US"/>
              </w:rPr>
              <w:t>1 mécanisme de concertation CVJRR / société civile instauré et effectif</w:t>
            </w:r>
          </w:p>
        </w:tc>
        <w:tc>
          <w:tcPr>
            <w:tcW w:w="1530" w:type="dxa"/>
            <w:shd w:val="clear" w:color="auto" w:fill="EEECE1"/>
          </w:tcPr>
          <w:p w14:paraId="4EEBFED1" w14:textId="77777777" w:rsidR="00B804F2" w:rsidRPr="005A6420" w:rsidRDefault="00B804F2" w:rsidP="00B804F2">
            <w:pPr>
              <w:rPr>
                <w:lang w:val="fr-FR"/>
              </w:rPr>
            </w:pPr>
            <w:r w:rsidRPr="00905A33">
              <w:rPr>
                <w:lang w:val="fr-FR" w:eastAsia="en-US"/>
              </w:rPr>
              <w:t>0 cadre de concertation, 0 réunion du mécanisme de concertation</w:t>
            </w:r>
          </w:p>
        </w:tc>
        <w:tc>
          <w:tcPr>
            <w:tcW w:w="1620" w:type="dxa"/>
            <w:shd w:val="clear" w:color="auto" w:fill="EEECE1"/>
          </w:tcPr>
          <w:p w14:paraId="4E9B73F0" w14:textId="77777777" w:rsidR="00B804F2" w:rsidRPr="005A6420" w:rsidRDefault="00B804F2" w:rsidP="00B804F2">
            <w:pPr>
              <w:rPr>
                <w:lang w:val="fr-FR"/>
              </w:rPr>
            </w:pPr>
            <w:r w:rsidRPr="00905A33">
              <w:rPr>
                <w:lang w:val="fr-FR" w:eastAsia="en-US"/>
              </w:rPr>
              <w:t>12 réunion du mécanisme de concertation ; au moins 3 MoU signés entre la</w:t>
            </w:r>
            <w:r w:rsidRPr="002602B4">
              <w:rPr>
                <w:lang w:val="fr-FR"/>
              </w:rPr>
              <w:t xml:space="preserve"> </w:t>
            </w:r>
            <w:r w:rsidRPr="00905A33">
              <w:rPr>
                <w:lang w:val="fr-FR" w:eastAsia="en-US"/>
              </w:rPr>
              <w:t>CVJRR et les OSC</w:t>
            </w:r>
          </w:p>
        </w:tc>
        <w:tc>
          <w:tcPr>
            <w:tcW w:w="2070" w:type="dxa"/>
          </w:tcPr>
          <w:p w14:paraId="3CBB9A20" w14:textId="40D9CA53" w:rsidR="00B804F2" w:rsidRPr="003B514E" w:rsidRDefault="00373B0B" w:rsidP="00B804F2">
            <w:pPr>
              <w:rPr>
                <w:lang w:val="fr-FR"/>
              </w:rPr>
            </w:pPr>
            <w:r w:rsidRPr="008F684C">
              <w:rPr>
                <w:sz w:val="22"/>
                <w:szCs w:val="22"/>
                <w:lang w:val="fr-FR" w:eastAsia="en-US"/>
              </w:rPr>
              <w:t>Non disponible</w:t>
            </w:r>
          </w:p>
        </w:tc>
        <w:tc>
          <w:tcPr>
            <w:tcW w:w="2070" w:type="dxa"/>
          </w:tcPr>
          <w:p w14:paraId="04149299" w14:textId="77777777" w:rsidR="00B804F2" w:rsidRPr="005A6420" w:rsidRDefault="00B804F2" w:rsidP="00B804F2">
            <w:pPr>
              <w:rPr>
                <w:lang w:val="fr-FR"/>
              </w:rPr>
            </w:pPr>
            <w:r>
              <w:rPr>
                <w:b/>
                <w:sz w:val="22"/>
                <w:szCs w:val="22"/>
                <w:lang w:val="fr-FR" w:eastAsia="en-US"/>
              </w:rPr>
              <w:t>0</w:t>
            </w:r>
          </w:p>
        </w:tc>
        <w:tc>
          <w:tcPr>
            <w:tcW w:w="4140" w:type="dxa"/>
          </w:tcPr>
          <w:p w14:paraId="2448AA4F"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DE1699" w14:paraId="7AB736ED" w14:textId="77777777" w:rsidTr="00F004BF">
        <w:trPr>
          <w:trHeight w:val="458"/>
        </w:trPr>
        <w:tc>
          <w:tcPr>
            <w:tcW w:w="1530" w:type="dxa"/>
            <w:vMerge/>
          </w:tcPr>
          <w:p w14:paraId="159DCBBF" w14:textId="77777777" w:rsidR="00B804F2" w:rsidRPr="005A6420" w:rsidRDefault="00B804F2" w:rsidP="00B804F2">
            <w:pPr>
              <w:rPr>
                <w:rFonts w:cs="Tahoma"/>
                <w:b/>
                <w:szCs w:val="20"/>
                <w:lang w:val="fr-FR" w:eastAsia="en-US"/>
              </w:rPr>
            </w:pPr>
          </w:p>
        </w:tc>
        <w:tc>
          <w:tcPr>
            <w:tcW w:w="2070" w:type="dxa"/>
            <w:shd w:val="clear" w:color="auto" w:fill="EEECE1"/>
          </w:tcPr>
          <w:p w14:paraId="619E28DD"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3.2.2</w:t>
            </w:r>
          </w:p>
          <w:p w14:paraId="0B929542" w14:textId="77777777" w:rsidR="00B804F2" w:rsidRPr="005A6420" w:rsidRDefault="00B804F2" w:rsidP="00B804F2">
            <w:pPr>
              <w:jc w:val="both"/>
              <w:rPr>
                <w:rFonts w:cs="Tahoma"/>
                <w:szCs w:val="20"/>
                <w:lang w:val="fr-FR" w:eastAsia="en-US"/>
              </w:rPr>
            </w:pPr>
            <w:r w:rsidRPr="00905A33">
              <w:rPr>
                <w:lang w:val="fr-FR" w:eastAsia="en-US"/>
              </w:rPr>
              <w:t>Nombre de formations dédiées à la prise en charge des femmes et des enfants</w:t>
            </w:r>
          </w:p>
        </w:tc>
        <w:tc>
          <w:tcPr>
            <w:tcW w:w="1530" w:type="dxa"/>
            <w:shd w:val="clear" w:color="auto" w:fill="EEECE1"/>
          </w:tcPr>
          <w:p w14:paraId="1174B8D5" w14:textId="77777777" w:rsidR="00B804F2" w:rsidRPr="005A6420" w:rsidRDefault="00B804F2" w:rsidP="00B804F2">
            <w:pPr>
              <w:rPr>
                <w:lang w:val="fr-FR"/>
              </w:rPr>
            </w:pPr>
            <w:r>
              <w:rPr>
                <w:lang w:val="fr-FR" w:eastAsia="en-US"/>
              </w:rPr>
              <w:t>0</w:t>
            </w:r>
          </w:p>
        </w:tc>
        <w:tc>
          <w:tcPr>
            <w:tcW w:w="1620" w:type="dxa"/>
            <w:shd w:val="clear" w:color="auto" w:fill="EEECE1"/>
          </w:tcPr>
          <w:p w14:paraId="45E36B2A" w14:textId="77777777" w:rsidR="00B804F2" w:rsidRPr="005A6420" w:rsidRDefault="00B804F2" w:rsidP="00B804F2">
            <w:pPr>
              <w:rPr>
                <w:lang w:val="fr-FR"/>
              </w:rPr>
            </w:pPr>
            <w:r w:rsidRPr="00472BB7">
              <w:rPr>
                <w:lang w:val="fr-FR" w:eastAsia="en-US"/>
              </w:rPr>
              <w:t>4 formations sur les prises en charges spécifiques ; 2 guides de prise en charge des femmes et des enfants élaborés et validés</w:t>
            </w:r>
          </w:p>
        </w:tc>
        <w:tc>
          <w:tcPr>
            <w:tcW w:w="2070" w:type="dxa"/>
          </w:tcPr>
          <w:p w14:paraId="40931568" w14:textId="1C5D6359" w:rsidR="00B804F2" w:rsidRPr="00913CF7" w:rsidRDefault="00373B0B" w:rsidP="00B804F2">
            <w:pPr>
              <w:rPr>
                <w:lang w:val="fr-FR"/>
              </w:rPr>
            </w:pPr>
            <w:r w:rsidRPr="008F684C">
              <w:rPr>
                <w:sz w:val="22"/>
                <w:szCs w:val="22"/>
                <w:lang w:val="fr-FR" w:eastAsia="en-US"/>
              </w:rPr>
              <w:t>Non disponible</w:t>
            </w:r>
          </w:p>
        </w:tc>
        <w:tc>
          <w:tcPr>
            <w:tcW w:w="2070" w:type="dxa"/>
          </w:tcPr>
          <w:p w14:paraId="65A906E1" w14:textId="77777777" w:rsidR="00B804F2" w:rsidRPr="005A6420" w:rsidRDefault="00B804F2" w:rsidP="00B804F2">
            <w:pPr>
              <w:rPr>
                <w:lang w:val="fr-FR"/>
              </w:rPr>
            </w:pPr>
            <w:r>
              <w:rPr>
                <w:b/>
                <w:sz w:val="22"/>
                <w:szCs w:val="22"/>
                <w:lang w:val="fr-FR" w:eastAsia="en-US"/>
              </w:rPr>
              <w:t>0</w:t>
            </w:r>
          </w:p>
        </w:tc>
        <w:tc>
          <w:tcPr>
            <w:tcW w:w="4140" w:type="dxa"/>
          </w:tcPr>
          <w:p w14:paraId="2079C640"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DE1699" w14:paraId="01E62D94" w14:textId="77777777" w:rsidTr="00F004BF">
        <w:trPr>
          <w:trHeight w:val="458"/>
        </w:trPr>
        <w:tc>
          <w:tcPr>
            <w:tcW w:w="1530" w:type="dxa"/>
            <w:vMerge w:val="restart"/>
          </w:tcPr>
          <w:p w14:paraId="61C30C58" w14:textId="77777777" w:rsidR="00B804F2" w:rsidRPr="005A6420" w:rsidRDefault="00B804F2" w:rsidP="00B804F2">
            <w:pPr>
              <w:rPr>
                <w:rFonts w:cs="Tahoma"/>
                <w:szCs w:val="20"/>
                <w:lang w:val="fr-FR" w:eastAsia="en-US"/>
              </w:rPr>
            </w:pPr>
            <w:r w:rsidRPr="005A6420">
              <w:rPr>
                <w:rFonts w:cs="Tahoma"/>
                <w:szCs w:val="20"/>
                <w:lang w:val="fr-FR" w:eastAsia="en-US"/>
              </w:rPr>
              <w:t>Produit 3.3</w:t>
            </w:r>
          </w:p>
          <w:p w14:paraId="12BD7BB1" w14:textId="77777777" w:rsidR="00B804F2" w:rsidRPr="005A6420" w:rsidRDefault="00B804F2" w:rsidP="00B804F2">
            <w:pPr>
              <w:rPr>
                <w:rFonts w:cs="Tahoma"/>
                <w:szCs w:val="20"/>
                <w:lang w:val="fr-FR" w:eastAsia="en-US"/>
              </w:rPr>
            </w:pPr>
            <w:r w:rsidRPr="00472BB7">
              <w:rPr>
                <w:lang w:val="fr-FR" w:eastAsia="en-US"/>
              </w:rPr>
              <w:t>Un appui technique opérationnel est fourni pour la mise en place d’un cadre d’archivage et de protection des données</w:t>
            </w:r>
          </w:p>
        </w:tc>
        <w:tc>
          <w:tcPr>
            <w:tcW w:w="2070" w:type="dxa"/>
            <w:shd w:val="clear" w:color="auto" w:fill="EEECE1"/>
          </w:tcPr>
          <w:p w14:paraId="0A3EE21D"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3.3.1</w:t>
            </w:r>
          </w:p>
          <w:p w14:paraId="2975177A" w14:textId="77777777" w:rsidR="00B804F2" w:rsidRPr="005A6420" w:rsidRDefault="00B804F2" w:rsidP="00B804F2">
            <w:pPr>
              <w:jc w:val="both"/>
              <w:rPr>
                <w:rFonts w:cs="Tahoma"/>
                <w:szCs w:val="20"/>
                <w:lang w:val="fr-FR" w:eastAsia="en-US"/>
              </w:rPr>
            </w:pPr>
            <w:r w:rsidRPr="00472BB7">
              <w:rPr>
                <w:lang w:val="fr-FR" w:eastAsia="en-US"/>
              </w:rPr>
              <w:t xml:space="preserve">Un </w:t>
            </w:r>
            <w:r w:rsidRPr="009C0D7E">
              <w:rPr>
                <w:lang w:val="fr-FR"/>
              </w:rPr>
              <w:t>l</w:t>
            </w:r>
            <w:r w:rsidRPr="00472BB7">
              <w:rPr>
                <w:lang w:val="fr-FR" w:eastAsia="en-US"/>
              </w:rPr>
              <w:t>ogiciel de collecte et de sauvegarde des données élaboré et fonctionnel</w:t>
            </w:r>
          </w:p>
        </w:tc>
        <w:tc>
          <w:tcPr>
            <w:tcW w:w="1530" w:type="dxa"/>
            <w:shd w:val="clear" w:color="auto" w:fill="EEECE1"/>
          </w:tcPr>
          <w:p w14:paraId="0C126BDB"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39C05D71" w14:textId="77777777" w:rsidR="00B804F2" w:rsidRPr="009C0D7E" w:rsidRDefault="00B804F2" w:rsidP="00B804F2">
            <w:pPr>
              <w:rPr>
                <w:lang w:val="fr-FR" w:eastAsia="en-US"/>
              </w:rPr>
            </w:pPr>
            <w:r w:rsidRPr="009C0D7E">
              <w:rPr>
                <w:lang w:val="fr-FR" w:eastAsia="en-US"/>
              </w:rPr>
              <w:t xml:space="preserve">1 progiciel élaboré et disponible ; au moins 4 formations organisées sur la prise en main du logiciel </w:t>
            </w:r>
          </w:p>
          <w:p w14:paraId="23CD8A53" w14:textId="77777777" w:rsidR="00B804F2" w:rsidRPr="005A6420" w:rsidRDefault="00B804F2" w:rsidP="00B804F2">
            <w:pPr>
              <w:rPr>
                <w:lang w:val="fr-FR"/>
              </w:rPr>
            </w:pPr>
          </w:p>
        </w:tc>
        <w:tc>
          <w:tcPr>
            <w:tcW w:w="2070" w:type="dxa"/>
          </w:tcPr>
          <w:p w14:paraId="1F405690" w14:textId="689CB1A0" w:rsidR="00B804F2" w:rsidRPr="005A6420" w:rsidRDefault="00373B0B" w:rsidP="00B804F2">
            <w:pPr>
              <w:rPr>
                <w:lang w:val="fr-FR"/>
              </w:rPr>
            </w:pPr>
            <w:r w:rsidRPr="008F684C">
              <w:rPr>
                <w:sz w:val="22"/>
                <w:szCs w:val="22"/>
                <w:lang w:val="fr-FR" w:eastAsia="en-US"/>
              </w:rPr>
              <w:t>Non disponible</w:t>
            </w:r>
          </w:p>
        </w:tc>
        <w:tc>
          <w:tcPr>
            <w:tcW w:w="2070" w:type="dxa"/>
          </w:tcPr>
          <w:p w14:paraId="0245A5F0" w14:textId="77777777" w:rsidR="00B804F2" w:rsidRPr="005A6420" w:rsidRDefault="00B804F2" w:rsidP="00B804F2">
            <w:pPr>
              <w:rPr>
                <w:lang w:val="fr-FR"/>
              </w:rPr>
            </w:pPr>
            <w:r>
              <w:rPr>
                <w:b/>
                <w:sz w:val="22"/>
                <w:szCs w:val="22"/>
                <w:lang w:val="fr-FR" w:eastAsia="en-US"/>
              </w:rPr>
              <w:t>0</w:t>
            </w:r>
          </w:p>
        </w:tc>
        <w:tc>
          <w:tcPr>
            <w:tcW w:w="4140" w:type="dxa"/>
          </w:tcPr>
          <w:p w14:paraId="44FB9093"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DE1699" w14:paraId="17231002" w14:textId="77777777" w:rsidTr="00F004BF">
        <w:trPr>
          <w:trHeight w:val="458"/>
        </w:trPr>
        <w:tc>
          <w:tcPr>
            <w:tcW w:w="1530" w:type="dxa"/>
            <w:vMerge/>
          </w:tcPr>
          <w:p w14:paraId="766F2688" w14:textId="77777777" w:rsidR="00B804F2" w:rsidRPr="005A6420" w:rsidRDefault="00B804F2" w:rsidP="00B804F2">
            <w:pPr>
              <w:rPr>
                <w:rFonts w:cs="Tahoma"/>
                <w:b/>
                <w:szCs w:val="20"/>
                <w:lang w:val="fr-FR" w:eastAsia="en-US"/>
              </w:rPr>
            </w:pPr>
          </w:p>
        </w:tc>
        <w:tc>
          <w:tcPr>
            <w:tcW w:w="2070" w:type="dxa"/>
            <w:shd w:val="clear" w:color="auto" w:fill="EEECE1"/>
          </w:tcPr>
          <w:p w14:paraId="21263036"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3.3.2</w:t>
            </w:r>
          </w:p>
          <w:p w14:paraId="51145B50" w14:textId="77777777" w:rsidR="00B804F2" w:rsidRPr="005A6420" w:rsidRDefault="00B804F2" w:rsidP="00B804F2">
            <w:pPr>
              <w:jc w:val="both"/>
              <w:rPr>
                <w:rFonts w:cs="Tahoma"/>
                <w:szCs w:val="20"/>
                <w:lang w:val="fr-FR" w:eastAsia="en-US"/>
              </w:rPr>
            </w:pPr>
            <w:r w:rsidRPr="00472BB7">
              <w:rPr>
                <w:lang w:val="fr-FR" w:eastAsia="en-US"/>
              </w:rPr>
              <w:t>Un cadre règlementaire pour la sauvegarde et l’utilisation des données collectées élaboré et validé par le</w:t>
            </w:r>
            <w:r>
              <w:rPr>
                <w:lang w:val="fr-FR" w:eastAsia="en-US"/>
              </w:rPr>
              <w:t>s</w:t>
            </w:r>
            <w:r w:rsidRPr="00472BB7">
              <w:rPr>
                <w:lang w:val="fr-FR" w:eastAsia="en-US"/>
              </w:rPr>
              <w:t xml:space="preserve"> parties prenantes du processus</w:t>
            </w:r>
          </w:p>
        </w:tc>
        <w:tc>
          <w:tcPr>
            <w:tcW w:w="1530" w:type="dxa"/>
            <w:shd w:val="clear" w:color="auto" w:fill="EEECE1"/>
          </w:tcPr>
          <w:p w14:paraId="14FFE1C9" w14:textId="77777777" w:rsidR="00B804F2" w:rsidRPr="005A6420" w:rsidRDefault="00B804F2" w:rsidP="00B804F2">
            <w:pPr>
              <w:rPr>
                <w:lang w:val="fr-FR"/>
              </w:rPr>
            </w:pPr>
            <w:r>
              <w:rPr>
                <w:b/>
                <w:sz w:val="22"/>
                <w:szCs w:val="22"/>
                <w:lang w:val="fr-FR" w:eastAsia="en-US"/>
              </w:rPr>
              <w:t>0</w:t>
            </w:r>
          </w:p>
        </w:tc>
        <w:tc>
          <w:tcPr>
            <w:tcW w:w="1620" w:type="dxa"/>
            <w:shd w:val="clear" w:color="auto" w:fill="EEECE1"/>
          </w:tcPr>
          <w:p w14:paraId="378587B4" w14:textId="77777777" w:rsidR="00B804F2" w:rsidRPr="003B514E" w:rsidRDefault="00B804F2" w:rsidP="00B804F2">
            <w:pPr>
              <w:rPr>
                <w:lang w:val="fr-FR"/>
              </w:rPr>
            </w:pPr>
            <w:r w:rsidRPr="008F684C">
              <w:rPr>
                <w:sz w:val="22"/>
                <w:szCs w:val="22"/>
                <w:lang w:val="fr-FR" w:eastAsia="en-US"/>
              </w:rPr>
              <w:t>1</w:t>
            </w:r>
          </w:p>
        </w:tc>
        <w:tc>
          <w:tcPr>
            <w:tcW w:w="2070" w:type="dxa"/>
          </w:tcPr>
          <w:p w14:paraId="18B3DA43" w14:textId="5E5722E9" w:rsidR="00B804F2" w:rsidRPr="003B514E" w:rsidRDefault="00373B0B" w:rsidP="00B804F2">
            <w:pPr>
              <w:rPr>
                <w:lang w:val="fr-FR"/>
              </w:rPr>
            </w:pPr>
            <w:r w:rsidRPr="008F684C">
              <w:rPr>
                <w:sz w:val="22"/>
                <w:szCs w:val="22"/>
                <w:lang w:val="fr-FR" w:eastAsia="en-US"/>
              </w:rPr>
              <w:t>Non disponible</w:t>
            </w:r>
          </w:p>
        </w:tc>
        <w:tc>
          <w:tcPr>
            <w:tcW w:w="2070" w:type="dxa"/>
          </w:tcPr>
          <w:p w14:paraId="46C8F5F6" w14:textId="77777777" w:rsidR="00B804F2" w:rsidRPr="005A6420" w:rsidRDefault="00B804F2" w:rsidP="00B804F2">
            <w:pPr>
              <w:rPr>
                <w:lang w:val="fr-FR"/>
              </w:rPr>
            </w:pPr>
            <w:r>
              <w:rPr>
                <w:b/>
                <w:sz w:val="22"/>
                <w:szCs w:val="22"/>
                <w:lang w:val="fr-FR" w:eastAsia="en-US"/>
              </w:rPr>
              <w:t>0</w:t>
            </w:r>
          </w:p>
        </w:tc>
        <w:tc>
          <w:tcPr>
            <w:tcW w:w="4140" w:type="dxa"/>
          </w:tcPr>
          <w:p w14:paraId="2690ABFF" w14:textId="77777777" w:rsidR="00B804F2" w:rsidRPr="005A6420" w:rsidRDefault="001A616F" w:rsidP="00B804F2">
            <w:pPr>
              <w:rPr>
                <w:lang w:val="fr-FR"/>
              </w:rPr>
            </w:pPr>
            <w:r w:rsidRPr="0084070E">
              <w:rPr>
                <w:sz w:val="22"/>
                <w:szCs w:val="22"/>
                <w:lang w:val="fr-FR" w:eastAsia="en-US"/>
              </w:rPr>
              <w:t>Possible uniquement après établissement de la CVJRR</w:t>
            </w:r>
          </w:p>
        </w:tc>
      </w:tr>
      <w:tr w:rsidR="00B804F2" w:rsidRPr="00DE1699" w14:paraId="56548B72" w14:textId="77777777" w:rsidTr="00F004BF">
        <w:trPr>
          <w:trHeight w:val="458"/>
        </w:trPr>
        <w:tc>
          <w:tcPr>
            <w:tcW w:w="1530" w:type="dxa"/>
            <w:vMerge w:val="restart"/>
          </w:tcPr>
          <w:p w14:paraId="3729E34F" w14:textId="77777777" w:rsidR="00B804F2" w:rsidRPr="005A6420" w:rsidRDefault="00B804F2" w:rsidP="00B804F2">
            <w:pPr>
              <w:rPr>
                <w:rFonts w:cs="Tahoma"/>
                <w:b/>
                <w:szCs w:val="20"/>
                <w:lang w:val="fr-FR" w:eastAsia="en-US"/>
              </w:rPr>
            </w:pPr>
            <w:r w:rsidRPr="005A6420">
              <w:rPr>
                <w:rFonts w:cs="Tahoma"/>
                <w:b/>
                <w:szCs w:val="20"/>
                <w:lang w:val="fr-FR" w:eastAsia="en-US"/>
              </w:rPr>
              <w:t>Résultat 4</w:t>
            </w:r>
          </w:p>
          <w:p w14:paraId="5D022B95" w14:textId="3081D767" w:rsidR="00B804F2" w:rsidRPr="005A6420" w:rsidRDefault="00B804F2" w:rsidP="00B804F2">
            <w:pPr>
              <w:rPr>
                <w:rFonts w:cs="Tahoma"/>
                <w:b/>
                <w:szCs w:val="20"/>
                <w:lang w:val="fr-FR" w:eastAsia="en-US"/>
              </w:rPr>
            </w:pPr>
            <w:r w:rsidRPr="00F40081">
              <w:rPr>
                <w:lang w:val="fr-FR"/>
              </w:rPr>
              <w:t xml:space="preserve">Institutions de la justice </w:t>
            </w:r>
            <w:r w:rsidRPr="00F40081">
              <w:rPr>
                <w:lang w:val="fr-FR"/>
              </w:rPr>
              <w:lastRenderedPageBreak/>
              <w:t>transitionnelle ont les capacités techniques et opérationnelle</w:t>
            </w:r>
            <w:r>
              <w:rPr>
                <w:lang w:val="fr-FR"/>
              </w:rPr>
              <w:t>s</w:t>
            </w:r>
            <w:r w:rsidRPr="00F40081">
              <w:rPr>
                <w:lang w:val="fr-FR"/>
              </w:rPr>
              <w:t xml:space="preserve"> pour assurer l'accès des femmes à la justice et à la vérité, et les organisations de la </w:t>
            </w:r>
            <w:r w:rsidR="008F684C" w:rsidRPr="00F40081">
              <w:rPr>
                <w:lang w:val="fr-FR"/>
              </w:rPr>
              <w:t>société</w:t>
            </w:r>
            <w:r w:rsidRPr="00F40081">
              <w:rPr>
                <w:lang w:val="fr-FR"/>
              </w:rPr>
              <w:t xml:space="preserve"> civile ont les capacités </w:t>
            </w:r>
            <w:r w:rsidR="008F684C" w:rsidRPr="00F40081">
              <w:rPr>
                <w:lang w:val="fr-FR"/>
              </w:rPr>
              <w:t>requises</w:t>
            </w:r>
            <w:r w:rsidRPr="00F40081">
              <w:rPr>
                <w:lang w:val="fr-FR"/>
              </w:rPr>
              <w:t xml:space="preserve"> pour fournir un appui psycho social aux victimes</w:t>
            </w:r>
          </w:p>
        </w:tc>
        <w:tc>
          <w:tcPr>
            <w:tcW w:w="2070" w:type="dxa"/>
            <w:shd w:val="clear" w:color="auto" w:fill="EEECE1"/>
          </w:tcPr>
          <w:p w14:paraId="374EE3D2" w14:textId="77777777" w:rsidR="00B804F2" w:rsidRPr="005A6420" w:rsidRDefault="00B804F2" w:rsidP="00B804F2">
            <w:pPr>
              <w:jc w:val="both"/>
              <w:rPr>
                <w:rFonts w:cs="Tahoma"/>
                <w:szCs w:val="20"/>
                <w:lang w:val="fr-FR" w:eastAsia="en-US"/>
              </w:rPr>
            </w:pPr>
            <w:r w:rsidRPr="005A6420">
              <w:rPr>
                <w:rFonts w:cs="Tahoma"/>
                <w:szCs w:val="20"/>
                <w:lang w:val="fr-FR" w:eastAsia="en-US"/>
              </w:rPr>
              <w:lastRenderedPageBreak/>
              <w:t>Indicateur 4.1</w:t>
            </w:r>
          </w:p>
          <w:p w14:paraId="6886D052" w14:textId="77777777" w:rsidR="00B804F2" w:rsidRPr="005A6420" w:rsidRDefault="00B804F2" w:rsidP="00B804F2">
            <w:pPr>
              <w:jc w:val="both"/>
              <w:rPr>
                <w:rFonts w:cs="Tahoma"/>
                <w:szCs w:val="20"/>
                <w:lang w:val="fr-FR" w:eastAsia="en-US"/>
              </w:rPr>
            </w:pPr>
            <w:r w:rsidRPr="00950723">
              <w:rPr>
                <w:lang w:val="fr-FR" w:eastAsia="en-US"/>
              </w:rPr>
              <w:t xml:space="preserve">% des femmes dans l’architecture </w:t>
            </w:r>
            <w:r w:rsidRPr="00950723">
              <w:rPr>
                <w:lang w:val="fr-FR" w:eastAsia="en-US"/>
              </w:rPr>
              <w:lastRenderedPageBreak/>
              <w:t>de justice, justice transitionnelle et la CVJRR</w:t>
            </w:r>
          </w:p>
        </w:tc>
        <w:tc>
          <w:tcPr>
            <w:tcW w:w="1530" w:type="dxa"/>
            <w:shd w:val="clear" w:color="auto" w:fill="EEECE1"/>
          </w:tcPr>
          <w:p w14:paraId="16F2BC3F" w14:textId="7E8A500E" w:rsidR="00B804F2" w:rsidRPr="005A6420" w:rsidRDefault="00B804F2" w:rsidP="00B804F2">
            <w:pPr>
              <w:rPr>
                <w:lang w:val="fr-FR"/>
              </w:rPr>
            </w:pPr>
            <w:r w:rsidRPr="00950723">
              <w:rPr>
                <w:lang w:val="fr-FR" w:eastAsia="en-US"/>
              </w:rPr>
              <w:lastRenderedPageBreak/>
              <w:t xml:space="preserve">A </w:t>
            </w:r>
            <w:r w:rsidR="008F684C" w:rsidRPr="00950723">
              <w:rPr>
                <w:lang w:val="fr-FR" w:eastAsia="en-US"/>
              </w:rPr>
              <w:t>déterminer</w:t>
            </w:r>
          </w:p>
        </w:tc>
        <w:tc>
          <w:tcPr>
            <w:tcW w:w="1620" w:type="dxa"/>
            <w:shd w:val="clear" w:color="auto" w:fill="EEECE1"/>
          </w:tcPr>
          <w:p w14:paraId="792C8A49" w14:textId="77777777" w:rsidR="00B804F2" w:rsidRPr="005A6420" w:rsidRDefault="00B804F2" w:rsidP="00B804F2">
            <w:pPr>
              <w:rPr>
                <w:lang w:val="fr-FR"/>
              </w:rPr>
            </w:pPr>
            <w:r w:rsidRPr="00950723">
              <w:rPr>
                <w:lang w:val="fr-FR" w:eastAsia="en-US"/>
              </w:rPr>
              <w:t>+30%</w:t>
            </w:r>
          </w:p>
        </w:tc>
        <w:tc>
          <w:tcPr>
            <w:tcW w:w="2070" w:type="dxa"/>
          </w:tcPr>
          <w:p w14:paraId="3CC204B6" w14:textId="77777777" w:rsidR="00B804F2" w:rsidRPr="005A6420" w:rsidRDefault="00B804F2" w:rsidP="00B804F2">
            <w:pPr>
              <w:rPr>
                <w:lang w:val="fr-FR"/>
              </w:rPr>
            </w:pPr>
            <w:r w:rsidRPr="00950723">
              <w:rPr>
                <w:lang w:val="fr-FR" w:eastAsia="en-US"/>
              </w:rPr>
              <w:t>En cours</w:t>
            </w:r>
          </w:p>
        </w:tc>
        <w:tc>
          <w:tcPr>
            <w:tcW w:w="2070" w:type="dxa"/>
          </w:tcPr>
          <w:p w14:paraId="7A3B8D0F" w14:textId="54F6FDB2" w:rsidR="00B804F2" w:rsidRPr="003B514E" w:rsidRDefault="00373B0B" w:rsidP="00B804F2">
            <w:pPr>
              <w:rPr>
                <w:lang w:val="fr-FR"/>
              </w:rPr>
            </w:pPr>
            <w:r w:rsidRPr="008F684C">
              <w:rPr>
                <w:sz w:val="22"/>
                <w:szCs w:val="22"/>
                <w:lang w:val="fr-FR" w:eastAsia="en-US"/>
              </w:rPr>
              <w:t>Non disponible</w:t>
            </w:r>
          </w:p>
        </w:tc>
        <w:tc>
          <w:tcPr>
            <w:tcW w:w="4140" w:type="dxa"/>
          </w:tcPr>
          <w:p w14:paraId="599F7B93" w14:textId="6D0DEA9E" w:rsidR="00B804F2" w:rsidRPr="008F2372" w:rsidRDefault="00B804F2" w:rsidP="00636E71">
            <w:pPr>
              <w:jc w:val="both"/>
              <w:rPr>
                <w:lang w:val="fr-FR"/>
              </w:rPr>
            </w:pPr>
            <w:r w:rsidRPr="008F2372">
              <w:rPr>
                <w:lang w:val="fr-FR" w:eastAsia="en-US"/>
              </w:rPr>
              <w:t xml:space="preserve">Le retard est dû </w:t>
            </w:r>
            <w:r w:rsidR="0073550D" w:rsidRPr="008F2372">
              <w:rPr>
                <w:lang w:val="fr-FR" w:eastAsia="en-US"/>
              </w:rPr>
              <w:t>au</w:t>
            </w:r>
            <w:r w:rsidRPr="008F2372">
              <w:rPr>
                <w:lang w:val="fr-FR" w:eastAsia="en-US"/>
              </w:rPr>
              <w:t xml:space="preserve"> fait que l</w:t>
            </w:r>
            <w:r w:rsidRPr="008F2372">
              <w:rPr>
                <w:lang w:val="fr-FR"/>
              </w:rPr>
              <w:t xml:space="preserve">e processus de la création de la CVJRR a connu un ralentissement à cause de la pandémie de </w:t>
            </w:r>
            <w:r w:rsidRPr="008F2372">
              <w:rPr>
                <w:lang w:val="fr-FR"/>
              </w:rPr>
              <w:lastRenderedPageBreak/>
              <w:t>COVID 19</w:t>
            </w:r>
            <w:r w:rsidRPr="008F2372">
              <w:rPr>
                <w:lang w:val="fr-FR" w:eastAsia="en-US"/>
              </w:rPr>
              <w:t>.</w:t>
            </w:r>
            <w:r w:rsidR="00A27FF5" w:rsidRPr="008F2372">
              <w:rPr>
                <w:lang w:val="fr-FR" w:eastAsia="en-US"/>
              </w:rPr>
              <w:t xml:space="preserve"> La Loi sur la CVJRR a prévu </w:t>
            </w:r>
            <w:r w:rsidR="00914B87" w:rsidRPr="008F2372">
              <w:rPr>
                <w:lang w:val="fr-FR" w:eastAsia="en-US"/>
              </w:rPr>
              <w:t>un minimum de 4 femmes Commissaires sur 11</w:t>
            </w:r>
            <w:r w:rsidR="00A27FF5" w:rsidRPr="008F2372">
              <w:rPr>
                <w:lang w:val="fr-FR" w:eastAsia="en-US"/>
              </w:rPr>
              <w:t>.</w:t>
            </w:r>
          </w:p>
        </w:tc>
      </w:tr>
      <w:tr w:rsidR="00B804F2" w:rsidRPr="00DE1699" w14:paraId="4178BC9D" w14:textId="77777777" w:rsidTr="00F004BF">
        <w:trPr>
          <w:trHeight w:val="458"/>
        </w:trPr>
        <w:tc>
          <w:tcPr>
            <w:tcW w:w="1530" w:type="dxa"/>
            <w:vMerge/>
          </w:tcPr>
          <w:p w14:paraId="0476747A" w14:textId="77777777" w:rsidR="00B804F2" w:rsidRPr="005A6420" w:rsidRDefault="00B804F2" w:rsidP="00B804F2">
            <w:pPr>
              <w:rPr>
                <w:rFonts w:cs="Tahoma"/>
                <w:szCs w:val="20"/>
                <w:lang w:val="fr-FR" w:eastAsia="en-US"/>
              </w:rPr>
            </w:pPr>
          </w:p>
        </w:tc>
        <w:tc>
          <w:tcPr>
            <w:tcW w:w="2070" w:type="dxa"/>
            <w:shd w:val="clear" w:color="auto" w:fill="EEECE1"/>
          </w:tcPr>
          <w:p w14:paraId="4F5F1A8D" w14:textId="77777777" w:rsidR="00B804F2" w:rsidRPr="005A6420" w:rsidRDefault="00B804F2" w:rsidP="00B804F2">
            <w:pPr>
              <w:jc w:val="both"/>
              <w:rPr>
                <w:rFonts w:cs="Tahoma"/>
                <w:szCs w:val="20"/>
                <w:lang w:val="fr-FR" w:eastAsia="en-US"/>
              </w:rPr>
            </w:pPr>
            <w:r w:rsidRPr="005A6420">
              <w:rPr>
                <w:rFonts w:cs="Tahoma"/>
                <w:szCs w:val="20"/>
                <w:lang w:val="fr-FR" w:eastAsia="en-US"/>
              </w:rPr>
              <w:t>Indicateur 4.2</w:t>
            </w:r>
          </w:p>
          <w:p w14:paraId="0E8A6FD6" w14:textId="77777777" w:rsidR="00B804F2" w:rsidRPr="005A6420" w:rsidRDefault="00B804F2" w:rsidP="00B804F2">
            <w:pPr>
              <w:jc w:val="both"/>
              <w:rPr>
                <w:rFonts w:cs="Tahoma"/>
                <w:szCs w:val="20"/>
                <w:lang w:val="fr-FR" w:eastAsia="en-US"/>
              </w:rPr>
            </w:pPr>
            <w:r w:rsidRPr="00950723">
              <w:rPr>
                <w:lang w:val="fr-FR" w:eastAsia="en-US"/>
              </w:rPr>
              <w:t>Confiance des femmes dans la justice formelle et la justice transitionnelle.</w:t>
            </w:r>
          </w:p>
        </w:tc>
        <w:tc>
          <w:tcPr>
            <w:tcW w:w="1530" w:type="dxa"/>
            <w:shd w:val="clear" w:color="auto" w:fill="EEECE1"/>
          </w:tcPr>
          <w:p w14:paraId="6FF12BB2" w14:textId="77777777" w:rsidR="00B804F2" w:rsidRPr="005A6420" w:rsidRDefault="00B804F2" w:rsidP="00B804F2">
            <w:pPr>
              <w:rPr>
                <w:lang w:val="fr-FR"/>
              </w:rPr>
            </w:pPr>
            <w:r w:rsidRPr="00950723">
              <w:rPr>
                <w:lang w:val="fr-FR" w:eastAsia="en-US"/>
              </w:rPr>
              <w:t>42 %</w:t>
            </w:r>
          </w:p>
        </w:tc>
        <w:tc>
          <w:tcPr>
            <w:tcW w:w="1620" w:type="dxa"/>
            <w:shd w:val="clear" w:color="auto" w:fill="EEECE1"/>
          </w:tcPr>
          <w:p w14:paraId="12264C65" w14:textId="77777777" w:rsidR="00B804F2" w:rsidRPr="005A6420" w:rsidRDefault="00913CF7" w:rsidP="00476496">
            <w:pPr>
              <w:rPr>
                <w:lang w:val="fr-FR"/>
              </w:rPr>
            </w:pPr>
            <w:r>
              <w:rPr>
                <w:lang w:val="fr-FR" w:eastAsia="en-US"/>
              </w:rPr>
              <w:t>5</w:t>
            </w:r>
            <w:r w:rsidR="00B804F2" w:rsidRPr="00950723">
              <w:rPr>
                <w:lang w:val="fr-FR" w:eastAsia="en-US"/>
              </w:rPr>
              <w:t>0 %</w:t>
            </w:r>
            <w:r>
              <w:rPr>
                <w:lang w:val="fr-FR" w:eastAsia="en-US"/>
              </w:rPr>
              <w:t xml:space="preserve"> </w:t>
            </w:r>
            <w:r w:rsidRPr="00913CF7">
              <w:rPr>
                <w:lang w:val="fr-FR"/>
              </w:rPr>
              <w:t xml:space="preserve">(cf. </w:t>
            </w:r>
            <w:r w:rsidRPr="005A6420">
              <w:rPr>
                <w:rFonts w:cs="Tahoma"/>
                <w:szCs w:val="20"/>
                <w:lang w:val="fr-FR" w:eastAsia="en-US"/>
              </w:rPr>
              <w:t>Indicateur 1.1</w:t>
            </w:r>
            <w:r>
              <w:rPr>
                <w:rFonts w:cs="Tahoma"/>
                <w:szCs w:val="20"/>
                <w:lang w:val="fr-FR" w:eastAsia="en-US"/>
              </w:rPr>
              <w:t>)</w:t>
            </w:r>
          </w:p>
        </w:tc>
        <w:tc>
          <w:tcPr>
            <w:tcW w:w="2070" w:type="dxa"/>
          </w:tcPr>
          <w:p w14:paraId="624D7490" w14:textId="77777777" w:rsidR="00913CF7" w:rsidRPr="005A6420" w:rsidRDefault="00913CF7" w:rsidP="00913CF7">
            <w:pPr>
              <w:jc w:val="both"/>
              <w:rPr>
                <w:rFonts w:cs="Tahoma"/>
                <w:szCs w:val="20"/>
                <w:lang w:val="fr-FR" w:eastAsia="en-US"/>
              </w:rPr>
            </w:pPr>
            <w:r w:rsidRPr="00913CF7">
              <w:rPr>
                <w:lang w:val="fr-FR"/>
              </w:rPr>
              <w:t xml:space="preserve">46% après un an de projet (cf. </w:t>
            </w:r>
            <w:r w:rsidRPr="005A6420">
              <w:rPr>
                <w:rFonts w:cs="Tahoma"/>
                <w:szCs w:val="20"/>
                <w:lang w:val="fr-FR" w:eastAsia="en-US"/>
              </w:rPr>
              <w:t>Indicateur 1.1</w:t>
            </w:r>
            <w:r>
              <w:rPr>
                <w:rFonts w:cs="Tahoma"/>
                <w:szCs w:val="20"/>
                <w:lang w:val="fr-FR" w:eastAsia="en-US"/>
              </w:rPr>
              <w:t>)</w:t>
            </w:r>
          </w:p>
          <w:p w14:paraId="507DA927" w14:textId="77777777" w:rsidR="00B804F2" w:rsidRPr="00913CF7" w:rsidRDefault="00B804F2" w:rsidP="00B804F2">
            <w:pPr>
              <w:rPr>
                <w:lang w:val="fr-FR"/>
              </w:rPr>
            </w:pPr>
          </w:p>
        </w:tc>
        <w:tc>
          <w:tcPr>
            <w:tcW w:w="2070" w:type="dxa"/>
          </w:tcPr>
          <w:p w14:paraId="7FCF2C22" w14:textId="77777777" w:rsidR="00B804F2" w:rsidRPr="005A6420" w:rsidRDefault="00476496" w:rsidP="00B804F2">
            <w:pPr>
              <w:rPr>
                <w:lang w:val="fr-FR"/>
              </w:rPr>
            </w:pPr>
            <w:r w:rsidRPr="00535D1C">
              <w:rPr>
                <w:sz w:val="22"/>
                <w:szCs w:val="22"/>
                <w:lang w:val="fr-FR" w:eastAsia="en-US"/>
              </w:rPr>
              <w:t>38%</w:t>
            </w:r>
          </w:p>
        </w:tc>
        <w:tc>
          <w:tcPr>
            <w:tcW w:w="4140" w:type="dxa"/>
          </w:tcPr>
          <w:p w14:paraId="49DD14EE" w14:textId="77777777" w:rsidR="00B804F2" w:rsidRPr="008F2372" w:rsidRDefault="00476496" w:rsidP="00636E71">
            <w:pPr>
              <w:jc w:val="both"/>
              <w:rPr>
                <w:lang w:val="fr-FR"/>
              </w:rPr>
            </w:pPr>
            <w:r w:rsidRPr="008F2372">
              <w:rPr>
                <w:lang w:val="fr-FR" w:eastAsia="en-US"/>
              </w:rPr>
              <w:t>Pourcentages disponibles des sondages sur la confiance dans la justice formelle, pas encore dans la justice transitionnelle à cause du délai d’établissement de la CVJRR.</w:t>
            </w:r>
          </w:p>
        </w:tc>
      </w:tr>
      <w:tr w:rsidR="006D2474" w:rsidRPr="00DE1699" w14:paraId="7D24401B" w14:textId="77777777" w:rsidTr="00F004BF">
        <w:trPr>
          <w:trHeight w:val="458"/>
        </w:trPr>
        <w:tc>
          <w:tcPr>
            <w:tcW w:w="1530" w:type="dxa"/>
            <w:vMerge/>
          </w:tcPr>
          <w:p w14:paraId="4FE897D2" w14:textId="77777777" w:rsidR="006D2474" w:rsidRPr="005A6420" w:rsidRDefault="006D2474" w:rsidP="006D2474">
            <w:pPr>
              <w:rPr>
                <w:rFonts w:cs="Tahoma"/>
                <w:szCs w:val="20"/>
                <w:lang w:val="fr-FR" w:eastAsia="en-US"/>
              </w:rPr>
            </w:pPr>
          </w:p>
        </w:tc>
        <w:tc>
          <w:tcPr>
            <w:tcW w:w="2070" w:type="dxa"/>
            <w:shd w:val="clear" w:color="auto" w:fill="EEECE1"/>
          </w:tcPr>
          <w:p w14:paraId="29152364" w14:textId="77777777" w:rsidR="006D2474" w:rsidRPr="005A6420" w:rsidRDefault="006D2474" w:rsidP="006D2474">
            <w:pPr>
              <w:jc w:val="both"/>
              <w:rPr>
                <w:rFonts w:cs="Tahoma"/>
                <w:szCs w:val="20"/>
                <w:lang w:val="fr-FR" w:eastAsia="en-US"/>
              </w:rPr>
            </w:pPr>
            <w:r w:rsidRPr="005A6420">
              <w:rPr>
                <w:rFonts w:cs="Tahoma"/>
                <w:szCs w:val="20"/>
                <w:lang w:val="fr-FR" w:eastAsia="en-US"/>
              </w:rPr>
              <w:t>Indicateur 4.3</w:t>
            </w:r>
          </w:p>
          <w:p w14:paraId="2AFB6D79" w14:textId="77777777" w:rsidR="006D2474" w:rsidRPr="005A6420" w:rsidRDefault="006D2474" w:rsidP="006D2474">
            <w:pPr>
              <w:jc w:val="both"/>
              <w:rPr>
                <w:rFonts w:cs="Tahoma"/>
                <w:szCs w:val="20"/>
                <w:lang w:val="fr-FR" w:eastAsia="en-US"/>
              </w:rPr>
            </w:pPr>
            <w:r w:rsidRPr="00532488">
              <w:rPr>
                <w:lang w:val="fr-FR"/>
              </w:rPr>
              <w:t>C</w:t>
            </w:r>
            <w:r w:rsidRPr="00532488">
              <w:rPr>
                <w:lang w:val="fr-FR" w:eastAsia="en-US"/>
              </w:rPr>
              <w:t xml:space="preserve">onnaissance des facteurs de </w:t>
            </w:r>
            <w:r w:rsidRPr="00532488">
              <w:rPr>
                <w:lang w:val="fr-FR"/>
              </w:rPr>
              <w:t xml:space="preserve">blocage </w:t>
            </w:r>
            <w:r w:rsidRPr="00532488">
              <w:rPr>
                <w:lang w:val="fr-FR" w:eastAsia="en-US"/>
              </w:rPr>
              <w:t>et options de remédier aux obstacles de l’accès des femmes à la justice</w:t>
            </w:r>
          </w:p>
        </w:tc>
        <w:tc>
          <w:tcPr>
            <w:tcW w:w="1530" w:type="dxa"/>
            <w:shd w:val="clear" w:color="auto" w:fill="EEECE1"/>
          </w:tcPr>
          <w:p w14:paraId="0AA39300" w14:textId="77777777" w:rsidR="006D2474" w:rsidRPr="005A6420" w:rsidRDefault="006D2474" w:rsidP="006D2474">
            <w:pPr>
              <w:rPr>
                <w:b/>
                <w:sz w:val="22"/>
                <w:szCs w:val="22"/>
                <w:lang w:val="fr-FR" w:eastAsia="en-US"/>
              </w:rPr>
            </w:pPr>
            <w:r>
              <w:t>Non</w:t>
            </w:r>
          </w:p>
        </w:tc>
        <w:tc>
          <w:tcPr>
            <w:tcW w:w="1620" w:type="dxa"/>
            <w:shd w:val="clear" w:color="auto" w:fill="EEECE1"/>
          </w:tcPr>
          <w:p w14:paraId="404B2AE3" w14:textId="77777777" w:rsidR="006D2474" w:rsidRPr="005A6420" w:rsidRDefault="006D2474" w:rsidP="006D2474">
            <w:pPr>
              <w:rPr>
                <w:b/>
                <w:sz w:val="22"/>
                <w:szCs w:val="22"/>
                <w:lang w:val="fr-FR" w:eastAsia="en-US"/>
              </w:rPr>
            </w:pPr>
            <w:r>
              <w:t>Oui</w:t>
            </w:r>
          </w:p>
        </w:tc>
        <w:tc>
          <w:tcPr>
            <w:tcW w:w="2070" w:type="dxa"/>
          </w:tcPr>
          <w:p w14:paraId="1EB90FAC" w14:textId="77777777" w:rsidR="006D2474" w:rsidRPr="0050529E" w:rsidRDefault="006D2474" w:rsidP="006D2474">
            <w:pPr>
              <w:rPr>
                <w:sz w:val="22"/>
                <w:szCs w:val="22"/>
                <w:lang w:val="fr-FR" w:eastAsia="en-US"/>
              </w:rPr>
            </w:pPr>
            <w:r w:rsidRPr="0050529E">
              <w:rPr>
                <w:sz w:val="22"/>
                <w:szCs w:val="22"/>
                <w:lang w:val="fr-FR" w:eastAsia="en-US"/>
              </w:rPr>
              <w:t>N/A</w:t>
            </w:r>
          </w:p>
        </w:tc>
        <w:tc>
          <w:tcPr>
            <w:tcW w:w="2070" w:type="dxa"/>
          </w:tcPr>
          <w:p w14:paraId="3C9AFEB8" w14:textId="77777777" w:rsidR="006D2474" w:rsidRPr="005A6420" w:rsidRDefault="006D2474" w:rsidP="006D2474">
            <w:pPr>
              <w:rPr>
                <w:b/>
                <w:sz w:val="22"/>
                <w:szCs w:val="22"/>
                <w:lang w:val="fr-FR" w:eastAsia="en-US"/>
              </w:rPr>
            </w:pPr>
            <w:r>
              <w:rPr>
                <w:b/>
                <w:sz w:val="22"/>
                <w:szCs w:val="22"/>
                <w:lang w:val="fr-FR" w:eastAsia="en-US"/>
              </w:rPr>
              <w:t>Non</w:t>
            </w:r>
          </w:p>
        </w:tc>
        <w:tc>
          <w:tcPr>
            <w:tcW w:w="4140" w:type="dxa"/>
          </w:tcPr>
          <w:p w14:paraId="212AAC64" w14:textId="267C5985" w:rsidR="006D2474" w:rsidRPr="008F2372" w:rsidRDefault="006D2474" w:rsidP="00636E71">
            <w:pPr>
              <w:jc w:val="both"/>
              <w:rPr>
                <w:b/>
                <w:sz w:val="22"/>
                <w:szCs w:val="22"/>
                <w:lang w:val="fr-FR" w:eastAsia="en-US"/>
              </w:rPr>
            </w:pPr>
            <w:r w:rsidRPr="008F2372">
              <w:rPr>
                <w:lang w:val="fr-FR"/>
              </w:rPr>
              <w:t>Les Consultants viennent d’être identifiés, l’étude va commencer dans les prochains mois.</w:t>
            </w:r>
          </w:p>
        </w:tc>
      </w:tr>
      <w:tr w:rsidR="006D2474" w:rsidRPr="00DE1699" w14:paraId="37187F07" w14:textId="77777777" w:rsidTr="00F004BF">
        <w:trPr>
          <w:trHeight w:val="458"/>
        </w:trPr>
        <w:tc>
          <w:tcPr>
            <w:tcW w:w="1530" w:type="dxa"/>
            <w:vMerge w:val="restart"/>
          </w:tcPr>
          <w:p w14:paraId="72BC4C75" w14:textId="77777777" w:rsidR="006D2474" w:rsidRPr="005A6420" w:rsidRDefault="006D2474" w:rsidP="006D2474">
            <w:pPr>
              <w:rPr>
                <w:rFonts w:cs="Tahoma"/>
                <w:szCs w:val="20"/>
                <w:lang w:val="fr-FR" w:eastAsia="en-US"/>
              </w:rPr>
            </w:pPr>
            <w:r w:rsidRPr="005A6420">
              <w:rPr>
                <w:rFonts w:cs="Tahoma"/>
                <w:szCs w:val="20"/>
                <w:lang w:val="fr-FR" w:eastAsia="en-US"/>
              </w:rPr>
              <w:t>Produit 4.1</w:t>
            </w:r>
          </w:p>
          <w:p w14:paraId="3CCE2010" w14:textId="77777777" w:rsidR="006D2474" w:rsidRPr="005A6420" w:rsidRDefault="006D2474" w:rsidP="006D2474">
            <w:pPr>
              <w:rPr>
                <w:rFonts w:cs="Tahoma"/>
                <w:szCs w:val="20"/>
                <w:lang w:val="fr-FR" w:eastAsia="en-US"/>
              </w:rPr>
            </w:pPr>
            <w:r w:rsidRPr="00892998">
              <w:rPr>
                <w:lang w:val="fr-FR"/>
              </w:rPr>
              <w:t xml:space="preserve">Les institutions du secteur de la justice et la CVJRR </w:t>
            </w:r>
            <w:r w:rsidRPr="00892998">
              <w:rPr>
                <w:lang w:val="fr-FR"/>
              </w:rPr>
              <w:lastRenderedPageBreak/>
              <w:t>ont les capacités pour promouvoir les questions d'égalité de genre et les droits humains des femmes</w:t>
            </w:r>
          </w:p>
        </w:tc>
        <w:tc>
          <w:tcPr>
            <w:tcW w:w="2070" w:type="dxa"/>
            <w:shd w:val="clear" w:color="auto" w:fill="EEECE1"/>
          </w:tcPr>
          <w:p w14:paraId="4AB0CD85" w14:textId="77777777" w:rsidR="006D2474" w:rsidRPr="005A6420" w:rsidRDefault="006D2474" w:rsidP="006D2474">
            <w:pPr>
              <w:jc w:val="both"/>
              <w:rPr>
                <w:rFonts w:cs="Tahoma"/>
                <w:szCs w:val="20"/>
                <w:lang w:val="fr-FR" w:eastAsia="en-US"/>
              </w:rPr>
            </w:pPr>
            <w:r w:rsidRPr="005A6420">
              <w:rPr>
                <w:rFonts w:cs="Tahoma"/>
                <w:szCs w:val="20"/>
                <w:lang w:val="fr-FR" w:eastAsia="en-US"/>
              </w:rPr>
              <w:lastRenderedPageBreak/>
              <w:t>Indicateur 4.1.1</w:t>
            </w:r>
          </w:p>
          <w:p w14:paraId="7BC93AA2" w14:textId="77777777" w:rsidR="006D2474" w:rsidRPr="005A6420" w:rsidRDefault="006D2474" w:rsidP="006D2474">
            <w:pPr>
              <w:jc w:val="both"/>
              <w:rPr>
                <w:rFonts w:cs="Tahoma"/>
                <w:szCs w:val="20"/>
                <w:lang w:val="fr-FR" w:eastAsia="en-US"/>
              </w:rPr>
            </w:pPr>
            <w:r w:rsidRPr="00950723">
              <w:rPr>
                <w:lang w:val="fr-FR" w:eastAsia="en-US"/>
              </w:rPr>
              <w:t xml:space="preserve">Nombres des acteurs de justice, formées sur la participation des femmes dans les </w:t>
            </w:r>
            <w:r w:rsidRPr="00950723">
              <w:rPr>
                <w:lang w:val="fr-FR" w:eastAsia="en-US"/>
              </w:rPr>
              <w:lastRenderedPageBreak/>
              <w:t>mécanismes de justice, justice transitionnelle, la protection des droits des femmes et la prévention des VBG</w:t>
            </w:r>
          </w:p>
        </w:tc>
        <w:tc>
          <w:tcPr>
            <w:tcW w:w="1530" w:type="dxa"/>
            <w:shd w:val="clear" w:color="auto" w:fill="EEECE1"/>
          </w:tcPr>
          <w:p w14:paraId="71DB5874" w14:textId="77777777" w:rsidR="006D2474" w:rsidRPr="005A6420" w:rsidRDefault="006D2474" w:rsidP="006D2474">
            <w:pPr>
              <w:rPr>
                <w:lang w:val="fr-FR"/>
              </w:rPr>
            </w:pPr>
            <w:r>
              <w:rPr>
                <w:b/>
                <w:sz w:val="22"/>
                <w:szCs w:val="22"/>
                <w:lang w:val="fr-FR" w:eastAsia="en-US"/>
              </w:rPr>
              <w:lastRenderedPageBreak/>
              <w:t>0</w:t>
            </w:r>
          </w:p>
        </w:tc>
        <w:tc>
          <w:tcPr>
            <w:tcW w:w="1620" w:type="dxa"/>
            <w:shd w:val="clear" w:color="auto" w:fill="EEECE1"/>
          </w:tcPr>
          <w:p w14:paraId="06DD40DF" w14:textId="77777777" w:rsidR="006D2474" w:rsidRPr="005A6420" w:rsidRDefault="006D2474" w:rsidP="006D2474">
            <w:pPr>
              <w:rPr>
                <w:lang w:val="fr-FR"/>
              </w:rPr>
            </w:pPr>
            <w:r>
              <w:rPr>
                <w:b/>
                <w:sz w:val="22"/>
                <w:szCs w:val="22"/>
                <w:lang w:val="fr-FR" w:eastAsia="en-US"/>
              </w:rPr>
              <w:t>500</w:t>
            </w:r>
          </w:p>
        </w:tc>
        <w:tc>
          <w:tcPr>
            <w:tcW w:w="2070" w:type="dxa"/>
          </w:tcPr>
          <w:p w14:paraId="710E5FAF" w14:textId="77777777" w:rsidR="006D2474" w:rsidRPr="005A6420" w:rsidRDefault="006D2474" w:rsidP="006D2474">
            <w:pPr>
              <w:rPr>
                <w:lang w:val="fr-FR"/>
              </w:rPr>
            </w:pPr>
            <w:r w:rsidRPr="00EF7C35">
              <w:rPr>
                <w:sz w:val="22"/>
                <w:szCs w:val="22"/>
                <w:lang w:val="fr-FR" w:eastAsia="en-US"/>
              </w:rPr>
              <w:t>100 après un an du projet</w:t>
            </w:r>
          </w:p>
        </w:tc>
        <w:tc>
          <w:tcPr>
            <w:tcW w:w="2070" w:type="dxa"/>
          </w:tcPr>
          <w:p w14:paraId="4F79B103" w14:textId="1A080BF6" w:rsidR="006D2474" w:rsidRPr="005A6420" w:rsidRDefault="00914B87" w:rsidP="006D2474">
            <w:pPr>
              <w:rPr>
                <w:lang w:val="fr-FR"/>
              </w:rPr>
            </w:pPr>
            <w:r>
              <w:rPr>
                <w:lang w:val="fr-FR"/>
              </w:rPr>
              <w:t>-</w:t>
            </w:r>
          </w:p>
        </w:tc>
        <w:tc>
          <w:tcPr>
            <w:tcW w:w="4140" w:type="dxa"/>
          </w:tcPr>
          <w:p w14:paraId="10EB2A1F" w14:textId="6B03A7B0" w:rsidR="006D2474" w:rsidRDefault="006D2474" w:rsidP="00636E71">
            <w:pPr>
              <w:jc w:val="both"/>
              <w:rPr>
                <w:lang w:val="fr-FR"/>
              </w:rPr>
            </w:pPr>
            <w:r w:rsidRPr="00950723">
              <w:rPr>
                <w:lang w:val="fr-FR" w:eastAsia="en-US"/>
              </w:rPr>
              <w:t>Le retard est dû par le fait que la CVJRR n'est pas enco</w:t>
            </w:r>
            <w:r w:rsidRPr="00915928">
              <w:rPr>
                <w:lang w:val="fr-FR"/>
              </w:rPr>
              <w:t>re fonctionnelle</w:t>
            </w:r>
            <w:r w:rsidRPr="00950723">
              <w:rPr>
                <w:lang w:val="fr-FR" w:eastAsia="en-US"/>
              </w:rPr>
              <w:t>.</w:t>
            </w:r>
            <w:r>
              <w:rPr>
                <w:lang w:val="fr-FR"/>
              </w:rPr>
              <w:t xml:space="preserve"> Les mem</w:t>
            </w:r>
            <w:r w:rsidRPr="00950723">
              <w:rPr>
                <w:lang w:val="fr-FR"/>
              </w:rPr>
              <w:t>bres de la CVJRR constituent aussi une partie des cibles pour ce projet</w:t>
            </w:r>
            <w:r w:rsidRPr="005520B7">
              <w:rPr>
                <w:lang w:val="fr-FR"/>
              </w:rPr>
              <w:t xml:space="preserve">. </w:t>
            </w:r>
          </w:p>
          <w:p w14:paraId="3F0F8323" w14:textId="77777777" w:rsidR="00914B87" w:rsidRDefault="00914B87" w:rsidP="00636E71">
            <w:pPr>
              <w:jc w:val="both"/>
              <w:rPr>
                <w:lang w:val="fr-FR"/>
              </w:rPr>
            </w:pPr>
          </w:p>
          <w:p w14:paraId="0A88A46C" w14:textId="12FF6559" w:rsidR="00914B87" w:rsidRPr="005A6420" w:rsidRDefault="00914B87" w:rsidP="00636E71">
            <w:pPr>
              <w:jc w:val="both"/>
              <w:rPr>
                <w:lang w:val="fr-FR"/>
              </w:rPr>
            </w:pPr>
            <w:r>
              <w:rPr>
                <w:lang w:val="fr-FR"/>
              </w:rPr>
              <w:lastRenderedPageBreak/>
              <w:t>Cf. ci-dessus sur sensibilisations d’acteurs de la société civile.</w:t>
            </w:r>
          </w:p>
        </w:tc>
      </w:tr>
      <w:tr w:rsidR="006D2474" w:rsidRPr="00DE1699" w14:paraId="502C12B3" w14:textId="77777777" w:rsidTr="00F004BF">
        <w:trPr>
          <w:trHeight w:val="458"/>
        </w:trPr>
        <w:tc>
          <w:tcPr>
            <w:tcW w:w="1530" w:type="dxa"/>
            <w:vMerge/>
          </w:tcPr>
          <w:p w14:paraId="41CE076F" w14:textId="77777777" w:rsidR="006D2474" w:rsidRPr="005A6420" w:rsidRDefault="006D2474" w:rsidP="006D2474">
            <w:pPr>
              <w:rPr>
                <w:rFonts w:cs="Tahoma"/>
                <w:szCs w:val="20"/>
                <w:lang w:val="fr-FR" w:eastAsia="en-US"/>
              </w:rPr>
            </w:pPr>
          </w:p>
        </w:tc>
        <w:tc>
          <w:tcPr>
            <w:tcW w:w="2070" w:type="dxa"/>
            <w:shd w:val="clear" w:color="auto" w:fill="EEECE1"/>
          </w:tcPr>
          <w:p w14:paraId="180009A3" w14:textId="77777777" w:rsidR="006D2474" w:rsidRPr="005A6420" w:rsidRDefault="006D2474" w:rsidP="006D2474">
            <w:pPr>
              <w:jc w:val="both"/>
              <w:rPr>
                <w:rFonts w:cs="Tahoma"/>
                <w:szCs w:val="20"/>
                <w:lang w:val="fr-FR" w:eastAsia="en-US"/>
              </w:rPr>
            </w:pPr>
            <w:r w:rsidRPr="005A6420">
              <w:rPr>
                <w:rFonts w:cs="Tahoma"/>
                <w:szCs w:val="20"/>
                <w:lang w:val="fr-FR" w:eastAsia="en-US"/>
              </w:rPr>
              <w:t>Indicateur 4.1.2</w:t>
            </w:r>
          </w:p>
          <w:p w14:paraId="547E83A9" w14:textId="77777777" w:rsidR="006D2474" w:rsidRPr="005A6420" w:rsidRDefault="006D2474" w:rsidP="006D2474">
            <w:pPr>
              <w:jc w:val="both"/>
              <w:rPr>
                <w:rFonts w:cs="Tahoma"/>
                <w:szCs w:val="20"/>
                <w:lang w:val="fr-FR" w:eastAsia="en-US"/>
              </w:rPr>
            </w:pPr>
            <w:r w:rsidRPr="00950723">
              <w:rPr>
                <w:lang w:val="fr-FR" w:eastAsia="en-US"/>
              </w:rPr>
              <w:t>% de participation de nombre des femmes, membres de la CVJRR</w:t>
            </w:r>
          </w:p>
        </w:tc>
        <w:tc>
          <w:tcPr>
            <w:tcW w:w="1530" w:type="dxa"/>
            <w:shd w:val="clear" w:color="auto" w:fill="EEECE1"/>
          </w:tcPr>
          <w:p w14:paraId="148DD53F" w14:textId="77777777" w:rsidR="006D2474" w:rsidRPr="005A6420" w:rsidRDefault="006D2474" w:rsidP="006D2474">
            <w:pPr>
              <w:rPr>
                <w:lang w:val="fr-FR"/>
              </w:rPr>
            </w:pPr>
            <w:r>
              <w:t>N/A</w:t>
            </w:r>
          </w:p>
        </w:tc>
        <w:tc>
          <w:tcPr>
            <w:tcW w:w="1620" w:type="dxa"/>
            <w:shd w:val="clear" w:color="auto" w:fill="EEECE1"/>
          </w:tcPr>
          <w:p w14:paraId="203A861D" w14:textId="77777777" w:rsidR="006D2474" w:rsidRPr="008F684C" w:rsidRDefault="006D2474" w:rsidP="006D2474">
            <w:pPr>
              <w:rPr>
                <w:b/>
                <w:lang w:val="fr-FR"/>
              </w:rPr>
            </w:pPr>
            <w:r w:rsidRPr="008F684C">
              <w:rPr>
                <w:b/>
              </w:rPr>
              <w:t>50%</w:t>
            </w:r>
          </w:p>
        </w:tc>
        <w:tc>
          <w:tcPr>
            <w:tcW w:w="2070" w:type="dxa"/>
          </w:tcPr>
          <w:p w14:paraId="0037D12B" w14:textId="226F78F2" w:rsidR="006D2474" w:rsidRPr="008F684C" w:rsidRDefault="006D2474" w:rsidP="006D2474">
            <w:pPr>
              <w:rPr>
                <w:b/>
                <w:lang w:val="fr-FR"/>
              </w:rPr>
            </w:pPr>
            <w:r w:rsidRPr="003B514E">
              <w:rPr>
                <w:b/>
                <w:sz w:val="22"/>
                <w:szCs w:val="22"/>
                <w:lang w:val="fr-FR" w:eastAsia="en-US"/>
              </w:rPr>
              <w:t>Non disponible</w:t>
            </w:r>
          </w:p>
        </w:tc>
        <w:tc>
          <w:tcPr>
            <w:tcW w:w="2070" w:type="dxa"/>
          </w:tcPr>
          <w:p w14:paraId="78600ECC" w14:textId="77777777" w:rsidR="006D2474" w:rsidRPr="005A6420" w:rsidRDefault="006D2474" w:rsidP="006D247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sidRPr="005A6420">
              <w:rPr>
                <w:b/>
                <w:sz w:val="22"/>
                <w:szCs w:val="22"/>
                <w:lang w:val="fr-FR" w:eastAsia="en-US"/>
              </w:rPr>
              <w:fldChar w:fldCharType="end"/>
            </w:r>
          </w:p>
        </w:tc>
        <w:tc>
          <w:tcPr>
            <w:tcW w:w="4140" w:type="dxa"/>
          </w:tcPr>
          <w:p w14:paraId="1824A073" w14:textId="77777777" w:rsidR="006D2474" w:rsidRPr="005A6420" w:rsidRDefault="006D2474" w:rsidP="00636E71">
            <w:pPr>
              <w:jc w:val="both"/>
              <w:rPr>
                <w:lang w:val="fr-FR"/>
              </w:rPr>
            </w:pPr>
            <w:r w:rsidRPr="0084070E">
              <w:rPr>
                <w:sz w:val="22"/>
                <w:szCs w:val="22"/>
                <w:lang w:val="fr-FR" w:eastAsia="en-US"/>
              </w:rPr>
              <w:t>Possible uniquement après établissement de la CVJRR</w:t>
            </w:r>
          </w:p>
        </w:tc>
      </w:tr>
      <w:tr w:rsidR="006D2474" w:rsidRPr="00DE1699" w14:paraId="22023DC8" w14:textId="77777777" w:rsidTr="00F004BF">
        <w:trPr>
          <w:trHeight w:val="458"/>
        </w:trPr>
        <w:tc>
          <w:tcPr>
            <w:tcW w:w="1530" w:type="dxa"/>
            <w:vMerge w:val="restart"/>
          </w:tcPr>
          <w:p w14:paraId="45D63C56" w14:textId="77777777" w:rsidR="006D2474" w:rsidRPr="005A6420" w:rsidRDefault="006D2474" w:rsidP="006D2474">
            <w:pPr>
              <w:rPr>
                <w:rFonts w:cs="Tahoma"/>
                <w:szCs w:val="20"/>
                <w:lang w:val="fr-FR" w:eastAsia="en-US"/>
              </w:rPr>
            </w:pPr>
            <w:r w:rsidRPr="005A6420">
              <w:rPr>
                <w:rFonts w:cs="Tahoma"/>
                <w:szCs w:val="20"/>
                <w:lang w:val="fr-FR" w:eastAsia="en-US"/>
              </w:rPr>
              <w:t>Produit 4.2</w:t>
            </w:r>
          </w:p>
          <w:p w14:paraId="46D58AE1" w14:textId="5454C30E" w:rsidR="006D2474" w:rsidRPr="005A6420" w:rsidRDefault="006D2474" w:rsidP="006D2474">
            <w:pPr>
              <w:rPr>
                <w:rFonts w:cs="Tahoma"/>
                <w:szCs w:val="20"/>
                <w:lang w:val="fr-FR" w:eastAsia="en-US"/>
              </w:rPr>
            </w:pPr>
            <w:r w:rsidRPr="006406F7">
              <w:rPr>
                <w:lang w:val="fr-FR"/>
              </w:rPr>
              <w:t xml:space="preserve">Les organisations de la société civile et des femmes ont les capacités requises pour fournir un appui psycho social aux femmes et aux victimes  </w:t>
            </w:r>
          </w:p>
        </w:tc>
        <w:tc>
          <w:tcPr>
            <w:tcW w:w="2070" w:type="dxa"/>
            <w:shd w:val="clear" w:color="auto" w:fill="EEECE1"/>
          </w:tcPr>
          <w:p w14:paraId="093DB933" w14:textId="77777777" w:rsidR="006D2474" w:rsidRPr="005A6420" w:rsidRDefault="006D2474" w:rsidP="006D2474">
            <w:pPr>
              <w:jc w:val="both"/>
              <w:rPr>
                <w:rFonts w:cs="Tahoma"/>
                <w:szCs w:val="20"/>
                <w:lang w:val="fr-FR" w:eastAsia="en-US"/>
              </w:rPr>
            </w:pPr>
            <w:r w:rsidRPr="005A6420">
              <w:rPr>
                <w:rFonts w:cs="Tahoma"/>
                <w:szCs w:val="20"/>
                <w:lang w:val="fr-FR" w:eastAsia="en-US"/>
              </w:rPr>
              <w:t>Indicateur 4.2.1</w:t>
            </w:r>
          </w:p>
          <w:p w14:paraId="1FF69CBE" w14:textId="77777777" w:rsidR="006D2474" w:rsidRPr="005A6420" w:rsidRDefault="006D2474" w:rsidP="006D2474">
            <w:pPr>
              <w:jc w:val="both"/>
              <w:rPr>
                <w:rFonts w:cs="Tahoma"/>
                <w:szCs w:val="20"/>
                <w:lang w:val="fr-FR" w:eastAsia="en-US"/>
              </w:rPr>
            </w:pPr>
            <w:r w:rsidRPr="00950723">
              <w:rPr>
                <w:lang w:val="fr-FR" w:eastAsia="en-US"/>
              </w:rPr>
              <w:t>Nombre de victimes ayant reçu un appui psychosocial</w:t>
            </w:r>
          </w:p>
        </w:tc>
        <w:tc>
          <w:tcPr>
            <w:tcW w:w="1530" w:type="dxa"/>
            <w:shd w:val="clear" w:color="auto" w:fill="EEECE1"/>
          </w:tcPr>
          <w:p w14:paraId="52E7D5E0" w14:textId="77777777" w:rsidR="006D2474" w:rsidRPr="005A6420" w:rsidRDefault="006D2474" w:rsidP="006D2474">
            <w:pPr>
              <w:rPr>
                <w:lang w:val="fr-FR"/>
              </w:rPr>
            </w:pPr>
            <w:r w:rsidRPr="00950723">
              <w:rPr>
                <w:lang w:val="fr-FR"/>
              </w:rPr>
              <w:t>A déterminer durant phase 1 du projet</w:t>
            </w:r>
          </w:p>
        </w:tc>
        <w:tc>
          <w:tcPr>
            <w:tcW w:w="1620" w:type="dxa"/>
            <w:shd w:val="clear" w:color="auto" w:fill="EEECE1"/>
          </w:tcPr>
          <w:p w14:paraId="2304DCB3" w14:textId="77777777" w:rsidR="006D2474" w:rsidRPr="005A6420" w:rsidRDefault="006D2474" w:rsidP="006D2474">
            <w:pPr>
              <w:rPr>
                <w:lang w:val="fr-FR"/>
              </w:rPr>
            </w:pPr>
            <w:r>
              <w:t>1100</w:t>
            </w:r>
          </w:p>
        </w:tc>
        <w:tc>
          <w:tcPr>
            <w:tcW w:w="2070" w:type="dxa"/>
          </w:tcPr>
          <w:p w14:paraId="0C938F34" w14:textId="77777777" w:rsidR="006D2474" w:rsidRPr="000D5A68" w:rsidRDefault="006D2474" w:rsidP="006D2474">
            <w:pPr>
              <w:rPr>
                <w:lang w:val="fr-FR"/>
              </w:rPr>
            </w:pPr>
            <w:r w:rsidRPr="00EF7C35">
              <w:rPr>
                <w:sz w:val="22"/>
                <w:szCs w:val="22"/>
                <w:lang w:val="fr-FR" w:eastAsia="en-US"/>
              </w:rPr>
              <w:t>400 après un an de projet</w:t>
            </w:r>
          </w:p>
        </w:tc>
        <w:tc>
          <w:tcPr>
            <w:tcW w:w="2070" w:type="dxa"/>
          </w:tcPr>
          <w:p w14:paraId="13E97F02" w14:textId="77777777" w:rsidR="006D2474" w:rsidRPr="005A6420" w:rsidRDefault="006D2474" w:rsidP="006D2474">
            <w:pPr>
              <w:rPr>
                <w:lang w:val="fr-FR"/>
              </w:rPr>
            </w:pPr>
            <w:r>
              <w:rPr>
                <w:b/>
                <w:sz w:val="22"/>
                <w:szCs w:val="22"/>
                <w:lang w:val="fr-FR" w:eastAsia="en-US"/>
              </w:rPr>
              <w:t>149</w:t>
            </w:r>
          </w:p>
        </w:tc>
        <w:tc>
          <w:tcPr>
            <w:tcW w:w="4140" w:type="dxa"/>
          </w:tcPr>
          <w:p w14:paraId="7FBA1D48" w14:textId="6DBE09E6" w:rsidR="006D2474" w:rsidRPr="005A6420" w:rsidRDefault="006D2474" w:rsidP="00636E71">
            <w:pPr>
              <w:jc w:val="both"/>
              <w:rPr>
                <w:lang w:val="fr-FR"/>
              </w:rPr>
            </w:pPr>
            <w:r w:rsidRPr="00560DA9">
              <w:rPr>
                <w:lang w:val="fr-FR"/>
              </w:rPr>
              <w:t>Certaines activités comme les campagnes de sensibilisation de masse sur les droits des femmes et les voyages de partage d'expérience ne peuvent pas être réalisées compte tenu de la situation de la pandémie de COVID 19.</w:t>
            </w:r>
          </w:p>
        </w:tc>
      </w:tr>
      <w:tr w:rsidR="006D2474" w:rsidRPr="005A6420" w14:paraId="01CA857B" w14:textId="77777777" w:rsidTr="00F004BF">
        <w:trPr>
          <w:trHeight w:val="458"/>
        </w:trPr>
        <w:tc>
          <w:tcPr>
            <w:tcW w:w="1530" w:type="dxa"/>
            <w:vMerge/>
          </w:tcPr>
          <w:p w14:paraId="4B08E76A" w14:textId="77777777" w:rsidR="006D2474" w:rsidRPr="005A6420" w:rsidRDefault="006D2474" w:rsidP="006D2474">
            <w:pPr>
              <w:rPr>
                <w:rFonts w:cs="Tahoma"/>
                <w:b/>
                <w:szCs w:val="20"/>
                <w:lang w:val="fr-FR" w:eastAsia="en-US"/>
              </w:rPr>
            </w:pPr>
          </w:p>
        </w:tc>
        <w:tc>
          <w:tcPr>
            <w:tcW w:w="2070" w:type="dxa"/>
            <w:shd w:val="clear" w:color="auto" w:fill="EEECE1"/>
          </w:tcPr>
          <w:p w14:paraId="2FA2AB78" w14:textId="77777777" w:rsidR="006D2474" w:rsidRPr="005A6420" w:rsidRDefault="006D2474" w:rsidP="006D2474">
            <w:pPr>
              <w:jc w:val="both"/>
              <w:rPr>
                <w:rFonts w:cs="Tahoma"/>
                <w:szCs w:val="20"/>
                <w:lang w:val="fr-FR" w:eastAsia="en-US"/>
              </w:rPr>
            </w:pPr>
            <w:r w:rsidRPr="005A6420">
              <w:rPr>
                <w:rFonts w:cs="Tahoma"/>
                <w:szCs w:val="20"/>
                <w:lang w:val="fr-FR" w:eastAsia="en-US"/>
              </w:rPr>
              <w:t>Indicateur 4.2.2</w:t>
            </w:r>
          </w:p>
          <w:p w14:paraId="0E98EBE5" w14:textId="77777777" w:rsidR="006D2474" w:rsidRPr="005A6420" w:rsidRDefault="006D2474" w:rsidP="006D2474">
            <w:pPr>
              <w:jc w:val="both"/>
              <w:rPr>
                <w:rFonts w:cs="Tahoma"/>
                <w:szCs w:val="20"/>
                <w:lang w:val="fr-FR" w:eastAsia="en-US"/>
              </w:rPr>
            </w:pPr>
            <w:r w:rsidRPr="00950723">
              <w:rPr>
                <w:lang w:val="fr-FR" w:eastAsia="en-US"/>
              </w:rPr>
              <w:t>Nombre des organisations féminines de la société civile impliquées</w:t>
            </w:r>
          </w:p>
        </w:tc>
        <w:tc>
          <w:tcPr>
            <w:tcW w:w="1530" w:type="dxa"/>
            <w:shd w:val="clear" w:color="auto" w:fill="EEECE1"/>
          </w:tcPr>
          <w:p w14:paraId="1B9E66BE" w14:textId="77777777" w:rsidR="006D2474" w:rsidRPr="005A6420" w:rsidRDefault="006D2474" w:rsidP="006D2474">
            <w:pPr>
              <w:rPr>
                <w:lang w:val="fr-FR"/>
              </w:rPr>
            </w:pPr>
            <w:r>
              <w:rPr>
                <w:b/>
                <w:sz w:val="22"/>
                <w:szCs w:val="22"/>
                <w:lang w:val="fr-FR" w:eastAsia="en-US"/>
              </w:rPr>
              <w:t>5</w:t>
            </w:r>
          </w:p>
        </w:tc>
        <w:tc>
          <w:tcPr>
            <w:tcW w:w="1620" w:type="dxa"/>
            <w:shd w:val="clear" w:color="auto" w:fill="EEECE1"/>
          </w:tcPr>
          <w:p w14:paraId="26D8437E" w14:textId="77777777" w:rsidR="006D2474" w:rsidRPr="005A6420" w:rsidRDefault="006D2474" w:rsidP="006D2474">
            <w:pPr>
              <w:rPr>
                <w:lang w:val="fr-FR"/>
              </w:rPr>
            </w:pPr>
            <w:r>
              <w:rPr>
                <w:b/>
                <w:sz w:val="22"/>
                <w:szCs w:val="22"/>
                <w:lang w:val="fr-FR" w:eastAsia="en-US"/>
              </w:rPr>
              <w:t>10</w:t>
            </w:r>
          </w:p>
        </w:tc>
        <w:tc>
          <w:tcPr>
            <w:tcW w:w="2070" w:type="dxa"/>
          </w:tcPr>
          <w:p w14:paraId="51A202A7" w14:textId="77777777" w:rsidR="006D2474" w:rsidRPr="005A6420" w:rsidRDefault="006D2474" w:rsidP="006D2474">
            <w:pPr>
              <w:rPr>
                <w:lang w:val="fr-FR"/>
              </w:rPr>
            </w:pPr>
            <w:r w:rsidRPr="00EF7C35">
              <w:rPr>
                <w:sz w:val="22"/>
                <w:szCs w:val="22"/>
                <w:lang w:val="fr-FR" w:eastAsia="en-US"/>
              </w:rPr>
              <w:t>N/A</w:t>
            </w:r>
          </w:p>
        </w:tc>
        <w:tc>
          <w:tcPr>
            <w:tcW w:w="2070" w:type="dxa"/>
          </w:tcPr>
          <w:p w14:paraId="4F4C9E41" w14:textId="77777777" w:rsidR="006D2474" w:rsidRPr="005A6420" w:rsidRDefault="006D2474" w:rsidP="006D2474">
            <w:pPr>
              <w:rPr>
                <w:lang w:val="fr-FR"/>
              </w:rPr>
            </w:pPr>
            <w:r>
              <w:rPr>
                <w:b/>
                <w:sz w:val="22"/>
                <w:szCs w:val="22"/>
                <w:lang w:val="fr-FR" w:eastAsia="en-US"/>
              </w:rPr>
              <w:t>11</w:t>
            </w:r>
          </w:p>
        </w:tc>
        <w:tc>
          <w:tcPr>
            <w:tcW w:w="4140" w:type="dxa"/>
          </w:tcPr>
          <w:p w14:paraId="495FF86F" w14:textId="77777777" w:rsidR="006D2474" w:rsidRPr="005A6420" w:rsidRDefault="006D2474" w:rsidP="006D247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sidRPr="005A6420">
              <w:rPr>
                <w:b/>
                <w:sz w:val="22"/>
                <w:szCs w:val="22"/>
                <w:lang w:val="fr-FR" w:eastAsia="en-US"/>
              </w:rPr>
              <w:fldChar w:fldCharType="end"/>
            </w:r>
          </w:p>
        </w:tc>
      </w:tr>
      <w:tr w:rsidR="006D2474" w:rsidRPr="00DE1699" w14:paraId="00770D2D" w14:textId="77777777" w:rsidTr="00F004BF">
        <w:trPr>
          <w:trHeight w:val="458"/>
        </w:trPr>
        <w:tc>
          <w:tcPr>
            <w:tcW w:w="1530" w:type="dxa"/>
            <w:vMerge w:val="restart"/>
          </w:tcPr>
          <w:p w14:paraId="516F7A47" w14:textId="77777777" w:rsidR="006D2474" w:rsidRPr="005A6420" w:rsidRDefault="006D2474" w:rsidP="006D2474">
            <w:pPr>
              <w:rPr>
                <w:rFonts w:cs="Tahoma"/>
                <w:szCs w:val="20"/>
                <w:lang w:val="fr-FR" w:eastAsia="en-US"/>
              </w:rPr>
            </w:pPr>
            <w:r w:rsidRPr="005A6420">
              <w:rPr>
                <w:rFonts w:cs="Tahoma"/>
                <w:szCs w:val="20"/>
                <w:lang w:val="fr-FR" w:eastAsia="en-US"/>
              </w:rPr>
              <w:lastRenderedPageBreak/>
              <w:t>Produit 4.3</w:t>
            </w:r>
          </w:p>
          <w:p w14:paraId="3CB2D149" w14:textId="77777777" w:rsidR="006D2474" w:rsidRDefault="006D2474" w:rsidP="006D2474">
            <w:pPr>
              <w:rPr>
                <w:lang w:val="fr-FR"/>
              </w:rPr>
            </w:pPr>
            <w:r w:rsidRPr="00975606">
              <w:rPr>
                <w:lang w:val="fr-FR"/>
              </w:rPr>
              <w:t>Une expertise et les données requises sur l’accès des femmes à la justice transitionnel-</w:t>
            </w:r>
          </w:p>
          <w:p w14:paraId="33139FAF" w14:textId="77777777" w:rsidR="006D2474" w:rsidRPr="005A6420" w:rsidRDefault="006D2474" w:rsidP="006D2474">
            <w:pPr>
              <w:rPr>
                <w:rFonts w:cs="Tahoma"/>
                <w:szCs w:val="20"/>
                <w:lang w:val="fr-FR" w:eastAsia="en-US"/>
              </w:rPr>
            </w:pPr>
            <w:r w:rsidRPr="00975606">
              <w:rPr>
                <w:lang w:val="fr-FR"/>
              </w:rPr>
              <w:t xml:space="preserve">le est disponible et fourni aux parties prenantes    </w:t>
            </w:r>
            <w:r w:rsidRPr="007A7806">
              <w:rPr>
                <w:lang w:val="fr-FR"/>
              </w:rPr>
              <w:t xml:space="preserve"> </w:t>
            </w:r>
          </w:p>
        </w:tc>
        <w:tc>
          <w:tcPr>
            <w:tcW w:w="2070" w:type="dxa"/>
            <w:shd w:val="clear" w:color="auto" w:fill="EEECE1"/>
          </w:tcPr>
          <w:p w14:paraId="12E1BEF7" w14:textId="77777777" w:rsidR="006D2474" w:rsidRPr="005A6420" w:rsidRDefault="006D2474" w:rsidP="006D2474">
            <w:pPr>
              <w:jc w:val="both"/>
              <w:rPr>
                <w:rFonts w:cs="Tahoma"/>
                <w:szCs w:val="20"/>
                <w:lang w:val="fr-FR" w:eastAsia="en-US"/>
              </w:rPr>
            </w:pPr>
            <w:r w:rsidRPr="005A6420">
              <w:rPr>
                <w:rFonts w:cs="Tahoma"/>
                <w:szCs w:val="20"/>
                <w:lang w:val="fr-FR" w:eastAsia="en-US"/>
              </w:rPr>
              <w:t>Indicateur 4.3.1</w:t>
            </w:r>
          </w:p>
          <w:p w14:paraId="7967BAA8" w14:textId="77777777" w:rsidR="006D2474" w:rsidRPr="005A6420" w:rsidRDefault="006D2474" w:rsidP="006D2474">
            <w:pPr>
              <w:jc w:val="both"/>
              <w:rPr>
                <w:rFonts w:cs="Tahoma"/>
                <w:szCs w:val="20"/>
                <w:lang w:val="fr-FR" w:eastAsia="en-US"/>
              </w:rPr>
            </w:pPr>
            <w:r w:rsidRPr="00950723">
              <w:rPr>
                <w:lang w:val="fr-FR" w:eastAsia="en-US"/>
              </w:rPr>
              <w:t>Disponibilité d’étude sur les Violences Basées sur le Genre et autres crimes et violations, les vulnérabilités et la résilience des femmes victimes</w:t>
            </w:r>
          </w:p>
        </w:tc>
        <w:tc>
          <w:tcPr>
            <w:tcW w:w="1530" w:type="dxa"/>
            <w:shd w:val="clear" w:color="auto" w:fill="EEECE1"/>
          </w:tcPr>
          <w:p w14:paraId="1B70B053" w14:textId="77777777" w:rsidR="006D2474" w:rsidRPr="005A6420" w:rsidRDefault="006D2474" w:rsidP="006D2474">
            <w:pPr>
              <w:rPr>
                <w:lang w:val="fr-FR"/>
              </w:rPr>
            </w:pPr>
            <w:r>
              <w:rPr>
                <w:b/>
                <w:sz w:val="22"/>
                <w:szCs w:val="22"/>
                <w:lang w:val="fr-FR" w:eastAsia="en-US"/>
              </w:rPr>
              <w:t>0</w:t>
            </w:r>
          </w:p>
        </w:tc>
        <w:tc>
          <w:tcPr>
            <w:tcW w:w="1620" w:type="dxa"/>
            <w:shd w:val="clear" w:color="auto" w:fill="EEECE1"/>
          </w:tcPr>
          <w:p w14:paraId="4D292C34" w14:textId="77777777" w:rsidR="006D2474" w:rsidRPr="005A6420" w:rsidRDefault="006D2474" w:rsidP="006D2474">
            <w:pPr>
              <w:rPr>
                <w:lang w:val="fr-FR"/>
              </w:rPr>
            </w:pPr>
            <w:r>
              <w:rPr>
                <w:b/>
                <w:sz w:val="22"/>
                <w:szCs w:val="22"/>
                <w:lang w:val="fr-FR" w:eastAsia="en-US"/>
              </w:rPr>
              <w:t>1</w:t>
            </w:r>
          </w:p>
        </w:tc>
        <w:tc>
          <w:tcPr>
            <w:tcW w:w="2070" w:type="dxa"/>
          </w:tcPr>
          <w:p w14:paraId="3F91AEBE" w14:textId="77777777" w:rsidR="006D2474" w:rsidRPr="005A6420" w:rsidRDefault="006D2474" w:rsidP="006D2474">
            <w:pPr>
              <w:rPr>
                <w:lang w:val="fr-FR"/>
              </w:rPr>
            </w:pPr>
            <w:r w:rsidRPr="00EF7C35">
              <w:rPr>
                <w:sz w:val="22"/>
                <w:szCs w:val="22"/>
                <w:lang w:val="fr-FR" w:eastAsia="en-US"/>
              </w:rPr>
              <w:t>TdR de l’étude élaboré et processus de recrutement lancé mars 2020</w:t>
            </w:r>
          </w:p>
        </w:tc>
        <w:tc>
          <w:tcPr>
            <w:tcW w:w="2070" w:type="dxa"/>
          </w:tcPr>
          <w:p w14:paraId="52E97F6C" w14:textId="77777777" w:rsidR="006D2474" w:rsidRPr="005A6420" w:rsidRDefault="006D2474" w:rsidP="006D2474">
            <w:pPr>
              <w:rPr>
                <w:lang w:val="fr-FR"/>
              </w:rPr>
            </w:pPr>
            <w:r>
              <w:rPr>
                <w:b/>
                <w:sz w:val="22"/>
                <w:szCs w:val="22"/>
                <w:lang w:val="fr-FR" w:eastAsia="en-US"/>
              </w:rPr>
              <w:t>0</w:t>
            </w:r>
          </w:p>
        </w:tc>
        <w:tc>
          <w:tcPr>
            <w:tcW w:w="4140" w:type="dxa"/>
          </w:tcPr>
          <w:p w14:paraId="62CA2840" w14:textId="77777777" w:rsidR="006D2474" w:rsidRPr="005A6420" w:rsidRDefault="006D2474" w:rsidP="00636E71">
            <w:pPr>
              <w:jc w:val="both"/>
              <w:rPr>
                <w:lang w:val="fr-FR"/>
              </w:rPr>
            </w:pPr>
            <w:r w:rsidRPr="0070250E">
              <w:rPr>
                <w:lang w:val="fr-FR" w:eastAsia="en-US"/>
              </w:rPr>
              <w:t>Les données sur l'accès à la justice des femmes ne peuvent pas être connue si tôt car la crise sanitaire actuelle ne permet pas de</w:t>
            </w:r>
            <w:r>
              <w:rPr>
                <w:lang w:val="fr-FR" w:eastAsia="en-US"/>
              </w:rPr>
              <w:t xml:space="preserve"> </w:t>
            </w:r>
            <w:r w:rsidRPr="0070250E">
              <w:rPr>
                <w:lang w:val="fr-FR" w:eastAsia="en-US"/>
              </w:rPr>
              <w:t>réaliser les études</w:t>
            </w:r>
            <w:r>
              <w:rPr>
                <w:lang w:val="fr-FR" w:eastAsia="en-US"/>
              </w:rPr>
              <w:t xml:space="preserve">. Les </w:t>
            </w:r>
            <w:r w:rsidRPr="0084070E">
              <w:rPr>
                <w:sz w:val="22"/>
                <w:szCs w:val="22"/>
                <w:lang w:val="fr-FR" w:eastAsia="en-US"/>
              </w:rPr>
              <w:t xml:space="preserve">TdR de l’étude </w:t>
            </w:r>
            <w:r>
              <w:rPr>
                <w:sz w:val="22"/>
                <w:szCs w:val="22"/>
                <w:lang w:val="fr-FR" w:eastAsia="en-US"/>
              </w:rPr>
              <w:t xml:space="preserve">sont </w:t>
            </w:r>
            <w:r w:rsidRPr="0084070E">
              <w:rPr>
                <w:sz w:val="22"/>
                <w:szCs w:val="22"/>
                <w:lang w:val="fr-FR" w:eastAsia="en-US"/>
              </w:rPr>
              <w:t>élaboré</w:t>
            </w:r>
            <w:r>
              <w:rPr>
                <w:sz w:val="22"/>
                <w:szCs w:val="22"/>
                <w:lang w:val="fr-FR" w:eastAsia="en-US"/>
              </w:rPr>
              <w:t>s</w:t>
            </w:r>
            <w:r w:rsidRPr="0084070E">
              <w:rPr>
                <w:sz w:val="22"/>
                <w:szCs w:val="22"/>
                <w:lang w:val="fr-FR" w:eastAsia="en-US"/>
              </w:rPr>
              <w:t xml:space="preserve"> et </w:t>
            </w:r>
            <w:r>
              <w:rPr>
                <w:sz w:val="22"/>
                <w:szCs w:val="22"/>
                <w:lang w:val="fr-FR" w:eastAsia="en-US"/>
              </w:rPr>
              <w:t xml:space="preserve">le </w:t>
            </w:r>
            <w:r w:rsidRPr="0084070E">
              <w:rPr>
                <w:sz w:val="22"/>
                <w:szCs w:val="22"/>
                <w:lang w:val="fr-FR" w:eastAsia="en-US"/>
              </w:rPr>
              <w:t xml:space="preserve">processus de recrutement </w:t>
            </w:r>
            <w:r>
              <w:rPr>
                <w:sz w:val="22"/>
                <w:szCs w:val="22"/>
                <w:lang w:val="fr-FR" w:eastAsia="en-US"/>
              </w:rPr>
              <w:t xml:space="preserve">a été </w:t>
            </w:r>
            <w:r w:rsidRPr="0084070E">
              <w:rPr>
                <w:sz w:val="22"/>
                <w:szCs w:val="22"/>
                <w:lang w:val="fr-FR" w:eastAsia="en-US"/>
              </w:rPr>
              <w:t>lancé</w:t>
            </w:r>
            <w:r>
              <w:rPr>
                <w:sz w:val="22"/>
                <w:szCs w:val="22"/>
                <w:lang w:val="fr-FR" w:eastAsia="en-US"/>
              </w:rPr>
              <w:t>.</w:t>
            </w:r>
          </w:p>
        </w:tc>
      </w:tr>
      <w:tr w:rsidR="006D2474" w:rsidRPr="005A6420" w14:paraId="4005E434" w14:textId="77777777" w:rsidTr="00F004BF">
        <w:trPr>
          <w:trHeight w:val="458"/>
        </w:trPr>
        <w:tc>
          <w:tcPr>
            <w:tcW w:w="1530" w:type="dxa"/>
            <w:vMerge/>
          </w:tcPr>
          <w:p w14:paraId="7241165D" w14:textId="77777777" w:rsidR="006D2474" w:rsidRPr="005A6420" w:rsidRDefault="006D2474" w:rsidP="006D2474">
            <w:pPr>
              <w:rPr>
                <w:rFonts w:cs="Tahoma"/>
                <w:b/>
                <w:szCs w:val="20"/>
                <w:lang w:val="fr-FR" w:eastAsia="en-US"/>
              </w:rPr>
            </w:pPr>
          </w:p>
        </w:tc>
        <w:tc>
          <w:tcPr>
            <w:tcW w:w="2070" w:type="dxa"/>
            <w:shd w:val="clear" w:color="auto" w:fill="EEECE1"/>
          </w:tcPr>
          <w:p w14:paraId="4603F5A2" w14:textId="77777777" w:rsidR="006D2474" w:rsidRPr="005A6420" w:rsidRDefault="006D2474" w:rsidP="006D2474">
            <w:pPr>
              <w:jc w:val="both"/>
              <w:rPr>
                <w:rFonts w:cs="Tahoma"/>
                <w:szCs w:val="20"/>
                <w:lang w:val="fr-FR" w:eastAsia="en-US"/>
              </w:rPr>
            </w:pPr>
            <w:r w:rsidRPr="005A6420">
              <w:rPr>
                <w:rFonts w:cs="Tahoma"/>
                <w:szCs w:val="20"/>
                <w:lang w:val="fr-FR" w:eastAsia="en-US"/>
              </w:rPr>
              <w:t>Indicateur 4.3.2</w:t>
            </w:r>
          </w:p>
          <w:p w14:paraId="20F31302" w14:textId="77777777" w:rsidR="006D2474" w:rsidRPr="005A6420" w:rsidRDefault="006D2474" w:rsidP="006D2474">
            <w:pPr>
              <w:jc w:val="both"/>
              <w:rPr>
                <w:rFonts w:cs="Tahoma"/>
                <w:szCs w:val="20"/>
                <w:lang w:val="fr-FR" w:eastAsia="en-US"/>
              </w:rPr>
            </w:pPr>
            <w:r w:rsidRPr="00950723">
              <w:rPr>
                <w:lang w:val="fr-FR" w:eastAsia="en-US"/>
              </w:rPr>
              <w:t xml:space="preserve">connaissance des facteurs de </w:t>
            </w:r>
            <w:r w:rsidRPr="00950723">
              <w:rPr>
                <w:lang w:val="fr-FR"/>
              </w:rPr>
              <w:t>blocage</w:t>
            </w:r>
            <w:r w:rsidRPr="00950723">
              <w:rPr>
                <w:lang w:val="fr-FR" w:eastAsia="en-US"/>
              </w:rPr>
              <w:t xml:space="preserve"> et </w:t>
            </w:r>
            <w:r w:rsidRPr="00950723">
              <w:rPr>
                <w:lang w:val="fr-FR"/>
              </w:rPr>
              <w:t xml:space="preserve">des </w:t>
            </w:r>
            <w:r w:rsidRPr="00950723">
              <w:rPr>
                <w:lang w:val="fr-FR" w:eastAsia="en-US"/>
              </w:rPr>
              <w:t>options de remédier aux obstacles de à l’accès des femmes à la justice</w:t>
            </w:r>
          </w:p>
        </w:tc>
        <w:tc>
          <w:tcPr>
            <w:tcW w:w="1530" w:type="dxa"/>
            <w:shd w:val="clear" w:color="auto" w:fill="EEECE1"/>
          </w:tcPr>
          <w:p w14:paraId="282CEE53" w14:textId="77777777" w:rsidR="006D2474" w:rsidRPr="005A6420" w:rsidRDefault="006D2474" w:rsidP="006D2474">
            <w:pPr>
              <w:rPr>
                <w:lang w:val="fr-FR"/>
              </w:rPr>
            </w:pPr>
            <w:r>
              <w:rPr>
                <w:b/>
                <w:sz w:val="22"/>
                <w:szCs w:val="22"/>
                <w:lang w:val="fr-FR" w:eastAsia="en-US"/>
              </w:rPr>
              <w:t>non</w:t>
            </w:r>
          </w:p>
        </w:tc>
        <w:tc>
          <w:tcPr>
            <w:tcW w:w="1620" w:type="dxa"/>
            <w:shd w:val="clear" w:color="auto" w:fill="EEECE1"/>
          </w:tcPr>
          <w:p w14:paraId="5EBF9B46" w14:textId="77777777" w:rsidR="006D2474" w:rsidRPr="005A6420" w:rsidRDefault="006D2474" w:rsidP="006D2474">
            <w:pPr>
              <w:rPr>
                <w:lang w:val="fr-FR"/>
              </w:rPr>
            </w:pPr>
            <w:r>
              <w:rPr>
                <w:b/>
                <w:sz w:val="22"/>
                <w:szCs w:val="22"/>
                <w:lang w:val="fr-FR" w:eastAsia="en-US"/>
              </w:rPr>
              <w:t>oui</w:t>
            </w:r>
          </w:p>
        </w:tc>
        <w:tc>
          <w:tcPr>
            <w:tcW w:w="2070" w:type="dxa"/>
          </w:tcPr>
          <w:p w14:paraId="77B4C450" w14:textId="77777777" w:rsidR="006D2474" w:rsidRPr="0050529E" w:rsidRDefault="006D2474" w:rsidP="006D2474">
            <w:pPr>
              <w:rPr>
                <w:lang w:val="fr-FR"/>
              </w:rPr>
            </w:pPr>
            <w:r w:rsidRPr="0050529E">
              <w:rPr>
                <w:sz w:val="22"/>
                <w:szCs w:val="22"/>
                <w:lang w:val="fr-FR" w:eastAsia="en-US"/>
              </w:rPr>
              <w:t>ibid.</w:t>
            </w:r>
          </w:p>
        </w:tc>
        <w:tc>
          <w:tcPr>
            <w:tcW w:w="2070" w:type="dxa"/>
          </w:tcPr>
          <w:p w14:paraId="6CDC22E0" w14:textId="77777777" w:rsidR="006D2474" w:rsidRPr="0050529E" w:rsidRDefault="006D2474" w:rsidP="006D2474">
            <w:pPr>
              <w:rPr>
                <w:lang w:val="fr-FR"/>
              </w:rPr>
            </w:pPr>
            <w:r w:rsidRPr="0050529E">
              <w:rPr>
                <w:sz w:val="22"/>
                <w:szCs w:val="22"/>
                <w:lang w:val="fr-FR" w:eastAsia="en-US"/>
              </w:rPr>
              <w:t>non</w:t>
            </w:r>
          </w:p>
        </w:tc>
        <w:tc>
          <w:tcPr>
            <w:tcW w:w="4140" w:type="dxa"/>
          </w:tcPr>
          <w:p w14:paraId="5432E848" w14:textId="77777777" w:rsidR="006D2474" w:rsidRPr="005A6420" w:rsidRDefault="006D2474" w:rsidP="006D2474">
            <w:pPr>
              <w:rPr>
                <w:lang w:val="fr-FR"/>
              </w:rPr>
            </w:pPr>
            <w:r w:rsidRPr="00EF7C35">
              <w:rPr>
                <w:sz w:val="22"/>
                <w:szCs w:val="22"/>
                <w:lang w:val="fr-FR" w:eastAsia="en-US"/>
              </w:rPr>
              <w:t>ibid.</w:t>
            </w:r>
          </w:p>
        </w:tc>
      </w:tr>
    </w:tbl>
    <w:p w14:paraId="3D1074C2" w14:textId="77777777" w:rsidR="00F004BF" w:rsidRDefault="00F004BF" w:rsidP="00F004BF">
      <w:pPr>
        <w:jc w:val="both"/>
        <w:rPr>
          <w:b/>
          <w:lang w:val="en-US" w:eastAsia="en-US"/>
        </w:rPr>
      </w:pPr>
    </w:p>
    <w:p w14:paraId="3B5C1676" w14:textId="77777777" w:rsidR="00F004BF" w:rsidRDefault="00F004BF"/>
    <w:sectPr w:rsidR="00F004BF" w:rsidSect="00F004BF">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5EBE" w16cex:dateUtc="2020-10-29T14:31:00Z"/>
  <w16cex:commentExtensible w16cex:durableId="23456CC6" w16cex:dateUtc="2020-10-29T15:31:00Z"/>
  <w16cex:commentExtensible w16cex:durableId="23456F70" w16cex:dateUtc="2020-10-29T1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3159" w14:textId="77777777" w:rsidR="004869AD" w:rsidRDefault="004869AD">
      <w:r>
        <w:separator/>
      </w:r>
    </w:p>
  </w:endnote>
  <w:endnote w:type="continuationSeparator" w:id="0">
    <w:p w14:paraId="7CC8D301" w14:textId="77777777" w:rsidR="004869AD" w:rsidRDefault="0048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2E6F" w14:textId="77777777" w:rsidR="00A039DD" w:rsidRDefault="00A039DD">
    <w:pPr>
      <w:pStyle w:val="Footer"/>
      <w:jc w:val="center"/>
    </w:pPr>
    <w:r>
      <w:fldChar w:fldCharType="begin"/>
    </w:r>
    <w:r>
      <w:instrText xml:space="preserve"> PAGE   \* MERGEFORMAT </w:instrText>
    </w:r>
    <w:r>
      <w:fldChar w:fldCharType="separate"/>
    </w:r>
    <w:r>
      <w:rPr>
        <w:noProof/>
      </w:rPr>
      <w:t>4</w:t>
    </w:r>
    <w:r>
      <w:fldChar w:fldCharType="end"/>
    </w:r>
  </w:p>
  <w:p w14:paraId="043630D2" w14:textId="77777777" w:rsidR="00A039DD" w:rsidRDefault="00A0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F7EC6" w14:textId="77777777" w:rsidR="004869AD" w:rsidRDefault="004869AD">
      <w:r>
        <w:separator/>
      </w:r>
    </w:p>
  </w:footnote>
  <w:footnote w:type="continuationSeparator" w:id="0">
    <w:p w14:paraId="7D3B52EE" w14:textId="77777777" w:rsidR="004869AD" w:rsidRDefault="004869AD">
      <w:r>
        <w:continuationSeparator/>
      </w:r>
    </w:p>
  </w:footnote>
  <w:footnote w:id="1">
    <w:p w14:paraId="7DE61F65" w14:textId="77777777" w:rsidR="00A039DD" w:rsidRPr="006E6CD5" w:rsidRDefault="00A039DD" w:rsidP="00644E5F">
      <w:pPr>
        <w:pStyle w:val="FootnoteText"/>
        <w:rPr>
          <w:lang w:val="fr-CH"/>
        </w:rPr>
      </w:pPr>
      <w:r>
        <w:rPr>
          <w:rStyle w:val="FootnoteReference"/>
        </w:rPr>
        <w:footnoteRef/>
      </w:r>
      <w:r w:rsidRPr="006E6CD5">
        <w:rPr>
          <w:lang w:val="fr-CH"/>
        </w:rPr>
        <w:t xml:space="preserve"> </w:t>
      </w:r>
      <w:r w:rsidRPr="00D66F62">
        <w:rPr>
          <w:lang w:val="fr-CH"/>
        </w:rPr>
        <w:t>http://www.peacebuildingdata.org/research/car</w:t>
      </w:r>
    </w:p>
  </w:footnote>
  <w:footnote w:id="2">
    <w:p w14:paraId="525F317B" w14:textId="56699A7D" w:rsidR="00A039DD" w:rsidRPr="008F684C" w:rsidRDefault="00A039DD">
      <w:pPr>
        <w:pStyle w:val="FootnoteText"/>
        <w:rPr>
          <w:lang w:val="fr-FR"/>
        </w:rPr>
      </w:pPr>
      <w:r>
        <w:rPr>
          <w:rStyle w:val="FootnoteReference"/>
        </w:rPr>
        <w:footnoteRef/>
      </w:r>
      <w:r w:rsidRPr="008F684C">
        <w:rPr>
          <w:lang w:val="fr-FR"/>
        </w:rPr>
        <w:t xml:space="preserve"> </w:t>
      </w:r>
      <w:r>
        <w:rPr>
          <w:lang w:val="fr-FR"/>
        </w:rPr>
        <w:t>Malgré les défis causés par le COVID et les délais de la mise en place de la CVJRR qui ralentissent le delivery financier, le projet considère le résultat « on track » à cause des résultats probants en matière institutionnelle et légale et de l’étude de perception.</w:t>
      </w:r>
    </w:p>
  </w:footnote>
  <w:footnote w:id="3">
    <w:p w14:paraId="133B30E7" w14:textId="0D938789" w:rsidR="00A039DD" w:rsidRPr="008F684C" w:rsidRDefault="00A039DD">
      <w:pPr>
        <w:pStyle w:val="FootnoteText"/>
        <w:rPr>
          <w:lang w:val="fr-FR"/>
        </w:rPr>
      </w:pPr>
      <w:r>
        <w:rPr>
          <w:rStyle w:val="FootnoteReference"/>
        </w:rPr>
        <w:footnoteRef/>
      </w:r>
      <w:r w:rsidRPr="008F684C">
        <w:rPr>
          <w:lang w:val="fr-FR"/>
        </w:rPr>
        <w:t xml:space="preserve"> </w:t>
      </w:r>
      <w:r>
        <w:rPr>
          <w:lang w:val="fr-FR"/>
        </w:rPr>
        <w:t>Malgré les défis causés par le COVID et les délais dans l’organisation de par exemple la formation sur l’aide légale aux partenaires de la société civile, le projet considère le résultat « on track » à cause des résultats probants avec la mise en place des nouvelles clinique juridiques dans les régions.</w:t>
      </w:r>
    </w:p>
  </w:footnote>
  <w:footnote w:id="4">
    <w:p w14:paraId="2FD33278" w14:textId="1A80109E" w:rsidR="00A039DD" w:rsidRPr="008F2372" w:rsidRDefault="00A039DD">
      <w:pPr>
        <w:pStyle w:val="FootnoteText"/>
        <w:rPr>
          <w:lang w:val="fr-FR"/>
        </w:rPr>
      </w:pPr>
      <w:r>
        <w:rPr>
          <w:rStyle w:val="FootnoteReference"/>
        </w:rPr>
        <w:footnoteRef/>
      </w:r>
      <w:r w:rsidRPr="008F2372">
        <w:rPr>
          <w:lang w:val="fr-FR"/>
        </w:rPr>
        <w:t xml:space="preserve"> </w:t>
      </w:r>
      <w:r>
        <w:rPr>
          <w:lang w:val="fr-FR"/>
        </w:rPr>
        <w:t>Ces missions n’ont pas pu avoir lieu comme prévu entre mars et octobre à cause de la situation sanitaire.</w:t>
      </w:r>
    </w:p>
  </w:footnote>
  <w:footnote w:id="5">
    <w:p w14:paraId="10F66153" w14:textId="3821D766" w:rsidR="00A039DD" w:rsidRPr="008F2372" w:rsidRDefault="00A039DD">
      <w:pPr>
        <w:pStyle w:val="FootnoteText"/>
        <w:rPr>
          <w:lang w:val="fr-FR"/>
        </w:rPr>
      </w:pPr>
      <w:r>
        <w:rPr>
          <w:rStyle w:val="FootnoteReference"/>
        </w:rPr>
        <w:footnoteRef/>
      </w:r>
      <w:r w:rsidRPr="008F2372">
        <w:rPr>
          <w:lang w:val="fr-FR"/>
        </w:rPr>
        <w:t xml:space="preserve"> </w:t>
      </w:r>
      <w:r>
        <w:rPr>
          <w:lang w:val="fr-FR"/>
        </w:rPr>
        <w:t xml:space="preserve">On note qu’à ce </w:t>
      </w:r>
      <w:proofErr w:type="spellStart"/>
      <w:r>
        <w:rPr>
          <w:lang w:val="fr-FR"/>
        </w:rPr>
        <w:t>moment là</w:t>
      </w:r>
      <w:proofErr w:type="spellEnd"/>
      <w:r>
        <w:rPr>
          <w:lang w:val="fr-FR"/>
        </w:rPr>
        <w:t xml:space="preserve"> le PNUD ne pouvait pas encore organiser des missions sur le terrain à cause du COVID.</w:t>
      </w:r>
    </w:p>
  </w:footnote>
  <w:footnote w:id="6">
    <w:p w14:paraId="73C3183C" w14:textId="77777777" w:rsidR="00A039DD" w:rsidRPr="00EF7C35" w:rsidRDefault="00A039DD">
      <w:pPr>
        <w:pStyle w:val="FootnoteText"/>
        <w:rPr>
          <w:lang w:val="fr-FR"/>
        </w:rPr>
      </w:pPr>
      <w:r>
        <w:rPr>
          <w:rStyle w:val="FootnoteReference"/>
        </w:rPr>
        <w:footnoteRef/>
      </w:r>
      <w:r w:rsidRPr="00EF7C35">
        <w:rPr>
          <w:lang w:val="fr-FR"/>
        </w:rPr>
        <w:t xml:space="preserve"> </w:t>
      </w:r>
      <w:r>
        <w:rPr>
          <w:lang w:val="fr-FR"/>
        </w:rPr>
        <w:t>On note qu’il y a une faute de frappe dans le ProDoc, la cible ayant été incorrecte (65 % : 40% H et 60 % F). Correction proposé ici suite à discussion avec PBSO Bangui.</w:t>
      </w:r>
    </w:p>
  </w:footnote>
  <w:footnote w:id="7">
    <w:p w14:paraId="1E8598A1" w14:textId="6F70E4DD" w:rsidR="00A039DD" w:rsidRDefault="00A039DD" w:rsidP="0006600E">
      <w:pPr>
        <w:rPr>
          <w:lang w:val="fr-FR" w:eastAsia="en-US"/>
        </w:rPr>
      </w:pPr>
      <w:r>
        <w:rPr>
          <w:rStyle w:val="FootnoteReference"/>
        </w:rPr>
        <w:footnoteRef/>
      </w:r>
      <w:r w:rsidRPr="00EF7C35">
        <w:rPr>
          <w:lang w:val="fr-FR"/>
        </w:rPr>
        <w:t xml:space="preserve"> </w:t>
      </w:r>
      <w:r w:rsidRPr="00EF7C35">
        <w:rPr>
          <w:sz w:val="20"/>
          <w:szCs w:val="20"/>
          <w:lang w:val="fr-FR"/>
        </w:rPr>
        <w:t xml:space="preserve">Proposition d’actualisation de la cible (initialement </w:t>
      </w:r>
      <w:r w:rsidRPr="00EF7C35">
        <w:rPr>
          <w:sz w:val="20"/>
          <w:szCs w:val="20"/>
          <w:lang w:val="fr-FR" w:eastAsia="en-US"/>
        </w:rPr>
        <w:t>27 309 (50/50% H/F)), car on voit très clairement dans rapports des cliniques juridiques et centres d’écoute pour victimes VSBG que les femmes demandent et reçoivent plus d’information sur leur accès à la justice</w:t>
      </w:r>
      <w:r w:rsidRPr="0006600E">
        <w:rPr>
          <w:lang w:val="fr-FR" w:eastAsia="en-US"/>
        </w:rPr>
        <w:t>.</w:t>
      </w:r>
    </w:p>
    <w:p w14:paraId="063D2272" w14:textId="77777777" w:rsidR="00A039DD" w:rsidRPr="00EF7C35" w:rsidRDefault="00A039DD">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E4DD" w14:textId="77777777" w:rsidR="00A039DD" w:rsidRDefault="00A039DD">
    <w:pPr>
      <w:pStyle w:val="Header"/>
    </w:pPr>
    <w:r>
      <w:rPr>
        <w:rFonts w:ascii="Arial Narrow" w:hAnsi="Arial Narrow"/>
        <w:b/>
        <w:noProof/>
        <w:sz w:val="22"/>
        <w:szCs w:val="22"/>
      </w:rPr>
      <w:drawing>
        <wp:anchor distT="0" distB="0" distL="114300" distR="114300" simplePos="0" relativeHeight="251659264" behindDoc="1" locked="0" layoutInCell="1" allowOverlap="1" wp14:anchorId="57AD62C5" wp14:editId="66D93CAB">
          <wp:simplePos x="0" y="0"/>
          <wp:positionH relativeFrom="column">
            <wp:posOffset>4899660</wp:posOffset>
          </wp:positionH>
          <wp:positionV relativeFrom="paragraph">
            <wp:posOffset>-175260</wp:posOffset>
          </wp:positionV>
          <wp:extent cx="1105535" cy="11220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F"/>
    <w:rsid w:val="00001DB9"/>
    <w:rsid w:val="0001014C"/>
    <w:rsid w:val="00011620"/>
    <w:rsid w:val="0002124C"/>
    <w:rsid w:val="00026597"/>
    <w:rsid w:val="000352E6"/>
    <w:rsid w:val="0006600E"/>
    <w:rsid w:val="000850E0"/>
    <w:rsid w:val="00096D91"/>
    <w:rsid w:val="000A6004"/>
    <w:rsid w:val="000B0715"/>
    <w:rsid w:val="000B384C"/>
    <w:rsid w:val="000C4CB1"/>
    <w:rsid w:val="000D3509"/>
    <w:rsid w:val="000D5A68"/>
    <w:rsid w:val="000F04CD"/>
    <w:rsid w:val="001012E4"/>
    <w:rsid w:val="001225A8"/>
    <w:rsid w:val="00122A2D"/>
    <w:rsid w:val="00126D9D"/>
    <w:rsid w:val="00130391"/>
    <w:rsid w:val="00136557"/>
    <w:rsid w:val="00137EB3"/>
    <w:rsid w:val="00147E2C"/>
    <w:rsid w:val="001658A6"/>
    <w:rsid w:val="00177EA7"/>
    <w:rsid w:val="00181656"/>
    <w:rsid w:val="001906B1"/>
    <w:rsid w:val="00197745"/>
    <w:rsid w:val="001A2720"/>
    <w:rsid w:val="001A616F"/>
    <w:rsid w:val="001D63E4"/>
    <w:rsid w:val="001E1852"/>
    <w:rsid w:val="001F013A"/>
    <w:rsid w:val="001F1F23"/>
    <w:rsid w:val="001F4520"/>
    <w:rsid w:val="002013C9"/>
    <w:rsid w:val="002047B0"/>
    <w:rsid w:val="00205F90"/>
    <w:rsid w:val="00210DF6"/>
    <w:rsid w:val="002335EC"/>
    <w:rsid w:val="00257778"/>
    <w:rsid w:val="002636E2"/>
    <w:rsid w:val="002641F0"/>
    <w:rsid w:val="00270792"/>
    <w:rsid w:val="00284AD6"/>
    <w:rsid w:val="00290EA8"/>
    <w:rsid w:val="002A216E"/>
    <w:rsid w:val="002A7E08"/>
    <w:rsid w:val="002B1B99"/>
    <w:rsid w:val="002B7668"/>
    <w:rsid w:val="002C4A25"/>
    <w:rsid w:val="00311F57"/>
    <w:rsid w:val="00313356"/>
    <w:rsid w:val="00317706"/>
    <w:rsid w:val="003500BC"/>
    <w:rsid w:val="00373B0B"/>
    <w:rsid w:val="00375775"/>
    <w:rsid w:val="003828F8"/>
    <w:rsid w:val="003A2591"/>
    <w:rsid w:val="003A4DB0"/>
    <w:rsid w:val="003B4246"/>
    <w:rsid w:val="003B514E"/>
    <w:rsid w:val="003C1564"/>
    <w:rsid w:val="003C6732"/>
    <w:rsid w:val="003D0957"/>
    <w:rsid w:val="003D2607"/>
    <w:rsid w:val="003E4B68"/>
    <w:rsid w:val="003F26A7"/>
    <w:rsid w:val="00403987"/>
    <w:rsid w:val="0041784B"/>
    <w:rsid w:val="00417A6C"/>
    <w:rsid w:val="004364B2"/>
    <w:rsid w:val="004544D8"/>
    <w:rsid w:val="00456F38"/>
    <w:rsid w:val="00457AF8"/>
    <w:rsid w:val="00466C5A"/>
    <w:rsid w:val="00473D3A"/>
    <w:rsid w:val="00474A16"/>
    <w:rsid w:val="00476496"/>
    <w:rsid w:val="00485EFD"/>
    <w:rsid w:val="004869AD"/>
    <w:rsid w:val="004A566C"/>
    <w:rsid w:val="004B4700"/>
    <w:rsid w:val="004C21E6"/>
    <w:rsid w:val="004C6FC5"/>
    <w:rsid w:val="004C73F3"/>
    <w:rsid w:val="004D5609"/>
    <w:rsid w:val="004D6304"/>
    <w:rsid w:val="004D646E"/>
    <w:rsid w:val="004E6986"/>
    <w:rsid w:val="004F63B5"/>
    <w:rsid w:val="00500E3D"/>
    <w:rsid w:val="0050529E"/>
    <w:rsid w:val="00506BB9"/>
    <w:rsid w:val="005125B8"/>
    <w:rsid w:val="00522B0D"/>
    <w:rsid w:val="00573856"/>
    <w:rsid w:val="00577372"/>
    <w:rsid w:val="0058228D"/>
    <w:rsid w:val="00582747"/>
    <w:rsid w:val="005A1D5D"/>
    <w:rsid w:val="005A3FFA"/>
    <w:rsid w:val="005B3F0E"/>
    <w:rsid w:val="005E3970"/>
    <w:rsid w:val="00611019"/>
    <w:rsid w:val="0063215C"/>
    <w:rsid w:val="00636E71"/>
    <w:rsid w:val="00644E5F"/>
    <w:rsid w:val="00645087"/>
    <w:rsid w:val="00652FAC"/>
    <w:rsid w:val="006550CB"/>
    <w:rsid w:val="00662D6D"/>
    <w:rsid w:val="006805FA"/>
    <w:rsid w:val="006872C1"/>
    <w:rsid w:val="00691587"/>
    <w:rsid w:val="006C1039"/>
    <w:rsid w:val="006C5937"/>
    <w:rsid w:val="006D1970"/>
    <w:rsid w:val="006D2474"/>
    <w:rsid w:val="006E1D6B"/>
    <w:rsid w:val="006E60BA"/>
    <w:rsid w:val="006F4D98"/>
    <w:rsid w:val="00710000"/>
    <w:rsid w:val="00722DD7"/>
    <w:rsid w:val="007246B2"/>
    <w:rsid w:val="00730A19"/>
    <w:rsid w:val="007317E1"/>
    <w:rsid w:val="00732227"/>
    <w:rsid w:val="00732990"/>
    <w:rsid w:val="0073550D"/>
    <w:rsid w:val="007402F6"/>
    <w:rsid w:val="00741749"/>
    <w:rsid w:val="007438B9"/>
    <w:rsid w:val="00762B91"/>
    <w:rsid w:val="00775F02"/>
    <w:rsid w:val="00783B44"/>
    <w:rsid w:val="00785B87"/>
    <w:rsid w:val="007A6059"/>
    <w:rsid w:val="007B3FC6"/>
    <w:rsid w:val="007C0964"/>
    <w:rsid w:val="007C797D"/>
    <w:rsid w:val="007D0F1B"/>
    <w:rsid w:val="007F1C8E"/>
    <w:rsid w:val="007F3740"/>
    <w:rsid w:val="0080263E"/>
    <w:rsid w:val="00825948"/>
    <w:rsid w:val="00831911"/>
    <w:rsid w:val="008409C9"/>
    <w:rsid w:val="00875398"/>
    <w:rsid w:val="00885461"/>
    <w:rsid w:val="00886FB0"/>
    <w:rsid w:val="00887BE2"/>
    <w:rsid w:val="008911F1"/>
    <w:rsid w:val="008924C7"/>
    <w:rsid w:val="008C5525"/>
    <w:rsid w:val="008C7A1E"/>
    <w:rsid w:val="008D737D"/>
    <w:rsid w:val="008F2372"/>
    <w:rsid w:val="008F684C"/>
    <w:rsid w:val="00905F47"/>
    <w:rsid w:val="00905F68"/>
    <w:rsid w:val="00912A4E"/>
    <w:rsid w:val="00913CF7"/>
    <w:rsid w:val="00914B87"/>
    <w:rsid w:val="0094299D"/>
    <w:rsid w:val="0095559E"/>
    <w:rsid w:val="0097112B"/>
    <w:rsid w:val="009715F2"/>
    <w:rsid w:val="0097265B"/>
    <w:rsid w:val="00974DA4"/>
    <w:rsid w:val="00981BC3"/>
    <w:rsid w:val="009826DB"/>
    <w:rsid w:val="00992A2A"/>
    <w:rsid w:val="009A337D"/>
    <w:rsid w:val="009A7D39"/>
    <w:rsid w:val="009B1540"/>
    <w:rsid w:val="009B4EB1"/>
    <w:rsid w:val="009C2781"/>
    <w:rsid w:val="009C3908"/>
    <w:rsid w:val="009D79CF"/>
    <w:rsid w:val="00A039DD"/>
    <w:rsid w:val="00A10060"/>
    <w:rsid w:val="00A1586D"/>
    <w:rsid w:val="00A27FF5"/>
    <w:rsid w:val="00A404C3"/>
    <w:rsid w:val="00A479D3"/>
    <w:rsid w:val="00A6110D"/>
    <w:rsid w:val="00A71CA5"/>
    <w:rsid w:val="00AA70C7"/>
    <w:rsid w:val="00AB71DE"/>
    <w:rsid w:val="00AB743A"/>
    <w:rsid w:val="00AC006E"/>
    <w:rsid w:val="00AD5E22"/>
    <w:rsid w:val="00AE75BD"/>
    <w:rsid w:val="00AF1697"/>
    <w:rsid w:val="00B0169E"/>
    <w:rsid w:val="00B31095"/>
    <w:rsid w:val="00B443A5"/>
    <w:rsid w:val="00B46C56"/>
    <w:rsid w:val="00B55FD0"/>
    <w:rsid w:val="00B6649E"/>
    <w:rsid w:val="00B72B13"/>
    <w:rsid w:val="00B75105"/>
    <w:rsid w:val="00B804F2"/>
    <w:rsid w:val="00B81B7D"/>
    <w:rsid w:val="00B8653A"/>
    <w:rsid w:val="00B9743D"/>
    <w:rsid w:val="00BA1620"/>
    <w:rsid w:val="00BA2FD0"/>
    <w:rsid w:val="00BB74F5"/>
    <w:rsid w:val="00BE34AA"/>
    <w:rsid w:val="00BE41A4"/>
    <w:rsid w:val="00BF724D"/>
    <w:rsid w:val="00C04200"/>
    <w:rsid w:val="00C1342A"/>
    <w:rsid w:val="00C226B9"/>
    <w:rsid w:val="00C26FF4"/>
    <w:rsid w:val="00C5544A"/>
    <w:rsid w:val="00C6637A"/>
    <w:rsid w:val="00C80E69"/>
    <w:rsid w:val="00C81FAD"/>
    <w:rsid w:val="00C96E4F"/>
    <w:rsid w:val="00CA66DE"/>
    <w:rsid w:val="00CB6136"/>
    <w:rsid w:val="00CC7DF0"/>
    <w:rsid w:val="00D10BAB"/>
    <w:rsid w:val="00D319FE"/>
    <w:rsid w:val="00D37A00"/>
    <w:rsid w:val="00D43F0D"/>
    <w:rsid w:val="00D52121"/>
    <w:rsid w:val="00D602D4"/>
    <w:rsid w:val="00D66F62"/>
    <w:rsid w:val="00D953A1"/>
    <w:rsid w:val="00D95B87"/>
    <w:rsid w:val="00DD0423"/>
    <w:rsid w:val="00DD79CB"/>
    <w:rsid w:val="00DE1699"/>
    <w:rsid w:val="00DE58AC"/>
    <w:rsid w:val="00DF6832"/>
    <w:rsid w:val="00E02944"/>
    <w:rsid w:val="00E13104"/>
    <w:rsid w:val="00E241D1"/>
    <w:rsid w:val="00E279C9"/>
    <w:rsid w:val="00E52295"/>
    <w:rsid w:val="00E547FE"/>
    <w:rsid w:val="00E57EAC"/>
    <w:rsid w:val="00E66041"/>
    <w:rsid w:val="00E77002"/>
    <w:rsid w:val="00E83565"/>
    <w:rsid w:val="00E87EAD"/>
    <w:rsid w:val="00E91D4E"/>
    <w:rsid w:val="00EA1436"/>
    <w:rsid w:val="00EA1754"/>
    <w:rsid w:val="00EA29C7"/>
    <w:rsid w:val="00EB1C24"/>
    <w:rsid w:val="00EB6B01"/>
    <w:rsid w:val="00EC6CF0"/>
    <w:rsid w:val="00ED3C25"/>
    <w:rsid w:val="00ED6FCB"/>
    <w:rsid w:val="00EE4EAD"/>
    <w:rsid w:val="00EF13BF"/>
    <w:rsid w:val="00EF16E9"/>
    <w:rsid w:val="00EF7C35"/>
    <w:rsid w:val="00F004BF"/>
    <w:rsid w:val="00F0341C"/>
    <w:rsid w:val="00F16936"/>
    <w:rsid w:val="00F20146"/>
    <w:rsid w:val="00F240B6"/>
    <w:rsid w:val="00F301AA"/>
    <w:rsid w:val="00F4352B"/>
    <w:rsid w:val="00F857B1"/>
    <w:rsid w:val="00F93368"/>
    <w:rsid w:val="00FA0007"/>
    <w:rsid w:val="00FA2811"/>
    <w:rsid w:val="00FC2F6A"/>
    <w:rsid w:val="00FC6762"/>
    <w:rsid w:val="00FC7AE2"/>
    <w:rsid w:val="00FF27E4"/>
    <w:rsid w:val="00FF6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3E80"/>
  <w15:docId w15:val="{EBAB0E62-209B-5F4F-A38D-6880BB2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B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004BF"/>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F004BF"/>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4B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004BF"/>
    <w:rPr>
      <w:rFonts w:ascii="Cambria" w:eastAsia="Times New Roman" w:hAnsi="Cambria" w:cs="Times New Roman"/>
      <w:b/>
      <w:bCs/>
      <w:i/>
      <w:iCs/>
      <w:sz w:val="28"/>
      <w:szCs w:val="28"/>
      <w:lang w:val="en-US"/>
    </w:rPr>
  </w:style>
  <w:style w:type="character" w:styleId="Hyperlink">
    <w:name w:val="Hyperlink"/>
    <w:rsid w:val="00F004BF"/>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F004BF"/>
    <w:rPr>
      <w:sz w:val="20"/>
      <w:szCs w:val="20"/>
    </w:rPr>
  </w:style>
  <w:style w:type="character" w:customStyle="1" w:styleId="FootnoteTextChar">
    <w:name w:val="Footnote Text Char"/>
    <w:aliases w:val="ft Char,ADB Char,single space Char,Footnote Text Char Char Char Char1,Footnote Text Char Char Char Char Char"/>
    <w:basedOn w:val="DefaultParagraphFont"/>
    <w:link w:val="FootnoteText"/>
    <w:uiPriority w:val="99"/>
    <w:rsid w:val="00F004BF"/>
    <w:rPr>
      <w:rFonts w:ascii="Times New Roman" w:eastAsia="Times New Roman" w:hAnsi="Times New Roman" w:cs="Times New Roman"/>
      <w:sz w:val="20"/>
      <w:szCs w:val="20"/>
      <w:lang w:val="en-GB" w:eastAsia="en-GB"/>
    </w:rPr>
  </w:style>
  <w:style w:type="character" w:styleId="FootnoteReference">
    <w:name w:val="footnote reference"/>
    <w:uiPriority w:val="99"/>
    <w:rsid w:val="00F004BF"/>
    <w:rPr>
      <w:vertAlign w:val="superscript"/>
    </w:rPr>
  </w:style>
  <w:style w:type="paragraph" w:styleId="BalloonText">
    <w:name w:val="Balloon Text"/>
    <w:basedOn w:val="Normal"/>
    <w:link w:val="BalloonTextChar"/>
    <w:unhideWhenUsed/>
    <w:rsid w:val="00F004BF"/>
    <w:rPr>
      <w:rFonts w:ascii="Tahoma" w:hAnsi="Tahoma" w:cs="Tahoma"/>
      <w:sz w:val="16"/>
      <w:szCs w:val="16"/>
    </w:rPr>
  </w:style>
  <w:style w:type="character" w:customStyle="1" w:styleId="BalloonTextChar">
    <w:name w:val="Balloon Text Char"/>
    <w:basedOn w:val="DefaultParagraphFont"/>
    <w:link w:val="BalloonText"/>
    <w:rsid w:val="00F004BF"/>
    <w:rPr>
      <w:rFonts w:ascii="Tahoma" w:eastAsia="Times New Roman" w:hAnsi="Tahoma" w:cs="Tahoma"/>
      <w:sz w:val="16"/>
      <w:szCs w:val="16"/>
      <w:lang w:val="en-GB" w:eastAsia="en-GB"/>
    </w:rPr>
  </w:style>
  <w:style w:type="paragraph" w:styleId="Header">
    <w:name w:val="header"/>
    <w:basedOn w:val="Normal"/>
    <w:link w:val="HeaderChar"/>
    <w:unhideWhenUsed/>
    <w:rsid w:val="00F004BF"/>
    <w:pPr>
      <w:tabs>
        <w:tab w:val="center" w:pos="4680"/>
        <w:tab w:val="right" w:pos="9360"/>
      </w:tabs>
    </w:pPr>
  </w:style>
  <w:style w:type="character" w:customStyle="1" w:styleId="HeaderChar">
    <w:name w:val="Header Char"/>
    <w:basedOn w:val="DefaultParagraphFont"/>
    <w:link w:val="Header"/>
    <w:rsid w:val="00F004BF"/>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F004BF"/>
    <w:pPr>
      <w:tabs>
        <w:tab w:val="center" w:pos="4680"/>
        <w:tab w:val="right" w:pos="9360"/>
      </w:tabs>
    </w:pPr>
  </w:style>
  <w:style w:type="character" w:customStyle="1" w:styleId="FooterChar">
    <w:name w:val="Footer Char"/>
    <w:basedOn w:val="DefaultParagraphFont"/>
    <w:link w:val="Footer"/>
    <w:rsid w:val="00F004BF"/>
    <w:rPr>
      <w:rFonts w:ascii="Times New Roman" w:eastAsia="Times New Roman" w:hAnsi="Times New Roman" w:cs="Times New Roman"/>
      <w:sz w:val="24"/>
      <w:szCs w:val="24"/>
      <w:lang w:val="en-GB" w:eastAsia="en-GB"/>
    </w:rPr>
  </w:style>
  <w:style w:type="paragraph" w:styleId="ListParagraph">
    <w:name w:val="List Paragraph"/>
    <w:basedOn w:val="Normal"/>
    <w:qFormat/>
    <w:rsid w:val="00F004BF"/>
    <w:pPr>
      <w:ind w:left="720"/>
      <w:contextualSpacing/>
    </w:pPr>
  </w:style>
  <w:style w:type="character" w:styleId="FollowedHyperlink">
    <w:name w:val="FollowedHyperlink"/>
    <w:uiPriority w:val="99"/>
    <w:semiHidden/>
    <w:unhideWhenUsed/>
    <w:rsid w:val="00F004BF"/>
    <w:rPr>
      <w:color w:val="800080"/>
      <w:u w:val="single"/>
    </w:rPr>
  </w:style>
  <w:style w:type="character" w:styleId="CommentReference">
    <w:name w:val="annotation reference"/>
    <w:semiHidden/>
    <w:rsid w:val="00F004BF"/>
    <w:rPr>
      <w:sz w:val="16"/>
      <w:szCs w:val="16"/>
    </w:rPr>
  </w:style>
  <w:style w:type="paragraph" w:styleId="CommentText">
    <w:name w:val="annotation text"/>
    <w:basedOn w:val="Normal"/>
    <w:link w:val="CommentTextChar"/>
    <w:semiHidden/>
    <w:rsid w:val="00F004BF"/>
    <w:rPr>
      <w:sz w:val="20"/>
      <w:szCs w:val="20"/>
    </w:rPr>
  </w:style>
  <w:style w:type="character" w:customStyle="1" w:styleId="CommentTextChar">
    <w:name w:val="Comment Text Char"/>
    <w:basedOn w:val="DefaultParagraphFont"/>
    <w:link w:val="CommentText"/>
    <w:semiHidden/>
    <w:rsid w:val="00F004B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F004BF"/>
    <w:rPr>
      <w:b/>
      <w:bCs/>
    </w:rPr>
  </w:style>
  <w:style w:type="character" w:customStyle="1" w:styleId="CommentSubjectChar">
    <w:name w:val="Comment Subject Char"/>
    <w:basedOn w:val="CommentTextChar"/>
    <w:link w:val="CommentSubject"/>
    <w:semiHidden/>
    <w:rsid w:val="00F004B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F004BF"/>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F004BF"/>
    <w:pPr>
      <w:spacing w:after="0" w:line="240" w:lineRule="auto"/>
    </w:pPr>
    <w:rPr>
      <w:rFonts w:ascii="Calibri" w:eastAsia="Calibri"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04BF"/>
    <w:rPr>
      <w:rFonts w:ascii="Arial" w:hAnsi="Arial" w:cs="Arial"/>
      <w:sz w:val="20"/>
      <w:szCs w:val="20"/>
      <w:lang w:val="en-US" w:eastAsia="en-US"/>
    </w:rPr>
  </w:style>
  <w:style w:type="character" w:customStyle="1" w:styleId="BodyTextChar">
    <w:name w:val="Body Text Char"/>
    <w:basedOn w:val="DefaultParagraphFont"/>
    <w:link w:val="BodyText"/>
    <w:rsid w:val="00F004BF"/>
    <w:rPr>
      <w:rFonts w:ascii="Arial" w:eastAsia="Times New Roman" w:hAnsi="Arial" w:cs="Arial"/>
      <w:sz w:val="20"/>
      <w:szCs w:val="20"/>
      <w:lang w:val="en-US"/>
    </w:rPr>
  </w:style>
  <w:style w:type="paragraph" w:customStyle="1" w:styleId="H1">
    <w:name w:val="H1"/>
    <w:rsid w:val="00F004BF"/>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F004BF"/>
    <w:pPr>
      <w:spacing w:after="0" w:line="240" w:lineRule="auto"/>
    </w:pPr>
    <w:rPr>
      <w:rFonts w:ascii="Times New Roman" w:eastAsia="Times New Roman" w:hAnsi="Times New Roman" w:cs="Arial"/>
      <w:b/>
      <w:bCs/>
      <w:iCs/>
      <w:snapToGrid w:val="0"/>
      <w:szCs w:val="28"/>
      <w:lang w:val="en-GB"/>
    </w:rPr>
  </w:style>
  <w:style w:type="numbering" w:customStyle="1" w:styleId="NoList1">
    <w:name w:val="No List1"/>
    <w:next w:val="NoList"/>
    <w:semiHidden/>
    <w:rsid w:val="00F004BF"/>
  </w:style>
  <w:style w:type="table" w:customStyle="1" w:styleId="TableGrid1">
    <w:name w:val="Table Grid1"/>
    <w:basedOn w:val="TableNormal"/>
    <w:next w:val="TableGrid"/>
    <w:rsid w:val="00F004BF"/>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F004BF"/>
  </w:style>
  <w:style w:type="paragraph" w:customStyle="1" w:styleId="Char">
    <w:name w:val="Char"/>
    <w:basedOn w:val="Normal"/>
    <w:rsid w:val="00F004BF"/>
    <w:pPr>
      <w:spacing w:after="160" w:line="240" w:lineRule="exact"/>
    </w:pPr>
    <w:rPr>
      <w:rFonts w:ascii="Arial" w:hAnsi="Arial" w:cs="Arial"/>
      <w:sz w:val="20"/>
      <w:szCs w:val="20"/>
      <w:lang w:eastAsia="en-US"/>
    </w:rPr>
  </w:style>
  <w:style w:type="character" w:styleId="PageNumber">
    <w:name w:val="page number"/>
    <w:rsid w:val="00F004BF"/>
  </w:style>
  <w:style w:type="paragraph" w:styleId="NoSpacing">
    <w:name w:val="No Spacing"/>
    <w:qFormat/>
    <w:rsid w:val="00F004BF"/>
    <w:pPr>
      <w:spacing w:after="0" w:line="240" w:lineRule="auto"/>
      <w:ind w:left="1440" w:right="720"/>
    </w:pPr>
    <w:rPr>
      <w:rFonts w:ascii="Calibri" w:eastAsia="Calibri" w:hAnsi="Calibri" w:cs="Times New Roman"/>
      <w:lang w:val="en-GB"/>
    </w:rPr>
  </w:style>
  <w:style w:type="paragraph" w:styleId="HTMLPreformatted">
    <w:name w:val="HTML Preformatted"/>
    <w:basedOn w:val="Normal"/>
    <w:link w:val="HTMLPreformattedChar"/>
    <w:uiPriority w:val="99"/>
    <w:unhideWhenUsed/>
    <w:rsid w:val="00F0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F004BF"/>
    <w:rPr>
      <w:rFonts w:ascii="Courier New" w:eastAsia="Times New Roman" w:hAnsi="Courier New" w:cs="Courier New"/>
      <w:sz w:val="20"/>
      <w:szCs w:val="20"/>
      <w:lang w:val="en-US" w:eastAsia="zh-CN"/>
    </w:rPr>
  </w:style>
  <w:style w:type="character" w:styleId="PlaceholderText">
    <w:name w:val="Placeholder Text"/>
    <w:basedOn w:val="DefaultParagraphFont"/>
    <w:uiPriority w:val="99"/>
    <w:semiHidden/>
    <w:rsid w:val="00F004BF"/>
    <w:rPr>
      <w:color w:val="808080"/>
    </w:rPr>
  </w:style>
  <w:style w:type="paragraph" w:customStyle="1" w:styleId="Default">
    <w:name w:val="Default"/>
    <w:rsid w:val="00F004BF"/>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FCF5-FB42-47B8-89EF-3808DD67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6941</Words>
  <Characters>39566</Characters>
  <Application>Microsoft Office Word</Application>
  <DocSecurity>0</DocSecurity>
  <Lines>329</Lines>
  <Paragraphs>92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Mansoura Yamssa</dc:creator>
  <cp:lastModifiedBy>Anaole Ndoma</cp:lastModifiedBy>
  <cp:revision>2</cp:revision>
  <dcterms:created xsi:type="dcterms:W3CDTF">2020-11-26T08:20:00Z</dcterms:created>
  <dcterms:modified xsi:type="dcterms:W3CDTF">2020-11-26T08:20:00Z</dcterms:modified>
</cp:coreProperties>
</file>