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A862B2"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A862B2">
        <w:rPr>
          <w:b/>
        </w:rPr>
        <w:t>PBF</w:t>
      </w:r>
      <w:r w:rsidR="008640A5" w:rsidRPr="00A862B2">
        <w:rPr>
          <w:b/>
        </w:rPr>
        <w:t xml:space="preserve"> </w:t>
      </w:r>
      <w:r w:rsidR="00CB02F7" w:rsidRPr="00A862B2">
        <w:rPr>
          <w:b/>
          <w:bCs/>
          <w:caps/>
        </w:rPr>
        <w:t>PROJECT progress report</w:t>
      </w:r>
    </w:p>
    <w:p w14:paraId="16DC9E23" w14:textId="1DB72DE0" w:rsidR="00CB02F7" w:rsidRPr="00A862B2" w:rsidRDefault="00CB02F7" w:rsidP="008364E5">
      <w:pPr>
        <w:jc w:val="center"/>
        <w:rPr>
          <w:b/>
          <w:bCs/>
          <w:caps/>
        </w:rPr>
      </w:pPr>
      <w:r w:rsidRPr="00A862B2">
        <w:rPr>
          <w:b/>
          <w:bCs/>
          <w:caps/>
        </w:rPr>
        <w:t>COUNTRY:</w:t>
      </w:r>
      <w:r w:rsidR="00A47DDA" w:rsidRPr="00A862B2">
        <w:rPr>
          <w:bCs/>
          <w:iCs/>
          <w:snapToGrid w:val="0"/>
        </w:rPr>
        <w:t xml:space="preserve"> </w:t>
      </w:r>
      <w:r w:rsidR="00C06882">
        <w:rPr>
          <w:bCs/>
          <w:iCs/>
          <w:snapToGrid w:val="0"/>
        </w:rPr>
        <w:t xml:space="preserve">LIBERIA </w:t>
      </w:r>
      <w:bookmarkStart w:id="0" w:name="_GoBack"/>
      <w:bookmarkEnd w:id="0"/>
    </w:p>
    <w:p w14:paraId="28AB750A" w14:textId="746CC49C" w:rsidR="008640A5" w:rsidRPr="00A862B2" w:rsidRDefault="008640A5" w:rsidP="008364E5">
      <w:pPr>
        <w:jc w:val="center"/>
        <w:rPr>
          <w:b/>
          <w:bCs/>
          <w:caps/>
        </w:rPr>
      </w:pPr>
      <w:r w:rsidRPr="00A862B2">
        <w:rPr>
          <w:b/>
          <w:bCs/>
          <w:caps/>
        </w:rPr>
        <w:t xml:space="preserve">TYPE OF REPORT: </w:t>
      </w:r>
      <w:r w:rsidR="00793DE6" w:rsidRPr="00A862B2">
        <w:rPr>
          <w:b/>
          <w:bCs/>
          <w:caps/>
        </w:rPr>
        <w:t>annual</w:t>
      </w:r>
      <w:r w:rsidR="008F6703" w:rsidRPr="00A862B2">
        <w:rPr>
          <w:b/>
          <w:bCs/>
          <w:caps/>
        </w:rPr>
        <w:t xml:space="preserve">: </w:t>
      </w:r>
    </w:p>
    <w:p w14:paraId="54B5CFAE" w14:textId="76A653D8" w:rsidR="00CB02F7" w:rsidRPr="00A862B2" w:rsidRDefault="007C288F" w:rsidP="008364E5">
      <w:pPr>
        <w:jc w:val="center"/>
        <w:rPr>
          <w:b/>
          <w:bCs/>
          <w:caps/>
        </w:rPr>
      </w:pPr>
      <w:r w:rsidRPr="00A862B2">
        <w:rPr>
          <w:b/>
          <w:bCs/>
          <w:caps/>
        </w:rPr>
        <w:t>YEAR</w:t>
      </w:r>
      <w:r w:rsidR="00793DE6" w:rsidRPr="00A862B2">
        <w:rPr>
          <w:b/>
          <w:bCs/>
          <w:caps/>
        </w:rPr>
        <w:t xml:space="preserve"> of report</w:t>
      </w:r>
      <w:r w:rsidR="00F05682" w:rsidRPr="00A862B2">
        <w:rPr>
          <w:b/>
          <w:bCs/>
          <w:caps/>
        </w:rPr>
        <w:t xml:space="preserve">: </w:t>
      </w:r>
      <w:r w:rsidR="00ED4FD9" w:rsidRPr="00A862B2">
        <w:rPr>
          <w:bCs/>
          <w:iCs/>
          <w:snapToGrid w:val="0"/>
        </w:rPr>
        <w:t>2020</w:t>
      </w:r>
    </w:p>
    <w:p w14:paraId="5DED3840" w14:textId="77777777" w:rsidR="000554F8" w:rsidRPr="00A862B2"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862B2" w14:paraId="1CD9355A" w14:textId="77777777" w:rsidTr="00F23D0F">
        <w:trPr>
          <w:trHeight w:val="422"/>
        </w:trPr>
        <w:tc>
          <w:tcPr>
            <w:tcW w:w="10080" w:type="dxa"/>
            <w:gridSpan w:val="2"/>
          </w:tcPr>
          <w:p w14:paraId="7093DA9F" w14:textId="65EB7BA1" w:rsidR="00793DE6" w:rsidRPr="00A862B2"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862B2">
              <w:rPr>
                <w:rFonts w:ascii="Times New Roman" w:hAnsi="Times New Roman" w:cs="Times New Roman"/>
                <w:b/>
                <w:sz w:val="24"/>
                <w:szCs w:val="24"/>
                <w:lang w:val="en-US"/>
              </w:rPr>
              <w:t xml:space="preserve">Project </w:t>
            </w:r>
            <w:r w:rsidRPr="00A862B2">
              <w:rPr>
                <w:rFonts w:ascii="Times New Roman" w:hAnsi="Times New Roman" w:cs="Times New Roman"/>
                <w:b/>
                <w:sz w:val="24"/>
                <w:szCs w:val="24"/>
              </w:rPr>
              <w:t>Title</w:t>
            </w:r>
            <w:r w:rsidRPr="00A862B2">
              <w:rPr>
                <w:rFonts w:ascii="Times New Roman" w:hAnsi="Times New Roman" w:cs="Times New Roman"/>
                <w:b/>
                <w:sz w:val="24"/>
                <w:szCs w:val="24"/>
                <w:lang w:val="en-US"/>
              </w:rPr>
              <w:t xml:space="preserve">: </w:t>
            </w:r>
            <w:r w:rsidR="00575483" w:rsidRPr="00A862B2">
              <w:rPr>
                <w:rFonts w:ascii="Times New Roman" w:hAnsi="Times New Roman" w:cs="Times New Roman"/>
                <w:bCs/>
                <w:iCs/>
                <w:snapToGrid w:val="0"/>
                <w:sz w:val="24"/>
                <w:szCs w:val="24"/>
              </w:rPr>
              <w:t>Socio-Economic Empowerment of Disadvantage Youth in Liberia</w:t>
            </w:r>
          </w:p>
          <w:p w14:paraId="7336EAC3" w14:textId="60FE6C9C" w:rsidR="00793DE6" w:rsidRPr="00A862B2" w:rsidRDefault="00793DE6" w:rsidP="00793DE6">
            <w:pPr>
              <w:rPr>
                <w:b/>
              </w:rPr>
            </w:pPr>
            <w:r w:rsidRPr="00A862B2">
              <w:rPr>
                <w:b/>
              </w:rPr>
              <w:t>Project Number from MPTF-O Gateway:</w:t>
            </w:r>
            <w:r w:rsidR="00E322F6">
              <w:rPr>
                <w:b/>
              </w:rPr>
              <w:t>0011</w:t>
            </w:r>
            <w:r w:rsidR="00D83DAC">
              <w:rPr>
                <w:b/>
              </w:rPr>
              <w:t>5199</w:t>
            </w:r>
            <w:r w:rsidR="00A43B9C" w:rsidRPr="00A862B2">
              <w:rPr>
                <w:b/>
              </w:rPr>
              <w:t xml:space="preserve">   </w:t>
            </w:r>
            <w:r w:rsidR="00A43B9C" w:rsidRPr="00A862B2">
              <w:rPr>
                <w:b/>
              </w:rPr>
              <w:fldChar w:fldCharType="begin">
                <w:ffData>
                  <w:name w:val="Text39"/>
                  <w:enabled/>
                  <w:calcOnExit w:val="0"/>
                  <w:textInput/>
                </w:ffData>
              </w:fldChar>
            </w:r>
            <w:bookmarkStart w:id="1" w:name="Text39"/>
            <w:r w:rsidR="00A43B9C" w:rsidRPr="00A862B2">
              <w:rPr>
                <w:b/>
              </w:rPr>
              <w:instrText xml:space="preserve"> FORMTEXT </w:instrText>
            </w:r>
            <w:r w:rsidR="00A43B9C" w:rsidRPr="00A862B2">
              <w:rPr>
                <w:b/>
              </w:rPr>
            </w:r>
            <w:r w:rsidR="00A43B9C" w:rsidRPr="00A862B2">
              <w:rPr>
                <w:b/>
              </w:rPr>
              <w:fldChar w:fldCharType="separate"/>
            </w:r>
            <w:r w:rsidR="00A43B9C" w:rsidRPr="00A862B2">
              <w:rPr>
                <w:b/>
                <w:noProof/>
              </w:rPr>
              <w:t> </w:t>
            </w:r>
            <w:r w:rsidR="00A43B9C" w:rsidRPr="00A862B2">
              <w:rPr>
                <w:b/>
                <w:noProof/>
              </w:rPr>
              <w:t> </w:t>
            </w:r>
            <w:r w:rsidR="00A43B9C" w:rsidRPr="00A862B2">
              <w:rPr>
                <w:b/>
                <w:noProof/>
              </w:rPr>
              <w:t> </w:t>
            </w:r>
            <w:r w:rsidR="00A43B9C" w:rsidRPr="00A862B2">
              <w:rPr>
                <w:b/>
                <w:noProof/>
              </w:rPr>
              <w:t> </w:t>
            </w:r>
            <w:r w:rsidR="00A43B9C" w:rsidRPr="00A862B2">
              <w:rPr>
                <w:b/>
                <w:noProof/>
              </w:rPr>
              <w:t> </w:t>
            </w:r>
            <w:r w:rsidR="00A43B9C" w:rsidRPr="00A862B2">
              <w:rPr>
                <w:b/>
              </w:rPr>
              <w:fldChar w:fldCharType="end"/>
            </w:r>
            <w:bookmarkEnd w:id="1"/>
          </w:p>
        </w:tc>
      </w:tr>
      <w:tr w:rsidR="00A43B9C" w:rsidRPr="00A862B2" w14:paraId="23080537" w14:textId="77777777" w:rsidTr="00A43B9C">
        <w:trPr>
          <w:trHeight w:val="422"/>
        </w:trPr>
        <w:tc>
          <w:tcPr>
            <w:tcW w:w="4163" w:type="dxa"/>
          </w:tcPr>
          <w:p w14:paraId="53E07092" w14:textId="77777777" w:rsidR="00A43B9C" w:rsidRPr="00A862B2"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A862B2">
              <w:rPr>
                <w:rFonts w:ascii="Times New Roman" w:hAnsi="Times New Roman" w:cs="Times New Roman"/>
                <w:b/>
                <w:sz w:val="24"/>
                <w:szCs w:val="24"/>
              </w:rPr>
              <w:t xml:space="preserve">If funding is disbursed into a national or regional trust fund: </w:t>
            </w:r>
          </w:p>
          <w:p w14:paraId="644B77B0" w14:textId="0DEFBAA4" w:rsidR="00A43B9C" w:rsidRPr="00A862B2" w:rsidRDefault="005544CC" w:rsidP="00F23D0F">
            <w:pPr>
              <w:tabs>
                <w:tab w:val="left" w:pos="0"/>
              </w:tabs>
              <w:suppressAutoHyphens/>
              <w:jc w:val="both"/>
              <w:rPr>
                <w:b/>
                <w:spacing w:val="-3"/>
              </w:rPr>
            </w:pPr>
            <w:r w:rsidRPr="00A862B2">
              <w:fldChar w:fldCharType="begin">
                <w:ffData>
                  <w:name w:val="Check1"/>
                  <w:enabled/>
                  <w:calcOnExit w:val="0"/>
                  <w:checkBox>
                    <w:sizeAuto/>
                    <w:default w:val="1"/>
                  </w:checkBox>
                </w:ffData>
              </w:fldChar>
            </w:r>
            <w:bookmarkStart w:id="2" w:name="Check1"/>
            <w:r w:rsidRPr="00A862B2">
              <w:instrText xml:space="preserve"> FORMCHECKBOX </w:instrText>
            </w:r>
            <w:r w:rsidR="00D543FC">
              <w:fldChar w:fldCharType="separate"/>
            </w:r>
            <w:r w:rsidRPr="00A862B2">
              <w:fldChar w:fldCharType="end"/>
            </w:r>
            <w:bookmarkEnd w:id="2"/>
            <w:r w:rsidR="00A43B9C" w:rsidRPr="00A862B2">
              <w:tab/>
            </w:r>
            <w:r w:rsidR="00A43B9C" w:rsidRPr="00A862B2">
              <w:tab/>
            </w:r>
            <w:r w:rsidR="00A43B9C" w:rsidRPr="00A862B2">
              <w:rPr>
                <w:spacing w:val="-3"/>
              </w:rPr>
              <w:t>Country Trust Fund</w:t>
            </w:r>
            <w:r w:rsidR="00A43B9C" w:rsidRPr="00A862B2">
              <w:rPr>
                <w:b/>
                <w:spacing w:val="-3"/>
              </w:rPr>
              <w:t xml:space="preserve"> </w:t>
            </w:r>
          </w:p>
          <w:p w14:paraId="3E3B954C" w14:textId="77777777" w:rsidR="00A43B9C" w:rsidRPr="00A862B2" w:rsidRDefault="00A43B9C" w:rsidP="00F23D0F">
            <w:pPr>
              <w:tabs>
                <w:tab w:val="left" w:pos="0"/>
              </w:tabs>
              <w:suppressAutoHyphens/>
              <w:jc w:val="both"/>
              <w:rPr>
                <w:b/>
              </w:rPr>
            </w:pPr>
            <w:r w:rsidRPr="00A862B2">
              <w:fldChar w:fldCharType="begin">
                <w:ffData>
                  <w:name w:val="Check1"/>
                  <w:enabled/>
                  <w:calcOnExit w:val="0"/>
                  <w:checkBox>
                    <w:sizeAuto/>
                    <w:default w:val="0"/>
                  </w:checkBox>
                </w:ffData>
              </w:fldChar>
            </w:r>
            <w:r w:rsidRPr="00A862B2">
              <w:instrText xml:space="preserve"> FORMCHECKBOX </w:instrText>
            </w:r>
            <w:r w:rsidR="00D543FC">
              <w:fldChar w:fldCharType="separate"/>
            </w:r>
            <w:r w:rsidRPr="00A862B2">
              <w:fldChar w:fldCharType="end"/>
            </w:r>
            <w:r w:rsidRPr="00A862B2">
              <w:tab/>
            </w:r>
            <w:r w:rsidRPr="00A862B2">
              <w:tab/>
              <w:t>Regional Trust Fund</w:t>
            </w:r>
            <w:r w:rsidRPr="00A862B2">
              <w:rPr>
                <w:b/>
              </w:rPr>
              <w:t xml:space="preserve"> </w:t>
            </w:r>
          </w:p>
          <w:p w14:paraId="0EDB4FD7" w14:textId="77777777" w:rsidR="00A43B9C" w:rsidRPr="00A862B2" w:rsidRDefault="00A43B9C" w:rsidP="00F23D0F">
            <w:pPr>
              <w:tabs>
                <w:tab w:val="left" w:pos="0"/>
              </w:tabs>
              <w:suppressAutoHyphens/>
              <w:jc w:val="both"/>
              <w:rPr>
                <w:b/>
              </w:rPr>
            </w:pPr>
          </w:p>
          <w:p w14:paraId="0E92ACAC" w14:textId="7B376D80" w:rsidR="00A43B9C" w:rsidRPr="00A862B2"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A862B2">
              <w:rPr>
                <w:rFonts w:ascii="Times New Roman" w:hAnsi="Times New Roman" w:cs="Times New Roman"/>
                <w:b/>
                <w:sz w:val="24"/>
                <w:szCs w:val="24"/>
              </w:rPr>
              <w:t>Name of Recipient Fund:</w:t>
            </w:r>
            <w:r w:rsidR="00C36956">
              <w:rPr>
                <w:rFonts w:ascii="Times New Roman" w:hAnsi="Times New Roman" w:cs="Times New Roman"/>
                <w:b/>
                <w:sz w:val="24"/>
                <w:szCs w:val="24"/>
              </w:rPr>
              <w:t xml:space="preserve"> Liberia Multi Partner Trust </w:t>
            </w:r>
            <w:r w:rsidR="00C36956" w:rsidRPr="00B0520C">
              <w:rPr>
                <w:rFonts w:ascii="Times New Roman" w:hAnsi="Times New Roman" w:cs="Times New Roman"/>
                <w:b/>
                <w:sz w:val="24"/>
                <w:szCs w:val="24"/>
              </w:rPr>
              <w:t>Fund</w:t>
            </w:r>
            <w:r w:rsidRPr="00B0520C">
              <w:rPr>
                <w:rFonts w:ascii="Times New Roman" w:hAnsi="Times New Roman" w:cs="Times New Roman"/>
                <w:b/>
                <w:sz w:val="24"/>
                <w:szCs w:val="24"/>
              </w:rPr>
              <w:t xml:space="preserve"> </w:t>
            </w:r>
            <w:r w:rsidR="00C36956" w:rsidRPr="00B0520C">
              <w:rPr>
                <w:rFonts w:ascii="Times New Roman" w:hAnsi="Times New Roman" w:cs="Times New Roman"/>
                <w:b/>
                <w:sz w:val="24"/>
                <w:szCs w:val="24"/>
              </w:rPr>
              <w:t>(</w:t>
            </w:r>
            <w:r w:rsidR="00317E94" w:rsidRPr="00B0520C">
              <w:rPr>
                <w:rFonts w:ascii="Times New Roman" w:hAnsi="Times New Roman" w:cs="Times New Roman"/>
                <w:bCs/>
                <w:iCs/>
                <w:snapToGrid w:val="0"/>
                <w:sz w:val="24"/>
                <w:szCs w:val="24"/>
              </w:rPr>
              <w:t>LMPTF</w:t>
            </w:r>
            <w:r w:rsidR="00C36956" w:rsidRPr="00B0520C">
              <w:rPr>
                <w:rFonts w:ascii="Times New Roman" w:hAnsi="Times New Roman" w:cs="Times New Roman"/>
                <w:bCs/>
                <w:iCs/>
                <w:snapToGrid w:val="0"/>
                <w:sz w:val="24"/>
                <w:szCs w:val="24"/>
              </w:rPr>
              <w:t>)</w:t>
            </w:r>
          </w:p>
          <w:p w14:paraId="2BF6F37D" w14:textId="77777777" w:rsidR="00A43B9C" w:rsidRPr="00A862B2" w:rsidRDefault="00A43B9C" w:rsidP="00F23D0F">
            <w:pPr>
              <w:tabs>
                <w:tab w:val="left" w:pos="0"/>
              </w:tabs>
              <w:suppressAutoHyphens/>
              <w:jc w:val="both"/>
              <w:rPr>
                <w:b/>
              </w:rPr>
            </w:pPr>
          </w:p>
        </w:tc>
        <w:tc>
          <w:tcPr>
            <w:tcW w:w="5917" w:type="dxa"/>
          </w:tcPr>
          <w:p w14:paraId="4E0550DE" w14:textId="77777777" w:rsidR="001D45C2" w:rsidRDefault="00A43B9C" w:rsidP="00A43B9C">
            <w:pPr>
              <w:rPr>
                <w:b/>
                <w:bCs/>
                <w:iCs/>
              </w:rPr>
            </w:pPr>
            <w:r w:rsidRPr="00A862B2">
              <w:rPr>
                <w:b/>
                <w:bCs/>
                <w:iCs/>
              </w:rPr>
              <w:t xml:space="preserve">Type and name of recipient organizations: </w:t>
            </w:r>
          </w:p>
          <w:p w14:paraId="30D28B9E" w14:textId="77777777" w:rsidR="001D45C2" w:rsidRDefault="001D45C2" w:rsidP="00A43B9C">
            <w:pPr>
              <w:rPr>
                <w:b/>
                <w:bCs/>
                <w:iCs/>
              </w:rPr>
            </w:pPr>
          </w:p>
          <w:p w14:paraId="729D603C" w14:textId="6938C8A0" w:rsidR="001D45C2" w:rsidRDefault="001D45C2" w:rsidP="00A43B9C">
            <w:pPr>
              <w:rPr>
                <w:b/>
                <w:bCs/>
                <w:iCs/>
              </w:rPr>
            </w:pPr>
            <w:r>
              <w:rPr>
                <w:b/>
                <w:bCs/>
                <w:iCs/>
              </w:rPr>
              <w:t>United Nations Development Programmes (</w:t>
            </w:r>
            <w:r w:rsidR="00317E94">
              <w:rPr>
                <w:b/>
                <w:bCs/>
                <w:iCs/>
              </w:rPr>
              <w:t>UNDP</w:t>
            </w:r>
            <w:r>
              <w:rPr>
                <w:b/>
                <w:bCs/>
                <w:iCs/>
              </w:rPr>
              <w:t>) – Convening Agency</w:t>
            </w:r>
          </w:p>
          <w:p w14:paraId="020F04AF" w14:textId="77777777" w:rsidR="001D45C2" w:rsidRDefault="001D45C2" w:rsidP="00A43B9C">
            <w:pPr>
              <w:rPr>
                <w:b/>
                <w:bCs/>
                <w:iCs/>
              </w:rPr>
            </w:pPr>
          </w:p>
          <w:p w14:paraId="3BE7D44F" w14:textId="798640E4" w:rsidR="00A43B9C" w:rsidRPr="00A862B2" w:rsidRDefault="001D45C2" w:rsidP="00A43B9C">
            <w:pPr>
              <w:rPr>
                <w:b/>
                <w:bCs/>
                <w:iCs/>
              </w:rPr>
            </w:pPr>
            <w:r>
              <w:rPr>
                <w:b/>
                <w:bCs/>
                <w:iCs/>
              </w:rPr>
              <w:t>United Nations Population Fund (</w:t>
            </w:r>
            <w:r w:rsidR="00317E94">
              <w:rPr>
                <w:b/>
                <w:bCs/>
                <w:iCs/>
              </w:rPr>
              <w:t>UNFPA</w:t>
            </w:r>
            <w:r>
              <w:rPr>
                <w:b/>
                <w:bCs/>
                <w:iCs/>
              </w:rPr>
              <w:t>)</w:t>
            </w:r>
          </w:p>
          <w:p w14:paraId="3BA0CDE8" w14:textId="622B3D85" w:rsidR="00A43B9C" w:rsidRPr="00A862B2"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A862B2" w14:paraId="3B6DAA11" w14:textId="77777777" w:rsidTr="00F23D0F">
        <w:trPr>
          <w:trHeight w:val="368"/>
        </w:trPr>
        <w:tc>
          <w:tcPr>
            <w:tcW w:w="10080" w:type="dxa"/>
            <w:gridSpan w:val="2"/>
          </w:tcPr>
          <w:p w14:paraId="05BCD0D9" w14:textId="26088479" w:rsidR="00793DE6" w:rsidRPr="00A862B2" w:rsidRDefault="0025220B" w:rsidP="00F23D0F">
            <w:pPr>
              <w:rPr>
                <w:b/>
                <w:bCs/>
                <w:iCs/>
              </w:rPr>
            </w:pPr>
            <w:r w:rsidRPr="00A862B2">
              <w:rPr>
                <w:b/>
                <w:bCs/>
                <w:iCs/>
              </w:rPr>
              <w:t>D</w:t>
            </w:r>
            <w:r w:rsidR="00793DE6" w:rsidRPr="00A862B2">
              <w:rPr>
                <w:b/>
                <w:bCs/>
                <w:iCs/>
              </w:rPr>
              <w:t>ate</w:t>
            </w:r>
            <w:r w:rsidRPr="00A862B2">
              <w:rPr>
                <w:b/>
                <w:bCs/>
                <w:iCs/>
              </w:rPr>
              <w:t xml:space="preserve"> of first transfer</w:t>
            </w:r>
            <w:r w:rsidR="00793DE6" w:rsidRPr="00A862B2">
              <w:rPr>
                <w:b/>
                <w:bCs/>
                <w:iCs/>
              </w:rPr>
              <w:t xml:space="preserve">: </w:t>
            </w:r>
            <w:r w:rsidR="005544CC" w:rsidRPr="00A862B2">
              <w:rPr>
                <w:bCs/>
                <w:iCs/>
                <w:snapToGrid w:val="0"/>
              </w:rPr>
              <w:t>February 19, 2019</w:t>
            </w:r>
          </w:p>
          <w:p w14:paraId="37A4BB59" w14:textId="228A1581" w:rsidR="004D141E" w:rsidRPr="00A862B2" w:rsidRDefault="00793DE6" w:rsidP="00F23D0F">
            <w:pPr>
              <w:rPr>
                <w:bCs/>
                <w:iCs/>
                <w:snapToGrid w:val="0"/>
              </w:rPr>
            </w:pPr>
            <w:r w:rsidRPr="00A862B2">
              <w:rPr>
                <w:b/>
                <w:bCs/>
                <w:iCs/>
              </w:rPr>
              <w:t xml:space="preserve">Project </w:t>
            </w:r>
            <w:r w:rsidR="001C56B8" w:rsidRPr="00A862B2">
              <w:rPr>
                <w:b/>
                <w:bCs/>
                <w:iCs/>
              </w:rPr>
              <w:t>end date</w:t>
            </w:r>
            <w:r w:rsidRPr="00A862B2">
              <w:rPr>
                <w:b/>
                <w:bCs/>
                <w:iCs/>
              </w:rPr>
              <w:t xml:space="preserve">: </w:t>
            </w:r>
            <w:r w:rsidR="005544CC" w:rsidRPr="00A862B2">
              <w:rPr>
                <w:bCs/>
                <w:iCs/>
                <w:snapToGrid w:val="0"/>
              </w:rPr>
              <w:t>February 28, 2021</w:t>
            </w:r>
            <w:r w:rsidR="0025220B" w:rsidRPr="00A862B2">
              <w:rPr>
                <w:bCs/>
                <w:iCs/>
                <w:snapToGrid w:val="0"/>
              </w:rPr>
              <w:t xml:space="preserve">     </w:t>
            </w:r>
          </w:p>
          <w:p w14:paraId="45B406BF" w14:textId="028CF167" w:rsidR="00793DE6" w:rsidRPr="00A862B2" w:rsidRDefault="0025220B" w:rsidP="00F23D0F">
            <w:pPr>
              <w:rPr>
                <w:b/>
                <w:bCs/>
                <w:iCs/>
              </w:rPr>
            </w:pPr>
            <w:r w:rsidRPr="00A862B2">
              <w:rPr>
                <w:b/>
                <w:iCs/>
                <w:snapToGrid w:val="0"/>
              </w:rPr>
              <w:t>Is the current project end date within 6 months?</w:t>
            </w:r>
            <w:r w:rsidRPr="00A862B2">
              <w:rPr>
                <w:bCs/>
                <w:iCs/>
                <w:snapToGrid w:val="0"/>
              </w:rPr>
              <w:t xml:space="preserve"> </w:t>
            </w:r>
            <w:r w:rsidR="00317E94">
              <w:rPr>
                <w:bCs/>
                <w:iCs/>
                <w:snapToGrid w:val="0"/>
              </w:rPr>
              <w:t>Yes</w:t>
            </w:r>
          </w:p>
          <w:p w14:paraId="267396D1" w14:textId="77777777" w:rsidR="00793DE6" w:rsidRPr="00A862B2" w:rsidRDefault="00793DE6" w:rsidP="00793DE6">
            <w:pPr>
              <w:rPr>
                <w:b/>
                <w:bCs/>
                <w:iCs/>
              </w:rPr>
            </w:pPr>
          </w:p>
        </w:tc>
      </w:tr>
      <w:tr w:rsidR="00793DE6" w:rsidRPr="00A862B2" w14:paraId="0A32218D" w14:textId="77777777" w:rsidTr="00F23D0F">
        <w:trPr>
          <w:trHeight w:val="368"/>
        </w:trPr>
        <w:tc>
          <w:tcPr>
            <w:tcW w:w="10080" w:type="dxa"/>
            <w:gridSpan w:val="2"/>
          </w:tcPr>
          <w:p w14:paraId="7922155B" w14:textId="77777777" w:rsidR="00793DE6" w:rsidRPr="00A862B2" w:rsidRDefault="004D141E" w:rsidP="00F23D0F">
            <w:pPr>
              <w:rPr>
                <w:b/>
                <w:bCs/>
                <w:iCs/>
              </w:rPr>
            </w:pPr>
            <w:r w:rsidRPr="00A862B2">
              <w:rPr>
                <w:b/>
                <w:bCs/>
                <w:iCs/>
              </w:rPr>
              <w:t>Check if the</w:t>
            </w:r>
            <w:r w:rsidR="00793DE6" w:rsidRPr="00A862B2">
              <w:rPr>
                <w:b/>
                <w:bCs/>
                <w:iCs/>
              </w:rPr>
              <w:t xml:space="preserve"> project fall</w:t>
            </w:r>
            <w:r w:rsidRPr="00A862B2">
              <w:rPr>
                <w:b/>
                <w:bCs/>
                <w:iCs/>
              </w:rPr>
              <w:t>s</w:t>
            </w:r>
            <w:r w:rsidR="00793DE6" w:rsidRPr="00A862B2">
              <w:rPr>
                <w:b/>
                <w:bCs/>
                <w:iCs/>
              </w:rPr>
              <w:t xml:space="preserve"> under one</w:t>
            </w:r>
            <w:r w:rsidR="00BC71E1" w:rsidRPr="00A862B2">
              <w:rPr>
                <w:b/>
                <w:bCs/>
                <w:iCs/>
              </w:rPr>
              <w:t xml:space="preserve"> or more</w:t>
            </w:r>
            <w:r w:rsidR="00793DE6" w:rsidRPr="00A862B2">
              <w:rPr>
                <w:b/>
                <w:bCs/>
                <w:iCs/>
              </w:rPr>
              <w:t xml:space="preserve"> PBF priority window</w:t>
            </w:r>
            <w:r w:rsidRPr="00A862B2">
              <w:rPr>
                <w:b/>
                <w:bCs/>
                <w:iCs/>
              </w:rPr>
              <w:t>s</w:t>
            </w:r>
            <w:r w:rsidR="00793DE6" w:rsidRPr="00A862B2">
              <w:rPr>
                <w:b/>
                <w:bCs/>
                <w:iCs/>
              </w:rPr>
              <w:t>:</w:t>
            </w:r>
          </w:p>
          <w:p w14:paraId="2B9A3354" w14:textId="77777777" w:rsidR="00793DE6" w:rsidRPr="00A862B2" w:rsidRDefault="00793DE6" w:rsidP="00F23D0F">
            <w:r w:rsidRPr="00A862B2">
              <w:fldChar w:fldCharType="begin">
                <w:ffData>
                  <w:name w:val=""/>
                  <w:enabled/>
                  <w:calcOnExit w:val="0"/>
                  <w:checkBox>
                    <w:sizeAuto/>
                    <w:default w:val="0"/>
                  </w:checkBox>
                </w:ffData>
              </w:fldChar>
            </w:r>
            <w:r w:rsidRPr="00A862B2">
              <w:instrText xml:space="preserve"> FORMCHECKBOX </w:instrText>
            </w:r>
            <w:r w:rsidR="00D543FC">
              <w:fldChar w:fldCharType="separate"/>
            </w:r>
            <w:r w:rsidRPr="00A862B2">
              <w:fldChar w:fldCharType="end"/>
            </w:r>
            <w:r w:rsidRPr="00A862B2">
              <w:t xml:space="preserve"> Gender promotion initiative</w:t>
            </w:r>
          </w:p>
          <w:p w14:paraId="55AFED50" w14:textId="77777777" w:rsidR="00793DE6" w:rsidRPr="00A862B2" w:rsidRDefault="00793DE6" w:rsidP="00F23D0F">
            <w:r w:rsidRPr="00A862B2">
              <w:fldChar w:fldCharType="begin">
                <w:ffData>
                  <w:name w:val=""/>
                  <w:enabled/>
                  <w:calcOnExit w:val="0"/>
                  <w:checkBox>
                    <w:sizeAuto/>
                    <w:default w:val="0"/>
                  </w:checkBox>
                </w:ffData>
              </w:fldChar>
            </w:r>
            <w:r w:rsidRPr="00A862B2">
              <w:instrText xml:space="preserve"> FORMCHECKBOX </w:instrText>
            </w:r>
            <w:r w:rsidR="00D543FC">
              <w:fldChar w:fldCharType="separate"/>
            </w:r>
            <w:r w:rsidRPr="00A862B2">
              <w:fldChar w:fldCharType="end"/>
            </w:r>
            <w:r w:rsidRPr="00A862B2">
              <w:t xml:space="preserve"> Youth promotion initiative</w:t>
            </w:r>
          </w:p>
          <w:p w14:paraId="5930010F" w14:textId="114E6164" w:rsidR="00793DE6" w:rsidRPr="00A862B2" w:rsidRDefault="005544CC" w:rsidP="00F23D0F">
            <w:r w:rsidRPr="00A862B2">
              <w:fldChar w:fldCharType="begin">
                <w:ffData>
                  <w:name w:val=""/>
                  <w:enabled/>
                  <w:calcOnExit w:val="0"/>
                  <w:checkBox>
                    <w:sizeAuto/>
                    <w:default w:val="1"/>
                  </w:checkBox>
                </w:ffData>
              </w:fldChar>
            </w:r>
            <w:r w:rsidRPr="00A862B2">
              <w:instrText xml:space="preserve"> FORMCHECKBOX </w:instrText>
            </w:r>
            <w:r w:rsidR="00D543FC">
              <w:fldChar w:fldCharType="separate"/>
            </w:r>
            <w:r w:rsidRPr="00A862B2">
              <w:fldChar w:fldCharType="end"/>
            </w:r>
            <w:r w:rsidR="00793DE6" w:rsidRPr="00A862B2">
              <w:t xml:space="preserve"> Transition from UN or regional peacekeeping or special political missions</w:t>
            </w:r>
          </w:p>
          <w:p w14:paraId="21A584FA" w14:textId="77777777" w:rsidR="00793DE6" w:rsidRPr="00A862B2" w:rsidRDefault="00793DE6" w:rsidP="00F23D0F">
            <w:r w:rsidRPr="00A862B2">
              <w:fldChar w:fldCharType="begin">
                <w:ffData>
                  <w:name w:val=""/>
                  <w:enabled/>
                  <w:calcOnExit w:val="0"/>
                  <w:checkBox>
                    <w:sizeAuto/>
                    <w:default w:val="0"/>
                  </w:checkBox>
                </w:ffData>
              </w:fldChar>
            </w:r>
            <w:r w:rsidRPr="00A862B2">
              <w:instrText xml:space="preserve"> FORMCHECKBOX </w:instrText>
            </w:r>
            <w:r w:rsidR="00D543FC">
              <w:fldChar w:fldCharType="separate"/>
            </w:r>
            <w:r w:rsidRPr="00A862B2">
              <w:fldChar w:fldCharType="end"/>
            </w:r>
            <w:r w:rsidRPr="00A862B2">
              <w:t xml:space="preserve"> Cross-border or regional project</w:t>
            </w:r>
          </w:p>
          <w:p w14:paraId="65EB2D34" w14:textId="77777777" w:rsidR="00793DE6" w:rsidRPr="00A862B2" w:rsidRDefault="00793DE6" w:rsidP="00F23D0F">
            <w:pPr>
              <w:rPr>
                <w:b/>
                <w:bCs/>
                <w:iCs/>
              </w:rPr>
            </w:pPr>
          </w:p>
        </w:tc>
      </w:tr>
      <w:tr w:rsidR="00793DE6" w:rsidRPr="00A862B2" w14:paraId="481DE647" w14:textId="77777777" w:rsidTr="00F23D0F">
        <w:trPr>
          <w:trHeight w:val="1124"/>
        </w:trPr>
        <w:tc>
          <w:tcPr>
            <w:tcW w:w="10080" w:type="dxa"/>
            <w:gridSpan w:val="2"/>
          </w:tcPr>
          <w:p w14:paraId="403DC2CA" w14:textId="77777777" w:rsidR="00793DE6" w:rsidRPr="00A862B2" w:rsidRDefault="00793DE6" w:rsidP="00F23D0F">
            <w:pPr>
              <w:rPr>
                <w:b/>
                <w:bCs/>
                <w:iCs/>
              </w:rPr>
            </w:pPr>
            <w:r w:rsidRPr="00A862B2">
              <w:rPr>
                <w:b/>
                <w:bCs/>
                <w:iCs/>
              </w:rPr>
              <w:t xml:space="preserve">Total PBF approved project budget (by recipient organization): </w:t>
            </w:r>
          </w:p>
          <w:p w14:paraId="1C668B70" w14:textId="77777777" w:rsidR="00006EC0" w:rsidRPr="00A862B2" w:rsidRDefault="00006EC0" w:rsidP="00F23D0F">
            <w:pPr>
              <w:rPr>
                <w:b/>
                <w:iCs/>
                <w:snapToGrid w:val="0"/>
              </w:rPr>
            </w:pPr>
            <w:bookmarkStart w:id="3" w:name="_Hlk39507683"/>
            <w:r w:rsidRPr="00A862B2">
              <w:rPr>
                <w:b/>
                <w:iCs/>
                <w:snapToGrid w:val="0"/>
              </w:rPr>
              <w:t xml:space="preserve">Recipient Organization              Amount  </w:t>
            </w:r>
          </w:p>
          <w:p w14:paraId="2500092D" w14:textId="77777777" w:rsidR="00006EC0" w:rsidRPr="00A862B2" w:rsidRDefault="00006EC0" w:rsidP="00F23D0F">
            <w:pPr>
              <w:rPr>
                <w:bCs/>
                <w:iCs/>
                <w:snapToGrid w:val="0"/>
              </w:rPr>
            </w:pPr>
          </w:p>
          <w:bookmarkEnd w:id="3"/>
          <w:p w14:paraId="281FA451" w14:textId="77777777" w:rsidR="005544CC" w:rsidRPr="00A862B2" w:rsidRDefault="005544CC" w:rsidP="005544CC">
            <w:pPr>
              <w:rPr>
                <w:iCs/>
              </w:rPr>
            </w:pPr>
            <w:r w:rsidRPr="00A862B2">
              <w:rPr>
                <w:bCs/>
                <w:iCs/>
                <w:snapToGrid w:val="0"/>
              </w:rPr>
              <w:t xml:space="preserve">UNDP   </w:t>
            </w:r>
            <w:r w:rsidRPr="00A862B2">
              <w:rPr>
                <w:b/>
                <w:bCs/>
                <w:iCs/>
              </w:rPr>
              <w:t xml:space="preserve">                                         </w:t>
            </w:r>
            <w:r w:rsidRPr="00A862B2">
              <w:rPr>
                <w:iCs/>
              </w:rPr>
              <w:t xml:space="preserve">$ </w:t>
            </w:r>
            <w:r w:rsidRPr="00A862B2">
              <w:rPr>
                <w:bCs/>
                <w:iCs/>
                <w:snapToGrid w:val="0"/>
              </w:rPr>
              <w:t>900,000.56</w:t>
            </w:r>
          </w:p>
          <w:p w14:paraId="60EF7E28" w14:textId="77777777" w:rsidR="005544CC" w:rsidRPr="00A862B2"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862B2">
              <w:rPr>
                <w:rFonts w:ascii="Times New Roman" w:hAnsi="Times New Roman" w:cs="Times New Roman"/>
                <w:bCs/>
                <w:iCs/>
                <w:snapToGrid w:val="0"/>
                <w:sz w:val="24"/>
                <w:szCs w:val="24"/>
              </w:rPr>
              <w:t xml:space="preserve">UNFPA                                          </w:t>
            </w:r>
            <w:r w:rsidRPr="00A862B2">
              <w:rPr>
                <w:rFonts w:ascii="Times New Roman" w:hAnsi="Times New Roman" w:cs="Times New Roman"/>
                <w:sz w:val="24"/>
                <w:szCs w:val="24"/>
              </w:rPr>
              <w:t xml:space="preserve">$ </w:t>
            </w:r>
            <w:r w:rsidRPr="00A862B2">
              <w:rPr>
                <w:rFonts w:ascii="Times New Roman" w:hAnsi="Times New Roman" w:cs="Times New Roman"/>
                <w:bCs/>
                <w:iCs/>
                <w:snapToGrid w:val="0"/>
                <w:sz w:val="24"/>
                <w:szCs w:val="24"/>
              </w:rPr>
              <w:t xml:space="preserve">500,000.40                                            </w:t>
            </w:r>
          </w:p>
          <w:p w14:paraId="5EC7B05A" w14:textId="77777777" w:rsidR="005544CC" w:rsidRPr="00A862B2"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862B2">
              <w:rPr>
                <w:rFonts w:ascii="Times New Roman" w:hAnsi="Times New Roman" w:cs="Times New Roman"/>
                <w:bCs/>
                <w:iCs/>
                <w:snapToGrid w:val="0"/>
                <w:sz w:val="24"/>
                <w:szCs w:val="24"/>
              </w:rPr>
              <w:t xml:space="preserve">                                            </w:t>
            </w:r>
          </w:p>
          <w:p w14:paraId="2DC55526" w14:textId="6C2EBBD0" w:rsidR="005544CC" w:rsidRPr="00A862B2"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862B2">
              <w:rPr>
                <w:rFonts w:ascii="Times New Roman" w:hAnsi="Times New Roman" w:cs="Times New Roman"/>
                <w:sz w:val="24"/>
                <w:szCs w:val="24"/>
              </w:rPr>
              <w:t xml:space="preserve">                                           Total: </w:t>
            </w:r>
            <w:r w:rsidRPr="00A862B2">
              <w:rPr>
                <w:rFonts w:ascii="Times New Roman" w:hAnsi="Times New Roman" w:cs="Times New Roman"/>
                <w:b/>
                <w:bCs/>
                <w:sz w:val="24"/>
                <w:szCs w:val="24"/>
              </w:rPr>
              <w:t>$</w:t>
            </w:r>
            <w:r w:rsidRPr="00A862B2">
              <w:rPr>
                <w:rFonts w:ascii="Times New Roman" w:hAnsi="Times New Roman" w:cs="Times New Roman"/>
                <w:sz w:val="24"/>
                <w:szCs w:val="24"/>
              </w:rPr>
              <w:t xml:space="preserve"> </w:t>
            </w:r>
            <w:r w:rsidRPr="00A862B2">
              <w:rPr>
                <w:rFonts w:ascii="Times New Roman" w:hAnsi="Times New Roman" w:cs="Times New Roman"/>
                <w:b/>
                <w:bCs/>
                <w:sz w:val="24"/>
                <w:szCs w:val="24"/>
              </w:rPr>
              <w:t>1,400,000.96</w:t>
            </w:r>
            <w:r w:rsidRPr="00A862B2">
              <w:rPr>
                <w:rFonts w:ascii="Times New Roman" w:hAnsi="Times New Roman" w:cs="Times New Roman"/>
                <w:bCs/>
                <w:iCs/>
                <w:snapToGrid w:val="0"/>
                <w:sz w:val="24"/>
                <w:szCs w:val="24"/>
              </w:rPr>
              <w:t xml:space="preserve"> </w:t>
            </w:r>
          </w:p>
          <w:p w14:paraId="57E81080" w14:textId="77777777" w:rsidR="005544CC" w:rsidRPr="00A862B2"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3B92B66B" w:rsidR="001C56B8" w:rsidRPr="00A862B2"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862B2">
              <w:rPr>
                <w:rFonts w:ascii="Times New Roman" w:hAnsi="Times New Roman" w:cs="Times New Roman"/>
                <w:bCs/>
                <w:iCs/>
                <w:snapToGrid w:val="0"/>
                <w:sz w:val="24"/>
                <w:szCs w:val="24"/>
              </w:rPr>
              <w:t xml:space="preserve">Approximate implementation rate as percentage of total project budget: </w:t>
            </w:r>
            <w:r w:rsidR="005544CC" w:rsidRPr="00A862B2">
              <w:rPr>
                <w:rFonts w:ascii="Times New Roman" w:hAnsi="Times New Roman" w:cs="Times New Roman"/>
                <w:bCs/>
                <w:iCs/>
                <w:snapToGrid w:val="0"/>
                <w:sz w:val="24"/>
                <w:szCs w:val="24"/>
              </w:rPr>
              <w:t>77%</w:t>
            </w:r>
          </w:p>
          <w:p w14:paraId="6171E240" w14:textId="77777777" w:rsidR="007C288F" w:rsidRPr="00A862B2"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A862B2">
              <w:rPr>
                <w:rFonts w:ascii="Times New Roman" w:hAnsi="Times New Roman" w:cs="Times New Roman"/>
                <w:bCs/>
                <w:iCs/>
                <w:snapToGrid w:val="0"/>
                <w:sz w:val="24"/>
                <w:szCs w:val="24"/>
              </w:rPr>
              <w:t>*ATTACH PROJECT EXCEL BUDGET SHOWING CURRENT APPROXIMATE EXPENDITURE*</w:t>
            </w:r>
          </w:p>
          <w:p w14:paraId="6901A670" w14:textId="77777777" w:rsidR="00793DE6" w:rsidRPr="00A862B2"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A862B2"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A862B2">
              <w:rPr>
                <w:rFonts w:ascii="Times New Roman" w:hAnsi="Times New Roman" w:cs="Times New Roman"/>
                <w:b/>
                <w:bCs/>
                <w:sz w:val="24"/>
                <w:szCs w:val="24"/>
              </w:rPr>
              <w:t>Gender-responsive Budgeting:</w:t>
            </w:r>
          </w:p>
          <w:p w14:paraId="5F48B706" w14:textId="77777777" w:rsidR="00006EC0" w:rsidRPr="00A862B2"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83C63BF" w:rsidR="00970F4C" w:rsidRPr="00A862B2" w:rsidRDefault="00006EC0" w:rsidP="00006EC0">
            <w:pPr>
              <w:rPr>
                <w:color w:val="FF0000"/>
              </w:rPr>
            </w:pPr>
            <w:r w:rsidRPr="00A862B2">
              <w:t>I</w:t>
            </w:r>
            <w:r w:rsidR="00970F4C" w:rsidRPr="00A862B2">
              <w:t xml:space="preserve">ndicate </w:t>
            </w:r>
            <w:r w:rsidRPr="00A862B2">
              <w:t xml:space="preserve">dollar amount from the project document </w:t>
            </w:r>
            <w:r w:rsidR="00970F4C" w:rsidRPr="00A862B2">
              <w:t xml:space="preserve">to be allocated to activities focussed on gender equality or women’s empowerment: </w:t>
            </w:r>
            <w:r w:rsidR="005544CC" w:rsidRPr="00A862B2">
              <w:rPr>
                <w:rFonts w:eastAsia="Calibri"/>
                <w:b/>
                <w:bCs/>
                <w:lang w:val="en-US" w:eastAsia="zh-CN"/>
              </w:rPr>
              <w:t>25% and $350,000</w:t>
            </w:r>
          </w:p>
          <w:p w14:paraId="0345EEE7" w14:textId="71AD2ACE" w:rsidR="00006EC0" w:rsidRPr="00A862B2" w:rsidRDefault="00006EC0" w:rsidP="00006EC0">
            <w:r w:rsidRPr="00A862B2">
              <w:t xml:space="preserve">Amount expended to date on activities focussed on gender equality or women’s empowerment: </w:t>
            </w:r>
            <w:r w:rsidR="005544CC" w:rsidRPr="00A862B2">
              <w:rPr>
                <w:b/>
                <w:bCs/>
              </w:rPr>
              <w:t>$52,691.04</w:t>
            </w:r>
          </w:p>
          <w:p w14:paraId="2CEAD5EE" w14:textId="77777777" w:rsidR="00952DE4" w:rsidRPr="00A862B2"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A862B2" w14:paraId="5ACD9B9B" w14:textId="77777777" w:rsidTr="00F23D0F">
        <w:trPr>
          <w:trHeight w:val="1124"/>
        </w:trPr>
        <w:tc>
          <w:tcPr>
            <w:tcW w:w="10080" w:type="dxa"/>
            <w:gridSpan w:val="2"/>
          </w:tcPr>
          <w:p w14:paraId="425789B5" w14:textId="77777777" w:rsidR="00110571" w:rsidRPr="00A862B2" w:rsidRDefault="00110571" w:rsidP="00110571">
            <w:pPr>
              <w:rPr>
                <w:b/>
                <w:bCs/>
                <w:iCs/>
                <w:vertAlign w:val="superscript"/>
              </w:rPr>
            </w:pPr>
            <w:r w:rsidRPr="00A862B2">
              <w:rPr>
                <w:b/>
                <w:bCs/>
                <w:iCs/>
              </w:rPr>
              <w:t>Project Gender Marker: 2</w:t>
            </w:r>
            <w:r w:rsidRPr="00A862B2">
              <w:rPr>
                <w:b/>
                <w:bCs/>
                <w:iCs/>
                <w:vertAlign w:val="superscript"/>
              </w:rPr>
              <w:t>2</w:t>
            </w:r>
          </w:p>
          <w:p w14:paraId="334AB381" w14:textId="77777777" w:rsidR="00110571" w:rsidRPr="00A862B2" w:rsidRDefault="00110571" w:rsidP="00110571">
            <w:pPr>
              <w:rPr>
                <w:b/>
                <w:bCs/>
                <w:iCs/>
                <w:vertAlign w:val="superscript"/>
              </w:rPr>
            </w:pPr>
            <w:r w:rsidRPr="00A862B2">
              <w:rPr>
                <w:b/>
                <w:bCs/>
                <w:iCs/>
              </w:rPr>
              <w:t>Project Risk Marker: 1</w:t>
            </w:r>
            <w:r w:rsidRPr="00A862B2">
              <w:rPr>
                <w:b/>
                <w:bCs/>
                <w:iCs/>
                <w:vertAlign w:val="superscript"/>
              </w:rPr>
              <w:t>3</w:t>
            </w:r>
          </w:p>
          <w:p w14:paraId="1DAEED2D" w14:textId="53D53208" w:rsidR="009B18EB" w:rsidRPr="00A862B2" w:rsidRDefault="00110571" w:rsidP="00110571">
            <w:pPr>
              <w:rPr>
                <w:b/>
                <w:bCs/>
                <w:iCs/>
              </w:rPr>
            </w:pPr>
            <w:r w:rsidRPr="00A862B2">
              <w:rPr>
                <w:b/>
                <w:bCs/>
                <w:iCs/>
              </w:rPr>
              <w:t>Project PBF focus area: 2.3</w:t>
            </w:r>
          </w:p>
        </w:tc>
      </w:tr>
      <w:tr w:rsidR="00793DE6" w:rsidRPr="00A862B2" w14:paraId="277CF964" w14:textId="77777777" w:rsidTr="00F23D0F">
        <w:trPr>
          <w:trHeight w:val="1124"/>
        </w:trPr>
        <w:tc>
          <w:tcPr>
            <w:tcW w:w="10080" w:type="dxa"/>
            <w:gridSpan w:val="2"/>
          </w:tcPr>
          <w:p w14:paraId="1CD7755C" w14:textId="77777777" w:rsidR="00793DE6" w:rsidRPr="00A862B2" w:rsidRDefault="00793DE6" w:rsidP="00793DE6">
            <w:pPr>
              <w:rPr>
                <w:b/>
                <w:bCs/>
              </w:rPr>
            </w:pPr>
            <w:r w:rsidRPr="00A862B2">
              <w:rPr>
                <w:b/>
                <w:bCs/>
              </w:rPr>
              <w:lastRenderedPageBreak/>
              <w:t>Report preparation:</w:t>
            </w:r>
          </w:p>
          <w:p w14:paraId="10BDFB0E" w14:textId="0586989C" w:rsidR="00793DE6" w:rsidRPr="00A862B2" w:rsidRDefault="00793DE6" w:rsidP="00793DE6">
            <w:r w:rsidRPr="00A862B2">
              <w:t xml:space="preserve">Project report prepared by: </w:t>
            </w:r>
            <w:r w:rsidR="0024511F" w:rsidRPr="0024511F">
              <w:t>Dorsla Farcarthy</w:t>
            </w:r>
            <w:r w:rsidR="0024511F" w:rsidRPr="0024511F" w:rsidDel="0024511F">
              <w:t xml:space="preserve"> </w:t>
            </w:r>
            <w:r w:rsidR="0024511F">
              <w:t>(UNDP) and Maybe Livingstone (UNFPA)</w:t>
            </w:r>
          </w:p>
          <w:p w14:paraId="6354F724" w14:textId="68496475" w:rsidR="00793DE6" w:rsidRPr="00A862B2" w:rsidRDefault="00793DE6" w:rsidP="00793DE6">
            <w:r w:rsidRPr="00A862B2">
              <w:t xml:space="preserve">Project report approved by: </w:t>
            </w:r>
            <w:r w:rsidR="0024511F">
              <w:t xml:space="preserve">Violet Baffour, Deputy Resident Representative (UNDP); </w:t>
            </w:r>
            <w:r w:rsidR="005B77BB">
              <w:t xml:space="preserve">and </w:t>
            </w:r>
            <w:proofErr w:type="spellStart"/>
            <w:r w:rsidR="005B77BB" w:rsidRPr="0024511F">
              <w:t>Dr.</w:t>
            </w:r>
            <w:proofErr w:type="spellEnd"/>
            <w:r w:rsidR="0024511F" w:rsidRPr="0024511F">
              <w:t xml:space="preserve"> </w:t>
            </w:r>
            <w:proofErr w:type="spellStart"/>
            <w:r w:rsidR="0024511F" w:rsidRPr="0024511F">
              <w:t>Philderald</w:t>
            </w:r>
            <w:proofErr w:type="spellEnd"/>
            <w:r w:rsidR="0024511F" w:rsidRPr="0024511F">
              <w:t xml:space="preserve"> Pratt</w:t>
            </w:r>
            <w:r w:rsidR="0024511F">
              <w:t>, Assistant Representative, UNFPA</w:t>
            </w:r>
          </w:p>
          <w:p w14:paraId="4D99FC9D" w14:textId="013D1C86" w:rsidR="00793DE6" w:rsidRPr="00A862B2" w:rsidRDefault="00793DE6" w:rsidP="001A3157">
            <w:r w:rsidRPr="00A862B2">
              <w:t xml:space="preserve">Did PBF Secretariat </w:t>
            </w:r>
            <w:r w:rsidR="009B18EB" w:rsidRPr="00A862B2">
              <w:t xml:space="preserve">review </w:t>
            </w:r>
            <w:r w:rsidRPr="00A862B2">
              <w:t xml:space="preserve">the report: </w:t>
            </w:r>
            <w:r w:rsidR="004A00A8">
              <w:t>Yes</w:t>
            </w:r>
          </w:p>
        </w:tc>
      </w:tr>
    </w:tbl>
    <w:p w14:paraId="00782974" w14:textId="77777777" w:rsidR="00272A58" w:rsidRPr="00A862B2" w:rsidRDefault="00272A58" w:rsidP="00E76CA1">
      <w:pPr>
        <w:rPr>
          <w:b/>
        </w:rPr>
        <w:sectPr w:rsidR="00272A58" w:rsidRPr="00A862B2" w:rsidSect="0078600B">
          <w:footerReference w:type="default" r:id="rId13"/>
          <w:pgSz w:w="11906" w:h="16838"/>
          <w:pgMar w:top="1440" w:right="1800" w:bottom="1440" w:left="1800" w:header="720" w:footer="720" w:gutter="0"/>
          <w:cols w:space="720"/>
          <w:docGrid w:linePitch="360"/>
        </w:sectPr>
      </w:pPr>
    </w:p>
    <w:p w14:paraId="1CDAFC7E" w14:textId="77777777" w:rsidR="004C4F3B" w:rsidRPr="00A862B2" w:rsidRDefault="00793DE6" w:rsidP="00A47DDA">
      <w:pPr>
        <w:ind w:hanging="810"/>
        <w:jc w:val="both"/>
        <w:rPr>
          <w:b/>
          <w:i/>
          <w:iCs/>
        </w:rPr>
      </w:pPr>
      <w:r w:rsidRPr="00A862B2">
        <w:rPr>
          <w:b/>
          <w:i/>
          <w:iCs/>
        </w:rPr>
        <w:lastRenderedPageBreak/>
        <w:t>NOTES</w:t>
      </w:r>
      <w:r w:rsidR="004C4F3B" w:rsidRPr="00A862B2">
        <w:rPr>
          <w:b/>
          <w:i/>
          <w:iCs/>
        </w:rPr>
        <w:t xml:space="preserve"> FOR COMPLETING THE REPORT:</w:t>
      </w:r>
    </w:p>
    <w:p w14:paraId="18152DD7" w14:textId="77777777" w:rsidR="004C4F3B" w:rsidRPr="00A862B2" w:rsidRDefault="001A1E86" w:rsidP="000C0090">
      <w:pPr>
        <w:numPr>
          <w:ilvl w:val="0"/>
          <w:numId w:val="1"/>
        </w:numPr>
        <w:ind w:left="-540"/>
        <w:jc w:val="both"/>
        <w:rPr>
          <w:i/>
          <w:iCs/>
        </w:rPr>
      </w:pPr>
      <w:r w:rsidRPr="00A862B2">
        <w:rPr>
          <w:i/>
          <w:iCs/>
        </w:rPr>
        <w:t>Avoid acronyms and UN jargon, use genera</w:t>
      </w:r>
      <w:r w:rsidR="00013D36" w:rsidRPr="00A862B2">
        <w:rPr>
          <w:i/>
          <w:iCs/>
        </w:rPr>
        <w:t>l</w:t>
      </w:r>
      <w:r w:rsidRPr="00A862B2">
        <w:rPr>
          <w:i/>
          <w:iCs/>
        </w:rPr>
        <w:t xml:space="preserve"> /common language</w:t>
      </w:r>
      <w:r w:rsidR="004C4F3B" w:rsidRPr="00A862B2">
        <w:rPr>
          <w:i/>
          <w:iCs/>
        </w:rPr>
        <w:t>.</w:t>
      </w:r>
    </w:p>
    <w:p w14:paraId="7F8C5BB1" w14:textId="77777777" w:rsidR="007B368E" w:rsidRPr="00A862B2" w:rsidRDefault="007B368E" w:rsidP="000C0090">
      <w:pPr>
        <w:numPr>
          <w:ilvl w:val="0"/>
          <w:numId w:val="1"/>
        </w:numPr>
        <w:ind w:left="-540"/>
        <w:jc w:val="both"/>
        <w:rPr>
          <w:i/>
          <w:iCs/>
        </w:rPr>
      </w:pPr>
      <w:r w:rsidRPr="00A862B2">
        <w:rPr>
          <w:i/>
          <w:iCs/>
        </w:rPr>
        <w:t>Report on what has been achieved in the reporting period, not what the project aims to do.</w:t>
      </w:r>
    </w:p>
    <w:p w14:paraId="46A6A1E7" w14:textId="77777777" w:rsidR="004C4F3B" w:rsidRPr="00A862B2" w:rsidRDefault="004C4F3B" w:rsidP="000C0090">
      <w:pPr>
        <w:numPr>
          <w:ilvl w:val="0"/>
          <w:numId w:val="1"/>
        </w:numPr>
        <w:ind w:left="-540"/>
        <w:jc w:val="both"/>
        <w:rPr>
          <w:i/>
          <w:iCs/>
        </w:rPr>
      </w:pPr>
      <w:r w:rsidRPr="00A862B2">
        <w:rPr>
          <w:i/>
          <w:iCs/>
        </w:rPr>
        <w:t xml:space="preserve">Be as concrete as possible. </w:t>
      </w:r>
      <w:bookmarkStart w:id="4" w:name="_Hlk55575508"/>
      <w:r w:rsidRPr="00A862B2">
        <w:rPr>
          <w:i/>
          <w:iCs/>
        </w:rPr>
        <w:t>Avoid theoretical, vague or conceptual discourse</w:t>
      </w:r>
      <w:bookmarkEnd w:id="4"/>
      <w:r w:rsidRPr="00A862B2">
        <w:rPr>
          <w:i/>
          <w:iCs/>
        </w:rPr>
        <w:t>.</w:t>
      </w:r>
    </w:p>
    <w:p w14:paraId="019E0240" w14:textId="4FE5996F" w:rsidR="004C4F3B" w:rsidRPr="00A862B2" w:rsidRDefault="006A07CA" w:rsidP="000C0090">
      <w:pPr>
        <w:numPr>
          <w:ilvl w:val="0"/>
          <w:numId w:val="1"/>
        </w:numPr>
        <w:ind w:left="-540"/>
        <w:jc w:val="both"/>
        <w:rPr>
          <w:i/>
          <w:iCs/>
        </w:rPr>
      </w:pPr>
      <w:r w:rsidRPr="00A862B2">
        <w:rPr>
          <w:i/>
          <w:iCs/>
        </w:rPr>
        <w:t>Ensure the analysis and project progress assessment is gender and age sensitive.</w:t>
      </w:r>
    </w:p>
    <w:p w14:paraId="363C1C2E" w14:textId="61ABEEF4" w:rsidR="00E83A40" w:rsidRPr="00A862B2" w:rsidRDefault="00E83A40" w:rsidP="000C0090">
      <w:pPr>
        <w:numPr>
          <w:ilvl w:val="0"/>
          <w:numId w:val="1"/>
        </w:numPr>
        <w:ind w:left="-540"/>
        <w:jc w:val="both"/>
        <w:rPr>
          <w:i/>
          <w:iCs/>
        </w:rPr>
      </w:pPr>
      <w:r w:rsidRPr="00A862B2">
        <w:rPr>
          <w:i/>
          <w:iCs/>
        </w:rPr>
        <w:t>Please include any COVID-19 related considerations, adjustments and results</w:t>
      </w:r>
      <w:r w:rsidR="00CF073D" w:rsidRPr="00A862B2">
        <w:rPr>
          <w:i/>
          <w:iCs/>
        </w:rPr>
        <w:t xml:space="preserve"> and respond to section IV. </w:t>
      </w:r>
    </w:p>
    <w:p w14:paraId="25C8F0DF" w14:textId="77777777" w:rsidR="004C4F3B" w:rsidRPr="00A862B2" w:rsidRDefault="004C4F3B" w:rsidP="00A47DDA">
      <w:pPr>
        <w:ind w:hanging="810"/>
        <w:jc w:val="both"/>
        <w:rPr>
          <w:b/>
        </w:rPr>
      </w:pPr>
    </w:p>
    <w:p w14:paraId="28CD6784" w14:textId="77777777" w:rsidR="00985E49" w:rsidRPr="00A862B2" w:rsidRDefault="00985E49" w:rsidP="00A47DDA">
      <w:pPr>
        <w:ind w:hanging="810"/>
        <w:jc w:val="both"/>
        <w:rPr>
          <w:b/>
        </w:rPr>
      </w:pPr>
    </w:p>
    <w:p w14:paraId="6B090363" w14:textId="77777777" w:rsidR="00E42721" w:rsidRPr="00A862B2" w:rsidRDefault="00A47DDA" w:rsidP="00A47DDA">
      <w:pPr>
        <w:ind w:hanging="810"/>
        <w:jc w:val="both"/>
        <w:rPr>
          <w:b/>
          <w:u w:val="single"/>
        </w:rPr>
      </w:pPr>
      <w:r w:rsidRPr="00A862B2">
        <w:rPr>
          <w:b/>
          <w:u w:val="single"/>
        </w:rPr>
        <w:t>PART 1</w:t>
      </w:r>
      <w:r w:rsidR="00B652A1" w:rsidRPr="00A862B2">
        <w:rPr>
          <w:b/>
          <w:u w:val="single"/>
        </w:rPr>
        <w:t>:</w:t>
      </w:r>
      <w:r w:rsidR="00E42721" w:rsidRPr="00A862B2">
        <w:rPr>
          <w:b/>
          <w:u w:val="single"/>
        </w:rPr>
        <w:t xml:space="preserve"> </w:t>
      </w:r>
      <w:r w:rsidR="00206D45" w:rsidRPr="00A862B2">
        <w:rPr>
          <w:b/>
          <w:u w:val="single"/>
        </w:rPr>
        <w:t>OVERALL PROJECT</w:t>
      </w:r>
      <w:r w:rsidR="00E42721" w:rsidRPr="00A862B2">
        <w:rPr>
          <w:b/>
          <w:u w:val="single"/>
        </w:rPr>
        <w:t xml:space="preserve"> PROGRESS</w:t>
      </w:r>
    </w:p>
    <w:p w14:paraId="53D3D9A6" w14:textId="77777777" w:rsidR="00A02F58" w:rsidRPr="00A862B2" w:rsidRDefault="00A02F58" w:rsidP="00206D45">
      <w:pPr>
        <w:rPr>
          <w:b/>
        </w:rPr>
      </w:pPr>
    </w:p>
    <w:p w14:paraId="01518E19" w14:textId="0702B653" w:rsidR="00D84A39" w:rsidRPr="0014433D" w:rsidRDefault="00411A5F" w:rsidP="007C304F">
      <w:pPr>
        <w:ind w:left="-810"/>
        <w:rPr>
          <w:b/>
          <w:bCs/>
          <w:i/>
        </w:rPr>
      </w:pPr>
      <w:r w:rsidRPr="0014433D">
        <w:rPr>
          <w:b/>
          <w:bCs/>
          <w:i/>
        </w:rPr>
        <w:t xml:space="preserve">Briefly </w:t>
      </w:r>
      <w:r w:rsidR="008364E5" w:rsidRPr="0014433D">
        <w:rPr>
          <w:b/>
          <w:bCs/>
          <w:i/>
        </w:rPr>
        <w:t>outline</w:t>
      </w:r>
      <w:r w:rsidR="007C304F" w:rsidRPr="0014433D">
        <w:rPr>
          <w:b/>
          <w:bCs/>
          <w:i/>
        </w:rPr>
        <w:t xml:space="preserve"> the</w:t>
      </w:r>
      <w:r w:rsidR="00F5504F" w:rsidRPr="0014433D">
        <w:rPr>
          <w:b/>
          <w:bCs/>
          <w:i/>
        </w:rPr>
        <w:t xml:space="preserve"> </w:t>
      </w:r>
      <w:r w:rsidR="00F5504F" w:rsidRPr="0014433D">
        <w:rPr>
          <w:b/>
          <w:bCs/>
          <w:i/>
          <w:u w:val="single"/>
        </w:rPr>
        <w:t>status of the</w:t>
      </w:r>
      <w:r w:rsidR="007C304F" w:rsidRPr="0014433D">
        <w:rPr>
          <w:b/>
          <w:bCs/>
          <w:i/>
          <w:u w:val="single"/>
        </w:rPr>
        <w:t xml:space="preserve"> project</w:t>
      </w:r>
      <w:r w:rsidR="007C304F" w:rsidRPr="0014433D">
        <w:rPr>
          <w:b/>
          <w:bCs/>
          <w:i/>
        </w:rPr>
        <w:t xml:space="preserve"> in terms of implementation cycle, including whether preliminary/preparatory activities have been completed</w:t>
      </w:r>
      <w:r w:rsidR="008364E5" w:rsidRPr="0014433D">
        <w:rPr>
          <w:b/>
          <w:bCs/>
          <w:i/>
        </w:rPr>
        <w:t xml:space="preserve"> (i.e. </w:t>
      </w:r>
      <w:r w:rsidR="009B18EB" w:rsidRPr="0014433D">
        <w:rPr>
          <w:b/>
          <w:bCs/>
          <w:i/>
        </w:rPr>
        <w:t>contracting of partners, staff recruitment</w:t>
      </w:r>
      <w:r w:rsidR="004D141E" w:rsidRPr="0014433D">
        <w:rPr>
          <w:b/>
          <w:bCs/>
          <w:i/>
        </w:rPr>
        <w:t>, etc.</w:t>
      </w:r>
      <w:r w:rsidR="008364E5" w:rsidRPr="0014433D">
        <w:rPr>
          <w:b/>
          <w:bCs/>
          <w:i/>
        </w:rPr>
        <w:t>)</w:t>
      </w:r>
      <w:r w:rsidR="004D141E" w:rsidRPr="0014433D">
        <w:rPr>
          <w:b/>
          <w:bCs/>
          <w:i/>
        </w:rPr>
        <w:t xml:space="preserve"> </w:t>
      </w:r>
      <w:r w:rsidR="006A07CA" w:rsidRPr="0014433D">
        <w:rPr>
          <w:b/>
          <w:bCs/>
          <w:i/>
        </w:rPr>
        <w:t>(</w:t>
      </w:r>
      <w:r w:rsidR="00A862B2" w:rsidRPr="0014433D">
        <w:rPr>
          <w:b/>
          <w:bCs/>
          <w:i/>
        </w:rPr>
        <w:t>1500-character</w:t>
      </w:r>
      <w:r w:rsidR="006A07CA" w:rsidRPr="0014433D">
        <w:rPr>
          <w:b/>
          <w:bCs/>
          <w:i/>
        </w:rPr>
        <w:t xml:space="preserve"> limit)</w:t>
      </w:r>
      <w:r w:rsidR="007C304F" w:rsidRPr="0014433D">
        <w:rPr>
          <w:b/>
          <w:bCs/>
          <w:i/>
        </w:rPr>
        <w:t xml:space="preserve">: </w:t>
      </w:r>
    </w:p>
    <w:p w14:paraId="04A6319C" w14:textId="77777777" w:rsidR="00A862B2" w:rsidRPr="00A862B2" w:rsidRDefault="00A862B2" w:rsidP="007C304F">
      <w:pPr>
        <w:ind w:left="-810"/>
        <w:rPr>
          <w:i/>
        </w:rPr>
      </w:pPr>
    </w:p>
    <w:p w14:paraId="30C511ED" w14:textId="426B208F" w:rsidR="00627A1C" w:rsidRPr="00A862B2" w:rsidRDefault="005702AC" w:rsidP="00A862B2">
      <w:pPr>
        <w:ind w:left="-810"/>
        <w:jc w:val="both"/>
      </w:pPr>
      <w:bookmarkStart w:id="5" w:name="_Hlk55574748"/>
      <w:r>
        <w:t>A</w:t>
      </w:r>
      <w:r w:rsidR="00575483" w:rsidRPr="00A862B2">
        <w:t xml:space="preserve">ll preliminary activities have been completed </w:t>
      </w:r>
      <w:r w:rsidR="00CE3D1A" w:rsidRPr="00A862B2">
        <w:t xml:space="preserve">within the implementation cycle, </w:t>
      </w:r>
      <w:r w:rsidR="00A16C46" w:rsidRPr="00A862B2">
        <w:t>except for</w:t>
      </w:r>
      <w:r w:rsidR="00CE3D1A" w:rsidRPr="00A862B2">
        <w:t xml:space="preserve"> the recruitment of national and international consultant</w:t>
      </w:r>
      <w:r w:rsidR="00747BEF">
        <w:t>s</w:t>
      </w:r>
      <w:r w:rsidR="00CE3D1A" w:rsidRPr="00A862B2">
        <w:t xml:space="preserve"> to conduct </w:t>
      </w:r>
      <w:r w:rsidR="00A16C46">
        <w:t xml:space="preserve">the </w:t>
      </w:r>
      <w:r w:rsidR="00CE3D1A" w:rsidRPr="00A862B2">
        <w:t xml:space="preserve">terminal evaluation. </w:t>
      </w:r>
      <w:r w:rsidR="00747BEF">
        <w:t xml:space="preserve"> The </w:t>
      </w:r>
      <w:r w:rsidR="00647D0A">
        <w:t>P</w:t>
      </w:r>
      <w:r w:rsidR="00747BEF">
        <w:t xml:space="preserve">roject shared the draft </w:t>
      </w:r>
      <w:r w:rsidR="00647D0A">
        <w:t xml:space="preserve">Evaluation </w:t>
      </w:r>
      <w:r w:rsidR="00747BEF">
        <w:t>Terms of Reference (</w:t>
      </w:r>
      <w:proofErr w:type="spellStart"/>
      <w:r w:rsidR="00CE3D1A" w:rsidRPr="00A862B2">
        <w:t>ToR</w:t>
      </w:r>
      <w:proofErr w:type="spellEnd"/>
      <w:r w:rsidR="00747BEF">
        <w:t>)</w:t>
      </w:r>
      <w:r w:rsidR="00CE3D1A" w:rsidRPr="00A862B2">
        <w:t xml:space="preserve"> with </w:t>
      </w:r>
      <w:r w:rsidR="00747BEF">
        <w:t xml:space="preserve">the </w:t>
      </w:r>
      <w:r w:rsidR="00CE3D1A" w:rsidRPr="00A862B2">
        <w:t>LMPTF</w:t>
      </w:r>
      <w:r w:rsidR="00F30010">
        <w:t>/</w:t>
      </w:r>
      <w:r w:rsidR="00747BEF">
        <w:t xml:space="preserve">PBF Secretariat </w:t>
      </w:r>
      <w:r w:rsidR="00CE3D1A" w:rsidRPr="00A862B2">
        <w:t xml:space="preserve">for inputs. </w:t>
      </w:r>
      <w:r w:rsidR="00A16C46">
        <w:t>Regarding</w:t>
      </w:r>
      <w:r w:rsidR="00CE3D1A" w:rsidRPr="00A862B2">
        <w:t xml:space="preserve"> implementation, the </w:t>
      </w:r>
      <w:r w:rsidR="008020B0">
        <w:t>P</w:t>
      </w:r>
      <w:r w:rsidR="00CE3D1A" w:rsidRPr="00A862B2">
        <w:t xml:space="preserve">roject is on track </w:t>
      </w:r>
      <w:r w:rsidR="00047502">
        <w:t xml:space="preserve">both </w:t>
      </w:r>
      <w:r w:rsidR="00CE3D1A" w:rsidRPr="00A862B2">
        <w:t>financially</w:t>
      </w:r>
      <w:r w:rsidR="00047502">
        <w:t xml:space="preserve"> and programmatically</w:t>
      </w:r>
      <w:r w:rsidR="006E0F85">
        <w:t xml:space="preserve"> d</w:t>
      </w:r>
      <w:r w:rsidR="00047502">
        <w:t xml:space="preserve">espite experiencing </w:t>
      </w:r>
      <w:r w:rsidR="00095922" w:rsidRPr="00A862B2">
        <w:t xml:space="preserve">substantive </w:t>
      </w:r>
      <w:r w:rsidR="004255B1">
        <w:t>delays</w:t>
      </w:r>
      <w:r w:rsidR="007D4AF7">
        <w:t xml:space="preserve"> </w:t>
      </w:r>
      <w:r w:rsidR="00793BB4">
        <w:t xml:space="preserve">due </w:t>
      </w:r>
      <w:r w:rsidR="00B66B4B">
        <w:t>to COVID</w:t>
      </w:r>
      <w:r w:rsidR="006E0F85">
        <w:t xml:space="preserve">-19 </w:t>
      </w:r>
      <w:r w:rsidR="00B66B4B">
        <w:t xml:space="preserve">restrictions; </w:t>
      </w:r>
      <w:r w:rsidR="00B66B4B" w:rsidRPr="00A862B2">
        <w:t>and</w:t>
      </w:r>
      <w:r w:rsidR="006E0F85">
        <w:t xml:space="preserve"> </w:t>
      </w:r>
      <w:r w:rsidR="00420B3C" w:rsidRPr="00A862B2">
        <w:t>extended consultation</w:t>
      </w:r>
      <w:r w:rsidR="006E0F85">
        <w:t>s</w:t>
      </w:r>
      <w:r w:rsidR="00420B3C" w:rsidRPr="00A862B2">
        <w:t xml:space="preserve"> with</w:t>
      </w:r>
      <w:r w:rsidR="007D4AF7">
        <w:t xml:space="preserve"> </w:t>
      </w:r>
      <w:r w:rsidR="00420B3C" w:rsidRPr="00A862B2">
        <w:t xml:space="preserve">partners to enhance coordination </w:t>
      </w:r>
      <w:r w:rsidR="00D21CB5">
        <w:t xml:space="preserve">and </w:t>
      </w:r>
      <w:r w:rsidR="00420B3C" w:rsidRPr="00A862B2">
        <w:t>consensus building toward</w:t>
      </w:r>
      <w:r w:rsidR="000C0C14">
        <w:t>s</w:t>
      </w:r>
      <w:r w:rsidR="00420B3C" w:rsidRPr="00A862B2">
        <w:t xml:space="preserve"> sustainability and exit strategy</w:t>
      </w:r>
      <w:r w:rsidR="006E0F85">
        <w:t xml:space="preserve">. </w:t>
      </w:r>
      <w:r w:rsidR="00793BB4">
        <w:t xml:space="preserve">At the </w:t>
      </w:r>
      <w:r w:rsidR="006E0F85">
        <w:t xml:space="preserve">Government’s </w:t>
      </w:r>
      <w:r w:rsidR="00793BB4">
        <w:t>request</w:t>
      </w:r>
      <w:r w:rsidR="00420B3C" w:rsidRPr="00A862B2">
        <w:t xml:space="preserve">, </w:t>
      </w:r>
      <w:r w:rsidR="00047502">
        <w:t xml:space="preserve">the </w:t>
      </w:r>
      <w:r w:rsidR="006E0F85">
        <w:t>P</w:t>
      </w:r>
      <w:r w:rsidR="00047502">
        <w:t>roject</w:t>
      </w:r>
      <w:r w:rsidR="006E0F85">
        <w:t xml:space="preserve"> </w:t>
      </w:r>
      <w:r w:rsidR="00420B3C" w:rsidRPr="00A862B2">
        <w:t xml:space="preserve">provided resources to on-board 99 </w:t>
      </w:r>
      <w:r w:rsidR="00D21CB5">
        <w:t xml:space="preserve">additional </w:t>
      </w:r>
      <w:r w:rsidR="00420B3C" w:rsidRPr="00A862B2">
        <w:t>beneficiaries for vocational-skill</w:t>
      </w:r>
      <w:r w:rsidR="00D21CB5">
        <w:t>s</w:t>
      </w:r>
      <w:r w:rsidR="00420B3C" w:rsidRPr="00A862B2">
        <w:t xml:space="preserve"> training</w:t>
      </w:r>
      <w:r w:rsidR="00047502">
        <w:t>; making the total of 599 enrolled in the project</w:t>
      </w:r>
      <w:r w:rsidR="00B66B4B">
        <w:t>.</w:t>
      </w:r>
      <w:r w:rsidR="00420B3C" w:rsidRPr="00A862B2">
        <w:t xml:space="preserve"> </w:t>
      </w:r>
      <w:r w:rsidR="00793BB4">
        <w:t>While t</w:t>
      </w:r>
      <w:r w:rsidR="00420B3C" w:rsidRPr="00A862B2">
        <w:t xml:space="preserve">he project has improved coordination and collaboration </w:t>
      </w:r>
      <w:r w:rsidR="00C45443">
        <w:t>amo</w:t>
      </w:r>
      <w:r w:rsidR="00793BB4">
        <w:t>ng</w:t>
      </w:r>
      <w:r w:rsidR="00420B3C" w:rsidRPr="00A862B2">
        <w:t xml:space="preserve"> partners, </w:t>
      </w:r>
      <w:bookmarkEnd w:id="5"/>
      <w:r w:rsidR="00793BB4">
        <w:t xml:space="preserve">there is still a risk of politicization, particularly </w:t>
      </w:r>
      <w:r w:rsidR="008D06AF">
        <w:t>considering</w:t>
      </w:r>
      <w:r w:rsidR="00C45443">
        <w:t xml:space="preserve"> the </w:t>
      </w:r>
      <w:r w:rsidR="008D06AF">
        <w:t xml:space="preserve">upcoming </w:t>
      </w:r>
      <w:r w:rsidR="00793BB4">
        <w:t xml:space="preserve">Senatorial Elections and </w:t>
      </w:r>
      <w:r w:rsidR="00C45443">
        <w:t xml:space="preserve">future </w:t>
      </w:r>
      <w:r w:rsidR="00793BB4">
        <w:t>General elections</w:t>
      </w:r>
      <w:r w:rsidR="00420B3C" w:rsidRPr="00A862B2">
        <w:t xml:space="preserve">.   </w:t>
      </w:r>
    </w:p>
    <w:p w14:paraId="134D7776" w14:textId="77777777" w:rsidR="00627A1C" w:rsidRPr="00A862B2" w:rsidRDefault="00627A1C" w:rsidP="00627A1C">
      <w:pPr>
        <w:ind w:left="-810"/>
      </w:pPr>
    </w:p>
    <w:p w14:paraId="1DEC97FD" w14:textId="1B5A46C8" w:rsidR="00161D02" w:rsidRPr="00B66B05" w:rsidRDefault="00627A1C" w:rsidP="00627A1C">
      <w:pPr>
        <w:ind w:left="-810"/>
        <w:rPr>
          <w:b/>
          <w:bCs/>
        </w:rPr>
      </w:pPr>
      <w:r w:rsidRPr="00B66B05">
        <w:rPr>
          <w:b/>
          <w:bCs/>
          <w:i/>
          <w:color w:val="000000"/>
          <w:lang w:val="en-US" w:eastAsia="en-US"/>
        </w:rPr>
        <w:t>Please indicate any significant project-related events anticipated in the next six months, i.e. national dialogues, youth congresses, film screenings, etc.</w:t>
      </w:r>
      <w:r w:rsidRPr="00B66B05">
        <w:rPr>
          <w:b/>
          <w:bCs/>
          <w:i/>
        </w:rPr>
        <w:t xml:space="preserve">  </w:t>
      </w:r>
      <w:r w:rsidR="00161D02" w:rsidRPr="00B66B05">
        <w:rPr>
          <w:b/>
          <w:bCs/>
          <w:i/>
        </w:rPr>
        <w:t>(</w:t>
      </w:r>
      <w:r w:rsidR="00A862B2" w:rsidRPr="00B66B05">
        <w:rPr>
          <w:b/>
          <w:bCs/>
          <w:i/>
        </w:rPr>
        <w:t>1000-character</w:t>
      </w:r>
      <w:r w:rsidR="00161D02" w:rsidRPr="00B66B05">
        <w:rPr>
          <w:b/>
          <w:bCs/>
          <w:i/>
        </w:rPr>
        <w:t xml:space="preserve"> limit</w:t>
      </w:r>
      <w:r w:rsidR="00161D02" w:rsidRPr="00B66B05">
        <w:rPr>
          <w:b/>
          <w:bCs/>
        </w:rPr>
        <w:t xml:space="preserve">): </w:t>
      </w:r>
    </w:p>
    <w:p w14:paraId="774B84EE" w14:textId="77777777" w:rsidR="00A862B2" w:rsidRPr="00A862B2" w:rsidRDefault="00A862B2" w:rsidP="00627A1C">
      <w:pPr>
        <w:ind w:left="-810"/>
      </w:pPr>
    </w:p>
    <w:p w14:paraId="188F83E4" w14:textId="7452325A" w:rsidR="00161D02" w:rsidRPr="00A862B2" w:rsidRDefault="00AC3604" w:rsidP="00C45443">
      <w:pPr>
        <w:ind w:left="-810"/>
        <w:jc w:val="both"/>
      </w:pPr>
      <w:r w:rsidRPr="00A862B2">
        <w:t xml:space="preserve">In the next </w:t>
      </w:r>
      <w:r w:rsidR="0091696D">
        <w:t>three</w:t>
      </w:r>
      <w:r w:rsidRPr="00A862B2">
        <w:t xml:space="preserve"> months, the project will hold its final graduation ceremony for </w:t>
      </w:r>
      <w:r w:rsidR="00704061">
        <w:t xml:space="preserve">the second </w:t>
      </w:r>
      <w:r w:rsidRPr="00A862B2">
        <w:t xml:space="preserve">batch of </w:t>
      </w:r>
      <w:r w:rsidR="00110571" w:rsidRPr="00A862B2">
        <w:t>3</w:t>
      </w:r>
      <w:r w:rsidR="005A2439">
        <w:t>25 (86</w:t>
      </w:r>
      <w:r w:rsidR="008D06AF">
        <w:t xml:space="preserve"> </w:t>
      </w:r>
      <w:r w:rsidR="006D6A7A">
        <w:t>female</w:t>
      </w:r>
      <w:r w:rsidR="008D06AF">
        <w:t xml:space="preserve"> and </w:t>
      </w:r>
      <w:r w:rsidR="005A2439">
        <w:t>239</w:t>
      </w:r>
      <w:r w:rsidR="008D06AF">
        <w:t xml:space="preserve"> male</w:t>
      </w:r>
      <w:r w:rsidR="005A2439">
        <w:t>)</w:t>
      </w:r>
      <w:r w:rsidR="00110571" w:rsidRPr="00A862B2">
        <w:t xml:space="preserve"> </w:t>
      </w:r>
      <w:r w:rsidR="00EF1FE0" w:rsidRPr="00A862B2">
        <w:t>beneficiaries</w:t>
      </w:r>
      <w:r w:rsidRPr="00A862B2">
        <w:t xml:space="preserve"> who have successfully completed training courses and </w:t>
      </w:r>
      <w:r w:rsidR="00793BB4">
        <w:t xml:space="preserve">the </w:t>
      </w:r>
      <w:r w:rsidRPr="00A862B2">
        <w:t>apprenticeship programme</w:t>
      </w:r>
      <w:r w:rsidR="0091696D">
        <w:t xml:space="preserve"> and initiate the construction work on the three drop in </w:t>
      </w:r>
      <w:r w:rsidR="006D6A7A">
        <w:t>centres</w:t>
      </w:r>
      <w:r w:rsidR="00265CC8">
        <w:t>.</w:t>
      </w:r>
      <w:r w:rsidRPr="00A862B2">
        <w:t xml:space="preserve"> Further, reintegration and sensitization exercises </w:t>
      </w:r>
      <w:r w:rsidR="00D21CB5">
        <w:t>are</w:t>
      </w:r>
      <w:r w:rsidRPr="00A862B2">
        <w:t xml:space="preserve"> expected to be held </w:t>
      </w:r>
      <w:r w:rsidR="00903169">
        <w:t xml:space="preserve">from </w:t>
      </w:r>
      <w:r w:rsidR="00C27EC6">
        <w:t>November</w:t>
      </w:r>
      <w:r w:rsidR="00903169">
        <w:t xml:space="preserve"> - </w:t>
      </w:r>
      <w:r w:rsidR="00C27EC6">
        <w:t>December 2020 in the</w:t>
      </w:r>
      <w:r w:rsidR="00903169">
        <w:t xml:space="preserve"> </w:t>
      </w:r>
      <w:r w:rsidR="00C27EC6">
        <w:t xml:space="preserve">10 project communities </w:t>
      </w:r>
      <w:r w:rsidRPr="00A862B2">
        <w:t xml:space="preserve">to foster awareness and ensure favourable conditions for community acceptance, reintegration and peaceful co-existence with community members, police and </w:t>
      </w:r>
      <w:r w:rsidR="00110571" w:rsidRPr="00A862B2">
        <w:t>L</w:t>
      </w:r>
      <w:r w:rsidRPr="00A862B2">
        <w:t>DEA.</w:t>
      </w:r>
      <w:r w:rsidR="007D4AF7">
        <w:t xml:space="preserve"> This will entail a joint field deployment with</w:t>
      </w:r>
      <w:r w:rsidR="00793BB4">
        <w:t xml:space="preserve"> the</w:t>
      </w:r>
      <w:r w:rsidR="007D4AF7">
        <w:t xml:space="preserve"> project team, partners, social workers, counsellors and mental health clinicians for community engagement through communication media products and focus group discussions.</w:t>
      </w:r>
      <w:r w:rsidR="00265CC8">
        <w:t xml:space="preserve"> Activities geared towards the conduct of the Project Evaluation and handing over are also expected to happen in the next three months</w:t>
      </w:r>
      <w:r w:rsidR="007D4AF7">
        <w:t xml:space="preserve">  </w:t>
      </w:r>
    </w:p>
    <w:p w14:paraId="54C37BC9" w14:textId="77777777" w:rsidR="00161D02" w:rsidRPr="00A862B2" w:rsidRDefault="00161D02" w:rsidP="001A1E86">
      <w:pPr>
        <w:ind w:left="-810" w:right="-154"/>
      </w:pPr>
    </w:p>
    <w:p w14:paraId="6A70A7D2" w14:textId="2C9FC112" w:rsidR="008C782A" w:rsidRPr="009740E5" w:rsidRDefault="008364E5" w:rsidP="001A1E86">
      <w:pPr>
        <w:ind w:left="-810" w:right="-154"/>
        <w:rPr>
          <w:b/>
          <w:bCs/>
          <w:i/>
        </w:rPr>
      </w:pPr>
      <w:r w:rsidRPr="009740E5">
        <w:rPr>
          <w:b/>
          <w:bCs/>
          <w:i/>
        </w:rPr>
        <w:t xml:space="preserve">FOR PROJECTS WITHIN SIX MONTHS OF COMPLETION: summarize </w:t>
      </w:r>
      <w:r w:rsidR="00A64A02" w:rsidRPr="009740E5">
        <w:rPr>
          <w:b/>
          <w:bCs/>
          <w:i/>
        </w:rPr>
        <w:t xml:space="preserve">the </w:t>
      </w:r>
      <w:r w:rsidR="001C56B8" w:rsidRPr="009740E5">
        <w:rPr>
          <w:b/>
          <w:bCs/>
          <w:i/>
        </w:rPr>
        <w:t>main</w:t>
      </w:r>
      <w:r w:rsidR="00055825" w:rsidRPr="009740E5" w:rsidDel="00055825">
        <w:rPr>
          <w:b/>
          <w:bCs/>
          <w:i/>
        </w:rPr>
        <w:t xml:space="preserve"> </w:t>
      </w:r>
      <w:r w:rsidR="00A64A02" w:rsidRPr="009740E5">
        <w:rPr>
          <w:b/>
          <w:bCs/>
          <w:i/>
        </w:rPr>
        <w:t>structural, institutional or societal level change the project has contributed to. This is not anecdotal evidence</w:t>
      </w:r>
      <w:r w:rsidR="001B6DFD" w:rsidRPr="009740E5">
        <w:rPr>
          <w:b/>
          <w:bCs/>
          <w:i/>
        </w:rPr>
        <w:t xml:space="preserve"> or a list of individual outputs</w:t>
      </w:r>
      <w:r w:rsidR="00A64A02" w:rsidRPr="009740E5">
        <w:rPr>
          <w:b/>
          <w:bCs/>
          <w:i/>
        </w:rPr>
        <w:t xml:space="preserve">, but </w:t>
      </w:r>
      <w:r w:rsidRPr="009740E5">
        <w:rPr>
          <w:b/>
          <w:bCs/>
          <w:i/>
        </w:rPr>
        <w:t xml:space="preserve">a description of </w:t>
      </w:r>
      <w:r w:rsidR="00A64A02" w:rsidRPr="009740E5">
        <w:rPr>
          <w:b/>
          <w:bCs/>
          <w:i/>
        </w:rPr>
        <w:t xml:space="preserve">progress made toward the main purpose of the project. </w:t>
      </w:r>
      <w:r w:rsidR="008C782A" w:rsidRPr="009740E5">
        <w:rPr>
          <w:b/>
          <w:bCs/>
          <w:i/>
        </w:rPr>
        <w:t>(</w:t>
      </w:r>
      <w:r w:rsidR="00A862B2" w:rsidRPr="009740E5">
        <w:rPr>
          <w:b/>
          <w:bCs/>
          <w:i/>
        </w:rPr>
        <w:t>1500-character</w:t>
      </w:r>
      <w:r w:rsidR="008C782A" w:rsidRPr="009740E5">
        <w:rPr>
          <w:b/>
          <w:bCs/>
          <w:i/>
        </w:rPr>
        <w:t xml:space="preserve"> limit): </w:t>
      </w:r>
    </w:p>
    <w:p w14:paraId="2C2D138C" w14:textId="77777777" w:rsidR="00A862B2" w:rsidRPr="00A862B2" w:rsidRDefault="00A862B2" w:rsidP="001A1E86">
      <w:pPr>
        <w:ind w:left="-810" w:right="-154"/>
      </w:pPr>
    </w:p>
    <w:p w14:paraId="7FEC6B68" w14:textId="23691BBB" w:rsidR="006C5142" w:rsidRDefault="0031092B" w:rsidP="00A862B2">
      <w:pPr>
        <w:ind w:left="-810"/>
        <w:jc w:val="both"/>
      </w:pPr>
      <w:r>
        <w:t xml:space="preserve">Leaders of the Disadvantaged Youth, known as the “Commander-in-Chiefs” or “CIC”, have been </w:t>
      </w:r>
      <w:r w:rsidR="00290101">
        <w:t>critical</w:t>
      </w:r>
      <w:r>
        <w:t xml:space="preserve"> for change and rehabilitation towards a meaningful life</w:t>
      </w:r>
      <w:r w:rsidR="00B03657">
        <w:t xml:space="preserve"> by the Disadvantaged Youth</w:t>
      </w:r>
      <w:r>
        <w:t xml:space="preserve">. Being addicted to drugs themselves, the CICs are ex-combatants/former child soldiers </w:t>
      </w:r>
      <w:r>
        <w:lastRenderedPageBreak/>
        <w:t xml:space="preserve">who </w:t>
      </w:r>
      <w:r w:rsidR="00290101">
        <w:t>live</w:t>
      </w:r>
      <w:r>
        <w:t xml:space="preserve"> in the Ghettos and deal</w:t>
      </w:r>
      <w:r w:rsidR="00290101">
        <w:t xml:space="preserve"> in</w:t>
      </w:r>
      <w:r>
        <w:t xml:space="preserve"> drugs in collaboration with Drug Dealers. This is the only business and life they know. </w:t>
      </w:r>
      <w:r w:rsidR="006C5142">
        <w:t>All</w:t>
      </w:r>
      <w:r>
        <w:t xml:space="preserve"> the CIC</w:t>
      </w:r>
      <w:r w:rsidR="00B03657">
        <w:t>s</w:t>
      </w:r>
      <w:r>
        <w:t xml:space="preserve"> from the </w:t>
      </w:r>
      <w:r w:rsidR="006C5142">
        <w:t xml:space="preserve">10 </w:t>
      </w:r>
      <w:r>
        <w:t xml:space="preserve">targeted communities have encouraged their </w:t>
      </w:r>
      <w:r w:rsidR="006C5142">
        <w:t>groups</w:t>
      </w:r>
      <w:r>
        <w:t xml:space="preserve"> </w:t>
      </w:r>
      <w:r w:rsidR="00B03657">
        <w:t>to get clean</w:t>
      </w:r>
      <w:r>
        <w:t xml:space="preserve"> and complete the SEED programme whilst struggling to leave drugs themselves. The project Team has witnessed </w:t>
      </w:r>
      <w:r w:rsidR="00B03657">
        <w:t xml:space="preserve">tremendous </w:t>
      </w:r>
      <w:r>
        <w:t xml:space="preserve">improvement and reduction in the drug intake among the CICs. About 60% of them have reduced drug intake from 5 -6 times a day to 1 – 2 times. </w:t>
      </w:r>
    </w:p>
    <w:p w14:paraId="00F33483" w14:textId="77777777" w:rsidR="006C5142" w:rsidRDefault="006C5142" w:rsidP="00A862B2">
      <w:pPr>
        <w:ind w:left="-810"/>
        <w:jc w:val="both"/>
      </w:pPr>
    </w:p>
    <w:p w14:paraId="34E9EB7D" w14:textId="47DD344C" w:rsidR="00DB35AC" w:rsidRDefault="00FA6890" w:rsidP="00A862B2">
      <w:pPr>
        <w:ind w:left="-810"/>
        <w:jc w:val="both"/>
      </w:pPr>
      <w:r>
        <w:t xml:space="preserve">The </w:t>
      </w:r>
      <w:r w:rsidR="00DB35AC" w:rsidRPr="00A862B2">
        <w:t>SEED</w:t>
      </w:r>
      <w:r w:rsidR="00A055CC">
        <w:t xml:space="preserve"> skills training strategy </w:t>
      </w:r>
      <w:r w:rsidR="002759E3">
        <w:t>(placement</w:t>
      </w:r>
      <w:r w:rsidR="00A055CC">
        <w:t xml:space="preserve"> of beneficiaries as Apprentices with Master Trainers) </w:t>
      </w:r>
      <w:r w:rsidR="002759E3">
        <w:t>has been</w:t>
      </w:r>
      <w:r w:rsidR="00A055CC">
        <w:t xml:space="preserve"> identified as a best practice for this highly volatile/mobile population</w:t>
      </w:r>
      <w:r w:rsidR="002759E3">
        <w:t xml:space="preserve">. It was presented on </w:t>
      </w:r>
      <w:r w:rsidR="002759E3" w:rsidRPr="002759E3">
        <w:t>17 Sept</w:t>
      </w:r>
      <w:r w:rsidR="00E52673">
        <w:t>.</w:t>
      </w:r>
      <w:r w:rsidR="002759E3" w:rsidRPr="002759E3">
        <w:t xml:space="preserve"> 2020</w:t>
      </w:r>
      <w:r w:rsidR="002759E3">
        <w:t xml:space="preserve"> at the Liberian Legislature by the Honourable Minister of Youth and Sports as not only an </w:t>
      </w:r>
      <w:r w:rsidR="002759E3" w:rsidRPr="002759E3">
        <w:t>institutio</w:t>
      </w:r>
      <w:r w:rsidR="002759E3">
        <w:t>nal</w:t>
      </w:r>
      <w:r w:rsidR="002759E3" w:rsidRPr="002759E3">
        <w:t xml:space="preserve"> strategy for addressing increasing </w:t>
      </w:r>
      <w:r w:rsidR="002759E3">
        <w:t xml:space="preserve">needs of </w:t>
      </w:r>
      <w:r w:rsidR="002759E3" w:rsidRPr="002759E3">
        <w:t xml:space="preserve">disadvantaged youth </w:t>
      </w:r>
      <w:r w:rsidR="002759E3">
        <w:t xml:space="preserve">but </w:t>
      </w:r>
      <w:r w:rsidR="00C70889">
        <w:t xml:space="preserve">also </w:t>
      </w:r>
      <w:r w:rsidR="00C70889" w:rsidRPr="002759E3">
        <w:t>a</w:t>
      </w:r>
      <w:r w:rsidR="002759E3">
        <w:t xml:space="preserve"> means of lobbying for budgetary support to scale-up intervention nationwide</w:t>
      </w:r>
      <w:r w:rsidR="00593B47">
        <w:t>.</w:t>
      </w:r>
      <w:r w:rsidR="00DB35AC" w:rsidRPr="00A862B2">
        <w:t xml:space="preserve"> </w:t>
      </w:r>
      <w:r w:rsidR="00DB35AC">
        <w:t xml:space="preserve">The Minister demonstrated through his presentation how the programme was able to transform </w:t>
      </w:r>
      <w:r w:rsidR="00C70889">
        <w:t>targeted</w:t>
      </w:r>
      <w:r w:rsidR="00DB35AC">
        <w:t xml:space="preserve"> disadvantaged youth and how they are becoming useful citizens</w:t>
      </w:r>
      <w:r w:rsidR="00C70889">
        <w:t>.</w:t>
      </w:r>
      <w:r w:rsidR="00DB35AC">
        <w:t xml:space="preserve"> </w:t>
      </w:r>
      <w:r w:rsidR="00290101">
        <w:t xml:space="preserve">As a result of the presentation, </w:t>
      </w:r>
      <w:r w:rsidR="00DB35AC">
        <w:t xml:space="preserve">the Ministry </w:t>
      </w:r>
      <w:r w:rsidR="00290101">
        <w:t xml:space="preserve">was asked </w:t>
      </w:r>
      <w:r w:rsidR="00DB35AC">
        <w:t>to prepare a proposal to for 2021</w:t>
      </w:r>
      <w:r w:rsidR="00290101">
        <w:t xml:space="preserve"> - </w:t>
      </w:r>
      <w:r w:rsidR="00DB35AC">
        <w:t xml:space="preserve">2022 Fiscal year </w:t>
      </w:r>
      <w:r w:rsidR="00290101">
        <w:t xml:space="preserve">for </w:t>
      </w:r>
      <w:r w:rsidR="00DB35AC">
        <w:t>funding.</w:t>
      </w:r>
    </w:p>
    <w:p w14:paraId="3751FE62" w14:textId="77777777" w:rsidR="00DB35AC" w:rsidRDefault="00DB35AC" w:rsidP="00A862B2">
      <w:pPr>
        <w:ind w:left="-810"/>
        <w:jc w:val="both"/>
      </w:pPr>
    </w:p>
    <w:p w14:paraId="6637FF99" w14:textId="77777777" w:rsidR="00764773" w:rsidRPr="00A862B2" w:rsidRDefault="00764773" w:rsidP="00A862B2">
      <w:pPr>
        <w:jc w:val="both"/>
      </w:pPr>
    </w:p>
    <w:p w14:paraId="2F522A8E" w14:textId="54CB09FF" w:rsidR="003C2949" w:rsidRPr="0082567E" w:rsidRDefault="008C782A" w:rsidP="003C2949">
      <w:pPr>
        <w:ind w:left="-810"/>
        <w:rPr>
          <w:b/>
          <w:bCs/>
        </w:rPr>
      </w:pPr>
      <w:r w:rsidRPr="0082567E">
        <w:rPr>
          <w:b/>
          <w:bCs/>
          <w:i/>
        </w:rPr>
        <w:t xml:space="preserve">In a few sentences, explain </w:t>
      </w:r>
      <w:r w:rsidR="00A64A02" w:rsidRPr="0082567E">
        <w:rPr>
          <w:b/>
          <w:bCs/>
          <w:i/>
        </w:rPr>
        <w:t xml:space="preserve">whether </w:t>
      </w:r>
      <w:r w:rsidRPr="0082567E">
        <w:rPr>
          <w:b/>
          <w:bCs/>
          <w:i/>
        </w:rPr>
        <w:t xml:space="preserve">the project has </w:t>
      </w:r>
      <w:r w:rsidR="00A64A02" w:rsidRPr="0082567E">
        <w:rPr>
          <w:b/>
          <w:bCs/>
          <w:i/>
        </w:rPr>
        <w:t>had a positive</w:t>
      </w:r>
      <w:r w:rsidRPr="0082567E">
        <w:rPr>
          <w:b/>
          <w:bCs/>
          <w:i/>
        </w:rPr>
        <w:t xml:space="preserve"> </w:t>
      </w:r>
      <w:r w:rsidRPr="0082567E">
        <w:rPr>
          <w:b/>
          <w:bCs/>
          <w:i/>
          <w:u w:val="single"/>
        </w:rPr>
        <w:t>human impact</w:t>
      </w:r>
      <w:r w:rsidR="00A64A02" w:rsidRPr="0082567E">
        <w:rPr>
          <w:b/>
          <w:bCs/>
          <w:i/>
        </w:rPr>
        <w:t>.</w:t>
      </w:r>
      <w:r w:rsidRPr="0082567E">
        <w:rPr>
          <w:b/>
          <w:bCs/>
          <w:i/>
        </w:rPr>
        <w:t xml:space="preserve"> </w:t>
      </w:r>
      <w:r w:rsidR="00A64A02" w:rsidRPr="0082567E">
        <w:rPr>
          <w:b/>
          <w:bCs/>
          <w:i/>
        </w:rPr>
        <w:t>May include anecdotal stories about the project’s positive effect on the</w:t>
      </w:r>
      <w:r w:rsidRPr="0082567E">
        <w:rPr>
          <w:b/>
          <w:bCs/>
          <w:i/>
        </w:rPr>
        <w:t xml:space="preserve"> </w:t>
      </w:r>
      <w:r w:rsidR="00A64A02" w:rsidRPr="0082567E">
        <w:rPr>
          <w:b/>
          <w:bCs/>
          <w:i/>
        </w:rPr>
        <w:t xml:space="preserve">people’s </w:t>
      </w:r>
      <w:r w:rsidRPr="0082567E">
        <w:rPr>
          <w:b/>
          <w:bCs/>
          <w:i/>
        </w:rPr>
        <w:t>lives</w:t>
      </w:r>
      <w:r w:rsidR="00A64A02" w:rsidRPr="0082567E">
        <w:rPr>
          <w:b/>
          <w:bCs/>
          <w:i/>
        </w:rPr>
        <w:t>. Include</w:t>
      </w:r>
      <w:r w:rsidRPr="0082567E">
        <w:rPr>
          <w:b/>
          <w:bCs/>
          <w:i/>
        </w:rPr>
        <w:t xml:space="preserve"> direct quotes</w:t>
      </w:r>
      <w:r w:rsidR="00793DE6" w:rsidRPr="0082567E">
        <w:rPr>
          <w:b/>
          <w:bCs/>
          <w:i/>
        </w:rPr>
        <w:t xml:space="preserve"> </w:t>
      </w:r>
      <w:r w:rsidR="00A64A02" w:rsidRPr="0082567E">
        <w:rPr>
          <w:b/>
          <w:bCs/>
          <w:i/>
        </w:rPr>
        <w:t>where possible</w:t>
      </w:r>
      <w:r w:rsidR="001B6DFD" w:rsidRPr="0082567E">
        <w:rPr>
          <w:b/>
          <w:bCs/>
          <w:i/>
        </w:rPr>
        <w:t xml:space="preserve"> or weblinks to strategic communications pieces</w:t>
      </w:r>
      <w:r w:rsidR="00A64A02" w:rsidRPr="0082567E">
        <w:rPr>
          <w:b/>
          <w:bCs/>
          <w:i/>
        </w:rPr>
        <w:t>.</w:t>
      </w:r>
      <w:r w:rsidRPr="0082567E">
        <w:rPr>
          <w:b/>
          <w:bCs/>
          <w:i/>
        </w:rPr>
        <w:t xml:space="preserve"> (</w:t>
      </w:r>
      <w:r w:rsidR="001A3157" w:rsidRPr="0082567E">
        <w:rPr>
          <w:b/>
          <w:bCs/>
          <w:i/>
        </w:rPr>
        <w:t>20</w:t>
      </w:r>
      <w:r w:rsidRPr="0082567E">
        <w:rPr>
          <w:b/>
          <w:bCs/>
          <w:i/>
        </w:rPr>
        <w:t>00</w:t>
      </w:r>
      <w:r w:rsidR="0082567E" w:rsidRPr="0082567E">
        <w:rPr>
          <w:b/>
          <w:bCs/>
          <w:i/>
        </w:rPr>
        <w:t>-</w:t>
      </w:r>
      <w:r w:rsidRPr="0082567E">
        <w:rPr>
          <w:b/>
          <w:bCs/>
          <w:i/>
        </w:rPr>
        <w:t>character limit</w:t>
      </w:r>
      <w:r w:rsidRPr="0082567E">
        <w:rPr>
          <w:b/>
          <w:bCs/>
        </w:rPr>
        <w:t>):</w:t>
      </w:r>
    </w:p>
    <w:p w14:paraId="66673C66" w14:textId="77777777" w:rsidR="00A862B2" w:rsidRPr="00A862B2" w:rsidRDefault="00A862B2" w:rsidP="008C782A">
      <w:pPr>
        <w:ind w:left="-810"/>
      </w:pPr>
    </w:p>
    <w:p w14:paraId="21AF7999" w14:textId="6BD42F50" w:rsidR="00BA5D85" w:rsidRDefault="003D5822" w:rsidP="003C2949">
      <w:pPr>
        <w:ind w:left="-810"/>
        <w:jc w:val="both"/>
      </w:pPr>
      <w:r>
        <w:t xml:space="preserve">The </w:t>
      </w:r>
      <w:r w:rsidR="005A0988" w:rsidRPr="003C2949">
        <w:t xml:space="preserve">SEED Project has </w:t>
      </w:r>
      <w:r w:rsidR="00B673D5" w:rsidRPr="003C2949">
        <w:t xml:space="preserve">had </w:t>
      </w:r>
      <w:r w:rsidR="00B673D5">
        <w:t xml:space="preserve">a </w:t>
      </w:r>
      <w:r w:rsidR="005A0988" w:rsidRPr="003C2949">
        <w:t>demonstrab</w:t>
      </w:r>
      <w:r w:rsidR="00B673D5">
        <w:t>le</w:t>
      </w:r>
      <w:r w:rsidR="005A0988" w:rsidRPr="003C2949">
        <w:t xml:space="preserve"> positive human impact on beneficiaries and actors involved in the </w:t>
      </w:r>
      <w:r w:rsidR="00F42EB7" w:rsidRPr="003C2949">
        <w:t xml:space="preserve">rehabilitation, capacity development and reintegration value chain. Most notable is the opportunity </w:t>
      </w:r>
      <w:r w:rsidR="0036215D" w:rsidRPr="003C2949">
        <w:t xml:space="preserve">to improve </w:t>
      </w:r>
      <w:r w:rsidR="00ED78DF">
        <w:t>the beneficiaries’</w:t>
      </w:r>
      <w:r w:rsidR="00ED78DF" w:rsidRPr="003C2949">
        <w:t xml:space="preserve"> </w:t>
      </w:r>
      <w:r w:rsidR="0036215D" w:rsidRPr="003C2949">
        <w:t xml:space="preserve">livelihoods and </w:t>
      </w:r>
      <w:r w:rsidR="00372E33" w:rsidRPr="003C2949">
        <w:t xml:space="preserve">subsequently repair </w:t>
      </w:r>
      <w:r w:rsidR="0036215D" w:rsidRPr="003C2949">
        <w:t>relationships with family and community members as a result of the trans</w:t>
      </w:r>
      <w:r w:rsidR="00372E33" w:rsidRPr="003C2949">
        <w:t>formation</w:t>
      </w:r>
      <w:r w:rsidR="00B673D5">
        <w:t xml:space="preserve"> experienced by the Project beneficiaries</w:t>
      </w:r>
      <w:r w:rsidR="00372E33" w:rsidRPr="003C2949">
        <w:t xml:space="preserve">. Here are </w:t>
      </w:r>
      <w:r w:rsidR="0036215D" w:rsidRPr="003C2949">
        <w:t>testimonials that have resonated beyond the expectation of the Project</w:t>
      </w:r>
      <w:r w:rsidR="00ED78DF">
        <w:t>.</w:t>
      </w:r>
      <w:r w:rsidR="0036215D" w:rsidRPr="003C2949">
        <w:t xml:space="preserve">  </w:t>
      </w:r>
    </w:p>
    <w:p w14:paraId="4A2ED60A" w14:textId="77777777" w:rsidR="006A1838" w:rsidRDefault="006A1838" w:rsidP="001378FB">
      <w:pPr>
        <w:ind w:left="-810"/>
      </w:pPr>
    </w:p>
    <w:p w14:paraId="7489A6A1" w14:textId="45C8FA15" w:rsidR="001378FB" w:rsidRDefault="001378FB" w:rsidP="001378FB">
      <w:pPr>
        <w:ind w:left="-810"/>
      </w:pPr>
      <w:r>
        <w:t>Please copy and paste the below link in your browser and click enter to read the story.</w:t>
      </w:r>
    </w:p>
    <w:p w14:paraId="44EEB255" w14:textId="77777777" w:rsidR="001378FB" w:rsidRDefault="001378FB" w:rsidP="001378FB">
      <w:pPr>
        <w:ind w:left="-810"/>
      </w:pPr>
    </w:p>
    <w:p w14:paraId="37E20294" w14:textId="5FCA5789" w:rsidR="001378FB" w:rsidRPr="003C2949" w:rsidRDefault="00D543FC" w:rsidP="001378FB">
      <w:pPr>
        <w:ind w:left="-810"/>
        <w:jc w:val="both"/>
      </w:pPr>
      <w:hyperlink r:id="rId14" w:history="1">
        <w:r w:rsidR="001378FB">
          <w:rPr>
            <w:rStyle w:val="Hyperlink"/>
          </w:rPr>
          <w:t>https://liberia.unfpa.org/en/news/former-drug-user-speaks-joy-after-overcoming-%E2%80%9Cbad-habit%E2%80%9D</w:t>
        </w:r>
      </w:hyperlink>
    </w:p>
    <w:p w14:paraId="63D89FCC" w14:textId="77777777" w:rsidR="00206D45" w:rsidRPr="00A862B2" w:rsidRDefault="00206D45" w:rsidP="00206D45">
      <w:pPr>
        <w:rPr>
          <w:b/>
        </w:rPr>
      </w:pPr>
    </w:p>
    <w:p w14:paraId="08773E50" w14:textId="77777777" w:rsidR="00206D45" w:rsidRPr="00A862B2" w:rsidRDefault="00206D45" w:rsidP="00206D45">
      <w:pPr>
        <w:rPr>
          <w:b/>
        </w:rPr>
      </w:pPr>
    </w:p>
    <w:p w14:paraId="619E3770" w14:textId="77777777" w:rsidR="00F5504F" w:rsidRPr="00A862B2" w:rsidRDefault="00206D45" w:rsidP="00206D45">
      <w:pPr>
        <w:ind w:hanging="810"/>
        <w:jc w:val="both"/>
        <w:rPr>
          <w:b/>
          <w:u w:val="single"/>
        </w:rPr>
      </w:pPr>
      <w:r w:rsidRPr="00A862B2">
        <w:rPr>
          <w:b/>
          <w:u w:val="single"/>
        </w:rPr>
        <w:t xml:space="preserve">PART II: RESULT PROGRESS BY PROJECT OUTCOME </w:t>
      </w:r>
    </w:p>
    <w:p w14:paraId="0DC19C42" w14:textId="77777777" w:rsidR="00F5504F" w:rsidRPr="00A862B2" w:rsidRDefault="00F5504F" w:rsidP="00323ABC">
      <w:pPr>
        <w:ind w:left="-720"/>
        <w:rPr>
          <w:b/>
          <w:u w:val="single"/>
        </w:rPr>
      </w:pPr>
    </w:p>
    <w:p w14:paraId="579437EA" w14:textId="77777777" w:rsidR="00287878" w:rsidRPr="00A862B2" w:rsidRDefault="00287878" w:rsidP="003D4CD7">
      <w:pPr>
        <w:ind w:left="-810"/>
        <w:rPr>
          <w:i/>
        </w:rPr>
      </w:pPr>
      <w:r w:rsidRPr="00A862B2">
        <w:rPr>
          <w:i/>
        </w:rPr>
        <w:t xml:space="preserve">Describe overall progress under each Outcome made during the reporting period (for June reports: January-June; for November reports: January-November; for final reports: full project duration). </w:t>
      </w:r>
      <w:bookmarkStart w:id="6" w:name="_Hlk55577772"/>
      <w:r w:rsidRPr="00A862B2">
        <w:rPr>
          <w:i/>
        </w:rPr>
        <w:t>Do not list individual activities</w:t>
      </w:r>
      <w:bookmarkEnd w:id="6"/>
      <w:r w:rsidRPr="00A862B2">
        <w:rPr>
          <w:i/>
        </w:rPr>
        <w:t xml:space="preserve">.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A862B2" w:rsidRDefault="008364E5" w:rsidP="003D4CD7">
      <w:pPr>
        <w:ind w:left="-810"/>
        <w:rPr>
          <w:i/>
        </w:rPr>
      </w:pPr>
    </w:p>
    <w:p w14:paraId="503A73CA" w14:textId="77777777" w:rsidR="008364E5" w:rsidRPr="00A862B2" w:rsidRDefault="008364E5" w:rsidP="000C0090">
      <w:pPr>
        <w:numPr>
          <w:ilvl w:val="0"/>
          <w:numId w:val="2"/>
        </w:numPr>
        <w:rPr>
          <w:i/>
        </w:rPr>
      </w:pPr>
      <w:r w:rsidRPr="00A862B2">
        <w:rPr>
          <w:i/>
        </w:rPr>
        <w:t xml:space="preserve">“On track” refers to </w:t>
      </w:r>
      <w:r w:rsidR="007118F5" w:rsidRPr="00A862B2">
        <w:rPr>
          <w:i/>
        </w:rPr>
        <w:t xml:space="preserve">the timely completion of outputs as indicated in the workplan. </w:t>
      </w:r>
    </w:p>
    <w:p w14:paraId="6D78EDB6" w14:textId="77777777" w:rsidR="007118F5" w:rsidRPr="00A862B2" w:rsidRDefault="007118F5" w:rsidP="000C0090">
      <w:pPr>
        <w:numPr>
          <w:ilvl w:val="0"/>
          <w:numId w:val="2"/>
        </w:numPr>
        <w:rPr>
          <w:i/>
        </w:rPr>
      </w:pPr>
      <w:r w:rsidRPr="00A862B2">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A862B2" w:rsidRDefault="00287878" w:rsidP="008364E5">
      <w:pPr>
        <w:rPr>
          <w:i/>
        </w:rPr>
      </w:pPr>
    </w:p>
    <w:p w14:paraId="00C1C1D9" w14:textId="77777777" w:rsidR="003D4CD7" w:rsidRPr="00A862B2" w:rsidRDefault="00BA5D85" w:rsidP="003D4CD7">
      <w:pPr>
        <w:ind w:left="-810"/>
        <w:rPr>
          <w:i/>
          <w:iCs/>
        </w:rPr>
      </w:pPr>
      <w:r w:rsidRPr="00A862B2">
        <w:rPr>
          <w:i/>
          <w:iCs/>
        </w:rPr>
        <w:t xml:space="preserve">If your project has more </w:t>
      </w:r>
      <w:r w:rsidR="00287878" w:rsidRPr="00A862B2">
        <w:rPr>
          <w:i/>
          <w:iCs/>
        </w:rPr>
        <w:t xml:space="preserve">than four </w:t>
      </w:r>
      <w:r w:rsidRPr="00A862B2">
        <w:rPr>
          <w:i/>
          <w:iCs/>
        </w:rPr>
        <w:t>outcomes, contact PBSO for template modification.</w:t>
      </w:r>
    </w:p>
    <w:p w14:paraId="243656BC" w14:textId="77777777" w:rsidR="003D4CD7" w:rsidRPr="00A862B2" w:rsidRDefault="003D4CD7" w:rsidP="0078600B">
      <w:pPr>
        <w:rPr>
          <w:b/>
          <w:u w:val="single"/>
        </w:rPr>
      </w:pPr>
    </w:p>
    <w:p w14:paraId="53AA26EA" w14:textId="1B919E1A" w:rsidR="005216B2" w:rsidRPr="00A862B2" w:rsidRDefault="007626C9" w:rsidP="00372E33">
      <w:pPr>
        <w:ind w:left="-720"/>
        <w:rPr>
          <w:b/>
          <w:bCs/>
          <w:lang w:val="en-US"/>
        </w:rPr>
      </w:pPr>
      <w:r w:rsidRPr="00A862B2">
        <w:rPr>
          <w:b/>
          <w:u w:val="single"/>
        </w:rPr>
        <w:t xml:space="preserve">Outcome </w:t>
      </w:r>
      <w:r w:rsidR="005216B2" w:rsidRPr="00A862B2">
        <w:rPr>
          <w:b/>
          <w:u w:val="single"/>
        </w:rPr>
        <w:t>1:</w:t>
      </w:r>
      <w:r w:rsidR="005216B2" w:rsidRPr="00A862B2">
        <w:rPr>
          <w:b/>
        </w:rPr>
        <w:t xml:space="preserve"> </w:t>
      </w:r>
      <w:r w:rsidR="00372E33" w:rsidRPr="00A862B2">
        <w:rPr>
          <w:b/>
          <w:bCs/>
          <w:lang w:val="en-US"/>
        </w:rPr>
        <w:t xml:space="preserve">500 </w:t>
      </w:r>
      <w:proofErr w:type="spellStart"/>
      <w:r w:rsidR="00372E33" w:rsidRPr="00A862B2">
        <w:rPr>
          <w:b/>
          <w:bCs/>
          <w:lang w:val="en-US"/>
        </w:rPr>
        <w:t>Zogos</w:t>
      </w:r>
      <w:proofErr w:type="spellEnd"/>
      <w:r w:rsidR="00372E33" w:rsidRPr="00A862B2">
        <w:rPr>
          <w:b/>
          <w:bCs/>
          <w:lang w:val="en-US"/>
        </w:rPr>
        <w:t>/</w:t>
      </w:r>
      <w:proofErr w:type="spellStart"/>
      <w:r w:rsidR="00372E33" w:rsidRPr="00A862B2">
        <w:rPr>
          <w:b/>
          <w:bCs/>
          <w:lang w:val="en-US"/>
        </w:rPr>
        <w:t>Zogesse</w:t>
      </w:r>
      <w:proofErr w:type="spellEnd"/>
      <w:r w:rsidR="00372E33" w:rsidRPr="00A862B2">
        <w:rPr>
          <w:b/>
          <w:bCs/>
          <w:lang w:val="en-US"/>
        </w:rPr>
        <w:t xml:space="preserve"> in Montserrado county are socially reintegrated and peacefully co-exist</w:t>
      </w:r>
      <w:r w:rsidR="00D21CB5">
        <w:rPr>
          <w:b/>
          <w:bCs/>
          <w:lang w:val="en-US"/>
        </w:rPr>
        <w:t>ing</w:t>
      </w:r>
      <w:r w:rsidR="00372E33" w:rsidRPr="00A862B2">
        <w:rPr>
          <w:b/>
          <w:bCs/>
          <w:lang w:val="en-US"/>
        </w:rPr>
        <w:t xml:space="preserve"> with families/community members.</w:t>
      </w:r>
    </w:p>
    <w:p w14:paraId="41A3C253" w14:textId="77777777" w:rsidR="00D3351A" w:rsidRPr="00A862B2" w:rsidRDefault="00D3351A" w:rsidP="00323ABC">
      <w:pPr>
        <w:ind w:left="-720"/>
        <w:rPr>
          <w:b/>
        </w:rPr>
      </w:pPr>
    </w:p>
    <w:p w14:paraId="6EBE7560" w14:textId="49ECAD40" w:rsidR="008A5EDD" w:rsidRDefault="002E1CED" w:rsidP="00323ABC">
      <w:pPr>
        <w:ind w:left="-720"/>
        <w:rPr>
          <w:b/>
        </w:rPr>
      </w:pPr>
      <w:r w:rsidRPr="00A862B2">
        <w:rPr>
          <w:b/>
        </w:rPr>
        <w:t xml:space="preserve">Rate the </w:t>
      </w:r>
      <w:r w:rsidR="00A47DDA" w:rsidRPr="00A862B2">
        <w:rPr>
          <w:b/>
        </w:rPr>
        <w:t xml:space="preserve">current </w:t>
      </w:r>
      <w:r w:rsidRPr="00A862B2">
        <w:rPr>
          <w:b/>
        </w:rPr>
        <w:t xml:space="preserve">status of the </w:t>
      </w:r>
      <w:r w:rsidR="00323ABC" w:rsidRPr="00A862B2">
        <w:rPr>
          <w:b/>
        </w:rPr>
        <w:t>outcome</w:t>
      </w:r>
      <w:r w:rsidR="00764773" w:rsidRPr="00A862B2">
        <w:rPr>
          <w:b/>
        </w:rPr>
        <w:t xml:space="preserve"> progress</w:t>
      </w:r>
      <w:r w:rsidRPr="00A862B2">
        <w:rPr>
          <w:b/>
        </w:rPr>
        <w:t xml:space="preserve">: </w:t>
      </w:r>
      <w:r w:rsidR="00144C4B" w:rsidRPr="00A862B2">
        <w:rPr>
          <w:b/>
        </w:rPr>
        <w:t>On Track</w:t>
      </w:r>
      <w:r w:rsidR="00144C4B">
        <w:rPr>
          <w:b/>
        </w:rPr>
        <w:t xml:space="preserve"> with Peacebuilding Results</w:t>
      </w:r>
    </w:p>
    <w:p w14:paraId="5D88FD11" w14:textId="77777777" w:rsidR="008A5EDD" w:rsidRPr="00A862B2" w:rsidRDefault="008A5EDD" w:rsidP="00323ABC">
      <w:pPr>
        <w:ind w:left="-720"/>
        <w:rPr>
          <w:b/>
        </w:rPr>
      </w:pPr>
    </w:p>
    <w:p w14:paraId="0FFE742C" w14:textId="0D601F70" w:rsidR="008A5EDD" w:rsidRDefault="003235DF" w:rsidP="008A5EDD">
      <w:pPr>
        <w:ind w:left="-720"/>
      </w:pPr>
      <w:r w:rsidRPr="00A862B2">
        <w:rPr>
          <w:b/>
        </w:rPr>
        <w:t xml:space="preserve">Progress summary: </w:t>
      </w:r>
      <w:r w:rsidRPr="00A862B2">
        <w:rPr>
          <w:i/>
        </w:rPr>
        <w:t>(</w:t>
      </w:r>
      <w:r w:rsidR="00D8441E" w:rsidRPr="00A862B2">
        <w:rPr>
          <w:i/>
        </w:rPr>
        <w:t>3000-character</w:t>
      </w:r>
      <w:r w:rsidRPr="00A862B2">
        <w:rPr>
          <w:i/>
        </w:rPr>
        <w:t xml:space="preserve"> limit</w:t>
      </w:r>
      <w:r w:rsidR="009F744F">
        <w:t>)</w:t>
      </w:r>
    </w:p>
    <w:p w14:paraId="2C39F9BC" w14:textId="17612011" w:rsidR="00313441" w:rsidRDefault="00313441" w:rsidP="00CE16A8">
      <w:pPr>
        <w:ind w:left="-720"/>
        <w:jc w:val="both"/>
      </w:pPr>
    </w:p>
    <w:p w14:paraId="2440C6FC" w14:textId="001EAFCC" w:rsidR="006165EF" w:rsidRDefault="00261DFE" w:rsidP="00CE16A8">
      <w:pPr>
        <w:ind w:left="-720"/>
        <w:jc w:val="both"/>
      </w:pPr>
      <w:r>
        <w:t>The</w:t>
      </w:r>
      <w:r w:rsidR="003B2D48">
        <w:t xml:space="preserve"> </w:t>
      </w:r>
      <w:r w:rsidR="000A23A8">
        <w:t xml:space="preserve">SEED Project has provided capacity strengthening and technical advisory support at the local and national level through knowledge building and </w:t>
      </w:r>
      <w:r w:rsidR="002E5FF4">
        <w:t>partnership</w:t>
      </w:r>
      <w:r w:rsidR="00D041E8">
        <w:t xml:space="preserve">. </w:t>
      </w:r>
      <w:r w:rsidR="000A23A8">
        <w:t>This is evidenced as the project can account for the re-orientation training and peacebuilding capacity strengthening of more than 350 drug enforcement and community police personnel, community leaders, disadvantage youth leaders and public health technicians. Similarly, SEED has provided technical skills-training and capacity building for 15 psycho</w:t>
      </w:r>
      <w:r w:rsidR="003B2D48">
        <w:t>-</w:t>
      </w:r>
      <w:r w:rsidR="000A23A8">
        <w:t xml:space="preserve">social </w:t>
      </w:r>
      <w:r w:rsidR="003B2D48">
        <w:t>counsellors</w:t>
      </w:r>
      <w:r w:rsidR="000A23A8">
        <w:t xml:space="preserve">, </w:t>
      </w:r>
      <w:r w:rsidR="002E5FF4">
        <w:t>six</w:t>
      </w:r>
      <w:r w:rsidR="000A23A8">
        <w:t xml:space="preserve"> mental health clinicians and </w:t>
      </w:r>
      <w:r w:rsidR="002E5FF4">
        <w:t>five</w:t>
      </w:r>
      <w:r w:rsidR="000A23A8">
        <w:t xml:space="preserve"> </w:t>
      </w:r>
      <w:r w:rsidR="002E5FF4">
        <w:t>pharmacists</w:t>
      </w:r>
      <w:r w:rsidR="000A23A8">
        <w:t> intended to enhance specialization for quality treatment for</w:t>
      </w:r>
      <w:r>
        <w:t xml:space="preserve"> more than</w:t>
      </w:r>
      <w:r w:rsidR="000A23A8">
        <w:t xml:space="preserve"> 500 target</w:t>
      </w:r>
      <w:r>
        <w:t>ed</w:t>
      </w:r>
      <w:r w:rsidR="000A23A8">
        <w:t xml:space="preserve"> beneficiaries</w:t>
      </w:r>
      <w:r w:rsidR="006165EF">
        <w:t xml:space="preserve">. This has resulted in significant progress in the stabilization of 321 disadvantaged youth </w:t>
      </w:r>
      <w:r w:rsidR="006165EF" w:rsidRPr="006165EF">
        <w:t>(64% of 500) from drug addiction/use</w:t>
      </w:r>
      <w:r w:rsidR="006165EF">
        <w:t xml:space="preserve">. Of these, </w:t>
      </w:r>
      <w:r w:rsidR="006165EF" w:rsidRPr="006165EF">
        <w:t>113 (</w:t>
      </w:r>
      <w:r w:rsidR="00E92BF5">
        <w:t>35</w:t>
      </w:r>
      <w:r w:rsidR="006165EF" w:rsidRPr="006165EF">
        <w:t>%</w:t>
      </w:r>
      <w:r w:rsidR="006165EF">
        <w:t xml:space="preserve">) have been reunited </w:t>
      </w:r>
      <w:r w:rsidR="006165EF" w:rsidRPr="006165EF">
        <w:t xml:space="preserve">with </w:t>
      </w:r>
      <w:r w:rsidR="006165EF">
        <w:t xml:space="preserve">their </w:t>
      </w:r>
      <w:r w:rsidR="006165EF" w:rsidRPr="006165EF">
        <w:t>families</w:t>
      </w:r>
      <w:r w:rsidR="006165EF">
        <w:t xml:space="preserve">, and </w:t>
      </w:r>
      <w:r w:rsidR="006165EF" w:rsidRPr="006165EF">
        <w:t>196 (</w:t>
      </w:r>
      <w:r w:rsidR="00E92BF5">
        <w:t>61</w:t>
      </w:r>
      <w:r w:rsidR="006165EF">
        <w:t>%</w:t>
      </w:r>
      <w:r w:rsidR="006165EF" w:rsidRPr="006165EF">
        <w:t>) reintegrated into communities</w:t>
      </w:r>
      <w:r w:rsidR="006165EF">
        <w:t xml:space="preserve">. </w:t>
      </w:r>
    </w:p>
    <w:p w14:paraId="12BF0B52" w14:textId="77777777" w:rsidR="003B2D48" w:rsidRDefault="003B2D48" w:rsidP="00CE16A8">
      <w:pPr>
        <w:ind w:left="-720"/>
        <w:jc w:val="both"/>
      </w:pPr>
    </w:p>
    <w:p w14:paraId="22884485" w14:textId="343F2A74" w:rsidR="000A23A8" w:rsidRDefault="003B2D48" w:rsidP="00CE16A8">
      <w:pPr>
        <w:ind w:left="-720"/>
        <w:jc w:val="both"/>
      </w:pPr>
      <w:r>
        <w:t>Further, the Project</w:t>
      </w:r>
      <w:r w:rsidR="000A23A8">
        <w:t xml:space="preserve"> has improved disadvantage youth</w:t>
      </w:r>
      <w:r w:rsidR="002E5FF4">
        <w:t>’s</w:t>
      </w:r>
      <w:r w:rsidR="000A23A8">
        <w:t xml:space="preserve"> access to relevant </w:t>
      </w:r>
      <w:r w:rsidR="0004020F">
        <w:t xml:space="preserve">health and </w:t>
      </w:r>
      <w:r w:rsidR="000A23A8">
        <w:t>social services which has transformed their psychological, mental and social well</w:t>
      </w:r>
      <w:r w:rsidR="0004020F">
        <w:t>-</w:t>
      </w:r>
      <w:r w:rsidR="000A23A8">
        <w:t>being, while improving their livelihood and income-generating skills</w:t>
      </w:r>
      <w:r w:rsidR="0087300C">
        <w:t>;</w:t>
      </w:r>
      <w:r w:rsidR="000A23A8">
        <w:t xml:space="preserve"> and engaging and sensitizing local authorities </w:t>
      </w:r>
      <w:r w:rsidR="0087300C">
        <w:t>(</w:t>
      </w:r>
      <w:r w:rsidR="000A23A8">
        <w:t>including the police, community leaders and members</w:t>
      </w:r>
      <w:r w:rsidR="0087300C">
        <w:t>)</w:t>
      </w:r>
      <w:r w:rsidR="000A23A8">
        <w:t xml:space="preserve"> on how to accept, relate, co-exist and support family members.</w:t>
      </w:r>
      <w:r w:rsidR="00843374">
        <w:t xml:space="preserve"> </w:t>
      </w:r>
      <w:r w:rsidR="002E5FF4">
        <w:t>The</w:t>
      </w:r>
      <w:r w:rsidR="000A23A8">
        <w:t xml:space="preserve"> </w:t>
      </w:r>
      <w:r w:rsidR="00E86538">
        <w:t xml:space="preserve">Project’s </w:t>
      </w:r>
      <w:r w:rsidR="000A23A8">
        <w:t>rehabilitation and capacity building strategy</w:t>
      </w:r>
      <w:r w:rsidR="00B673D5">
        <w:t xml:space="preserve"> </w:t>
      </w:r>
      <w:r w:rsidR="000A23A8">
        <w:t>has encouraged targeted disadvantage</w:t>
      </w:r>
      <w:r w:rsidR="00B673D5">
        <w:t>d</w:t>
      </w:r>
      <w:r w:rsidR="000A23A8">
        <w:t xml:space="preserve"> youth to become more responsible citizens, thereby contributing effectively to their societies and communities</w:t>
      </w:r>
      <w:r w:rsidR="00E86538">
        <w:t xml:space="preserve"> after counselling and skills training</w:t>
      </w:r>
      <w:r w:rsidR="00B673D5">
        <w:t xml:space="preserve">. </w:t>
      </w:r>
    </w:p>
    <w:p w14:paraId="4B919BAB" w14:textId="2C0DCB36" w:rsidR="002E5FF4" w:rsidRDefault="002E5FF4" w:rsidP="00CE16A8">
      <w:pPr>
        <w:ind w:left="-720"/>
        <w:jc w:val="both"/>
      </w:pPr>
    </w:p>
    <w:p w14:paraId="28399329" w14:textId="3879A9C5" w:rsidR="002E5FF4" w:rsidRDefault="002E5FF4" w:rsidP="000543C7">
      <w:pPr>
        <w:ind w:left="-720"/>
        <w:jc w:val="both"/>
      </w:pPr>
      <w:r>
        <w:t xml:space="preserve">The project has impacted the broader political and peacebuilding context of Liberia by advocating and raising awareness on the increasing disadvantage youth population and the threat it poses to Liberia’s peace and security and economic stability. Utilizing a multi-sectoral approach and providing a platform for reconciliation that includes community leaders, local authorities and government has highlighted the plight and exclusion of disadvantaged youth from community life. </w:t>
      </w:r>
    </w:p>
    <w:p w14:paraId="60B96CB8" w14:textId="77777777" w:rsidR="000A23A8" w:rsidRDefault="000A23A8" w:rsidP="000A23A8">
      <w:pPr>
        <w:rPr>
          <w:color w:val="1F497D"/>
        </w:rPr>
      </w:pPr>
    </w:p>
    <w:p w14:paraId="5D6315E1" w14:textId="77777777" w:rsidR="00627A1C" w:rsidRPr="00A862B2" w:rsidRDefault="00627A1C" w:rsidP="00A862B2">
      <w:pPr>
        <w:ind w:left="-720"/>
        <w:jc w:val="both"/>
      </w:pPr>
    </w:p>
    <w:p w14:paraId="3D4B37AC" w14:textId="4DD82703" w:rsidR="00161D02" w:rsidRPr="002D3CA5" w:rsidRDefault="00627A1C" w:rsidP="00A862B2">
      <w:pPr>
        <w:ind w:left="-720"/>
        <w:jc w:val="both"/>
        <w:rPr>
          <w:b/>
          <w:i/>
        </w:rPr>
      </w:pPr>
      <w:r w:rsidRPr="002D3CA5">
        <w:rPr>
          <w:b/>
          <w:i/>
          <w:color w:val="000000"/>
          <w:lang w:val="en-US" w:eastAsia="en-US"/>
        </w:rPr>
        <w:t>Indicate any additional analysis on how Gender Equality and Women’s Empowerment and/or Youth Inclusion and Responsiveness has been ensured under this Outcome</w:t>
      </w:r>
      <w:r w:rsidR="00161D02" w:rsidRPr="002D3CA5">
        <w:rPr>
          <w:b/>
          <w:i/>
        </w:rPr>
        <w:t>: (1000</w:t>
      </w:r>
      <w:r w:rsidR="00021941">
        <w:rPr>
          <w:b/>
          <w:i/>
        </w:rPr>
        <w:t>-</w:t>
      </w:r>
      <w:r w:rsidR="00161D02" w:rsidRPr="002D3CA5">
        <w:rPr>
          <w:b/>
          <w:i/>
        </w:rPr>
        <w:t>character limit)</w:t>
      </w:r>
    </w:p>
    <w:p w14:paraId="3F5E9BF1" w14:textId="77777777" w:rsidR="002D3CA5" w:rsidRPr="00A862B2" w:rsidRDefault="002D3CA5" w:rsidP="00A862B2">
      <w:pPr>
        <w:ind w:left="-720"/>
        <w:jc w:val="both"/>
        <w:rPr>
          <w:i/>
        </w:rPr>
      </w:pPr>
    </w:p>
    <w:p w14:paraId="09A3A0A6" w14:textId="0587136E" w:rsidR="00161D02" w:rsidRPr="00A862B2" w:rsidRDefault="009421B7" w:rsidP="00A862B2">
      <w:pPr>
        <w:ind w:left="-720"/>
        <w:jc w:val="both"/>
      </w:pPr>
      <w:r w:rsidRPr="000446E6">
        <w:rPr>
          <w:iCs/>
        </w:rPr>
        <w:t>Of t</w:t>
      </w:r>
      <w:r w:rsidR="007275D3" w:rsidRPr="000446E6">
        <w:rPr>
          <w:iCs/>
        </w:rPr>
        <w:t>he 50</w:t>
      </w:r>
      <w:r w:rsidR="00E0213F" w:rsidRPr="000446E6">
        <w:rPr>
          <w:iCs/>
        </w:rPr>
        <w:t>8</w:t>
      </w:r>
      <w:r w:rsidR="007275D3" w:rsidRPr="000446E6">
        <w:rPr>
          <w:iCs/>
        </w:rPr>
        <w:t xml:space="preserve"> targeted youth</w:t>
      </w:r>
      <w:r w:rsidRPr="000446E6">
        <w:rPr>
          <w:iCs/>
        </w:rPr>
        <w:t>, females make up 2</w:t>
      </w:r>
      <w:r w:rsidR="00E0213F" w:rsidRPr="000446E6">
        <w:rPr>
          <w:iCs/>
        </w:rPr>
        <w:t>6</w:t>
      </w:r>
      <w:r w:rsidRPr="000446E6">
        <w:rPr>
          <w:iCs/>
        </w:rPr>
        <w:t>%</w:t>
      </w:r>
      <w:r w:rsidR="007275D3" w:rsidRPr="000446E6">
        <w:rPr>
          <w:iCs/>
        </w:rPr>
        <w:t xml:space="preserve"> </w:t>
      </w:r>
      <w:r w:rsidRPr="000446E6">
        <w:rPr>
          <w:iCs/>
        </w:rPr>
        <w:t>while 7</w:t>
      </w:r>
      <w:r w:rsidR="00E0213F" w:rsidRPr="000446E6">
        <w:rPr>
          <w:iCs/>
        </w:rPr>
        <w:t>4</w:t>
      </w:r>
      <w:r w:rsidRPr="000446E6">
        <w:rPr>
          <w:iCs/>
        </w:rPr>
        <w:t xml:space="preserve">% </w:t>
      </w:r>
      <w:r w:rsidR="000E0679" w:rsidRPr="000446E6">
        <w:rPr>
          <w:iCs/>
        </w:rPr>
        <w:t>are males</w:t>
      </w:r>
      <w:r w:rsidR="000E0679" w:rsidRPr="000E0679">
        <w:rPr>
          <w:iCs/>
        </w:rPr>
        <w:t>,</w:t>
      </w:r>
      <w:r w:rsidR="007275D3" w:rsidRPr="000446E6">
        <w:rPr>
          <w:iCs/>
        </w:rPr>
        <w:t xml:space="preserve"> from ten communities of similar demographic and socio</w:t>
      </w:r>
      <w:r w:rsidR="00A1088A" w:rsidRPr="000446E6">
        <w:rPr>
          <w:iCs/>
        </w:rPr>
        <w:t>-</w:t>
      </w:r>
      <w:r w:rsidR="007275D3" w:rsidRPr="000446E6">
        <w:rPr>
          <w:iCs/>
        </w:rPr>
        <w:t xml:space="preserve">economic background. </w:t>
      </w:r>
      <w:r w:rsidR="00A1088A" w:rsidRPr="000446E6">
        <w:rPr>
          <w:iCs/>
        </w:rPr>
        <w:t xml:space="preserve">From </w:t>
      </w:r>
      <w:r w:rsidR="007275D3" w:rsidRPr="000446E6">
        <w:rPr>
          <w:iCs/>
        </w:rPr>
        <w:t>a gender</w:t>
      </w:r>
      <w:r w:rsidR="007275D3" w:rsidRPr="00A862B2">
        <w:rPr>
          <w:iCs/>
        </w:rPr>
        <w:t xml:space="preserve">-sensitive </w:t>
      </w:r>
      <w:r w:rsidR="00A1088A">
        <w:rPr>
          <w:iCs/>
        </w:rPr>
        <w:t>perspective</w:t>
      </w:r>
      <w:r w:rsidR="007275D3" w:rsidRPr="00A862B2">
        <w:rPr>
          <w:iCs/>
        </w:rPr>
        <w:t>, many young women suffered from teen</w:t>
      </w:r>
      <w:r w:rsidR="00D21CB5">
        <w:rPr>
          <w:iCs/>
        </w:rPr>
        <w:t>age</w:t>
      </w:r>
      <w:r w:rsidR="007275D3" w:rsidRPr="00A862B2">
        <w:rPr>
          <w:iCs/>
        </w:rPr>
        <w:t xml:space="preserve"> pregnancy, abuse, and extreme poverty. In such cases, additional care and attention w</w:t>
      </w:r>
      <w:r w:rsidR="00D21CB5">
        <w:rPr>
          <w:iCs/>
        </w:rPr>
        <w:t>ere</w:t>
      </w:r>
      <w:r w:rsidR="007275D3" w:rsidRPr="00A862B2">
        <w:rPr>
          <w:iCs/>
        </w:rPr>
        <w:t xml:space="preserve"> provided by counsellors to assess their mindset and </w:t>
      </w:r>
      <w:r w:rsidR="00A710EB">
        <w:rPr>
          <w:iCs/>
        </w:rPr>
        <w:t>determination</w:t>
      </w:r>
      <w:r w:rsidR="00A710EB" w:rsidRPr="00A862B2">
        <w:rPr>
          <w:iCs/>
        </w:rPr>
        <w:t xml:space="preserve"> </w:t>
      </w:r>
      <w:r w:rsidR="007275D3" w:rsidRPr="00A862B2">
        <w:rPr>
          <w:iCs/>
        </w:rPr>
        <w:t>to transforming their lives. The project has enabled teenage mothers to participate as recipients and benefit from counselling and access to medical and social welfare support. In many cases, female beneficiaries defined their means of survival through prostitution, petty theft and crime. Counsellors and clinician</w:t>
      </w:r>
      <w:r w:rsidR="00590B22">
        <w:rPr>
          <w:iCs/>
        </w:rPr>
        <w:t>s</w:t>
      </w:r>
      <w:r w:rsidR="007275D3" w:rsidRPr="00A862B2">
        <w:rPr>
          <w:iCs/>
        </w:rPr>
        <w:t xml:space="preserve"> were mindful of the conditions lived and experienced by many of the female beneficiaries and used strategies that would </w:t>
      </w:r>
      <w:r w:rsidR="007275D3" w:rsidRPr="00A862B2">
        <w:rPr>
          <w:iCs/>
        </w:rPr>
        <w:lastRenderedPageBreak/>
        <w:t>reduce any additional harm as a result of participating in the project by evaluating case-by-case for appropriate medical response and treatment</w:t>
      </w:r>
    </w:p>
    <w:p w14:paraId="6556A7A4" w14:textId="77777777" w:rsidR="00323ABC" w:rsidRPr="00A862B2" w:rsidRDefault="00323ABC" w:rsidP="00A862B2">
      <w:pPr>
        <w:jc w:val="both"/>
      </w:pPr>
    </w:p>
    <w:p w14:paraId="486A2647" w14:textId="379B1944" w:rsidR="00D3351A" w:rsidRPr="00DD337F" w:rsidRDefault="00D3351A" w:rsidP="00A862B2">
      <w:pPr>
        <w:ind w:left="-720"/>
        <w:jc w:val="both"/>
        <w:rPr>
          <w:b/>
          <w:bCs/>
          <w:iCs/>
        </w:rPr>
      </w:pPr>
      <w:r w:rsidRPr="00DD337F">
        <w:rPr>
          <w:b/>
          <w:bCs/>
          <w:iCs/>
          <w:u w:val="single"/>
        </w:rPr>
        <w:t>Outcome 2</w:t>
      </w:r>
      <w:r w:rsidRPr="00DD337F">
        <w:rPr>
          <w:b/>
          <w:bCs/>
          <w:iCs/>
        </w:rPr>
        <w:t xml:space="preserve">:  </w:t>
      </w:r>
      <w:r w:rsidR="007275D3" w:rsidRPr="00DD337F">
        <w:rPr>
          <w:b/>
          <w:bCs/>
          <w:iCs/>
          <w:lang w:val="en-US"/>
        </w:rPr>
        <w:t xml:space="preserve">Improved access of 500 </w:t>
      </w:r>
      <w:proofErr w:type="spellStart"/>
      <w:r w:rsidR="007275D3" w:rsidRPr="00DD337F">
        <w:rPr>
          <w:b/>
          <w:bCs/>
          <w:iCs/>
          <w:lang w:val="en-US"/>
        </w:rPr>
        <w:t>Zogos</w:t>
      </w:r>
      <w:proofErr w:type="spellEnd"/>
      <w:r w:rsidR="007275D3" w:rsidRPr="00DD337F">
        <w:rPr>
          <w:b/>
          <w:bCs/>
          <w:iCs/>
          <w:lang w:val="en-US"/>
        </w:rPr>
        <w:t>/</w:t>
      </w:r>
      <w:proofErr w:type="spellStart"/>
      <w:r w:rsidR="007275D3" w:rsidRPr="00DD337F">
        <w:rPr>
          <w:b/>
          <w:bCs/>
          <w:iCs/>
          <w:lang w:val="en-US"/>
        </w:rPr>
        <w:t>Zogesse</w:t>
      </w:r>
      <w:proofErr w:type="spellEnd"/>
      <w:r w:rsidR="007275D3" w:rsidRPr="00DD337F">
        <w:rPr>
          <w:b/>
          <w:bCs/>
          <w:iCs/>
          <w:lang w:val="en-US"/>
        </w:rPr>
        <w:t xml:space="preserve"> in Montserrado County to sustainable livelihood and employment opportunities to enhance their resilience to conflict and social tension.</w:t>
      </w:r>
    </w:p>
    <w:p w14:paraId="2B4B5A9F" w14:textId="77777777" w:rsidR="00D3351A" w:rsidRPr="00A862B2" w:rsidRDefault="00D3351A" w:rsidP="00A862B2">
      <w:pPr>
        <w:ind w:left="-720"/>
        <w:jc w:val="both"/>
        <w:rPr>
          <w:i/>
        </w:rPr>
      </w:pPr>
    </w:p>
    <w:p w14:paraId="04E03DAA" w14:textId="639838A2" w:rsidR="00B0370E" w:rsidRPr="000872CF" w:rsidRDefault="00B0370E" w:rsidP="00A862B2">
      <w:pPr>
        <w:ind w:left="-720"/>
        <w:jc w:val="both"/>
        <w:rPr>
          <w:b/>
          <w:bCs/>
          <w:i/>
        </w:rPr>
      </w:pPr>
      <w:r w:rsidRPr="00A862B2">
        <w:rPr>
          <w:i/>
        </w:rPr>
        <w:t xml:space="preserve">Rate the current status of the outcome progress: </w:t>
      </w:r>
      <w:r w:rsidR="007275D3" w:rsidRPr="000872CF">
        <w:rPr>
          <w:b/>
          <w:bCs/>
          <w:i/>
        </w:rPr>
        <w:t>ON TRACK</w:t>
      </w:r>
      <w:r w:rsidR="00C45443">
        <w:rPr>
          <w:b/>
          <w:bCs/>
          <w:i/>
        </w:rPr>
        <w:t xml:space="preserve"> </w:t>
      </w:r>
    </w:p>
    <w:p w14:paraId="29AA4334" w14:textId="77777777" w:rsidR="00B0370E" w:rsidRPr="00A862B2" w:rsidRDefault="00B0370E" w:rsidP="00A862B2">
      <w:pPr>
        <w:ind w:left="-720"/>
        <w:jc w:val="both"/>
        <w:rPr>
          <w:i/>
        </w:rPr>
      </w:pPr>
    </w:p>
    <w:p w14:paraId="796779B3" w14:textId="3A1EDCEF" w:rsidR="009318DE" w:rsidRDefault="00627A1C" w:rsidP="00A862B2">
      <w:pPr>
        <w:ind w:left="-720"/>
        <w:jc w:val="both"/>
        <w:rPr>
          <w:i/>
        </w:rPr>
      </w:pPr>
      <w:r w:rsidRPr="00A862B2">
        <w:t xml:space="preserve">Progress summary: </w:t>
      </w:r>
      <w:r w:rsidRPr="00A862B2">
        <w:rPr>
          <w:i/>
        </w:rPr>
        <w:t>(</w:t>
      </w:r>
      <w:r w:rsidR="00EF1FE0" w:rsidRPr="00A862B2">
        <w:rPr>
          <w:i/>
        </w:rPr>
        <w:t>3000-character</w:t>
      </w:r>
      <w:r w:rsidRPr="00A862B2">
        <w:rPr>
          <w:i/>
        </w:rPr>
        <w:t xml:space="preserve"> limit)</w:t>
      </w:r>
    </w:p>
    <w:p w14:paraId="5F7AF0DE" w14:textId="77777777" w:rsidR="009318DE" w:rsidRDefault="009318DE" w:rsidP="00A862B2">
      <w:pPr>
        <w:ind w:left="-720"/>
        <w:jc w:val="both"/>
        <w:rPr>
          <w:i/>
        </w:rPr>
      </w:pPr>
    </w:p>
    <w:p w14:paraId="1B17C9CA" w14:textId="2051DA2C" w:rsidR="003F6C22" w:rsidRPr="00C46A23" w:rsidRDefault="00424932" w:rsidP="007D4AF7">
      <w:pPr>
        <w:ind w:left="-709"/>
        <w:jc w:val="both"/>
      </w:pPr>
      <w:r w:rsidRPr="00A67A73">
        <w:rPr>
          <w:iCs/>
        </w:rPr>
        <w:t xml:space="preserve">To date, </w:t>
      </w:r>
      <w:r w:rsidR="00483084" w:rsidRPr="00A67A73">
        <w:rPr>
          <w:iCs/>
        </w:rPr>
        <w:t xml:space="preserve">508 </w:t>
      </w:r>
      <w:r w:rsidRPr="00A67A73">
        <w:rPr>
          <w:iCs/>
        </w:rPr>
        <w:t xml:space="preserve">youth </w:t>
      </w:r>
      <w:r w:rsidR="00483084" w:rsidRPr="00A67A73">
        <w:rPr>
          <w:iCs/>
        </w:rPr>
        <w:t>(133</w:t>
      </w:r>
      <w:r w:rsidRPr="00A67A73">
        <w:rPr>
          <w:iCs/>
        </w:rPr>
        <w:t xml:space="preserve"> female and </w:t>
      </w:r>
      <w:r w:rsidR="00483084" w:rsidRPr="00A67A73">
        <w:rPr>
          <w:iCs/>
        </w:rPr>
        <w:t>375</w:t>
      </w:r>
      <w:r w:rsidRPr="00A67A73">
        <w:rPr>
          <w:iCs/>
        </w:rPr>
        <w:t xml:space="preserve"> male</w:t>
      </w:r>
      <w:r w:rsidR="00483084" w:rsidRPr="00A67A73">
        <w:rPr>
          <w:iCs/>
        </w:rPr>
        <w:t xml:space="preserve">) have been placed in vocational training. </w:t>
      </w:r>
      <w:r w:rsidR="00A67A73" w:rsidRPr="00A67A73">
        <w:rPr>
          <w:iCs/>
        </w:rPr>
        <w:t>Of these,</w:t>
      </w:r>
      <w:r w:rsidR="003F6C22" w:rsidRPr="00A67A73">
        <w:t xml:space="preserve"> 153 (42</w:t>
      </w:r>
      <w:r w:rsidR="00A67A73" w:rsidRPr="00A67A73">
        <w:t xml:space="preserve"> female and </w:t>
      </w:r>
      <w:r w:rsidR="003F6C22" w:rsidRPr="00A67A73">
        <w:t>111</w:t>
      </w:r>
      <w:r w:rsidR="00A67A73" w:rsidRPr="00A67A73">
        <w:t xml:space="preserve"> male) from six project communities and representing </w:t>
      </w:r>
      <w:r w:rsidR="009318DE" w:rsidRPr="00A67A73">
        <w:t>30% of the total target</w:t>
      </w:r>
      <w:r w:rsidR="00483084" w:rsidRPr="00A67A73">
        <w:t>,</w:t>
      </w:r>
      <w:r w:rsidR="003F6C22" w:rsidRPr="00A67A73">
        <w:t xml:space="preserve"> successfully graduated from skill</w:t>
      </w:r>
      <w:r w:rsidR="00A67A73" w:rsidRPr="00A67A73">
        <w:t>s</w:t>
      </w:r>
      <w:r w:rsidR="003F6C22" w:rsidRPr="00A67A73">
        <w:t xml:space="preserve"> training</w:t>
      </w:r>
      <w:r w:rsidR="00A67A73" w:rsidRPr="00A67A73">
        <w:t xml:space="preserve">. </w:t>
      </w:r>
      <w:r w:rsidR="009318DE" w:rsidRPr="00A67A73">
        <w:rPr>
          <w:iCs/>
        </w:rPr>
        <w:t>Presently, 309 youth (71</w:t>
      </w:r>
      <w:r w:rsidR="00A67A73" w:rsidRPr="00A67A73">
        <w:rPr>
          <w:iCs/>
        </w:rPr>
        <w:t xml:space="preserve"> female and </w:t>
      </w:r>
      <w:r w:rsidR="009318DE" w:rsidRPr="00A67A73">
        <w:rPr>
          <w:iCs/>
        </w:rPr>
        <w:t>238</w:t>
      </w:r>
      <w:r w:rsidR="00A67A73" w:rsidRPr="00A67A73">
        <w:rPr>
          <w:iCs/>
        </w:rPr>
        <w:t xml:space="preserve"> male</w:t>
      </w:r>
      <w:r w:rsidR="009318DE" w:rsidRPr="00A67A73">
        <w:rPr>
          <w:iCs/>
        </w:rPr>
        <w:t xml:space="preserve">) are </w:t>
      </w:r>
      <w:r w:rsidR="00A67A73" w:rsidRPr="00A67A73">
        <w:rPr>
          <w:iCs/>
        </w:rPr>
        <w:t>undergoing</w:t>
      </w:r>
      <w:r w:rsidR="009318DE" w:rsidRPr="00A67A73">
        <w:rPr>
          <w:iCs/>
        </w:rPr>
        <w:t xml:space="preserve"> vocational skill training across five project communities. Technical skills include </w:t>
      </w:r>
      <w:r w:rsidR="009318DE" w:rsidRPr="00A67A73">
        <w:t xml:space="preserve">carpentry, electrical, tailoring, welding, </w:t>
      </w:r>
      <w:r w:rsidR="00E0213F" w:rsidRPr="00A67A73">
        <w:t xml:space="preserve">and </w:t>
      </w:r>
      <w:r w:rsidR="009318DE" w:rsidRPr="00A67A73">
        <w:t>plumbing.</w:t>
      </w:r>
    </w:p>
    <w:p w14:paraId="3B995EC4" w14:textId="05D56AE2" w:rsidR="003F6C22" w:rsidRPr="00A862B2" w:rsidRDefault="003F6C22" w:rsidP="007D4AF7">
      <w:pPr>
        <w:jc w:val="both"/>
      </w:pPr>
    </w:p>
    <w:p w14:paraId="6772263B" w14:textId="0248C798" w:rsidR="003F6C22" w:rsidRPr="007D4AF7" w:rsidRDefault="007B5D11" w:rsidP="007D4AF7">
      <w:pPr>
        <w:ind w:left="-709"/>
        <w:jc w:val="both"/>
        <w:textAlignment w:val="top"/>
        <w:rPr>
          <w:rFonts w:asciiTheme="majorHAnsi" w:hAnsiTheme="majorHAnsi"/>
          <w:color w:val="000000"/>
          <w:sz w:val="22"/>
          <w:szCs w:val="22"/>
        </w:rPr>
      </w:pPr>
      <w:r w:rsidRPr="009978AA">
        <w:t>The Village Savings and Loan Association (VSLA) model allows</w:t>
      </w:r>
      <w:r w:rsidRPr="009978AA">
        <w:rPr>
          <w:color w:val="000000"/>
        </w:rPr>
        <w:t xml:space="preserve"> members to develop savings plans and borrow capital for small-scale enterprise development. The model is particularly strong because it is completely </w:t>
      </w:r>
      <w:r w:rsidR="00B50D5A" w:rsidRPr="009978AA">
        <w:rPr>
          <w:color w:val="000000"/>
        </w:rPr>
        <w:t>localized,</w:t>
      </w:r>
      <w:r w:rsidRPr="009978AA">
        <w:rPr>
          <w:color w:val="000000"/>
        </w:rPr>
        <w:t xml:space="preserve"> and </w:t>
      </w:r>
      <w:r w:rsidR="00B23A14" w:rsidRPr="009978AA">
        <w:rPr>
          <w:color w:val="000000"/>
        </w:rPr>
        <w:t>community led</w:t>
      </w:r>
      <w:r w:rsidRPr="009978AA">
        <w:rPr>
          <w:color w:val="000000"/>
        </w:rPr>
        <w:t>.</w:t>
      </w:r>
      <w:r w:rsidRPr="009978AA">
        <w:t xml:space="preserve"> </w:t>
      </w:r>
      <w:r w:rsidR="00C45443" w:rsidRPr="009978AA">
        <w:t>There is a national apex of VSLAs setup with membership across the different political sub</w:t>
      </w:r>
      <w:r w:rsidR="00B23A14" w:rsidRPr="009978AA">
        <w:t>-</w:t>
      </w:r>
      <w:r w:rsidR="00C45443" w:rsidRPr="009978AA">
        <w:t xml:space="preserve">divisions. The programme intends to build on the gains already existing rather than create a new model. </w:t>
      </w:r>
      <w:r w:rsidR="009318DE" w:rsidRPr="009978AA">
        <w:t>Refresher trainings were facilitated for nine</w:t>
      </w:r>
      <w:r w:rsidR="003F6C22" w:rsidRPr="009978AA">
        <w:t xml:space="preserve"> </w:t>
      </w:r>
      <w:r w:rsidR="009318DE" w:rsidRPr="009978AA">
        <w:t xml:space="preserve">VSLAs, </w:t>
      </w:r>
      <w:r w:rsidR="003F6C22" w:rsidRPr="009978AA">
        <w:t xml:space="preserve">comprising of 317 </w:t>
      </w:r>
      <w:r w:rsidR="00E06A2C" w:rsidRPr="009978AA">
        <w:t xml:space="preserve">youth </w:t>
      </w:r>
      <w:r w:rsidR="003F6C22" w:rsidRPr="009978AA">
        <w:t>(80</w:t>
      </w:r>
      <w:r w:rsidR="00B50D5A" w:rsidRPr="009978AA">
        <w:t xml:space="preserve"> female and </w:t>
      </w:r>
      <w:r w:rsidR="003F6C22" w:rsidRPr="009978AA">
        <w:t>237</w:t>
      </w:r>
      <w:r w:rsidR="00B50D5A" w:rsidRPr="009978AA">
        <w:t xml:space="preserve"> male</w:t>
      </w:r>
      <w:r w:rsidR="003F6C22" w:rsidRPr="009978AA">
        <w:t xml:space="preserve">) across five communities. </w:t>
      </w:r>
      <w:r w:rsidR="009978AA" w:rsidRPr="009978AA">
        <w:t>Among other things, the training emphasized</w:t>
      </w:r>
      <w:r w:rsidR="003F6C22" w:rsidRPr="009978AA">
        <w:t xml:space="preserve"> aspects of collective support</w:t>
      </w:r>
      <w:r w:rsidR="009978AA" w:rsidRPr="009978AA">
        <w:t>,</w:t>
      </w:r>
      <w:r w:rsidR="003F6C22" w:rsidRPr="009978AA">
        <w:t xml:space="preserve"> and checks and balances </w:t>
      </w:r>
      <w:r w:rsidR="009978AA" w:rsidRPr="009978AA">
        <w:t>to safeguard</w:t>
      </w:r>
      <w:r w:rsidR="003F6C22" w:rsidRPr="009978AA">
        <w:t xml:space="preserve"> </w:t>
      </w:r>
      <w:r w:rsidR="009978AA" w:rsidRPr="009978AA">
        <w:t xml:space="preserve">generated funds </w:t>
      </w:r>
      <w:r w:rsidR="003F6C22" w:rsidRPr="009978AA">
        <w:t>for the benefit of the group.</w:t>
      </w:r>
      <w:r w:rsidR="00C75F0F" w:rsidRPr="009978AA">
        <w:t xml:space="preserve"> </w:t>
      </w:r>
      <w:r w:rsidR="009978AA" w:rsidRPr="009978AA">
        <w:t>So far, g</w:t>
      </w:r>
      <w:r w:rsidR="00C75F0F" w:rsidRPr="009978AA">
        <w:t>roups have save</w:t>
      </w:r>
      <w:r w:rsidR="009978AA" w:rsidRPr="009978AA">
        <w:t>d</w:t>
      </w:r>
      <w:r w:rsidR="00C75F0F" w:rsidRPr="009978AA">
        <w:t xml:space="preserve"> a </w:t>
      </w:r>
      <w:r w:rsidR="009978AA" w:rsidRPr="009978AA">
        <w:t xml:space="preserve">total of </w:t>
      </w:r>
      <w:r w:rsidR="00C75F0F" w:rsidRPr="009978AA">
        <w:t>L$115,585</w:t>
      </w:r>
      <w:r w:rsidR="00C45443" w:rsidRPr="009978AA">
        <w:t xml:space="preserve"> equivalent </w:t>
      </w:r>
      <w:r w:rsidR="009978AA" w:rsidRPr="009978AA">
        <w:t xml:space="preserve">to US$ </w:t>
      </w:r>
      <w:r w:rsidR="00946638" w:rsidRPr="009978AA">
        <w:t>608.</w:t>
      </w:r>
    </w:p>
    <w:p w14:paraId="0041A761" w14:textId="77777777" w:rsidR="00C75F0F" w:rsidRPr="00A862B2" w:rsidRDefault="00C75F0F" w:rsidP="00627A1C">
      <w:pPr>
        <w:ind w:left="-720"/>
        <w:jc w:val="both"/>
      </w:pPr>
    </w:p>
    <w:p w14:paraId="116D6086" w14:textId="6D5B2C20" w:rsidR="00C75F0F" w:rsidRPr="00A862B2" w:rsidRDefault="00C75F0F" w:rsidP="00627A1C">
      <w:pPr>
        <w:ind w:left="-720"/>
        <w:jc w:val="both"/>
        <w:rPr>
          <w:color w:val="000000" w:themeColor="text1"/>
        </w:rPr>
      </w:pPr>
      <w:r w:rsidRPr="00A862B2">
        <w:t xml:space="preserve">In preparation for internship placement and business development, </w:t>
      </w:r>
      <w:r w:rsidRPr="00A862B2">
        <w:rPr>
          <w:color w:val="000000" w:themeColor="text1"/>
        </w:rPr>
        <w:t xml:space="preserve">146 </w:t>
      </w:r>
      <w:r w:rsidR="00856045">
        <w:rPr>
          <w:color w:val="000000" w:themeColor="text1"/>
        </w:rPr>
        <w:t xml:space="preserve">youth </w:t>
      </w:r>
      <w:r w:rsidRPr="00A862B2">
        <w:rPr>
          <w:color w:val="000000" w:themeColor="text1"/>
        </w:rPr>
        <w:t>(37</w:t>
      </w:r>
      <w:r w:rsidR="00417AF8">
        <w:rPr>
          <w:color w:val="000000" w:themeColor="text1"/>
        </w:rPr>
        <w:t xml:space="preserve"> female and </w:t>
      </w:r>
      <w:r w:rsidRPr="00A862B2">
        <w:rPr>
          <w:color w:val="000000" w:themeColor="text1"/>
        </w:rPr>
        <w:t>109</w:t>
      </w:r>
      <w:r w:rsidR="006569E4">
        <w:rPr>
          <w:color w:val="000000" w:themeColor="text1"/>
        </w:rPr>
        <w:t xml:space="preserve"> male</w:t>
      </w:r>
      <w:r w:rsidRPr="00A862B2">
        <w:rPr>
          <w:color w:val="000000" w:themeColor="text1"/>
        </w:rPr>
        <w:t>) participated in networking meetings across five project communities. Professionals and entrepreneurs from diverse institutions, including Mercy Corps PROSPECT team, facilitated the sessions, providing coaching and advice on small business development and career motivation</w:t>
      </w:r>
      <w:r w:rsidR="006569E4">
        <w:rPr>
          <w:color w:val="000000" w:themeColor="text1"/>
        </w:rPr>
        <w:t xml:space="preserve">. </w:t>
      </w:r>
      <w:r w:rsidRPr="00A862B2">
        <w:rPr>
          <w:color w:val="000000" w:themeColor="text1"/>
        </w:rPr>
        <w:t xml:space="preserve"> These meetings helped prepare </w:t>
      </w:r>
      <w:r w:rsidR="006569E4">
        <w:rPr>
          <w:color w:val="000000" w:themeColor="text1"/>
        </w:rPr>
        <w:t xml:space="preserve">the </w:t>
      </w:r>
      <w:r w:rsidRPr="00A862B2">
        <w:rPr>
          <w:color w:val="000000" w:themeColor="text1"/>
        </w:rPr>
        <w:t>youth for engagement in a professional work setting, enhance knowledge and skills around business planning and development for their own enterprises</w:t>
      </w:r>
      <w:r w:rsidR="006569E4">
        <w:rPr>
          <w:color w:val="000000" w:themeColor="text1"/>
        </w:rPr>
        <w:t>, and partnership</w:t>
      </w:r>
      <w:r w:rsidR="00C45443">
        <w:rPr>
          <w:color w:val="000000" w:themeColor="text1"/>
        </w:rPr>
        <w:t xml:space="preserve"> </w:t>
      </w:r>
      <w:r w:rsidR="006569E4">
        <w:rPr>
          <w:color w:val="000000" w:themeColor="text1"/>
        </w:rPr>
        <w:t>strengthening</w:t>
      </w:r>
      <w:r w:rsidR="00C45443">
        <w:rPr>
          <w:color w:val="000000" w:themeColor="text1"/>
        </w:rPr>
        <w:t>.</w:t>
      </w:r>
    </w:p>
    <w:p w14:paraId="47CF28F0" w14:textId="71625F51" w:rsidR="00C75F0F" w:rsidRPr="00A862B2" w:rsidRDefault="00C75F0F" w:rsidP="00627A1C">
      <w:pPr>
        <w:ind w:left="-720"/>
        <w:jc w:val="both"/>
        <w:rPr>
          <w:color w:val="000000" w:themeColor="text1"/>
        </w:rPr>
      </w:pPr>
    </w:p>
    <w:p w14:paraId="04249F75" w14:textId="24FE8122" w:rsidR="00C75F0F" w:rsidRPr="00A862B2" w:rsidRDefault="00C75F0F" w:rsidP="00C75F0F">
      <w:pPr>
        <w:ind w:left="-720"/>
        <w:jc w:val="both"/>
        <w:rPr>
          <w:color w:val="000000" w:themeColor="text1"/>
        </w:rPr>
      </w:pPr>
      <w:r w:rsidRPr="00A862B2">
        <w:rPr>
          <w:color w:val="000000" w:themeColor="text1"/>
        </w:rPr>
        <w:t xml:space="preserve">In preparation for the receipt of the toolkits, 19 </w:t>
      </w:r>
      <w:r w:rsidR="0046442C">
        <w:rPr>
          <w:color w:val="000000" w:themeColor="text1"/>
        </w:rPr>
        <w:t xml:space="preserve">youth </w:t>
      </w:r>
      <w:r w:rsidRPr="00A862B2">
        <w:rPr>
          <w:color w:val="000000" w:themeColor="text1"/>
        </w:rPr>
        <w:t>(5</w:t>
      </w:r>
      <w:r w:rsidR="00C9624D">
        <w:rPr>
          <w:color w:val="000000" w:themeColor="text1"/>
        </w:rPr>
        <w:t xml:space="preserve"> female and </w:t>
      </w:r>
      <w:r w:rsidRPr="00A862B2">
        <w:rPr>
          <w:color w:val="000000" w:themeColor="text1"/>
        </w:rPr>
        <w:t>14</w:t>
      </w:r>
      <w:r w:rsidR="00C9624D">
        <w:rPr>
          <w:color w:val="000000" w:themeColor="text1"/>
        </w:rPr>
        <w:t xml:space="preserve"> male</w:t>
      </w:r>
      <w:r w:rsidRPr="00A862B2">
        <w:rPr>
          <w:color w:val="000000" w:themeColor="text1"/>
        </w:rPr>
        <w:t xml:space="preserve">) have established 13 </w:t>
      </w:r>
      <w:r w:rsidR="00965A87">
        <w:rPr>
          <w:color w:val="000000" w:themeColor="text1"/>
        </w:rPr>
        <w:t>small and medium enterprises (</w:t>
      </w:r>
      <w:r w:rsidRPr="00A862B2">
        <w:rPr>
          <w:color w:val="000000" w:themeColor="text1"/>
        </w:rPr>
        <w:t>SMEs</w:t>
      </w:r>
      <w:r w:rsidR="00965A87">
        <w:rPr>
          <w:color w:val="000000" w:themeColor="text1"/>
        </w:rPr>
        <w:t>)</w:t>
      </w:r>
      <w:r w:rsidRPr="00A862B2">
        <w:rPr>
          <w:color w:val="000000" w:themeColor="text1"/>
        </w:rPr>
        <w:t xml:space="preserve">. Three of these are joint enterprises, while the remaining 10 belong to individuals. Most have been able to secure locations in their communities through negotiations with local leadership. For instance, the soap-making groups from </w:t>
      </w:r>
      <w:proofErr w:type="spellStart"/>
      <w:r w:rsidRPr="00A862B2">
        <w:rPr>
          <w:color w:val="000000" w:themeColor="text1"/>
        </w:rPr>
        <w:t>Goba</w:t>
      </w:r>
      <w:proofErr w:type="spellEnd"/>
      <w:r w:rsidRPr="00A862B2">
        <w:rPr>
          <w:color w:val="000000" w:themeColor="text1"/>
        </w:rPr>
        <w:t xml:space="preserve"> Chop/Red-light agreed with their community leadership to pay them L$1,000 after every monthly production. Some individual businesses are paying minimal amounts for rental while others are using family or friends’ locations to run their businesses until they stand on their own</w:t>
      </w:r>
      <w:r w:rsidR="00B221F0">
        <w:rPr>
          <w:color w:val="000000" w:themeColor="text1"/>
        </w:rPr>
        <w:t>.</w:t>
      </w:r>
    </w:p>
    <w:p w14:paraId="5AA1110C" w14:textId="77777777" w:rsidR="00C75F0F" w:rsidRPr="00A862B2" w:rsidRDefault="00C75F0F" w:rsidP="00C75F0F">
      <w:pPr>
        <w:ind w:left="-720"/>
        <w:jc w:val="both"/>
        <w:rPr>
          <w:color w:val="000000" w:themeColor="text1"/>
        </w:rPr>
      </w:pPr>
    </w:p>
    <w:p w14:paraId="01A46E31" w14:textId="5AE594E3" w:rsidR="00C75F0F" w:rsidRPr="00A862B2" w:rsidRDefault="00965A87" w:rsidP="00C75F0F">
      <w:pPr>
        <w:ind w:left="-720"/>
        <w:jc w:val="both"/>
        <w:rPr>
          <w:color w:val="000000" w:themeColor="text1"/>
        </w:rPr>
      </w:pPr>
      <w:r w:rsidRPr="00D64D0C">
        <w:rPr>
          <w:color w:val="000000" w:themeColor="text1"/>
        </w:rPr>
        <w:t>The</w:t>
      </w:r>
      <w:r w:rsidR="00C75F0F" w:rsidRPr="00D64D0C">
        <w:rPr>
          <w:color w:val="000000" w:themeColor="text1"/>
        </w:rPr>
        <w:t xml:space="preserve"> Community Clean-up Exercise </w:t>
      </w:r>
      <w:r w:rsidRPr="00D64D0C">
        <w:rPr>
          <w:color w:val="000000" w:themeColor="text1"/>
        </w:rPr>
        <w:t xml:space="preserve">took place over </w:t>
      </w:r>
      <w:r w:rsidR="00601AEB">
        <w:rPr>
          <w:color w:val="000000" w:themeColor="text1"/>
        </w:rPr>
        <w:t>10</w:t>
      </w:r>
      <w:r w:rsidR="00601AEB" w:rsidRPr="00D64D0C">
        <w:rPr>
          <w:color w:val="000000" w:themeColor="text1"/>
        </w:rPr>
        <w:t xml:space="preserve"> </w:t>
      </w:r>
      <w:r w:rsidRPr="00D64D0C">
        <w:rPr>
          <w:color w:val="000000" w:themeColor="text1"/>
        </w:rPr>
        <w:t xml:space="preserve">consecutive Saturdays, from </w:t>
      </w:r>
      <w:r w:rsidR="00C75F0F" w:rsidRPr="00D64D0C">
        <w:rPr>
          <w:color w:val="000000" w:themeColor="text1"/>
        </w:rPr>
        <w:t>July</w:t>
      </w:r>
      <w:r w:rsidRPr="00D64D0C">
        <w:rPr>
          <w:color w:val="000000" w:themeColor="text1"/>
        </w:rPr>
        <w:t xml:space="preserve"> </w:t>
      </w:r>
      <w:r w:rsidR="00D64D0C" w:rsidRPr="00D64D0C">
        <w:rPr>
          <w:color w:val="000000" w:themeColor="text1"/>
        </w:rPr>
        <w:t>-</w:t>
      </w:r>
      <w:r w:rsidRPr="00D64D0C">
        <w:rPr>
          <w:color w:val="000000" w:themeColor="text1"/>
        </w:rPr>
        <w:t xml:space="preserve"> September </w:t>
      </w:r>
      <w:r w:rsidR="00C75F0F" w:rsidRPr="00D64D0C">
        <w:rPr>
          <w:color w:val="000000" w:themeColor="text1"/>
        </w:rPr>
        <w:t>in Monrovia and Paynesville.</w:t>
      </w:r>
      <w:r w:rsidRPr="00D64D0C">
        <w:rPr>
          <w:color w:val="000000" w:themeColor="text1"/>
        </w:rPr>
        <w:t xml:space="preserve"> Youth participated in Cash for Work (</w:t>
      </w:r>
      <w:proofErr w:type="spellStart"/>
      <w:r w:rsidRPr="00D64D0C">
        <w:rPr>
          <w:color w:val="000000" w:themeColor="text1"/>
        </w:rPr>
        <w:t>CfW</w:t>
      </w:r>
      <w:proofErr w:type="spellEnd"/>
      <w:r w:rsidRPr="00D64D0C">
        <w:rPr>
          <w:color w:val="000000" w:themeColor="text1"/>
        </w:rPr>
        <w:t>) to complete a variety of clean-up activities in their communities and received US</w:t>
      </w:r>
      <w:r w:rsidR="00D64D0C" w:rsidRPr="00D64D0C">
        <w:rPr>
          <w:color w:val="000000" w:themeColor="text1"/>
        </w:rPr>
        <w:t>$ 5</w:t>
      </w:r>
      <w:r w:rsidRPr="00D64D0C">
        <w:rPr>
          <w:color w:val="000000" w:themeColor="text1"/>
        </w:rPr>
        <w:t xml:space="preserve"> per day</w:t>
      </w:r>
      <w:r w:rsidR="00D64D0C" w:rsidRPr="00D64D0C">
        <w:rPr>
          <w:color w:val="000000" w:themeColor="text1"/>
        </w:rPr>
        <w:t>, and lunch</w:t>
      </w:r>
      <w:r w:rsidRPr="00D64D0C">
        <w:rPr>
          <w:color w:val="000000" w:themeColor="text1"/>
        </w:rPr>
        <w:t xml:space="preserve"> and water</w:t>
      </w:r>
      <w:r w:rsidR="00C75F0F" w:rsidRPr="00D64D0C">
        <w:t>. Youth</w:t>
      </w:r>
      <w:r w:rsidR="00C75F0F" w:rsidRPr="00A862B2">
        <w:t xml:space="preserve"> also used the time to create awareness and educate their neighbours on waste disposal and management using printed materials developed by the </w:t>
      </w:r>
      <w:r w:rsidR="00043DA1">
        <w:t>P</w:t>
      </w:r>
      <w:r w:rsidR="00C75F0F" w:rsidRPr="00A862B2">
        <w:t xml:space="preserve">roject. Jingles were also recorded and aired before and during the exercise on Sky radio in Monrovia. </w:t>
      </w:r>
    </w:p>
    <w:p w14:paraId="38EE81B3" w14:textId="77777777" w:rsidR="0024511F" w:rsidRPr="00A862B2" w:rsidRDefault="0024511F" w:rsidP="00627A1C">
      <w:pPr>
        <w:ind w:left="-720"/>
        <w:jc w:val="both"/>
        <w:rPr>
          <w:i/>
        </w:rPr>
      </w:pPr>
    </w:p>
    <w:p w14:paraId="1F0129F6" w14:textId="495C16DF" w:rsidR="00627A1C" w:rsidRPr="00587FB4" w:rsidRDefault="00627A1C" w:rsidP="00627A1C">
      <w:pPr>
        <w:ind w:left="-720"/>
        <w:rPr>
          <w:b/>
          <w:i/>
        </w:rPr>
      </w:pPr>
      <w:r w:rsidRPr="00587FB4">
        <w:rPr>
          <w:b/>
          <w:i/>
          <w:color w:val="000000"/>
          <w:lang w:val="en-US" w:eastAsia="en-US"/>
        </w:rPr>
        <w:t>Indicate any additional analysis on how Gender Equality and Women’s Empowerment and/or Youth Inclusion and Responsiveness has been ensured under this Outcome</w:t>
      </w:r>
      <w:r w:rsidRPr="00587FB4">
        <w:rPr>
          <w:b/>
        </w:rPr>
        <w:t xml:space="preserve">: </w:t>
      </w:r>
      <w:r w:rsidRPr="00587FB4">
        <w:rPr>
          <w:b/>
          <w:i/>
        </w:rPr>
        <w:t>(1000</w:t>
      </w:r>
      <w:r w:rsidR="00587FB4">
        <w:rPr>
          <w:b/>
          <w:i/>
        </w:rPr>
        <w:t>-</w:t>
      </w:r>
      <w:r w:rsidRPr="00587FB4">
        <w:rPr>
          <w:b/>
          <w:i/>
        </w:rPr>
        <w:t>character limit)</w:t>
      </w:r>
    </w:p>
    <w:p w14:paraId="11A12E0A" w14:textId="77777777" w:rsidR="00495D72" w:rsidRPr="00A862B2" w:rsidRDefault="00495D72" w:rsidP="00627A1C">
      <w:pPr>
        <w:ind w:left="-720"/>
        <w:rPr>
          <w:b/>
        </w:rPr>
      </w:pPr>
    </w:p>
    <w:p w14:paraId="26A91557" w14:textId="757556FA" w:rsidR="007275D3" w:rsidRPr="00A862B2" w:rsidRDefault="007275D3" w:rsidP="00A862B2">
      <w:pPr>
        <w:ind w:left="-720"/>
        <w:jc w:val="both"/>
        <w:rPr>
          <w:b/>
          <w:i/>
        </w:rPr>
      </w:pPr>
      <w:r w:rsidRPr="00A862B2">
        <w:rPr>
          <w:iCs/>
        </w:rPr>
        <w:t xml:space="preserve">Youth inclusion and responsiveness </w:t>
      </w:r>
      <w:r w:rsidR="002D24AB" w:rsidRPr="00A862B2">
        <w:rPr>
          <w:iCs/>
        </w:rPr>
        <w:t>ha</w:t>
      </w:r>
      <w:r w:rsidR="002D24AB">
        <w:rPr>
          <w:iCs/>
        </w:rPr>
        <w:t>ve</w:t>
      </w:r>
      <w:r w:rsidR="002D24AB" w:rsidRPr="00A862B2">
        <w:rPr>
          <w:iCs/>
        </w:rPr>
        <w:t xml:space="preserve"> </w:t>
      </w:r>
      <w:r w:rsidRPr="00A862B2">
        <w:rPr>
          <w:iCs/>
        </w:rPr>
        <w:t>been an integral component of</w:t>
      </w:r>
      <w:r w:rsidRPr="00A862B2">
        <w:t xml:space="preserve"> </w:t>
      </w:r>
      <w:r w:rsidR="001E0D33">
        <w:t>the Project</w:t>
      </w:r>
      <w:r w:rsidRPr="00A862B2">
        <w:rPr>
          <w:iCs/>
        </w:rPr>
        <w:t xml:space="preserve"> implementation strategy by ensuring a cascade of skills transfer and capacity development intended to improve the socio-economic inclusion and participation of disadvantage</w:t>
      </w:r>
      <w:r w:rsidR="002D24AB">
        <w:rPr>
          <w:iCs/>
        </w:rPr>
        <w:t>d</w:t>
      </w:r>
      <w:r w:rsidRPr="00A862B2">
        <w:rPr>
          <w:iCs/>
        </w:rPr>
        <w:t xml:space="preserve"> youth communities across Monrovia. One of the most pressing problems in Liberia today is youth </w:t>
      </w:r>
      <w:r w:rsidRPr="00A862B2">
        <w:rPr>
          <w:iCs/>
          <w:lang w:val="en-US"/>
        </w:rPr>
        <w:t>un</w:t>
      </w:r>
      <w:r w:rsidRPr="00A862B2">
        <w:rPr>
          <w:iCs/>
        </w:rPr>
        <w:t>employment</w:t>
      </w:r>
      <w:r w:rsidRPr="00A862B2">
        <w:rPr>
          <w:iCs/>
          <w:lang w:val="en-US"/>
        </w:rPr>
        <w:t xml:space="preserve">, and </w:t>
      </w:r>
      <w:r w:rsidRPr="00A862B2">
        <w:rPr>
          <w:iCs/>
        </w:rPr>
        <w:t xml:space="preserve">data </w:t>
      </w:r>
      <w:r w:rsidRPr="00A862B2">
        <w:rPr>
          <w:iCs/>
          <w:lang w:val="en-US"/>
        </w:rPr>
        <w:t xml:space="preserve">collected from a variety of stakeholders and institutions </w:t>
      </w:r>
      <w:r w:rsidRPr="00A862B2">
        <w:rPr>
          <w:iCs/>
        </w:rPr>
        <w:t>paint</w:t>
      </w:r>
      <w:r w:rsidRPr="00A862B2">
        <w:rPr>
          <w:iCs/>
          <w:lang w:val="en-US"/>
        </w:rPr>
        <w:t>s</w:t>
      </w:r>
      <w:r w:rsidRPr="00A862B2">
        <w:rPr>
          <w:iCs/>
        </w:rPr>
        <w:t xml:space="preserve"> an extremely bleak picture</w:t>
      </w:r>
      <w:r w:rsidRPr="00A862B2">
        <w:rPr>
          <w:iCs/>
          <w:lang w:val="en-US"/>
        </w:rPr>
        <w:t>.</w:t>
      </w:r>
      <w:r w:rsidRPr="00A862B2">
        <w:rPr>
          <w:iCs/>
        </w:rPr>
        <w:t xml:space="preserve"> At present, of the estimated population aged 15-36, as high as about 85 percent are unemployed</w:t>
      </w:r>
      <w:r w:rsidRPr="00A862B2">
        <w:rPr>
          <w:iCs/>
          <w:lang w:val="en-US"/>
        </w:rPr>
        <w:t>.</w:t>
      </w:r>
      <w:r w:rsidRPr="00A862B2">
        <w:rPr>
          <w:bCs/>
          <w:iCs/>
          <w:vertAlign w:val="superscript"/>
        </w:rPr>
        <w:footnoteReference w:id="1"/>
      </w:r>
      <w:r w:rsidRPr="00A862B2">
        <w:rPr>
          <w:iCs/>
          <w:lang w:val="en-US"/>
        </w:rPr>
        <w:t xml:space="preserve"> </w:t>
      </w:r>
      <w:r w:rsidRPr="00A862B2">
        <w:rPr>
          <w:iCs/>
        </w:rPr>
        <w:t xml:space="preserve">Youth poverty and exclusion </w:t>
      </w:r>
      <w:r w:rsidRPr="00A862B2">
        <w:rPr>
          <w:iCs/>
          <w:lang w:val="en-US"/>
        </w:rPr>
        <w:t>is</w:t>
      </w:r>
      <w:r w:rsidRPr="00A862B2">
        <w:rPr>
          <w:iCs/>
        </w:rPr>
        <w:t xml:space="preserve"> widespread and increasing</w:t>
      </w:r>
      <w:r w:rsidRPr="00A862B2">
        <w:rPr>
          <w:iCs/>
          <w:lang w:val="en-US"/>
        </w:rPr>
        <w:t xml:space="preserve">, especially amongst those groups that are illiterate or semi-educated, unskilled, and unemployed. There are limited socio-economic opportunities for these groups of youth, and they are recognized as marginalized and at-risk. At-risk girls and women have benefited from job placement and vocational skill-training in </w:t>
      </w:r>
      <w:r w:rsidR="001E0D33">
        <w:rPr>
          <w:iCs/>
          <w:lang w:val="en-US"/>
        </w:rPr>
        <w:t xml:space="preserve">a </w:t>
      </w:r>
      <w:r w:rsidRPr="00A862B2">
        <w:rPr>
          <w:iCs/>
          <w:lang w:val="en-US"/>
        </w:rPr>
        <w:t xml:space="preserve">variety of </w:t>
      </w:r>
      <w:r w:rsidR="00A92A40" w:rsidRPr="00A862B2">
        <w:rPr>
          <w:iCs/>
          <w:lang w:val="en-US"/>
        </w:rPr>
        <w:t>blue-collar</w:t>
      </w:r>
      <w:r w:rsidRPr="00A862B2">
        <w:rPr>
          <w:iCs/>
          <w:lang w:val="en-US"/>
        </w:rPr>
        <w:t xml:space="preserve"> sectors including plumbing, cosmetology, </w:t>
      </w:r>
      <w:r w:rsidR="001E0D33">
        <w:rPr>
          <w:iCs/>
          <w:lang w:val="en-US"/>
        </w:rPr>
        <w:t xml:space="preserve">and </w:t>
      </w:r>
      <w:r w:rsidRPr="00A862B2">
        <w:rPr>
          <w:iCs/>
          <w:lang w:val="en-US"/>
        </w:rPr>
        <w:t>tailoring. Attached to the capacity support provided to strengthen girls</w:t>
      </w:r>
      <w:r w:rsidR="00B64430">
        <w:rPr>
          <w:iCs/>
          <w:lang w:val="en-US"/>
        </w:rPr>
        <w:t>’</w:t>
      </w:r>
      <w:r w:rsidRPr="00A862B2">
        <w:rPr>
          <w:iCs/>
          <w:lang w:val="en-US"/>
        </w:rPr>
        <w:t xml:space="preserve"> and women</w:t>
      </w:r>
      <w:r w:rsidR="00B64430">
        <w:rPr>
          <w:iCs/>
          <w:lang w:val="en-US"/>
        </w:rPr>
        <w:t>’s</w:t>
      </w:r>
      <w:r w:rsidRPr="00A862B2">
        <w:rPr>
          <w:iCs/>
          <w:lang w:val="en-US"/>
        </w:rPr>
        <w:t xml:space="preserve"> livelihoods and employment opportunities is the formulation of VSLAs and community cooperatives designed to transition women and girls to sustainable small-business ownership</w:t>
      </w:r>
      <w:r w:rsidRPr="00A862B2">
        <w:rPr>
          <w:b/>
          <w:iCs/>
          <w:lang w:val="en-US"/>
        </w:rPr>
        <w:t>.</w:t>
      </w:r>
    </w:p>
    <w:p w14:paraId="3F232DB6" w14:textId="77777777" w:rsidR="00F5504F" w:rsidRPr="00A862B2" w:rsidRDefault="00F5504F" w:rsidP="0078600B">
      <w:pPr>
        <w:rPr>
          <w:b/>
        </w:rPr>
      </w:pPr>
    </w:p>
    <w:p w14:paraId="439D70B7" w14:textId="77777777" w:rsidR="00206D45" w:rsidRPr="00A862B2" w:rsidRDefault="00206D45" w:rsidP="00206D45">
      <w:pPr>
        <w:rPr>
          <w:b/>
        </w:rPr>
      </w:pPr>
    </w:p>
    <w:p w14:paraId="09F9EEE8" w14:textId="77777777" w:rsidR="00997347" w:rsidRPr="00A862B2" w:rsidRDefault="00206D45" w:rsidP="00206D45">
      <w:pPr>
        <w:ind w:hanging="810"/>
        <w:jc w:val="both"/>
        <w:rPr>
          <w:b/>
          <w:u w:val="single"/>
        </w:rPr>
      </w:pPr>
      <w:r w:rsidRPr="00A862B2">
        <w:rPr>
          <w:b/>
          <w:u w:val="single"/>
        </w:rPr>
        <w:t xml:space="preserve">PART III: CROSS-CUTTING ISSUES </w:t>
      </w:r>
    </w:p>
    <w:p w14:paraId="544EE643" w14:textId="77777777" w:rsidR="00997347" w:rsidRPr="00A862B2"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63270" w:rsidRPr="00A862B2" w14:paraId="21A6C86F" w14:textId="77777777" w:rsidTr="00477944">
        <w:tc>
          <w:tcPr>
            <w:tcW w:w="4230" w:type="dxa"/>
            <w:shd w:val="clear" w:color="auto" w:fill="auto"/>
          </w:tcPr>
          <w:p w14:paraId="035C8A95" w14:textId="69C7CA14" w:rsidR="00063270" w:rsidRPr="00A862B2" w:rsidRDefault="00063270" w:rsidP="00063270">
            <w:r w:rsidRPr="00A862B2">
              <w:rPr>
                <w:b/>
                <w:bCs/>
                <w:u w:val="single"/>
              </w:rPr>
              <w:t>Monitoring</w:t>
            </w:r>
            <w:r w:rsidRPr="00A862B2">
              <w:rPr>
                <w:b/>
                <w:bCs/>
              </w:rPr>
              <w:t>:</w:t>
            </w:r>
            <w:r w:rsidRPr="00A862B2">
              <w:rPr>
                <w:bCs/>
              </w:rPr>
              <w:t xml:space="preserve"> </w:t>
            </w:r>
            <w:r w:rsidRPr="00A862B2">
              <w:t>Please list monitoring activities undertaken in the reporting period (1000-character limit)</w:t>
            </w:r>
          </w:p>
          <w:p w14:paraId="103D1F31" w14:textId="77777777" w:rsidR="00063270" w:rsidRPr="00A862B2" w:rsidRDefault="00063270" w:rsidP="00063270">
            <w:pPr>
              <w:rPr>
                <w:iCs/>
              </w:rPr>
            </w:pPr>
          </w:p>
          <w:p w14:paraId="13E262F6" w14:textId="77777777" w:rsidR="00063270" w:rsidRPr="00A862B2" w:rsidRDefault="00063270" w:rsidP="000C0090">
            <w:pPr>
              <w:numPr>
                <w:ilvl w:val="0"/>
                <w:numId w:val="4"/>
              </w:numPr>
              <w:rPr>
                <w:iCs/>
              </w:rPr>
            </w:pPr>
            <w:r w:rsidRPr="00A862B2">
              <w:rPr>
                <w:iCs/>
              </w:rPr>
              <w:t>Joint Vocational Skills Monitoring was conducted in 15 January and March 2020.</w:t>
            </w:r>
          </w:p>
          <w:p w14:paraId="6EFB27C5" w14:textId="77777777" w:rsidR="00063270" w:rsidRPr="00A862B2" w:rsidRDefault="00063270" w:rsidP="00063270">
            <w:pPr>
              <w:rPr>
                <w:iCs/>
              </w:rPr>
            </w:pPr>
          </w:p>
          <w:p w14:paraId="34319772" w14:textId="77777777" w:rsidR="00063270" w:rsidRPr="00A862B2" w:rsidRDefault="00063270" w:rsidP="000C0090">
            <w:pPr>
              <w:numPr>
                <w:ilvl w:val="0"/>
                <w:numId w:val="4"/>
              </w:numPr>
            </w:pPr>
            <w:r w:rsidRPr="00A862B2">
              <w:t>Business Management Training Monitoring conducted on 21 and 28 February 2020; and on 9 March 2020.</w:t>
            </w:r>
          </w:p>
          <w:p w14:paraId="6D8BB306" w14:textId="77777777" w:rsidR="00063270" w:rsidRPr="00A862B2" w:rsidRDefault="00063270" w:rsidP="00063270">
            <w:pPr>
              <w:rPr>
                <w:iCs/>
              </w:rPr>
            </w:pPr>
          </w:p>
          <w:p w14:paraId="235FD961" w14:textId="77777777" w:rsidR="00063270" w:rsidRPr="00A862B2" w:rsidRDefault="00063270" w:rsidP="000C0090">
            <w:pPr>
              <w:numPr>
                <w:ilvl w:val="0"/>
                <w:numId w:val="4"/>
              </w:numPr>
              <w:rPr>
                <w:iCs/>
              </w:rPr>
            </w:pPr>
            <w:r w:rsidRPr="00A862B2">
              <w:rPr>
                <w:iCs/>
              </w:rPr>
              <w:t>Verification Monitoring: 23 – 24 January 2020; and 5 and 6 February 2020.</w:t>
            </w:r>
          </w:p>
          <w:p w14:paraId="2F231CCE" w14:textId="77777777" w:rsidR="00063270" w:rsidRPr="00A862B2" w:rsidRDefault="00063270" w:rsidP="00063270"/>
          <w:p w14:paraId="7114D802" w14:textId="77777777" w:rsidR="00063270" w:rsidRPr="00A862B2" w:rsidRDefault="00063270" w:rsidP="000C0090">
            <w:pPr>
              <w:numPr>
                <w:ilvl w:val="0"/>
                <w:numId w:val="4"/>
              </w:numPr>
              <w:rPr>
                <w:iCs/>
              </w:rPr>
            </w:pPr>
            <w:r w:rsidRPr="00A862B2">
              <w:t xml:space="preserve">Strategic Working Session on Project Progress and Challenges; 13 March 2020; and 20 February 2020.  </w:t>
            </w:r>
          </w:p>
          <w:p w14:paraId="7DCF8900" w14:textId="77777777" w:rsidR="00063270" w:rsidRPr="00A862B2" w:rsidRDefault="00063270" w:rsidP="00063270">
            <w:pPr>
              <w:pStyle w:val="ListParagraph"/>
              <w:rPr>
                <w:iCs/>
              </w:rPr>
            </w:pPr>
          </w:p>
          <w:p w14:paraId="3DAF013E" w14:textId="09FF2644" w:rsidR="00063270" w:rsidRPr="00033156" w:rsidRDefault="00063270" w:rsidP="000C0090">
            <w:pPr>
              <w:numPr>
                <w:ilvl w:val="0"/>
                <w:numId w:val="4"/>
              </w:numPr>
              <w:rPr>
                <w:iCs/>
              </w:rPr>
            </w:pPr>
            <w:r w:rsidRPr="00033156">
              <w:rPr>
                <w:iCs/>
              </w:rPr>
              <w:t>Tool kit distribution and monitoring exercise conducted:</w:t>
            </w:r>
          </w:p>
          <w:p w14:paraId="3DA6EA42" w14:textId="77777777" w:rsidR="00063270" w:rsidRPr="00A862B2" w:rsidRDefault="00063270" w:rsidP="00063270"/>
        </w:tc>
        <w:tc>
          <w:tcPr>
            <w:tcW w:w="5940" w:type="dxa"/>
            <w:shd w:val="clear" w:color="auto" w:fill="auto"/>
          </w:tcPr>
          <w:p w14:paraId="4775C895" w14:textId="77777777" w:rsidR="00063270" w:rsidRPr="00A862B2" w:rsidRDefault="00063270" w:rsidP="00063270">
            <w:r w:rsidRPr="00A862B2">
              <w:t xml:space="preserve">Do outcome indicators have baselines? </w:t>
            </w:r>
          </w:p>
          <w:p w14:paraId="0C9CD778" w14:textId="77777777" w:rsidR="00063270" w:rsidRPr="00A862B2" w:rsidRDefault="00063270" w:rsidP="00063270"/>
          <w:p w14:paraId="7802DA2D" w14:textId="77777777" w:rsidR="00063270" w:rsidRPr="00A862B2" w:rsidRDefault="00063270" w:rsidP="00063270">
            <w:pPr>
              <w:rPr>
                <w:b/>
              </w:rPr>
            </w:pPr>
            <w:r w:rsidRPr="00A862B2">
              <w:rPr>
                <w:b/>
              </w:rPr>
              <w:t>YES</w:t>
            </w:r>
          </w:p>
          <w:p w14:paraId="2078EA68" w14:textId="1279ADEC" w:rsidR="00063270" w:rsidRPr="00A862B2" w:rsidRDefault="00063270" w:rsidP="00063270"/>
          <w:p w14:paraId="59C56D93" w14:textId="77777777" w:rsidR="00063270" w:rsidRPr="00A862B2" w:rsidRDefault="00063270" w:rsidP="00063270"/>
          <w:p w14:paraId="0609796C" w14:textId="77777777" w:rsidR="00063270" w:rsidRPr="00A862B2" w:rsidRDefault="00063270" w:rsidP="00063270"/>
          <w:p w14:paraId="3483CF9E" w14:textId="77777777" w:rsidR="00063270" w:rsidRPr="00A862B2" w:rsidRDefault="00063270" w:rsidP="00063270">
            <w:r w:rsidRPr="00A862B2">
              <w:t xml:space="preserve">Has the project launched perception surveys or other community-based data collection? </w:t>
            </w:r>
          </w:p>
          <w:p w14:paraId="3FC0C0C2" w14:textId="77777777" w:rsidR="00063270" w:rsidRPr="00A862B2" w:rsidRDefault="00063270" w:rsidP="00063270"/>
          <w:p w14:paraId="60AF9C94" w14:textId="77777777" w:rsidR="00063270" w:rsidRPr="00A862B2" w:rsidRDefault="00063270" w:rsidP="00063270">
            <w:pPr>
              <w:rPr>
                <w:b/>
              </w:rPr>
            </w:pPr>
            <w:r w:rsidRPr="00A862B2">
              <w:rPr>
                <w:b/>
              </w:rPr>
              <w:t>NO</w:t>
            </w:r>
          </w:p>
          <w:p w14:paraId="0F88DC07" w14:textId="77777777" w:rsidR="00063270" w:rsidRDefault="00063270" w:rsidP="00063270"/>
          <w:p w14:paraId="590B7D65" w14:textId="77777777" w:rsidR="00033156" w:rsidRDefault="00033156" w:rsidP="00063270"/>
          <w:p w14:paraId="4529F6C2" w14:textId="77777777" w:rsidR="00033156" w:rsidRDefault="00033156" w:rsidP="00063270"/>
          <w:p w14:paraId="047BBC25" w14:textId="77777777" w:rsidR="00033156" w:rsidRDefault="00033156" w:rsidP="00063270"/>
          <w:p w14:paraId="49FF9F25" w14:textId="77777777" w:rsidR="00033156" w:rsidRDefault="00033156" w:rsidP="00063270"/>
          <w:p w14:paraId="1F765CD9" w14:textId="77777777" w:rsidR="00033156" w:rsidRDefault="00033156" w:rsidP="00063270"/>
          <w:p w14:paraId="6BC42FF4" w14:textId="77777777" w:rsidR="00033156" w:rsidRDefault="00033156" w:rsidP="00063270"/>
          <w:p w14:paraId="4C16CC41" w14:textId="6425CE04" w:rsidR="00033156" w:rsidRPr="00A862B2" w:rsidRDefault="00033156" w:rsidP="00063270"/>
        </w:tc>
      </w:tr>
      <w:tr w:rsidR="00063270" w:rsidRPr="00A862B2" w14:paraId="4CA7E9BE" w14:textId="77777777" w:rsidTr="00477944">
        <w:tc>
          <w:tcPr>
            <w:tcW w:w="4230" w:type="dxa"/>
            <w:shd w:val="clear" w:color="auto" w:fill="auto"/>
          </w:tcPr>
          <w:p w14:paraId="1664169B" w14:textId="77777777" w:rsidR="00063270" w:rsidRPr="00A862B2" w:rsidRDefault="00063270" w:rsidP="00063270">
            <w:r w:rsidRPr="00A862B2">
              <w:rPr>
                <w:b/>
                <w:bCs/>
                <w:u w:val="single"/>
              </w:rPr>
              <w:lastRenderedPageBreak/>
              <w:t>Evaluation:</w:t>
            </w:r>
            <w:r w:rsidRPr="00A862B2">
              <w:t xml:space="preserve"> Has an evaluation been conducted during the reporting period?</w:t>
            </w:r>
          </w:p>
          <w:p w14:paraId="18C3E857" w14:textId="77777777" w:rsidR="00063270" w:rsidRPr="00A862B2" w:rsidRDefault="00063270" w:rsidP="00063270"/>
          <w:p w14:paraId="2EB515A4" w14:textId="77777777" w:rsidR="00063270" w:rsidRPr="00A862B2" w:rsidRDefault="00063270" w:rsidP="00063270">
            <w:pPr>
              <w:rPr>
                <w:b/>
              </w:rPr>
            </w:pPr>
            <w:r w:rsidRPr="00A862B2">
              <w:rPr>
                <w:b/>
              </w:rPr>
              <w:t>NO</w:t>
            </w:r>
          </w:p>
        </w:tc>
        <w:tc>
          <w:tcPr>
            <w:tcW w:w="5940" w:type="dxa"/>
            <w:shd w:val="clear" w:color="auto" w:fill="auto"/>
          </w:tcPr>
          <w:p w14:paraId="740C0BB8" w14:textId="763177F7" w:rsidR="00063270" w:rsidRPr="00A862B2" w:rsidRDefault="00063270" w:rsidP="00063270">
            <w:pPr>
              <w:rPr>
                <w:bCs/>
              </w:rPr>
            </w:pPr>
            <w:r w:rsidRPr="00A862B2">
              <w:t xml:space="preserve">Evaluation budget (response required):  </w:t>
            </w:r>
            <w:r w:rsidRPr="00A862B2">
              <w:rPr>
                <w:bCs/>
              </w:rPr>
              <w:t>$15,000</w:t>
            </w:r>
            <w:r w:rsidR="002C4F29">
              <w:rPr>
                <w:bCs/>
              </w:rPr>
              <w:t xml:space="preserve"> as per the Pro</w:t>
            </w:r>
            <w:r w:rsidR="007907B9">
              <w:rPr>
                <w:bCs/>
              </w:rPr>
              <w:t>ject D</w:t>
            </w:r>
            <w:r w:rsidR="002C4F29">
              <w:rPr>
                <w:bCs/>
              </w:rPr>
              <w:t>oc</w:t>
            </w:r>
            <w:r w:rsidR="007907B9">
              <w:rPr>
                <w:bCs/>
              </w:rPr>
              <w:t>ument</w:t>
            </w:r>
            <w:r w:rsidR="002C4F29">
              <w:rPr>
                <w:bCs/>
              </w:rPr>
              <w:t>. However, the estimated procurement cost of 1 national and 1 international is $27,000.00</w:t>
            </w:r>
            <w:r w:rsidR="00D40BC9">
              <w:rPr>
                <w:bCs/>
              </w:rPr>
              <w:t xml:space="preserve">. The </w:t>
            </w:r>
            <w:r w:rsidR="00791C1D">
              <w:rPr>
                <w:bCs/>
              </w:rPr>
              <w:t xml:space="preserve">Project </w:t>
            </w:r>
            <w:r w:rsidR="00791C1D">
              <w:t>is</w:t>
            </w:r>
            <w:r w:rsidR="00D40BC9" w:rsidRPr="00D40BC9">
              <w:rPr>
                <w:bCs/>
              </w:rPr>
              <w:t xml:space="preserve"> </w:t>
            </w:r>
            <w:r w:rsidR="00D40BC9">
              <w:rPr>
                <w:bCs/>
              </w:rPr>
              <w:t>working to</w:t>
            </w:r>
            <w:r w:rsidR="00D40BC9" w:rsidRPr="00D40BC9">
              <w:rPr>
                <w:bCs/>
              </w:rPr>
              <w:t xml:space="preserve"> find a solution</w:t>
            </w:r>
          </w:p>
          <w:p w14:paraId="0D2A7534" w14:textId="77777777" w:rsidR="00063270" w:rsidRPr="00A862B2" w:rsidRDefault="00063270" w:rsidP="00063270"/>
          <w:p w14:paraId="30DEF9F9" w14:textId="77777777" w:rsidR="00063270" w:rsidRPr="00A862B2" w:rsidRDefault="00063270" w:rsidP="00063270">
            <w:r w:rsidRPr="00A862B2">
              <w:t xml:space="preserve">If project will end in next six months, describe the evaluation preparations </w:t>
            </w:r>
            <w:r w:rsidRPr="00A862B2">
              <w:rPr>
                <w:i/>
              </w:rPr>
              <w:t>(1500-character limit)</w:t>
            </w:r>
            <w:r w:rsidRPr="00A862B2">
              <w:t xml:space="preserve">: </w:t>
            </w:r>
          </w:p>
          <w:p w14:paraId="75289421" w14:textId="77777777" w:rsidR="00063270" w:rsidRPr="00A862B2" w:rsidRDefault="00063270" w:rsidP="00063270"/>
          <w:p w14:paraId="770D19E9" w14:textId="42C0CCEB" w:rsidR="00063270" w:rsidRPr="00A862B2" w:rsidRDefault="00063270" w:rsidP="00F42013">
            <w:r w:rsidRPr="00A862B2">
              <w:t xml:space="preserve">Preparations for recruitment of </w:t>
            </w:r>
            <w:r w:rsidR="000C751D">
              <w:t xml:space="preserve">a </w:t>
            </w:r>
            <w:r w:rsidRPr="00A862B2">
              <w:t>national and international consultant</w:t>
            </w:r>
            <w:r w:rsidR="000C751D">
              <w:t>s</w:t>
            </w:r>
            <w:r w:rsidRPr="00A862B2">
              <w:t xml:space="preserve"> underway. </w:t>
            </w:r>
            <w:r w:rsidR="00033156">
              <w:t>Term</w:t>
            </w:r>
            <w:r w:rsidR="00AC6F26">
              <w:t>s</w:t>
            </w:r>
            <w:r w:rsidR="00033156">
              <w:t xml:space="preserve"> of Reference ha</w:t>
            </w:r>
            <w:r w:rsidR="00AC6F26">
              <w:t>ve</w:t>
            </w:r>
            <w:r w:rsidR="00033156">
              <w:t xml:space="preserve"> been shared with the LMPTF</w:t>
            </w:r>
            <w:r w:rsidR="00596FE2">
              <w:t>/</w:t>
            </w:r>
            <w:r w:rsidR="00430D83">
              <w:t>PBF</w:t>
            </w:r>
            <w:r w:rsidR="00033156">
              <w:t xml:space="preserve"> </w:t>
            </w:r>
            <w:r w:rsidR="002C4F29">
              <w:t>Secretariat and</w:t>
            </w:r>
            <w:r w:rsidR="00033156">
              <w:t xml:space="preserve"> their inputs made. </w:t>
            </w:r>
            <w:r w:rsidR="0091544C">
              <w:t>The Project expects to commission the assessment in Feb. 2021.</w:t>
            </w:r>
          </w:p>
        </w:tc>
      </w:tr>
      <w:tr w:rsidR="00063270" w:rsidRPr="00A862B2" w14:paraId="456E1380" w14:textId="77777777" w:rsidTr="00477944">
        <w:tc>
          <w:tcPr>
            <w:tcW w:w="4230" w:type="dxa"/>
            <w:shd w:val="clear" w:color="auto" w:fill="auto"/>
          </w:tcPr>
          <w:p w14:paraId="60BEFFA7" w14:textId="77777777" w:rsidR="00063270" w:rsidRPr="00A862B2" w:rsidRDefault="00063270" w:rsidP="00063270">
            <w:r w:rsidRPr="00A862B2">
              <w:rPr>
                <w:b/>
                <w:bCs/>
                <w:u w:val="single"/>
              </w:rPr>
              <w:t>Catalytic effects (financial)</w:t>
            </w:r>
            <w:r w:rsidRPr="00A862B2">
              <w:rPr>
                <w:b/>
                <w:bCs/>
              </w:rPr>
              <w:t>:</w:t>
            </w:r>
            <w:r w:rsidRPr="00A862B2">
              <w:t xml:space="preserve"> Indicate name of funding agent and amount of additional non-PBF funding support that has been leveraged by the project. </w:t>
            </w:r>
          </w:p>
        </w:tc>
        <w:tc>
          <w:tcPr>
            <w:tcW w:w="5940" w:type="dxa"/>
            <w:shd w:val="clear" w:color="auto" w:fill="auto"/>
          </w:tcPr>
          <w:p w14:paraId="54415705" w14:textId="7606FD88" w:rsidR="00063270" w:rsidRPr="00A862B2" w:rsidRDefault="00063270" w:rsidP="00063270">
            <w:r w:rsidRPr="00A862B2">
              <w:t>Name of funder:          Amount:</w:t>
            </w:r>
          </w:p>
          <w:p w14:paraId="4BDACA32" w14:textId="77777777" w:rsidR="00063270" w:rsidRPr="00A862B2" w:rsidRDefault="00063270" w:rsidP="00063270">
            <w:r w:rsidRPr="00A862B2">
              <w:t>CAFOD                      $100,000.00</w:t>
            </w:r>
          </w:p>
          <w:p w14:paraId="090410FD" w14:textId="62D8DBD4" w:rsidR="00F511C3" w:rsidRDefault="00EF3E5C" w:rsidP="00F511C3">
            <w:r w:rsidRPr="00A862B2">
              <w:t>UNDP                        $42,194.25</w:t>
            </w:r>
            <w:r w:rsidR="0027740D">
              <w:t xml:space="preserve"> </w:t>
            </w:r>
          </w:p>
          <w:p w14:paraId="69B45001" w14:textId="1218D549" w:rsidR="00B16CAD" w:rsidRPr="00A862B2" w:rsidRDefault="00F511C3" w:rsidP="00F511C3">
            <w:r>
              <w:t>UNFPA:</w:t>
            </w:r>
            <w:r w:rsidR="00B16CAD">
              <w:t xml:space="preserve">                    $ 95,000 </w:t>
            </w:r>
          </w:p>
        </w:tc>
      </w:tr>
      <w:tr w:rsidR="00063270" w:rsidRPr="00A862B2" w14:paraId="2112A508" w14:textId="77777777" w:rsidTr="00477944">
        <w:tc>
          <w:tcPr>
            <w:tcW w:w="4230" w:type="dxa"/>
            <w:shd w:val="clear" w:color="auto" w:fill="auto"/>
          </w:tcPr>
          <w:p w14:paraId="2AEEE6E0" w14:textId="77777777" w:rsidR="00063270" w:rsidRPr="00A862B2" w:rsidRDefault="00063270" w:rsidP="00063270">
            <w:r w:rsidRPr="00A862B2">
              <w:rPr>
                <w:b/>
                <w:bCs/>
                <w:u w:val="single"/>
              </w:rPr>
              <w:t>Other:</w:t>
            </w:r>
            <w:r w:rsidRPr="00A862B2">
              <w:t xml:space="preserve"> Are there any other issues concerning project implementation that you want to share, including any capacity needs of the recipient organizations? </w:t>
            </w:r>
            <w:r w:rsidRPr="00A862B2">
              <w:rPr>
                <w:i/>
                <w:iCs/>
              </w:rPr>
              <w:t>(1500-character limit)</w:t>
            </w:r>
          </w:p>
          <w:p w14:paraId="2A1BDCE5" w14:textId="77777777" w:rsidR="00063270" w:rsidRPr="00A862B2" w:rsidRDefault="00063270" w:rsidP="00063270"/>
          <w:p w14:paraId="09F5F58B" w14:textId="77777777" w:rsidR="00063270" w:rsidRPr="00A862B2" w:rsidRDefault="00063270" w:rsidP="00063270">
            <w:pPr>
              <w:rPr>
                <w:bCs/>
                <w:u w:val="single"/>
              </w:rPr>
            </w:pPr>
          </w:p>
        </w:tc>
        <w:tc>
          <w:tcPr>
            <w:tcW w:w="5940" w:type="dxa"/>
            <w:shd w:val="clear" w:color="auto" w:fill="auto"/>
          </w:tcPr>
          <w:p w14:paraId="3BD97963" w14:textId="176F9C45" w:rsidR="000202C7" w:rsidRPr="00A862B2" w:rsidRDefault="00B16CAD" w:rsidP="000202C7">
            <w:pPr>
              <w:jc w:val="both"/>
            </w:pPr>
            <w:r w:rsidRPr="00A862B2">
              <w:t xml:space="preserve">As a result of prevailing </w:t>
            </w:r>
            <w:r w:rsidR="00363DF6">
              <w:t xml:space="preserve">COVID-19 </w:t>
            </w:r>
            <w:r w:rsidRPr="00A862B2">
              <w:t xml:space="preserve">global health </w:t>
            </w:r>
            <w:r w:rsidR="00363DF6">
              <w:t>pandemic</w:t>
            </w:r>
            <w:r w:rsidRPr="00A862B2">
              <w:t xml:space="preserve">, project implementation has slowed down in response to nation-wide movement restrictions. However, continued technical support of LMPTF Secretariat has </w:t>
            </w:r>
            <w:r>
              <w:t xml:space="preserve">enhanced project implementation. </w:t>
            </w:r>
            <w:r w:rsidR="00363DF6">
              <w:t xml:space="preserve">A </w:t>
            </w:r>
            <w:r w:rsidRPr="00A862B2">
              <w:t>No</w:t>
            </w:r>
            <w:r w:rsidR="00363DF6">
              <w:t>-</w:t>
            </w:r>
            <w:r w:rsidRPr="00A862B2">
              <w:t xml:space="preserve">Cost Extension </w:t>
            </w:r>
            <w:r>
              <w:t>granted by PBSO helped to accelerate implementation of residual activities.</w:t>
            </w:r>
            <w:r w:rsidRPr="00A862B2">
              <w:t xml:space="preserve">  </w:t>
            </w:r>
            <w:r>
              <w:t>The p</w:t>
            </w:r>
            <w:r w:rsidRPr="00A862B2">
              <w:t>roject was</w:t>
            </w:r>
            <w:r>
              <w:t xml:space="preserve"> initially </w:t>
            </w:r>
            <w:r w:rsidRPr="00A862B2">
              <w:t xml:space="preserve">faced with coordination issue with national counterparts. </w:t>
            </w:r>
            <w:r w:rsidR="006D4D6F" w:rsidRPr="00A862B2">
              <w:t>However,</w:t>
            </w:r>
            <w:r w:rsidRPr="00A862B2">
              <w:t xml:space="preserve"> a partner meeting held in December</w:t>
            </w:r>
            <w:r>
              <w:t xml:space="preserve"> </w:t>
            </w:r>
            <w:r w:rsidR="006D4D6F">
              <w:t xml:space="preserve">2019 </w:t>
            </w:r>
            <w:r w:rsidR="006D4D6F" w:rsidRPr="00A862B2">
              <w:t>and</w:t>
            </w:r>
            <w:r w:rsidRPr="00A862B2">
              <w:t xml:space="preserve"> </w:t>
            </w:r>
            <w:r w:rsidR="006D4D6F" w:rsidRPr="00A862B2">
              <w:t xml:space="preserve">February </w:t>
            </w:r>
            <w:r w:rsidR="006D4D6F">
              <w:t>2020</w:t>
            </w:r>
            <w:r>
              <w:t xml:space="preserve">, following the conduct of an evaluability </w:t>
            </w:r>
            <w:r w:rsidR="006D4D6F">
              <w:t>assessment addressed</w:t>
            </w:r>
            <w:r w:rsidRPr="00A862B2">
              <w:t xml:space="preserve"> issues relating to roles and responsibilities and overall implementation challenges</w:t>
            </w:r>
            <w:r w:rsidR="000202C7">
              <w:t>.</w:t>
            </w:r>
          </w:p>
        </w:tc>
      </w:tr>
    </w:tbl>
    <w:p w14:paraId="509D177D" w14:textId="77777777" w:rsidR="00673D6E" w:rsidRPr="00A862B2" w:rsidRDefault="00673D6E" w:rsidP="00E76CA1">
      <w:pPr>
        <w:rPr>
          <w:b/>
        </w:rPr>
      </w:pPr>
    </w:p>
    <w:p w14:paraId="3536F884" w14:textId="39AF0656" w:rsidR="001B54AC" w:rsidRPr="00A862B2" w:rsidRDefault="00E83A40" w:rsidP="007D4AF7">
      <w:pPr>
        <w:ind w:left="-709"/>
        <w:rPr>
          <w:b/>
          <w:u w:val="single"/>
        </w:rPr>
      </w:pPr>
      <w:r w:rsidRPr="00A862B2">
        <w:rPr>
          <w:b/>
          <w:u w:val="single"/>
        </w:rPr>
        <w:t>PART IV: COVID-19</w:t>
      </w:r>
    </w:p>
    <w:p w14:paraId="02781BF2" w14:textId="0FFB9ED8" w:rsidR="00E83A40" w:rsidRPr="00A862B2" w:rsidRDefault="00E83A40" w:rsidP="007D4AF7">
      <w:pPr>
        <w:ind w:left="-709"/>
        <w:rPr>
          <w:b/>
          <w:u w:val="single"/>
        </w:rPr>
      </w:pPr>
      <w:r w:rsidRPr="00A862B2">
        <w:rPr>
          <w:i/>
          <w:iCs/>
        </w:rPr>
        <w:t>Please respond to these questions if the project underwent any monetary or non-monetary adjustments due to the COVID-19 pandemic</w:t>
      </w:r>
      <w:r w:rsidR="00C70E7A" w:rsidRPr="00A862B2">
        <w:rPr>
          <w:i/>
          <w:iCs/>
        </w:rPr>
        <w:t>.</w:t>
      </w:r>
    </w:p>
    <w:p w14:paraId="4AE5D756" w14:textId="77777777" w:rsidR="004E3B3E" w:rsidRPr="00A862B2" w:rsidRDefault="004E3B3E" w:rsidP="007D4AF7">
      <w:pPr>
        <w:ind w:left="-709"/>
      </w:pPr>
    </w:p>
    <w:p w14:paraId="2BA56957" w14:textId="7BCBD29F" w:rsidR="00E83A40" w:rsidRPr="00A862B2" w:rsidRDefault="00257569" w:rsidP="007D4AF7">
      <w:pPr>
        <w:pStyle w:val="ListParagraph"/>
        <w:numPr>
          <w:ilvl w:val="0"/>
          <w:numId w:val="3"/>
        </w:numPr>
        <w:ind w:left="-709"/>
      </w:pPr>
      <w:r w:rsidRPr="00A862B2">
        <w:t xml:space="preserve">Monetary adjustments: </w:t>
      </w:r>
      <w:r w:rsidR="00E83A40" w:rsidRPr="00A862B2">
        <w:t>Please indicate the total amount in USD of adjustments due to COVID-19:</w:t>
      </w:r>
    </w:p>
    <w:p w14:paraId="766D8856" w14:textId="77777777" w:rsidR="00E83A40" w:rsidRPr="00A862B2" w:rsidRDefault="00E83A40" w:rsidP="007D4AF7">
      <w:pPr>
        <w:ind w:left="-709"/>
      </w:pPr>
    </w:p>
    <w:p w14:paraId="1A1B4322" w14:textId="77777777" w:rsidR="00E83A40" w:rsidRPr="00A862B2" w:rsidRDefault="00E83A40" w:rsidP="007D4AF7">
      <w:pPr>
        <w:ind w:left="-709"/>
      </w:pPr>
    </w:p>
    <w:p w14:paraId="0E42B9D1" w14:textId="32AD502C" w:rsidR="008E5442" w:rsidRDefault="00FA24CE" w:rsidP="00C45443">
      <w:pPr>
        <w:ind w:left="-709"/>
        <w:jc w:val="both"/>
      </w:pPr>
      <w:r>
        <w:t>US$ 4</w:t>
      </w:r>
      <w:r w:rsidR="00D3019C">
        <w:t>00.</w:t>
      </w:r>
      <w:r>
        <w:t xml:space="preserve">00 </w:t>
      </w:r>
    </w:p>
    <w:p w14:paraId="00B8FD1C" w14:textId="77777777" w:rsidR="008E5442" w:rsidRDefault="008E5442" w:rsidP="00C45443">
      <w:pPr>
        <w:ind w:left="-709"/>
        <w:jc w:val="both"/>
      </w:pPr>
    </w:p>
    <w:p w14:paraId="252D9A87" w14:textId="77777777" w:rsidR="00FA24CE" w:rsidRPr="00A862B2" w:rsidRDefault="00FA24CE" w:rsidP="007D4AF7">
      <w:pPr>
        <w:ind w:left="-709"/>
      </w:pPr>
    </w:p>
    <w:p w14:paraId="42BC2B4F" w14:textId="77C65F92" w:rsidR="00E83A40" w:rsidRPr="008E5442" w:rsidRDefault="00C55E8E" w:rsidP="007D4AF7">
      <w:pPr>
        <w:pStyle w:val="ListParagraph"/>
        <w:numPr>
          <w:ilvl w:val="0"/>
          <w:numId w:val="3"/>
        </w:numPr>
        <w:ind w:left="-709"/>
      </w:pPr>
      <w:r w:rsidRPr="00A862B2">
        <w:t xml:space="preserve">Non-monetary adjustments: </w:t>
      </w:r>
      <w:r w:rsidR="00E83A40" w:rsidRPr="00A862B2">
        <w:t xml:space="preserve">Please indicate </w:t>
      </w:r>
      <w:r w:rsidR="00E83A40" w:rsidRPr="008E5442">
        <w:t>any adjustments</w:t>
      </w:r>
      <w:r w:rsidR="00257569" w:rsidRPr="008E5442">
        <w:t xml:space="preserve"> to the project</w:t>
      </w:r>
      <w:r w:rsidR="00E83A40" w:rsidRPr="008E5442">
        <w:t xml:space="preserve"> which did not have any financial implications:</w:t>
      </w:r>
    </w:p>
    <w:p w14:paraId="6939F7F8" w14:textId="77777777" w:rsidR="00E83A40" w:rsidRPr="008E5442" w:rsidRDefault="00E83A40" w:rsidP="007D4AF7">
      <w:pPr>
        <w:ind w:left="-709"/>
      </w:pPr>
    </w:p>
    <w:p w14:paraId="46D182B0" w14:textId="432D68C6" w:rsidR="00E83A40" w:rsidRPr="00A862B2" w:rsidRDefault="00587533" w:rsidP="007D4AF7">
      <w:pPr>
        <w:ind w:left="-709"/>
        <w:jc w:val="both"/>
      </w:pPr>
      <w:r w:rsidRPr="008E5442">
        <w:t xml:space="preserve">The project requested </w:t>
      </w:r>
      <w:r w:rsidR="000F6A5D" w:rsidRPr="008E5442">
        <w:t xml:space="preserve">a </w:t>
      </w:r>
      <w:r w:rsidRPr="008E5442">
        <w:t>three</w:t>
      </w:r>
      <w:r w:rsidR="000F6A5D" w:rsidRPr="008E5442">
        <w:t>-</w:t>
      </w:r>
      <w:r w:rsidRPr="008E5442">
        <w:t xml:space="preserve"> month No</w:t>
      </w:r>
      <w:r w:rsidR="002A2EF8" w:rsidRPr="008E5442">
        <w:t>-</w:t>
      </w:r>
      <w:r w:rsidRPr="008E5442">
        <w:t>Cost Extension due to delayed implementation as a result</w:t>
      </w:r>
      <w:r w:rsidR="0069268A" w:rsidRPr="008E5442">
        <w:t xml:space="preserve"> </w:t>
      </w:r>
      <w:r w:rsidRPr="008E5442">
        <w:t>of COVID-19.</w:t>
      </w:r>
      <w:r w:rsidR="0069268A" w:rsidRPr="008E5442">
        <w:t xml:space="preserve"> When activities resumed in July 2020, </w:t>
      </w:r>
      <w:r w:rsidR="008E5442" w:rsidRPr="008E5442">
        <w:t xml:space="preserve">mandatory </w:t>
      </w:r>
      <w:r w:rsidR="0069268A" w:rsidRPr="008E5442">
        <w:t>precautions were implemented to ensure the health and safety of youth, communities, stakeholders, and staff. These included mandatory mask-wearing, handwashing stations, social distancing, and sanitation of training locations.</w:t>
      </w:r>
    </w:p>
    <w:p w14:paraId="3779C9A2" w14:textId="77777777" w:rsidR="00257569" w:rsidRPr="00A862B2" w:rsidRDefault="00257569" w:rsidP="007D4AF7">
      <w:pPr>
        <w:ind w:left="-709"/>
      </w:pPr>
    </w:p>
    <w:p w14:paraId="59BC82AF" w14:textId="2B9AA913" w:rsidR="00257569" w:rsidRPr="00A862B2" w:rsidRDefault="00257569" w:rsidP="007D4AF7">
      <w:pPr>
        <w:pStyle w:val="ListParagraph"/>
        <w:numPr>
          <w:ilvl w:val="0"/>
          <w:numId w:val="3"/>
        </w:numPr>
        <w:ind w:left="-709"/>
      </w:pPr>
      <w:r w:rsidRPr="00A862B2">
        <w:lastRenderedPageBreak/>
        <w:t>Please select all categories which describe the adjustments made to the project (</w:t>
      </w:r>
      <w:r w:rsidRPr="00A862B2">
        <w:rPr>
          <w:i/>
          <w:iCs/>
        </w:rPr>
        <w:t>and include details in general sections of</w:t>
      </w:r>
      <w:r w:rsidR="00C55E8E" w:rsidRPr="00A862B2">
        <w:rPr>
          <w:i/>
          <w:iCs/>
        </w:rPr>
        <w:t xml:space="preserve"> this</w:t>
      </w:r>
      <w:r w:rsidRPr="00A862B2">
        <w:rPr>
          <w:i/>
          <w:iCs/>
        </w:rPr>
        <w:t xml:space="preserve"> report</w:t>
      </w:r>
      <w:r w:rsidRPr="00A862B2">
        <w:t>):</w:t>
      </w:r>
    </w:p>
    <w:p w14:paraId="13758056" w14:textId="77777777" w:rsidR="00257569" w:rsidRPr="00A862B2" w:rsidRDefault="00257569" w:rsidP="007D4AF7">
      <w:pPr>
        <w:ind w:left="-709"/>
      </w:pPr>
    </w:p>
    <w:p w14:paraId="2697C025" w14:textId="6234AA37" w:rsidR="00257569" w:rsidRPr="00A862B2" w:rsidRDefault="00D543FC" w:rsidP="007D4AF7">
      <w:pPr>
        <w:ind w:left="-709"/>
      </w:pPr>
      <w:sdt>
        <w:sdtPr>
          <w:id w:val="402566072"/>
          <w14:checkbox>
            <w14:checked w14:val="1"/>
            <w14:checkedState w14:val="2612" w14:font="MS Gothic"/>
            <w14:uncheckedState w14:val="2610" w14:font="MS Gothic"/>
          </w14:checkbox>
        </w:sdtPr>
        <w:sdtEndPr/>
        <w:sdtContent>
          <w:r w:rsidR="00587533">
            <w:rPr>
              <w:rFonts w:ascii="MS Gothic" w:eastAsia="MS Gothic" w:hAnsi="MS Gothic" w:hint="eastAsia"/>
            </w:rPr>
            <w:t>☒</w:t>
          </w:r>
        </w:sdtContent>
      </w:sdt>
      <w:r w:rsidR="00257569" w:rsidRPr="00A862B2">
        <w:t xml:space="preserve"> Reinforce crisis management capacities and communications</w:t>
      </w:r>
    </w:p>
    <w:p w14:paraId="26B30B5B" w14:textId="25FE9730" w:rsidR="00257569" w:rsidRPr="00A862B2" w:rsidRDefault="00D543FC" w:rsidP="007D4AF7">
      <w:pPr>
        <w:ind w:left="-709"/>
      </w:pPr>
      <w:sdt>
        <w:sdtPr>
          <w:id w:val="1706904896"/>
          <w14:checkbox>
            <w14:checked w14:val="0"/>
            <w14:checkedState w14:val="2612" w14:font="MS Gothic"/>
            <w14:uncheckedState w14:val="2610" w14:font="MS Gothic"/>
          </w14:checkbox>
        </w:sdtPr>
        <w:sdtEndPr/>
        <w:sdtContent>
          <w:r w:rsidR="00257569" w:rsidRPr="00A862B2">
            <w:rPr>
              <w:rFonts w:ascii="Segoe UI Symbol" w:eastAsia="MS Gothic" w:hAnsi="Segoe UI Symbol" w:cs="Segoe UI Symbol"/>
            </w:rPr>
            <w:t>☐</w:t>
          </w:r>
        </w:sdtContent>
      </w:sdt>
      <w:r w:rsidR="00257569" w:rsidRPr="00A862B2">
        <w:t xml:space="preserve"> Ensure inclusive and equitable response and recovery</w:t>
      </w:r>
    </w:p>
    <w:p w14:paraId="3DC77993" w14:textId="6D829DB7" w:rsidR="00257569" w:rsidRPr="00A862B2" w:rsidRDefault="00D543FC" w:rsidP="007D4AF7">
      <w:pPr>
        <w:ind w:left="-709"/>
      </w:pPr>
      <w:sdt>
        <w:sdtPr>
          <w:id w:val="1028075960"/>
          <w14:checkbox>
            <w14:checked w14:val="0"/>
            <w14:checkedState w14:val="2612" w14:font="MS Gothic"/>
            <w14:uncheckedState w14:val="2610" w14:font="MS Gothic"/>
          </w14:checkbox>
        </w:sdtPr>
        <w:sdtEndPr/>
        <w:sdtContent>
          <w:r w:rsidR="00FE6EBB">
            <w:rPr>
              <w:rFonts w:ascii="MS Gothic" w:eastAsia="MS Gothic" w:hAnsi="MS Gothic" w:cs="Segoe UI Symbol" w:hint="eastAsia"/>
            </w:rPr>
            <w:t>☐</w:t>
          </w:r>
        </w:sdtContent>
      </w:sdt>
      <w:r w:rsidR="00257569" w:rsidRPr="00A862B2">
        <w:t xml:space="preserve"> Strengthen inter-community social cohesion and border management</w:t>
      </w:r>
    </w:p>
    <w:p w14:paraId="545EB12E" w14:textId="77777777" w:rsidR="00257569" w:rsidRPr="00A862B2" w:rsidRDefault="00D543FC" w:rsidP="007D4AF7">
      <w:pPr>
        <w:ind w:left="-709"/>
      </w:pPr>
      <w:sdt>
        <w:sdtPr>
          <w:id w:val="1433550173"/>
          <w14:checkbox>
            <w14:checked w14:val="0"/>
            <w14:checkedState w14:val="2612" w14:font="MS Gothic"/>
            <w14:uncheckedState w14:val="2610" w14:font="MS Gothic"/>
          </w14:checkbox>
        </w:sdtPr>
        <w:sdtEndPr/>
        <w:sdtContent>
          <w:r w:rsidR="00257569" w:rsidRPr="00A862B2">
            <w:rPr>
              <w:rFonts w:ascii="Segoe UI Symbol" w:eastAsia="MS Gothic" w:hAnsi="Segoe UI Symbol" w:cs="Segoe UI Symbol"/>
            </w:rPr>
            <w:t>☐</w:t>
          </w:r>
        </w:sdtContent>
      </w:sdt>
      <w:r w:rsidR="00257569" w:rsidRPr="00A862B2">
        <w:t xml:space="preserve"> Counter hate speech and stigmatization and address trauma</w:t>
      </w:r>
    </w:p>
    <w:p w14:paraId="6C3CF8C3" w14:textId="77777777" w:rsidR="00257569" w:rsidRPr="00A862B2" w:rsidRDefault="00257569" w:rsidP="007D4AF7">
      <w:pPr>
        <w:ind w:left="-709"/>
      </w:pPr>
    </w:p>
    <w:p w14:paraId="1FEA3E7A" w14:textId="45C12543" w:rsidR="00257569" w:rsidRPr="00A862B2" w:rsidRDefault="00D543FC" w:rsidP="007D4AF7">
      <w:pPr>
        <w:ind w:left="-709"/>
      </w:pPr>
      <w:sdt>
        <w:sdtPr>
          <w:id w:val="-197162951"/>
          <w14:checkbox>
            <w14:checked w14:val="0"/>
            <w14:checkedState w14:val="2612" w14:font="MS Gothic"/>
            <w14:uncheckedState w14:val="2610" w14:font="MS Gothic"/>
          </w14:checkbox>
        </w:sdtPr>
        <w:sdtEndPr/>
        <w:sdtContent>
          <w:r w:rsidR="00257569" w:rsidRPr="00A862B2">
            <w:rPr>
              <w:rFonts w:ascii="Segoe UI Symbol" w:eastAsia="MS Gothic" w:hAnsi="Segoe UI Symbol" w:cs="Segoe UI Symbol"/>
            </w:rPr>
            <w:t>☐</w:t>
          </w:r>
        </w:sdtContent>
      </w:sdt>
      <w:r w:rsidR="00257569" w:rsidRPr="00A862B2">
        <w:t xml:space="preserve"> Support the SG’s call for a global ceasefire</w:t>
      </w:r>
    </w:p>
    <w:p w14:paraId="57416BD3" w14:textId="4A1BFD85" w:rsidR="00257569" w:rsidRPr="00A862B2" w:rsidRDefault="00D543FC" w:rsidP="007D4AF7">
      <w:pPr>
        <w:ind w:left="-709"/>
      </w:pPr>
      <w:sdt>
        <w:sdtPr>
          <w:id w:val="810906333"/>
          <w14:checkbox>
            <w14:checked w14:val="0"/>
            <w14:checkedState w14:val="2612" w14:font="MS Gothic"/>
            <w14:uncheckedState w14:val="2610" w14:font="MS Gothic"/>
          </w14:checkbox>
        </w:sdtPr>
        <w:sdtEndPr/>
        <w:sdtContent>
          <w:r w:rsidR="00257569" w:rsidRPr="00A862B2">
            <w:rPr>
              <w:rFonts w:ascii="Segoe UI Symbol" w:eastAsia="MS Gothic" w:hAnsi="Segoe UI Symbol" w:cs="Segoe UI Symbol"/>
            </w:rPr>
            <w:t>☐</w:t>
          </w:r>
        </w:sdtContent>
      </w:sdt>
      <w:r w:rsidR="00257569" w:rsidRPr="00A862B2">
        <w:t xml:space="preserve"> Other (please describe): </w:t>
      </w:r>
      <w:r w:rsidR="00F065BD" w:rsidRPr="00A862B2">
        <w:fldChar w:fldCharType="begin">
          <w:ffData>
            <w:name w:val=""/>
            <w:enabled/>
            <w:calcOnExit w:val="0"/>
            <w:textInput>
              <w:maxLength w:val="1500"/>
              <w:format w:val="FIRST CAPITAL"/>
            </w:textInput>
          </w:ffData>
        </w:fldChar>
      </w:r>
      <w:r w:rsidR="00F065BD" w:rsidRPr="00A862B2">
        <w:instrText xml:space="preserve"> FORMTEXT </w:instrText>
      </w:r>
      <w:r w:rsidR="00F065BD" w:rsidRPr="00A862B2">
        <w:fldChar w:fldCharType="separate"/>
      </w:r>
      <w:r w:rsidR="00F065BD" w:rsidRPr="00A862B2">
        <w:rPr>
          <w:noProof/>
        </w:rPr>
        <w:t> </w:t>
      </w:r>
      <w:r w:rsidR="00F065BD" w:rsidRPr="00A862B2">
        <w:rPr>
          <w:noProof/>
        </w:rPr>
        <w:t> </w:t>
      </w:r>
      <w:r w:rsidR="00F065BD" w:rsidRPr="00A862B2">
        <w:rPr>
          <w:noProof/>
        </w:rPr>
        <w:t> </w:t>
      </w:r>
      <w:r w:rsidR="00F065BD" w:rsidRPr="00A862B2">
        <w:rPr>
          <w:noProof/>
        </w:rPr>
        <w:t> </w:t>
      </w:r>
      <w:r w:rsidR="00F065BD" w:rsidRPr="00A862B2">
        <w:rPr>
          <w:noProof/>
        </w:rPr>
        <w:t> </w:t>
      </w:r>
      <w:r w:rsidR="00F065BD" w:rsidRPr="00A862B2">
        <w:fldChar w:fldCharType="end"/>
      </w:r>
    </w:p>
    <w:p w14:paraId="16206367" w14:textId="7627270D" w:rsidR="00257569" w:rsidRPr="00A862B2" w:rsidRDefault="00257569" w:rsidP="007D4AF7">
      <w:pPr>
        <w:ind w:left="-709"/>
      </w:pPr>
    </w:p>
    <w:p w14:paraId="57122498" w14:textId="0EC1AA1B" w:rsidR="00257569" w:rsidRPr="00A862B2" w:rsidRDefault="00257569" w:rsidP="007D4AF7">
      <w:pPr>
        <w:ind w:left="-709"/>
      </w:pPr>
      <w:r w:rsidRPr="00A862B2">
        <w:t>If relevant, please share a COVID-19 success story of this project (</w:t>
      </w:r>
      <w:r w:rsidRPr="00A862B2">
        <w:rPr>
          <w:i/>
          <w:iCs/>
        </w:rPr>
        <w:t>i.e. how adjustments of this project made a difference and contributed to a positive response to the pandemic</w:t>
      </w:r>
      <w:r w:rsidR="0094196C" w:rsidRPr="00A862B2">
        <w:rPr>
          <w:i/>
          <w:iCs/>
        </w:rPr>
        <w:t>/prevented tensions or violence related to the pandemic etc.</w:t>
      </w:r>
      <w:r w:rsidRPr="00A862B2">
        <w:t>)</w:t>
      </w:r>
    </w:p>
    <w:p w14:paraId="33D931B2" w14:textId="77777777" w:rsidR="0094196C" w:rsidRPr="00A862B2" w:rsidRDefault="0094196C" w:rsidP="007D4AF7">
      <w:pPr>
        <w:ind w:left="-709"/>
      </w:pPr>
    </w:p>
    <w:p w14:paraId="36A7784B" w14:textId="28597186" w:rsidR="0094196C" w:rsidRPr="00A862B2" w:rsidRDefault="00034A4C" w:rsidP="007D4AF7">
      <w:pPr>
        <w:ind w:left="-709"/>
      </w:pPr>
      <w:r w:rsidRPr="00A862B2">
        <w:fldChar w:fldCharType="begin">
          <w:ffData>
            <w:name w:val=""/>
            <w:enabled/>
            <w:calcOnExit w:val="0"/>
            <w:textInput>
              <w:maxLength w:val="2000"/>
              <w:format w:val="FIRST CAPITAL"/>
            </w:textInput>
          </w:ffData>
        </w:fldChar>
      </w:r>
      <w:r w:rsidRPr="00A862B2">
        <w:instrText xml:space="preserve"> FORMTEXT </w:instrText>
      </w:r>
      <w:r w:rsidRPr="00A862B2">
        <w:fldChar w:fldCharType="separate"/>
      </w:r>
      <w:r w:rsidRPr="00A862B2">
        <w:rPr>
          <w:noProof/>
        </w:rPr>
        <w:t> </w:t>
      </w:r>
      <w:r w:rsidRPr="00A862B2">
        <w:rPr>
          <w:noProof/>
        </w:rPr>
        <w:t> </w:t>
      </w:r>
      <w:r w:rsidRPr="00A862B2">
        <w:rPr>
          <w:noProof/>
        </w:rPr>
        <w:t> </w:t>
      </w:r>
      <w:r w:rsidRPr="00A862B2">
        <w:rPr>
          <w:noProof/>
        </w:rPr>
        <w:t> </w:t>
      </w:r>
      <w:r w:rsidRPr="00A862B2">
        <w:rPr>
          <w:noProof/>
        </w:rPr>
        <w:t> </w:t>
      </w:r>
      <w:r w:rsidRPr="00A862B2">
        <w:fldChar w:fldCharType="end"/>
      </w:r>
    </w:p>
    <w:p w14:paraId="5E73D539" w14:textId="77777777" w:rsidR="00257569" w:rsidRPr="00A862B2" w:rsidRDefault="00257569" w:rsidP="007D4AF7">
      <w:pPr>
        <w:ind w:left="-709"/>
      </w:pPr>
    </w:p>
    <w:p w14:paraId="14363678" w14:textId="03D25EEA" w:rsidR="00257569" w:rsidRPr="00A862B2" w:rsidRDefault="00257569" w:rsidP="00257569">
      <w:pPr>
        <w:sectPr w:rsidR="00257569" w:rsidRPr="00A862B2" w:rsidSect="0078600B">
          <w:pgSz w:w="11906" w:h="16838"/>
          <w:pgMar w:top="1440" w:right="1800" w:bottom="1440" w:left="1800" w:header="720" w:footer="720" w:gutter="0"/>
          <w:cols w:space="720"/>
          <w:docGrid w:linePitch="360"/>
        </w:sectPr>
      </w:pPr>
    </w:p>
    <w:p w14:paraId="7ED44B0B" w14:textId="7E6D504D" w:rsidR="00206D45" w:rsidRPr="00A862B2" w:rsidRDefault="00206D45" w:rsidP="00206D45">
      <w:pPr>
        <w:ind w:firstLine="990"/>
        <w:jc w:val="both"/>
        <w:rPr>
          <w:b/>
          <w:u w:val="single"/>
        </w:rPr>
      </w:pPr>
      <w:r w:rsidRPr="00D3019C">
        <w:rPr>
          <w:b/>
          <w:u w:val="single"/>
        </w:rPr>
        <w:lastRenderedPageBreak/>
        <w:t>PART V:</w:t>
      </w:r>
      <w:r w:rsidR="004E3B3E" w:rsidRPr="00D3019C">
        <w:rPr>
          <w:b/>
          <w:u w:val="single"/>
        </w:rPr>
        <w:t xml:space="preserve"> INDICATOR BASED PERFORMANCE ASSESSMENT</w:t>
      </w:r>
    </w:p>
    <w:p w14:paraId="314FE0B4" w14:textId="77777777" w:rsidR="00206D45" w:rsidRPr="00A862B2" w:rsidRDefault="00206D45" w:rsidP="0078600B">
      <w:pPr>
        <w:jc w:val="both"/>
        <w:rPr>
          <w:b/>
          <w:i/>
          <w:lang w:val="en-US" w:eastAsia="en-US"/>
        </w:rPr>
      </w:pPr>
    </w:p>
    <w:p w14:paraId="606C2F08" w14:textId="77777777" w:rsidR="004E3B3E" w:rsidRPr="00A862B2" w:rsidRDefault="004E3B3E" w:rsidP="0078600B">
      <w:pPr>
        <w:jc w:val="both"/>
        <w:rPr>
          <w:bCs/>
          <w:lang w:val="en-US" w:eastAsia="en-US"/>
        </w:rPr>
      </w:pPr>
      <w:r w:rsidRPr="00A862B2">
        <w:rPr>
          <w:bCs/>
          <w:i/>
          <w:lang w:val="en-US" w:eastAsia="en-US"/>
        </w:rPr>
        <w:t xml:space="preserve">Using the </w:t>
      </w:r>
      <w:r w:rsidRPr="00A862B2">
        <w:rPr>
          <w:b/>
          <w:bCs/>
          <w:i/>
          <w:lang w:val="en-US" w:eastAsia="en-US"/>
        </w:rPr>
        <w:t>Project Results Framework as per the approved project document</w:t>
      </w:r>
      <w:r w:rsidR="003235DF" w:rsidRPr="00A862B2">
        <w:rPr>
          <w:b/>
          <w:bCs/>
          <w:i/>
          <w:lang w:val="en-US" w:eastAsia="en-US"/>
        </w:rPr>
        <w:t xml:space="preserve"> or any amendments</w:t>
      </w:r>
      <w:r w:rsidRPr="00A862B2">
        <w:rPr>
          <w:bCs/>
          <w:i/>
          <w:lang w:val="en-US" w:eastAsia="en-US"/>
        </w:rPr>
        <w:t xml:space="preserve">- provide an update on the achievement of </w:t>
      </w:r>
      <w:r w:rsidRPr="00A862B2">
        <w:rPr>
          <w:b/>
          <w:i/>
          <w:lang w:val="en-US" w:eastAsia="en-US"/>
        </w:rPr>
        <w:t>key indicators</w:t>
      </w:r>
      <w:r w:rsidRPr="00A862B2">
        <w:rPr>
          <w:bCs/>
          <w:i/>
          <w:lang w:val="en-US" w:eastAsia="en-US"/>
        </w:rPr>
        <w:t xml:space="preserve"> at both the outcome and output level in the table below</w:t>
      </w:r>
      <w:r w:rsidR="001A1E86" w:rsidRPr="00A862B2">
        <w:rPr>
          <w:bCs/>
          <w:i/>
          <w:lang w:val="en-US" w:eastAsia="en-US"/>
        </w:rPr>
        <w:t xml:space="preserve"> (if your project has more indicators than provided in the table, select the most relevant ones with most relevant progress to highlight)</w:t>
      </w:r>
      <w:r w:rsidRPr="00A862B2">
        <w:rPr>
          <w:bCs/>
          <w:i/>
          <w:lang w:val="en-US" w:eastAsia="en-US"/>
        </w:rPr>
        <w:t>. Where it has not been possible to collect data on indicators, state this and provide any explanation.</w:t>
      </w:r>
      <w:r w:rsidRPr="00A862B2">
        <w:rPr>
          <w:bCs/>
          <w:lang w:val="en-US" w:eastAsia="en-US"/>
        </w:rPr>
        <w:t xml:space="preserve"> </w:t>
      </w:r>
      <w:r w:rsidR="006A07CA" w:rsidRPr="00A862B2">
        <w:rPr>
          <w:bCs/>
          <w:lang w:val="en-US" w:eastAsia="en-US"/>
        </w:rPr>
        <w:t xml:space="preserve">Provide gender and age disaggregated data. </w:t>
      </w:r>
      <w:r w:rsidRPr="00A862B2">
        <w:rPr>
          <w:bCs/>
          <w:lang w:val="en-US" w:eastAsia="en-US"/>
        </w:rPr>
        <w:t>(</w:t>
      </w:r>
      <w:r w:rsidR="00C13590" w:rsidRPr="00A862B2">
        <w:rPr>
          <w:bCs/>
          <w:lang w:val="en-US" w:eastAsia="en-US"/>
        </w:rPr>
        <w:t>30</w:t>
      </w:r>
      <w:r w:rsidRPr="00A862B2">
        <w:rPr>
          <w:bCs/>
          <w:lang w:val="en-US" w:eastAsia="en-US"/>
        </w:rPr>
        <w:t>0 characters max per entry)</w:t>
      </w:r>
    </w:p>
    <w:p w14:paraId="31553759" w14:textId="77777777" w:rsidR="004E3B3E" w:rsidRPr="00A862B2" w:rsidRDefault="004E3B3E" w:rsidP="004E3B3E">
      <w:pPr>
        <w:outlineLvl w:val="0"/>
        <w:rPr>
          <w:lang w:val="en-US" w:eastAsia="en-US"/>
        </w:rPr>
      </w:pPr>
    </w:p>
    <w:tbl>
      <w:tblPr>
        <w:tblW w:w="1604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1"/>
        <w:gridCol w:w="2835"/>
        <w:gridCol w:w="1417"/>
        <w:gridCol w:w="1843"/>
        <w:gridCol w:w="1559"/>
        <w:gridCol w:w="3555"/>
        <w:gridCol w:w="2903"/>
      </w:tblGrid>
      <w:tr w:rsidR="00477944" w:rsidRPr="002A616F" w14:paraId="74D61E52" w14:textId="77777777" w:rsidTr="002A616F">
        <w:trPr>
          <w:tblHeader/>
        </w:trPr>
        <w:tc>
          <w:tcPr>
            <w:tcW w:w="1931" w:type="dxa"/>
          </w:tcPr>
          <w:p w14:paraId="4712E8CD" w14:textId="77777777" w:rsidR="00477944" w:rsidRPr="002A616F" w:rsidRDefault="00477944" w:rsidP="00477944">
            <w:pPr>
              <w:jc w:val="center"/>
              <w:rPr>
                <w:b/>
                <w:sz w:val="20"/>
                <w:szCs w:val="20"/>
                <w:lang w:val="en-US" w:eastAsia="en-US"/>
              </w:rPr>
            </w:pPr>
          </w:p>
        </w:tc>
        <w:tc>
          <w:tcPr>
            <w:tcW w:w="2835" w:type="dxa"/>
            <w:shd w:val="clear" w:color="auto" w:fill="EEECE1"/>
          </w:tcPr>
          <w:p w14:paraId="3B79D9B6" w14:textId="77777777" w:rsidR="00477944" w:rsidRPr="002A616F" w:rsidRDefault="00477944" w:rsidP="00477944">
            <w:pPr>
              <w:jc w:val="center"/>
              <w:rPr>
                <w:b/>
                <w:sz w:val="20"/>
                <w:szCs w:val="20"/>
                <w:lang w:val="en-US" w:eastAsia="en-US"/>
              </w:rPr>
            </w:pPr>
            <w:r w:rsidRPr="002A616F">
              <w:rPr>
                <w:b/>
                <w:sz w:val="20"/>
                <w:szCs w:val="20"/>
                <w:lang w:val="en-US" w:eastAsia="en-US"/>
              </w:rPr>
              <w:t>Performance Indicators</w:t>
            </w:r>
          </w:p>
        </w:tc>
        <w:tc>
          <w:tcPr>
            <w:tcW w:w="1417" w:type="dxa"/>
            <w:shd w:val="clear" w:color="auto" w:fill="EEECE1"/>
          </w:tcPr>
          <w:p w14:paraId="4CA201C5" w14:textId="77777777" w:rsidR="00477944" w:rsidRPr="002A616F" w:rsidRDefault="00477944" w:rsidP="00477944">
            <w:pPr>
              <w:jc w:val="center"/>
              <w:rPr>
                <w:b/>
                <w:sz w:val="20"/>
                <w:szCs w:val="20"/>
                <w:lang w:val="en-US" w:eastAsia="en-US"/>
              </w:rPr>
            </w:pPr>
            <w:r w:rsidRPr="002A616F">
              <w:rPr>
                <w:b/>
                <w:sz w:val="20"/>
                <w:szCs w:val="20"/>
                <w:lang w:val="en-US" w:eastAsia="en-US"/>
              </w:rPr>
              <w:t>Indicator Baseline</w:t>
            </w:r>
          </w:p>
        </w:tc>
        <w:tc>
          <w:tcPr>
            <w:tcW w:w="1843" w:type="dxa"/>
            <w:shd w:val="clear" w:color="auto" w:fill="EEECE1"/>
          </w:tcPr>
          <w:p w14:paraId="7E2AB68F" w14:textId="77777777" w:rsidR="00477944" w:rsidRPr="002A616F" w:rsidRDefault="00477944" w:rsidP="00477944">
            <w:pPr>
              <w:jc w:val="center"/>
              <w:rPr>
                <w:b/>
                <w:sz w:val="20"/>
                <w:szCs w:val="20"/>
                <w:lang w:val="en-US" w:eastAsia="en-US"/>
              </w:rPr>
            </w:pPr>
            <w:r w:rsidRPr="002A616F">
              <w:rPr>
                <w:b/>
                <w:sz w:val="20"/>
                <w:szCs w:val="20"/>
                <w:lang w:val="en-US" w:eastAsia="en-US"/>
              </w:rPr>
              <w:t>End of project Indicator Target</w:t>
            </w:r>
          </w:p>
        </w:tc>
        <w:tc>
          <w:tcPr>
            <w:tcW w:w="1559" w:type="dxa"/>
          </w:tcPr>
          <w:p w14:paraId="47AA7D8A" w14:textId="77777777" w:rsidR="00477944" w:rsidRPr="002A616F" w:rsidRDefault="00477944" w:rsidP="00477944">
            <w:pPr>
              <w:jc w:val="center"/>
              <w:rPr>
                <w:b/>
                <w:sz w:val="20"/>
                <w:szCs w:val="20"/>
                <w:lang w:val="en-US" w:eastAsia="en-US"/>
              </w:rPr>
            </w:pPr>
            <w:r w:rsidRPr="002A616F">
              <w:rPr>
                <w:b/>
                <w:sz w:val="20"/>
                <w:szCs w:val="20"/>
                <w:lang w:val="en-US" w:eastAsia="en-US"/>
              </w:rPr>
              <w:t>Indicator Milestone</w:t>
            </w:r>
          </w:p>
        </w:tc>
        <w:tc>
          <w:tcPr>
            <w:tcW w:w="3555" w:type="dxa"/>
          </w:tcPr>
          <w:p w14:paraId="729EFF0E" w14:textId="77777777" w:rsidR="00477944" w:rsidRPr="002A616F" w:rsidRDefault="00477944" w:rsidP="00477944">
            <w:pPr>
              <w:jc w:val="center"/>
              <w:rPr>
                <w:b/>
                <w:sz w:val="20"/>
                <w:szCs w:val="20"/>
                <w:lang w:val="en-US" w:eastAsia="en-US"/>
              </w:rPr>
            </w:pPr>
            <w:r w:rsidRPr="002A616F">
              <w:rPr>
                <w:b/>
                <w:sz w:val="20"/>
                <w:szCs w:val="20"/>
                <w:lang w:val="en-US" w:eastAsia="en-US"/>
              </w:rPr>
              <w:t>Current indicator progress</w:t>
            </w:r>
          </w:p>
        </w:tc>
        <w:tc>
          <w:tcPr>
            <w:tcW w:w="2903" w:type="dxa"/>
          </w:tcPr>
          <w:p w14:paraId="58ABB9D0" w14:textId="77777777" w:rsidR="00477944" w:rsidRPr="002A616F" w:rsidRDefault="00477944" w:rsidP="00477944">
            <w:pPr>
              <w:jc w:val="center"/>
              <w:rPr>
                <w:b/>
                <w:sz w:val="20"/>
                <w:szCs w:val="20"/>
                <w:lang w:val="en-US" w:eastAsia="en-US"/>
              </w:rPr>
            </w:pPr>
            <w:r w:rsidRPr="002A616F">
              <w:rPr>
                <w:b/>
                <w:sz w:val="20"/>
                <w:szCs w:val="20"/>
                <w:lang w:val="en-US" w:eastAsia="en-US"/>
              </w:rPr>
              <w:t>Reasons for Variance/ Delay</w:t>
            </w:r>
          </w:p>
          <w:p w14:paraId="4F0458F9" w14:textId="77777777" w:rsidR="00477944" w:rsidRPr="002A616F" w:rsidRDefault="00477944" w:rsidP="00477944">
            <w:pPr>
              <w:jc w:val="center"/>
              <w:rPr>
                <w:b/>
                <w:sz w:val="20"/>
                <w:szCs w:val="20"/>
                <w:lang w:val="en-US" w:eastAsia="en-US"/>
              </w:rPr>
            </w:pPr>
            <w:r w:rsidRPr="002A616F">
              <w:rPr>
                <w:b/>
                <w:sz w:val="20"/>
                <w:szCs w:val="20"/>
                <w:lang w:val="en-US" w:eastAsia="en-US"/>
              </w:rPr>
              <w:t>(if any)</w:t>
            </w:r>
          </w:p>
        </w:tc>
      </w:tr>
      <w:tr w:rsidR="00B16CAD" w:rsidRPr="002A616F" w14:paraId="0FC90ECC" w14:textId="77777777" w:rsidTr="002A616F">
        <w:trPr>
          <w:trHeight w:val="548"/>
        </w:trPr>
        <w:tc>
          <w:tcPr>
            <w:tcW w:w="1931" w:type="dxa"/>
            <w:vMerge w:val="restart"/>
          </w:tcPr>
          <w:p w14:paraId="55563622" w14:textId="77777777" w:rsidR="00B16CAD" w:rsidRPr="002A616F" w:rsidRDefault="00B16CAD" w:rsidP="00B16CAD">
            <w:pPr>
              <w:autoSpaceDE w:val="0"/>
              <w:autoSpaceDN w:val="0"/>
              <w:adjustRightInd w:val="0"/>
              <w:rPr>
                <w:rFonts w:eastAsia="Calibri"/>
                <w:b/>
                <w:bCs/>
                <w:sz w:val="20"/>
                <w:szCs w:val="20"/>
                <w:u w:val="single"/>
                <w:lang w:val="en-US" w:eastAsia="zh-CN"/>
              </w:rPr>
            </w:pPr>
            <w:r w:rsidRPr="002A616F">
              <w:rPr>
                <w:rFonts w:eastAsia="Calibri"/>
                <w:b/>
                <w:bCs/>
                <w:sz w:val="20"/>
                <w:szCs w:val="20"/>
                <w:u w:val="single"/>
                <w:lang w:val="en-US" w:eastAsia="zh-CN"/>
              </w:rPr>
              <w:t>Outcome 1:</w:t>
            </w:r>
          </w:p>
          <w:p w14:paraId="6767AA6A" w14:textId="77777777" w:rsidR="00B16CAD" w:rsidRPr="002A616F" w:rsidRDefault="00B16CAD" w:rsidP="00B16CAD">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w:t>
            </w:r>
            <w:proofErr w:type="spellStart"/>
            <w:r w:rsidRPr="002A616F">
              <w:rPr>
                <w:rFonts w:eastAsia="Calibri"/>
                <w:b/>
                <w:bCs/>
                <w:sz w:val="20"/>
                <w:szCs w:val="20"/>
                <w:lang w:val="en-US" w:eastAsia="zh-CN"/>
              </w:rPr>
              <w:t>Zogesse</w:t>
            </w:r>
            <w:proofErr w:type="spellEnd"/>
            <w:r w:rsidRPr="002A616F">
              <w:rPr>
                <w:rFonts w:eastAsia="Calibri"/>
                <w:b/>
                <w:bCs/>
                <w:sz w:val="20"/>
                <w:szCs w:val="20"/>
                <w:lang w:val="en-US" w:eastAsia="zh-CN"/>
              </w:rPr>
              <w:t xml:space="preserve"> in</w:t>
            </w:r>
          </w:p>
          <w:p w14:paraId="0F018C36"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Montserrado county are</w:t>
            </w:r>
          </w:p>
          <w:p w14:paraId="496CB614"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socially reintegrated and</w:t>
            </w:r>
          </w:p>
          <w:p w14:paraId="6A91FB86"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peacefully co-exist with</w:t>
            </w:r>
          </w:p>
          <w:p w14:paraId="7D6B30D9" w14:textId="77777777" w:rsidR="00B16CAD" w:rsidRPr="002A616F" w:rsidRDefault="00B16CAD" w:rsidP="00B16CAD">
            <w:pPr>
              <w:rPr>
                <w:b/>
                <w:sz w:val="20"/>
                <w:szCs w:val="20"/>
                <w:lang w:val="en-US" w:eastAsia="en-US"/>
              </w:rPr>
            </w:pPr>
            <w:r w:rsidRPr="002A616F">
              <w:rPr>
                <w:rFonts w:eastAsia="Calibri"/>
                <w:b/>
                <w:bCs/>
                <w:sz w:val="20"/>
                <w:szCs w:val="20"/>
                <w:lang w:val="en-US" w:eastAsia="zh-CN"/>
              </w:rPr>
              <w:t>communities</w:t>
            </w:r>
          </w:p>
        </w:tc>
        <w:tc>
          <w:tcPr>
            <w:tcW w:w="2835" w:type="dxa"/>
            <w:shd w:val="clear" w:color="auto" w:fill="EEECE1"/>
          </w:tcPr>
          <w:p w14:paraId="143DE7A0" w14:textId="77777777" w:rsidR="00B16CAD" w:rsidRPr="002A616F" w:rsidRDefault="00B16CAD" w:rsidP="00B16CAD">
            <w:pPr>
              <w:jc w:val="both"/>
              <w:rPr>
                <w:b/>
                <w:bCs/>
                <w:sz w:val="20"/>
                <w:szCs w:val="20"/>
                <w:lang w:val="en-US" w:eastAsia="en-US"/>
              </w:rPr>
            </w:pPr>
            <w:r w:rsidRPr="002A616F">
              <w:rPr>
                <w:b/>
                <w:bCs/>
                <w:sz w:val="20"/>
                <w:szCs w:val="20"/>
                <w:lang w:val="en-US" w:eastAsia="en-US"/>
              </w:rPr>
              <w:t>Indicator 1.1</w:t>
            </w:r>
          </w:p>
          <w:p w14:paraId="25EBA318"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Percentage of</w:t>
            </w:r>
          </w:p>
          <w:p w14:paraId="5BDC8B83" w14:textId="77777777" w:rsidR="00B16CAD" w:rsidRPr="002A616F" w:rsidRDefault="00B16CAD" w:rsidP="00B16CAD">
            <w:pPr>
              <w:autoSpaceDE w:val="0"/>
              <w:autoSpaceDN w:val="0"/>
              <w:adjustRightInd w:val="0"/>
              <w:rPr>
                <w:rFonts w:eastAsia="Calibri"/>
                <w:sz w:val="20"/>
                <w:szCs w:val="20"/>
                <w:lang w:val="en-US" w:eastAsia="zh-CN"/>
              </w:rPr>
            </w:pP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accessing SRH, psychosocial,</w:t>
            </w:r>
          </w:p>
          <w:p w14:paraId="36E0F87B"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mental health and drug</w:t>
            </w:r>
          </w:p>
          <w:p w14:paraId="6FA962FE" w14:textId="0696D2EC"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rehabilitation services at the MOH drop in</w:t>
            </w:r>
          </w:p>
          <w:p w14:paraId="5047A215" w14:textId="77777777" w:rsidR="00B16CAD" w:rsidRPr="002A616F" w:rsidRDefault="00B16CAD" w:rsidP="00B16CAD">
            <w:pPr>
              <w:jc w:val="both"/>
              <w:rPr>
                <w:sz w:val="20"/>
                <w:szCs w:val="20"/>
                <w:lang w:val="en-US" w:eastAsia="en-US"/>
              </w:rPr>
            </w:pPr>
            <w:r w:rsidRPr="002A616F">
              <w:rPr>
                <w:rFonts w:eastAsia="Calibri"/>
                <w:sz w:val="20"/>
                <w:szCs w:val="20"/>
                <w:lang w:val="en-US" w:eastAsia="zh-CN"/>
              </w:rPr>
              <w:t>centers</w:t>
            </w:r>
          </w:p>
        </w:tc>
        <w:tc>
          <w:tcPr>
            <w:tcW w:w="1417" w:type="dxa"/>
            <w:shd w:val="clear" w:color="auto" w:fill="EEECE1"/>
          </w:tcPr>
          <w:p w14:paraId="6721EA8D" w14:textId="135137ED" w:rsidR="00B16CAD" w:rsidRPr="002A616F" w:rsidRDefault="00B16CAD" w:rsidP="00B16CAD">
            <w:pPr>
              <w:autoSpaceDE w:val="0"/>
              <w:autoSpaceDN w:val="0"/>
              <w:adjustRightInd w:val="0"/>
              <w:rPr>
                <w:rFonts w:eastAsia="Calibri"/>
                <w:sz w:val="20"/>
                <w:szCs w:val="20"/>
                <w:lang w:val="en-US" w:eastAsia="zh-CN"/>
              </w:rPr>
            </w:pPr>
            <w:r w:rsidRPr="002A616F">
              <w:rPr>
                <w:rFonts w:eastAsia="Calibri"/>
                <w:b/>
                <w:bCs/>
                <w:sz w:val="20"/>
                <w:szCs w:val="20"/>
                <w:lang w:val="en-US" w:eastAsia="zh-CN"/>
              </w:rPr>
              <w:t>Baseline</w:t>
            </w:r>
            <w:r w:rsidRPr="002A616F">
              <w:rPr>
                <w:rFonts w:eastAsia="Calibri"/>
                <w:sz w:val="20"/>
                <w:szCs w:val="20"/>
                <w:lang w:val="en-US" w:eastAsia="zh-CN"/>
              </w:rPr>
              <w:t>: 0 (2018 December)</w:t>
            </w:r>
          </w:p>
          <w:p w14:paraId="1B3004C8" w14:textId="77777777" w:rsidR="00B16CAD" w:rsidRPr="002A616F" w:rsidRDefault="00B16CAD" w:rsidP="00B16CAD">
            <w:pPr>
              <w:autoSpaceDE w:val="0"/>
              <w:autoSpaceDN w:val="0"/>
              <w:adjustRightInd w:val="0"/>
              <w:rPr>
                <w:rFonts w:eastAsia="Calibri"/>
                <w:sz w:val="20"/>
                <w:szCs w:val="20"/>
                <w:lang w:val="en-US" w:eastAsia="zh-CN"/>
              </w:rPr>
            </w:pPr>
          </w:p>
        </w:tc>
        <w:tc>
          <w:tcPr>
            <w:tcW w:w="1843" w:type="dxa"/>
            <w:shd w:val="clear" w:color="auto" w:fill="EEECE1"/>
          </w:tcPr>
          <w:p w14:paraId="1C34332B" w14:textId="4234ECD4" w:rsidR="00B16CAD" w:rsidRPr="002A616F" w:rsidRDefault="00B16CAD" w:rsidP="00B16CAD">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100% (</w:t>
            </w:r>
            <w:r w:rsidR="00FE6EBB">
              <w:rPr>
                <w:rFonts w:eastAsia="Calibri"/>
                <w:sz w:val="20"/>
                <w:szCs w:val="20"/>
                <w:lang w:val="en-US" w:eastAsia="zh-CN"/>
              </w:rPr>
              <w:t>Feb. 2021</w:t>
            </w:r>
            <w:r w:rsidRPr="002A616F">
              <w:rPr>
                <w:rFonts w:eastAsia="Calibri"/>
                <w:sz w:val="20"/>
                <w:szCs w:val="20"/>
                <w:lang w:val="en-US" w:eastAsia="zh-CN"/>
              </w:rPr>
              <w:t>)</w:t>
            </w:r>
          </w:p>
          <w:p w14:paraId="199BA92D" w14:textId="77777777" w:rsidR="00B16CAD" w:rsidRPr="002A616F" w:rsidRDefault="00B16CAD" w:rsidP="00B16CAD">
            <w:pPr>
              <w:rPr>
                <w:sz w:val="20"/>
                <w:szCs w:val="20"/>
              </w:rPr>
            </w:pPr>
          </w:p>
        </w:tc>
        <w:tc>
          <w:tcPr>
            <w:tcW w:w="1559" w:type="dxa"/>
          </w:tcPr>
          <w:p w14:paraId="03B5F1CD" w14:textId="77777777" w:rsidR="00B16CAD" w:rsidRPr="002A616F" w:rsidRDefault="00B16CAD" w:rsidP="00B16CAD">
            <w:pPr>
              <w:rPr>
                <w:b/>
                <w:sz w:val="20"/>
                <w:szCs w:val="20"/>
                <w:lang w:val="en-US" w:eastAsia="en-US"/>
              </w:rPr>
            </w:pPr>
            <w:r w:rsidRPr="002A616F">
              <w:rPr>
                <w:rFonts w:eastAsia="Calibri"/>
                <w:b/>
                <w:bCs/>
                <w:sz w:val="20"/>
                <w:szCs w:val="20"/>
                <w:lang w:val="en-US" w:eastAsia="zh-CN"/>
              </w:rPr>
              <w:t>Milestones</w:t>
            </w:r>
            <w:r w:rsidRPr="002A616F">
              <w:rPr>
                <w:rFonts w:eastAsia="Calibri"/>
                <w:sz w:val="20"/>
                <w:szCs w:val="20"/>
                <w:lang w:val="en-US" w:eastAsia="zh-CN"/>
              </w:rPr>
              <w:t>: (Bi-annually)</w:t>
            </w:r>
          </w:p>
        </w:tc>
        <w:tc>
          <w:tcPr>
            <w:tcW w:w="3555" w:type="dxa"/>
          </w:tcPr>
          <w:p w14:paraId="7609FFC4" w14:textId="036E5730" w:rsidR="00B16CAD" w:rsidRPr="002A616F" w:rsidRDefault="00B16CAD" w:rsidP="00B16CAD">
            <w:pPr>
              <w:rPr>
                <w:sz w:val="20"/>
                <w:szCs w:val="20"/>
              </w:rPr>
            </w:pPr>
            <w:r w:rsidRPr="002A616F">
              <w:rPr>
                <w:sz w:val="20"/>
                <w:szCs w:val="20"/>
                <w:lang w:val="en-US" w:eastAsia="en-US"/>
              </w:rPr>
              <w:t xml:space="preserve"> A total </w:t>
            </w:r>
            <w:r w:rsidR="00FE6EBB" w:rsidRPr="002A616F">
              <w:rPr>
                <w:sz w:val="20"/>
                <w:szCs w:val="20"/>
                <w:lang w:val="en-US" w:eastAsia="en-US"/>
              </w:rPr>
              <w:t>of 9,827</w:t>
            </w:r>
            <w:r w:rsidRPr="002A616F">
              <w:rPr>
                <w:sz w:val="20"/>
                <w:szCs w:val="20"/>
                <w:lang w:val="en-US" w:eastAsia="en-US"/>
              </w:rPr>
              <w:t xml:space="preserve"> </w:t>
            </w:r>
            <w:r w:rsidR="00FE6EBB" w:rsidRPr="002A616F">
              <w:rPr>
                <w:sz w:val="20"/>
                <w:szCs w:val="20"/>
                <w:lang w:val="en-US" w:eastAsia="en-US"/>
              </w:rPr>
              <w:t>(more</w:t>
            </w:r>
            <w:r w:rsidRPr="002A616F">
              <w:rPr>
                <w:sz w:val="20"/>
                <w:szCs w:val="20"/>
                <w:lang w:val="en-US" w:eastAsia="en-US"/>
              </w:rPr>
              <w:t xml:space="preserve"> </w:t>
            </w:r>
            <w:r w:rsidR="00FE6EBB" w:rsidRPr="002A616F">
              <w:rPr>
                <w:sz w:val="20"/>
                <w:szCs w:val="20"/>
                <w:lang w:val="en-US" w:eastAsia="en-US"/>
              </w:rPr>
              <w:t>than the</w:t>
            </w:r>
            <w:r w:rsidRPr="002A616F">
              <w:rPr>
                <w:sz w:val="20"/>
                <w:szCs w:val="20"/>
                <w:lang w:val="en-US" w:eastAsia="en-US"/>
              </w:rPr>
              <w:t xml:space="preserve"> 670 targeted Disadvantaged Youth) were reached</w:t>
            </w:r>
          </w:p>
        </w:tc>
        <w:tc>
          <w:tcPr>
            <w:tcW w:w="2903" w:type="dxa"/>
          </w:tcPr>
          <w:p w14:paraId="418532DA" w14:textId="77777777" w:rsidR="00B16CAD" w:rsidRPr="002A616F" w:rsidRDefault="00B16CAD" w:rsidP="00B16CAD">
            <w:pPr>
              <w:pStyle w:val="ListParagraph"/>
              <w:numPr>
                <w:ilvl w:val="0"/>
                <w:numId w:val="9"/>
              </w:numPr>
              <w:rPr>
                <w:sz w:val="20"/>
                <w:szCs w:val="20"/>
              </w:rPr>
            </w:pPr>
            <w:r w:rsidRPr="002A616F">
              <w:rPr>
                <w:sz w:val="20"/>
                <w:szCs w:val="20"/>
                <w:lang w:val="en-US" w:eastAsia="en-US"/>
              </w:rPr>
              <w:t>The target was understated</w:t>
            </w:r>
          </w:p>
          <w:p w14:paraId="2DFCA0A6" w14:textId="1588F735" w:rsidR="00B16CAD" w:rsidRPr="002A616F" w:rsidRDefault="00B16CAD" w:rsidP="00B16CAD">
            <w:pPr>
              <w:pStyle w:val="ListParagraph"/>
              <w:numPr>
                <w:ilvl w:val="0"/>
                <w:numId w:val="9"/>
              </w:numPr>
              <w:rPr>
                <w:sz w:val="20"/>
                <w:szCs w:val="20"/>
              </w:rPr>
            </w:pPr>
            <w:r w:rsidRPr="002A616F">
              <w:rPr>
                <w:sz w:val="20"/>
                <w:szCs w:val="20"/>
              </w:rPr>
              <w:t xml:space="preserve">Change in strategy </w:t>
            </w:r>
            <w:r w:rsidR="00FE6EBB" w:rsidRPr="002A616F">
              <w:rPr>
                <w:sz w:val="20"/>
                <w:szCs w:val="20"/>
              </w:rPr>
              <w:t>(awaiting</w:t>
            </w:r>
            <w:r w:rsidRPr="002A616F">
              <w:rPr>
                <w:sz w:val="20"/>
                <w:szCs w:val="20"/>
              </w:rPr>
              <w:t xml:space="preserve"> beneficiaries to attend clinic to that of reaching them in the Ghetto and community Setting)</w:t>
            </w:r>
          </w:p>
          <w:p w14:paraId="78A5E82D" w14:textId="0CA9B063" w:rsidR="00B16CAD" w:rsidRPr="002A616F" w:rsidRDefault="00B16CAD" w:rsidP="002A616F">
            <w:pPr>
              <w:pStyle w:val="ListParagraph"/>
              <w:numPr>
                <w:ilvl w:val="0"/>
                <w:numId w:val="9"/>
              </w:numPr>
              <w:rPr>
                <w:sz w:val="20"/>
                <w:szCs w:val="20"/>
              </w:rPr>
            </w:pPr>
            <w:r w:rsidRPr="002A616F">
              <w:rPr>
                <w:sz w:val="20"/>
                <w:szCs w:val="20"/>
              </w:rPr>
              <w:t>Training in Drug addiction Treatment</w:t>
            </w:r>
          </w:p>
        </w:tc>
      </w:tr>
      <w:tr w:rsidR="00B16CAD" w:rsidRPr="002A616F" w14:paraId="7316448D" w14:textId="77777777" w:rsidTr="002A616F">
        <w:trPr>
          <w:trHeight w:val="548"/>
        </w:trPr>
        <w:tc>
          <w:tcPr>
            <w:tcW w:w="1931" w:type="dxa"/>
            <w:vMerge/>
          </w:tcPr>
          <w:p w14:paraId="2F4952BF" w14:textId="77777777" w:rsidR="00B16CAD" w:rsidRPr="002A616F" w:rsidRDefault="00B16CAD" w:rsidP="00B16CAD">
            <w:pPr>
              <w:rPr>
                <w:b/>
                <w:sz w:val="20"/>
                <w:szCs w:val="20"/>
                <w:lang w:val="en-US" w:eastAsia="en-US"/>
              </w:rPr>
            </w:pPr>
          </w:p>
        </w:tc>
        <w:tc>
          <w:tcPr>
            <w:tcW w:w="2835" w:type="dxa"/>
            <w:shd w:val="clear" w:color="auto" w:fill="EEECE1"/>
          </w:tcPr>
          <w:p w14:paraId="2AF82A6D" w14:textId="77777777" w:rsidR="00B16CAD" w:rsidRPr="002A616F" w:rsidRDefault="00B16CAD" w:rsidP="00B16CAD">
            <w:pPr>
              <w:jc w:val="both"/>
              <w:rPr>
                <w:b/>
                <w:bCs/>
                <w:sz w:val="20"/>
                <w:szCs w:val="20"/>
                <w:lang w:val="en-US" w:eastAsia="en-US"/>
              </w:rPr>
            </w:pPr>
            <w:r w:rsidRPr="002A616F">
              <w:rPr>
                <w:b/>
                <w:bCs/>
                <w:sz w:val="20"/>
                <w:szCs w:val="20"/>
                <w:lang w:val="en-US" w:eastAsia="en-US"/>
              </w:rPr>
              <w:t>Indicator 1.2</w:t>
            </w:r>
          </w:p>
          <w:p w14:paraId="0D80648D"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Percentage of</w:t>
            </w:r>
          </w:p>
          <w:p w14:paraId="119E3D9B" w14:textId="77777777" w:rsidR="00B16CAD" w:rsidRPr="002A616F" w:rsidRDefault="00B16CAD" w:rsidP="00B16CAD">
            <w:pPr>
              <w:autoSpaceDE w:val="0"/>
              <w:autoSpaceDN w:val="0"/>
              <w:adjustRightInd w:val="0"/>
              <w:rPr>
                <w:rFonts w:eastAsia="Calibri"/>
                <w:sz w:val="20"/>
                <w:szCs w:val="20"/>
                <w:lang w:val="en-US" w:eastAsia="zh-CN"/>
              </w:rPr>
            </w:pP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reintegrated and coexisting</w:t>
            </w:r>
          </w:p>
          <w:p w14:paraId="7EAE289D"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with families/community</w:t>
            </w:r>
          </w:p>
          <w:p w14:paraId="7A590FE9" w14:textId="77777777" w:rsidR="00B16CAD" w:rsidRPr="002A616F" w:rsidRDefault="00B16CAD" w:rsidP="00B16CAD">
            <w:pPr>
              <w:jc w:val="both"/>
              <w:rPr>
                <w:sz w:val="20"/>
                <w:szCs w:val="20"/>
                <w:lang w:val="en-US" w:eastAsia="en-US"/>
              </w:rPr>
            </w:pPr>
            <w:r w:rsidRPr="002A616F">
              <w:rPr>
                <w:rFonts w:eastAsia="Calibri"/>
                <w:sz w:val="20"/>
                <w:szCs w:val="20"/>
                <w:lang w:val="en-US" w:eastAsia="zh-CN"/>
              </w:rPr>
              <w:t>members in Montserrado county</w:t>
            </w:r>
          </w:p>
        </w:tc>
        <w:tc>
          <w:tcPr>
            <w:tcW w:w="1417" w:type="dxa"/>
            <w:shd w:val="clear" w:color="auto" w:fill="EEECE1"/>
          </w:tcPr>
          <w:p w14:paraId="45C447AB"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0 (2018 December)</w:t>
            </w:r>
          </w:p>
          <w:p w14:paraId="15FE45DD" w14:textId="77777777" w:rsidR="00B16CAD" w:rsidRPr="002A616F" w:rsidRDefault="00B16CAD" w:rsidP="00B16CAD">
            <w:pPr>
              <w:rPr>
                <w:sz w:val="20"/>
                <w:szCs w:val="20"/>
              </w:rPr>
            </w:pPr>
          </w:p>
        </w:tc>
        <w:tc>
          <w:tcPr>
            <w:tcW w:w="1843" w:type="dxa"/>
            <w:shd w:val="clear" w:color="auto" w:fill="EEECE1"/>
          </w:tcPr>
          <w:p w14:paraId="56CAE17C"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 xml:space="preserve">40%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 and 40% </w:t>
            </w:r>
            <w:proofErr w:type="spellStart"/>
            <w:r w:rsidRPr="002A616F">
              <w:rPr>
                <w:rFonts w:eastAsia="Calibri"/>
                <w:sz w:val="20"/>
                <w:szCs w:val="20"/>
                <w:lang w:val="en-US" w:eastAsia="zh-CN"/>
              </w:rPr>
              <w:t>zogese</w:t>
            </w:r>
            <w:proofErr w:type="spellEnd"/>
          </w:p>
          <w:p w14:paraId="403946B6" w14:textId="2B168B6F"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w:t>
            </w:r>
            <w:r w:rsidR="00FE6EBB">
              <w:rPr>
                <w:rFonts w:eastAsia="Calibri"/>
                <w:sz w:val="20"/>
                <w:szCs w:val="20"/>
                <w:lang w:val="en-US" w:eastAsia="zh-CN"/>
              </w:rPr>
              <w:t>Feb. 2021</w:t>
            </w:r>
            <w:r w:rsidRPr="002A616F">
              <w:rPr>
                <w:rFonts w:eastAsia="Calibri"/>
                <w:sz w:val="20"/>
                <w:szCs w:val="20"/>
                <w:lang w:val="en-US" w:eastAsia="zh-CN"/>
              </w:rPr>
              <w:t>)</w:t>
            </w:r>
          </w:p>
          <w:p w14:paraId="705A86D6" w14:textId="2693B108" w:rsidR="00B16CAD" w:rsidRPr="002A616F" w:rsidRDefault="00B16CAD" w:rsidP="00B16CAD">
            <w:pPr>
              <w:rPr>
                <w:sz w:val="20"/>
                <w:szCs w:val="20"/>
              </w:rPr>
            </w:pPr>
          </w:p>
        </w:tc>
        <w:tc>
          <w:tcPr>
            <w:tcW w:w="1559" w:type="dxa"/>
          </w:tcPr>
          <w:p w14:paraId="5BF3ADF6" w14:textId="77777777" w:rsidR="00B16CAD" w:rsidRPr="002A616F" w:rsidRDefault="00B16CAD" w:rsidP="00B16CAD">
            <w:pPr>
              <w:rPr>
                <w:b/>
                <w:sz w:val="20"/>
                <w:szCs w:val="20"/>
                <w:lang w:val="en-US" w:eastAsia="en-US"/>
              </w:rPr>
            </w:pPr>
            <w:r w:rsidRPr="002A616F">
              <w:rPr>
                <w:rFonts w:eastAsia="Calibri"/>
                <w:b/>
                <w:bCs/>
                <w:sz w:val="20"/>
                <w:szCs w:val="20"/>
                <w:lang w:val="en-US" w:eastAsia="zh-CN"/>
              </w:rPr>
              <w:t xml:space="preserve">Milestones: </w:t>
            </w:r>
            <w:r w:rsidRPr="002A616F">
              <w:rPr>
                <w:rFonts w:eastAsia="Calibri"/>
                <w:sz w:val="20"/>
                <w:szCs w:val="20"/>
                <w:lang w:val="en-US" w:eastAsia="zh-CN"/>
              </w:rPr>
              <w:t>(Bi-annually)</w:t>
            </w:r>
          </w:p>
        </w:tc>
        <w:tc>
          <w:tcPr>
            <w:tcW w:w="3555" w:type="dxa"/>
          </w:tcPr>
          <w:p w14:paraId="2E6597B3" w14:textId="7EAA0790" w:rsidR="00B16CAD" w:rsidRPr="002A616F" w:rsidRDefault="00B16CAD" w:rsidP="00B16CAD">
            <w:pPr>
              <w:rPr>
                <w:sz w:val="20"/>
                <w:szCs w:val="20"/>
              </w:rPr>
            </w:pPr>
            <w:r w:rsidRPr="002A616F">
              <w:rPr>
                <w:sz w:val="20"/>
                <w:szCs w:val="20"/>
                <w:lang w:val="en-US" w:eastAsia="en-US"/>
              </w:rPr>
              <w:t>Total of 113 (48% of 321 stabilized from drugs) (61% females and 39% males) reunified with families whilst 196 (or 84) reintegrated into communitie</w:t>
            </w:r>
            <w:r w:rsidR="00FE6EBB">
              <w:rPr>
                <w:sz w:val="20"/>
                <w:szCs w:val="20"/>
                <w:lang w:val="en-US" w:eastAsia="en-US"/>
              </w:rPr>
              <w:t>s</w:t>
            </w:r>
            <w:r w:rsidRPr="002A616F">
              <w:rPr>
                <w:sz w:val="20"/>
                <w:szCs w:val="20"/>
                <w:lang w:val="en-US" w:eastAsia="en-US"/>
              </w:rPr>
              <w:t xml:space="preserve">. </w:t>
            </w:r>
          </w:p>
        </w:tc>
        <w:tc>
          <w:tcPr>
            <w:tcW w:w="2903" w:type="dxa"/>
          </w:tcPr>
          <w:p w14:paraId="0A7985FF" w14:textId="5B7EC1F7" w:rsidR="00B16CAD" w:rsidRPr="002A616F" w:rsidRDefault="00B16CAD" w:rsidP="00B16CAD">
            <w:pPr>
              <w:rPr>
                <w:sz w:val="20"/>
                <w:szCs w:val="20"/>
              </w:rPr>
            </w:pPr>
            <w:r w:rsidRPr="002A616F">
              <w:rPr>
                <w:sz w:val="20"/>
                <w:szCs w:val="20"/>
                <w:lang w:val="en-US" w:eastAsia="en-US"/>
              </w:rPr>
              <w:t>The indicator did not consider those who would want to live on their own after rehabilitation. As such, it was re</w:t>
            </w:r>
            <w:r w:rsidR="00FE6EBB">
              <w:rPr>
                <w:sz w:val="20"/>
                <w:szCs w:val="20"/>
                <w:lang w:val="en-US" w:eastAsia="en-US"/>
              </w:rPr>
              <w:t>-</w:t>
            </w:r>
            <w:r w:rsidRPr="002A616F">
              <w:rPr>
                <w:sz w:val="20"/>
                <w:szCs w:val="20"/>
                <w:lang w:val="en-US" w:eastAsia="en-US"/>
              </w:rPr>
              <w:t xml:space="preserve">defined to consider reintegration as </w:t>
            </w:r>
            <w:r w:rsidR="00FE6EBB">
              <w:rPr>
                <w:sz w:val="20"/>
                <w:szCs w:val="20"/>
                <w:lang w:val="en-US" w:eastAsia="en-US"/>
              </w:rPr>
              <w:t>c</w:t>
            </w:r>
            <w:r w:rsidRPr="002A616F">
              <w:rPr>
                <w:sz w:val="20"/>
                <w:szCs w:val="20"/>
                <w:lang w:val="en-US" w:eastAsia="en-US"/>
              </w:rPr>
              <w:t xml:space="preserve">ommunity resident rather than into a home with parent or </w:t>
            </w:r>
            <w:r w:rsidR="00FE6EBB">
              <w:rPr>
                <w:sz w:val="20"/>
                <w:szCs w:val="20"/>
                <w:lang w:val="en-US" w:eastAsia="en-US"/>
              </w:rPr>
              <w:t>g</w:t>
            </w:r>
            <w:r w:rsidRPr="002A616F">
              <w:rPr>
                <w:sz w:val="20"/>
                <w:szCs w:val="20"/>
                <w:lang w:val="en-US" w:eastAsia="en-US"/>
              </w:rPr>
              <w:t xml:space="preserve">uardian </w:t>
            </w:r>
          </w:p>
        </w:tc>
      </w:tr>
      <w:tr w:rsidR="00B16CAD" w:rsidRPr="002A616F" w14:paraId="27B54D6E" w14:textId="77777777" w:rsidTr="002A616F">
        <w:trPr>
          <w:trHeight w:val="872"/>
        </w:trPr>
        <w:tc>
          <w:tcPr>
            <w:tcW w:w="1931" w:type="dxa"/>
            <w:vMerge w:val="restart"/>
          </w:tcPr>
          <w:p w14:paraId="4A5BDF81" w14:textId="77777777" w:rsidR="00B16CAD" w:rsidRPr="002A616F" w:rsidRDefault="00B16CAD" w:rsidP="00B16CAD">
            <w:pPr>
              <w:rPr>
                <w:b/>
                <w:bCs/>
                <w:sz w:val="20"/>
                <w:szCs w:val="20"/>
                <w:u w:val="single"/>
                <w:lang w:val="en-US" w:eastAsia="en-US"/>
              </w:rPr>
            </w:pPr>
            <w:r w:rsidRPr="002A616F">
              <w:rPr>
                <w:b/>
                <w:bCs/>
                <w:sz w:val="20"/>
                <w:szCs w:val="20"/>
                <w:u w:val="single"/>
                <w:lang w:val="en-US" w:eastAsia="en-US"/>
              </w:rPr>
              <w:t>Output 1.1</w:t>
            </w:r>
          </w:p>
          <w:p w14:paraId="419A3B85"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Capacity of</w:t>
            </w:r>
          </w:p>
          <w:p w14:paraId="54EA271F"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three drop-in centers</w:t>
            </w:r>
          </w:p>
          <w:p w14:paraId="35EBA6E1"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strengthened to provide</w:t>
            </w:r>
          </w:p>
          <w:p w14:paraId="2C6DDEAE"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lastRenderedPageBreak/>
              <w:t>psycho-social, mental and</w:t>
            </w:r>
          </w:p>
          <w:p w14:paraId="0E0483FE" w14:textId="77777777" w:rsidR="00B16CAD" w:rsidRPr="002A616F" w:rsidRDefault="00B16CAD" w:rsidP="00B16CAD">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SRH services to 670</w:t>
            </w:r>
          </w:p>
          <w:p w14:paraId="5E486563" w14:textId="77777777" w:rsidR="00B16CAD" w:rsidRPr="002A616F" w:rsidRDefault="00B16CAD" w:rsidP="00B16CAD">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w:t>
            </w:r>
            <w:proofErr w:type="spellStart"/>
            <w:r w:rsidRPr="002A616F">
              <w:rPr>
                <w:rFonts w:eastAsia="Calibri"/>
                <w:b/>
                <w:bCs/>
                <w:sz w:val="20"/>
                <w:szCs w:val="20"/>
                <w:lang w:val="en-US" w:eastAsia="zh-CN"/>
              </w:rPr>
              <w:t>Zogesse</w:t>
            </w:r>
            <w:proofErr w:type="spellEnd"/>
            <w:r w:rsidRPr="002A616F">
              <w:rPr>
                <w:rFonts w:eastAsia="Calibri"/>
                <w:b/>
                <w:bCs/>
                <w:sz w:val="20"/>
                <w:szCs w:val="20"/>
                <w:lang w:val="en-US" w:eastAsia="zh-CN"/>
              </w:rPr>
              <w:t xml:space="preserve"> in</w:t>
            </w:r>
          </w:p>
          <w:p w14:paraId="1A66770F" w14:textId="77777777" w:rsidR="00B16CAD" w:rsidRPr="002A616F" w:rsidRDefault="00B16CAD" w:rsidP="00B16CAD">
            <w:pPr>
              <w:rPr>
                <w:sz w:val="20"/>
                <w:szCs w:val="20"/>
                <w:lang w:val="en-US" w:eastAsia="en-US"/>
              </w:rPr>
            </w:pPr>
            <w:r w:rsidRPr="002A616F">
              <w:rPr>
                <w:rFonts w:eastAsia="Calibri"/>
                <w:b/>
                <w:bCs/>
                <w:sz w:val="20"/>
                <w:szCs w:val="20"/>
                <w:lang w:val="en-US" w:eastAsia="zh-CN"/>
              </w:rPr>
              <w:t>Montserrado County</w:t>
            </w:r>
          </w:p>
          <w:p w14:paraId="67F24A19" w14:textId="77777777" w:rsidR="00B16CAD" w:rsidRPr="002A616F" w:rsidRDefault="00B16CAD" w:rsidP="00B16CAD">
            <w:pPr>
              <w:rPr>
                <w:b/>
                <w:sz w:val="20"/>
                <w:szCs w:val="20"/>
                <w:lang w:val="en-US" w:eastAsia="en-US"/>
              </w:rPr>
            </w:pPr>
          </w:p>
        </w:tc>
        <w:tc>
          <w:tcPr>
            <w:tcW w:w="2835" w:type="dxa"/>
            <w:shd w:val="clear" w:color="auto" w:fill="EEECE1"/>
          </w:tcPr>
          <w:p w14:paraId="55117E24" w14:textId="77777777" w:rsidR="00B16CAD" w:rsidRPr="002A616F" w:rsidRDefault="00B16CAD" w:rsidP="00B16CAD">
            <w:pPr>
              <w:jc w:val="both"/>
              <w:rPr>
                <w:b/>
                <w:bCs/>
                <w:sz w:val="20"/>
                <w:szCs w:val="20"/>
                <w:lang w:val="en-US" w:eastAsia="en-US"/>
              </w:rPr>
            </w:pPr>
            <w:r w:rsidRPr="002A616F">
              <w:rPr>
                <w:b/>
                <w:bCs/>
                <w:sz w:val="20"/>
                <w:szCs w:val="20"/>
                <w:lang w:val="en-US" w:eastAsia="en-US"/>
              </w:rPr>
              <w:lastRenderedPageBreak/>
              <w:t>Indicator 1.1.1</w:t>
            </w:r>
          </w:p>
          <w:p w14:paraId="60361578" w14:textId="0A1C9860"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Number of drop-in centers capacitated and providing</w:t>
            </w:r>
          </w:p>
          <w:p w14:paraId="15E27AEE"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sz w:val="20"/>
                <w:szCs w:val="20"/>
                <w:lang w:val="en-US" w:eastAsia="zh-CN"/>
              </w:rPr>
              <w:t>psycho-social, mental and SRH services</w:t>
            </w:r>
          </w:p>
          <w:p w14:paraId="2C92CA3D" w14:textId="77777777" w:rsidR="00B16CAD" w:rsidRPr="002A616F" w:rsidRDefault="00B16CAD" w:rsidP="00B16CAD">
            <w:pPr>
              <w:jc w:val="both"/>
              <w:rPr>
                <w:sz w:val="20"/>
                <w:szCs w:val="20"/>
                <w:lang w:val="en-US" w:eastAsia="en-US"/>
              </w:rPr>
            </w:pPr>
            <w:r w:rsidRPr="002A616F">
              <w:rPr>
                <w:rFonts w:eastAsia="Calibri"/>
                <w:sz w:val="20"/>
                <w:szCs w:val="20"/>
                <w:lang w:val="en-US" w:eastAsia="zh-CN"/>
              </w:rPr>
              <w:t xml:space="preserve">to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 </w:t>
            </w:r>
            <w:proofErr w:type="spellStart"/>
            <w:r w:rsidRPr="002A616F">
              <w:rPr>
                <w:rFonts w:eastAsia="Calibri"/>
                <w:sz w:val="20"/>
                <w:szCs w:val="20"/>
                <w:lang w:val="en-US" w:eastAsia="zh-CN"/>
              </w:rPr>
              <w:t>Zogesse</w:t>
            </w:r>
            <w:proofErr w:type="spellEnd"/>
          </w:p>
        </w:tc>
        <w:tc>
          <w:tcPr>
            <w:tcW w:w="1417" w:type="dxa"/>
            <w:shd w:val="clear" w:color="auto" w:fill="EEECE1"/>
          </w:tcPr>
          <w:p w14:paraId="16654E78" w14:textId="77777777" w:rsidR="00B16CAD" w:rsidRPr="002A616F" w:rsidRDefault="00B16CAD" w:rsidP="00B16CAD">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3 drop-in centers exist with</w:t>
            </w:r>
          </w:p>
          <w:p w14:paraId="16F02276" w14:textId="060E5A6B" w:rsidR="00B16CAD" w:rsidRPr="002A616F" w:rsidRDefault="00B16CAD" w:rsidP="00B16CAD">
            <w:pPr>
              <w:autoSpaceDE w:val="0"/>
              <w:autoSpaceDN w:val="0"/>
              <w:adjustRightInd w:val="0"/>
              <w:rPr>
                <w:sz w:val="20"/>
                <w:szCs w:val="20"/>
              </w:rPr>
            </w:pPr>
            <w:r w:rsidRPr="002A616F">
              <w:rPr>
                <w:rFonts w:eastAsia="Calibri"/>
                <w:sz w:val="20"/>
                <w:szCs w:val="20"/>
                <w:lang w:val="en-US" w:eastAsia="zh-CN"/>
              </w:rPr>
              <w:t>limited capacity</w:t>
            </w:r>
          </w:p>
        </w:tc>
        <w:tc>
          <w:tcPr>
            <w:tcW w:w="1843" w:type="dxa"/>
            <w:shd w:val="clear" w:color="auto" w:fill="EEECE1"/>
          </w:tcPr>
          <w:p w14:paraId="1566CC28" w14:textId="1AEFD939" w:rsidR="00B16CAD" w:rsidRPr="002A616F" w:rsidRDefault="00B16CAD" w:rsidP="00B16CAD">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3 (</w:t>
            </w:r>
            <w:r w:rsidR="00FE6EBB">
              <w:rPr>
                <w:rFonts w:eastAsia="Calibri"/>
                <w:sz w:val="20"/>
                <w:szCs w:val="20"/>
                <w:lang w:val="en-US" w:eastAsia="zh-CN"/>
              </w:rPr>
              <w:t>Feb. 2021</w:t>
            </w:r>
            <w:r w:rsidRPr="002A616F">
              <w:rPr>
                <w:rFonts w:eastAsia="Calibri"/>
                <w:sz w:val="20"/>
                <w:szCs w:val="20"/>
                <w:lang w:val="en-US" w:eastAsia="zh-CN"/>
              </w:rPr>
              <w:t>)</w:t>
            </w:r>
          </w:p>
          <w:p w14:paraId="23B2D25B" w14:textId="77777777" w:rsidR="00B16CAD" w:rsidRPr="002A616F" w:rsidRDefault="00B16CAD" w:rsidP="00B16CAD">
            <w:pPr>
              <w:rPr>
                <w:sz w:val="20"/>
                <w:szCs w:val="20"/>
              </w:rPr>
            </w:pPr>
          </w:p>
        </w:tc>
        <w:tc>
          <w:tcPr>
            <w:tcW w:w="1559" w:type="dxa"/>
          </w:tcPr>
          <w:p w14:paraId="1E3CACE6" w14:textId="77777777" w:rsidR="00B16CAD" w:rsidRPr="002A616F" w:rsidRDefault="00B16CAD" w:rsidP="00B16CAD">
            <w:pPr>
              <w:rPr>
                <w:b/>
                <w:sz w:val="20"/>
                <w:szCs w:val="20"/>
                <w:lang w:val="en-US" w:eastAsia="en-US"/>
              </w:rPr>
            </w:pPr>
            <w:r w:rsidRPr="002A616F">
              <w:rPr>
                <w:rFonts w:eastAsia="Calibri"/>
                <w:b/>
                <w:bCs/>
                <w:sz w:val="20"/>
                <w:szCs w:val="20"/>
                <w:lang w:val="en-US" w:eastAsia="zh-CN"/>
              </w:rPr>
              <w:t xml:space="preserve">Milestones: </w:t>
            </w:r>
            <w:r w:rsidRPr="002A616F">
              <w:rPr>
                <w:rFonts w:eastAsia="Calibri"/>
                <w:sz w:val="20"/>
                <w:szCs w:val="20"/>
                <w:lang w:val="en-US" w:eastAsia="zh-CN"/>
              </w:rPr>
              <w:t>(Quarterly or bi-annually</w:t>
            </w:r>
          </w:p>
        </w:tc>
        <w:tc>
          <w:tcPr>
            <w:tcW w:w="3555" w:type="dxa"/>
          </w:tcPr>
          <w:p w14:paraId="4B59EB25" w14:textId="77777777" w:rsidR="00B16CAD" w:rsidRPr="002A616F" w:rsidRDefault="00B16CAD" w:rsidP="00B16CAD">
            <w:pPr>
              <w:rPr>
                <w:sz w:val="20"/>
                <w:szCs w:val="20"/>
                <w:lang w:val="en-US" w:eastAsia="en-US"/>
              </w:rPr>
            </w:pPr>
            <w:r w:rsidRPr="002A616F">
              <w:rPr>
                <w:sz w:val="20"/>
                <w:szCs w:val="20"/>
                <w:lang w:val="en-US" w:eastAsia="en-US"/>
              </w:rPr>
              <w:t>3 drop-in centers integrated into existing health facilities and providing SRHR, psychosocial and mental health services</w:t>
            </w:r>
          </w:p>
          <w:p w14:paraId="5C8CFD66" w14:textId="77777777" w:rsidR="00B16CAD" w:rsidRPr="002A616F" w:rsidRDefault="00B16CAD" w:rsidP="00B16CAD">
            <w:pPr>
              <w:rPr>
                <w:sz w:val="20"/>
                <w:szCs w:val="20"/>
              </w:rPr>
            </w:pPr>
          </w:p>
        </w:tc>
        <w:tc>
          <w:tcPr>
            <w:tcW w:w="2903" w:type="dxa"/>
          </w:tcPr>
          <w:p w14:paraId="7AE4B965" w14:textId="77777777" w:rsidR="00B16CAD" w:rsidRPr="002A616F" w:rsidRDefault="00B16CAD" w:rsidP="002A616F">
            <w:pPr>
              <w:pStyle w:val="ListParagraph"/>
              <w:numPr>
                <w:ilvl w:val="0"/>
                <w:numId w:val="12"/>
              </w:numPr>
              <w:rPr>
                <w:sz w:val="20"/>
                <w:szCs w:val="20"/>
                <w:lang w:val="en-US" w:eastAsia="en-US"/>
              </w:rPr>
            </w:pPr>
            <w:r w:rsidRPr="002A616F">
              <w:rPr>
                <w:sz w:val="20"/>
                <w:szCs w:val="20"/>
                <w:lang w:val="en-US" w:eastAsia="en-US"/>
              </w:rPr>
              <w:t>Done as planned</w:t>
            </w:r>
          </w:p>
          <w:p w14:paraId="27E217BC" w14:textId="4CD2A33C" w:rsidR="00B16CAD" w:rsidRPr="002A616F" w:rsidRDefault="00B16CAD" w:rsidP="002A616F">
            <w:pPr>
              <w:pStyle w:val="ListParagraph"/>
              <w:numPr>
                <w:ilvl w:val="0"/>
                <w:numId w:val="12"/>
              </w:numPr>
              <w:rPr>
                <w:sz w:val="20"/>
                <w:szCs w:val="20"/>
              </w:rPr>
            </w:pPr>
            <w:r w:rsidRPr="002A616F">
              <w:rPr>
                <w:sz w:val="20"/>
                <w:szCs w:val="20"/>
                <w:lang w:val="en-US" w:eastAsia="en-US"/>
              </w:rPr>
              <w:t xml:space="preserve">The three </w:t>
            </w:r>
            <w:r w:rsidR="00E34F6B" w:rsidRPr="002A616F">
              <w:rPr>
                <w:sz w:val="20"/>
                <w:szCs w:val="20"/>
                <w:lang w:val="en-US" w:eastAsia="en-US"/>
              </w:rPr>
              <w:t>drop-in</w:t>
            </w:r>
            <w:r w:rsidRPr="002A616F">
              <w:rPr>
                <w:sz w:val="20"/>
                <w:szCs w:val="20"/>
                <w:lang w:val="en-US" w:eastAsia="en-US"/>
              </w:rPr>
              <w:t xml:space="preserve"> centers were equipped with drugs, commodities and human resources to ensure quality service </w:t>
            </w:r>
            <w:r w:rsidR="00E34F6B" w:rsidRPr="002A616F">
              <w:rPr>
                <w:sz w:val="20"/>
                <w:szCs w:val="20"/>
                <w:lang w:val="en-US" w:eastAsia="en-US"/>
              </w:rPr>
              <w:t>delivery</w:t>
            </w:r>
          </w:p>
        </w:tc>
      </w:tr>
      <w:tr w:rsidR="002A616F" w:rsidRPr="002A616F" w14:paraId="7A17ED48" w14:textId="77777777" w:rsidTr="002A616F">
        <w:trPr>
          <w:trHeight w:val="2205"/>
        </w:trPr>
        <w:tc>
          <w:tcPr>
            <w:tcW w:w="1931" w:type="dxa"/>
            <w:vMerge/>
          </w:tcPr>
          <w:p w14:paraId="71684F66" w14:textId="77777777" w:rsidR="002A616F" w:rsidRPr="002A616F" w:rsidRDefault="002A616F" w:rsidP="002A616F">
            <w:pPr>
              <w:rPr>
                <w:b/>
                <w:sz w:val="20"/>
                <w:szCs w:val="20"/>
                <w:lang w:val="en-US" w:eastAsia="en-US"/>
              </w:rPr>
            </w:pPr>
          </w:p>
        </w:tc>
        <w:tc>
          <w:tcPr>
            <w:tcW w:w="2835" w:type="dxa"/>
            <w:tcBorders>
              <w:bottom w:val="single" w:sz="4" w:space="0" w:color="auto"/>
            </w:tcBorders>
            <w:shd w:val="clear" w:color="auto" w:fill="EEECE1"/>
          </w:tcPr>
          <w:p w14:paraId="6C1786CE" w14:textId="38571BEF" w:rsidR="002A616F" w:rsidRPr="002A616F" w:rsidRDefault="002A616F" w:rsidP="002A616F">
            <w:pPr>
              <w:rPr>
                <w:b/>
                <w:bCs/>
                <w:sz w:val="20"/>
                <w:szCs w:val="20"/>
                <w:lang w:val="en-US" w:eastAsia="en-US"/>
              </w:rPr>
            </w:pPr>
            <w:r w:rsidRPr="002A616F">
              <w:rPr>
                <w:b/>
                <w:bCs/>
                <w:sz w:val="20"/>
                <w:szCs w:val="20"/>
                <w:lang w:val="en-US" w:eastAsia="en-US"/>
              </w:rPr>
              <w:t>Indicator 1.1.2</w:t>
            </w:r>
          </w:p>
          <w:p w14:paraId="5AEC2C72" w14:textId="3E4953C6" w:rsidR="002A616F" w:rsidRPr="002A616F" w:rsidRDefault="002A616F" w:rsidP="002A616F">
            <w:pPr>
              <w:rPr>
                <w:rFonts w:eastAsia="Calibri"/>
                <w:sz w:val="20"/>
                <w:szCs w:val="20"/>
                <w:lang w:val="en-US" w:eastAsia="zh-CN"/>
              </w:rPr>
            </w:pPr>
            <w:r w:rsidRPr="002A616F">
              <w:rPr>
                <w:rFonts w:eastAsia="Calibri"/>
                <w:sz w:val="20"/>
                <w:szCs w:val="20"/>
                <w:lang w:val="en-US" w:eastAsia="zh-CN"/>
              </w:rPr>
              <w:t xml:space="preserve">Number of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 and </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provided with psychosocial support services (disaggregated by age, sex, and category)</w:t>
            </w:r>
          </w:p>
          <w:p w14:paraId="7C99D46B" w14:textId="77777777" w:rsidR="002A616F" w:rsidRPr="002A616F" w:rsidRDefault="002A616F" w:rsidP="002A616F">
            <w:pPr>
              <w:jc w:val="both"/>
              <w:rPr>
                <w:sz w:val="20"/>
                <w:szCs w:val="20"/>
                <w:lang w:val="en-US" w:eastAsia="en-US"/>
              </w:rPr>
            </w:pPr>
          </w:p>
        </w:tc>
        <w:tc>
          <w:tcPr>
            <w:tcW w:w="1417" w:type="dxa"/>
            <w:tcBorders>
              <w:bottom w:val="single" w:sz="4" w:space="0" w:color="auto"/>
            </w:tcBorders>
            <w:shd w:val="clear" w:color="auto" w:fill="EEECE1"/>
          </w:tcPr>
          <w:p w14:paraId="3476FA0B" w14:textId="55E7EEFD"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0 (2018 December)</w:t>
            </w:r>
          </w:p>
          <w:p w14:paraId="5363447F" w14:textId="77777777" w:rsidR="002A616F" w:rsidRPr="002A616F" w:rsidRDefault="002A616F" w:rsidP="002A616F">
            <w:pPr>
              <w:rPr>
                <w:sz w:val="20"/>
                <w:szCs w:val="20"/>
              </w:rPr>
            </w:pPr>
          </w:p>
        </w:tc>
        <w:tc>
          <w:tcPr>
            <w:tcW w:w="1843" w:type="dxa"/>
            <w:tcBorders>
              <w:bottom w:val="single" w:sz="4" w:space="0" w:color="auto"/>
            </w:tcBorders>
            <w:shd w:val="clear" w:color="auto" w:fill="EEECE1"/>
          </w:tcPr>
          <w:p w14:paraId="2247A770" w14:textId="7E6D2683"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 xml:space="preserve">670 (400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/270 </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w:t>
            </w:r>
            <w:r w:rsidR="00FE6EBB">
              <w:rPr>
                <w:rFonts w:eastAsia="Calibri"/>
                <w:sz w:val="20"/>
                <w:szCs w:val="20"/>
                <w:lang w:val="en-US" w:eastAsia="zh-CN"/>
              </w:rPr>
              <w:t>Feb. 2021</w:t>
            </w:r>
            <w:r w:rsidRPr="002A616F">
              <w:rPr>
                <w:rFonts w:eastAsia="Calibri"/>
                <w:sz w:val="20"/>
                <w:szCs w:val="20"/>
                <w:lang w:val="en-US" w:eastAsia="zh-CN"/>
              </w:rPr>
              <w:t>)</w:t>
            </w:r>
          </w:p>
          <w:p w14:paraId="31EF2B5C" w14:textId="77777777" w:rsidR="002A616F" w:rsidRPr="002A616F" w:rsidRDefault="002A616F" w:rsidP="002A616F">
            <w:pPr>
              <w:rPr>
                <w:sz w:val="20"/>
                <w:szCs w:val="20"/>
              </w:rPr>
            </w:pPr>
          </w:p>
        </w:tc>
        <w:tc>
          <w:tcPr>
            <w:tcW w:w="1559" w:type="dxa"/>
            <w:tcBorders>
              <w:bottom w:val="single" w:sz="4" w:space="0" w:color="auto"/>
            </w:tcBorders>
          </w:tcPr>
          <w:p w14:paraId="3F5F40B0" w14:textId="77777777" w:rsidR="002A616F" w:rsidRPr="002A616F" w:rsidRDefault="002A616F" w:rsidP="002A616F">
            <w:pPr>
              <w:rPr>
                <w:b/>
                <w:sz w:val="20"/>
                <w:szCs w:val="20"/>
                <w:lang w:val="en-US" w:eastAsia="en-US"/>
              </w:rPr>
            </w:pPr>
            <w:r w:rsidRPr="002A616F">
              <w:rPr>
                <w:rFonts w:eastAsia="Calibri"/>
                <w:b/>
                <w:bCs/>
                <w:sz w:val="20"/>
                <w:szCs w:val="20"/>
                <w:lang w:val="en-US" w:eastAsia="zh-CN"/>
              </w:rPr>
              <w:t>Milestones</w:t>
            </w:r>
            <w:r w:rsidRPr="002A616F">
              <w:rPr>
                <w:rFonts w:eastAsia="Calibri"/>
                <w:sz w:val="20"/>
                <w:szCs w:val="20"/>
                <w:lang w:val="en-US" w:eastAsia="zh-CN"/>
              </w:rPr>
              <w:t>: (Quarterly and bi-annually).</w:t>
            </w:r>
          </w:p>
        </w:tc>
        <w:tc>
          <w:tcPr>
            <w:tcW w:w="3555" w:type="dxa"/>
            <w:tcBorders>
              <w:bottom w:val="single" w:sz="4" w:space="0" w:color="auto"/>
            </w:tcBorders>
          </w:tcPr>
          <w:p w14:paraId="06624CBB" w14:textId="77777777" w:rsidR="002A616F" w:rsidRPr="002A616F" w:rsidRDefault="002A616F" w:rsidP="002A616F">
            <w:pPr>
              <w:rPr>
                <w:b/>
                <w:sz w:val="20"/>
                <w:szCs w:val="20"/>
                <w:lang w:val="en-US" w:eastAsia="en-US"/>
              </w:rPr>
            </w:pPr>
            <w:r w:rsidRPr="002A616F">
              <w:rPr>
                <w:sz w:val="20"/>
                <w:szCs w:val="20"/>
                <w:lang w:val="en-US" w:eastAsia="en-US"/>
              </w:rPr>
              <w:t>3,435 (2,117/62 males; 1318/38% females)</w:t>
            </w:r>
          </w:p>
          <w:p w14:paraId="04264AB3" w14:textId="77777777" w:rsidR="002A616F" w:rsidRPr="002A616F" w:rsidRDefault="002A616F" w:rsidP="002A616F">
            <w:pPr>
              <w:rPr>
                <w:b/>
                <w:sz w:val="20"/>
                <w:szCs w:val="20"/>
                <w:lang w:val="en-US" w:eastAsia="en-US"/>
              </w:rPr>
            </w:pPr>
          </w:p>
          <w:p w14:paraId="5770B1A6" w14:textId="77777777" w:rsidR="002A616F" w:rsidRPr="002A616F" w:rsidRDefault="002A616F" w:rsidP="002A616F">
            <w:pPr>
              <w:rPr>
                <w:sz w:val="20"/>
                <w:szCs w:val="20"/>
              </w:rPr>
            </w:pPr>
          </w:p>
        </w:tc>
        <w:tc>
          <w:tcPr>
            <w:tcW w:w="2903" w:type="dxa"/>
            <w:tcBorders>
              <w:bottom w:val="single" w:sz="4" w:space="0" w:color="auto"/>
            </w:tcBorders>
          </w:tcPr>
          <w:p w14:paraId="2DA97D11" w14:textId="77777777" w:rsidR="002A616F" w:rsidRPr="002A616F" w:rsidRDefault="002A616F" w:rsidP="002A616F">
            <w:pPr>
              <w:pStyle w:val="ListParagraph"/>
              <w:numPr>
                <w:ilvl w:val="0"/>
                <w:numId w:val="10"/>
              </w:numPr>
              <w:rPr>
                <w:bCs/>
                <w:sz w:val="20"/>
                <w:szCs w:val="20"/>
                <w:lang w:val="en-US" w:eastAsia="en-US"/>
              </w:rPr>
            </w:pPr>
            <w:r w:rsidRPr="002A616F">
              <w:rPr>
                <w:bCs/>
                <w:sz w:val="20"/>
                <w:szCs w:val="20"/>
                <w:lang w:val="en-US" w:eastAsia="en-US"/>
              </w:rPr>
              <w:t>The target was understated</w:t>
            </w:r>
          </w:p>
          <w:p w14:paraId="5A2FB2B1" w14:textId="77777777" w:rsidR="002A616F" w:rsidRPr="002A616F" w:rsidRDefault="002A616F" w:rsidP="002A616F">
            <w:pPr>
              <w:pStyle w:val="ListParagraph"/>
              <w:numPr>
                <w:ilvl w:val="0"/>
                <w:numId w:val="10"/>
              </w:numPr>
              <w:rPr>
                <w:bCs/>
                <w:sz w:val="20"/>
                <w:szCs w:val="20"/>
                <w:lang w:val="en-US" w:eastAsia="en-US"/>
              </w:rPr>
            </w:pPr>
            <w:r w:rsidRPr="002A616F">
              <w:rPr>
                <w:bCs/>
                <w:sz w:val="20"/>
                <w:szCs w:val="20"/>
                <w:lang w:val="en-US" w:eastAsia="en-US"/>
              </w:rPr>
              <w:t>Change in the strategy and approach for service delivery</w:t>
            </w:r>
          </w:p>
          <w:p w14:paraId="195C0426" w14:textId="3EA4C551" w:rsidR="002A616F" w:rsidRPr="002A616F" w:rsidRDefault="002A616F" w:rsidP="002A616F">
            <w:pPr>
              <w:rPr>
                <w:bCs/>
                <w:sz w:val="20"/>
                <w:szCs w:val="20"/>
              </w:rPr>
            </w:pPr>
          </w:p>
        </w:tc>
      </w:tr>
      <w:tr w:rsidR="002A616F" w:rsidRPr="002A616F" w14:paraId="50C582E9" w14:textId="77777777" w:rsidTr="002A616F">
        <w:trPr>
          <w:trHeight w:val="3338"/>
        </w:trPr>
        <w:tc>
          <w:tcPr>
            <w:tcW w:w="1931" w:type="dxa"/>
            <w:vMerge/>
          </w:tcPr>
          <w:p w14:paraId="02F6EE4D" w14:textId="77777777" w:rsidR="002A616F" w:rsidRPr="002A616F" w:rsidRDefault="002A616F" w:rsidP="002A616F">
            <w:pPr>
              <w:rPr>
                <w:b/>
                <w:sz w:val="20"/>
                <w:szCs w:val="20"/>
                <w:lang w:val="en-US" w:eastAsia="en-US"/>
              </w:rPr>
            </w:pPr>
          </w:p>
        </w:tc>
        <w:tc>
          <w:tcPr>
            <w:tcW w:w="2835" w:type="dxa"/>
            <w:tcBorders>
              <w:top w:val="single" w:sz="4" w:space="0" w:color="auto"/>
            </w:tcBorders>
            <w:shd w:val="clear" w:color="auto" w:fill="EEECE1"/>
          </w:tcPr>
          <w:p w14:paraId="33730AE6" w14:textId="37457863" w:rsidR="002A616F" w:rsidRPr="002A616F" w:rsidRDefault="002A616F" w:rsidP="002A616F">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Indicator 1.1.3</w:t>
            </w:r>
          </w:p>
          <w:p w14:paraId="4B3FCAE5" w14:textId="44DC3817" w:rsidR="002A616F" w:rsidRPr="002A616F" w:rsidRDefault="002A616F" w:rsidP="002A616F">
            <w:pPr>
              <w:autoSpaceDE w:val="0"/>
              <w:autoSpaceDN w:val="0"/>
              <w:adjustRightInd w:val="0"/>
              <w:rPr>
                <w:rFonts w:eastAsia="Calibri"/>
                <w:sz w:val="20"/>
                <w:szCs w:val="20"/>
                <w:lang w:val="en-US" w:eastAsia="zh-CN"/>
              </w:rPr>
            </w:pPr>
            <w:r w:rsidRPr="002A616F">
              <w:rPr>
                <w:rFonts w:eastAsia="Calibri"/>
                <w:sz w:val="20"/>
                <w:szCs w:val="20"/>
                <w:lang w:val="en-US" w:eastAsia="zh-CN"/>
              </w:rPr>
              <w:t xml:space="preserve">Number of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 and </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successfully</w:t>
            </w:r>
          </w:p>
          <w:p w14:paraId="69578D2E" w14:textId="77777777" w:rsidR="002A616F" w:rsidRPr="002A616F" w:rsidRDefault="002A616F" w:rsidP="002A616F">
            <w:pPr>
              <w:autoSpaceDE w:val="0"/>
              <w:autoSpaceDN w:val="0"/>
              <w:adjustRightInd w:val="0"/>
              <w:rPr>
                <w:rFonts w:eastAsia="Calibri"/>
                <w:sz w:val="20"/>
                <w:szCs w:val="20"/>
                <w:lang w:val="en-US" w:eastAsia="zh-CN"/>
              </w:rPr>
            </w:pPr>
            <w:r w:rsidRPr="002A616F">
              <w:rPr>
                <w:rFonts w:eastAsia="Calibri"/>
                <w:sz w:val="20"/>
                <w:szCs w:val="20"/>
                <w:lang w:val="en-US" w:eastAsia="zh-CN"/>
              </w:rPr>
              <w:t>rehabilitated from drug use</w:t>
            </w:r>
          </w:p>
          <w:p w14:paraId="6C3603EF" w14:textId="038E4777" w:rsidR="002A616F" w:rsidRPr="002A616F" w:rsidRDefault="002A616F" w:rsidP="002A616F">
            <w:pPr>
              <w:autoSpaceDE w:val="0"/>
              <w:autoSpaceDN w:val="0"/>
              <w:adjustRightInd w:val="0"/>
              <w:rPr>
                <w:rFonts w:eastAsia="Calibri"/>
                <w:sz w:val="20"/>
                <w:szCs w:val="20"/>
                <w:lang w:val="en-US" w:eastAsia="zh-CN"/>
              </w:rPr>
            </w:pPr>
            <w:r w:rsidRPr="002A616F">
              <w:rPr>
                <w:rFonts w:eastAsia="Calibri"/>
                <w:sz w:val="20"/>
                <w:szCs w:val="20"/>
                <w:lang w:val="en-US" w:eastAsia="zh-CN"/>
              </w:rPr>
              <w:t xml:space="preserve">(disaggregated by age, sex) </w:t>
            </w:r>
          </w:p>
          <w:p w14:paraId="6F41DD29" w14:textId="77777777" w:rsidR="002A616F" w:rsidRPr="002A616F" w:rsidRDefault="002A616F" w:rsidP="002A616F">
            <w:pPr>
              <w:autoSpaceDE w:val="0"/>
              <w:autoSpaceDN w:val="0"/>
              <w:adjustRightInd w:val="0"/>
              <w:rPr>
                <w:rFonts w:eastAsia="Calibri"/>
                <w:sz w:val="20"/>
                <w:szCs w:val="20"/>
                <w:lang w:val="en-US" w:eastAsia="zh-CN"/>
              </w:rPr>
            </w:pPr>
          </w:p>
          <w:p w14:paraId="59A29B34" w14:textId="47FB35AF"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Indicator 1.1.4 </w:t>
            </w:r>
            <w:r w:rsidRPr="002A616F">
              <w:rPr>
                <w:rFonts w:eastAsia="Calibri"/>
                <w:sz w:val="20"/>
                <w:szCs w:val="20"/>
                <w:lang w:val="en-US" w:eastAsia="zh-CN"/>
              </w:rPr>
              <w:t>Number of</w:t>
            </w:r>
          </w:p>
          <w:p w14:paraId="1617E7B8" w14:textId="0CD6609A" w:rsidR="002A616F" w:rsidRPr="002A616F" w:rsidRDefault="002A616F" w:rsidP="002A616F">
            <w:pPr>
              <w:autoSpaceDE w:val="0"/>
              <w:autoSpaceDN w:val="0"/>
              <w:adjustRightInd w:val="0"/>
              <w:rPr>
                <w:rFonts w:eastAsia="Calibri"/>
                <w:sz w:val="20"/>
                <w:szCs w:val="20"/>
                <w:lang w:val="en-US" w:eastAsia="zh-CN"/>
              </w:rPr>
            </w:pPr>
            <w:r w:rsidRPr="002A616F">
              <w:rPr>
                <w:rFonts w:eastAsia="Calibri"/>
                <w:sz w:val="20"/>
                <w:szCs w:val="20"/>
                <w:lang w:val="en-US" w:eastAsia="zh-CN"/>
              </w:rPr>
              <w:t>project beneficiaries accessing sexual and reproductive health information and</w:t>
            </w:r>
          </w:p>
          <w:p w14:paraId="2E213059" w14:textId="77777777" w:rsidR="002A616F" w:rsidRPr="002A616F" w:rsidRDefault="002A616F" w:rsidP="002A616F">
            <w:pPr>
              <w:autoSpaceDE w:val="0"/>
              <w:autoSpaceDN w:val="0"/>
              <w:adjustRightInd w:val="0"/>
              <w:rPr>
                <w:rFonts w:eastAsia="Calibri"/>
                <w:sz w:val="20"/>
                <w:szCs w:val="20"/>
                <w:lang w:val="en-US" w:eastAsia="zh-CN"/>
              </w:rPr>
            </w:pPr>
            <w:r w:rsidRPr="002A616F">
              <w:rPr>
                <w:rFonts w:eastAsia="Calibri"/>
                <w:sz w:val="20"/>
                <w:szCs w:val="20"/>
                <w:lang w:val="en-US" w:eastAsia="zh-CN"/>
              </w:rPr>
              <w:t>services (disaggregated by age, sex and</w:t>
            </w:r>
          </w:p>
          <w:p w14:paraId="7F112F90" w14:textId="3E761BD0" w:rsidR="002A616F" w:rsidRPr="002A616F" w:rsidRDefault="002A616F" w:rsidP="002A616F">
            <w:pPr>
              <w:autoSpaceDE w:val="0"/>
              <w:autoSpaceDN w:val="0"/>
              <w:adjustRightInd w:val="0"/>
              <w:rPr>
                <w:sz w:val="20"/>
                <w:szCs w:val="20"/>
                <w:lang w:val="en-US" w:eastAsia="en-US"/>
              </w:rPr>
            </w:pPr>
            <w:r w:rsidRPr="002A616F">
              <w:rPr>
                <w:rFonts w:eastAsia="Calibri"/>
                <w:sz w:val="20"/>
                <w:szCs w:val="20"/>
                <w:lang w:val="en-US" w:eastAsia="zh-CN"/>
              </w:rPr>
              <w:t>category)</w:t>
            </w:r>
          </w:p>
        </w:tc>
        <w:tc>
          <w:tcPr>
            <w:tcW w:w="1417" w:type="dxa"/>
            <w:tcBorders>
              <w:top w:val="single" w:sz="4" w:space="0" w:color="auto"/>
            </w:tcBorders>
            <w:shd w:val="clear" w:color="auto" w:fill="EEECE1"/>
          </w:tcPr>
          <w:p w14:paraId="515AA0D8" w14:textId="77777777"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0 (2018 December)</w:t>
            </w:r>
          </w:p>
          <w:p w14:paraId="1CD9704A" w14:textId="77777777" w:rsidR="002A616F" w:rsidRPr="002A616F" w:rsidRDefault="002A616F" w:rsidP="002A616F">
            <w:pPr>
              <w:autoSpaceDE w:val="0"/>
              <w:autoSpaceDN w:val="0"/>
              <w:adjustRightInd w:val="0"/>
              <w:rPr>
                <w:rFonts w:eastAsia="Calibri"/>
                <w:sz w:val="20"/>
                <w:szCs w:val="20"/>
                <w:lang w:val="en-US" w:eastAsia="zh-CN"/>
              </w:rPr>
            </w:pPr>
          </w:p>
          <w:p w14:paraId="5CB576FC" w14:textId="77777777" w:rsidR="002A616F" w:rsidRPr="002A616F" w:rsidRDefault="002A616F" w:rsidP="002A616F">
            <w:pPr>
              <w:autoSpaceDE w:val="0"/>
              <w:autoSpaceDN w:val="0"/>
              <w:adjustRightInd w:val="0"/>
              <w:rPr>
                <w:rFonts w:eastAsia="Calibri"/>
                <w:sz w:val="20"/>
                <w:szCs w:val="20"/>
                <w:lang w:val="en-US" w:eastAsia="zh-CN"/>
              </w:rPr>
            </w:pPr>
          </w:p>
          <w:p w14:paraId="38A292EA" w14:textId="77777777" w:rsidR="002A616F" w:rsidRPr="002A616F" w:rsidRDefault="002A616F" w:rsidP="002A616F">
            <w:pPr>
              <w:autoSpaceDE w:val="0"/>
              <w:autoSpaceDN w:val="0"/>
              <w:adjustRightInd w:val="0"/>
              <w:rPr>
                <w:rFonts w:eastAsia="Calibri"/>
                <w:sz w:val="20"/>
                <w:szCs w:val="20"/>
                <w:lang w:val="en-US" w:eastAsia="zh-CN"/>
              </w:rPr>
            </w:pPr>
          </w:p>
          <w:p w14:paraId="4FEAEE07" w14:textId="77777777" w:rsidR="002A616F" w:rsidRPr="002A616F" w:rsidRDefault="002A616F" w:rsidP="002A616F">
            <w:pPr>
              <w:autoSpaceDE w:val="0"/>
              <w:autoSpaceDN w:val="0"/>
              <w:adjustRightInd w:val="0"/>
              <w:rPr>
                <w:rFonts w:eastAsia="Calibri"/>
                <w:sz w:val="20"/>
                <w:szCs w:val="20"/>
                <w:lang w:val="en-US" w:eastAsia="zh-CN"/>
              </w:rPr>
            </w:pPr>
          </w:p>
          <w:p w14:paraId="02BA6647" w14:textId="77777777" w:rsidR="002A616F" w:rsidRPr="002A616F" w:rsidRDefault="002A616F" w:rsidP="002A616F">
            <w:pPr>
              <w:autoSpaceDE w:val="0"/>
              <w:autoSpaceDN w:val="0"/>
              <w:adjustRightInd w:val="0"/>
              <w:rPr>
                <w:rFonts w:eastAsia="Calibri"/>
                <w:sz w:val="20"/>
                <w:szCs w:val="20"/>
                <w:lang w:val="en-US" w:eastAsia="zh-CN"/>
              </w:rPr>
            </w:pPr>
          </w:p>
          <w:p w14:paraId="43F25C34" w14:textId="77777777" w:rsidR="002A616F" w:rsidRPr="002A616F" w:rsidRDefault="002A616F" w:rsidP="002A616F">
            <w:pPr>
              <w:autoSpaceDE w:val="0"/>
              <w:autoSpaceDN w:val="0"/>
              <w:adjustRightInd w:val="0"/>
              <w:rPr>
                <w:rFonts w:eastAsia="Calibri"/>
                <w:sz w:val="20"/>
                <w:szCs w:val="20"/>
                <w:lang w:val="en-US" w:eastAsia="zh-CN"/>
              </w:rPr>
            </w:pPr>
          </w:p>
          <w:p w14:paraId="43C80964" w14:textId="77777777" w:rsidR="002A616F" w:rsidRPr="002A616F" w:rsidRDefault="002A616F" w:rsidP="002A616F">
            <w:pPr>
              <w:autoSpaceDE w:val="0"/>
              <w:autoSpaceDN w:val="0"/>
              <w:adjustRightInd w:val="0"/>
              <w:rPr>
                <w:rFonts w:eastAsia="Calibri"/>
                <w:sz w:val="20"/>
                <w:szCs w:val="20"/>
                <w:lang w:val="en-US" w:eastAsia="zh-CN"/>
              </w:rPr>
            </w:pPr>
          </w:p>
          <w:p w14:paraId="486AA7CB" w14:textId="77777777"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0 (2018 December)</w:t>
            </w:r>
          </w:p>
          <w:p w14:paraId="3EB4015F" w14:textId="77777777" w:rsidR="002A616F" w:rsidRPr="002A616F" w:rsidRDefault="002A616F" w:rsidP="002A616F">
            <w:pPr>
              <w:autoSpaceDE w:val="0"/>
              <w:autoSpaceDN w:val="0"/>
              <w:adjustRightInd w:val="0"/>
              <w:rPr>
                <w:rFonts w:eastAsia="Calibri"/>
                <w:sz w:val="20"/>
                <w:szCs w:val="20"/>
                <w:lang w:val="en-US" w:eastAsia="zh-CN"/>
              </w:rPr>
            </w:pPr>
          </w:p>
          <w:p w14:paraId="1AA55F33" w14:textId="77777777" w:rsidR="002A616F" w:rsidRPr="002A616F" w:rsidRDefault="002A616F" w:rsidP="002A616F">
            <w:pPr>
              <w:rPr>
                <w:rFonts w:eastAsia="Calibri"/>
                <w:b/>
                <w:bCs/>
                <w:sz w:val="20"/>
                <w:szCs w:val="20"/>
                <w:lang w:val="en-US" w:eastAsia="zh-CN"/>
              </w:rPr>
            </w:pPr>
          </w:p>
        </w:tc>
        <w:tc>
          <w:tcPr>
            <w:tcW w:w="1843" w:type="dxa"/>
            <w:tcBorders>
              <w:top w:val="single" w:sz="4" w:space="0" w:color="auto"/>
            </w:tcBorders>
            <w:shd w:val="clear" w:color="auto" w:fill="EEECE1"/>
          </w:tcPr>
          <w:p w14:paraId="5541D828" w14:textId="65AA57C4"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 xml:space="preserve">100 (60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 and 40 </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w:t>
            </w:r>
          </w:p>
          <w:p w14:paraId="5A0E4BF3" w14:textId="118FE834" w:rsidR="002A616F" w:rsidRPr="002A616F" w:rsidRDefault="00E34F6B" w:rsidP="002A616F">
            <w:pPr>
              <w:autoSpaceDE w:val="0"/>
              <w:autoSpaceDN w:val="0"/>
              <w:adjustRightInd w:val="0"/>
              <w:rPr>
                <w:rFonts w:eastAsia="Calibri"/>
                <w:sz w:val="20"/>
                <w:szCs w:val="20"/>
                <w:lang w:val="en-US" w:eastAsia="zh-CN"/>
              </w:rPr>
            </w:pPr>
            <w:r w:rsidRPr="002A616F" w:rsidDel="00E34F6B">
              <w:rPr>
                <w:rFonts w:eastAsia="Calibri"/>
                <w:sz w:val="20"/>
                <w:szCs w:val="20"/>
                <w:lang w:val="en-US" w:eastAsia="zh-CN"/>
              </w:rPr>
              <w:t xml:space="preserve"> </w:t>
            </w:r>
            <w:r w:rsidR="002A616F" w:rsidRPr="002A616F">
              <w:rPr>
                <w:rFonts w:eastAsia="Calibri"/>
                <w:sz w:val="20"/>
                <w:szCs w:val="20"/>
                <w:lang w:val="en-US" w:eastAsia="zh-CN"/>
              </w:rPr>
              <w:t>(</w:t>
            </w:r>
            <w:r w:rsidR="00FE6EBB">
              <w:rPr>
                <w:rFonts w:eastAsia="Calibri"/>
                <w:sz w:val="20"/>
                <w:szCs w:val="20"/>
                <w:lang w:val="en-US" w:eastAsia="zh-CN"/>
              </w:rPr>
              <w:t>Feb. 2021</w:t>
            </w:r>
            <w:r w:rsidR="002A616F" w:rsidRPr="002A616F">
              <w:rPr>
                <w:rFonts w:eastAsia="Calibri"/>
                <w:sz w:val="20"/>
                <w:szCs w:val="20"/>
                <w:lang w:val="en-US" w:eastAsia="zh-CN"/>
              </w:rPr>
              <w:t>)</w:t>
            </w:r>
          </w:p>
          <w:p w14:paraId="7C6A6BB5" w14:textId="77777777" w:rsidR="002A616F" w:rsidRPr="002A616F" w:rsidRDefault="002A616F" w:rsidP="002A616F">
            <w:pPr>
              <w:autoSpaceDE w:val="0"/>
              <w:autoSpaceDN w:val="0"/>
              <w:adjustRightInd w:val="0"/>
              <w:rPr>
                <w:rFonts w:eastAsia="Calibri"/>
                <w:sz w:val="20"/>
                <w:szCs w:val="20"/>
                <w:lang w:val="en-US" w:eastAsia="zh-CN"/>
              </w:rPr>
            </w:pPr>
          </w:p>
          <w:p w14:paraId="3BAA5B53" w14:textId="204A19CE" w:rsidR="002A616F" w:rsidRPr="002A616F" w:rsidRDefault="002A616F" w:rsidP="002A616F">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500 (</w:t>
            </w:r>
            <w:r w:rsidR="00FE6EBB">
              <w:rPr>
                <w:rFonts w:eastAsia="Calibri"/>
                <w:sz w:val="20"/>
                <w:szCs w:val="20"/>
                <w:lang w:val="en-US" w:eastAsia="zh-CN"/>
              </w:rPr>
              <w:t>Feb. 2021</w:t>
            </w:r>
            <w:r w:rsidRPr="002A616F">
              <w:rPr>
                <w:rFonts w:eastAsia="Calibri"/>
                <w:sz w:val="20"/>
                <w:szCs w:val="20"/>
                <w:lang w:val="en-US" w:eastAsia="zh-CN"/>
              </w:rPr>
              <w:t>)</w:t>
            </w:r>
          </w:p>
          <w:p w14:paraId="117E454A" w14:textId="77777777" w:rsidR="002A616F" w:rsidRPr="002A616F" w:rsidRDefault="002A616F" w:rsidP="002A616F">
            <w:pPr>
              <w:autoSpaceDE w:val="0"/>
              <w:autoSpaceDN w:val="0"/>
              <w:adjustRightInd w:val="0"/>
              <w:rPr>
                <w:rFonts w:eastAsia="Calibri"/>
                <w:sz w:val="20"/>
                <w:szCs w:val="20"/>
                <w:lang w:val="en-US" w:eastAsia="zh-CN"/>
              </w:rPr>
            </w:pPr>
          </w:p>
          <w:p w14:paraId="6AE7290F" w14:textId="77777777" w:rsidR="002A616F" w:rsidRPr="002A616F" w:rsidRDefault="002A616F" w:rsidP="002A616F">
            <w:pPr>
              <w:rPr>
                <w:rFonts w:eastAsia="Calibri"/>
                <w:b/>
                <w:bCs/>
                <w:sz w:val="20"/>
                <w:szCs w:val="20"/>
                <w:lang w:val="en-US" w:eastAsia="zh-CN"/>
              </w:rPr>
            </w:pPr>
          </w:p>
        </w:tc>
        <w:tc>
          <w:tcPr>
            <w:tcW w:w="1559" w:type="dxa"/>
            <w:tcBorders>
              <w:top w:val="single" w:sz="4" w:space="0" w:color="auto"/>
            </w:tcBorders>
          </w:tcPr>
          <w:p w14:paraId="411F033C" w14:textId="77777777" w:rsidR="002A616F" w:rsidRPr="002A616F" w:rsidRDefault="002A616F" w:rsidP="002A616F">
            <w:pPr>
              <w:jc w:val="both"/>
              <w:rPr>
                <w:rFonts w:eastAsia="Calibri"/>
                <w:sz w:val="20"/>
                <w:szCs w:val="20"/>
                <w:lang w:val="en-US" w:eastAsia="zh-CN"/>
              </w:rPr>
            </w:pPr>
            <w:r w:rsidRPr="002A616F">
              <w:rPr>
                <w:rFonts w:eastAsia="Calibri"/>
                <w:b/>
                <w:bCs/>
                <w:sz w:val="20"/>
                <w:szCs w:val="20"/>
                <w:lang w:val="en-US" w:eastAsia="zh-CN"/>
              </w:rPr>
              <w:t xml:space="preserve">Milestones: </w:t>
            </w:r>
            <w:r w:rsidRPr="002A616F">
              <w:rPr>
                <w:rFonts w:eastAsia="Calibri"/>
                <w:sz w:val="20"/>
                <w:szCs w:val="20"/>
                <w:lang w:val="en-US" w:eastAsia="zh-CN"/>
              </w:rPr>
              <w:t>(Quarterly and bi-annually)</w:t>
            </w:r>
          </w:p>
          <w:p w14:paraId="5DCBE618" w14:textId="77777777" w:rsidR="002A616F" w:rsidRPr="002A616F" w:rsidRDefault="002A616F" w:rsidP="002A616F">
            <w:pPr>
              <w:jc w:val="both"/>
              <w:rPr>
                <w:rFonts w:eastAsia="Calibri"/>
                <w:sz w:val="20"/>
                <w:szCs w:val="20"/>
                <w:lang w:val="en-US" w:eastAsia="zh-CN"/>
              </w:rPr>
            </w:pPr>
          </w:p>
          <w:p w14:paraId="724703A1" w14:textId="77777777" w:rsidR="002A616F" w:rsidRPr="002A616F" w:rsidRDefault="002A616F" w:rsidP="002A616F">
            <w:pPr>
              <w:jc w:val="both"/>
              <w:rPr>
                <w:rFonts w:eastAsia="Calibri"/>
                <w:sz w:val="20"/>
                <w:szCs w:val="20"/>
                <w:lang w:val="en-US" w:eastAsia="zh-CN"/>
              </w:rPr>
            </w:pPr>
          </w:p>
          <w:p w14:paraId="29631A52" w14:textId="77777777" w:rsidR="002A616F" w:rsidRPr="002A616F" w:rsidRDefault="002A616F" w:rsidP="002A616F">
            <w:pPr>
              <w:jc w:val="both"/>
              <w:rPr>
                <w:rFonts w:eastAsia="Calibri"/>
                <w:sz w:val="20"/>
                <w:szCs w:val="20"/>
                <w:lang w:val="en-US" w:eastAsia="zh-CN"/>
              </w:rPr>
            </w:pPr>
          </w:p>
          <w:p w14:paraId="59F585BE" w14:textId="77777777" w:rsidR="002A616F" w:rsidRPr="002A616F" w:rsidRDefault="002A616F" w:rsidP="002A616F">
            <w:pPr>
              <w:jc w:val="both"/>
              <w:rPr>
                <w:rFonts w:eastAsia="Calibri"/>
                <w:sz w:val="20"/>
                <w:szCs w:val="20"/>
                <w:lang w:val="en-US" w:eastAsia="zh-CN"/>
              </w:rPr>
            </w:pPr>
          </w:p>
          <w:p w14:paraId="3B18AE94" w14:textId="77777777" w:rsidR="002A616F" w:rsidRPr="002A616F" w:rsidRDefault="002A616F" w:rsidP="002A616F">
            <w:pPr>
              <w:jc w:val="both"/>
              <w:rPr>
                <w:rFonts w:eastAsia="Calibri"/>
                <w:sz w:val="20"/>
                <w:szCs w:val="20"/>
                <w:lang w:val="en-US" w:eastAsia="zh-CN"/>
              </w:rPr>
            </w:pPr>
          </w:p>
          <w:p w14:paraId="3CEE3477" w14:textId="77777777" w:rsidR="002A616F" w:rsidRPr="002A616F" w:rsidRDefault="002A616F" w:rsidP="002A616F">
            <w:pPr>
              <w:jc w:val="both"/>
              <w:rPr>
                <w:rFonts w:eastAsia="Calibri"/>
                <w:sz w:val="20"/>
                <w:szCs w:val="20"/>
                <w:lang w:val="en-US" w:eastAsia="zh-CN"/>
              </w:rPr>
            </w:pPr>
          </w:p>
          <w:p w14:paraId="195F84C3" w14:textId="77777777" w:rsidR="002A616F" w:rsidRPr="002A616F" w:rsidRDefault="002A616F" w:rsidP="002A616F">
            <w:pPr>
              <w:jc w:val="both"/>
              <w:rPr>
                <w:rFonts w:eastAsia="Calibri"/>
                <w:sz w:val="20"/>
                <w:szCs w:val="20"/>
                <w:lang w:val="en-US" w:eastAsia="zh-CN"/>
              </w:rPr>
            </w:pPr>
          </w:p>
          <w:p w14:paraId="0074E3EB" w14:textId="77777777" w:rsidR="002A616F" w:rsidRPr="002A616F" w:rsidRDefault="002A616F" w:rsidP="002A616F">
            <w:pPr>
              <w:jc w:val="both"/>
              <w:rPr>
                <w:rFonts w:eastAsia="Calibri"/>
                <w:sz w:val="20"/>
                <w:szCs w:val="20"/>
                <w:lang w:val="en-US" w:eastAsia="zh-CN"/>
              </w:rPr>
            </w:pPr>
          </w:p>
          <w:p w14:paraId="58BE25D4" w14:textId="2DE1882D" w:rsidR="002A616F" w:rsidRPr="002A616F" w:rsidRDefault="002A616F" w:rsidP="002A616F">
            <w:pPr>
              <w:autoSpaceDE w:val="0"/>
              <w:autoSpaceDN w:val="0"/>
              <w:adjustRightInd w:val="0"/>
              <w:rPr>
                <w:rFonts w:eastAsia="Calibri"/>
                <w:sz w:val="20"/>
                <w:szCs w:val="20"/>
                <w:lang w:val="en-US" w:eastAsia="zh-CN"/>
              </w:rPr>
            </w:pPr>
          </w:p>
          <w:p w14:paraId="11BE2E81" w14:textId="77777777" w:rsidR="002A616F" w:rsidRPr="002A616F" w:rsidRDefault="002A616F" w:rsidP="002A616F">
            <w:pPr>
              <w:jc w:val="both"/>
              <w:rPr>
                <w:sz w:val="20"/>
                <w:szCs w:val="20"/>
                <w:lang w:val="en-US" w:eastAsia="en-US"/>
              </w:rPr>
            </w:pPr>
          </w:p>
          <w:p w14:paraId="480AC156" w14:textId="77777777" w:rsidR="002A616F" w:rsidRPr="002A616F" w:rsidRDefault="002A616F" w:rsidP="002A616F">
            <w:pPr>
              <w:rPr>
                <w:rFonts w:eastAsia="Calibri"/>
                <w:b/>
                <w:bCs/>
                <w:sz w:val="20"/>
                <w:szCs w:val="20"/>
                <w:lang w:val="en-US" w:eastAsia="zh-CN"/>
              </w:rPr>
            </w:pPr>
          </w:p>
        </w:tc>
        <w:tc>
          <w:tcPr>
            <w:tcW w:w="3555" w:type="dxa"/>
            <w:tcBorders>
              <w:top w:val="single" w:sz="4" w:space="0" w:color="auto"/>
            </w:tcBorders>
          </w:tcPr>
          <w:p w14:paraId="31E865D5" w14:textId="107EB5AE" w:rsidR="002A616F" w:rsidRPr="002A616F" w:rsidRDefault="002A616F" w:rsidP="002A616F">
            <w:pPr>
              <w:pStyle w:val="ListParagraph"/>
              <w:numPr>
                <w:ilvl w:val="0"/>
                <w:numId w:val="5"/>
              </w:numPr>
              <w:ind w:left="-810"/>
              <w:jc w:val="both"/>
              <w:rPr>
                <w:b/>
                <w:sz w:val="20"/>
                <w:szCs w:val="20"/>
                <w:lang w:val="en-US" w:eastAsia="en-US"/>
              </w:rPr>
            </w:pPr>
            <w:r w:rsidRPr="002A616F">
              <w:rPr>
                <w:sz w:val="20"/>
                <w:szCs w:val="20"/>
                <w:lang w:val="en-US" w:eastAsia="en-US"/>
              </w:rPr>
              <w:t xml:space="preserve">A total </w:t>
            </w:r>
          </w:p>
          <w:p w14:paraId="79E8F77A" w14:textId="23B09AD3" w:rsidR="002A616F" w:rsidRDefault="002A616F" w:rsidP="002A616F">
            <w:pPr>
              <w:rPr>
                <w:sz w:val="20"/>
                <w:szCs w:val="20"/>
                <w:lang w:val="en-US" w:eastAsia="en-US"/>
              </w:rPr>
            </w:pPr>
            <w:r w:rsidRPr="002A616F">
              <w:rPr>
                <w:sz w:val="20"/>
                <w:szCs w:val="20"/>
                <w:lang w:val="en-US" w:eastAsia="en-US"/>
              </w:rPr>
              <w:t>A total of 321 (64% of 500) disadvantaged youth have demonstrated signs of being stabilized from drug addiction/use</w:t>
            </w:r>
          </w:p>
          <w:p w14:paraId="796AEC71" w14:textId="77777777" w:rsidR="002A616F" w:rsidRDefault="002A616F" w:rsidP="002A616F">
            <w:pPr>
              <w:rPr>
                <w:sz w:val="20"/>
                <w:szCs w:val="20"/>
                <w:lang w:val="en-US" w:eastAsia="en-US"/>
              </w:rPr>
            </w:pPr>
          </w:p>
          <w:p w14:paraId="3B976BCE" w14:textId="77777777" w:rsidR="002A616F" w:rsidRPr="002A616F" w:rsidRDefault="002A616F" w:rsidP="002A616F">
            <w:pPr>
              <w:pStyle w:val="ListParagraph"/>
              <w:numPr>
                <w:ilvl w:val="0"/>
                <w:numId w:val="5"/>
              </w:numPr>
              <w:rPr>
                <w:sz w:val="20"/>
                <w:szCs w:val="20"/>
                <w:lang w:val="en-US" w:eastAsia="en-US"/>
              </w:rPr>
            </w:pPr>
            <w:r w:rsidRPr="002A616F">
              <w:rPr>
                <w:sz w:val="20"/>
                <w:szCs w:val="20"/>
                <w:lang w:val="en-US" w:eastAsia="en-US"/>
              </w:rPr>
              <w:t xml:space="preserve">A cumulative total of 9827 (3439/35% females and 6388/65% males) were reached with Sexual reproductive health and rights including HIV counselling and testing and treatment of minor illness </w:t>
            </w:r>
          </w:p>
          <w:p w14:paraId="3B0F85FE" w14:textId="77777777" w:rsidR="002A616F" w:rsidRPr="002A616F" w:rsidRDefault="002A616F" w:rsidP="002A616F">
            <w:pPr>
              <w:rPr>
                <w:sz w:val="20"/>
                <w:szCs w:val="20"/>
                <w:lang w:val="en-US" w:eastAsia="en-US"/>
              </w:rPr>
            </w:pPr>
          </w:p>
          <w:p w14:paraId="393283CE" w14:textId="59792146" w:rsidR="002A616F" w:rsidRPr="002A616F" w:rsidRDefault="002A616F" w:rsidP="002A616F">
            <w:pPr>
              <w:rPr>
                <w:b/>
                <w:sz w:val="20"/>
                <w:szCs w:val="20"/>
                <w:lang w:val="en-US" w:eastAsia="en-US"/>
              </w:rPr>
            </w:pPr>
            <w:r w:rsidRPr="002A616F">
              <w:rPr>
                <w:sz w:val="20"/>
                <w:szCs w:val="20"/>
                <w:lang w:val="en-US" w:eastAsia="en-US"/>
              </w:rPr>
              <w:t>:</w:t>
            </w:r>
            <w:r w:rsidRPr="002A616F">
              <w:rPr>
                <w:b/>
                <w:sz w:val="20"/>
                <w:szCs w:val="20"/>
                <w:lang w:val="en-US" w:eastAsia="en-US"/>
              </w:rPr>
              <w:t xml:space="preserve"> </w:t>
            </w:r>
          </w:p>
        </w:tc>
        <w:tc>
          <w:tcPr>
            <w:tcW w:w="2903" w:type="dxa"/>
            <w:tcBorders>
              <w:top w:val="single" w:sz="4" w:space="0" w:color="auto"/>
            </w:tcBorders>
          </w:tcPr>
          <w:p w14:paraId="41376A20" w14:textId="77777777" w:rsidR="002A616F" w:rsidRPr="002A616F" w:rsidRDefault="002A616F" w:rsidP="002A616F">
            <w:pPr>
              <w:pStyle w:val="ListParagraph"/>
              <w:numPr>
                <w:ilvl w:val="0"/>
                <w:numId w:val="11"/>
              </w:numPr>
              <w:rPr>
                <w:sz w:val="20"/>
                <w:szCs w:val="20"/>
                <w:lang w:val="en-US" w:eastAsia="en-US"/>
              </w:rPr>
            </w:pPr>
            <w:r w:rsidRPr="002A616F">
              <w:rPr>
                <w:sz w:val="20"/>
                <w:szCs w:val="20"/>
                <w:lang w:val="en-US" w:eastAsia="en-US"/>
              </w:rPr>
              <w:t>The target was understated</w:t>
            </w:r>
          </w:p>
          <w:p w14:paraId="05EF32DB" w14:textId="77777777" w:rsidR="002A616F" w:rsidRPr="002A616F" w:rsidRDefault="002A616F" w:rsidP="002A616F">
            <w:pPr>
              <w:pStyle w:val="ListParagraph"/>
              <w:numPr>
                <w:ilvl w:val="0"/>
                <w:numId w:val="11"/>
              </w:numPr>
              <w:rPr>
                <w:b/>
                <w:sz w:val="20"/>
                <w:szCs w:val="20"/>
                <w:lang w:val="en-US" w:eastAsia="en-US"/>
              </w:rPr>
            </w:pPr>
            <w:r w:rsidRPr="002A616F">
              <w:rPr>
                <w:sz w:val="20"/>
                <w:szCs w:val="20"/>
                <w:lang w:val="en-US" w:eastAsia="en-US"/>
              </w:rPr>
              <w:t>Change in the strategy and approach for service delivery</w:t>
            </w:r>
          </w:p>
          <w:p w14:paraId="447EBE3F" w14:textId="77777777" w:rsidR="002A616F" w:rsidRPr="002A616F" w:rsidRDefault="002A616F" w:rsidP="002A616F">
            <w:pPr>
              <w:rPr>
                <w:b/>
                <w:sz w:val="20"/>
                <w:szCs w:val="20"/>
                <w:lang w:val="en-US" w:eastAsia="en-US"/>
              </w:rPr>
            </w:pPr>
          </w:p>
          <w:p w14:paraId="7E26AAF7" w14:textId="77777777" w:rsidR="002A616F" w:rsidRPr="002A616F" w:rsidRDefault="002A616F" w:rsidP="002A616F">
            <w:pPr>
              <w:rPr>
                <w:b/>
                <w:sz w:val="20"/>
                <w:szCs w:val="20"/>
                <w:lang w:val="en-US" w:eastAsia="en-US"/>
              </w:rPr>
            </w:pPr>
          </w:p>
          <w:p w14:paraId="2C79C4E3" w14:textId="77777777" w:rsidR="002A616F" w:rsidRPr="002A616F" w:rsidRDefault="002A616F" w:rsidP="002A616F">
            <w:pPr>
              <w:rPr>
                <w:b/>
                <w:sz w:val="20"/>
                <w:szCs w:val="20"/>
                <w:lang w:val="en-US" w:eastAsia="en-US"/>
              </w:rPr>
            </w:pPr>
          </w:p>
          <w:p w14:paraId="53391AC9" w14:textId="16FE7145" w:rsidR="002A616F" w:rsidRPr="002A616F" w:rsidRDefault="002A616F" w:rsidP="002A616F">
            <w:pPr>
              <w:rPr>
                <w:bCs/>
                <w:sz w:val="20"/>
                <w:szCs w:val="20"/>
                <w:lang w:val="en-US" w:eastAsia="en-US"/>
              </w:rPr>
            </w:pPr>
          </w:p>
        </w:tc>
      </w:tr>
      <w:tr w:rsidR="00477944" w:rsidRPr="002A616F" w14:paraId="6FAAED9D" w14:textId="77777777" w:rsidTr="002A616F">
        <w:trPr>
          <w:trHeight w:val="440"/>
        </w:trPr>
        <w:tc>
          <w:tcPr>
            <w:tcW w:w="1931" w:type="dxa"/>
          </w:tcPr>
          <w:p w14:paraId="443C0215"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u w:val="single"/>
                <w:lang w:val="en-US" w:eastAsia="zh-CN"/>
              </w:rPr>
              <w:t>Output 1.2:</w:t>
            </w:r>
            <w:r w:rsidRPr="002A616F">
              <w:rPr>
                <w:rFonts w:eastAsia="Calibri"/>
                <w:b/>
                <w:bCs/>
                <w:sz w:val="20"/>
                <w:szCs w:val="20"/>
                <w:lang w:val="en-US" w:eastAsia="zh-CN"/>
              </w:rPr>
              <w:t xml:space="preserve"> </w:t>
            </w:r>
          </w:p>
          <w:p w14:paraId="4D28A683"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500</w:t>
            </w:r>
          </w:p>
          <w:p w14:paraId="2B88C2FD" w14:textId="77777777" w:rsidR="00477944" w:rsidRPr="002A616F" w:rsidRDefault="00477944" w:rsidP="00477944">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w:t>
            </w:r>
            <w:proofErr w:type="spellStart"/>
            <w:r w:rsidRPr="002A616F">
              <w:rPr>
                <w:rFonts w:eastAsia="Calibri"/>
                <w:b/>
                <w:bCs/>
                <w:sz w:val="20"/>
                <w:szCs w:val="20"/>
                <w:lang w:val="en-US" w:eastAsia="zh-CN"/>
              </w:rPr>
              <w:t>Zogesse</w:t>
            </w:r>
            <w:proofErr w:type="spellEnd"/>
          </w:p>
          <w:p w14:paraId="38AD1DC1"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rehabilitated, reintegrated</w:t>
            </w:r>
          </w:p>
          <w:p w14:paraId="645B57A4"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and peacefully co-exist</w:t>
            </w:r>
          </w:p>
          <w:p w14:paraId="1F3E2950"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 xml:space="preserve">with community members in </w:t>
            </w:r>
            <w:r w:rsidRPr="002A616F">
              <w:rPr>
                <w:rFonts w:eastAsia="Calibri"/>
                <w:b/>
                <w:bCs/>
                <w:sz w:val="20"/>
                <w:szCs w:val="20"/>
                <w:lang w:val="en-US" w:eastAsia="zh-CN"/>
              </w:rPr>
              <w:lastRenderedPageBreak/>
              <w:t>Montserrado County.</w:t>
            </w:r>
          </w:p>
          <w:p w14:paraId="2EC3A9C5" w14:textId="77777777" w:rsidR="00477944" w:rsidRPr="002A616F" w:rsidRDefault="00477944" w:rsidP="00477944">
            <w:pPr>
              <w:rPr>
                <w:sz w:val="20"/>
                <w:szCs w:val="20"/>
                <w:lang w:val="en-US" w:eastAsia="en-US"/>
              </w:rPr>
            </w:pPr>
          </w:p>
        </w:tc>
        <w:tc>
          <w:tcPr>
            <w:tcW w:w="2835" w:type="dxa"/>
            <w:shd w:val="clear" w:color="auto" w:fill="EEECE1"/>
          </w:tcPr>
          <w:p w14:paraId="2354BDE4" w14:textId="77777777" w:rsidR="00477944" w:rsidRPr="002A616F" w:rsidRDefault="00477944" w:rsidP="00477944">
            <w:pPr>
              <w:jc w:val="both"/>
              <w:rPr>
                <w:b/>
                <w:bCs/>
                <w:sz w:val="20"/>
                <w:szCs w:val="20"/>
                <w:lang w:val="en-US" w:eastAsia="en-US"/>
              </w:rPr>
            </w:pPr>
            <w:r w:rsidRPr="002A616F">
              <w:rPr>
                <w:b/>
                <w:bCs/>
                <w:sz w:val="20"/>
                <w:szCs w:val="20"/>
                <w:lang w:val="en-US" w:eastAsia="en-US"/>
              </w:rPr>
              <w:lastRenderedPageBreak/>
              <w:t>Indicator 1.2.1</w:t>
            </w:r>
          </w:p>
          <w:p w14:paraId="050586B5" w14:textId="63B427B9"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Number of</w:t>
            </w:r>
          </w:p>
          <w:p w14:paraId="400D8E0B" w14:textId="77777777" w:rsidR="00477944" w:rsidRPr="002A616F" w:rsidRDefault="00477944" w:rsidP="00477944">
            <w:pPr>
              <w:autoSpaceDE w:val="0"/>
              <w:autoSpaceDN w:val="0"/>
              <w:adjustRightInd w:val="0"/>
              <w:rPr>
                <w:rFonts w:eastAsia="Calibri"/>
                <w:sz w:val="20"/>
                <w:szCs w:val="20"/>
                <w:lang w:val="en-US" w:eastAsia="zh-CN"/>
              </w:rPr>
            </w:pP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engaged in peacebuilding</w:t>
            </w:r>
          </w:p>
          <w:p w14:paraId="53E54E80" w14:textId="1164C63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and conflict resolution initiatives in their</w:t>
            </w:r>
            <w:r w:rsidR="005D0A2C" w:rsidRPr="002A616F">
              <w:rPr>
                <w:rFonts w:eastAsia="Calibri"/>
                <w:sz w:val="20"/>
                <w:szCs w:val="20"/>
                <w:lang w:val="en-US" w:eastAsia="zh-CN"/>
              </w:rPr>
              <w:t xml:space="preserve"> </w:t>
            </w:r>
            <w:r w:rsidRPr="002A616F">
              <w:rPr>
                <w:rFonts w:eastAsia="Calibri"/>
                <w:sz w:val="20"/>
                <w:szCs w:val="20"/>
                <w:lang w:val="en-US" w:eastAsia="zh-CN"/>
              </w:rPr>
              <w:t>communities. (disaggregated by age, sex</w:t>
            </w:r>
          </w:p>
          <w:p w14:paraId="1F016C6E"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and category)</w:t>
            </w:r>
          </w:p>
          <w:p w14:paraId="14A968F8" w14:textId="77777777" w:rsidR="00477944" w:rsidRPr="002A616F" w:rsidRDefault="00477944" w:rsidP="00477944">
            <w:pPr>
              <w:autoSpaceDE w:val="0"/>
              <w:autoSpaceDN w:val="0"/>
              <w:adjustRightInd w:val="0"/>
              <w:rPr>
                <w:rFonts w:eastAsia="Calibri"/>
                <w:sz w:val="20"/>
                <w:szCs w:val="20"/>
                <w:lang w:val="en-US" w:eastAsia="zh-CN"/>
              </w:rPr>
            </w:pPr>
          </w:p>
          <w:p w14:paraId="422C9DA1" w14:textId="77777777" w:rsidR="00477944" w:rsidRPr="002A616F" w:rsidRDefault="00477944" w:rsidP="00477944">
            <w:pPr>
              <w:jc w:val="both"/>
              <w:rPr>
                <w:sz w:val="20"/>
                <w:szCs w:val="20"/>
                <w:lang w:val="en-US" w:eastAsia="en-US"/>
              </w:rPr>
            </w:pPr>
          </w:p>
        </w:tc>
        <w:tc>
          <w:tcPr>
            <w:tcW w:w="1417" w:type="dxa"/>
            <w:shd w:val="clear" w:color="auto" w:fill="EEECE1"/>
          </w:tcPr>
          <w:p w14:paraId="44A7F16B" w14:textId="0EA477AC"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lastRenderedPageBreak/>
              <w:t xml:space="preserve">Baseline: </w:t>
            </w:r>
            <w:r w:rsidRPr="002A616F">
              <w:rPr>
                <w:rFonts w:eastAsia="Calibri"/>
                <w:sz w:val="20"/>
                <w:szCs w:val="20"/>
                <w:lang w:val="en-US" w:eastAsia="zh-CN"/>
              </w:rPr>
              <w:t>0</w:t>
            </w:r>
            <w:r w:rsidR="005D0A2C" w:rsidRPr="002A616F">
              <w:rPr>
                <w:rFonts w:eastAsia="Calibri"/>
                <w:sz w:val="20"/>
                <w:szCs w:val="20"/>
                <w:lang w:val="en-US" w:eastAsia="zh-CN"/>
              </w:rPr>
              <w:t xml:space="preserve"> (2018 December)</w:t>
            </w:r>
          </w:p>
          <w:p w14:paraId="79E57E18" w14:textId="77777777" w:rsidR="00477944" w:rsidRPr="002A616F" w:rsidRDefault="00477944" w:rsidP="00477944">
            <w:pPr>
              <w:rPr>
                <w:sz w:val="20"/>
                <w:szCs w:val="20"/>
              </w:rPr>
            </w:pPr>
          </w:p>
        </w:tc>
        <w:tc>
          <w:tcPr>
            <w:tcW w:w="1843" w:type="dxa"/>
            <w:shd w:val="clear" w:color="auto" w:fill="EEECE1"/>
          </w:tcPr>
          <w:p w14:paraId="742351F5"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Target: </w:t>
            </w:r>
            <w:r w:rsidRPr="002A616F">
              <w:rPr>
                <w:rFonts w:eastAsia="Calibri"/>
                <w:sz w:val="20"/>
                <w:szCs w:val="20"/>
                <w:lang w:val="en-US" w:eastAsia="zh-CN"/>
              </w:rPr>
              <w:t xml:space="preserve">500 (300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 xml:space="preserve">/200 </w:t>
            </w:r>
            <w:proofErr w:type="spellStart"/>
            <w:r w:rsidRPr="002A616F">
              <w:rPr>
                <w:rFonts w:eastAsia="Calibri"/>
                <w:sz w:val="20"/>
                <w:szCs w:val="20"/>
                <w:lang w:val="en-US" w:eastAsia="zh-CN"/>
              </w:rPr>
              <w:t>zogeese</w:t>
            </w:r>
            <w:proofErr w:type="spellEnd"/>
            <w:r w:rsidRPr="002A616F">
              <w:rPr>
                <w:rFonts w:eastAsia="Calibri"/>
                <w:sz w:val="20"/>
                <w:szCs w:val="20"/>
                <w:lang w:val="en-US" w:eastAsia="zh-CN"/>
              </w:rPr>
              <w:t>)</w:t>
            </w:r>
          </w:p>
          <w:p w14:paraId="0A0C0BEF" w14:textId="15176D05" w:rsidR="00477944" w:rsidRPr="002A616F" w:rsidRDefault="00477944" w:rsidP="00477944">
            <w:pPr>
              <w:rPr>
                <w:sz w:val="20"/>
                <w:szCs w:val="20"/>
              </w:rPr>
            </w:pPr>
            <w:r w:rsidRPr="002A616F">
              <w:rPr>
                <w:rFonts w:eastAsia="Calibri"/>
                <w:sz w:val="20"/>
                <w:szCs w:val="20"/>
                <w:lang w:val="en-US" w:eastAsia="zh-CN"/>
              </w:rPr>
              <w:t>(</w:t>
            </w:r>
            <w:r w:rsidR="00FE6EBB">
              <w:rPr>
                <w:rFonts w:eastAsia="Calibri"/>
                <w:sz w:val="20"/>
                <w:szCs w:val="20"/>
                <w:lang w:val="en-US" w:eastAsia="zh-CN"/>
              </w:rPr>
              <w:t>Feb. 2021</w:t>
            </w:r>
            <w:r w:rsidR="005D0A2C" w:rsidRPr="002A616F">
              <w:rPr>
                <w:rFonts w:eastAsia="Calibri"/>
                <w:sz w:val="20"/>
                <w:szCs w:val="20"/>
                <w:lang w:val="en-US" w:eastAsia="zh-CN"/>
              </w:rPr>
              <w:t>)</w:t>
            </w:r>
          </w:p>
        </w:tc>
        <w:tc>
          <w:tcPr>
            <w:tcW w:w="1559" w:type="dxa"/>
          </w:tcPr>
          <w:p w14:paraId="0B3280E8" w14:textId="77777777" w:rsidR="00477944" w:rsidRPr="002A616F" w:rsidRDefault="00477944" w:rsidP="00477944">
            <w:pPr>
              <w:rPr>
                <w:b/>
                <w:sz w:val="20"/>
                <w:szCs w:val="20"/>
                <w:lang w:val="en-US" w:eastAsia="en-US"/>
              </w:rPr>
            </w:pPr>
            <w:r w:rsidRPr="002A616F">
              <w:rPr>
                <w:rFonts w:eastAsia="Calibri"/>
                <w:b/>
                <w:bCs/>
                <w:sz w:val="20"/>
                <w:szCs w:val="20"/>
                <w:lang w:val="en-US" w:eastAsia="zh-CN"/>
              </w:rPr>
              <w:t xml:space="preserve">Milestones: </w:t>
            </w:r>
            <w:r w:rsidRPr="002A616F">
              <w:rPr>
                <w:rFonts w:eastAsia="Calibri"/>
                <w:sz w:val="20"/>
                <w:szCs w:val="20"/>
                <w:lang w:val="en-US" w:eastAsia="zh-CN"/>
              </w:rPr>
              <w:t>(Quarterly and bi-annually</w:t>
            </w:r>
          </w:p>
        </w:tc>
        <w:tc>
          <w:tcPr>
            <w:tcW w:w="3555" w:type="dxa"/>
          </w:tcPr>
          <w:p w14:paraId="2B87F6C9" w14:textId="1F105E68" w:rsidR="00477944" w:rsidRPr="002A616F" w:rsidRDefault="00477944" w:rsidP="00477944">
            <w:pPr>
              <w:rPr>
                <w:bCs/>
                <w:sz w:val="20"/>
                <w:szCs w:val="20"/>
              </w:rPr>
            </w:pPr>
            <w:r w:rsidRPr="002A616F">
              <w:rPr>
                <w:bCs/>
                <w:sz w:val="20"/>
                <w:szCs w:val="20"/>
                <w:lang w:val="en-US" w:eastAsia="en-US"/>
              </w:rPr>
              <w:t>Harmonized Peacebuilding Manual developed; Training of Trainers workshop completed for 28 partners staff who roll</w:t>
            </w:r>
            <w:r w:rsidR="002C32A2" w:rsidRPr="002A616F">
              <w:rPr>
                <w:bCs/>
                <w:sz w:val="20"/>
                <w:szCs w:val="20"/>
                <w:lang w:val="en-US" w:eastAsia="en-US"/>
              </w:rPr>
              <w:t>ed</w:t>
            </w:r>
            <w:r w:rsidRPr="002A616F">
              <w:rPr>
                <w:bCs/>
                <w:sz w:val="20"/>
                <w:szCs w:val="20"/>
                <w:lang w:val="en-US" w:eastAsia="en-US"/>
              </w:rPr>
              <w:t xml:space="preserve"> out the trainings in session to </w:t>
            </w:r>
            <w:r w:rsidR="002C32A2" w:rsidRPr="002A616F">
              <w:rPr>
                <w:bCs/>
                <w:sz w:val="20"/>
                <w:szCs w:val="20"/>
                <w:lang w:val="en-US" w:eastAsia="en-US"/>
              </w:rPr>
              <w:t xml:space="preserve">510 </w:t>
            </w:r>
            <w:r w:rsidRPr="002A616F">
              <w:rPr>
                <w:bCs/>
                <w:sz w:val="20"/>
                <w:szCs w:val="20"/>
                <w:lang w:val="en-US" w:eastAsia="en-US"/>
              </w:rPr>
              <w:t>disadvantage</w:t>
            </w:r>
            <w:r w:rsidR="002C32A2" w:rsidRPr="002A616F">
              <w:rPr>
                <w:bCs/>
                <w:sz w:val="20"/>
                <w:szCs w:val="20"/>
                <w:lang w:val="en-US" w:eastAsia="en-US"/>
              </w:rPr>
              <w:t xml:space="preserve">d </w:t>
            </w:r>
            <w:r w:rsidRPr="002A616F">
              <w:rPr>
                <w:bCs/>
                <w:sz w:val="20"/>
                <w:szCs w:val="20"/>
                <w:lang w:val="en-US" w:eastAsia="en-US"/>
              </w:rPr>
              <w:t>youth</w:t>
            </w:r>
            <w:r w:rsidR="00D3019C" w:rsidRPr="002A616F">
              <w:rPr>
                <w:bCs/>
                <w:sz w:val="20"/>
                <w:szCs w:val="20"/>
                <w:lang w:val="en-US" w:eastAsia="en-US"/>
              </w:rPr>
              <w:t>s. 25 police, 25 LDEA and 40 community leaders</w:t>
            </w:r>
          </w:p>
        </w:tc>
        <w:tc>
          <w:tcPr>
            <w:tcW w:w="2903" w:type="dxa"/>
          </w:tcPr>
          <w:p w14:paraId="1A1340D5" w14:textId="420226BC" w:rsidR="00477944" w:rsidRPr="002A616F" w:rsidRDefault="00615F2F" w:rsidP="00477944">
            <w:pPr>
              <w:rPr>
                <w:bCs/>
                <w:sz w:val="20"/>
                <w:szCs w:val="20"/>
              </w:rPr>
            </w:pPr>
            <w:r w:rsidRPr="002A616F">
              <w:rPr>
                <w:sz w:val="20"/>
                <w:szCs w:val="20"/>
              </w:rPr>
              <w:t>Completed</w:t>
            </w:r>
          </w:p>
        </w:tc>
      </w:tr>
      <w:tr w:rsidR="00477944" w:rsidRPr="002A616F" w14:paraId="66546B01" w14:textId="77777777" w:rsidTr="002A616F">
        <w:trPr>
          <w:trHeight w:val="422"/>
        </w:trPr>
        <w:tc>
          <w:tcPr>
            <w:tcW w:w="1931" w:type="dxa"/>
            <w:vMerge w:val="restart"/>
          </w:tcPr>
          <w:p w14:paraId="0B6A8FC2"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u w:val="single"/>
                <w:lang w:val="en-US" w:eastAsia="zh-CN"/>
              </w:rPr>
              <w:t>Outcome 2:</w:t>
            </w:r>
            <w:r w:rsidRPr="002A616F">
              <w:rPr>
                <w:rFonts w:eastAsia="Calibri"/>
                <w:b/>
                <w:bCs/>
                <w:sz w:val="20"/>
                <w:szCs w:val="20"/>
                <w:lang w:val="en-US" w:eastAsia="zh-CN"/>
              </w:rPr>
              <w:t xml:space="preserve"> Improved</w:t>
            </w:r>
          </w:p>
          <w:p w14:paraId="1219B25D"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 xml:space="preserve">access of 500 </w:t>
            </w: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w:t>
            </w:r>
          </w:p>
          <w:p w14:paraId="7EDC45B1" w14:textId="77777777" w:rsidR="00477944" w:rsidRPr="002A616F" w:rsidRDefault="00477944" w:rsidP="00477944">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Zogesse</w:t>
            </w:r>
            <w:proofErr w:type="spellEnd"/>
            <w:r w:rsidRPr="002A616F">
              <w:rPr>
                <w:rFonts w:eastAsia="Calibri"/>
                <w:b/>
                <w:bCs/>
                <w:sz w:val="20"/>
                <w:szCs w:val="20"/>
                <w:lang w:val="en-US" w:eastAsia="zh-CN"/>
              </w:rPr>
              <w:t xml:space="preserve"> in </w:t>
            </w:r>
            <w:proofErr w:type="spellStart"/>
            <w:r w:rsidRPr="002A616F">
              <w:rPr>
                <w:rFonts w:eastAsia="Calibri"/>
                <w:b/>
                <w:bCs/>
                <w:sz w:val="20"/>
                <w:szCs w:val="20"/>
                <w:lang w:val="en-US" w:eastAsia="zh-CN"/>
              </w:rPr>
              <w:t>Motserrado</w:t>
            </w:r>
            <w:proofErr w:type="spellEnd"/>
          </w:p>
          <w:p w14:paraId="636A8212"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county to sustainable</w:t>
            </w:r>
          </w:p>
          <w:p w14:paraId="080CE69A"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livelihood and employment</w:t>
            </w:r>
          </w:p>
          <w:p w14:paraId="71F7514C"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opportunities to enhance</w:t>
            </w:r>
          </w:p>
          <w:p w14:paraId="37F6C905"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their resilience to conflict</w:t>
            </w:r>
          </w:p>
          <w:p w14:paraId="118A9AC3" w14:textId="77777777" w:rsidR="00477944" w:rsidRPr="002A616F" w:rsidRDefault="00477944" w:rsidP="00477944">
            <w:pPr>
              <w:rPr>
                <w:b/>
                <w:sz w:val="20"/>
                <w:szCs w:val="20"/>
                <w:lang w:val="en-US" w:eastAsia="en-US"/>
              </w:rPr>
            </w:pPr>
            <w:r w:rsidRPr="002A616F">
              <w:rPr>
                <w:rFonts w:eastAsia="Calibri"/>
                <w:b/>
                <w:bCs/>
                <w:sz w:val="20"/>
                <w:szCs w:val="20"/>
                <w:lang w:val="en-US" w:eastAsia="zh-CN"/>
              </w:rPr>
              <w:t>and social tension.</w:t>
            </w:r>
          </w:p>
          <w:p w14:paraId="0D5FEB6E" w14:textId="77777777" w:rsidR="00477944" w:rsidRPr="002A616F" w:rsidRDefault="00477944" w:rsidP="00477944">
            <w:pPr>
              <w:rPr>
                <w:b/>
                <w:sz w:val="20"/>
                <w:szCs w:val="20"/>
                <w:lang w:val="en-US" w:eastAsia="en-US"/>
              </w:rPr>
            </w:pPr>
          </w:p>
        </w:tc>
        <w:tc>
          <w:tcPr>
            <w:tcW w:w="2835" w:type="dxa"/>
            <w:shd w:val="clear" w:color="auto" w:fill="EEECE1"/>
          </w:tcPr>
          <w:p w14:paraId="33D7A477" w14:textId="77777777" w:rsidR="00477944" w:rsidRPr="002A616F" w:rsidRDefault="00477944" w:rsidP="00477944">
            <w:pPr>
              <w:jc w:val="both"/>
              <w:rPr>
                <w:b/>
                <w:bCs/>
                <w:sz w:val="20"/>
                <w:szCs w:val="20"/>
                <w:lang w:val="en-US" w:eastAsia="en-US"/>
              </w:rPr>
            </w:pPr>
            <w:r w:rsidRPr="002A616F">
              <w:rPr>
                <w:b/>
                <w:bCs/>
                <w:sz w:val="20"/>
                <w:szCs w:val="20"/>
                <w:lang w:val="en-US" w:eastAsia="en-US"/>
              </w:rPr>
              <w:t>Indicator 2.1</w:t>
            </w:r>
          </w:p>
          <w:p w14:paraId="72CD4A56"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Percentage of</w:t>
            </w:r>
          </w:p>
          <w:p w14:paraId="309E9F7A" w14:textId="592BB660"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project beneficiaries with livelihood</w:t>
            </w:r>
            <w:r w:rsidR="005D0A2C" w:rsidRPr="002A616F">
              <w:rPr>
                <w:rFonts w:eastAsia="Calibri"/>
                <w:sz w:val="20"/>
                <w:szCs w:val="20"/>
                <w:lang w:val="en-US" w:eastAsia="zh-CN"/>
              </w:rPr>
              <w:t xml:space="preserve"> </w:t>
            </w:r>
            <w:r w:rsidRPr="002A616F">
              <w:rPr>
                <w:rFonts w:eastAsia="Calibri"/>
                <w:sz w:val="20"/>
                <w:szCs w:val="20"/>
                <w:lang w:val="en-US" w:eastAsia="zh-CN"/>
              </w:rPr>
              <w:t>skills</w:t>
            </w:r>
          </w:p>
          <w:p w14:paraId="5058DE7D" w14:textId="77777777" w:rsidR="00477944" w:rsidRPr="002A616F" w:rsidRDefault="00477944" w:rsidP="00477944">
            <w:pPr>
              <w:jc w:val="both"/>
              <w:rPr>
                <w:sz w:val="20"/>
                <w:szCs w:val="20"/>
                <w:lang w:val="en-US" w:eastAsia="en-US"/>
              </w:rPr>
            </w:pPr>
          </w:p>
        </w:tc>
        <w:tc>
          <w:tcPr>
            <w:tcW w:w="1417" w:type="dxa"/>
            <w:shd w:val="clear" w:color="auto" w:fill="EEECE1"/>
          </w:tcPr>
          <w:p w14:paraId="7C5C5313"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0 (2018 December)</w:t>
            </w:r>
          </w:p>
          <w:p w14:paraId="7CEBEECB" w14:textId="77777777" w:rsidR="00477944" w:rsidRPr="002A616F" w:rsidRDefault="00477944" w:rsidP="00477944">
            <w:pPr>
              <w:rPr>
                <w:sz w:val="20"/>
                <w:szCs w:val="20"/>
              </w:rPr>
            </w:pPr>
          </w:p>
        </w:tc>
        <w:tc>
          <w:tcPr>
            <w:tcW w:w="1843" w:type="dxa"/>
            <w:shd w:val="clear" w:color="auto" w:fill="EEECE1"/>
          </w:tcPr>
          <w:p w14:paraId="0234DB5C" w14:textId="1EEFA822"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t>Target</w:t>
            </w:r>
            <w:r w:rsidRPr="002A616F">
              <w:rPr>
                <w:rFonts w:eastAsia="Calibri"/>
                <w:sz w:val="20"/>
                <w:szCs w:val="20"/>
                <w:lang w:val="en-US" w:eastAsia="zh-CN"/>
              </w:rPr>
              <w:t>: 100% (</w:t>
            </w:r>
            <w:r w:rsidR="00FE6EBB">
              <w:rPr>
                <w:rFonts w:eastAsia="Calibri"/>
                <w:sz w:val="20"/>
                <w:szCs w:val="20"/>
                <w:lang w:val="en-US" w:eastAsia="zh-CN"/>
              </w:rPr>
              <w:t>Feb. 2021</w:t>
            </w:r>
            <w:r w:rsidRPr="002A616F">
              <w:rPr>
                <w:rFonts w:eastAsia="Calibri"/>
                <w:sz w:val="20"/>
                <w:szCs w:val="20"/>
                <w:lang w:val="en-US" w:eastAsia="zh-CN"/>
              </w:rPr>
              <w:t>)</w:t>
            </w:r>
          </w:p>
          <w:p w14:paraId="40D00468" w14:textId="77777777" w:rsidR="00477944" w:rsidRPr="002A616F" w:rsidRDefault="00477944" w:rsidP="00477944">
            <w:pPr>
              <w:rPr>
                <w:sz w:val="20"/>
                <w:szCs w:val="20"/>
              </w:rPr>
            </w:pPr>
          </w:p>
        </w:tc>
        <w:tc>
          <w:tcPr>
            <w:tcW w:w="1559" w:type="dxa"/>
          </w:tcPr>
          <w:p w14:paraId="0745D52A" w14:textId="77777777" w:rsidR="00477944" w:rsidRPr="002A616F" w:rsidRDefault="00477944" w:rsidP="00477944">
            <w:pPr>
              <w:rPr>
                <w:b/>
                <w:sz w:val="20"/>
                <w:szCs w:val="20"/>
                <w:lang w:val="en-US" w:eastAsia="en-US"/>
              </w:rPr>
            </w:pPr>
            <w:r w:rsidRPr="002A616F">
              <w:rPr>
                <w:rFonts w:eastAsia="Calibri"/>
                <w:b/>
                <w:bCs/>
                <w:sz w:val="20"/>
                <w:szCs w:val="20"/>
                <w:lang w:val="en-US" w:eastAsia="zh-CN"/>
              </w:rPr>
              <w:t>Milestones</w:t>
            </w:r>
            <w:r w:rsidRPr="002A616F">
              <w:rPr>
                <w:rFonts w:eastAsia="Calibri"/>
                <w:sz w:val="20"/>
                <w:szCs w:val="20"/>
                <w:lang w:val="en-US" w:eastAsia="zh-CN"/>
              </w:rPr>
              <w:t>: (Bi-annually)</w:t>
            </w:r>
          </w:p>
        </w:tc>
        <w:tc>
          <w:tcPr>
            <w:tcW w:w="3555" w:type="dxa"/>
          </w:tcPr>
          <w:p w14:paraId="5D280CAA" w14:textId="77777777" w:rsidR="00DC1291" w:rsidRPr="00C92161" w:rsidRDefault="005D0A2C" w:rsidP="005D0A2C">
            <w:pPr>
              <w:autoSpaceDE w:val="0"/>
              <w:autoSpaceDN w:val="0"/>
              <w:adjustRightInd w:val="0"/>
              <w:rPr>
                <w:sz w:val="20"/>
                <w:szCs w:val="20"/>
              </w:rPr>
            </w:pPr>
            <w:r w:rsidRPr="00C92161">
              <w:rPr>
                <w:sz w:val="20"/>
                <w:szCs w:val="20"/>
              </w:rPr>
              <w:t>100% of targeted youth (508 (133F/375M)) placed in vocational training.</w:t>
            </w:r>
            <w:r w:rsidR="00DC1291" w:rsidRPr="00C92161">
              <w:rPr>
                <w:sz w:val="20"/>
                <w:szCs w:val="20"/>
              </w:rPr>
              <w:t xml:space="preserve"> </w:t>
            </w:r>
          </w:p>
          <w:p w14:paraId="55866606" w14:textId="77777777" w:rsidR="00DC1291" w:rsidRPr="00C92161" w:rsidRDefault="00DC1291" w:rsidP="005D0A2C">
            <w:pPr>
              <w:autoSpaceDE w:val="0"/>
              <w:autoSpaceDN w:val="0"/>
              <w:adjustRightInd w:val="0"/>
              <w:rPr>
                <w:sz w:val="20"/>
                <w:szCs w:val="20"/>
              </w:rPr>
            </w:pPr>
          </w:p>
          <w:p w14:paraId="74D056EE" w14:textId="77777777" w:rsidR="00DC1291" w:rsidRPr="00C92161" w:rsidRDefault="00DC1291" w:rsidP="005D0A2C">
            <w:pPr>
              <w:autoSpaceDE w:val="0"/>
              <w:autoSpaceDN w:val="0"/>
              <w:adjustRightInd w:val="0"/>
              <w:rPr>
                <w:sz w:val="20"/>
                <w:szCs w:val="20"/>
              </w:rPr>
            </w:pPr>
            <w:r w:rsidRPr="00C92161">
              <w:rPr>
                <w:sz w:val="20"/>
                <w:szCs w:val="20"/>
              </w:rPr>
              <w:t>30% (153</w:t>
            </w:r>
            <w:r w:rsidR="005D0A2C" w:rsidRPr="00C92161">
              <w:rPr>
                <w:sz w:val="20"/>
                <w:szCs w:val="20"/>
              </w:rPr>
              <w:t xml:space="preserve"> (42F/111M)</w:t>
            </w:r>
            <w:r w:rsidRPr="00C92161">
              <w:rPr>
                <w:sz w:val="20"/>
                <w:szCs w:val="20"/>
              </w:rPr>
              <w:t xml:space="preserve">) </w:t>
            </w:r>
            <w:r w:rsidR="005D0A2C" w:rsidRPr="00C92161">
              <w:rPr>
                <w:sz w:val="20"/>
                <w:szCs w:val="20"/>
              </w:rPr>
              <w:t xml:space="preserve">completed full 5 months and graduated from vocational skills training. </w:t>
            </w:r>
          </w:p>
          <w:p w14:paraId="678043BA" w14:textId="77777777" w:rsidR="00DC1291" w:rsidRPr="00C92161" w:rsidRDefault="00DC1291" w:rsidP="005D0A2C">
            <w:pPr>
              <w:autoSpaceDE w:val="0"/>
              <w:autoSpaceDN w:val="0"/>
              <w:adjustRightInd w:val="0"/>
              <w:rPr>
                <w:sz w:val="20"/>
                <w:szCs w:val="20"/>
              </w:rPr>
            </w:pPr>
          </w:p>
          <w:p w14:paraId="7A7B3790" w14:textId="77A3F1CD" w:rsidR="00DC1291" w:rsidRPr="002A616F" w:rsidRDefault="005D0A2C" w:rsidP="005D0A2C">
            <w:pPr>
              <w:autoSpaceDE w:val="0"/>
              <w:autoSpaceDN w:val="0"/>
              <w:adjustRightInd w:val="0"/>
              <w:rPr>
                <w:sz w:val="20"/>
                <w:szCs w:val="20"/>
              </w:rPr>
            </w:pPr>
            <w:r w:rsidRPr="00C92161">
              <w:rPr>
                <w:sz w:val="20"/>
                <w:szCs w:val="20"/>
              </w:rPr>
              <w:t>61% (309 (71F/238M)) completed 3 months of vocational training.</w:t>
            </w:r>
          </w:p>
          <w:p w14:paraId="1D0F6C66" w14:textId="0B78A588" w:rsidR="00477944" w:rsidRPr="002A616F" w:rsidRDefault="00477944" w:rsidP="00477944">
            <w:pPr>
              <w:rPr>
                <w:sz w:val="20"/>
                <w:szCs w:val="20"/>
              </w:rPr>
            </w:pPr>
          </w:p>
        </w:tc>
        <w:tc>
          <w:tcPr>
            <w:tcW w:w="2903" w:type="dxa"/>
          </w:tcPr>
          <w:p w14:paraId="73BE4B1C" w14:textId="4CD56B0F" w:rsidR="00477944" w:rsidRPr="002A616F" w:rsidRDefault="00477944" w:rsidP="00477944">
            <w:pPr>
              <w:rPr>
                <w:bCs/>
                <w:sz w:val="20"/>
                <w:szCs w:val="20"/>
              </w:rPr>
            </w:pPr>
            <w:r w:rsidRPr="002A616F">
              <w:rPr>
                <w:bCs/>
                <w:sz w:val="20"/>
                <w:szCs w:val="20"/>
                <w:lang w:val="en-US" w:eastAsia="en-US"/>
              </w:rPr>
              <w:t>Ongoing</w:t>
            </w:r>
            <w:r w:rsidR="00F92DC3" w:rsidRPr="002A616F">
              <w:rPr>
                <w:bCs/>
                <w:sz w:val="20"/>
                <w:szCs w:val="20"/>
                <w:lang w:val="en-US" w:eastAsia="en-US"/>
              </w:rPr>
              <w:t xml:space="preserve">. Delay </w:t>
            </w:r>
            <w:r w:rsidRPr="002A616F">
              <w:rPr>
                <w:bCs/>
                <w:sz w:val="20"/>
                <w:szCs w:val="20"/>
                <w:lang w:val="en-US" w:eastAsia="en-US"/>
              </w:rPr>
              <w:t xml:space="preserve">as </w:t>
            </w:r>
            <w:r w:rsidR="00F92DC3" w:rsidRPr="002A616F">
              <w:rPr>
                <w:bCs/>
                <w:sz w:val="20"/>
                <w:szCs w:val="20"/>
                <w:lang w:val="en-US" w:eastAsia="en-US"/>
              </w:rPr>
              <w:t xml:space="preserve">a </w:t>
            </w:r>
            <w:r w:rsidRPr="002A616F">
              <w:rPr>
                <w:bCs/>
                <w:sz w:val="20"/>
                <w:szCs w:val="20"/>
                <w:lang w:val="en-US" w:eastAsia="en-US"/>
              </w:rPr>
              <w:t>result of COVID19</w:t>
            </w:r>
          </w:p>
        </w:tc>
      </w:tr>
      <w:tr w:rsidR="00477944" w:rsidRPr="002A616F" w14:paraId="5441E37A" w14:textId="77777777" w:rsidTr="002A616F">
        <w:trPr>
          <w:trHeight w:val="422"/>
        </w:trPr>
        <w:tc>
          <w:tcPr>
            <w:tcW w:w="1931" w:type="dxa"/>
            <w:vMerge/>
          </w:tcPr>
          <w:p w14:paraId="4F99ECB0" w14:textId="77777777" w:rsidR="00477944" w:rsidRPr="002A616F" w:rsidRDefault="00477944" w:rsidP="00477944">
            <w:pPr>
              <w:rPr>
                <w:sz w:val="20"/>
                <w:szCs w:val="20"/>
                <w:lang w:val="en-US" w:eastAsia="en-US"/>
              </w:rPr>
            </w:pPr>
          </w:p>
        </w:tc>
        <w:tc>
          <w:tcPr>
            <w:tcW w:w="2835" w:type="dxa"/>
            <w:shd w:val="clear" w:color="auto" w:fill="EEECE1"/>
          </w:tcPr>
          <w:p w14:paraId="5F1A0848" w14:textId="77777777" w:rsidR="00477944" w:rsidRPr="002A616F" w:rsidRDefault="00477944" w:rsidP="00477944">
            <w:pPr>
              <w:jc w:val="both"/>
              <w:rPr>
                <w:b/>
                <w:bCs/>
                <w:sz w:val="20"/>
                <w:szCs w:val="20"/>
                <w:lang w:val="en-US" w:eastAsia="en-US"/>
              </w:rPr>
            </w:pPr>
            <w:r w:rsidRPr="002A616F">
              <w:rPr>
                <w:b/>
                <w:bCs/>
                <w:sz w:val="20"/>
                <w:szCs w:val="20"/>
                <w:lang w:val="en-US" w:eastAsia="en-US"/>
              </w:rPr>
              <w:t>Indicator 2.2</w:t>
            </w:r>
          </w:p>
          <w:p w14:paraId="04BCA506" w14:textId="2E731265"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Percentage of</w:t>
            </w:r>
          </w:p>
          <w:p w14:paraId="54139C1D"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beneficiaries with access to jobs</w:t>
            </w:r>
          </w:p>
          <w:p w14:paraId="0F58E293"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opportunities.</w:t>
            </w:r>
          </w:p>
        </w:tc>
        <w:tc>
          <w:tcPr>
            <w:tcW w:w="1417" w:type="dxa"/>
            <w:shd w:val="clear" w:color="auto" w:fill="EEECE1"/>
          </w:tcPr>
          <w:p w14:paraId="5FF8D34E"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t xml:space="preserve">Baseline: </w:t>
            </w:r>
            <w:r w:rsidRPr="002A616F">
              <w:rPr>
                <w:rFonts w:eastAsia="Calibri"/>
                <w:sz w:val="20"/>
                <w:szCs w:val="20"/>
                <w:lang w:val="en-US" w:eastAsia="zh-CN"/>
              </w:rPr>
              <w:t>0 (2018 December)</w:t>
            </w:r>
          </w:p>
          <w:p w14:paraId="67CF3020" w14:textId="77777777" w:rsidR="00477944" w:rsidRPr="002A616F" w:rsidRDefault="00477944" w:rsidP="00477944">
            <w:pPr>
              <w:rPr>
                <w:sz w:val="20"/>
                <w:szCs w:val="20"/>
              </w:rPr>
            </w:pPr>
          </w:p>
        </w:tc>
        <w:tc>
          <w:tcPr>
            <w:tcW w:w="1843" w:type="dxa"/>
            <w:shd w:val="clear" w:color="auto" w:fill="EEECE1"/>
          </w:tcPr>
          <w:p w14:paraId="12761ED5" w14:textId="611E1D26"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t>Target</w:t>
            </w:r>
            <w:r w:rsidRPr="002A616F">
              <w:rPr>
                <w:rFonts w:eastAsia="Calibri"/>
                <w:sz w:val="20"/>
                <w:szCs w:val="20"/>
                <w:lang w:val="en-US" w:eastAsia="zh-CN"/>
              </w:rPr>
              <w:t>: 50% (</w:t>
            </w:r>
            <w:r w:rsidR="00FE6EBB">
              <w:rPr>
                <w:rFonts w:eastAsia="Calibri"/>
                <w:sz w:val="20"/>
                <w:szCs w:val="20"/>
                <w:lang w:val="en-US" w:eastAsia="zh-CN"/>
              </w:rPr>
              <w:t>Feb. 2021</w:t>
            </w:r>
            <w:r w:rsidRPr="002A616F">
              <w:rPr>
                <w:rFonts w:eastAsia="Calibri"/>
                <w:sz w:val="20"/>
                <w:szCs w:val="20"/>
                <w:lang w:val="en-US" w:eastAsia="zh-CN"/>
              </w:rPr>
              <w:t>)</w:t>
            </w:r>
          </w:p>
          <w:p w14:paraId="588997BC" w14:textId="77777777" w:rsidR="00477944" w:rsidRPr="002A616F" w:rsidRDefault="00477944" w:rsidP="00477944">
            <w:pPr>
              <w:rPr>
                <w:sz w:val="20"/>
                <w:szCs w:val="20"/>
              </w:rPr>
            </w:pPr>
          </w:p>
        </w:tc>
        <w:tc>
          <w:tcPr>
            <w:tcW w:w="1559" w:type="dxa"/>
          </w:tcPr>
          <w:p w14:paraId="318EF6A4" w14:textId="77777777" w:rsidR="00477944" w:rsidRPr="002A616F" w:rsidRDefault="00477944" w:rsidP="00477944">
            <w:pPr>
              <w:rPr>
                <w:b/>
                <w:sz w:val="20"/>
                <w:szCs w:val="20"/>
                <w:lang w:val="en-US" w:eastAsia="en-US"/>
              </w:rPr>
            </w:pPr>
            <w:r w:rsidRPr="002A616F">
              <w:rPr>
                <w:rFonts w:eastAsia="Calibri"/>
                <w:b/>
                <w:bCs/>
                <w:sz w:val="20"/>
                <w:szCs w:val="20"/>
                <w:lang w:val="en-US" w:eastAsia="zh-CN"/>
              </w:rPr>
              <w:t xml:space="preserve">Milestones: </w:t>
            </w:r>
            <w:r w:rsidRPr="002A616F">
              <w:rPr>
                <w:rFonts w:eastAsia="Calibri"/>
                <w:sz w:val="20"/>
                <w:szCs w:val="20"/>
                <w:lang w:val="en-US" w:eastAsia="zh-CN"/>
              </w:rPr>
              <w:t>(Bi-annually)</w:t>
            </w:r>
          </w:p>
        </w:tc>
        <w:tc>
          <w:tcPr>
            <w:tcW w:w="3555" w:type="dxa"/>
          </w:tcPr>
          <w:p w14:paraId="5498C845" w14:textId="0627C70A" w:rsidR="00DC1291" w:rsidRPr="002A616F" w:rsidRDefault="00DC1291" w:rsidP="00477944">
            <w:pPr>
              <w:rPr>
                <w:sz w:val="20"/>
                <w:szCs w:val="20"/>
              </w:rPr>
            </w:pPr>
            <w:r w:rsidRPr="00F06598">
              <w:rPr>
                <w:sz w:val="20"/>
                <w:szCs w:val="20"/>
              </w:rPr>
              <w:t>30% (153 (42F/111M)) completed full 5 months, graduated from vocational skills training and provided start-up kits for enterprise development.</w:t>
            </w:r>
          </w:p>
        </w:tc>
        <w:tc>
          <w:tcPr>
            <w:tcW w:w="2903" w:type="dxa"/>
          </w:tcPr>
          <w:p w14:paraId="0447DEFB" w14:textId="469B5BCF" w:rsidR="00477944" w:rsidRPr="002A616F" w:rsidRDefault="00F06598" w:rsidP="00477944">
            <w:pPr>
              <w:rPr>
                <w:sz w:val="20"/>
                <w:szCs w:val="20"/>
              </w:rPr>
            </w:pPr>
            <w:r>
              <w:rPr>
                <w:sz w:val="20"/>
                <w:szCs w:val="20"/>
              </w:rPr>
              <w:t xml:space="preserve">Activities are ongoing to meet the target by the end of the Project. </w:t>
            </w:r>
          </w:p>
        </w:tc>
      </w:tr>
      <w:tr w:rsidR="00477944" w:rsidRPr="002A616F" w14:paraId="3EABBE9E" w14:textId="77777777" w:rsidTr="002A616F">
        <w:trPr>
          <w:trHeight w:val="422"/>
        </w:trPr>
        <w:tc>
          <w:tcPr>
            <w:tcW w:w="1931" w:type="dxa"/>
            <w:vMerge w:val="restart"/>
          </w:tcPr>
          <w:p w14:paraId="7EC0A42C"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u w:val="single"/>
                <w:lang w:val="en-US" w:eastAsia="zh-CN"/>
              </w:rPr>
              <w:t>Output 2.1:</w:t>
            </w:r>
            <w:r w:rsidRPr="002A616F">
              <w:rPr>
                <w:rFonts w:eastAsia="Calibri"/>
                <w:b/>
                <w:bCs/>
                <w:sz w:val="20"/>
                <w:szCs w:val="20"/>
                <w:lang w:val="en-US" w:eastAsia="zh-CN"/>
              </w:rPr>
              <w:t xml:space="preserve"> 500</w:t>
            </w:r>
          </w:p>
          <w:p w14:paraId="3F67188E" w14:textId="77777777" w:rsidR="00477944" w:rsidRPr="002A616F" w:rsidRDefault="00477944" w:rsidP="00477944">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w:t>
            </w:r>
            <w:proofErr w:type="spellStart"/>
            <w:r w:rsidRPr="002A616F">
              <w:rPr>
                <w:rFonts w:eastAsia="Calibri"/>
                <w:b/>
                <w:bCs/>
                <w:sz w:val="20"/>
                <w:szCs w:val="20"/>
                <w:lang w:val="en-US" w:eastAsia="zh-CN"/>
              </w:rPr>
              <w:t>Zogesse</w:t>
            </w:r>
            <w:proofErr w:type="spellEnd"/>
          </w:p>
          <w:p w14:paraId="7125E111"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empowered with skills in</w:t>
            </w:r>
          </w:p>
          <w:p w14:paraId="55382F14"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entrepreneurship, small</w:t>
            </w:r>
          </w:p>
          <w:p w14:paraId="6772ED4D"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enterprise development</w:t>
            </w:r>
          </w:p>
          <w:p w14:paraId="3F069769"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lastRenderedPageBreak/>
              <w:t>and management and to</w:t>
            </w:r>
          </w:p>
          <w:p w14:paraId="7AEB7B52"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establish sustainable</w:t>
            </w:r>
          </w:p>
          <w:p w14:paraId="36E6F35F"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Small and Micro</w:t>
            </w:r>
          </w:p>
          <w:p w14:paraId="551363A5"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Enterprises (SMEs) for</w:t>
            </w:r>
          </w:p>
          <w:p w14:paraId="63E28C80"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waste management and</w:t>
            </w:r>
          </w:p>
          <w:p w14:paraId="0535095C" w14:textId="77777777" w:rsidR="00477944" w:rsidRPr="002A616F" w:rsidRDefault="00477944" w:rsidP="00477944">
            <w:pPr>
              <w:rPr>
                <w:sz w:val="20"/>
                <w:szCs w:val="20"/>
                <w:lang w:val="en-US" w:eastAsia="en-US"/>
              </w:rPr>
            </w:pPr>
            <w:r w:rsidRPr="002A616F">
              <w:rPr>
                <w:rFonts w:eastAsia="Calibri"/>
                <w:b/>
                <w:bCs/>
                <w:sz w:val="20"/>
                <w:szCs w:val="20"/>
                <w:lang w:val="en-US" w:eastAsia="zh-CN"/>
              </w:rPr>
              <w:t>other business entities.</w:t>
            </w:r>
          </w:p>
          <w:p w14:paraId="5EB4AF64" w14:textId="77777777" w:rsidR="00477944" w:rsidRPr="002A616F" w:rsidRDefault="00477944" w:rsidP="00477944">
            <w:pPr>
              <w:rPr>
                <w:b/>
                <w:sz w:val="20"/>
                <w:szCs w:val="20"/>
                <w:lang w:val="en-US" w:eastAsia="en-US"/>
              </w:rPr>
            </w:pPr>
          </w:p>
        </w:tc>
        <w:tc>
          <w:tcPr>
            <w:tcW w:w="2835" w:type="dxa"/>
            <w:shd w:val="clear" w:color="auto" w:fill="EEECE1"/>
          </w:tcPr>
          <w:p w14:paraId="54B9662B" w14:textId="77777777" w:rsidR="00477944" w:rsidRPr="002A616F" w:rsidRDefault="00477944" w:rsidP="00477944">
            <w:pPr>
              <w:jc w:val="both"/>
              <w:rPr>
                <w:b/>
                <w:bCs/>
                <w:sz w:val="20"/>
                <w:szCs w:val="20"/>
                <w:lang w:val="en-US" w:eastAsia="en-US"/>
              </w:rPr>
            </w:pPr>
            <w:r w:rsidRPr="002A616F">
              <w:rPr>
                <w:b/>
                <w:bCs/>
                <w:sz w:val="20"/>
                <w:szCs w:val="20"/>
                <w:lang w:val="en-US" w:eastAsia="en-US"/>
              </w:rPr>
              <w:lastRenderedPageBreak/>
              <w:t>Indicator 2.1.1</w:t>
            </w:r>
          </w:p>
          <w:p w14:paraId="67916D77"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Number of</w:t>
            </w:r>
          </w:p>
          <w:p w14:paraId="51215302" w14:textId="77777777" w:rsidR="00477944" w:rsidRPr="002A616F" w:rsidRDefault="00477944" w:rsidP="00477944">
            <w:pPr>
              <w:autoSpaceDE w:val="0"/>
              <w:autoSpaceDN w:val="0"/>
              <w:adjustRightInd w:val="0"/>
              <w:rPr>
                <w:rFonts w:eastAsia="Calibri"/>
                <w:sz w:val="20"/>
                <w:szCs w:val="20"/>
                <w:lang w:val="en-US" w:eastAsia="zh-CN"/>
              </w:rPr>
            </w:pP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trained (disaggregated by</w:t>
            </w:r>
          </w:p>
          <w:p w14:paraId="067A5955"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sex and type of trade)</w:t>
            </w:r>
          </w:p>
        </w:tc>
        <w:tc>
          <w:tcPr>
            <w:tcW w:w="1417" w:type="dxa"/>
            <w:shd w:val="clear" w:color="auto" w:fill="EEECE1"/>
          </w:tcPr>
          <w:p w14:paraId="1EC1D10C"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b/>
                <w:bCs/>
                <w:sz w:val="20"/>
                <w:szCs w:val="20"/>
                <w:lang w:val="en-US" w:eastAsia="zh-CN"/>
              </w:rPr>
              <w:t>Baseline:</w:t>
            </w:r>
            <w:r w:rsidRPr="002A616F">
              <w:rPr>
                <w:rFonts w:eastAsia="Calibri"/>
                <w:sz w:val="20"/>
                <w:szCs w:val="20"/>
                <w:lang w:val="en-US" w:eastAsia="zh-CN"/>
              </w:rPr>
              <w:t xml:space="preserve"> 0 (2018 December)</w:t>
            </w:r>
          </w:p>
          <w:p w14:paraId="0C7D718F" w14:textId="77777777" w:rsidR="00477944" w:rsidRPr="002A616F" w:rsidRDefault="00477944" w:rsidP="00477944">
            <w:pPr>
              <w:rPr>
                <w:sz w:val="20"/>
                <w:szCs w:val="20"/>
              </w:rPr>
            </w:pPr>
          </w:p>
        </w:tc>
        <w:tc>
          <w:tcPr>
            <w:tcW w:w="1843" w:type="dxa"/>
            <w:shd w:val="clear" w:color="auto" w:fill="EEECE1"/>
          </w:tcPr>
          <w:p w14:paraId="437A3744" w14:textId="5326F1DE"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500 (</w:t>
            </w:r>
            <w:r w:rsidR="00FE6EBB">
              <w:rPr>
                <w:rFonts w:eastAsia="Calibri"/>
                <w:sz w:val="20"/>
                <w:szCs w:val="20"/>
                <w:lang w:val="en-US" w:eastAsia="zh-CN"/>
              </w:rPr>
              <w:t>Feb. 2021</w:t>
            </w:r>
            <w:r w:rsidRPr="002A616F">
              <w:rPr>
                <w:rFonts w:eastAsia="Calibri"/>
                <w:sz w:val="20"/>
                <w:szCs w:val="20"/>
                <w:lang w:val="en-US" w:eastAsia="zh-CN"/>
              </w:rPr>
              <w:t>)</w:t>
            </w:r>
          </w:p>
          <w:p w14:paraId="42A70E02" w14:textId="77777777" w:rsidR="00477944" w:rsidRPr="002A616F" w:rsidRDefault="00477944" w:rsidP="00477944">
            <w:pPr>
              <w:rPr>
                <w:sz w:val="20"/>
                <w:szCs w:val="20"/>
              </w:rPr>
            </w:pPr>
          </w:p>
        </w:tc>
        <w:tc>
          <w:tcPr>
            <w:tcW w:w="1559" w:type="dxa"/>
          </w:tcPr>
          <w:p w14:paraId="1DD1488E"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Milestones: (Quarterly and bi-annually)</w:t>
            </w:r>
          </w:p>
          <w:p w14:paraId="00D943A9" w14:textId="77777777" w:rsidR="00477944" w:rsidRPr="002A616F" w:rsidRDefault="00477944" w:rsidP="00477944">
            <w:pPr>
              <w:rPr>
                <w:b/>
                <w:sz w:val="20"/>
                <w:szCs w:val="20"/>
                <w:lang w:val="en-US" w:eastAsia="en-US"/>
              </w:rPr>
            </w:pPr>
          </w:p>
        </w:tc>
        <w:tc>
          <w:tcPr>
            <w:tcW w:w="3555" w:type="dxa"/>
          </w:tcPr>
          <w:p w14:paraId="31126D59" w14:textId="77777777" w:rsidR="00DC1291" w:rsidRPr="00E10994" w:rsidRDefault="00DC1291" w:rsidP="00DC1291">
            <w:pPr>
              <w:autoSpaceDE w:val="0"/>
              <w:autoSpaceDN w:val="0"/>
              <w:adjustRightInd w:val="0"/>
              <w:rPr>
                <w:sz w:val="20"/>
                <w:szCs w:val="20"/>
              </w:rPr>
            </w:pPr>
            <w:r w:rsidRPr="00E10994">
              <w:rPr>
                <w:sz w:val="20"/>
                <w:szCs w:val="20"/>
              </w:rPr>
              <w:t xml:space="preserve">153 (42F/111M) completed full 5 months, graduated from vocational skills training See Annex I for disaggregated details. </w:t>
            </w:r>
          </w:p>
          <w:p w14:paraId="4A0F4105" w14:textId="77777777" w:rsidR="00DC1291" w:rsidRPr="00E10994" w:rsidRDefault="00DC1291" w:rsidP="00DC1291">
            <w:pPr>
              <w:autoSpaceDE w:val="0"/>
              <w:autoSpaceDN w:val="0"/>
              <w:adjustRightInd w:val="0"/>
              <w:rPr>
                <w:sz w:val="20"/>
                <w:szCs w:val="20"/>
              </w:rPr>
            </w:pPr>
          </w:p>
          <w:p w14:paraId="2A05563B" w14:textId="4F34B3A9" w:rsidR="00477944" w:rsidRPr="00E10994" w:rsidRDefault="00DC1291" w:rsidP="007D4AF7">
            <w:pPr>
              <w:autoSpaceDE w:val="0"/>
              <w:autoSpaceDN w:val="0"/>
              <w:adjustRightInd w:val="0"/>
              <w:rPr>
                <w:sz w:val="20"/>
                <w:szCs w:val="20"/>
              </w:rPr>
            </w:pPr>
            <w:r w:rsidRPr="00E10994">
              <w:rPr>
                <w:sz w:val="20"/>
                <w:szCs w:val="20"/>
              </w:rPr>
              <w:t xml:space="preserve">309 (71F/238M)) completed 3 months of vocational training </w:t>
            </w:r>
            <w:r w:rsidR="00477944" w:rsidRPr="00E10994">
              <w:rPr>
                <w:sz w:val="20"/>
                <w:szCs w:val="20"/>
              </w:rPr>
              <w:t>in areas of tailoring, hairdressing, mechanic, welding, refrigeration, plumbing, carpentry, etc.</w:t>
            </w:r>
          </w:p>
        </w:tc>
        <w:tc>
          <w:tcPr>
            <w:tcW w:w="2903" w:type="dxa"/>
          </w:tcPr>
          <w:p w14:paraId="29C9D2E1" w14:textId="5CE20E22" w:rsidR="00477944" w:rsidRPr="00E10994" w:rsidRDefault="00805E2D" w:rsidP="00477944">
            <w:pPr>
              <w:rPr>
                <w:bCs/>
                <w:sz w:val="20"/>
                <w:szCs w:val="20"/>
              </w:rPr>
            </w:pPr>
            <w:r w:rsidRPr="00E10994">
              <w:rPr>
                <w:bCs/>
                <w:sz w:val="20"/>
                <w:szCs w:val="20"/>
                <w:lang w:val="en-US" w:eastAsia="en-US"/>
              </w:rPr>
              <w:t>46</w:t>
            </w:r>
            <w:r w:rsidR="00D668B7" w:rsidRPr="00E10994">
              <w:rPr>
                <w:bCs/>
                <w:sz w:val="20"/>
                <w:szCs w:val="20"/>
                <w:lang w:val="en-US" w:eastAsia="en-US"/>
              </w:rPr>
              <w:t xml:space="preserve"> </w:t>
            </w:r>
            <w:r w:rsidRPr="00E10994">
              <w:rPr>
                <w:bCs/>
                <w:sz w:val="20"/>
                <w:szCs w:val="20"/>
                <w:lang w:val="en-US" w:eastAsia="en-US"/>
              </w:rPr>
              <w:t>no longer part of training</w:t>
            </w:r>
            <w:r w:rsidR="00D668B7" w:rsidRPr="00E10994">
              <w:rPr>
                <w:bCs/>
                <w:sz w:val="20"/>
                <w:szCs w:val="20"/>
                <w:lang w:val="en-US" w:eastAsia="en-US"/>
              </w:rPr>
              <w:t xml:space="preserve"> as a result of </w:t>
            </w:r>
            <w:r w:rsidRPr="00E10994">
              <w:rPr>
                <w:bCs/>
                <w:sz w:val="20"/>
                <w:szCs w:val="20"/>
                <w:lang w:val="en-US" w:eastAsia="en-US"/>
              </w:rPr>
              <w:t>death, relocation and relapse during suspension due to COVID-19</w:t>
            </w:r>
          </w:p>
        </w:tc>
      </w:tr>
      <w:tr w:rsidR="00477944" w:rsidRPr="002A616F" w14:paraId="52F2D6E8" w14:textId="77777777" w:rsidTr="002A616F">
        <w:trPr>
          <w:trHeight w:val="1830"/>
        </w:trPr>
        <w:tc>
          <w:tcPr>
            <w:tcW w:w="1931" w:type="dxa"/>
            <w:vMerge/>
          </w:tcPr>
          <w:p w14:paraId="5DBC906C" w14:textId="77777777" w:rsidR="00477944" w:rsidRPr="002A616F" w:rsidRDefault="00477944" w:rsidP="00477944">
            <w:pPr>
              <w:rPr>
                <w:b/>
                <w:sz w:val="20"/>
                <w:szCs w:val="20"/>
                <w:lang w:val="en-US" w:eastAsia="en-US"/>
              </w:rPr>
            </w:pPr>
          </w:p>
        </w:tc>
        <w:tc>
          <w:tcPr>
            <w:tcW w:w="2835" w:type="dxa"/>
            <w:tcBorders>
              <w:bottom w:val="single" w:sz="4" w:space="0" w:color="auto"/>
            </w:tcBorders>
            <w:shd w:val="clear" w:color="auto" w:fill="EEECE1"/>
          </w:tcPr>
          <w:p w14:paraId="25FD594D" w14:textId="77777777" w:rsidR="00477944" w:rsidRPr="002A616F" w:rsidRDefault="00477944" w:rsidP="00477944">
            <w:pPr>
              <w:jc w:val="both"/>
              <w:rPr>
                <w:b/>
                <w:bCs/>
                <w:sz w:val="20"/>
                <w:szCs w:val="20"/>
                <w:lang w:val="en-US" w:eastAsia="en-US"/>
              </w:rPr>
            </w:pPr>
            <w:r w:rsidRPr="002A616F">
              <w:rPr>
                <w:b/>
                <w:bCs/>
                <w:sz w:val="20"/>
                <w:szCs w:val="20"/>
                <w:lang w:val="en-US" w:eastAsia="en-US"/>
              </w:rPr>
              <w:t>Indicator 2.1.2</w:t>
            </w:r>
          </w:p>
          <w:p w14:paraId="03579F31"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Number of target</w:t>
            </w:r>
          </w:p>
          <w:p w14:paraId="5A44C194" w14:textId="6317FAC4"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youth engaged in relevant trade and</w:t>
            </w:r>
            <w:r w:rsidR="00DC1291" w:rsidRPr="002A616F">
              <w:rPr>
                <w:rFonts w:eastAsia="Calibri"/>
                <w:sz w:val="20"/>
                <w:szCs w:val="20"/>
                <w:lang w:val="en-US" w:eastAsia="zh-CN"/>
              </w:rPr>
              <w:t xml:space="preserve"> i</w:t>
            </w:r>
            <w:r w:rsidRPr="002A616F">
              <w:rPr>
                <w:rFonts w:eastAsia="Calibri"/>
                <w:sz w:val="20"/>
                <w:szCs w:val="20"/>
                <w:lang w:val="en-US" w:eastAsia="zh-CN"/>
              </w:rPr>
              <w:t>ndustry after graduation.</w:t>
            </w:r>
          </w:p>
          <w:p w14:paraId="1AC33252" w14:textId="77777777" w:rsidR="00477944" w:rsidRPr="002A616F" w:rsidRDefault="00477944" w:rsidP="00477944">
            <w:pPr>
              <w:jc w:val="both"/>
              <w:rPr>
                <w:sz w:val="20"/>
                <w:szCs w:val="20"/>
                <w:lang w:val="en-US" w:eastAsia="en-US"/>
              </w:rPr>
            </w:pPr>
          </w:p>
        </w:tc>
        <w:tc>
          <w:tcPr>
            <w:tcW w:w="1417" w:type="dxa"/>
            <w:tcBorders>
              <w:bottom w:val="single" w:sz="4" w:space="0" w:color="auto"/>
            </w:tcBorders>
            <w:shd w:val="clear" w:color="auto" w:fill="EEECE1"/>
          </w:tcPr>
          <w:p w14:paraId="4D6E2850"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Baseline: 0</w:t>
            </w:r>
          </w:p>
          <w:p w14:paraId="160D6B91" w14:textId="77777777" w:rsidR="00477944" w:rsidRPr="002A616F" w:rsidRDefault="00477944" w:rsidP="00477944">
            <w:pPr>
              <w:rPr>
                <w:sz w:val="20"/>
                <w:szCs w:val="20"/>
              </w:rPr>
            </w:pPr>
          </w:p>
        </w:tc>
        <w:tc>
          <w:tcPr>
            <w:tcW w:w="1843" w:type="dxa"/>
            <w:tcBorders>
              <w:bottom w:val="single" w:sz="4" w:space="0" w:color="auto"/>
            </w:tcBorders>
            <w:shd w:val="clear" w:color="auto" w:fill="EEECE1"/>
          </w:tcPr>
          <w:p w14:paraId="1BE45FBC" w14:textId="6B11D759"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100 (50% of trainees)</w:t>
            </w:r>
            <w:r w:rsidR="005E09CB" w:rsidRPr="002A616F">
              <w:rPr>
                <w:rFonts w:eastAsia="Calibri"/>
                <w:sz w:val="20"/>
                <w:szCs w:val="20"/>
                <w:lang w:val="en-US" w:eastAsia="zh-CN"/>
              </w:rPr>
              <w:t xml:space="preserve"> (</w:t>
            </w:r>
            <w:r w:rsidR="00FE6EBB">
              <w:rPr>
                <w:rFonts w:eastAsia="Calibri"/>
                <w:sz w:val="20"/>
                <w:szCs w:val="20"/>
                <w:lang w:val="en-US" w:eastAsia="zh-CN"/>
              </w:rPr>
              <w:t>Feb. 2021</w:t>
            </w:r>
            <w:r w:rsidR="005E09CB" w:rsidRPr="002A616F">
              <w:rPr>
                <w:rFonts w:eastAsia="Calibri"/>
                <w:sz w:val="20"/>
                <w:szCs w:val="20"/>
                <w:lang w:val="en-US" w:eastAsia="zh-CN"/>
              </w:rPr>
              <w:t>)</w:t>
            </w:r>
          </w:p>
          <w:p w14:paraId="233982C5" w14:textId="77777777" w:rsidR="00477944" w:rsidRPr="002A616F" w:rsidRDefault="00477944" w:rsidP="00477944">
            <w:pPr>
              <w:rPr>
                <w:sz w:val="20"/>
                <w:szCs w:val="20"/>
              </w:rPr>
            </w:pPr>
          </w:p>
        </w:tc>
        <w:tc>
          <w:tcPr>
            <w:tcW w:w="1559" w:type="dxa"/>
            <w:tcBorders>
              <w:bottom w:val="single" w:sz="4" w:space="0" w:color="auto"/>
            </w:tcBorders>
          </w:tcPr>
          <w:p w14:paraId="705A8060" w14:textId="77777777" w:rsidR="00477944" w:rsidRPr="002A616F" w:rsidRDefault="00477944" w:rsidP="00477944">
            <w:pPr>
              <w:rPr>
                <w:b/>
                <w:sz w:val="20"/>
                <w:szCs w:val="20"/>
                <w:lang w:val="en-US" w:eastAsia="en-US"/>
              </w:rPr>
            </w:pPr>
            <w:r w:rsidRPr="002A616F">
              <w:rPr>
                <w:rFonts w:eastAsia="Calibri"/>
                <w:sz w:val="20"/>
                <w:szCs w:val="20"/>
                <w:lang w:val="en-US" w:eastAsia="zh-CN"/>
              </w:rPr>
              <w:t>Milestones: (bi-annually)</w:t>
            </w:r>
          </w:p>
        </w:tc>
        <w:tc>
          <w:tcPr>
            <w:tcW w:w="3555" w:type="dxa"/>
            <w:tcBorders>
              <w:bottom w:val="single" w:sz="4" w:space="0" w:color="auto"/>
            </w:tcBorders>
          </w:tcPr>
          <w:p w14:paraId="5AFBE7A6" w14:textId="29FC2019" w:rsidR="00477944" w:rsidRPr="002A616F" w:rsidRDefault="00615F2F" w:rsidP="00477944">
            <w:pPr>
              <w:rPr>
                <w:sz w:val="20"/>
                <w:szCs w:val="20"/>
              </w:rPr>
            </w:pPr>
            <w:r w:rsidRPr="002A616F">
              <w:rPr>
                <w:color w:val="000000" w:themeColor="text1"/>
                <w:sz w:val="20"/>
                <w:szCs w:val="20"/>
              </w:rPr>
              <w:t>19 youths formed 13 SMEs</w:t>
            </w:r>
          </w:p>
        </w:tc>
        <w:tc>
          <w:tcPr>
            <w:tcW w:w="2903" w:type="dxa"/>
            <w:tcBorders>
              <w:bottom w:val="single" w:sz="4" w:space="0" w:color="auto"/>
            </w:tcBorders>
          </w:tcPr>
          <w:p w14:paraId="0CF2A00D" w14:textId="032AA1D1" w:rsidR="00477944" w:rsidRPr="002A616F" w:rsidRDefault="00477944" w:rsidP="00477944">
            <w:pPr>
              <w:rPr>
                <w:sz w:val="20"/>
                <w:szCs w:val="20"/>
              </w:rPr>
            </w:pPr>
            <w:r w:rsidRPr="002A616F">
              <w:rPr>
                <w:bCs/>
                <w:sz w:val="20"/>
                <w:szCs w:val="20"/>
                <w:lang w:val="en-US" w:eastAsia="en-US"/>
              </w:rPr>
              <w:t xml:space="preserve">Monitoring will take place </w:t>
            </w:r>
            <w:r w:rsidR="00615F2F" w:rsidRPr="002A616F">
              <w:rPr>
                <w:bCs/>
                <w:sz w:val="20"/>
                <w:szCs w:val="20"/>
                <w:lang w:val="en-US" w:eastAsia="en-US"/>
              </w:rPr>
              <w:t>to ascertain the level cohesion</w:t>
            </w:r>
          </w:p>
        </w:tc>
      </w:tr>
      <w:tr w:rsidR="00477944" w:rsidRPr="002A616F" w14:paraId="068A411C" w14:textId="77777777" w:rsidTr="002A616F">
        <w:trPr>
          <w:trHeight w:val="945"/>
        </w:trPr>
        <w:tc>
          <w:tcPr>
            <w:tcW w:w="1931" w:type="dxa"/>
            <w:vMerge/>
          </w:tcPr>
          <w:p w14:paraId="5380F364" w14:textId="77777777" w:rsidR="00477944" w:rsidRPr="002A616F" w:rsidRDefault="00477944" w:rsidP="00477944">
            <w:pPr>
              <w:rPr>
                <w:b/>
                <w:sz w:val="20"/>
                <w:szCs w:val="20"/>
                <w:lang w:val="en-US" w:eastAsia="en-US"/>
              </w:rPr>
            </w:pPr>
          </w:p>
        </w:tc>
        <w:tc>
          <w:tcPr>
            <w:tcW w:w="2835" w:type="dxa"/>
            <w:tcBorders>
              <w:top w:val="single" w:sz="4" w:space="0" w:color="auto"/>
            </w:tcBorders>
            <w:shd w:val="clear" w:color="auto" w:fill="EEECE1"/>
          </w:tcPr>
          <w:p w14:paraId="28B3077B" w14:textId="431CF7AE" w:rsidR="00D83CC2" w:rsidRPr="002A616F" w:rsidRDefault="00D83CC2"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I</w:t>
            </w:r>
            <w:r w:rsidR="00477944" w:rsidRPr="002A616F">
              <w:rPr>
                <w:rFonts w:eastAsia="Calibri"/>
                <w:b/>
                <w:bCs/>
                <w:sz w:val="20"/>
                <w:szCs w:val="20"/>
                <w:lang w:val="en-US" w:eastAsia="zh-CN"/>
              </w:rPr>
              <w:t>ndicator 2.1.</w:t>
            </w:r>
            <w:r w:rsidR="00E10994">
              <w:rPr>
                <w:rFonts w:eastAsia="Calibri"/>
                <w:b/>
                <w:bCs/>
                <w:sz w:val="20"/>
                <w:szCs w:val="20"/>
                <w:lang w:val="en-US" w:eastAsia="zh-CN"/>
              </w:rPr>
              <w:t>3</w:t>
            </w:r>
          </w:p>
          <w:p w14:paraId="1506190D" w14:textId="04F7265F"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 xml:space="preserve">Number of </w:t>
            </w:r>
            <w:proofErr w:type="spellStart"/>
            <w:r w:rsidRPr="002A616F">
              <w:rPr>
                <w:rFonts w:eastAsia="Calibri"/>
                <w:sz w:val="20"/>
                <w:szCs w:val="20"/>
                <w:lang w:val="en-US" w:eastAsia="zh-CN"/>
              </w:rPr>
              <w:t>zogos</w:t>
            </w:r>
            <w:proofErr w:type="spellEnd"/>
            <w:r w:rsidR="00D83CC2" w:rsidRPr="002A616F">
              <w:rPr>
                <w:rFonts w:eastAsia="Calibri"/>
                <w:sz w:val="20"/>
                <w:szCs w:val="20"/>
                <w:lang w:val="en-US" w:eastAsia="zh-CN"/>
              </w:rPr>
              <w:t xml:space="preserve"> and</w:t>
            </w:r>
          </w:p>
          <w:p w14:paraId="25FBB368" w14:textId="74838A6C" w:rsidR="00477944" w:rsidRPr="002A616F" w:rsidRDefault="00477944" w:rsidP="00477944">
            <w:pPr>
              <w:autoSpaceDE w:val="0"/>
              <w:autoSpaceDN w:val="0"/>
              <w:adjustRightInd w:val="0"/>
              <w:rPr>
                <w:rFonts w:eastAsia="Calibri"/>
                <w:sz w:val="20"/>
                <w:szCs w:val="20"/>
                <w:lang w:val="en-US" w:eastAsia="zh-CN"/>
              </w:rPr>
            </w:pPr>
            <w:proofErr w:type="spellStart"/>
            <w:r w:rsidRPr="002A616F">
              <w:rPr>
                <w:rFonts w:eastAsia="Calibri"/>
                <w:sz w:val="20"/>
                <w:szCs w:val="20"/>
                <w:lang w:val="en-US" w:eastAsia="zh-CN"/>
              </w:rPr>
              <w:t>zoge</w:t>
            </w:r>
            <w:r w:rsidR="00D83CC2" w:rsidRPr="002A616F">
              <w:rPr>
                <w:rFonts w:eastAsia="Calibri"/>
                <w:sz w:val="20"/>
                <w:szCs w:val="20"/>
                <w:lang w:val="en-US" w:eastAsia="zh-CN"/>
              </w:rPr>
              <w:t>s</w:t>
            </w:r>
            <w:r w:rsidRPr="002A616F">
              <w:rPr>
                <w:rFonts w:eastAsia="Calibri"/>
                <w:sz w:val="20"/>
                <w:szCs w:val="20"/>
                <w:lang w:val="en-US" w:eastAsia="zh-CN"/>
              </w:rPr>
              <w:t>se</w:t>
            </w:r>
            <w:proofErr w:type="spellEnd"/>
            <w:r w:rsidRPr="002A616F">
              <w:rPr>
                <w:rFonts w:eastAsia="Calibri"/>
                <w:sz w:val="20"/>
                <w:szCs w:val="20"/>
                <w:lang w:val="en-US" w:eastAsia="zh-CN"/>
              </w:rPr>
              <w:t xml:space="preserve"> successfully placed</w:t>
            </w:r>
          </w:p>
          <w:p w14:paraId="441E72A6"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(disaggregated by type of trade)</w:t>
            </w:r>
          </w:p>
          <w:p w14:paraId="5F212A49" w14:textId="77777777" w:rsidR="00477944" w:rsidRPr="002A616F" w:rsidRDefault="00477944" w:rsidP="00477944">
            <w:pPr>
              <w:jc w:val="both"/>
              <w:rPr>
                <w:sz w:val="20"/>
                <w:szCs w:val="20"/>
                <w:lang w:val="en-US" w:eastAsia="en-US"/>
              </w:rPr>
            </w:pPr>
          </w:p>
        </w:tc>
        <w:tc>
          <w:tcPr>
            <w:tcW w:w="1417" w:type="dxa"/>
            <w:tcBorders>
              <w:top w:val="single" w:sz="4" w:space="0" w:color="auto"/>
            </w:tcBorders>
            <w:shd w:val="clear" w:color="auto" w:fill="EEECE1"/>
          </w:tcPr>
          <w:p w14:paraId="16602683"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Baseline: 0 (2018 December)</w:t>
            </w:r>
          </w:p>
          <w:p w14:paraId="01B229F7" w14:textId="77777777" w:rsidR="00477944" w:rsidRPr="002A616F" w:rsidRDefault="00477944" w:rsidP="00477944">
            <w:pPr>
              <w:rPr>
                <w:rFonts w:eastAsia="Calibri"/>
                <w:sz w:val="20"/>
                <w:szCs w:val="20"/>
                <w:lang w:val="en-US" w:eastAsia="zh-CN"/>
              </w:rPr>
            </w:pPr>
          </w:p>
        </w:tc>
        <w:tc>
          <w:tcPr>
            <w:tcW w:w="1843" w:type="dxa"/>
            <w:tcBorders>
              <w:top w:val="single" w:sz="4" w:space="0" w:color="auto"/>
            </w:tcBorders>
            <w:shd w:val="clear" w:color="auto" w:fill="EEECE1"/>
          </w:tcPr>
          <w:p w14:paraId="2B0088F4" w14:textId="7E50D342"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150 (</w:t>
            </w:r>
            <w:r w:rsidR="00FE6EBB">
              <w:rPr>
                <w:rFonts w:eastAsia="Calibri"/>
                <w:sz w:val="20"/>
                <w:szCs w:val="20"/>
                <w:lang w:val="en-US" w:eastAsia="zh-CN"/>
              </w:rPr>
              <w:t>Feb. 2021</w:t>
            </w:r>
            <w:r w:rsidRPr="002A616F">
              <w:rPr>
                <w:rFonts w:eastAsia="Calibri"/>
                <w:sz w:val="20"/>
                <w:szCs w:val="20"/>
                <w:lang w:val="en-US" w:eastAsia="zh-CN"/>
              </w:rPr>
              <w:t>)</w:t>
            </w:r>
          </w:p>
          <w:p w14:paraId="4E92B02A" w14:textId="77777777" w:rsidR="00477944" w:rsidRPr="002A616F" w:rsidRDefault="00477944" w:rsidP="00477944">
            <w:pPr>
              <w:rPr>
                <w:rFonts w:eastAsia="Calibri"/>
                <w:sz w:val="20"/>
                <w:szCs w:val="20"/>
                <w:lang w:val="en-US" w:eastAsia="zh-CN"/>
              </w:rPr>
            </w:pPr>
          </w:p>
        </w:tc>
        <w:tc>
          <w:tcPr>
            <w:tcW w:w="1559" w:type="dxa"/>
            <w:tcBorders>
              <w:top w:val="single" w:sz="4" w:space="0" w:color="auto"/>
            </w:tcBorders>
          </w:tcPr>
          <w:p w14:paraId="6C7D1C96" w14:textId="77777777" w:rsidR="00477944" w:rsidRPr="002A616F" w:rsidRDefault="00477944" w:rsidP="00477944">
            <w:pPr>
              <w:rPr>
                <w:rFonts w:eastAsia="Calibri"/>
                <w:sz w:val="20"/>
                <w:szCs w:val="20"/>
                <w:lang w:val="en-US" w:eastAsia="zh-CN"/>
              </w:rPr>
            </w:pPr>
            <w:r w:rsidRPr="002A616F">
              <w:rPr>
                <w:rFonts w:eastAsia="Calibri"/>
                <w:sz w:val="20"/>
                <w:szCs w:val="20"/>
                <w:lang w:val="en-US" w:eastAsia="zh-CN"/>
              </w:rPr>
              <w:t>Milestones: (Quarterly and bi-annually</w:t>
            </w:r>
          </w:p>
        </w:tc>
        <w:tc>
          <w:tcPr>
            <w:tcW w:w="3555" w:type="dxa"/>
            <w:tcBorders>
              <w:top w:val="single" w:sz="4" w:space="0" w:color="auto"/>
            </w:tcBorders>
          </w:tcPr>
          <w:p w14:paraId="16BEA4D3" w14:textId="48E61FCE" w:rsidR="00477944" w:rsidRPr="002A616F" w:rsidRDefault="0073119E" w:rsidP="00477944">
            <w:pPr>
              <w:rPr>
                <w:bCs/>
                <w:sz w:val="20"/>
                <w:szCs w:val="20"/>
                <w:lang w:val="en-US" w:eastAsia="en-US"/>
              </w:rPr>
            </w:pPr>
            <w:r w:rsidRPr="002A616F">
              <w:rPr>
                <w:sz w:val="20"/>
                <w:szCs w:val="20"/>
                <w:lang w:val="en-US" w:eastAsia="en-US"/>
              </w:rPr>
              <w:t>129 (30F/99M) out of 153</w:t>
            </w:r>
          </w:p>
        </w:tc>
        <w:tc>
          <w:tcPr>
            <w:tcW w:w="2903" w:type="dxa"/>
            <w:tcBorders>
              <w:top w:val="single" w:sz="4" w:space="0" w:color="auto"/>
            </w:tcBorders>
          </w:tcPr>
          <w:p w14:paraId="2AC5EFB8" w14:textId="3FBA49B3" w:rsidR="00477944" w:rsidRPr="002A616F" w:rsidRDefault="0073119E" w:rsidP="00477944">
            <w:pPr>
              <w:rPr>
                <w:b/>
                <w:sz w:val="20"/>
                <w:szCs w:val="20"/>
                <w:lang w:val="en-US" w:eastAsia="en-US"/>
              </w:rPr>
            </w:pPr>
            <w:r w:rsidRPr="002A616F">
              <w:rPr>
                <w:bCs/>
                <w:sz w:val="20"/>
                <w:szCs w:val="20"/>
                <w:lang w:val="en-US" w:eastAsia="en-US"/>
              </w:rPr>
              <w:t xml:space="preserve">There </w:t>
            </w:r>
            <w:r w:rsidR="00615F2F" w:rsidRPr="002A616F">
              <w:rPr>
                <w:bCs/>
                <w:sz w:val="20"/>
                <w:szCs w:val="20"/>
                <w:lang w:val="en-US" w:eastAsia="en-US"/>
              </w:rPr>
              <w:t>is</w:t>
            </w:r>
            <w:r w:rsidR="00D83CC2" w:rsidRPr="002A616F">
              <w:rPr>
                <w:bCs/>
                <w:sz w:val="20"/>
                <w:szCs w:val="20"/>
                <w:lang w:val="en-US" w:eastAsia="en-US"/>
              </w:rPr>
              <w:t xml:space="preserve"> </w:t>
            </w:r>
            <w:r w:rsidRPr="002A616F">
              <w:rPr>
                <w:bCs/>
                <w:sz w:val="20"/>
                <w:szCs w:val="20"/>
                <w:lang w:val="en-US" w:eastAsia="en-US"/>
              </w:rPr>
              <w:t>balance of 24 to be placed</w:t>
            </w:r>
            <w:r w:rsidR="00477944" w:rsidRPr="002A616F">
              <w:rPr>
                <w:bCs/>
                <w:sz w:val="20"/>
                <w:szCs w:val="20"/>
                <w:lang w:val="en-US" w:eastAsia="en-US"/>
              </w:rPr>
              <w:t>.</w:t>
            </w:r>
          </w:p>
        </w:tc>
      </w:tr>
      <w:tr w:rsidR="003C2949" w:rsidRPr="002A616F" w14:paraId="1EB96FDB" w14:textId="77777777" w:rsidTr="002A616F">
        <w:trPr>
          <w:trHeight w:val="512"/>
        </w:trPr>
        <w:tc>
          <w:tcPr>
            <w:tcW w:w="1931" w:type="dxa"/>
            <w:vMerge w:val="restart"/>
          </w:tcPr>
          <w:p w14:paraId="272F9C33"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u w:val="single"/>
                <w:lang w:val="en-US" w:eastAsia="zh-CN"/>
              </w:rPr>
              <w:t>Output 2.2:</w:t>
            </w:r>
            <w:r w:rsidRPr="002A616F">
              <w:rPr>
                <w:rFonts w:eastAsia="Calibri"/>
                <w:b/>
                <w:bCs/>
                <w:sz w:val="20"/>
                <w:szCs w:val="20"/>
                <w:lang w:val="en-US" w:eastAsia="zh-CN"/>
              </w:rPr>
              <w:t xml:space="preserve"> </w:t>
            </w:r>
          </w:p>
          <w:p w14:paraId="688825DF"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500</w:t>
            </w:r>
          </w:p>
          <w:p w14:paraId="4A21BD15" w14:textId="77777777" w:rsidR="003C2949" w:rsidRPr="002A616F" w:rsidRDefault="003C2949" w:rsidP="003C2949">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w:t>
            </w:r>
            <w:proofErr w:type="spellStart"/>
            <w:r w:rsidRPr="002A616F">
              <w:rPr>
                <w:rFonts w:eastAsia="Calibri"/>
                <w:b/>
                <w:bCs/>
                <w:sz w:val="20"/>
                <w:szCs w:val="20"/>
                <w:lang w:val="en-US" w:eastAsia="zh-CN"/>
              </w:rPr>
              <w:t>Zogesse</w:t>
            </w:r>
            <w:proofErr w:type="spellEnd"/>
            <w:r w:rsidRPr="002A616F">
              <w:rPr>
                <w:rFonts w:eastAsia="Calibri"/>
                <w:b/>
                <w:bCs/>
                <w:sz w:val="20"/>
                <w:szCs w:val="20"/>
                <w:lang w:val="en-US" w:eastAsia="zh-CN"/>
              </w:rPr>
              <w:t xml:space="preserve"> supported</w:t>
            </w:r>
          </w:p>
          <w:p w14:paraId="0B5FA15A"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through the Monrovia City</w:t>
            </w:r>
          </w:p>
          <w:p w14:paraId="6EBDC18D"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Corporation (MCC) with</w:t>
            </w:r>
          </w:p>
          <w:p w14:paraId="00B71F7C"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start-up capital to</w:t>
            </w:r>
          </w:p>
          <w:p w14:paraId="0C3F82D6"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strengthen waste</w:t>
            </w:r>
          </w:p>
          <w:p w14:paraId="7B8AF45A"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management processes in</w:t>
            </w:r>
          </w:p>
          <w:p w14:paraId="1CCD1746"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Montserrado for the</w:t>
            </w:r>
          </w:p>
          <w:p w14:paraId="030289F6"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trainees through</w:t>
            </w:r>
          </w:p>
          <w:p w14:paraId="13735852" w14:textId="77777777" w:rsidR="003C2949" w:rsidRPr="002A616F" w:rsidRDefault="003C2949" w:rsidP="003C2949">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microfinance institutions</w:t>
            </w:r>
          </w:p>
          <w:p w14:paraId="4B0FECE0" w14:textId="77777777" w:rsidR="003C2949" w:rsidRPr="002A616F" w:rsidRDefault="003C2949" w:rsidP="003C2949">
            <w:pPr>
              <w:rPr>
                <w:sz w:val="20"/>
                <w:szCs w:val="20"/>
                <w:lang w:val="en-US" w:eastAsia="en-US"/>
              </w:rPr>
            </w:pPr>
            <w:r w:rsidRPr="002A616F">
              <w:rPr>
                <w:rFonts w:eastAsia="Calibri"/>
                <w:b/>
                <w:bCs/>
                <w:sz w:val="20"/>
                <w:szCs w:val="20"/>
                <w:lang w:val="en-US" w:eastAsia="zh-CN"/>
              </w:rPr>
              <w:t>(MFIs).</w:t>
            </w:r>
          </w:p>
        </w:tc>
        <w:tc>
          <w:tcPr>
            <w:tcW w:w="2835" w:type="dxa"/>
            <w:shd w:val="clear" w:color="auto" w:fill="EEECE1"/>
          </w:tcPr>
          <w:p w14:paraId="3CFF28DD" w14:textId="77777777" w:rsidR="003C2949" w:rsidRPr="002A616F" w:rsidRDefault="003C2949" w:rsidP="003C2949">
            <w:pPr>
              <w:jc w:val="both"/>
              <w:rPr>
                <w:b/>
                <w:bCs/>
                <w:sz w:val="20"/>
                <w:szCs w:val="20"/>
                <w:lang w:val="en-US" w:eastAsia="en-US"/>
              </w:rPr>
            </w:pPr>
            <w:r w:rsidRPr="002A616F">
              <w:rPr>
                <w:b/>
                <w:bCs/>
                <w:sz w:val="20"/>
                <w:szCs w:val="20"/>
                <w:lang w:val="en-US" w:eastAsia="en-US"/>
              </w:rPr>
              <w:t>Indicator 2.2.1</w:t>
            </w:r>
          </w:p>
          <w:p w14:paraId="23CF77CF" w14:textId="68AA3B88"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 xml:space="preserve">Number of </w:t>
            </w:r>
            <w:proofErr w:type="spellStart"/>
            <w:r w:rsidRPr="002A616F">
              <w:rPr>
                <w:rFonts w:eastAsia="Calibri"/>
                <w:sz w:val="20"/>
                <w:szCs w:val="20"/>
                <w:lang w:val="en-US" w:eastAsia="zh-CN"/>
              </w:rPr>
              <w:t>Zogos</w:t>
            </w:r>
            <w:proofErr w:type="spellEnd"/>
            <w:r w:rsidRPr="002A616F">
              <w:rPr>
                <w:rFonts w:eastAsia="Calibri"/>
                <w:sz w:val="20"/>
                <w:szCs w:val="20"/>
                <w:lang w:val="en-US" w:eastAsia="zh-CN"/>
              </w:rPr>
              <w:t>,</w:t>
            </w:r>
          </w:p>
          <w:p w14:paraId="0CAFDC24" w14:textId="65BAB2A3" w:rsidR="003C2949" w:rsidRPr="002A616F" w:rsidRDefault="003C2949" w:rsidP="003C2949">
            <w:pPr>
              <w:autoSpaceDE w:val="0"/>
              <w:autoSpaceDN w:val="0"/>
              <w:adjustRightInd w:val="0"/>
              <w:rPr>
                <w:rFonts w:eastAsia="Calibri"/>
                <w:sz w:val="20"/>
                <w:szCs w:val="20"/>
                <w:lang w:val="en-US" w:eastAsia="zh-CN"/>
              </w:rPr>
            </w:pP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participating in city clean-up</w:t>
            </w:r>
            <w:r w:rsidR="00D83CC2" w:rsidRPr="002A616F">
              <w:rPr>
                <w:rFonts w:eastAsia="Calibri"/>
                <w:sz w:val="20"/>
                <w:szCs w:val="20"/>
                <w:lang w:val="en-US" w:eastAsia="zh-CN"/>
              </w:rPr>
              <w:t xml:space="preserve"> </w:t>
            </w:r>
            <w:r w:rsidRPr="002A616F">
              <w:rPr>
                <w:rFonts w:eastAsia="Calibri"/>
                <w:sz w:val="20"/>
                <w:szCs w:val="20"/>
                <w:lang w:val="en-US" w:eastAsia="zh-CN"/>
              </w:rPr>
              <w:t>exercises.</w:t>
            </w:r>
          </w:p>
          <w:p w14:paraId="519CF5B8" w14:textId="77777777" w:rsidR="003C2949" w:rsidRPr="002A616F" w:rsidRDefault="003C2949" w:rsidP="003C2949">
            <w:pPr>
              <w:jc w:val="both"/>
              <w:rPr>
                <w:sz w:val="20"/>
                <w:szCs w:val="20"/>
                <w:lang w:val="en-US" w:eastAsia="en-US"/>
              </w:rPr>
            </w:pPr>
          </w:p>
        </w:tc>
        <w:tc>
          <w:tcPr>
            <w:tcW w:w="1417" w:type="dxa"/>
            <w:shd w:val="clear" w:color="auto" w:fill="EEECE1"/>
          </w:tcPr>
          <w:p w14:paraId="0D8B66DE" w14:textId="77777777"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Baseline: 0 (2018 December)</w:t>
            </w:r>
          </w:p>
          <w:p w14:paraId="37F61004" w14:textId="77777777" w:rsidR="003C2949" w:rsidRPr="002A616F" w:rsidRDefault="003C2949" w:rsidP="003C2949">
            <w:pPr>
              <w:rPr>
                <w:sz w:val="20"/>
                <w:szCs w:val="20"/>
              </w:rPr>
            </w:pPr>
          </w:p>
        </w:tc>
        <w:tc>
          <w:tcPr>
            <w:tcW w:w="1843" w:type="dxa"/>
            <w:shd w:val="clear" w:color="auto" w:fill="EEECE1"/>
          </w:tcPr>
          <w:p w14:paraId="75D13A39" w14:textId="206A7F03"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Target: 500 (</w:t>
            </w:r>
            <w:r w:rsidR="00FE6EBB">
              <w:rPr>
                <w:rFonts w:eastAsia="Calibri"/>
                <w:sz w:val="20"/>
                <w:szCs w:val="20"/>
                <w:lang w:val="en-US" w:eastAsia="zh-CN"/>
              </w:rPr>
              <w:t>Feb. 2021</w:t>
            </w:r>
            <w:r w:rsidRPr="002A616F">
              <w:rPr>
                <w:rFonts w:eastAsia="Calibri"/>
                <w:sz w:val="20"/>
                <w:szCs w:val="20"/>
                <w:lang w:val="en-US" w:eastAsia="zh-CN"/>
              </w:rPr>
              <w:t>)</w:t>
            </w:r>
          </w:p>
          <w:p w14:paraId="76B39590" w14:textId="77777777" w:rsidR="003C2949" w:rsidRPr="002A616F" w:rsidRDefault="003C2949" w:rsidP="003C2949">
            <w:pPr>
              <w:rPr>
                <w:sz w:val="20"/>
                <w:szCs w:val="20"/>
              </w:rPr>
            </w:pPr>
          </w:p>
        </w:tc>
        <w:tc>
          <w:tcPr>
            <w:tcW w:w="1559" w:type="dxa"/>
          </w:tcPr>
          <w:p w14:paraId="627DB510" w14:textId="77777777" w:rsidR="003C2949" w:rsidRPr="002A616F" w:rsidRDefault="003C2949" w:rsidP="003C2949">
            <w:pPr>
              <w:rPr>
                <w:b/>
                <w:sz w:val="20"/>
                <w:szCs w:val="20"/>
                <w:lang w:val="en-US" w:eastAsia="en-US"/>
              </w:rPr>
            </w:pPr>
            <w:r w:rsidRPr="002A616F">
              <w:rPr>
                <w:rFonts w:eastAsia="Calibri"/>
                <w:sz w:val="20"/>
                <w:szCs w:val="20"/>
                <w:lang w:val="en-US" w:eastAsia="zh-CN"/>
              </w:rPr>
              <w:t>Milestones: (Quarterly and bi-annually)</w:t>
            </w:r>
          </w:p>
        </w:tc>
        <w:tc>
          <w:tcPr>
            <w:tcW w:w="3555" w:type="dxa"/>
          </w:tcPr>
          <w:p w14:paraId="0B981B7B" w14:textId="6F766086" w:rsidR="003C2949" w:rsidRPr="002A616F" w:rsidRDefault="003C2949" w:rsidP="003C2949">
            <w:pPr>
              <w:rPr>
                <w:sz w:val="20"/>
                <w:szCs w:val="20"/>
              </w:rPr>
            </w:pPr>
            <w:r w:rsidRPr="002A616F">
              <w:rPr>
                <w:sz w:val="20"/>
                <w:szCs w:val="20"/>
              </w:rPr>
              <w:t>10-day Clean-Up campaign carried out over 10 weeks, targeting 12 communities in Paynesville and Monrovia. 455 (122F/ 333M) engaged and participating in Cash for Work</w:t>
            </w:r>
          </w:p>
        </w:tc>
        <w:tc>
          <w:tcPr>
            <w:tcW w:w="2903" w:type="dxa"/>
          </w:tcPr>
          <w:p w14:paraId="6562EA0A" w14:textId="03E40F19" w:rsidR="003C2949" w:rsidRPr="002A616F" w:rsidRDefault="00D83CC2" w:rsidP="003C2949">
            <w:pPr>
              <w:rPr>
                <w:sz w:val="20"/>
                <w:szCs w:val="20"/>
              </w:rPr>
            </w:pPr>
            <w:r w:rsidRPr="002A616F">
              <w:rPr>
                <w:sz w:val="20"/>
                <w:szCs w:val="20"/>
              </w:rPr>
              <w:t>NA</w:t>
            </w:r>
          </w:p>
        </w:tc>
      </w:tr>
      <w:tr w:rsidR="003C2949" w:rsidRPr="002A616F" w14:paraId="0570D1AF" w14:textId="77777777" w:rsidTr="002A616F">
        <w:trPr>
          <w:trHeight w:val="458"/>
        </w:trPr>
        <w:tc>
          <w:tcPr>
            <w:tcW w:w="1931" w:type="dxa"/>
            <w:vMerge/>
          </w:tcPr>
          <w:p w14:paraId="4B04DF74" w14:textId="77777777" w:rsidR="003C2949" w:rsidRPr="002A616F" w:rsidRDefault="003C2949" w:rsidP="003C2949">
            <w:pPr>
              <w:rPr>
                <w:b/>
                <w:sz w:val="20"/>
                <w:szCs w:val="20"/>
                <w:lang w:val="en-US" w:eastAsia="en-US"/>
              </w:rPr>
            </w:pPr>
          </w:p>
        </w:tc>
        <w:tc>
          <w:tcPr>
            <w:tcW w:w="2835" w:type="dxa"/>
            <w:shd w:val="clear" w:color="auto" w:fill="EEECE1"/>
          </w:tcPr>
          <w:p w14:paraId="03E37097" w14:textId="77777777" w:rsidR="00D83CC2" w:rsidRPr="002A616F" w:rsidRDefault="003C2949" w:rsidP="003C2949">
            <w:pPr>
              <w:jc w:val="both"/>
              <w:rPr>
                <w:rFonts w:eastAsia="Calibri"/>
                <w:b/>
                <w:bCs/>
                <w:sz w:val="20"/>
                <w:szCs w:val="20"/>
                <w:lang w:val="en-US" w:eastAsia="zh-CN"/>
              </w:rPr>
            </w:pPr>
            <w:r w:rsidRPr="002A616F">
              <w:rPr>
                <w:b/>
                <w:bCs/>
                <w:sz w:val="20"/>
                <w:szCs w:val="20"/>
                <w:lang w:val="en-US" w:eastAsia="en-US"/>
              </w:rPr>
              <w:t>Indicator 2.2.2</w:t>
            </w:r>
          </w:p>
          <w:p w14:paraId="14FD3624" w14:textId="5F23DD8A" w:rsidR="003C2949" w:rsidRPr="002A616F" w:rsidRDefault="003C2949" w:rsidP="003C2949">
            <w:pPr>
              <w:jc w:val="both"/>
              <w:rPr>
                <w:sz w:val="20"/>
                <w:szCs w:val="20"/>
                <w:lang w:val="en-US" w:eastAsia="en-US"/>
              </w:rPr>
            </w:pPr>
            <w:r w:rsidRPr="002A616F">
              <w:rPr>
                <w:rFonts w:eastAsia="Calibri"/>
                <w:sz w:val="20"/>
                <w:szCs w:val="20"/>
                <w:lang w:val="en-US" w:eastAsia="zh-CN"/>
              </w:rPr>
              <w:t>Number of cities</w:t>
            </w:r>
          </w:p>
          <w:p w14:paraId="5112C41D" w14:textId="77777777"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benefiting from clean-up exercises</w:t>
            </w:r>
          </w:p>
          <w:p w14:paraId="57FA7FD9" w14:textId="77777777" w:rsidR="003C2949" w:rsidRPr="002A616F" w:rsidRDefault="003C2949" w:rsidP="003C2949">
            <w:pPr>
              <w:jc w:val="both"/>
              <w:rPr>
                <w:sz w:val="20"/>
                <w:szCs w:val="20"/>
                <w:lang w:val="en-US" w:eastAsia="en-US"/>
              </w:rPr>
            </w:pPr>
          </w:p>
        </w:tc>
        <w:tc>
          <w:tcPr>
            <w:tcW w:w="1417" w:type="dxa"/>
            <w:shd w:val="clear" w:color="auto" w:fill="EEECE1"/>
          </w:tcPr>
          <w:p w14:paraId="40079694" w14:textId="329A6365"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Baseline: 0</w:t>
            </w:r>
            <w:r w:rsidR="00D83CC2" w:rsidRPr="002A616F">
              <w:rPr>
                <w:rFonts w:eastAsia="Calibri"/>
                <w:sz w:val="20"/>
                <w:szCs w:val="20"/>
                <w:lang w:val="en-US" w:eastAsia="zh-CN"/>
              </w:rPr>
              <w:t xml:space="preserve"> (2018 December)</w:t>
            </w:r>
          </w:p>
          <w:p w14:paraId="7E287112" w14:textId="77777777" w:rsidR="003C2949" w:rsidRPr="002A616F" w:rsidRDefault="003C2949" w:rsidP="003C2949">
            <w:pPr>
              <w:rPr>
                <w:sz w:val="20"/>
                <w:szCs w:val="20"/>
              </w:rPr>
            </w:pPr>
          </w:p>
        </w:tc>
        <w:tc>
          <w:tcPr>
            <w:tcW w:w="1843" w:type="dxa"/>
            <w:shd w:val="clear" w:color="auto" w:fill="EEECE1"/>
          </w:tcPr>
          <w:p w14:paraId="7086C06A" w14:textId="77777777"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Target: 2: Monrovia and Paynesville,</w:t>
            </w:r>
          </w:p>
          <w:p w14:paraId="7C908C87" w14:textId="77777777" w:rsidR="003C2949" w:rsidRPr="002A616F" w:rsidRDefault="003C2949" w:rsidP="003C2949">
            <w:pPr>
              <w:autoSpaceDE w:val="0"/>
              <w:autoSpaceDN w:val="0"/>
              <w:adjustRightInd w:val="0"/>
              <w:rPr>
                <w:rFonts w:eastAsia="Calibri"/>
                <w:sz w:val="20"/>
                <w:szCs w:val="20"/>
                <w:lang w:val="en-US" w:eastAsia="zh-CN"/>
              </w:rPr>
            </w:pPr>
            <w:r w:rsidRPr="002A616F">
              <w:rPr>
                <w:rFonts w:eastAsia="Calibri"/>
                <w:sz w:val="20"/>
                <w:szCs w:val="20"/>
                <w:lang w:val="en-US" w:eastAsia="zh-CN"/>
              </w:rPr>
              <w:t>2020 June)</w:t>
            </w:r>
          </w:p>
          <w:p w14:paraId="506C1825" w14:textId="77777777" w:rsidR="003C2949" w:rsidRPr="002A616F" w:rsidRDefault="003C2949" w:rsidP="003C2949">
            <w:pPr>
              <w:rPr>
                <w:sz w:val="20"/>
                <w:szCs w:val="20"/>
              </w:rPr>
            </w:pPr>
          </w:p>
        </w:tc>
        <w:tc>
          <w:tcPr>
            <w:tcW w:w="1559" w:type="dxa"/>
          </w:tcPr>
          <w:p w14:paraId="5DE71C14" w14:textId="77777777" w:rsidR="003C2949" w:rsidRPr="002A616F" w:rsidRDefault="003C2949" w:rsidP="003C2949">
            <w:pPr>
              <w:rPr>
                <w:b/>
                <w:sz w:val="20"/>
                <w:szCs w:val="20"/>
                <w:lang w:val="en-US" w:eastAsia="en-US"/>
              </w:rPr>
            </w:pPr>
            <w:r w:rsidRPr="002A616F">
              <w:rPr>
                <w:rFonts w:eastAsia="Calibri"/>
                <w:sz w:val="20"/>
                <w:szCs w:val="20"/>
                <w:lang w:val="en-US" w:eastAsia="zh-CN"/>
              </w:rPr>
              <w:t>Milestones: (Quarterly and bi-annually).</w:t>
            </w:r>
          </w:p>
        </w:tc>
        <w:tc>
          <w:tcPr>
            <w:tcW w:w="3555" w:type="dxa"/>
          </w:tcPr>
          <w:p w14:paraId="062D26E7" w14:textId="223943DB" w:rsidR="003C2949" w:rsidRPr="002A616F" w:rsidRDefault="00D668B7" w:rsidP="003C2949">
            <w:pPr>
              <w:rPr>
                <w:sz w:val="20"/>
                <w:szCs w:val="20"/>
              </w:rPr>
            </w:pPr>
            <w:r w:rsidRPr="002A616F">
              <w:rPr>
                <w:sz w:val="20"/>
                <w:szCs w:val="20"/>
              </w:rPr>
              <w:t>The Monrovia City and the Paynesville City are the two that benefited from the 10 Saturdays clean-up exercise which ran from July 18-September 19, 2020</w:t>
            </w:r>
          </w:p>
        </w:tc>
        <w:tc>
          <w:tcPr>
            <w:tcW w:w="2903" w:type="dxa"/>
          </w:tcPr>
          <w:p w14:paraId="0D3A1428" w14:textId="7DF6DE75" w:rsidR="003C2949" w:rsidRPr="002A616F" w:rsidRDefault="00D83CC2" w:rsidP="003C2949">
            <w:pPr>
              <w:rPr>
                <w:b/>
                <w:sz w:val="20"/>
                <w:szCs w:val="20"/>
                <w:lang w:val="en-US" w:eastAsia="en-US"/>
              </w:rPr>
            </w:pPr>
            <w:r w:rsidRPr="002A616F">
              <w:rPr>
                <w:bCs/>
                <w:sz w:val="20"/>
                <w:szCs w:val="20"/>
                <w:lang w:val="en-US" w:eastAsia="en-US"/>
              </w:rPr>
              <w:t>NA</w:t>
            </w:r>
          </w:p>
          <w:p w14:paraId="08240AC4" w14:textId="77777777" w:rsidR="003C2949" w:rsidRPr="002A616F" w:rsidRDefault="003C2949" w:rsidP="003C2949">
            <w:pPr>
              <w:rPr>
                <w:b/>
                <w:sz w:val="20"/>
                <w:szCs w:val="20"/>
                <w:lang w:val="en-US" w:eastAsia="en-US"/>
              </w:rPr>
            </w:pPr>
          </w:p>
          <w:p w14:paraId="69BDB893" w14:textId="77777777" w:rsidR="003C2949" w:rsidRPr="002A616F" w:rsidRDefault="003C2949" w:rsidP="003C2949">
            <w:pPr>
              <w:rPr>
                <w:b/>
                <w:sz w:val="20"/>
                <w:szCs w:val="20"/>
                <w:lang w:val="en-US" w:eastAsia="en-US"/>
              </w:rPr>
            </w:pPr>
          </w:p>
          <w:p w14:paraId="2E5EC229" w14:textId="77777777" w:rsidR="003C2949" w:rsidRPr="002A616F" w:rsidRDefault="003C2949" w:rsidP="003C2949">
            <w:pPr>
              <w:rPr>
                <w:b/>
                <w:sz w:val="20"/>
                <w:szCs w:val="20"/>
                <w:lang w:val="en-US" w:eastAsia="en-US"/>
              </w:rPr>
            </w:pPr>
          </w:p>
          <w:p w14:paraId="044B61CF" w14:textId="77777777" w:rsidR="003C2949" w:rsidRPr="002A616F" w:rsidRDefault="003C2949" w:rsidP="003C2949">
            <w:pPr>
              <w:rPr>
                <w:b/>
                <w:sz w:val="20"/>
                <w:szCs w:val="20"/>
                <w:lang w:val="en-US" w:eastAsia="en-US"/>
              </w:rPr>
            </w:pPr>
          </w:p>
          <w:p w14:paraId="5AF3FD8B" w14:textId="77777777" w:rsidR="003C2949" w:rsidRPr="002A616F" w:rsidRDefault="003C2949" w:rsidP="003C2949">
            <w:pPr>
              <w:rPr>
                <w:b/>
                <w:sz w:val="20"/>
                <w:szCs w:val="20"/>
                <w:lang w:val="en-US" w:eastAsia="en-US"/>
              </w:rPr>
            </w:pPr>
          </w:p>
          <w:p w14:paraId="5D5291F0" w14:textId="77777777" w:rsidR="003C2949" w:rsidRPr="002A616F" w:rsidRDefault="003C2949" w:rsidP="003C2949">
            <w:pPr>
              <w:rPr>
                <w:b/>
                <w:sz w:val="20"/>
                <w:szCs w:val="20"/>
                <w:lang w:val="en-US" w:eastAsia="en-US"/>
              </w:rPr>
            </w:pPr>
          </w:p>
          <w:p w14:paraId="43B5993A" w14:textId="77777777" w:rsidR="003C2949" w:rsidRPr="002A616F" w:rsidRDefault="003C2949" w:rsidP="003C2949">
            <w:pPr>
              <w:rPr>
                <w:b/>
                <w:sz w:val="20"/>
                <w:szCs w:val="20"/>
                <w:lang w:val="en-US" w:eastAsia="en-US"/>
              </w:rPr>
            </w:pPr>
          </w:p>
          <w:p w14:paraId="28C41545" w14:textId="77777777" w:rsidR="003C2949" w:rsidRPr="002A616F" w:rsidRDefault="003C2949" w:rsidP="003C2949">
            <w:pPr>
              <w:rPr>
                <w:sz w:val="20"/>
                <w:szCs w:val="20"/>
              </w:rPr>
            </w:pPr>
          </w:p>
        </w:tc>
      </w:tr>
      <w:tr w:rsidR="00477944" w:rsidRPr="002A616F" w14:paraId="63AA9C4B" w14:textId="77777777" w:rsidTr="002A616F">
        <w:trPr>
          <w:trHeight w:val="718"/>
        </w:trPr>
        <w:tc>
          <w:tcPr>
            <w:tcW w:w="1931" w:type="dxa"/>
            <w:vMerge w:val="restart"/>
          </w:tcPr>
          <w:p w14:paraId="3FA6665C" w14:textId="77777777" w:rsidR="00477944" w:rsidRPr="002A616F" w:rsidRDefault="00477944" w:rsidP="00477944">
            <w:pPr>
              <w:autoSpaceDE w:val="0"/>
              <w:autoSpaceDN w:val="0"/>
              <w:adjustRightInd w:val="0"/>
              <w:rPr>
                <w:rFonts w:eastAsia="Calibri"/>
                <w:b/>
                <w:bCs/>
                <w:i/>
                <w:iCs/>
                <w:sz w:val="20"/>
                <w:szCs w:val="20"/>
                <w:lang w:val="en-US" w:eastAsia="zh-CN"/>
              </w:rPr>
            </w:pPr>
            <w:r w:rsidRPr="002A616F">
              <w:rPr>
                <w:rFonts w:eastAsia="Calibri"/>
                <w:b/>
                <w:bCs/>
                <w:sz w:val="20"/>
                <w:szCs w:val="20"/>
                <w:u w:val="single"/>
                <w:lang w:val="en-US" w:eastAsia="zh-CN"/>
              </w:rPr>
              <w:lastRenderedPageBreak/>
              <w:t>Output 2.3</w:t>
            </w:r>
            <w:r w:rsidRPr="002A616F">
              <w:rPr>
                <w:rFonts w:eastAsia="Calibri"/>
                <w:b/>
                <w:bCs/>
                <w:i/>
                <w:iCs/>
                <w:sz w:val="20"/>
                <w:szCs w:val="20"/>
                <w:u w:val="single"/>
                <w:lang w:val="en-US" w:eastAsia="zh-CN"/>
              </w:rPr>
              <w:t>:</w:t>
            </w:r>
            <w:r w:rsidRPr="002A616F">
              <w:rPr>
                <w:rFonts w:eastAsia="Calibri"/>
                <w:b/>
                <w:bCs/>
                <w:i/>
                <w:iCs/>
                <w:sz w:val="20"/>
                <w:szCs w:val="20"/>
                <w:lang w:val="en-US" w:eastAsia="zh-CN"/>
              </w:rPr>
              <w:t xml:space="preserve"> </w:t>
            </w:r>
          </w:p>
          <w:p w14:paraId="6DB1A485"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 xml:space="preserve">500 </w:t>
            </w:r>
            <w:proofErr w:type="spellStart"/>
            <w:r w:rsidRPr="002A616F">
              <w:rPr>
                <w:rFonts w:eastAsia="Calibri"/>
                <w:b/>
                <w:bCs/>
                <w:sz w:val="20"/>
                <w:szCs w:val="20"/>
                <w:lang w:val="en-US" w:eastAsia="zh-CN"/>
              </w:rPr>
              <w:t>Zogos</w:t>
            </w:r>
            <w:proofErr w:type="spellEnd"/>
            <w:r w:rsidRPr="002A616F">
              <w:rPr>
                <w:rFonts w:eastAsia="Calibri"/>
                <w:b/>
                <w:bCs/>
                <w:sz w:val="20"/>
                <w:szCs w:val="20"/>
                <w:lang w:val="en-US" w:eastAsia="zh-CN"/>
              </w:rPr>
              <w:t xml:space="preserve"> and</w:t>
            </w:r>
          </w:p>
          <w:p w14:paraId="53017EFF" w14:textId="77777777" w:rsidR="00477944" w:rsidRPr="002A616F" w:rsidRDefault="00477944" w:rsidP="00477944">
            <w:pPr>
              <w:autoSpaceDE w:val="0"/>
              <w:autoSpaceDN w:val="0"/>
              <w:adjustRightInd w:val="0"/>
              <w:rPr>
                <w:rFonts w:eastAsia="Calibri"/>
                <w:b/>
                <w:bCs/>
                <w:sz w:val="20"/>
                <w:szCs w:val="20"/>
                <w:lang w:val="en-US" w:eastAsia="zh-CN"/>
              </w:rPr>
            </w:pPr>
            <w:proofErr w:type="spellStart"/>
            <w:r w:rsidRPr="002A616F">
              <w:rPr>
                <w:rFonts w:eastAsia="Calibri"/>
                <w:b/>
                <w:bCs/>
                <w:sz w:val="20"/>
                <w:szCs w:val="20"/>
                <w:lang w:val="en-US" w:eastAsia="zh-CN"/>
              </w:rPr>
              <w:t>Zogesse</w:t>
            </w:r>
            <w:proofErr w:type="spellEnd"/>
            <w:r w:rsidRPr="002A616F">
              <w:rPr>
                <w:rFonts w:eastAsia="Calibri"/>
                <w:b/>
                <w:bCs/>
                <w:sz w:val="20"/>
                <w:szCs w:val="20"/>
                <w:lang w:val="en-US" w:eastAsia="zh-CN"/>
              </w:rPr>
              <w:t xml:space="preserve"> capacitated with</w:t>
            </w:r>
          </w:p>
          <w:p w14:paraId="7B71E010"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start-up capital to own</w:t>
            </w:r>
          </w:p>
          <w:p w14:paraId="5AADC770"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businesses and linked to</w:t>
            </w:r>
          </w:p>
          <w:p w14:paraId="57C8F6D1" w14:textId="77777777" w:rsidR="00477944" w:rsidRPr="002A616F" w:rsidRDefault="00477944"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sustainable job and</w:t>
            </w:r>
          </w:p>
          <w:p w14:paraId="53B195AD" w14:textId="77777777" w:rsidR="00477944" w:rsidRPr="002A616F" w:rsidRDefault="00477944" w:rsidP="00477944">
            <w:pPr>
              <w:rPr>
                <w:sz w:val="20"/>
                <w:szCs w:val="20"/>
                <w:lang w:val="en-US" w:eastAsia="en-US"/>
              </w:rPr>
            </w:pPr>
            <w:r w:rsidRPr="002A616F">
              <w:rPr>
                <w:rFonts w:eastAsia="Calibri"/>
                <w:b/>
                <w:bCs/>
                <w:sz w:val="20"/>
                <w:szCs w:val="20"/>
                <w:lang w:val="en-US" w:eastAsia="zh-CN"/>
              </w:rPr>
              <w:t>employment opportunities.</w:t>
            </w:r>
          </w:p>
        </w:tc>
        <w:tc>
          <w:tcPr>
            <w:tcW w:w="2835" w:type="dxa"/>
            <w:shd w:val="clear" w:color="auto" w:fill="EEECE1"/>
          </w:tcPr>
          <w:p w14:paraId="7AC83D2E" w14:textId="02C11ADB" w:rsidR="00D83CC2" w:rsidRPr="002A616F" w:rsidRDefault="00D83CC2"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I</w:t>
            </w:r>
            <w:r w:rsidR="00477944" w:rsidRPr="002A616F">
              <w:rPr>
                <w:rFonts w:eastAsia="Calibri"/>
                <w:b/>
                <w:bCs/>
                <w:sz w:val="20"/>
                <w:szCs w:val="20"/>
                <w:lang w:val="en-US" w:eastAsia="zh-CN"/>
              </w:rPr>
              <w:t>ndicator 2.3.1</w:t>
            </w:r>
          </w:p>
          <w:p w14:paraId="5EC80150" w14:textId="452FE9D9"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Number of</w:t>
            </w:r>
          </w:p>
          <w:p w14:paraId="39E73061" w14:textId="5A2AFCB4"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 xml:space="preserve">trained </w:t>
            </w:r>
            <w:proofErr w:type="spellStart"/>
            <w:r w:rsidRPr="002A616F">
              <w:rPr>
                <w:rFonts w:eastAsia="Calibri"/>
                <w:sz w:val="20"/>
                <w:szCs w:val="20"/>
                <w:lang w:val="en-US" w:eastAsia="zh-CN"/>
              </w:rPr>
              <w:t>Zogos</w:t>
            </w:r>
            <w:proofErr w:type="spellEnd"/>
            <w:r w:rsidR="00D83CC2" w:rsidRPr="002A616F">
              <w:rPr>
                <w:rFonts w:eastAsia="Calibri"/>
                <w:sz w:val="20"/>
                <w:szCs w:val="20"/>
                <w:lang w:val="en-US" w:eastAsia="zh-CN"/>
              </w:rPr>
              <w:t xml:space="preserve"> and </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provided with</w:t>
            </w:r>
          </w:p>
          <w:p w14:paraId="7537DCAA"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start-up capital</w:t>
            </w:r>
          </w:p>
          <w:p w14:paraId="7B196761" w14:textId="77777777" w:rsidR="00477944" w:rsidRPr="002A616F" w:rsidRDefault="00477944" w:rsidP="00477944">
            <w:pPr>
              <w:jc w:val="both"/>
              <w:rPr>
                <w:sz w:val="20"/>
                <w:szCs w:val="20"/>
                <w:lang w:val="en-US" w:eastAsia="en-US"/>
              </w:rPr>
            </w:pPr>
          </w:p>
        </w:tc>
        <w:tc>
          <w:tcPr>
            <w:tcW w:w="1417" w:type="dxa"/>
            <w:shd w:val="clear" w:color="auto" w:fill="EEECE1"/>
          </w:tcPr>
          <w:p w14:paraId="189FFDBC"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Baseline: 0 (2018 December)</w:t>
            </w:r>
          </w:p>
          <w:p w14:paraId="4CD5D4C3" w14:textId="77777777" w:rsidR="00477944" w:rsidRPr="002A616F" w:rsidRDefault="00477944" w:rsidP="00477944">
            <w:pPr>
              <w:rPr>
                <w:sz w:val="20"/>
                <w:szCs w:val="20"/>
              </w:rPr>
            </w:pPr>
          </w:p>
        </w:tc>
        <w:tc>
          <w:tcPr>
            <w:tcW w:w="1843" w:type="dxa"/>
            <w:shd w:val="clear" w:color="auto" w:fill="EEECE1"/>
          </w:tcPr>
          <w:p w14:paraId="425010E9"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500 (2020 June)</w:t>
            </w:r>
          </w:p>
          <w:p w14:paraId="14A58CD8" w14:textId="77777777" w:rsidR="00477944" w:rsidRPr="002A616F" w:rsidRDefault="00477944" w:rsidP="00477944">
            <w:pPr>
              <w:rPr>
                <w:sz w:val="20"/>
                <w:szCs w:val="20"/>
              </w:rPr>
            </w:pPr>
          </w:p>
        </w:tc>
        <w:tc>
          <w:tcPr>
            <w:tcW w:w="1559" w:type="dxa"/>
          </w:tcPr>
          <w:p w14:paraId="2E18F7E9" w14:textId="77777777" w:rsidR="00477944" w:rsidRPr="002A616F" w:rsidRDefault="00477944" w:rsidP="00477944">
            <w:pPr>
              <w:rPr>
                <w:b/>
                <w:sz w:val="20"/>
                <w:szCs w:val="20"/>
                <w:lang w:val="en-US" w:eastAsia="en-US"/>
              </w:rPr>
            </w:pPr>
            <w:r w:rsidRPr="002A616F">
              <w:rPr>
                <w:rFonts w:eastAsia="Calibri"/>
                <w:sz w:val="20"/>
                <w:szCs w:val="20"/>
                <w:lang w:val="en-US" w:eastAsia="zh-CN"/>
              </w:rPr>
              <w:t>Milestones: (Quarterly or bi-annually)</w:t>
            </w:r>
          </w:p>
        </w:tc>
        <w:tc>
          <w:tcPr>
            <w:tcW w:w="3555" w:type="dxa"/>
          </w:tcPr>
          <w:p w14:paraId="0EEB7D64" w14:textId="3E046554" w:rsidR="00477944" w:rsidRPr="002A616F" w:rsidRDefault="00D83CC2" w:rsidP="00477944">
            <w:pPr>
              <w:rPr>
                <w:sz w:val="20"/>
                <w:szCs w:val="20"/>
              </w:rPr>
            </w:pPr>
            <w:r w:rsidRPr="007A3A3A">
              <w:rPr>
                <w:sz w:val="20"/>
                <w:szCs w:val="20"/>
              </w:rPr>
              <w:t>153 (42F/111M) provided with start-up kits.</w:t>
            </w:r>
            <w:r w:rsidRPr="002A616F">
              <w:rPr>
                <w:sz w:val="20"/>
                <w:szCs w:val="20"/>
              </w:rPr>
              <w:t xml:space="preserve"> </w:t>
            </w:r>
          </w:p>
        </w:tc>
        <w:tc>
          <w:tcPr>
            <w:tcW w:w="2903" w:type="dxa"/>
          </w:tcPr>
          <w:p w14:paraId="7B360D56" w14:textId="2AF9495C" w:rsidR="00477944" w:rsidRPr="002A616F" w:rsidRDefault="007A3A3A" w:rsidP="00477944">
            <w:pPr>
              <w:rPr>
                <w:sz w:val="20"/>
                <w:szCs w:val="20"/>
              </w:rPr>
            </w:pPr>
            <w:r>
              <w:rPr>
                <w:sz w:val="20"/>
                <w:szCs w:val="20"/>
              </w:rPr>
              <w:t xml:space="preserve">The remaining will be provided upon completion of skills training </w:t>
            </w:r>
          </w:p>
        </w:tc>
      </w:tr>
      <w:tr w:rsidR="00477944" w:rsidRPr="002A616F" w14:paraId="4BDCDE10" w14:textId="77777777" w:rsidTr="002A616F">
        <w:trPr>
          <w:trHeight w:val="1071"/>
        </w:trPr>
        <w:tc>
          <w:tcPr>
            <w:tcW w:w="1931" w:type="dxa"/>
            <w:vMerge/>
          </w:tcPr>
          <w:p w14:paraId="233AD36C" w14:textId="77777777" w:rsidR="00477944" w:rsidRPr="002A616F" w:rsidRDefault="00477944" w:rsidP="00477944">
            <w:pPr>
              <w:rPr>
                <w:b/>
                <w:sz w:val="20"/>
                <w:szCs w:val="20"/>
                <w:lang w:val="en-US" w:eastAsia="en-US"/>
              </w:rPr>
            </w:pPr>
          </w:p>
        </w:tc>
        <w:tc>
          <w:tcPr>
            <w:tcW w:w="2835" w:type="dxa"/>
            <w:tcBorders>
              <w:bottom w:val="single" w:sz="4" w:space="0" w:color="auto"/>
            </w:tcBorders>
            <w:shd w:val="clear" w:color="auto" w:fill="EEECE1"/>
          </w:tcPr>
          <w:p w14:paraId="1AD6AFD3" w14:textId="70826B62" w:rsidR="00D83CC2" w:rsidRPr="002A616F" w:rsidRDefault="00D83CC2"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I</w:t>
            </w:r>
            <w:r w:rsidR="00477944" w:rsidRPr="002A616F">
              <w:rPr>
                <w:rFonts w:eastAsia="Calibri"/>
                <w:b/>
                <w:bCs/>
                <w:sz w:val="20"/>
                <w:szCs w:val="20"/>
                <w:lang w:val="en-US" w:eastAsia="zh-CN"/>
              </w:rPr>
              <w:t>ndicator 2.3.2</w:t>
            </w:r>
          </w:p>
          <w:p w14:paraId="22CD9879" w14:textId="565E8789"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Percentage of</w:t>
            </w:r>
          </w:p>
          <w:p w14:paraId="445F2350"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promising CBEs accessing commercial</w:t>
            </w:r>
          </w:p>
          <w:p w14:paraId="10DA873C"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credit through BOSS Project</w:t>
            </w:r>
          </w:p>
        </w:tc>
        <w:tc>
          <w:tcPr>
            <w:tcW w:w="1417" w:type="dxa"/>
            <w:tcBorders>
              <w:bottom w:val="single" w:sz="4" w:space="0" w:color="auto"/>
            </w:tcBorders>
            <w:shd w:val="clear" w:color="auto" w:fill="EEECE1"/>
          </w:tcPr>
          <w:p w14:paraId="2A82D41A"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Baseline: 0</w:t>
            </w:r>
          </w:p>
          <w:p w14:paraId="780FB1F9" w14:textId="77777777" w:rsidR="00477944" w:rsidRPr="002A616F" w:rsidRDefault="00477944" w:rsidP="00477944">
            <w:pPr>
              <w:rPr>
                <w:sz w:val="20"/>
                <w:szCs w:val="20"/>
              </w:rPr>
            </w:pPr>
          </w:p>
        </w:tc>
        <w:tc>
          <w:tcPr>
            <w:tcW w:w="1843" w:type="dxa"/>
            <w:tcBorders>
              <w:bottom w:val="single" w:sz="4" w:space="0" w:color="auto"/>
            </w:tcBorders>
            <w:shd w:val="clear" w:color="auto" w:fill="EEECE1"/>
          </w:tcPr>
          <w:p w14:paraId="0D2B9712"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100%</w:t>
            </w:r>
          </w:p>
          <w:p w14:paraId="5C4F3985" w14:textId="77777777" w:rsidR="00477944" w:rsidRPr="002A616F" w:rsidRDefault="00477944" w:rsidP="00477944">
            <w:pPr>
              <w:rPr>
                <w:sz w:val="20"/>
                <w:szCs w:val="20"/>
              </w:rPr>
            </w:pPr>
          </w:p>
        </w:tc>
        <w:tc>
          <w:tcPr>
            <w:tcW w:w="1559" w:type="dxa"/>
            <w:tcBorders>
              <w:bottom w:val="single" w:sz="4" w:space="0" w:color="auto"/>
            </w:tcBorders>
          </w:tcPr>
          <w:p w14:paraId="665E950E" w14:textId="77777777" w:rsidR="00477944" w:rsidRPr="002A616F" w:rsidRDefault="00477944" w:rsidP="00477944">
            <w:pPr>
              <w:rPr>
                <w:b/>
                <w:sz w:val="20"/>
                <w:szCs w:val="20"/>
                <w:lang w:val="en-US" w:eastAsia="en-US"/>
              </w:rPr>
            </w:pPr>
            <w:r w:rsidRPr="002A616F">
              <w:rPr>
                <w:rFonts w:eastAsia="Calibri"/>
                <w:sz w:val="20"/>
                <w:szCs w:val="20"/>
                <w:lang w:val="en-US" w:eastAsia="zh-CN"/>
              </w:rPr>
              <w:t>Milestones: (Quarterly or bi-annually)</w:t>
            </w:r>
          </w:p>
        </w:tc>
        <w:tc>
          <w:tcPr>
            <w:tcW w:w="3555" w:type="dxa"/>
            <w:tcBorders>
              <w:bottom w:val="single" w:sz="4" w:space="0" w:color="auto"/>
            </w:tcBorders>
          </w:tcPr>
          <w:p w14:paraId="55892FF2" w14:textId="623A2AA1" w:rsidR="00477944" w:rsidRPr="002A616F" w:rsidRDefault="00477944" w:rsidP="00477944">
            <w:pPr>
              <w:rPr>
                <w:sz w:val="20"/>
                <w:szCs w:val="20"/>
              </w:rPr>
            </w:pPr>
            <w:r w:rsidRPr="002A616F">
              <w:rPr>
                <w:sz w:val="20"/>
                <w:szCs w:val="20"/>
                <w:lang w:val="en-US" w:eastAsia="en-US"/>
              </w:rPr>
              <w:t xml:space="preserve">UNDP </w:t>
            </w:r>
            <w:r w:rsidR="007A3A3A">
              <w:rPr>
                <w:sz w:val="20"/>
                <w:szCs w:val="20"/>
                <w:lang w:val="en-US" w:eastAsia="en-US"/>
              </w:rPr>
              <w:t>P</w:t>
            </w:r>
            <w:r w:rsidRPr="002A616F">
              <w:rPr>
                <w:sz w:val="20"/>
                <w:szCs w:val="20"/>
                <w:lang w:val="en-US" w:eastAsia="en-US"/>
              </w:rPr>
              <w:t xml:space="preserve">rivate </w:t>
            </w:r>
            <w:r w:rsidR="007A3A3A">
              <w:rPr>
                <w:sz w:val="20"/>
                <w:szCs w:val="20"/>
                <w:lang w:val="en-US" w:eastAsia="en-US"/>
              </w:rPr>
              <w:t>S</w:t>
            </w:r>
            <w:r w:rsidRPr="002A616F">
              <w:rPr>
                <w:sz w:val="20"/>
                <w:szCs w:val="20"/>
                <w:lang w:val="en-US" w:eastAsia="en-US"/>
              </w:rPr>
              <w:t>ector</w:t>
            </w:r>
            <w:r w:rsidR="007A3A3A">
              <w:rPr>
                <w:sz w:val="20"/>
                <w:szCs w:val="20"/>
                <w:lang w:val="en-US" w:eastAsia="en-US"/>
              </w:rPr>
              <w:t>, and Livelihoods</w:t>
            </w:r>
            <w:r w:rsidRPr="002A616F">
              <w:rPr>
                <w:sz w:val="20"/>
                <w:szCs w:val="20"/>
                <w:lang w:val="en-US" w:eastAsia="en-US"/>
              </w:rPr>
              <w:t xml:space="preserve"> </w:t>
            </w:r>
            <w:proofErr w:type="spellStart"/>
            <w:r w:rsidRPr="002A616F">
              <w:rPr>
                <w:sz w:val="20"/>
                <w:szCs w:val="20"/>
                <w:lang w:val="en-US" w:eastAsia="en-US"/>
              </w:rPr>
              <w:t>programme</w:t>
            </w:r>
            <w:r w:rsidR="007A3A3A">
              <w:rPr>
                <w:sz w:val="20"/>
                <w:szCs w:val="20"/>
                <w:lang w:val="en-US" w:eastAsia="en-US"/>
              </w:rPr>
              <w:t>s</w:t>
            </w:r>
            <w:proofErr w:type="spellEnd"/>
            <w:r w:rsidRPr="002A616F">
              <w:rPr>
                <w:sz w:val="20"/>
                <w:szCs w:val="20"/>
                <w:lang w:val="en-US" w:eastAsia="en-US"/>
              </w:rPr>
              <w:t xml:space="preserve"> will facilitate micro-financing and partnership services that will strengthen new cooperatives revenue potential and diversity. BOSS project has been re</w:t>
            </w:r>
            <w:r w:rsidR="007A3A3A">
              <w:rPr>
                <w:sz w:val="20"/>
                <w:szCs w:val="20"/>
                <w:lang w:val="en-US" w:eastAsia="en-US"/>
              </w:rPr>
              <w:t>-</w:t>
            </w:r>
            <w:r w:rsidRPr="002A616F">
              <w:rPr>
                <w:sz w:val="20"/>
                <w:szCs w:val="20"/>
                <w:lang w:val="en-US" w:eastAsia="en-US"/>
              </w:rPr>
              <w:t xml:space="preserve">designed as new private sector </w:t>
            </w:r>
            <w:proofErr w:type="spellStart"/>
            <w:r w:rsidRPr="002A616F">
              <w:rPr>
                <w:sz w:val="20"/>
                <w:szCs w:val="20"/>
                <w:lang w:val="en-US" w:eastAsia="en-US"/>
              </w:rPr>
              <w:t>programme</w:t>
            </w:r>
            <w:proofErr w:type="spellEnd"/>
            <w:r w:rsidRPr="002A616F">
              <w:rPr>
                <w:sz w:val="20"/>
                <w:szCs w:val="20"/>
                <w:lang w:val="en-US" w:eastAsia="en-US"/>
              </w:rPr>
              <w:t xml:space="preserve">. </w:t>
            </w:r>
          </w:p>
        </w:tc>
        <w:tc>
          <w:tcPr>
            <w:tcW w:w="2903" w:type="dxa"/>
            <w:tcBorders>
              <w:bottom w:val="single" w:sz="4" w:space="0" w:color="auto"/>
            </w:tcBorders>
          </w:tcPr>
          <w:p w14:paraId="0B014C68" w14:textId="235250EF" w:rsidR="00477944" w:rsidRPr="002A616F" w:rsidRDefault="004D1989" w:rsidP="00477944">
            <w:pPr>
              <w:rPr>
                <w:sz w:val="20"/>
                <w:szCs w:val="20"/>
              </w:rPr>
            </w:pPr>
            <w:r w:rsidRPr="002A616F">
              <w:rPr>
                <w:bCs/>
                <w:sz w:val="20"/>
                <w:szCs w:val="20"/>
                <w:lang w:val="en-US" w:eastAsia="en-US"/>
              </w:rPr>
              <w:t>BOSS Project closed</w:t>
            </w:r>
            <w:r w:rsidR="00477944" w:rsidRPr="002A616F">
              <w:rPr>
                <w:bCs/>
                <w:sz w:val="20"/>
                <w:szCs w:val="20"/>
                <w:lang w:val="en-US" w:eastAsia="en-US"/>
              </w:rPr>
              <w:t>.</w:t>
            </w:r>
          </w:p>
        </w:tc>
      </w:tr>
      <w:tr w:rsidR="00477944" w:rsidRPr="002A616F" w14:paraId="0FDF765B" w14:textId="77777777" w:rsidTr="002A616F">
        <w:trPr>
          <w:trHeight w:val="504"/>
        </w:trPr>
        <w:tc>
          <w:tcPr>
            <w:tcW w:w="1931" w:type="dxa"/>
            <w:vMerge/>
          </w:tcPr>
          <w:p w14:paraId="733FF310" w14:textId="77777777" w:rsidR="00477944" w:rsidRPr="002A616F" w:rsidRDefault="00477944" w:rsidP="00477944">
            <w:pPr>
              <w:rPr>
                <w:b/>
                <w:sz w:val="20"/>
                <w:szCs w:val="20"/>
                <w:lang w:val="en-US" w:eastAsia="en-US"/>
              </w:rPr>
            </w:pPr>
          </w:p>
        </w:tc>
        <w:tc>
          <w:tcPr>
            <w:tcW w:w="2835" w:type="dxa"/>
            <w:tcBorders>
              <w:top w:val="single" w:sz="4" w:space="0" w:color="auto"/>
            </w:tcBorders>
            <w:shd w:val="clear" w:color="auto" w:fill="EEECE1"/>
          </w:tcPr>
          <w:p w14:paraId="27FB4D3F" w14:textId="3E8A62F7" w:rsidR="00D83CC2" w:rsidRPr="002A616F" w:rsidRDefault="00D83CC2" w:rsidP="00477944">
            <w:pPr>
              <w:autoSpaceDE w:val="0"/>
              <w:autoSpaceDN w:val="0"/>
              <w:adjustRightInd w:val="0"/>
              <w:rPr>
                <w:rFonts w:eastAsia="Calibri"/>
                <w:b/>
                <w:bCs/>
                <w:sz w:val="20"/>
                <w:szCs w:val="20"/>
                <w:lang w:val="en-US" w:eastAsia="zh-CN"/>
              </w:rPr>
            </w:pPr>
            <w:r w:rsidRPr="002A616F">
              <w:rPr>
                <w:rFonts w:eastAsia="Calibri"/>
                <w:b/>
                <w:bCs/>
                <w:sz w:val="20"/>
                <w:szCs w:val="20"/>
                <w:lang w:val="en-US" w:eastAsia="zh-CN"/>
              </w:rPr>
              <w:t>I</w:t>
            </w:r>
            <w:r w:rsidR="00477944" w:rsidRPr="002A616F">
              <w:rPr>
                <w:rFonts w:eastAsia="Calibri"/>
                <w:b/>
                <w:bCs/>
                <w:sz w:val="20"/>
                <w:szCs w:val="20"/>
                <w:lang w:val="en-US" w:eastAsia="zh-CN"/>
              </w:rPr>
              <w:t>ndicator 2.3.3</w:t>
            </w:r>
          </w:p>
          <w:p w14:paraId="775C9230" w14:textId="5E0365BC"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Number of</w:t>
            </w:r>
          </w:p>
          <w:p w14:paraId="35613280" w14:textId="4362CC7E"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 xml:space="preserve">trained </w:t>
            </w:r>
            <w:proofErr w:type="spellStart"/>
            <w:r w:rsidRPr="002A616F">
              <w:rPr>
                <w:rFonts w:eastAsia="Calibri"/>
                <w:sz w:val="20"/>
                <w:szCs w:val="20"/>
                <w:lang w:val="en-US" w:eastAsia="zh-CN"/>
              </w:rPr>
              <w:t>Zogos</w:t>
            </w:r>
            <w:proofErr w:type="spellEnd"/>
            <w:r w:rsidR="00D83CC2" w:rsidRPr="002A616F">
              <w:rPr>
                <w:rFonts w:eastAsia="Calibri"/>
                <w:sz w:val="20"/>
                <w:szCs w:val="20"/>
                <w:lang w:val="en-US" w:eastAsia="zh-CN"/>
              </w:rPr>
              <w:t xml:space="preserve"> and </w:t>
            </w:r>
            <w:proofErr w:type="spellStart"/>
            <w:r w:rsidRPr="002A616F">
              <w:rPr>
                <w:rFonts w:eastAsia="Calibri"/>
                <w:sz w:val="20"/>
                <w:szCs w:val="20"/>
                <w:lang w:val="en-US" w:eastAsia="zh-CN"/>
              </w:rPr>
              <w:t>Zogesse</w:t>
            </w:r>
            <w:proofErr w:type="spellEnd"/>
            <w:r w:rsidRPr="002A616F">
              <w:rPr>
                <w:rFonts w:eastAsia="Calibri"/>
                <w:sz w:val="20"/>
                <w:szCs w:val="20"/>
                <w:lang w:val="en-US" w:eastAsia="zh-CN"/>
              </w:rPr>
              <w:t xml:space="preserve"> formed into</w:t>
            </w:r>
          </w:p>
          <w:p w14:paraId="6CDB241A"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cooperatives and utilizing VSLA model.</w:t>
            </w:r>
          </w:p>
          <w:p w14:paraId="2E04DDDA" w14:textId="77777777" w:rsidR="00477944" w:rsidRPr="002A616F" w:rsidRDefault="00477944" w:rsidP="00477944">
            <w:pPr>
              <w:autoSpaceDE w:val="0"/>
              <w:autoSpaceDN w:val="0"/>
              <w:adjustRightInd w:val="0"/>
              <w:rPr>
                <w:rFonts w:eastAsia="Calibri"/>
                <w:sz w:val="20"/>
                <w:szCs w:val="20"/>
                <w:lang w:val="en-US" w:eastAsia="zh-CN"/>
              </w:rPr>
            </w:pPr>
          </w:p>
        </w:tc>
        <w:tc>
          <w:tcPr>
            <w:tcW w:w="1417" w:type="dxa"/>
            <w:tcBorders>
              <w:top w:val="single" w:sz="4" w:space="0" w:color="auto"/>
            </w:tcBorders>
            <w:shd w:val="clear" w:color="auto" w:fill="EEECE1"/>
          </w:tcPr>
          <w:p w14:paraId="0BBFB6F6"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Baseline: 0</w:t>
            </w:r>
          </w:p>
          <w:p w14:paraId="54DAA8C6" w14:textId="77777777" w:rsidR="00477944" w:rsidRPr="002A616F" w:rsidRDefault="00477944" w:rsidP="00477944">
            <w:pPr>
              <w:rPr>
                <w:rFonts w:eastAsia="Calibri"/>
                <w:sz w:val="20"/>
                <w:szCs w:val="20"/>
                <w:lang w:val="en-US" w:eastAsia="zh-CN"/>
              </w:rPr>
            </w:pPr>
          </w:p>
        </w:tc>
        <w:tc>
          <w:tcPr>
            <w:tcW w:w="1843" w:type="dxa"/>
            <w:tcBorders>
              <w:top w:val="single" w:sz="4" w:space="0" w:color="auto"/>
            </w:tcBorders>
            <w:shd w:val="clear" w:color="auto" w:fill="EEECE1"/>
          </w:tcPr>
          <w:p w14:paraId="6389909D" w14:textId="77777777" w:rsidR="00477944" w:rsidRPr="002A616F" w:rsidRDefault="00477944" w:rsidP="00477944">
            <w:pPr>
              <w:autoSpaceDE w:val="0"/>
              <w:autoSpaceDN w:val="0"/>
              <w:adjustRightInd w:val="0"/>
              <w:rPr>
                <w:rFonts w:eastAsia="Calibri"/>
                <w:sz w:val="20"/>
                <w:szCs w:val="20"/>
                <w:lang w:val="en-US" w:eastAsia="zh-CN"/>
              </w:rPr>
            </w:pPr>
            <w:r w:rsidRPr="002A616F">
              <w:rPr>
                <w:rFonts w:eastAsia="Calibri"/>
                <w:sz w:val="20"/>
                <w:szCs w:val="20"/>
                <w:lang w:val="en-US" w:eastAsia="zh-CN"/>
              </w:rPr>
              <w:t>Target: 500</w:t>
            </w:r>
          </w:p>
          <w:p w14:paraId="2F7DCB53" w14:textId="77777777" w:rsidR="00477944" w:rsidRPr="002A616F" w:rsidRDefault="00477944" w:rsidP="00477944">
            <w:pPr>
              <w:rPr>
                <w:rFonts w:eastAsia="Calibri"/>
                <w:sz w:val="20"/>
                <w:szCs w:val="20"/>
                <w:lang w:val="en-US" w:eastAsia="zh-CN"/>
              </w:rPr>
            </w:pPr>
          </w:p>
        </w:tc>
        <w:tc>
          <w:tcPr>
            <w:tcW w:w="1559" w:type="dxa"/>
            <w:tcBorders>
              <w:top w:val="single" w:sz="4" w:space="0" w:color="auto"/>
            </w:tcBorders>
          </w:tcPr>
          <w:p w14:paraId="07EE0566" w14:textId="77777777" w:rsidR="00477944" w:rsidRPr="002A616F" w:rsidRDefault="00477944" w:rsidP="00477944">
            <w:pPr>
              <w:rPr>
                <w:rFonts w:eastAsia="Calibri"/>
                <w:sz w:val="20"/>
                <w:szCs w:val="20"/>
                <w:lang w:val="en-US" w:eastAsia="zh-CN"/>
              </w:rPr>
            </w:pPr>
            <w:r w:rsidRPr="002A616F">
              <w:rPr>
                <w:rFonts w:eastAsia="Calibri"/>
                <w:sz w:val="20"/>
                <w:szCs w:val="20"/>
                <w:lang w:val="en-US" w:eastAsia="zh-CN"/>
              </w:rPr>
              <w:t>Milestones: (Quarterly or bi-annually)</w:t>
            </w:r>
          </w:p>
        </w:tc>
        <w:tc>
          <w:tcPr>
            <w:tcW w:w="3555" w:type="dxa"/>
            <w:tcBorders>
              <w:top w:val="single" w:sz="4" w:space="0" w:color="auto"/>
            </w:tcBorders>
          </w:tcPr>
          <w:p w14:paraId="34D091E8" w14:textId="164024A0" w:rsidR="00D83CC2" w:rsidRPr="002A616F" w:rsidRDefault="008679E8" w:rsidP="00477944">
            <w:pPr>
              <w:rPr>
                <w:color w:val="000000" w:themeColor="text1"/>
                <w:sz w:val="20"/>
                <w:szCs w:val="20"/>
              </w:rPr>
            </w:pPr>
            <w:r w:rsidRPr="002A616F">
              <w:rPr>
                <w:color w:val="000000" w:themeColor="text1"/>
                <w:sz w:val="20"/>
                <w:szCs w:val="20"/>
              </w:rPr>
              <w:t>19 youths formed 13 SMEs</w:t>
            </w:r>
          </w:p>
          <w:p w14:paraId="35C9DB87" w14:textId="77777777" w:rsidR="008679E8" w:rsidRPr="002A616F" w:rsidRDefault="008679E8" w:rsidP="00477944">
            <w:pPr>
              <w:rPr>
                <w:sz w:val="20"/>
                <w:szCs w:val="20"/>
                <w:highlight w:val="yellow"/>
              </w:rPr>
            </w:pPr>
          </w:p>
          <w:p w14:paraId="5151D027" w14:textId="07FC7113" w:rsidR="00477944" w:rsidRPr="002A616F" w:rsidRDefault="00D83CC2">
            <w:pPr>
              <w:rPr>
                <w:b/>
                <w:sz w:val="20"/>
                <w:szCs w:val="20"/>
                <w:lang w:val="en-US" w:eastAsia="en-US"/>
              </w:rPr>
            </w:pPr>
            <w:r w:rsidRPr="0024511F">
              <w:rPr>
                <w:sz w:val="20"/>
                <w:szCs w:val="20"/>
              </w:rPr>
              <w:t>478 (117F, 361M) disadvantaged youth participated in VSLA training and have been formed into 19 VSLA groups</w:t>
            </w:r>
            <w:r w:rsidR="008679E8" w:rsidRPr="0024511F">
              <w:rPr>
                <w:sz w:val="20"/>
                <w:szCs w:val="20"/>
              </w:rPr>
              <w:t xml:space="preserve">. All groups elected their </w:t>
            </w:r>
            <w:r w:rsidR="00477944" w:rsidRPr="0024511F">
              <w:rPr>
                <w:sz w:val="20"/>
                <w:szCs w:val="20"/>
              </w:rPr>
              <w:t>leadership structures and received the necessary materials (passbooks, cash boxes, calculators and locks) to begin operating.</w:t>
            </w:r>
            <w:r w:rsidR="008679E8" w:rsidRPr="0024511F">
              <w:rPr>
                <w:sz w:val="20"/>
                <w:szCs w:val="20"/>
              </w:rPr>
              <w:t xml:space="preserve"> Currently, 13 of the groups are active and have saved a combined L$115,585</w:t>
            </w:r>
          </w:p>
        </w:tc>
        <w:tc>
          <w:tcPr>
            <w:tcW w:w="2903" w:type="dxa"/>
            <w:tcBorders>
              <w:top w:val="single" w:sz="4" w:space="0" w:color="auto"/>
            </w:tcBorders>
          </w:tcPr>
          <w:p w14:paraId="4AAB478D" w14:textId="3F2575D6" w:rsidR="00477944" w:rsidRPr="002A616F" w:rsidRDefault="0073119E" w:rsidP="00477944">
            <w:pPr>
              <w:rPr>
                <w:b/>
                <w:sz w:val="20"/>
                <w:szCs w:val="20"/>
                <w:lang w:val="en-US" w:eastAsia="en-US"/>
              </w:rPr>
            </w:pPr>
            <w:r w:rsidRPr="002A616F">
              <w:rPr>
                <w:bCs/>
                <w:sz w:val="20"/>
                <w:szCs w:val="20"/>
                <w:lang w:val="en-US" w:eastAsia="en-US"/>
              </w:rPr>
              <w:t>On track</w:t>
            </w:r>
            <w:r w:rsidR="00615F2F" w:rsidRPr="002A616F">
              <w:rPr>
                <w:bCs/>
                <w:sz w:val="20"/>
                <w:szCs w:val="20"/>
                <w:lang w:val="en-US" w:eastAsia="en-US"/>
              </w:rPr>
              <w:t xml:space="preserve"> Monitoring ongoing</w:t>
            </w:r>
          </w:p>
          <w:p w14:paraId="27E4CED5" w14:textId="77777777" w:rsidR="00477944" w:rsidRPr="002A616F" w:rsidRDefault="00477944" w:rsidP="00477944">
            <w:pPr>
              <w:rPr>
                <w:b/>
                <w:sz w:val="20"/>
                <w:szCs w:val="20"/>
                <w:lang w:val="en-US" w:eastAsia="en-US"/>
              </w:rPr>
            </w:pPr>
          </w:p>
        </w:tc>
      </w:tr>
    </w:tbl>
    <w:p w14:paraId="0916B1C4" w14:textId="5643757E" w:rsidR="00B652A1" w:rsidRDefault="00B652A1" w:rsidP="00FA49A7">
      <w:pPr>
        <w:tabs>
          <w:tab w:val="left" w:pos="0"/>
        </w:tabs>
      </w:pPr>
    </w:p>
    <w:p w14:paraId="74FF3C03" w14:textId="7EAE25BD" w:rsidR="00483084" w:rsidRDefault="00483084" w:rsidP="00FA49A7">
      <w:pPr>
        <w:tabs>
          <w:tab w:val="left" w:pos="0"/>
        </w:tabs>
      </w:pPr>
    </w:p>
    <w:p w14:paraId="79EABE2A" w14:textId="3D8E50DC" w:rsidR="00483084" w:rsidRDefault="00483084" w:rsidP="00FA49A7">
      <w:pPr>
        <w:tabs>
          <w:tab w:val="left" w:pos="0"/>
        </w:tabs>
      </w:pPr>
    </w:p>
    <w:p w14:paraId="17C0EEA7" w14:textId="5F903144" w:rsidR="00483084" w:rsidRDefault="00483084" w:rsidP="00FA49A7">
      <w:pPr>
        <w:tabs>
          <w:tab w:val="left" w:pos="0"/>
        </w:tabs>
      </w:pPr>
    </w:p>
    <w:p w14:paraId="39BEEB2D" w14:textId="6C50DF48" w:rsidR="00483084" w:rsidRDefault="00483084" w:rsidP="00FA49A7">
      <w:pPr>
        <w:tabs>
          <w:tab w:val="left" w:pos="0"/>
        </w:tabs>
      </w:pPr>
    </w:p>
    <w:p w14:paraId="7592C75D" w14:textId="1AF71E84" w:rsidR="00483084" w:rsidRDefault="00483084" w:rsidP="00FA49A7">
      <w:pPr>
        <w:tabs>
          <w:tab w:val="left" w:pos="0"/>
        </w:tabs>
      </w:pPr>
    </w:p>
    <w:p w14:paraId="155A7ECE" w14:textId="4BBF57F0" w:rsidR="00483084" w:rsidRDefault="00483084" w:rsidP="00FA49A7">
      <w:pPr>
        <w:tabs>
          <w:tab w:val="left" w:pos="0"/>
        </w:tabs>
      </w:pPr>
    </w:p>
    <w:p w14:paraId="069D6763" w14:textId="5F93E23B" w:rsidR="00483084" w:rsidRDefault="00483084" w:rsidP="00FA49A7">
      <w:pPr>
        <w:tabs>
          <w:tab w:val="left" w:pos="0"/>
        </w:tabs>
      </w:pPr>
    </w:p>
    <w:p w14:paraId="03875718" w14:textId="17BC96F1" w:rsidR="00483084" w:rsidRPr="00255186" w:rsidRDefault="00483084" w:rsidP="00FA49A7">
      <w:pPr>
        <w:tabs>
          <w:tab w:val="left" w:pos="0"/>
        </w:tabs>
        <w:rPr>
          <w:b/>
          <w:bCs/>
        </w:rPr>
      </w:pPr>
      <w:r w:rsidRPr="00255186">
        <w:rPr>
          <w:b/>
          <w:bCs/>
        </w:rPr>
        <w:lastRenderedPageBreak/>
        <w:t>Annex I</w:t>
      </w:r>
      <w:r w:rsidR="008679E8" w:rsidRPr="00255186">
        <w:rPr>
          <w:b/>
          <w:bCs/>
        </w:rPr>
        <w:t>: Summary of Vocational Skills Training Graduates per Trade Area</w:t>
      </w:r>
    </w:p>
    <w:p w14:paraId="2F75C328" w14:textId="53CCAE18" w:rsidR="00483084" w:rsidRDefault="00483084" w:rsidP="00FA49A7">
      <w:pPr>
        <w:tabs>
          <w:tab w:val="left" w:pos="0"/>
        </w:tabs>
      </w:pPr>
    </w:p>
    <w:tbl>
      <w:tblPr>
        <w:tblW w:w="5807" w:type="dxa"/>
        <w:tblInd w:w="607" w:type="dxa"/>
        <w:tblLayout w:type="fixed"/>
        <w:tblLook w:val="04A0" w:firstRow="1" w:lastRow="0" w:firstColumn="1" w:lastColumn="0" w:noHBand="0" w:noVBand="1"/>
      </w:tblPr>
      <w:tblGrid>
        <w:gridCol w:w="664"/>
        <w:gridCol w:w="2592"/>
        <w:gridCol w:w="709"/>
        <w:gridCol w:w="850"/>
        <w:gridCol w:w="992"/>
      </w:tblGrid>
      <w:tr w:rsidR="009E260E" w:rsidRPr="009E260E" w14:paraId="7A391A2E" w14:textId="77777777" w:rsidTr="009E260E">
        <w:trPr>
          <w:trHeight w:val="414"/>
        </w:trPr>
        <w:tc>
          <w:tcPr>
            <w:tcW w:w="664"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77B066FB" w14:textId="77777777" w:rsidR="00483084" w:rsidRPr="009E260E" w:rsidRDefault="00483084" w:rsidP="00483084">
            <w:pPr>
              <w:rPr>
                <w:b/>
                <w:bCs/>
              </w:rPr>
            </w:pPr>
            <w:r w:rsidRPr="009E260E">
              <w:rPr>
                <w:b/>
                <w:bCs/>
              </w:rPr>
              <w:t>No.</w:t>
            </w:r>
          </w:p>
        </w:tc>
        <w:tc>
          <w:tcPr>
            <w:tcW w:w="2592" w:type="dxa"/>
            <w:tcBorders>
              <w:top w:val="nil"/>
              <w:left w:val="nil"/>
              <w:bottom w:val="single" w:sz="4" w:space="0" w:color="auto"/>
              <w:right w:val="single" w:sz="4" w:space="0" w:color="auto"/>
            </w:tcBorders>
            <w:shd w:val="clear" w:color="auto" w:fill="BDD6EE" w:themeFill="accent5" w:themeFillTint="66"/>
            <w:noWrap/>
            <w:vAlign w:val="bottom"/>
            <w:hideMark/>
          </w:tcPr>
          <w:p w14:paraId="456BA28B" w14:textId="77777777" w:rsidR="00483084" w:rsidRPr="009E260E" w:rsidRDefault="00483084" w:rsidP="00483084">
            <w:pPr>
              <w:rPr>
                <w:b/>
                <w:bCs/>
              </w:rPr>
            </w:pPr>
            <w:r w:rsidRPr="009E260E">
              <w:rPr>
                <w:b/>
                <w:bCs/>
              </w:rPr>
              <w:t>Department</w:t>
            </w:r>
          </w:p>
        </w:tc>
        <w:tc>
          <w:tcPr>
            <w:tcW w:w="709" w:type="dxa"/>
            <w:tcBorders>
              <w:top w:val="nil"/>
              <w:left w:val="nil"/>
              <w:bottom w:val="single" w:sz="4" w:space="0" w:color="auto"/>
              <w:right w:val="single" w:sz="4" w:space="0" w:color="auto"/>
            </w:tcBorders>
            <w:shd w:val="clear" w:color="auto" w:fill="BDD6EE" w:themeFill="accent5" w:themeFillTint="66"/>
            <w:noWrap/>
            <w:vAlign w:val="bottom"/>
            <w:hideMark/>
          </w:tcPr>
          <w:p w14:paraId="4D4795F9" w14:textId="77777777" w:rsidR="00483084" w:rsidRPr="009E260E" w:rsidRDefault="00483084" w:rsidP="00483084">
            <w:pPr>
              <w:rPr>
                <w:b/>
                <w:bCs/>
              </w:rPr>
            </w:pPr>
            <w:r w:rsidRPr="009E260E">
              <w:rPr>
                <w:b/>
                <w:bCs/>
              </w:rPr>
              <w:t>F</w:t>
            </w:r>
          </w:p>
        </w:tc>
        <w:tc>
          <w:tcPr>
            <w:tcW w:w="850" w:type="dxa"/>
            <w:tcBorders>
              <w:top w:val="nil"/>
              <w:left w:val="nil"/>
              <w:bottom w:val="single" w:sz="4" w:space="0" w:color="auto"/>
              <w:right w:val="single" w:sz="4" w:space="0" w:color="auto"/>
            </w:tcBorders>
            <w:shd w:val="clear" w:color="auto" w:fill="BDD6EE" w:themeFill="accent5" w:themeFillTint="66"/>
            <w:noWrap/>
            <w:vAlign w:val="bottom"/>
            <w:hideMark/>
          </w:tcPr>
          <w:p w14:paraId="4E514560" w14:textId="77777777" w:rsidR="00483084" w:rsidRPr="009E260E" w:rsidRDefault="00483084" w:rsidP="00483084">
            <w:pPr>
              <w:rPr>
                <w:b/>
                <w:bCs/>
              </w:rPr>
            </w:pPr>
            <w:r w:rsidRPr="009E260E">
              <w:rPr>
                <w:b/>
                <w:bCs/>
              </w:rPr>
              <w:t>M</w:t>
            </w:r>
          </w:p>
        </w:tc>
        <w:tc>
          <w:tcPr>
            <w:tcW w:w="992" w:type="dxa"/>
            <w:tcBorders>
              <w:top w:val="nil"/>
              <w:left w:val="nil"/>
              <w:bottom w:val="single" w:sz="4" w:space="0" w:color="auto"/>
              <w:right w:val="single" w:sz="4" w:space="0" w:color="auto"/>
            </w:tcBorders>
            <w:shd w:val="clear" w:color="auto" w:fill="BDD6EE" w:themeFill="accent5" w:themeFillTint="66"/>
            <w:noWrap/>
            <w:vAlign w:val="bottom"/>
            <w:hideMark/>
          </w:tcPr>
          <w:p w14:paraId="1EDF5E80" w14:textId="77777777" w:rsidR="00483084" w:rsidRPr="009E260E" w:rsidRDefault="00483084" w:rsidP="00483084">
            <w:pPr>
              <w:rPr>
                <w:b/>
                <w:bCs/>
              </w:rPr>
            </w:pPr>
            <w:r w:rsidRPr="009E260E">
              <w:rPr>
                <w:b/>
                <w:bCs/>
              </w:rPr>
              <w:t>Total</w:t>
            </w:r>
          </w:p>
        </w:tc>
      </w:tr>
      <w:tr w:rsidR="009E260E" w:rsidRPr="009E260E" w14:paraId="2D617CC4" w14:textId="77777777" w:rsidTr="00E2756F">
        <w:trPr>
          <w:trHeight w:val="301"/>
        </w:trPr>
        <w:tc>
          <w:tcPr>
            <w:tcW w:w="664" w:type="dxa"/>
            <w:tcBorders>
              <w:top w:val="nil"/>
              <w:left w:val="single" w:sz="4" w:space="0" w:color="auto"/>
              <w:bottom w:val="single" w:sz="4" w:space="0" w:color="auto"/>
              <w:right w:val="single" w:sz="4" w:space="0" w:color="auto"/>
            </w:tcBorders>
            <w:shd w:val="clear" w:color="auto" w:fill="auto"/>
            <w:noWrap/>
            <w:hideMark/>
          </w:tcPr>
          <w:p w14:paraId="7BAE5410" w14:textId="77777777" w:rsidR="00483084" w:rsidRPr="009E260E" w:rsidRDefault="00483084" w:rsidP="00483084">
            <w:pPr>
              <w:jc w:val="right"/>
            </w:pPr>
            <w:r w:rsidRPr="009E260E">
              <w:t>1</w:t>
            </w:r>
          </w:p>
        </w:tc>
        <w:tc>
          <w:tcPr>
            <w:tcW w:w="2592" w:type="dxa"/>
            <w:tcBorders>
              <w:top w:val="nil"/>
              <w:left w:val="nil"/>
              <w:bottom w:val="single" w:sz="4" w:space="0" w:color="auto"/>
              <w:right w:val="single" w:sz="4" w:space="0" w:color="auto"/>
            </w:tcBorders>
            <w:shd w:val="clear" w:color="auto" w:fill="auto"/>
            <w:noWrap/>
            <w:hideMark/>
          </w:tcPr>
          <w:p w14:paraId="69DBE5AB" w14:textId="77777777" w:rsidR="00483084" w:rsidRPr="009E260E" w:rsidRDefault="00483084" w:rsidP="00483084">
            <w:r w:rsidRPr="009E260E">
              <w:t>Tailoring</w:t>
            </w:r>
          </w:p>
        </w:tc>
        <w:tc>
          <w:tcPr>
            <w:tcW w:w="709" w:type="dxa"/>
            <w:tcBorders>
              <w:top w:val="nil"/>
              <w:left w:val="nil"/>
              <w:bottom w:val="single" w:sz="4" w:space="0" w:color="auto"/>
              <w:right w:val="single" w:sz="4" w:space="0" w:color="auto"/>
            </w:tcBorders>
            <w:shd w:val="clear" w:color="auto" w:fill="auto"/>
            <w:noWrap/>
            <w:hideMark/>
          </w:tcPr>
          <w:p w14:paraId="3406B4B4" w14:textId="77777777" w:rsidR="00483084" w:rsidRPr="009E260E" w:rsidRDefault="00483084" w:rsidP="00483084">
            <w:pPr>
              <w:jc w:val="right"/>
            </w:pPr>
            <w:r w:rsidRPr="009E260E">
              <w:t>19</w:t>
            </w:r>
          </w:p>
        </w:tc>
        <w:tc>
          <w:tcPr>
            <w:tcW w:w="850" w:type="dxa"/>
            <w:tcBorders>
              <w:top w:val="nil"/>
              <w:left w:val="nil"/>
              <w:bottom w:val="single" w:sz="4" w:space="0" w:color="auto"/>
              <w:right w:val="single" w:sz="4" w:space="0" w:color="auto"/>
            </w:tcBorders>
            <w:shd w:val="clear" w:color="auto" w:fill="auto"/>
            <w:noWrap/>
            <w:hideMark/>
          </w:tcPr>
          <w:p w14:paraId="004F203B" w14:textId="77777777" w:rsidR="00483084" w:rsidRPr="009E260E" w:rsidRDefault="00483084" w:rsidP="00483084">
            <w:pPr>
              <w:jc w:val="right"/>
            </w:pPr>
            <w:r w:rsidRPr="009E260E">
              <w:t>13</w:t>
            </w:r>
          </w:p>
        </w:tc>
        <w:tc>
          <w:tcPr>
            <w:tcW w:w="992" w:type="dxa"/>
            <w:tcBorders>
              <w:top w:val="nil"/>
              <w:left w:val="nil"/>
              <w:bottom w:val="single" w:sz="4" w:space="0" w:color="auto"/>
              <w:right w:val="single" w:sz="4" w:space="0" w:color="auto"/>
            </w:tcBorders>
            <w:shd w:val="clear" w:color="auto" w:fill="auto"/>
            <w:noWrap/>
            <w:hideMark/>
          </w:tcPr>
          <w:p w14:paraId="76942BCE" w14:textId="77777777" w:rsidR="00483084" w:rsidRPr="009E260E" w:rsidRDefault="00483084" w:rsidP="00483084">
            <w:pPr>
              <w:jc w:val="right"/>
            </w:pPr>
            <w:r w:rsidRPr="009E260E">
              <w:t>32</w:t>
            </w:r>
          </w:p>
        </w:tc>
      </w:tr>
      <w:tr w:rsidR="009E260E" w:rsidRPr="009E260E" w14:paraId="6443E2A2" w14:textId="77777777" w:rsidTr="00E2756F">
        <w:trPr>
          <w:trHeight w:val="27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0FFC47E5" w14:textId="77777777" w:rsidR="00483084" w:rsidRPr="009E260E" w:rsidRDefault="00483084" w:rsidP="00483084">
            <w:pPr>
              <w:jc w:val="right"/>
            </w:pPr>
            <w:r w:rsidRPr="009E260E">
              <w:t>2</w:t>
            </w:r>
          </w:p>
        </w:tc>
        <w:tc>
          <w:tcPr>
            <w:tcW w:w="2592" w:type="dxa"/>
            <w:tcBorders>
              <w:top w:val="nil"/>
              <w:left w:val="nil"/>
              <w:bottom w:val="single" w:sz="4" w:space="0" w:color="auto"/>
              <w:right w:val="single" w:sz="4" w:space="0" w:color="auto"/>
            </w:tcBorders>
            <w:shd w:val="clear" w:color="auto" w:fill="auto"/>
            <w:noWrap/>
            <w:vAlign w:val="bottom"/>
            <w:hideMark/>
          </w:tcPr>
          <w:p w14:paraId="5C5EC3C1" w14:textId="77777777" w:rsidR="00483084" w:rsidRPr="009E260E" w:rsidRDefault="00483084" w:rsidP="00483084">
            <w:r w:rsidRPr="009E260E">
              <w:t>Hair Dressing</w:t>
            </w:r>
          </w:p>
        </w:tc>
        <w:tc>
          <w:tcPr>
            <w:tcW w:w="709" w:type="dxa"/>
            <w:tcBorders>
              <w:top w:val="nil"/>
              <w:left w:val="nil"/>
              <w:bottom w:val="single" w:sz="4" w:space="0" w:color="auto"/>
              <w:right w:val="single" w:sz="4" w:space="0" w:color="auto"/>
            </w:tcBorders>
            <w:shd w:val="clear" w:color="auto" w:fill="auto"/>
            <w:noWrap/>
            <w:vAlign w:val="bottom"/>
            <w:hideMark/>
          </w:tcPr>
          <w:p w14:paraId="3A88995B" w14:textId="77777777" w:rsidR="00483084" w:rsidRPr="009E260E" w:rsidRDefault="00483084" w:rsidP="00483084">
            <w:pPr>
              <w:jc w:val="right"/>
            </w:pPr>
            <w:r w:rsidRPr="009E260E">
              <w:t>20</w:t>
            </w:r>
          </w:p>
        </w:tc>
        <w:tc>
          <w:tcPr>
            <w:tcW w:w="850" w:type="dxa"/>
            <w:tcBorders>
              <w:top w:val="nil"/>
              <w:left w:val="nil"/>
              <w:bottom w:val="single" w:sz="4" w:space="0" w:color="auto"/>
              <w:right w:val="single" w:sz="4" w:space="0" w:color="auto"/>
            </w:tcBorders>
            <w:shd w:val="clear" w:color="auto" w:fill="auto"/>
            <w:noWrap/>
            <w:vAlign w:val="bottom"/>
            <w:hideMark/>
          </w:tcPr>
          <w:p w14:paraId="25701486" w14:textId="77777777" w:rsidR="00483084" w:rsidRPr="009E260E" w:rsidRDefault="00483084" w:rsidP="00483084">
            <w:pPr>
              <w:jc w:val="right"/>
            </w:pPr>
            <w:r w:rsidRPr="009E260E">
              <w:t>1</w:t>
            </w:r>
          </w:p>
        </w:tc>
        <w:tc>
          <w:tcPr>
            <w:tcW w:w="992" w:type="dxa"/>
            <w:tcBorders>
              <w:top w:val="nil"/>
              <w:left w:val="nil"/>
              <w:bottom w:val="single" w:sz="4" w:space="0" w:color="auto"/>
              <w:right w:val="single" w:sz="4" w:space="0" w:color="auto"/>
            </w:tcBorders>
            <w:shd w:val="clear" w:color="auto" w:fill="auto"/>
            <w:noWrap/>
            <w:hideMark/>
          </w:tcPr>
          <w:p w14:paraId="57D011B3" w14:textId="77777777" w:rsidR="00483084" w:rsidRPr="009E260E" w:rsidRDefault="00483084" w:rsidP="00483084">
            <w:pPr>
              <w:jc w:val="right"/>
            </w:pPr>
            <w:r w:rsidRPr="009E260E">
              <w:t>21</w:t>
            </w:r>
          </w:p>
        </w:tc>
      </w:tr>
      <w:tr w:rsidR="009E260E" w:rsidRPr="009E260E" w14:paraId="5E8FEAE3" w14:textId="77777777" w:rsidTr="00E2756F">
        <w:trPr>
          <w:trHeight w:val="267"/>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1B5A3C31" w14:textId="77777777" w:rsidR="00483084" w:rsidRPr="009E260E" w:rsidRDefault="00483084" w:rsidP="00483084">
            <w:pPr>
              <w:jc w:val="right"/>
            </w:pPr>
            <w:r w:rsidRPr="009E260E">
              <w:t>3</w:t>
            </w:r>
          </w:p>
        </w:tc>
        <w:tc>
          <w:tcPr>
            <w:tcW w:w="2592" w:type="dxa"/>
            <w:tcBorders>
              <w:top w:val="nil"/>
              <w:left w:val="nil"/>
              <w:bottom w:val="single" w:sz="4" w:space="0" w:color="auto"/>
              <w:right w:val="single" w:sz="4" w:space="0" w:color="auto"/>
            </w:tcBorders>
            <w:shd w:val="clear" w:color="auto" w:fill="auto"/>
            <w:noWrap/>
            <w:vAlign w:val="bottom"/>
            <w:hideMark/>
          </w:tcPr>
          <w:p w14:paraId="6FC3E762" w14:textId="77777777" w:rsidR="00483084" w:rsidRPr="009E260E" w:rsidRDefault="00483084" w:rsidP="00483084">
            <w:r w:rsidRPr="009E260E">
              <w:t>Barbing</w:t>
            </w:r>
          </w:p>
        </w:tc>
        <w:tc>
          <w:tcPr>
            <w:tcW w:w="709" w:type="dxa"/>
            <w:tcBorders>
              <w:top w:val="nil"/>
              <w:left w:val="nil"/>
              <w:bottom w:val="single" w:sz="4" w:space="0" w:color="auto"/>
              <w:right w:val="single" w:sz="4" w:space="0" w:color="auto"/>
            </w:tcBorders>
            <w:shd w:val="clear" w:color="auto" w:fill="auto"/>
            <w:noWrap/>
            <w:vAlign w:val="bottom"/>
            <w:hideMark/>
          </w:tcPr>
          <w:p w14:paraId="499094A9" w14:textId="77777777" w:rsidR="00483084" w:rsidRPr="009E260E" w:rsidRDefault="00483084" w:rsidP="00483084">
            <w:pPr>
              <w:jc w:val="right"/>
            </w:pPr>
            <w:r w:rsidRPr="009E260E">
              <w:t>0</w:t>
            </w:r>
          </w:p>
        </w:tc>
        <w:tc>
          <w:tcPr>
            <w:tcW w:w="850" w:type="dxa"/>
            <w:tcBorders>
              <w:top w:val="nil"/>
              <w:left w:val="nil"/>
              <w:bottom w:val="single" w:sz="4" w:space="0" w:color="auto"/>
              <w:right w:val="single" w:sz="4" w:space="0" w:color="auto"/>
            </w:tcBorders>
            <w:shd w:val="clear" w:color="auto" w:fill="auto"/>
            <w:noWrap/>
            <w:vAlign w:val="bottom"/>
            <w:hideMark/>
          </w:tcPr>
          <w:p w14:paraId="4AA3ED30" w14:textId="77777777" w:rsidR="00483084" w:rsidRPr="009E260E" w:rsidRDefault="00483084" w:rsidP="00483084">
            <w:pPr>
              <w:jc w:val="right"/>
            </w:pPr>
            <w:r w:rsidRPr="009E260E">
              <w:t>1</w:t>
            </w:r>
          </w:p>
        </w:tc>
        <w:tc>
          <w:tcPr>
            <w:tcW w:w="992" w:type="dxa"/>
            <w:tcBorders>
              <w:top w:val="nil"/>
              <w:left w:val="nil"/>
              <w:bottom w:val="single" w:sz="4" w:space="0" w:color="auto"/>
              <w:right w:val="single" w:sz="4" w:space="0" w:color="auto"/>
            </w:tcBorders>
            <w:shd w:val="clear" w:color="auto" w:fill="auto"/>
            <w:noWrap/>
            <w:hideMark/>
          </w:tcPr>
          <w:p w14:paraId="0DCF2375" w14:textId="77777777" w:rsidR="00483084" w:rsidRPr="009E260E" w:rsidRDefault="00483084" w:rsidP="00483084">
            <w:pPr>
              <w:jc w:val="right"/>
            </w:pPr>
            <w:r w:rsidRPr="009E260E">
              <w:t>1</w:t>
            </w:r>
          </w:p>
        </w:tc>
      </w:tr>
      <w:tr w:rsidR="009E260E" w:rsidRPr="009E260E" w14:paraId="30F3A214" w14:textId="77777777" w:rsidTr="005B77BB">
        <w:trPr>
          <w:trHeight w:val="261"/>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232E6D2" w14:textId="77777777" w:rsidR="00483084" w:rsidRPr="009E260E" w:rsidRDefault="00483084" w:rsidP="00483084">
            <w:pPr>
              <w:jc w:val="right"/>
            </w:pPr>
            <w:r w:rsidRPr="009E260E">
              <w:t>4</w:t>
            </w:r>
          </w:p>
        </w:tc>
        <w:tc>
          <w:tcPr>
            <w:tcW w:w="2592" w:type="dxa"/>
            <w:tcBorders>
              <w:top w:val="nil"/>
              <w:left w:val="nil"/>
              <w:bottom w:val="single" w:sz="4" w:space="0" w:color="auto"/>
              <w:right w:val="single" w:sz="4" w:space="0" w:color="auto"/>
            </w:tcBorders>
            <w:shd w:val="clear" w:color="auto" w:fill="auto"/>
            <w:noWrap/>
            <w:vAlign w:val="bottom"/>
            <w:hideMark/>
          </w:tcPr>
          <w:p w14:paraId="05CDF6C3" w14:textId="77777777" w:rsidR="00483084" w:rsidRPr="009E260E" w:rsidRDefault="00483084" w:rsidP="00483084">
            <w:r w:rsidRPr="009E260E">
              <w:t>Pastry/ catering</w:t>
            </w:r>
          </w:p>
        </w:tc>
        <w:tc>
          <w:tcPr>
            <w:tcW w:w="709" w:type="dxa"/>
            <w:tcBorders>
              <w:top w:val="nil"/>
              <w:left w:val="nil"/>
              <w:bottom w:val="single" w:sz="4" w:space="0" w:color="auto"/>
              <w:right w:val="single" w:sz="4" w:space="0" w:color="auto"/>
            </w:tcBorders>
            <w:shd w:val="clear" w:color="auto" w:fill="auto"/>
            <w:noWrap/>
            <w:vAlign w:val="bottom"/>
            <w:hideMark/>
          </w:tcPr>
          <w:p w14:paraId="49803C9A" w14:textId="77777777" w:rsidR="00483084" w:rsidRPr="009E260E" w:rsidRDefault="00483084" w:rsidP="005B77BB">
            <w:r w:rsidRPr="009E260E">
              <w:t>2</w:t>
            </w:r>
          </w:p>
        </w:tc>
        <w:tc>
          <w:tcPr>
            <w:tcW w:w="850" w:type="dxa"/>
            <w:tcBorders>
              <w:top w:val="nil"/>
              <w:left w:val="nil"/>
              <w:bottom w:val="single" w:sz="4" w:space="0" w:color="auto"/>
              <w:right w:val="single" w:sz="4" w:space="0" w:color="auto"/>
            </w:tcBorders>
            <w:shd w:val="clear" w:color="auto" w:fill="auto"/>
            <w:noWrap/>
            <w:vAlign w:val="bottom"/>
            <w:hideMark/>
          </w:tcPr>
          <w:p w14:paraId="57A1CEC3" w14:textId="77777777" w:rsidR="00483084" w:rsidRPr="009E260E" w:rsidRDefault="00483084" w:rsidP="005B77BB">
            <w:r w:rsidRPr="009E260E">
              <w:t>0</w:t>
            </w:r>
          </w:p>
        </w:tc>
        <w:tc>
          <w:tcPr>
            <w:tcW w:w="992" w:type="dxa"/>
            <w:tcBorders>
              <w:top w:val="nil"/>
              <w:left w:val="nil"/>
              <w:bottom w:val="single" w:sz="4" w:space="0" w:color="auto"/>
              <w:right w:val="single" w:sz="4" w:space="0" w:color="auto"/>
            </w:tcBorders>
            <w:shd w:val="clear" w:color="auto" w:fill="auto"/>
            <w:noWrap/>
            <w:hideMark/>
          </w:tcPr>
          <w:p w14:paraId="1924AA7C" w14:textId="77777777" w:rsidR="005B77BB" w:rsidRDefault="005B77BB" w:rsidP="00483084">
            <w:pPr>
              <w:jc w:val="right"/>
            </w:pPr>
          </w:p>
          <w:p w14:paraId="7586017A" w14:textId="05B202DE" w:rsidR="00483084" w:rsidRPr="009E260E" w:rsidRDefault="00483084" w:rsidP="00483084">
            <w:pPr>
              <w:jc w:val="right"/>
            </w:pPr>
            <w:r w:rsidRPr="009E260E">
              <w:t>2</w:t>
            </w:r>
          </w:p>
        </w:tc>
      </w:tr>
      <w:tr w:rsidR="009E260E" w:rsidRPr="009E260E" w14:paraId="49AB382C" w14:textId="77777777" w:rsidTr="00E2756F">
        <w:trPr>
          <w:trHeight w:val="43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0D9D9D61" w14:textId="77777777" w:rsidR="00483084" w:rsidRPr="009E260E" w:rsidRDefault="00483084" w:rsidP="00483084">
            <w:pPr>
              <w:jc w:val="right"/>
            </w:pPr>
            <w:r w:rsidRPr="009E260E">
              <w:t>5</w:t>
            </w:r>
          </w:p>
        </w:tc>
        <w:tc>
          <w:tcPr>
            <w:tcW w:w="2592" w:type="dxa"/>
            <w:tcBorders>
              <w:top w:val="nil"/>
              <w:left w:val="nil"/>
              <w:bottom w:val="single" w:sz="4" w:space="0" w:color="auto"/>
              <w:right w:val="single" w:sz="4" w:space="0" w:color="auto"/>
            </w:tcBorders>
            <w:shd w:val="clear" w:color="auto" w:fill="auto"/>
            <w:noWrap/>
            <w:vAlign w:val="bottom"/>
            <w:hideMark/>
          </w:tcPr>
          <w:p w14:paraId="72AB49FB" w14:textId="77777777" w:rsidR="00483084" w:rsidRPr="009E260E" w:rsidRDefault="00483084" w:rsidP="00483084">
            <w:r w:rsidRPr="009E260E">
              <w:t>Auto Mechanic</w:t>
            </w:r>
          </w:p>
        </w:tc>
        <w:tc>
          <w:tcPr>
            <w:tcW w:w="709" w:type="dxa"/>
            <w:tcBorders>
              <w:top w:val="nil"/>
              <w:left w:val="nil"/>
              <w:bottom w:val="single" w:sz="4" w:space="0" w:color="auto"/>
              <w:right w:val="single" w:sz="4" w:space="0" w:color="auto"/>
            </w:tcBorders>
            <w:shd w:val="clear" w:color="auto" w:fill="auto"/>
            <w:noWrap/>
            <w:vAlign w:val="bottom"/>
            <w:hideMark/>
          </w:tcPr>
          <w:p w14:paraId="304227C8" w14:textId="77777777" w:rsidR="00483084" w:rsidRPr="009E260E" w:rsidRDefault="00483084" w:rsidP="00483084">
            <w:pPr>
              <w:jc w:val="right"/>
            </w:pPr>
            <w:r w:rsidRPr="009E260E">
              <w:t>0</w:t>
            </w:r>
          </w:p>
        </w:tc>
        <w:tc>
          <w:tcPr>
            <w:tcW w:w="850" w:type="dxa"/>
            <w:tcBorders>
              <w:top w:val="nil"/>
              <w:left w:val="nil"/>
              <w:bottom w:val="single" w:sz="4" w:space="0" w:color="auto"/>
              <w:right w:val="single" w:sz="4" w:space="0" w:color="auto"/>
            </w:tcBorders>
            <w:shd w:val="clear" w:color="auto" w:fill="auto"/>
            <w:noWrap/>
            <w:vAlign w:val="bottom"/>
            <w:hideMark/>
          </w:tcPr>
          <w:p w14:paraId="74FCF866" w14:textId="77777777" w:rsidR="00483084" w:rsidRPr="009E260E" w:rsidRDefault="00483084" w:rsidP="00483084">
            <w:pPr>
              <w:jc w:val="right"/>
            </w:pPr>
            <w:r w:rsidRPr="009E260E">
              <w:t>25</w:t>
            </w:r>
          </w:p>
        </w:tc>
        <w:tc>
          <w:tcPr>
            <w:tcW w:w="992" w:type="dxa"/>
            <w:tcBorders>
              <w:top w:val="nil"/>
              <w:left w:val="nil"/>
              <w:bottom w:val="single" w:sz="4" w:space="0" w:color="auto"/>
              <w:right w:val="single" w:sz="4" w:space="0" w:color="auto"/>
            </w:tcBorders>
            <w:shd w:val="clear" w:color="auto" w:fill="auto"/>
            <w:noWrap/>
            <w:hideMark/>
          </w:tcPr>
          <w:p w14:paraId="27D24B9B" w14:textId="77777777" w:rsidR="00483084" w:rsidRPr="009E260E" w:rsidRDefault="00483084" w:rsidP="00483084">
            <w:pPr>
              <w:jc w:val="right"/>
            </w:pPr>
            <w:r w:rsidRPr="009E260E">
              <w:t>25</w:t>
            </w:r>
          </w:p>
        </w:tc>
      </w:tr>
      <w:tr w:rsidR="009E260E" w:rsidRPr="009E260E" w14:paraId="76ACCF59" w14:textId="77777777" w:rsidTr="00E2756F">
        <w:trPr>
          <w:trHeight w:val="31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4896D909" w14:textId="77777777" w:rsidR="00483084" w:rsidRPr="009E260E" w:rsidRDefault="00483084" w:rsidP="00483084">
            <w:pPr>
              <w:jc w:val="right"/>
            </w:pPr>
            <w:r w:rsidRPr="009E260E">
              <w:t>6</w:t>
            </w:r>
          </w:p>
        </w:tc>
        <w:tc>
          <w:tcPr>
            <w:tcW w:w="2592" w:type="dxa"/>
            <w:tcBorders>
              <w:top w:val="nil"/>
              <w:left w:val="nil"/>
              <w:bottom w:val="single" w:sz="4" w:space="0" w:color="auto"/>
              <w:right w:val="single" w:sz="4" w:space="0" w:color="auto"/>
            </w:tcBorders>
            <w:shd w:val="clear" w:color="auto" w:fill="auto"/>
            <w:noWrap/>
            <w:vAlign w:val="bottom"/>
            <w:hideMark/>
          </w:tcPr>
          <w:p w14:paraId="5E10FB12" w14:textId="77777777" w:rsidR="00483084" w:rsidRPr="009E260E" w:rsidRDefault="00483084" w:rsidP="00483084">
            <w:r w:rsidRPr="009E260E">
              <w:t>Carpentry</w:t>
            </w:r>
          </w:p>
        </w:tc>
        <w:tc>
          <w:tcPr>
            <w:tcW w:w="709" w:type="dxa"/>
            <w:tcBorders>
              <w:top w:val="nil"/>
              <w:left w:val="nil"/>
              <w:bottom w:val="single" w:sz="4" w:space="0" w:color="auto"/>
              <w:right w:val="single" w:sz="4" w:space="0" w:color="auto"/>
            </w:tcBorders>
            <w:shd w:val="clear" w:color="auto" w:fill="auto"/>
            <w:noWrap/>
            <w:vAlign w:val="bottom"/>
            <w:hideMark/>
          </w:tcPr>
          <w:p w14:paraId="4C7CC259" w14:textId="77777777" w:rsidR="00483084" w:rsidRPr="009E260E" w:rsidRDefault="00483084" w:rsidP="00483084">
            <w:pPr>
              <w:jc w:val="right"/>
            </w:pPr>
            <w:r w:rsidRPr="009E260E">
              <w:t>0</w:t>
            </w:r>
          </w:p>
        </w:tc>
        <w:tc>
          <w:tcPr>
            <w:tcW w:w="850" w:type="dxa"/>
            <w:tcBorders>
              <w:top w:val="nil"/>
              <w:left w:val="nil"/>
              <w:bottom w:val="single" w:sz="4" w:space="0" w:color="auto"/>
              <w:right w:val="single" w:sz="4" w:space="0" w:color="auto"/>
            </w:tcBorders>
            <w:shd w:val="clear" w:color="auto" w:fill="auto"/>
            <w:noWrap/>
            <w:vAlign w:val="bottom"/>
            <w:hideMark/>
          </w:tcPr>
          <w:p w14:paraId="69389DE1" w14:textId="77777777" w:rsidR="00483084" w:rsidRPr="009E260E" w:rsidRDefault="00483084" w:rsidP="00483084">
            <w:pPr>
              <w:jc w:val="right"/>
            </w:pPr>
            <w:r w:rsidRPr="009E260E">
              <w:t>15</w:t>
            </w:r>
          </w:p>
        </w:tc>
        <w:tc>
          <w:tcPr>
            <w:tcW w:w="992" w:type="dxa"/>
            <w:tcBorders>
              <w:top w:val="nil"/>
              <w:left w:val="nil"/>
              <w:bottom w:val="single" w:sz="4" w:space="0" w:color="auto"/>
              <w:right w:val="single" w:sz="4" w:space="0" w:color="auto"/>
            </w:tcBorders>
            <w:shd w:val="clear" w:color="auto" w:fill="auto"/>
            <w:noWrap/>
            <w:hideMark/>
          </w:tcPr>
          <w:p w14:paraId="3C0DC0DE" w14:textId="77777777" w:rsidR="00483084" w:rsidRPr="009E260E" w:rsidRDefault="00483084" w:rsidP="00483084">
            <w:pPr>
              <w:jc w:val="right"/>
            </w:pPr>
            <w:r w:rsidRPr="009E260E">
              <w:t>15</w:t>
            </w:r>
          </w:p>
        </w:tc>
      </w:tr>
      <w:tr w:rsidR="009E260E" w:rsidRPr="009E260E" w14:paraId="4C0BB340" w14:textId="77777777" w:rsidTr="00E2756F">
        <w:trPr>
          <w:trHeight w:val="40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E9B8D34" w14:textId="77777777" w:rsidR="00483084" w:rsidRPr="009E260E" w:rsidRDefault="00483084" w:rsidP="00483084">
            <w:pPr>
              <w:jc w:val="right"/>
            </w:pPr>
            <w:r w:rsidRPr="009E260E">
              <w:t>7</w:t>
            </w:r>
          </w:p>
        </w:tc>
        <w:tc>
          <w:tcPr>
            <w:tcW w:w="2592" w:type="dxa"/>
            <w:tcBorders>
              <w:top w:val="nil"/>
              <w:left w:val="nil"/>
              <w:bottom w:val="single" w:sz="4" w:space="0" w:color="auto"/>
              <w:right w:val="single" w:sz="4" w:space="0" w:color="auto"/>
            </w:tcBorders>
            <w:shd w:val="clear" w:color="auto" w:fill="auto"/>
            <w:noWrap/>
            <w:vAlign w:val="bottom"/>
            <w:hideMark/>
          </w:tcPr>
          <w:p w14:paraId="1084F81C" w14:textId="77777777" w:rsidR="00483084" w:rsidRPr="009E260E" w:rsidRDefault="00483084" w:rsidP="00483084">
            <w:r w:rsidRPr="009E260E">
              <w:t>Soap Making</w:t>
            </w:r>
          </w:p>
        </w:tc>
        <w:tc>
          <w:tcPr>
            <w:tcW w:w="709" w:type="dxa"/>
            <w:tcBorders>
              <w:top w:val="nil"/>
              <w:left w:val="nil"/>
              <w:bottom w:val="single" w:sz="4" w:space="0" w:color="auto"/>
              <w:right w:val="single" w:sz="4" w:space="0" w:color="auto"/>
            </w:tcBorders>
            <w:shd w:val="clear" w:color="auto" w:fill="auto"/>
            <w:noWrap/>
            <w:vAlign w:val="bottom"/>
            <w:hideMark/>
          </w:tcPr>
          <w:p w14:paraId="582EF315" w14:textId="77777777" w:rsidR="00483084" w:rsidRPr="009E260E" w:rsidRDefault="00483084" w:rsidP="00483084">
            <w:pPr>
              <w:jc w:val="right"/>
            </w:pPr>
            <w:r w:rsidRPr="009E260E">
              <w:t>0</w:t>
            </w:r>
          </w:p>
        </w:tc>
        <w:tc>
          <w:tcPr>
            <w:tcW w:w="850" w:type="dxa"/>
            <w:tcBorders>
              <w:top w:val="nil"/>
              <w:left w:val="nil"/>
              <w:bottom w:val="single" w:sz="4" w:space="0" w:color="auto"/>
              <w:right w:val="single" w:sz="4" w:space="0" w:color="auto"/>
            </w:tcBorders>
            <w:shd w:val="clear" w:color="auto" w:fill="auto"/>
            <w:noWrap/>
            <w:vAlign w:val="bottom"/>
            <w:hideMark/>
          </w:tcPr>
          <w:p w14:paraId="1C304D37" w14:textId="77777777" w:rsidR="00483084" w:rsidRPr="009E260E" w:rsidRDefault="00483084" w:rsidP="00483084">
            <w:pPr>
              <w:jc w:val="right"/>
            </w:pPr>
            <w:r w:rsidRPr="009E260E">
              <w:t>11</w:t>
            </w:r>
          </w:p>
        </w:tc>
        <w:tc>
          <w:tcPr>
            <w:tcW w:w="992" w:type="dxa"/>
            <w:tcBorders>
              <w:top w:val="nil"/>
              <w:left w:val="nil"/>
              <w:bottom w:val="single" w:sz="4" w:space="0" w:color="auto"/>
              <w:right w:val="single" w:sz="4" w:space="0" w:color="auto"/>
            </w:tcBorders>
            <w:shd w:val="clear" w:color="auto" w:fill="auto"/>
            <w:noWrap/>
            <w:hideMark/>
          </w:tcPr>
          <w:p w14:paraId="040EEFA1" w14:textId="77777777" w:rsidR="00483084" w:rsidRPr="009E260E" w:rsidRDefault="00483084" w:rsidP="00483084">
            <w:pPr>
              <w:jc w:val="right"/>
            </w:pPr>
            <w:r w:rsidRPr="009E260E">
              <w:t>11</w:t>
            </w:r>
          </w:p>
        </w:tc>
      </w:tr>
      <w:tr w:rsidR="009E260E" w:rsidRPr="009E260E" w14:paraId="7F896FE6" w14:textId="77777777" w:rsidTr="00E2756F">
        <w:trPr>
          <w:trHeight w:val="141"/>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77E88E31" w14:textId="77777777" w:rsidR="00483084" w:rsidRPr="009E260E" w:rsidRDefault="00483084" w:rsidP="00483084">
            <w:pPr>
              <w:jc w:val="right"/>
            </w:pPr>
            <w:r w:rsidRPr="009E260E">
              <w:t>8</w:t>
            </w:r>
          </w:p>
        </w:tc>
        <w:tc>
          <w:tcPr>
            <w:tcW w:w="2592" w:type="dxa"/>
            <w:tcBorders>
              <w:top w:val="nil"/>
              <w:left w:val="nil"/>
              <w:bottom w:val="single" w:sz="4" w:space="0" w:color="auto"/>
              <w:right w:val="single" w:sz="4" w:space="0" w:color="auto"/>
            </w:tcBorders>
            <w:shd w:val="clear" w:color="auto" w:fill="auto"/>
            <w:noWrap/>
            <w:vAlign w:val="bottom"/>
            <w:hideMark/>
          </w:tcPr>
          <w:p w14:paraId="2FA3D5E1" w14:textId="77777777" w:rsidR="00483084" w:rsidRPr="009E260E" w:rsidRDefault="00483084" w:rsidP="00483084">
            <w:r w:rsidRPr="009E260E">
              <w:t>Plumbing</w:t>
            </w:r>
          </w:p>
        </w:tc>
        <w:tc>
          <w:tcPr>
            <w:tcW w:w="709" w:type="dxa"/>
            <w:tcBorders>
              <w:top w:val="nil"/>
              <w:left w:val="nil"/>
              <w:bottom w:val="single" w:sz="4" w:space="0" w:color="auto"/>
              <w:right w:val="single" w:sz="4" w:space="0" w:color="auto"/>
            </w:tcBorders>
            <w:shd w:val="clear" w:color="auto" w:fill="auto"/>
            <w:noWrap/>
            <w:vAlign w:val="bottom"/>
            <w:hideMark/>
          </w:tcPr>
          <w:p w14:paraId="3B50D7C1" w14:textId="77777777" w:rsidR="00483084" w:rsidRPr="009E260E" w:rsidRDefault="00483084" w:rsidP="00483084">
            <w:pPr>
              <w:jc w:val="right"/>
            </w:pPr>
            <w:r w:rsidRPr="009E260E">
              <w:t>1</w:t>
            </w:r>
          </w:p>
        </w:tc>
        <w:tc>
          <w:tcPr>
            <w:tcW w:w="850" w:type="dxa"/>
            <w:tcBorders>
              <w:top w:val="nil"/>
              <w:left w:val="nil"/>
              <w:bottom w:val="single" w:sz="4" w:space="0" w:color="auto"/>
              <w:right w:val="single" w:sz="4" w:space="0" w:color="auto"/>
            </w:tcBorders>
            <w:shd w:val="clear" w:color="auto" w:fill="auto"/>
            <w:noWrap/>
            <w:vAlign w:val="bottom"/>
            <w:hideMark/>
          </w:tcPr>
          <w:p w14:paraId="2771D7BD" w14:textId="77777777" w:rsidR="00483084" w:rsidRPr="009E260E" w:rsidRDefault="00483084" w:rsidP="00483084">
            <w:pPr>
              <w:jc w:val="right"/>
            </w:pPr>
            <w:r w:rsidRPr="009E260E">
              <w:t>37</w:t>
            </w:r>
          </w:p>
        </w:tc>
        <w:tc>
          <w:tcPr>
            <w:tcW w:w="992" w:type="dxa"/>
            <w:tcBorders>
              <w:top w:val="nil"/>
              <w:left w:val="nil"/>
              <w:bottom w:val="single" w:sz="4" w:space="0" w:color="auto"/>
              <w:right w:val="single" w:sz="4" w:space="0" w:color="auto"/>
            </w:tcBorders>
            <w:shd w:val="clear" w:color="auto" w:fill="auto"/>
            <w:noWrap/>
            <w:hideMark/>
          </w:tcPr>
          <w:p w14:paraId="556E3238" w14:textId="77777777" w:rsidR="00483084" w:rsidRPr="009E260E" w:rsidRDefault="00483084" w:rsidP="00483084">
            <w:pPr>
              <w:jc w:val="right"/>
            </w:pPr>
            <w:r w:rsidRPr="009E260E">
              <w:t>38</w:t>
            </w:r>
          </w:p>
        </w:tc>
      </w:tr>
      <w:tr w:rsidR="009E260E" w:rsidRPr="009E260E" w14:paraId="65498C1D" w14:textId="77777777" w:rsidTr="00E2756F">
        <w:trPr>
          <w:trHeight w:val="287"/>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696B76D" w14:textId="77777777" w:rsidR="00483084" w:rsidRPr="009E260E" w:rsidRDefault="00483084" w:rsidP="00483084">
            <w:pPr>
              <w:jc w:val="right"/>
            </w:pPr>
            <w:r w:rsidRPr="009E260E">
              <w:t>9</w:t>
            </w:r>
          </w:p>
        </w:tc>
        <w:tc>
          <w:tcPr>
            <w:tcW w:w="2592" w:type="dxa"/>
            <w:tcBorders>
              <w:top w:val="nil"/>
              <w:left w:val="nil"/>
              <w:bottom w:val="single" w:sz="4" w:space="0" w:color="auto"/>
              <w:right w:val="single" w:sz="4" w:space="0" w:color="auto"/>
            </w:tcBorders>
            <w:shd w:val="clear" w:color="auto" w:fill="auto"/>
            <w:noWrap/>
            <w:vAlign w:val="bottom"/>
            <w:hideMark/>
          </w:tcPr>
          <w:p w14:paraId="6F07A796" w14:textId="77777777" w:rsidR="00483084" w:rsidRPr="009E260E" w:rsidRDefault="00483084" w:rsidP="00483084">
            <w:r w:rsidRPr="009E260E">
              <w:t>Electronics</w:t>
            </w:r>
          </w:p>
        </w:tc>
        <w:tc>
          <w:tcPr>
            <w:tcW w:w="709" w:type="dxa"/>
            <w:tcBorders>
              <w:top w:val="nil"/>
              <w:left w:val="nil"/>
              <w:bottom w:val="single" w:sz="4" w:space="0" w:color="auto"/>
              <w:right w:val="single" w:sz="4" w:space="0" w:color="auto"/>
            </w:tcBorders>
            <w:shd w:val="clear" w:color="auto" w:fill="auto"/>
            <w:noWrap/>
            <w:vAlign w:val="bottom"/>
            <w:hideMark/>
          </w:tcPr>
          <w:p w14:paraId="13B52147" w14:textId="77777777" w:rsidR="00483084" w:rsidRPr="009E260E" w:rsidRDefault="00483084" w:rsidP="00483084">
            <w:pPr>
              <w:jc w:val="right"/>
            </w:pPr>
            <w:r w:rsidRPr="009E260E">
              <w:t>0</w:t>
            </w:r>
          </w:p>
        </w:tc>
        <w:tc>
          <w:tcPr>
            <w:tcW w:w="850" w:type="dxa"/>
            <w:tcBorders>
              <w:top w:val="nil"/>
              <w:left w:val="nil"/>
              <w:bottom w:val="single" w:sz="4" w:space="0" w:color="auto"/>
              <w:right w:val="single" w:sz="4" w:space="0" w:color="auto"/>
            </w:tcBorders>
            <w:shd w:val="clear" w:color="auto" w:fill="auto"/>
            <w:noWrap/>
            <w:vAlign w:val="bottom"/>
            <w:hideMark/>
          </w:tcPr>
          <w:p w14:paraId="26CA56F8" w14:textId="77777777" w:rsidR="00483084" w:rsidRPr="009E260E" w:rsidRDefault="00483084" w:rsidP="00483084">
            <w:pPr>
              <w:jc w:val="right"/>
            </w:pPr>
            <w:r w:rsidRPr="009E260E">
              <w:t>7</w:t>
            </w:r>
          </w:p>
        </w:tc>
        <w:tc>
          <w:tcPr>
            <w:tcW w:w="992" w:type="dxa"/>
            <w:tcBorders>
              <w:top w:val="nil"/>
              <w:left w:val="nil"/>
              <w:bottom w:val="single" w:sz="4" w:space="0" w:color="auto"/>
              <w:right w:val="single" w:sz="4" w:space="0" w:color="auto"/>
            </w:tcBorders>
            <w:shd w:val="clear" w:color="auto" w:fill="auto"/>
            <w:noWrap/>
            <w:hideMark/>
          </w:tcPr>
          <w:p w14:paraId="3B772815" w14:textId="77777777" w:rsidR="00483084" w:rsidRPr="009E260E" w:rsidRDefault="00483084" w:rsidP="00483084">
            <w:pPr>
              <w:jc w:val="right"/>
            </w:pPr>
            <w:r w:rsidRPr="009E260E">
              <w:t>7</w:t>
            </w:r>
          </w:p>
        </w:tc>
      </w:tr>
      <w:tr w:rsidR="009E260E" w:rsidRPr="009E260E" w14:paraId="1E714C8B" w14:textId="77777777" w:rsidTr="00E2756F">
        <w:trPr>
          <w:trHeight w:val="263"/>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191103F" w14:textId="77777777" w:rsidR="00483084" w:rsidRPr="009E260E" w:rsidRDefault="00483084" w:rsidP="00483084">
            <w:pPr>
              <w:jc w:val="right"/>
            </w:pPr>
            <w:r w:rsidRPr="009E260E">
              <w:t>10</w:t>
            </w:r>
          </w:p>
        </w:tc>
        <w:tc>
          <w:tcPr>
            <w:tcW w:w="2592" w:type="dxa"/>
            <w:tcBorders>
              <w:top w:val="nil"/>
              <w:left w:val="nil"/>
              <w:bottom w:val="single" w:sz="4" w:space="0" w:color="auto"/>
              <w:right w:val="single" w:sz="4" w:space="0" w:color="auto"/>
            </w:tcBorders>
            <w:shd w:val="clear" w:color="auto" w:fill="auto"/>
            <w:noWrap/>
            <w:vAlign w:val="bottom"/>
            <w:hideMark/>
          </w:tcPr>
          <w:p w14:paraId="45292750" w14:textId="77777777" w:rsidR="00483084" w:rsidRPr="009E260E" w:rsidRDefault="00483084" w:rsidP="00483084">
            <w:r w:rsidRPr="009E260E">
              <w:t>Refrigeration</w:t>
            </w:r>
          </w:p>
        </w:tc>
        <w:tc>
          <w:tcPr>
            <w:tcW w:w="709" w:type="dxa"/>
            <w:tcBorders>
              <w:top w:val="nil"/>
              <w:left w:val="nil"/>
              <w:bottom w:val="single" w:sz="4" w:space="0" w:color="auto"/>
              <w:right w:val="single" w:sz="4" w:space="0" w:color="auto"/>
            </w:tcBorders>
            <w:shd w:val="clear" w:color="auto" w:fill="auto"/>
            <w:noWrap/>
            <w:vAlign w:val="bottom"/>
            <w:hideMark/>
          </w:tcPr>
          <w:p w14:paraId="56D60D84" w14:textId="77777777" w:rsidR="00483084" w:rsidRPr="009E260E" w:rsidRDefault="00483084" w:rsidP="00483084">
            <w:pPr>
              <w:jc w:val="right"/>
            </w:pPr>
            <w:r w:rsidRPr="009E260E">
              <w:t>0</w:t>
            </w:r>
          </w:p>
        </w:tc>
        <w:tc>
          <w:tcPr>
            <w:tcW w:w="850" w:type="dxa"/>
            <w:tcBorders>
              <w:top w:val="nil"/>
              <w:left w:val="nil"/>
              <w:bottom w:val="single" w:sz="4" w:space="0" w:color="auto"/>
              <w:right w:val="single" w:sz="4" w:space="0" w:color="auto"/>
            </w:tcBorders>
            <w:shd w:val="clear" w:color="auto" w:fill="auto"/>
            <w:noWrap/>
            <w:vAlign w:val="bottom"/>
            <w:hideMark/>
          </w:tcPr>
          <w:p w14:paraId="6CD1588B" w14:textId="77777777" w:rsidR="00483084" w:rsidRPr="009E260E" w:rsidRDefault="00483084" w:rsidP="00483084">
            <w:pPr>
              <w:jc w:val="right"/>
            </w:pPr>
            <w:r w:rsidRPr="009E260E">
              <w:t>1</w:t>
            </w:r>
          </w:p>
        </w:tc>
        <w:tc>
          <w:tcPr>
            <w:tcW w:w="992" w:type="dxa"/>
            <w:tcBorders>
              <w:top w:val="nil"/>
              <w:left w:val="nil"/>
              <w:bottom w:val="single" w:sz="4" w:space="0" w:color="auto"/>
              <w:right w:val="single" w:sz="4" w:space="0" w:color="auto"/>
            </w:tcBorders>
            <w:shd w:val="clear" w:color="auto" w:fill="auto"/>
            <w:noWrap/>
            <w:hideMark/>
          </w:tcPr>
          <w:p w14:paraId="363EB34C" w14:textId="77777777" w:rsidR="00483084" w:rsidRPr="009E260E" w:rsidRDefault="00483084" w:rsidP="00483084">
            <w:pPr>
              <w:jc w:val="right"/>
            </w:pPr>
            <w:r w:rsidRPr="009E260E">
              <w:t>1</w:t>
            </w:r>
          </w:p>
        </w:tc>
      </w:tr>
      <w:tr w:rsidR="009E260E" w:rsidRPr="009E260E" w14:paraId="6D116B41" w14:textId="77777777" w:rsidTr="00E2756F">
        <w:trPr>
          <w:trHeight w:val="281"/>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337B" w14:textId="77777777" w:rsidR="00483084" w:rsidRPr="009E260E" w:rsidRDefault="00483084" w:rsidP="00483084">
            <w:pPr>
              <w:jc w:val="center"/>
              <w:rPr>
                <w:b/>
                <w:bCs/>
              </w:rPr>
            </w:pPr>
            <w:r w:rsidRPr="009E260E">
              <w:rPr>
                <w:b/>
                <w:bCs/>
              </w:rPr>
              <w:t>Total</w:t>
            </w:r>
          </w:p>
        </w:tc>
        <w:tc>
          <w:tcPr>
            <w:tcW w:w="709" w:type="dxa"/>
            <w:tcBorders>
              <w:top w:val="nil"/>
              <w:left w:val="nil"/>
              <w:bottom w:val="single" w:sz="4" w:space="0" w:color="auto"/>
              <w:right w:val="single" w:sz="4" w:space="0" w:color="auto"/>
            </w:tcBorders>
            <w:shd w:val="clear" w:color="auto" w:fill="auto"/>
            <w:noWrap/>
            <w:vAlign w:val="bottom"/>
            <w:hideMark/>
          </w:tcPr>
          <w:p w14:paraId="32CDDE5C" w14:textId="77777777" w:rsidR="00483084" w:rsidRPr="009E260E" w:rsidRDefault="00483084" w:rsidP="00483084">
            <w:pPr>
              <w:jc w:val="right"/>
              <w:rPr>
                <w:b/>
                <w:bCs/>
              </w:rPr>
            </w:pPr>
            <w:r w:rsidRPr="009E260E">
              <w:rPr>
                <w:b/>
                <w:bCs/>
              </w:rPr>
              <w:t>42</w:t>
            </w:r>
          </w:p>
        </w:tc>
        <w:tc>
          <w:tcPr>
            <w:tcW w:w="850" w:type="dxa"/>
            <w:tcBorders>
              <w:top w:val="nil"/>
              <w:left w:val="nil"/>
              <w:bottom w:val="single" w:sz="4" w:space="0" w:color="auto"/>
              <w:right w:val="single" w:sz="4" w:space="0" w:color="auto"/>
            </w:tcBorders>
            <w:shd w:val="clear" w:color="auto" w:fill="auto"/>
            <w:noWrap/>
            <w:vAlign w:val="bottom"/>
            <w:hideMark/>
          </w:tcPr>
          <w:p w14:paraId="1ED83FD3" w14:textId="77777777" w:rsidR="00483084" w:rsidRPr="009E260E" w:rsidRDefault="00483084" w:rsidP="00483084">
            <w:pPr>
              <w:jc w:val="right"/>
              <w:rPr>
                <w:b/>
                <w:bCs/>
              </w:rPr>
            </w:pPr>
            <w:r w:rsidRPr="009E260E">
              <w:rPr>
                <w:b/>
                <w:bCs/>
              </w:rPr>
              <w:t>111</w:t>
            </w:r>
          </w:p>
        </w:tc>
        <w:tc>
          <w:tcPr>
            <w:tcW w:w="992" w:type="dxa"/>
            <w:tcBorders>
              <w:top w:val="nil"/>
              <w:left w:val="nil"/>
              <w:bottom w:val="single" w:sz="4" w:space="0" w:color="auto"/>
              <w:right w:val="single" w:sz="4" w:space="0" w:color="auto"/>
            </w:tcBorders>
            <w:shd w:val="clear" w:color="auto" w:fill="auto"/>
            <w:noWrap/>
            <w:vAlign w:val="bottom"/>
            <w:hideMark/>
          </w:tcPr>
          <w:p w14:paraId="6915314E" w14:textId="77777777" w:rsidR="00483084" w:rsidRPr="009E260E" w:rsidRDefault="00483084" w:rsidP="00483084">
            <w:pPr>
              <w:jc w:val="right"/>
              <w:rPr>
                <w:b/>
                <w:bCs/>
              </w:rPr>
            </w:pPr>
            <w:r w:rsidRPr="009E260E">
              <w:rPr>
                <w:b/>
                <w:bCs/>
              </w:rPr>
              <w:t>153</w:t>
            </w:r>
          </w:p>
        </w:tc>
      </w:tr>
    </w:tbl>
    <w:p w14:paraId="6E3FC361" w14:textId="77777777" w:rsidR="00483084" w:rsidRPr="00A862B2" w:rsidRDefault="00483084" w:rsidP="00FA49A7">
      <w:pPr>
        <w:tabs>
          <w:tab w:val="left" w:pos="0"/>
        </w:tabs>
      </w:pPr>
    </w:p>
    <w:sectPr w:rsidR="00483084" w:rsidRPr="00A862B2"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B1A1" w16cex:dateUtc="2020-11-09T12:16:00Z"/>
  <w16cex:commentExtensible w16cex:durableId="2353B2F2" w16cex:dateUtc="2020-11-09T12:22:00Z"/>
  <w16cex:commentExtensible w16cex:durableId="2353B903" w16cex:dateUtc="2020-11-09T12:48:00Z"/>
  <w16cex:commentExtensible w16cex:durableId="2353BBF9" w16cex:dateUtc="2020-11-09T13:00:00Z"/>
  <w16cex:commentExtensible w16cex:durableId="2353C758" w16cex:dateUtc="2020-11-09T13:49:00Z"/>
  <w16cex:commentExtensible w16cex:durableId="2353C916" w16cex:dateUtc="2020-11-09T13:56:00Z"/>
  <w16cex:commentExtensible w16cex:durableId="2353C9C3" w16cex:dateUtc="2020-11-09T13:59:00Z"/>
  <w16cex:commentExtensible w16cex:durableId="2353CB2C" w16cex:dateUtc="2020-11-09T14:05:00Z"/>
  <w16cex:commentExtensible w16cex:durableId="2353D1AD" w16cex:dateUtc="2020-11-09T14:33:00Z"/>
  <w16cex:commentExtensible w16cex:durableId="2353D19E" w16cex:dateUtc="2020-11-09T14:33:00Z"/>
  <w16cex:commentExtensible w16cex:durableId="2353D1F9" w16cex:dateUtc="2020-11-09T14:34:00Z"/>
  <w16cex:commentExtensible w16cex:durableId="2353D326" w16cex:dateUtc="2020-11-09T14:39:00Z"/>
  <w16cex:commentExtensible w16cex:durableId="2353D4B0" w16cex:dateUtc="2020-11-09T1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5897" w14:textId="77777777" w:rsidR="00D543FC" w:rsidRDefault="00D543FC" w:rsidP="00E76CA1">
      <w:r>
        <w:separator/>
      </w:r>
    </w:p>
  </w:endnote>
  <w:endnote w:type="continuationSeparator" w:id="0">
    <w:p w14:paraId="584213D8" w14:textId="77777777" w:rsidR="00D543FC" w:rsidRDefault="00D543F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317AE3F7" w:rsidR="006E0F85" w:rsidRDefault="006E0F85">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6E0F85" w:rsidRDefault="006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A7DD" w14:textId="77777777" w:rsidR="00D543FC" w:rsidRDefault="00D543FC" w:rsidP="00E76CA1">
      <w:r>
        <w:separator/>
      </w:r>
    </w:p>
  </w:footnote>
  <w:footnote w:type="continuationSeparator" w:id="0">
    <w:p w14:paraId="663E75FA" w14:textId="77777777" w:rsidR="00D543FC" w:rsidRDefault="00D543FC" w:rsidP="00E76CA1">
      <w:r>
        <w:continuationSeparator/>
      </w:r>
    </w:p>
  </w:footnote>
  <w:footnote w:id="1">
    <w:p w14:paraId="3FA46127" w14:textId="77777777" w:rsidR="006E0F85" w:rsidRDefault="006E0F85" w:rsidP="007275D3">
      <w:pPr>
        <w:pStyle w:val="FootnoteText"/>
      </w:pPr>
      <w:r>
        <w:rPr>
          <w:rStyle w:val="FootnoteReference"/>
        </w:rPr>
        <w:footnoteRef/>
      </w:r>
      <w:r>
        <w:t xml:space="preserve"> </w:t>
      </w:r>
      <w:r w:rsidRPr="00941DD9">
        <w:t>ILO: Global Employment Trends for Youth 2017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39"/>
    <w:multiLevelType w:val="hybridMultilevel"/>
    <w:tmpl w:val="D70C85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E0C65"/>
    <w:multiLevelType w:val="hybridMultilevel"/>
    <w:tmpl w:val="6F5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B3E10"/>
    <w:multiLevelType w:val="hybridMultilevel"/>
    <w:tmpl w:val="3744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8E41CA"/>
    <w:multiLevelType w:val="hybridMultilevel"/>
    <w:tmpl w:val="5BFA065E"/>
    <w:lvl w:ilvl="0" w:tplc="C276BD40">
      <w:start w:val="1"/>
      <w:numFmt w:val="bullet"/>
      <w:lvlText w:val=""/>
      <w:lvlJc w:val="left"/>
      <w:pPr>
        <w:tabs>
          <w:tab w:val="num" w:pos="720"/>
        </w:tabs>
        <w:ind w:left="720" w:hanging="360"/>
      </w:pPr>
      <w:rPr>
        <w:rFonts w:ascii="Wingdings" w:hAnsi="Wingdings" w:hint="default"/>
      </w:rPr>
    </w:lvl>
    <w:lvl w:ilvl="1" w:tplc="C276DFC6">
      <w:start w:val="51"/>
      <w:numFmt w:val="bullet"/>
      <w:lvlText w:val=""/>
      <w:lvlJc w:val="left"/>
      <w:pPr>
        <w:tabs>
          <w:tab w:val="num" w:pos="1440"/>
        </w:tabs>
        <w:ind w:left="1440" w:hanging="360"/>
      </w:pPr>
      <w:rPr>
        <w:rFonts w:ascii="Wingdings" w:hAnsi="Wingdings" w:hint="default"/>
      </w:rPr>
    </w:lvl>
    <w:lvl w:ilvl="2" w:tplc="4A36677C" w:tentative="1">
      <w:start w:val="1"/>
      <w:numFmt w:val="bullet"/>
      <w:lvlText w:val=""/>
      <w:lvlJc w:val="left"/>
      <w:pPr>
        <w:tabs>
          <w:tab w:val="num" w:pos="2160"/>
        </w:tabs>
        <w:ind w:left="2160" w:hanging="360"/>
      </w:pPr>
      <w:rPr>
        <w:rFonts w:ascii="Wingdings" w:hAnsi="Wingdings" w:hint="default"/>
      </w:rPr>
    </w:lvl>
    <w:lvl w:ilvl="3" w:tplc="8258FF82" w:tentative="1">
      <w:start w:val="1"/>
      <w:numFmt w:val="bullet"/>
      <w:lvlText w:val=""/>
      <w:lvlJc w:val="left"/>
      <w:pPr>
        <w:tabs>
          <w:tab w:val="num" w:pos="2880"/>
        </w:tabs>
        <w:ind w:left="2880" w:hanging="360"/>
      </w:pPr>
      <w:rPr>
        <w:rFonts w:ascii="Wingdings" w:hAnsi="Wingdings" w:hint="default"/>
      </w:rPr>
    </w:lvl>
    <w:lvl w:ilvl="4" w:tplc="EA929D6A" w:tentative="1">
      <w:start w:val="1"/>
      <w:numFmt w:val="bullet"/>
      <w:lvlText w:val=""/>
      <w:lvlJc w:val="left"/>
      <w:pPr>
        <w:tabs>
          <w:tab w:val="num" w:pos="3600"/>
        </w:tabs>
        <w:ind w:left="3600" w:hanging="360"/>
      </w:pPr>
      <w:rPr>
        <w:rFonts w:ascii="Wingdings" w:hAnsi="Wingdings" w:hint="default"/>
      </w:rPr>
    </w:lvl>
    <w:lvl w:ilvl="5" w:tplc="665EB958" w:tentative="1">
      <w:start w:val="1"/>
      <w:numFmt w:val="bullet"/>
      <w:lvlText w:val=""/>
      <w:lvlJc w:val="left"/>
      <w:pPr>
        <w:tabs>
          <w:tab w:val="num" w:pos="4320"/>
        </w:tabs>
        <w:ind w:left="4320" w:hanging="360"/>
      </w:pPr>
      <w:rPr>
        <w:rFonts w:ascii="Wingdings" w:hAnsi="Wingdings" w:hint="default"/>
      </w:rPr>
    </w:lvl>
    <w:lvl w:ilvl="6" w:tplc="0D4A211A" w:tentative="1">
      <w:start w:val="1"/>
      <w:numFmt w:val="bullet"/>
      <w:lvlText w:val=""/>
      <w:lvlJc w:val="left"/>
      <w:pPr>
        <w:tabs>
          <w:tab w:val="num" w:pos="5040"/>
        </w:tabs>
        <w:ind w:left="5040" w:hanging="360"/>
      </w:pPr>
      <w:rPr>
        <w:rFonts w:ascii="Wingdings" w:hAnsi="Wingdings" w:hint="default"/>
      </w:rPr>
    </w:lvl>
    <w:lvl w:ilvl="7" w:tplc="27FE8188" w:tentative="1">
      <w:start w:val="1"/>
      <w:numFmt w:val="bullet"/>
      <w:lvlText w:val=""/>
      <w:lvlJc w:val="left"/>
      <w:pPr>
        <w:tabs>
          <w:tab w:val="num" w:pos="5760"/>
        </w:tabs>
        <w:ind w:left="5760" w:hanging="360"/>
      </w:pPr>
      <w:rPr>
        <w:rFonts w:ascii="Wingdings" w:hAnsi="Wingdings" w:hint="default"/>
      </w:rPr>
    </w:lvl>
    <w:lvl w:ilvl="8" w:tplc="BDE468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F07A6"/>
    <w:multiLevelType w:val="hybridMultilevel"/>
    <w:tmpl w:val="EBDC15D8"/>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87B3162"/>
    <w:multiLevelType w:val="hybridMultilevel"/>
    <w:tmpl w:val="714AA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1F1425"/>
    <w:multiLevelType w:val="hybridMultilevel"/>
    <w:tmpl w:val="E482FB1E"/>
    <w:lvl w:ilvl="0" w:tplc="768E8A80">
      <w:start w:val="1"/>
      <w:numFmt w:val="bullet"/>
      <w:lvlText w:val=""/>
      <w:lvlJc w:val="left"/>
      <w:pPr>
        <w:tabs>
          <w:tab w:val="num" w:pos="720"/>
        </w:tabs>
        <w:ind w:left="720" w:hanging="360"/>
      </w:pPr>
      <w:rPr>
        <w:rFonts w:ascii="Wingdings" w:hAnsi="Wingdings" w:hint="default"/>
      </w:rPr>
    </w:lvl>
    <w:lvl w:ilvl="1" w:tplc="B5B2E7FE">
      <w:start w:val="1"/>
      <w:numFmt w:val="bullet"/>
      <w:lvlText w:val=""/>
      <w:lvlJc w:val="left"/>
      <w:pPr>
        <w:tabs>
          <w:tab w:val="num" w:pos="1440"/>
        </w:tabs>
        <w:ind w:left="1440" w:hanging="360"/>
      </w:pPr>
      <w:rPr>
        <w:rFonts w:ascii="Wingdings" w:hAnsi="Wingdings" w:hint="default"/>
      </w:rPr>
    </w:lvl>
    <w:lvl w:ilvl="2" w:tplc="C360E014" w:tentative="1">
      <w:start w:val="1"/>
      <w:numFmt w:val="bullet"/>
      <w:lvlText w:val=""/>
      <w:lvlJc w:val="left"/>
      <w:pPr>
        <w:tabs>
          <w:tab w:val="num" w:pos="2160"/>
        </w:tabs>
        <w:ind w:left="2160" w:hanging="360"/>
      </w:pPr>
      <w:rPr>
        <w:rFonts w:ascii="Wingdings" w:hAnsi="Wingdings" w:hint="default"/>
      </w:rPr>
    </w:lvl>
    <w:lvl w:ilvl="3" w:tplc="0D78190E" w:tentative="1">
      <w:start w:val="1"/>
      <w:numFmt w:val="bullet"/>
      <w:lvlText w:val=""/>
      <w:lvlJc w:val="left"/>
      <w:pPr>
        <w:tabs>
          <w:tab w:val="num" w:pos="2880"/>
        </w:tabs>
        <w:ind w:left="2880" w:hanging="360"/>
      </w:pPr>
      <w:rPr>
        <w:rFonts w:ascii="Wingdings" w:hAnsi="Wingdings" w:hint="default"/>
      </w:rPr>
    </w:lvl>
    <w:lvl w:ilvl="4" w:tplc="8834C89A" w:tentative="1">
      <w:start w:val="1"/>
      <w:numFmt w:val="bullet"/>
      <w:lvlText w:val=""/>
      <w:lvlJc w:val="left"/>
      <w:pPr>
        <w:tabs>
          <w:tab w:val="num" w:pos="3600"/>
        </w:tabs>
        <w:ind w:left="3600" w:hanging="360"/>
      </w:pPr>
      <w:rPr>
        <w:rFonts w:ascii="Wingdings" w:hAnsi="Wingdings" w:hint="default"/>
      </w:rPr>
    </w:lvl>
    <w:lvl w:ilvl="5" w:tplc="7830550A" w:tentative="1">
      <w:start w:val="1"/>
      <w:numFmt w:val="bullet"/>
      <w:lvlText w:val=""/>
      <w:lvlJc w:val="left"/>
      <w:pPr>
        <w:tabs>
          <w:tab w:val="num" w:pos="4320"/>
        </w:tabs>
        <w:ind w:left="4320" w:hanging="360"/>
      </w:pPr>
      <w:rPr>
        <w:rFonts w:ascii="Wingdings" w:hAnsi="Wingdings" w:hint="default"/>
      </w:rPr>
    </w:lvl>
    <w:lvl w:ilvl="6" w:tplc="F4B2E34E" w:tentative="1">
      <w:start w:val="1"/>
      <w:numFmt w:val="bullet"/>
      <w:lvlText w:val=""/>
      <w:lvlJc w:val="left"/>
      <w:pPr>
        <w:tabs>
          <w:tab w:val="num" w:pos="5040"/>
        </w:tabs>
        <w:ind w:left="5040" w:hanging="360"/>
      </w:pPr>
      <w:rPr>
        <w:rFonts w:ascii="Wingdings" w:hAnsi="Wingdings" w:hint="default"/>
      </w:rPr>
    </w:lvl>
    <w:lvl w:ilvl="7" w:tplc="D8FA7EA4" w:tentative="1">
      <w:start w:val="1"/>
      <w:numFmt w:val="bullet"/>
      <w:lvlText w:val=""/>
      <w:lvlJc w:val="left"/>
      <w:pPr>
        <w:tabs>
          <w:tab w:val="num" w:pos="5760"/>
        </w:tabs>
        <w:ind w:left="5760" w:hanging="360"/>
      </w:pPr>
      <w:rPr>
        <w:rFonts w:ascii="Wingdings" w:hAnsi="Wingdings" w:hint="default"/>
      </w:rPr>
    </w:lvl>
    <w:lvl w:ilvl="8" w:tplc="C3EA5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773DE"/>
    <w:multiLevelType w:val="hybridMultilevel"/>
    <w:tmpl w:val="6A9C3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451742"/>
    <w:multiLevelType w:val="hybridMultilevel"/>
    <w:tmpl w:val="31200B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5"/>
  </w:num>
  <w:num w:numId="6">
    <w:abstractNumId w:val="4"/>
  </w:num>
  <w:num w:numId="7">
    <w:abstractNumId w:val="7"/>
  </w:num>
  <w:num w:numId="8">
    <w:abstractNumId w:val="1"/>
  </w:num>
  <w:num w:numId="9">
    <w:abstractNumId w:val="8"/>
  </w:num>
  <w:num w:numId="10">
    <w:abstractNumId w:val="0"/>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AF5"/>
    <w:rsid w:val="000022C4"/>
    <w:rsid w:val="00002815"/>
    <w:rsid w:val="00005737"/>
    <w:rsid w:val="00006DBE"/>
    <w:rsid w:val="00006EC0"/>
    <w:rsid w:val="00010EB0"/>
    <w:rsid w:val="0001109A"/>
    <w:rsid w:val="00013D36"/>
    <w:rsid w:val="00013D69"/>
    <w:rsid w:val="00014B13"/>
    <w:rsid w:val="000202C7"/>
    <w:rsid w:val="00021941"/>
    <w:rsid w:val="00021CCA"/>
    <w:rsid w:val="00025EFA"/>
    <w:rsid w:val="00031640"/>
    <w:rsid w:val="00033156"/>
    <w:rsid w:val="000338C1"/>
    <w:rsid w:val="00034A4C"/>
    <w:rsid w:val="000368EA"/>
    <w:rsid w:val="0004003A"/>
    <w:rsid w:val="0004020F"/>
    <w:rsid w:val="00042AB2"/>
    <w:rsid w:val="00043DA1"/>
    <w:rsid w:val="000446E6"/>
    <w:rsid w:val="00045C24"/>
    <w:rsid w:val="00047502"/>
    <w:rsid w:val="00050759"/>
    <w:rsid w:val="00051F71"/>
    <w:rsid w:val="0005216F"/>
    <w:rsid w:val="00052436"/>
    <w:rsid w:val="00052745"/>
    <w:rsid w:val="00052DE5"/>
    <w:rsid w:val="000543C7"/>
    <w:rsid w:val="000554F8"/>
    <w:rsid w:val="00055825"/>
    <w:rsid w:val="00055A4C"/>
    <w:rsid w:val="000620F1"/>
    <w:rsid w:val="00063017"/>
    <w:rsid w:val="00063270"/>
    <w:rsid w:val="000636CA"/>
    <w:rsid w:val="000731D0"/>
    <w:rsid w:val="000733C8"/>
    <w:rsid w:val="00075CB7"/>
    <w:rsid w:val="00075D98"/>
    <w:rsid w:val="0008134A"/>
    <w:rsid w:val="0008233D"/>
    <w:rsid w:val="00082738"/>
    <w:rsid w:val="00084F64"/>
    <w:rsid w:val="000872CF"/>
    <w:rsid w:val="00087472"/>
    <w:rsid w:val="00091CFD"/>
    <w:rsid w:val="00092442"/>
    <w:rsid w:val="00095922"/>
    <w:rsid w:val="000A23A8"/>
    <w:rsid w:val="000A45F4"/>
    <w:rsid w:val="000A4660"/>
    <w:rsid w:val="000A51DA"/>
    <w:rsid w:val="000A6719"/>
    <w:rsid w:val="000B4E5C"/>
    <w:rsid w:val="000B7954"/>
    <w:rsid w:val="000C0090"/>
    <w:rsid w:val="000C0C14"/>
    <w:rsid w:val="000C751D"/>
    <w:rsid w:val="000C7EA0"/>
    <w:rsid w:val="000D056F"/>
    <w:rsid w:val="000D117F"/>
    <w:rsid w:val="000D1BD9"/>
    <w:rsid w:val="000D3DBA"/>
    <w:rsid w:val="000D4F4B"/>
    <w:rsid w:val="000E05AE"/>
    <w:rsid w:val="000E0679"/>
    <w:rsid w:val="000E4C75"/>
    <w:rsid w:val="000E6A96"/>
    <w:rsid w:val="000F05A2"/>
    <w:rsid w:val="000F13B1"/>
    <w:rsid w:val="000F2764"/>
    <w:rsid w:val="000F6A5D"/>
    <w:rsid w:val="00102C0E"/>
    <w:rsid w:val="00110571"/>
    <w:rsid w:val="00112741"/>
    <w:rsid w:val="00113D2B"/>
    <w:rsid w:val="00113EC4"/>
    <w:rsid w:val="00116449"/>
    <w:rsid w:val="0011666C"/>
    <w:rsid w:val="001178D7"/>
    <w:rsid w:val="00117D96"/>
    <w:rsid w:val="00121B2D"/>
    <w:rsid w:val="001307FA"/>
    <w:rsid w:val="00131824"/>
    <w:rsid w:val="00136B32"/>
    <w:rsid w:val="001378FB"/>
    <w:rsid w:val="0014433D"/>
    <w:rsid w:val="001444EE"/>
    <w:rsid w:val="00144C4B"/>
    <w:rsid w:val="00145766"/>
    <w:rsid w:val="001458E9"/>
    <w:rsid w:val="00153CD9"/>
    <w:rsid w:val="00156AFA"/>
    <w:rsid w:val="00156B73"/>
    <w:rsid w:val="00156C4C"/>
    <w:rsid w:val="001571C3"/>
    <w:rsid w:val="00157BF2"/>
    <w:rsid w:val="00157C0E"/>
    <w:rsid w:val="001607B2"/>
    <w:rsid w:val="0016088D"/>
    <w:rsid w:val="00161D02"/>
    <w:rsid w:val="0018095F"/>
    <w:rsid w:val="0018313E"/>
    <w:rsid w:val="0018320A"/>
    <w:rsid w:val="0018427C"/>
    <w:rsid w:val="0018446E"/>
    <w:rsid w:val="00185425"/>
    <w:rsid w:val="00186529"/>
    <w:rsid w:val="00186FD4"/>
    <w:rsid w:val="00192F1D"/>
    <w:rsid w:val="00194D4C"/>
    <w:rsid w:val="00196AA8"/>
    <w:rsid w:val="001A1E86"/>
    <w:rsid w:val="001A3157"/>
    <w:rsid w:val="001A374F"/>
    <w:rsid w:val="001A3A84"/>
    <w:rsid w:val="001A4786"/>
    <w:rsid w:val="001B0E1C"/>
    <w:rsid w:val="001B1EAF"/>
    <w:rsid w:val="001B3675"/>
    <w:rsid w:val="001B458D"/>
    <w:rsid w:val="001B54AC"/>
    <w:rsid w:val="001B5D16"/>
    <w:rsid w:val="001B6DFD"/>
    <w:rsid w:val="001C2219"/>
    <w:rsid w:val="001C4484"/>
    <w:rsid w:val="001C46E9"/>
    <w:rsid w:val="001C5691"/>
    <w:rsid w:val="001C56B8"/>
    <w:rsid w:val="001C5B82"/>
    <w:rsid w:val="001D1C14"/>
    <w:rsid w:val="001D45C2"/>
    <w:rsid w:val="001D575F"/>
    <w:rsid w:val="001D6683"/>
    <w:rsid w:val="001D67F9"/>
    <w:rsid w:val="001E0D33"/>
    <w:rsid w:val="001E2B8B"/>
    <w:rsid w:val="001E4EEF"/>
    <w:rsid w:val="001E660A"/>
    <w:rsid w:val="001F308A"/>
    <w:rsid w:val="002000D5"/>
    <w:rsid w:val="0020130A"/>
    <w:rsid w:val="00205EB7"/>
    <w:rsid w:val="00206D45"/>
    <w:rsid w:val="0020791D"/>
    <w:rsid w:val="002129DA"/>
    <w:rsid w:val="0021550A"/>
    <w:rsid w:val="00215F41"/>
    <w:rsid w:val="00217A2E"/>
    <w:rsid w:val="00217E79"/>
    <w:rsid w:val="00217EB6"/>
    <w:rsid w:val="002247C2"/>
    <w:rsid w:val="00226B69"/>
    <w:rsid w:val="002322E6"/>
    <w:rsid w:val="00233827"/>
    <w:rsid w:val="00234A5E"/>
    <w:rsid w:val="00236072"/>
    <w:rsid w:val="0023672E"/>
    <w:rsid w:val="00236AB3"/>
    <w:rsid w:val="0023726C"/>
    <w:rsid w:val="0023731A"/>
    <w:rsid w:val="002436F0"/>
    <w:rsid w:val="0024511F"/>
    <w:rsid w:val="00245E73"/>
    <w:rsid w:val="00246135"/>
    <w:rsid w:val="00247F4E"/>
    <w:rsid w:val="00251E92"/>
    <w:rsid w:val="0025220B"/>
    <w:rsid w:val="00252B39"/>
    <w:rsid w:val="00253884"/>
    <w:rsid w:val="00254AC2"/>
    <w:rsid w:val="00255186"/>
    <w:rsid w:val="0025525B"/>
    <w:rsid w:val="00257569"/>
    <w:rsid w:val="00261DFE"/>
    <w:rsid w:val="00264F9E"/>
    <w:rsid w:val="00265CC8"/>
    <w:rsid w:val="0027242A"/>
    <w:rsid w:val="0027261C"/>
    <w:rsid w:val="00272A58"/>
    <w:rsid w:val="00273534"/>
    <w:rsid w:val="00273AD0"/>
    <w:rsid w:val="002759E3"/>
    <w:rsid w:val="0027740D"/>
    <w:rsid w:val="002822AF"/>
    <w:rsid w:val="00282BD9"/>
    <w:rsid w:val="002842AF"/>
    <w:rsid w:val="00286F66"/>
    <w:rsid w:val="00287878"/>
    <w:rsid w:val="00290101"/>
    <w:rsid w:val="002940E8"/>
    <w:rsid w:val="00296C15"/>
    <w:rsid w:val="002A0E19"/>
    <w:rsid w:val="002A1877"/>
    <w:rsid w:val="002A2EF8"/>
    <w:rsid w:val="002A3E67"/>
    <w:rsid w:val="002A616F"/>
    <w:rsid w:val="002B3207"/>
    <w:rsid w:val="002B346A"/>
    <w:rsid w:val="002B351E"/>
    <w:rsid w:val="002B4426"/>
    <w:rsid w:val="002B5644"/>
    <w:rsid w:val="002B5F4F"/>
    <w:rsid w:val="002B740B"/>
    <w:rsid w:val="002C187A"/>
    <w:rsid w:val="002C20A8"/>
    <w:rsid w:val="002C32A2"/>
    <w:rsid w:val="002C4F29"/>
    <w:rsid w:val="002C5DD0"/>
    <w:rsid w:val="002C7051"/>
    <w:rsid w:val="002C7E12"/>
    <w:rsid w:val="002D24AB"/>
    <w:rsid w:val="002D2FBB"/>
    <w:rsid w:val="002D3CA5"/>
    <w:rsid w:val="002D4247"/>
    <w:rsid w:val="002D68D7"/>
    <w:rsid w:val="002E10E6"/>
    <w:rsid w:val="002E1CED"/>
    <w:rsid w:val="002E5250"/>
    <w:rsid w:val="002E5FF4"/>
    <w:rsid w:val="002E61AA"/>
    <w:rsid w:val="002E6F58"/>
    <w:rsid w:val="002E745D"/>
    <w:rsid w:val="002F01E2"/>
    <w:rsid w:val="002F02BD"/>
    <w:rsid w:val="002F10F6"/>
    <w:rsid w:val="002F15D9"/>
    <w:rsid w:val="002F26EC"/>
    <w:rsid w:val="002F42EA"/>
    <w:rsid w:val="002F5553"/>
    <w:rsid w:val="002F6BF2"/>
    <w:rsid w:val="00303E34"/>
    <w:rsid w:val="003040D8"/>
    <w:rsid w:val="0030455E"/>
    <w:rsid w:val="00305626"/>
    <w:rsid w:val="0031092B"/>
    <w:rsid w:val="00311384"/>
    <w:rsid w:val="00312398"/>
    <w:rsid w:val="00313441"/>
    <w:rsid w:val="00316D58"/>
    <w:rsid w:val="00317E94"/>
    <w:rsid w:val="003212BB"/>
    <w:rsid w:val="00321C92"/>
    <w:rsid w:val="00321DEA"/>
    <w:rsid w:val="003235DF"/>
    <w:rsid w:val="00323ABC"/>
    <w:rsid w:val="00324A7C"/>
    <w:rsid w:val="00324FE5"/>
    <w:rsid w:val="00326C65"/>
    <w:rsid w:val="00330EE1"/>
    <w:rsid w:val="003318DE"/>
    <w:rsid w:val="00333EC9"/>
    <w:rsid w:val="0033515C"/>
    <w:rsid w:val="00336BF8"/>
    <w:rsid w:val="00340E8B"/>
    <w:rsid w:val="003422DF"/>
    <w:rsid w:val="00342356"/>
    <w:rsid w:val="00343425"/>
    <w:rsid w:val="0034386B"/>
    <w:rsid w:val="00346D73"/>
    <w:rsid w:val="003473C6"/>
    <w:rsid w:val="00355AA2"/>
    <w:rsid w:val="0035676B"/>
    <w:rsid w:val="0036215D"/>
    <w:rsid w:val="0036386A"/>
    <w:rsid w:val="00363DF6"/>
    <w:rsid w:val="00365400"/>
    <w:rsid w:val="00366549"/>
    <w:rsid w:val="00372156"/>
    <w:rsid w:val="003722AE"/>
    <w:rsid w:val="00372CC2"/>
    <w:rsid w:val="00372E33"/>
    <w:rsid w:val="0037561F"/>
    <w:rsid w:val="00375D7A"/>
    <w:rsid w:val="00380849"/>
    <w:rsid w:val="003818DB"/>
    <w:rsid w:val="003834CD"/>
    <w:rsid w:val="00383908"/>
    <w:rsid w:val="003856BC"/>
    <w:rsid w:val="00391614"/>
    <w:rsid w:val="003966E6"/>
    <w:rsid w:val="003968D7"/>
    <w:rsid w:val="003A4A4E"/>
    <w:rsid w:val="003A613D"/>
    <w:rsid w:val="003A6341"/>
    <w:rsid w:val="003B2D48"/>
    <w:rsid w:val="003B3A5F"/>
    <w:rsid w:val="003B5338"/>
    <w:rsid w:val="003B61A9"/>
    <w:rsid w:val="003C0D4D"/>
    <w:rsid w:val="003C2949"/>
    <w:rsid w:val="003C2E58"/>
    <w:rsid w:val="003C5283"/>
    <w:rsid w:val="003C5CC6"/>
    <w:rsid w:val="003D0880"/>
    <w:rsid w:val="003D12C7"/>
    <w:rsid w:val="003D228B"/>
    <w:rsid w:val="003D48B2"/>
    <w:rsid w:val="003D4CD7"/>
    <w:rsid w:val="003D4D7C"/>
    <w:rsid w:val="003D5822"/>
    <w:rsid w:val="003D5D0F"/>
    <w:rsid w:val="003D68FF"/>
    <w:rsid w:val="003F08B1"/>
    <w:rsid w:val="003F21BE"/>
    <w:rsid w:val="003F36FB"/>
    <w:rsid w:val="003F660A"/>
    <w:rsid w:val="003F6C22"/>
    <w:rsid w:val="004017BD"/>
    <w:rsid w:val="00402083"/>
    <w:rsid w:val="004023AC"/>
    <w:rsid w:val="00402514"/>
    <w:rsid w:val="0040513F"/>
    <w:rsid w:val="00405DE7"/>
    <w:rsid w:val="00411A5F"/>
    <w:rsid w:val="00413EAF"/>
    <w:rsid w:val="00414097"/>
    <w:rsid w:val="0041525A"/>
    <w:rsid w:val="00417AF8"/>
    <w:rsid w:val="00420B3C"/>
    <w:rsid w:val="004213AF"/>
    <w:rsid w:val="00424932"/>
    <w:rsid w:val="004255B1"/>
    <w:rsid w:val="00425AF8"/>
    <w:rsid w:val="00430D83"/>
    <w:rsid w:val="0043161C"/>
    <w:rsid w:val="00437FF5"/>
    <w:rsid w:val="00444467"/>
    <w:rsid w:val="0046101E"/>
    <w:rsid w:val="00461944"/>
    <w:rsid w:val="00464188"/>
    <w:rsid w:val="0046442C"/>
    <w:rsid w:val="004659CE"/>
    <w:rsid w:val="00470EC3"/>
    <w:rsid w:val="00471659"/>
    <w:rsid w:val="0047788C"/>
    <w:rsid w:val="00477944"/>
    <w:rsid w:val="00477CF8"/>
    <w:rsid w:val="00480A02"/>
    <w:rsid w:val="0048168F"/>
    <w:rsid w:val="00483084"/>
    <w:rsid w:val="00484092"/>
    <w:rsid w:val="00484169"/>
    <w:rsid w:val="00490188"/>
    <w:rsid w:val="00495AC5"/>
    <w:rsid w:val="00495D72"/>
    <w:rsid w:val="004965A3"/>
    <w:rsid w:val="004A00A8"/>
    <w:rsid w:val="004A210E"/>
    <w:rsid w:val="004A2216"/>
    <w:rsid w:val="004A49E6"/>
    <w:rsid w:val="004B1E1E"/>
    <w:rsid w:val="004B377D"/>
    <w:rsid w:val="004B5601"/>
    <w:rsid w:val="004B5B20"/>
    <w:rsid w:val="004C16F1"/>
    <w:rsid w:val="004C3DC3"/>
    <w:rsid w:val="004C4F3B"/>
    <w:rsid w:val="004D141E"/>
    <w:rsid w:val="004D1989"/>
    <w:rsid w:val="004D4FDD"/>
    <w:rsid w:val="004E33A8"/>
    <w:rsid w:val="004E3B3E"/>
    <w:rsid w:val="004E3BD7"/>
    <w:rsid w:val="004E6614"/>
    <w:rsid w:val="004E6996"/>
    <w:rsid w:val="004F016F"/>
    <w:rsid w:val="004F6A9C"/>
    <w:rsid w:val="004F7D22"/>
    <w:rsid w:val="00505758"/>
    <w:rsid w:val="0051044B"/>
    <w:rsid w:val="005129DA"/>
    <w:rsid w:val="00513612"/>
    <w:rsid w:val="00513D8E"/>
    <w:rsid w:val="00515EEF"/>
    <w:rsid w:val="005174D6"/>
    <w:rsid w:val="0051786C"/>
    <w:rsid w:val="005208FF"/>
    <w:rsid w:val="00521468"/>
    <w:rsid w:val="005216B2"/>
    <w:rsid w:val="00523821"/>
    <w:rsid w:val="00526655"/>
    <w:rsid w:val="00526735"/>
    <w:rsid w:val="00526B32"/>
    <w:rsid w:val="00527E52"/>
    <w:rsid w:val="0053126F"/>
    <w:rsid w:val="00535054"/>
    <w:rsid w:val="005357D9"/>
    <w:rsid w:val="00535829"/>
    <w:rsid w:val="00536175"/>
    <w:rsid w:val="00541F2E"/>
    <w:rsid w:val="00542248"/>
    <w:rsid w:val="0054416C"/>
    <w:rsid w:val="00544390"/>
    <w:rsid w:val="00544781"/>
    <w:rsid w:val="005460E0"/>
    <w:rsid w:val="0054610B"/>
    <w:rsid w:val="005470AF"/>
    <w:rsid w:val="0054730F"/>
    <w:rsid w:val="00550982"/>
    <w:rsid w:val="0055185F"/>
    <w:rsid w:val="00553A7C"/>
    <w:rsid w:val="00553D53"/>
    <w:rsid w:val="005544CC"/>
    <w:rsid w:val="00557130"/>
    <w:rsid w:val="0056086D"/>
    <w:rsid w:val="00561C6B"/>
    <w:rsid w:val="005702AC"/>
    <w:rsid w:val="0057086A"/>
    <w:rsid w:val="005718ED"/>
    <w:rsid w:val="00572BB8"/>
    <w:rsid w:val="00575483"/>
    <w:rsid w:val="0058153F"/>
    <w:rsid w:val="0058301B"/>
    <w:rsid w:val="005863EF"/>
    <w:rsid w:val="00587533"/>
    <w:rsid w:val="00587FB4"/>
    <w:rsid w:val="00590937"/>
    <w:rsid w:val="00590B22"/>
    <w:rsid w:val="0059166A"/>
    <w:rsid w:val="00592733"/>
    <w:rsid w:val="00593B47"/>
    <w:rsid w:val="00593B59"/>
    <w:rsid w:val="00595DBA"/>
    <w:rsid w:val="00596FE2"/>
    <w:rsid w:val="005A0988"/>
    <w:rsid w:val="005A2439"/>
    <w:rsid w:val="005A2661"/>
    <w:rsid w:val="005A2682"/>
    <w:rsid w:val="005A26F8"/>
    <w:rsid w:val="005A56E0"/>
    <w:rsid w:val="005A7DA6"/>
    <w:rsid w:val="005B0A1B"/>
    <w:rsid w:val="005B68AE"/>
    <w:rsid w:val="005B77BB"/>
    <w:rsid w:val="005C187A"/>
    <w:rsid w:val="005C1FC7"/>
    <w:rsid w:val="005C2D9D"/>
    <w:rsid w:val="005C2DEC"/>
    <w:rsid w:val="005C4963"/>
    <w:rsid w:val="005C4BBA"/>
    <w:rsid w:val="005C5EF4"/>
    <w:rsid w:val="005C68B4"/>
    <w:rsid w:val="005C790E"/>
    <w:rsid w:val="005D0A2C"/>
    <w:rsid w:val="005D2343"/>
    <w:rsid w:val="005D545C"/>
    <w:rsid w:val="005E09CB"/>
    <w:rsid w:val="005E3B28"/>
    <w:rsid w:val="005F0CC2"/>
    <w:rsid w:val="005F439F"/>
    <w:rsid w:val="005F6FC6"/>
    <w:rsid w:val="005F7095"/>
    <w:rsid w:val="005F77DA"/>
    <w:rsid w:val="00601AEB"/>
    <w:rsid w:val="0060220E"/>
    <w:rsid w:val="00605275"/>
    <w:rsid w:val="0060621D"/>
    <w:rsid w:val="006073A2"/>
    <w:rsid w:val="006073AB"/>
    <w:rsid w:val="0060796B"/>
    <w:rsid w:val="006100F5"/>
    <w:rsid w:val="0061467E"/>
    <w:rsid w:val="00615C30"/>
    <w:rsid w:val="00615F2F"/>
    <w:rsid w:val="006165EF"/>
    <w:rsid w:val="0062007C"/>
    <w:rsid w:val="00620308"/>
    <w:rsid w:val="00624881"/>
    <w:rsid w:val="00624B2F"/>
    <w:rsid w:val="00624F31"/>
    <w:rsid w:val="00626B3F"/>
    <w:rsid w:val="00627A1C"/>
    <w:rsid w:val="00632971"/>
    <w:rsid w:val="00635112"/>
    <w:rsid w:val="00642759"/>
    <w:rsid w:val="00643A9E"/>
    <w:rsid w:val="00646FF7"/>
    <w:rsid w:val="00647D0A"/>
    <w:rsid w:val="006500AC"/>
    <w:rsid w:val="00651323"/>
    <w:rsid w:val="00653B2E"/>
    <w:rsid w:val="006569E4"/>
    <w:rsid w:val="00656A65"/>
    <w:rsid w:val="006578BB"/>
    <w:rsid w:val="00657A0F"/>
    <w:rsid w:val="006645BE"/>
    <w:rsid w:val="006648F5"/>
    <w:rsid w:val="00664EA0"/>
    <w:rsid w:val="00665F62"/>
    <w:rsid w:val="006673EC"/>
    <w:rsid w:val="0067044E"/>
    <w:rsid w:val="00670D17"/>
    <w:rsid w:val="00670E78"/>
    <w:rsid w:val="00671040"/>
    <w:rsid w:val="0067321D"/>
    <w:rsid w:val="006734B3"/>
    <w:rsid w:val="0067356E"/>
    <w:rsid w:val="00673D6E"/>
    <w:rsid w:val="0067639A"/>
    <w:rsid w:val="0067685D"/>
    <w:rsid w:val="006811AD"/>
    <w:rsid w:val="006907EE"/>
    <w:rsid w:val="00691C2F"/>
    <w:rsid w:val="0069268A"/>
    <w:rsid w:val="006947B7"/>
    <w:rsid w:val="006969E7"/>
    <w:rsid w:val="006A07CA"/>
    <w:rsid w:val="006A0DD0"/>
    <w:rsid w:val="006A1838"/>
    <w:rsid w:val="006A207B"/>
    <w:rsid w:val="006A29AB"/>
    <w:rsid w:val="006A2E42"/>
    <w:rsid w:val="006A5032"/>
    <w:rsid w:val="006A5B0E"/>
    <w:rsid w:val="006B220E"/>
    <w:rsid w:val="006B4DED"/>
    <w:rsid w:val="006C1819"/>
    <w:rsid w:val="006C29FB"/>
    <w:rsid w:val="006C5142"/>
    <w:rsid w:val="006C6D5A"/>
    <w:rsid w:val="006D0366"/>
    <w:rsid w:val="006D0CEC"/>
    <w:rsid w:val="006D3593"/>
    <w:rsid w:val="006D3F0B"/>
    <w:rsid w:val="006D4D6F"/>
    <w:rsid w:val="006D5799"/>
    <w:rsid w:val="006D60AB"/>
    <w:rsid w:val="006D6A7A"/>
    <w:rsid w:val="006D6B92"/>
    <w:rsid w:val="006E0F84"/>
    <w:rsid w:val="006E0F85"/>
    <w:rsid w:val="006E10BF"/>
    <w:rsid w:val="006E2489"/>
    <w:rsid w:val="006E4DA8"/>
    <w:rsid w:val="006E656C"/>
    <w:rsid w:val="006E7CF8"/>
    <w:rsid w:val="006F0257"/>
    <w:rsid w:val="006F0654"/>
    <w:rsid w:val="006F0B62"/>
    <w:rsid w:val="006F0F2D"/>
    <w:rsid w:val="006F1516"/>
    <w:rsid w:val="006F3A61"/>
    <w:rsid w:val="006F4A07"/>
    <w:rsid w:val="006F690E"/>
    <w:rsid w:val="006F74C9"/>
    <w:rsid w:val="00700B93"/>
    <w:rsid w:val="007021D0"/>
    <w:rsid w:val="00702F9E"/>
    <w:rsid w:val="00704061"/>
    <w:rsid w:val="00705BC4"/>
    <w:rsid w:val="007065B1"/>
    <w:rsid w:val="007073F6"/>
    <w:rsid w:val="007118F5"/>
    <w:rsid w:val="0071286E"/>
    <w:rsid w:val="007133CF"/>
    <w:rsid w:val="0071506D"/>
    <w:rsid w:val="00715EC6"/>
    <w:rsid w:val="00720431"/>
    <w:rsid w:val="00721563"/>
    <w:rsid w:val="007275D3"/>
    <w:rsid w:val="007308CD"/>
    <w:rsid w:val="0073119E"/>
    <w:rsid w:val="007315FE"/>
    <w:rsid w:val="007317AD"/>
    <w:rsid w:val="00733DB4"/>
    <w:rsid w:val="00734278"/>
    <w:rsid w:val="00734F55"/>
    <w:rsid w:val="00740B1E"/>
    <w:rsid w:val="0074108E"/>
    <w:rsid w:val="00741135"/>
    <w:rsid w:val="00742F27"/>
    <w:rsid w:val="00742FDD"/>
    <w:rsid w:val="007435E3"/>
    <w:rsid w:val="00744AB6"/>
    <w:rsid w:val="007451EC"/>
    <w:rsid w:val="00745803"/>
    <w:rsid w:val="00745D97"/>
    <w:rsid w:val="00747BEF"/>
    <w:rsid w:val="00751279"/>
    <w:rsid w:val="00751324"/>
    <w:rsid w:val="00751DAF"/>
    <w:rsid w:val="00752D4E"/>
    <w:rsid w:val="00753159"/>
    <w:rsid w:val="0075539F"/>
    <w:rsid w:val="007569BB"/>
    <w:rsid w:val="00761508"/>
    <w:rsid w:val="007626C9"/>
    <w:rsid w:val="00764773"/>
    <w:rsid w:val="00764B9C"/>
    <w:rsid w:val="0076624E"/>
    <w:rsid w:val="007712FB"/>
    <w:rsid w:val="007717E2"/>
    <w:rsid w:val="007740D4"/>
    <w:rsid w:val="007756B0"/>
    <w:rsid w:val="00776497"/>
    <w:rsid w:val="007811F3"/>
    <w:rsid w:val="00782E30"/>
    <w:rsid w:val="00785E5E"/>
    <w:rsid w:val="0078600B"/>
    <w:rsid w:val="00790676"/>
    <w:rsid w:val="007907B9"/>
    <w:rsid w:val="00791410"/>
    <w:rsid w:val="00791C1D"/>
    <w:rsid w:val="007937AE"/>
    <w:rsid w:val="00793BB4"/>
    <w:rsid w:val="00793DE6"/>
    <w:rsid w:val="00793E8B"/>
    <w:rsid w:val="007958F2"/>
    <w:rsid w:val="007A1B5F"/>
    <w:rsid w:val="007A3386"/>
    <w:rsid w:val="007A3A3A"/>
    <w:rsid w:val="007A4F3E"/>
    <w:rsid w:val="007A5816"/>
    <w:rsid w:val="007A5985"/>
    <w:rsid w:val="007A777F"/>
    <w:rsid w:val="007B10F6"/>
    <w:rsid w:val="007B1BE5"/>
    <w:rsid w:val="007B368E"/>
    <w:rsid w:val="007B5D05"/>
    <w:rsid w:val="007B5D11"/>
    <w:rsid w:val="007C0502"/>
    <w:rsid w:val="007C0BEE"/>
    <w:rsid w:val="007C10F6"/>
    <w:rsid w:val="007C288F"/>
    <w:rsid w:val="007C304F"/>
    <w:rsid w:val="007C734E"/>
    <w:rsid w:val="007C78D3"/>
    <w:rsid w:val="007D127B"/>
    <w:rsid w:val="007D1FD5"/>
    <w:rsid w:val="007D2DD6"/>
    <w:rsid w:val="007D4AF7"/>
    <w:rsid w:val="007D5138"/>
    <w:rsid w:val="007D5C7C"/>
    <w:rsid w:val="007D6A05"/>
    <w:rsid w:val="007D6E52"/>
    <w:rsid w:val="007E0AC3"/>
    <w:rsid w:val="007E1330"/>
    <w:rsid w:val="007E3EB8"/>
    <w:rsid w:val="007E4FA1"/>
    <w:rsid w:val="007E7BE8"/>
    <w:rsid w:val="007F4C86"/>
    <w:rsid w:val="007F6F6D"/>
    <w:rsid w:val="007F7257"/>
    <w:rsid w:val="008020B0"/>
    <w:rsid w:val="008045B2"/>
    <w:rsid w:val="00805ADB"/>
    <w:rsid w:val="00805E2D"/>
    <w:rsid w:val="008079AD"/>
    <w:rsid w:val="00812452"/>
    <w:rsid w:val="008145D5"/>
    <w:rsid w:val="00817132"/>
    <w:rsid w:val="008179C8"/>
    <w:rsid w:val="0082567E"/>
    <w:rsid w:val="00826135"/>
    <w:rsid w:val="0083461E"/>
    <w:rsid w:val="00834A9F"/>
    <w:rsid w:val="008364E5"/>
    <w:rsid w:val="00837B04"/>
    <w:rsid w:val="0084221C"/>
    <w:rsid w:val="00842B44"/>
    <w:rsid w:val="00842C3A"/>
    <w:rsid w:val="00843374"/>
    <w:rsid w:val="0084393C"/>
    <w:rsid w:val="00847A89"/>
    <w:rsid w:val="00853068"/>
    <w:rsid w:val="00856045"/>
    <w:rsid w:val="00861669"/>
    <w:rsid w:val="008632DB"/>
    <w:rsid w:val="008640A5"/>
    <w:rsid w:val="00864162"/>
    <w:rsid w:val="00865821"/>
    <w:rsid w:val="00865FA0"/>
    <w:rsid w:val="008664A8"/>
    <w:rsid w:val="00866E96"/>
    <w:rsid w:val="008679E8"/>
    <w:rsid w:val="0087300C"/>
    <w:rsid w:val="00874634"/>
    <w:rsid w:val="00875EA5"/>
    <w:rsid w:val="00877BF7"/>
    <w:rsid w:val="00881D4B"/>
    <w:rsid w:val="008840DF"/>
    <w:rsid w:val="00891AE7"/>
    <w:rsid w:val="008A1155"/>
    <w:rsid w:val="008A3181"/>
    <w:rsid w:val="008A5EDD"/>
    <w:rsid w:val="008B1B75"/>
    <w:rsid w:val="008B3518"/>
    <w:rsid w:val="008B5A12"/>
    <w:rsid w:val="008B753B"/>
    <w:rsid w:val="008B7E23"/>
    <w:rsid w:val="008B7E47"/>
    <w:rsid w:val="008C782A"/>
    <w:rsid w:val="008D06AF"/>
    <w:rsid w:val="008D0F2A"/>
    <w:rsid w:val="008D5278"/>
    <w:rsid w:val="008E1083"/>
    <w:rsid w:val="008E3872"/>
    <w:rsid w:val="008E3C99"/>
    <w:rsid w:val="008E5442"/>
    <w:rsid w:val="008E729D"/>
    <w:rsid w:val="008E7810"/>
    <w:rsid w:val="008F3813"/>
    <w:rsid w:val="008F5112"/>
    <w:rsid w:val="008F6703"/>
    <w:rsid w:val="00900D78"/>
    <w:rsid w:val="00901C1E"/>
    <w:rsid w:val="00903169"/>
    <w:rsid w:val="00905EC7"/>
    <w:rsid w:val="00910DC6"/>
    <w:rsid w:val="00910FE1"/>
    <w:rsid w:val="00911B1C"/>
    <w:rsid w:val="0091229B"/>
    <w:rsid w:val="00912D25"/>
    <w:rsid w:val="0091544C"/>
    <w:rsid w:val="00915C96"/>
    <w:rsid w:val="00915D77"/>
    <w:rsid w:val="0091696D"/>
    <w:rsid w:val="00916DF8"/>
    <w:rsid w:val="0091758E"/>
    <w:rsid w:val="009216A8"/>
    <w:rsid w:val="00921C68"/>
    <w:rsid w:val="0092673B"/>
    <w:rsid w:val="0093134E"/>
    <w:rsid w:val="00931786"/>
    <w:rsid w:val="009318DE"/>
    <w:rsid w:val="00935F7F"/>
    <w:rsid w:val="00937ABE"/>
    <w:rsid w:val="009401A3"/>
    <w:rsid w:val="0094196C"/>
    <w:rsid w:val="009421B7"/>
    <w:rsid w:val="00945925"/>
    <w:rsid w:val="00946638"/>
    <w:rsid w:val="00952DE4"/>
    <w:rsid w:val="009568EF"/>
    <w:rsid w:val="00956B79"/>
    <w:rsid w:val="00965A87"/>
    <w:rsid w:val="00965F6B"/>
    <w:rsid w:val="00970681"/>
    <w:rsid w:val="00970F4C"/>
    <w:rsid w:val="0097130A"/>
    <w:rsid w:val="009740E5"/>
    <w:rsid w:val="00974D94"/>
    <w:rsid w:val="009774FE"/>
    <w:rsid w:val="009832F8"/>
    <w:rsid w:val="009839DA"/>
    <w:rsid w:val="00985E49"/>
    <w:rsid w:val="00991418"/>
    <w:rsid w:val="00994476"/>
    <w:rsid w:val="00994B0E"/>
    <w:rsid w:val="0099700D"/>
    <w:rsid w:val="00997347"/>
    <w:rsid w:val="009978AA"/>
    <w:rsid w:val="009A012A"/>
    <w:rsid w:val="009A0FA7"/>
    <w:rsid w:val="009A1CD3"/>
    <w:rsid w:val="009A44A4"/>
    <w:rsid w:val="009A4A5D"/>
    <w:rsid w:val="009A5EEF"/>
    <w:rsid w:val="009B18EB"/>
    <w:rsid w:val="009B47BC"/>
    <w:rsid w:val="009B5D1A"/>
    <w:rsid w:val="009C153E"/>
    <w:rsid w:val="009C28DE"/>
    <w:rsid w:val="009C2C5E"/>
    <w:rsid w:val="009C4A62"/>
    <w:rsid w:val="009D0838"/>
    <w:rsid w:val="009D0C9F"/>
    <w:rsid w:val="009D10B2"/>
    <w:rsid w:val="009D2543"/>
    <w:rsid w:val="009D64E4"/>
    <w:rsid w:val="009D6BFA"/>
    <w:rsid w:val="009D6EC7"/>
    <w:rsid w:val="009E20F1"/>
    <w:rsid w:val="009E260E"/>
    <w:rsid w:val="009E38EA"/>
    <w:rsid w:val="009E5594"/>
    <w:rsid w:val="009F517D"/>
    <w:rsid w:val="009F6554"/>
    <w:rsid w:val="009F744F"/>
    <w:rsid w:val="009F7F98"/>
    <w:rsid w:val="00A02F58"/>
    <w:rsid w:val="00A032AE"/>
    <w:rsid w:val="00A036E0"/>
    <w:rsid w:val="00A055CC"/>
    <w:rsid w:val="00A1088A"/>
    <w:rsid w:val="00A10DAC"/>
    <w:rsid w:val="00A13EE4"/>
    <w:rsid w:val="00A16C46"/>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38E"/>
    <w:rsid w:val="00A64309"/>
    <w:rsid w:val="00A64A02"/>
    <w:rsid w:val="00A656C0"/>
    <w:rsid w:val="00A66688"/>
    <w:rsid w:val="00A67A73"/>
    <w:rsid w:val="00A710EB"/>
    <w:rsid w:val="00A77540"/>
    <w:rsid w:val="00A7784A"/>
    <w:rsid w:val="00A81DF0"/>
    <w:rsid w:val="00A8266F"/>
    <w:rsid w:val="00A843B5"/>
    <w:rsid w:val="00A855EA"/>
    <w:rsid w:val="00A862B2"/>
    <w:rsid w:val="00A86B3F"/>
    <w:rsid w:val="00A86F4D"/>
    <w:rsid w:val="00A9067B"/>
    <w:rsid w:val="00A90E80"/>
    <w:rsid w:val="00A91FCD"/>
    <w:rsid w:val="00A92A40"/>
    <w:rsid w:val="00A95AB0"/>
    <w:rsid w:val="00A96579"/>
    <w:rsid w:val="00A9791E"/>
    <w:rsid w:val="00AA1DFA"/>
    <w:rsid w:val="00AA2260"/>
    <w:rsid w:val="00AA363D"/>
    <w:rsid w:val="00AA5339"/>
    <w:rsid w:val="00AA5E93"/>
    <w:rsid w:val="00AA7C77"/>
    <w:rsid w:val="00AB11D7"/>
    <w:rsid w:val="00AB1368"/>
    <w:rsid w:val="00AB37F4"/>
    <w:rsid w:val="00AB6561"/>
    <w:rsid w:val="00AB6BAD"/>
    <w:rsid w:val="00AC3604"/>
    <w:rsid w:val="00AC433F"/>
    <w:rsid w:val="00AC4B04"/>
    <w:rsid w:val="00AC5D55"/>
    <w:rsid w:val="00AC6F26"/>
    <w:rsid w:val="00AD0A31"/>
    <w:rsid w:val="00AD1B06"/>
    <w:rsid w:val="00AD3517"/>
    <w:rsid w:val="00AD3604"/>
    <w:rsid w:val="00AD6104"/>
    <w:rsid w:val="00AD6C55"/>
    <w:rsid w:val="00AD73D3"/>
    <w:rsid w:val="00AE0D84"/>
    <w:rsid w:val="00AE300F"/>
    <w:rsid w:val="00AF2D89"/>
    <w:rsid w:val="00AF7BE6"/>
    <w:rsid w:val="00AF7DA4"/>
    <w:rsid w:val="00B007C8"/>
    <w:rsid w:val="00B00EBD"/>
    <w:rsid w:val="00B03657"/>
    <w:rsid w:val="00B0370E"/>
    <w:rsid w:val="00B03E68"/>
    <w:rsid w:val="00B0520C"/>
    <w:rsid w:val="00B05E35"/>
    <w:rsid w:val="00B124BD"/>
    <w:rsid w:val="00B12FB8"/>
    <w:rsid w:val="00B16CAD"/>
    <w:rsid w:val="00B221F0"/>
    <w:rsid w:val="00B22390"/>
    <w:rsid w:val="00B23A14"/>
    <w:rsid w:val="00B23F0B"/>
    <w:rsid w:val="00B244A1"/>
    <w:rsid w:val="00B24F72"/>
    <w:rsid w:val="00B27419"/>
    <w:rsid w:val="00B329B9"/>
    <w:rsid w:val="00B349B9"/>
    <w:rsid w:val="00B37406"/>
    <w:rsid w:val="00B404DF"/>
    <w:rsid w:val="00B419C8"/>
    <w:rsid w:val="00B4227A"/>
    <w:rsid w:val="00B43B8D"/>
    <w:rsid w:val="00B43EEA"/>
    <w:rsid w:val="00B43F6D"/>
    <w:rsid w:val="00B442A2"/>
    <w:rsid w:val="00B46712"/>
    <w:rsid w:val="00B50D5A"/>
    <w:rsid w:val="00B56DE1"/>
    <w:rsid w:val="00B639E5"/>
    <w:rsid w:val="00B6401E"/>
    <w:rsid w:val="00B64430"/>
    <w:rsid w:val="00B652A1"/>
    <w:rsid w:val="00B66B05"/>
    <w:rsid w:val="00B66B4B"/>
    <w:rsid w:val="00B673D5"/>
    <w:rsid w:val="00B67775"/>
    <w:rsid w:val="00B702C0"/>
    <w:rsid w:val="00B735DD"/>
    <w:rsid w:val="00B737D1"/>
    <w:rsid w:val="00B7459B"/>
    <w:rsid w:val="00B749E2"/>
    <w:rsid w:val="00B74CBF"/>
    <w:rsid w:val="00B74CE9"/>
    <w:rsid w:val="00B7553C"/>
    <w:rsid w:val="00B75C20"/>
    <w:rsid w:val="00B81378"/>
    <w:rsid w:val="00B82635"/>
    <w:rsid w:val="00B82C51"/>
    <w:rsid w:val="00B8645A"/>
    <w:rsid w:val="00B91756"/>
    <w:rsid w:val="00B91F39"/>
    <w:rsid w:val="00BA1E2B"/>
    <w:rsid w:val="00BA4F96"/>
    <w:rsid w:val="00BA5D85"/>
    <w:rsid w:val="00BA6688"/>
    <w:rsid w:val="00BA6F4B"/>
    <w:rsid w:val="00BB67C8"/>
    <w:rsid w:val="00BC1A5D"/>
    <w:rsid w:val="00BC1AF5"/>
    <w:rsid w:val="00BC34D3"/>
    <w:rsid w:val="00BC6808"/>
    <w:rsid w:val="00BC71E1"/>
    <w:rsid w:val="00BD20D9"/>
    <w:rsid w:val="00BD2962"/>
    <w:rsid w:val="00BD5D49"/>
    <w:rsid w:val="00BD643D"/>
    <w:rsid w:val="00BE102E"/>
    <w:rsid w:val="00BE17C0"/>
    <w:rsid w:val="00BE28AA"/>
    <w:rsid w:val="00BE41D3"/>
    <w:rsid w:val="00BE720A"/>
    <w:rsid w:val="00BE7698"/>
    <w:rsid w:val="00BF1BFB"/>
    <w:rsid w:val="00BF41E2"/>
    <w:rsid w:val="00BF43F8"/>
    <w:rsid w:val="00BF644C"/>
    <w:rsid w:val="00C03A93"/>
    <w:rsid w:val="00C06882"/>
    <w:rsid w:val="00C07A0C"/>
    <w:rsid w:val="00C107F6"/>
    <w:rsid w:val="00C12D6A"/>
    <w:rsid w:val="00C13590"/>
    <w:rsid w:val="00C145CF"/>
    <w:rsid w:val="00C221D7"/>
    <w:rsid w:val="00C2331C"/>
    <w:rsid w:val="00C2468D"/>
    <w:rsid w:val="00C27302"/>
    <w:rsid w:val="00C27EC6"/>
    <w:rsid w:val="00C30188"/>
    <w:rsid w:val="00C30240"/>
    <w:rsid w:val="00C30F72"/>
    <w:rsid w:val="00C312C0"/>
    <w:rsid w:val="00C32A87"/>
    <w:rsid w:val="00C36956"/>
    <w:rsid w:val="00C41926"/>
    <w:rsid w:val="00C42FB9"/>
    <w:rsid w:val="00C45443"/>
    <w:rsid w:val="00C46A23"/>
    <w:rsid w:val="00C50E16"/>
    <w:rsid w:val="00C52BDA"/>
    <w:rsid w:val="00C55E8E"/>
    <w:rsid w:val="00C571DC"/>
    <w:rsid w:val="00C578BE"/>
    <w:rsid w:val="00C61129"/>
    <w:rsid w:val="00C640B2"/>
    <w:rsid w:val="00C64975"/>
    <w:rsid w:val="00C66A98"/>
    <w:rsid w:val="00C70889"/>
    <w:rsid w:val="00C70E7A"/>
    <w:rsid w:val="00C72CF8"/>
    <w:rsid w:val="00C74E37"/>
    <w:rsid w:val="00C75F0F"/>
    <w:rsid w:val="00C812F5"/>
    <w:rsid w:val="00C846A4"/>
    <w:rsid w:val="00C847EE"/>
    <w:rsid w:val="00C85358"/>
    <w:rsid w:val="00C853D5"/>
    <w:rsid w:val="00C92161"/>
    <w:rsid w:val="00C9624D"/>
    <w:rsid w:val="00C96336"/>
    <w:rsid w:val="00CA18AB"/>
    <w:rsid w:val="00CA1B43"/>
    <w:rsid w:val="00CA6C99"/>
    <w:rsid w:val="00CB02F7"/>
    <w:rsid w:val="00CB25A2"/>
    <w:rsid w:val="00CB4B5C"/>
    <w:rsid w:val="00CC056B"/>
    <w:rsid w:val="00CC2015"/>
    <w:rsid w:val="00CC26EB"/>
    <w:rsid w:val="00CC5971"/>
    <w:rsid w:val="00CC59E5"/>
    <w:rsid w:val="00CD212F"/>
    <w:rsid w:val="00CD2F67"/>
    <w:rsid w:val="00CD3754"/>
    <w:rsid w:val="00CD59FD"/>
    <w:rsid w:val="00CD5E04"/>
    <w:rsid w:val="00CD5E74"/>
    <w:rsid w:val="00CE0239"/>
    <w:rsid w:val="00CE132D"/>
    <w:rsid w:val="00CE16A8"/>
    <w:rsid w:val="00CE3BEA"/>
    <w:rsid w:val="00CE3D1A"/>
    <w:rsid w:val="00CE499C"/>
    <w:rsid w:val="00CF04AE"/>
    <w:rsid w:val="00CF073D"/>
    <w:rsid w:val="00D03D06"/>
    <w:rsid w:val="00D041E8"/>
    <w:rsid w:val="00D06A43"/>
    <w:rsid w:val="00D079BC"/>
    <w:rsid w:val="00D114C8"/>
    <w:rsid w:val="00D12CC9"/>
    <w:rsid w:val="00D13792"/>
    <w:rsid w:val="00D14218"/>
    <w:rsid w:val="00D150CE"/>
    <w:rsid w:val="00D16B64"/>
    <w:rsid w:val="00D1780B"/>
    <w:rsid w:val="00D20B76"/>
    <w:rsid w:val="00D21CB5"/>
    <w:rsid w:val="00D21E2D"/>
    <w:rsid w:val="00D22B42"/>
    <w:rsid w:val="00D26972"/>
    <w:rsid w:val="00D3019C"/>
    <w:rsid w:val="00D30647"/>
    <w:rsid w:val="00D3351A"/>
    <w:rsid w:val="00D34147"/>
    <w:rsid w:val="00D36AF6"/>
    <w:rsid w:val="00D36E09"/>
    <w:rsid w:val="00D40BC9"/>
    <w:rsid w:val="00D41969"/>
    <w:rsid w:val="00D419DE"/>
    <w:rsid w:val="00D44632"/>
    <w:rsid w:val="00D4680A"/>
    <w:rsid w:val="00D47E8B"/>
    <w:rsid w:val="00D543FC"/>
    <w:rsid w:val="00D5552B"/>
    <w:rsid w:val="00D557FD"/>
    <w:rsid w:val="00D569A1"/>
    <w:rsid w:val="00D632A3"/>
    <w:rsid w:val="00D64D0C"/>
    <w:rsid w:val="00D65589"/>
    <w:rsid w:val="00D65BB5"/>
    <w:rsid w:val="00D65D2D"/>
    <w:rsid w:val="00D66831"/>
    <w:rsid w:val="00D668B7"/>
    <w:rsid w:val="00D6788F"/>
    <w:rsid w:val="00D70EC5"/>
    <w:rsid w:val="00D755D9"/>
    <w:rsid w:val="00D76947"/>
    <w:rsid w:val="00D82C29"/>
    <w:rsid w:val="00D83CC2"/>
    <w:rsid w:val="00D83DAC"/>
    <w:rsid w:val="00D8441E"/>
    <w:rsid w:val="00D84A39"/>
    <w:rsid w:val="00D85131"/>
    <w:rsid w:val="00D90F3C"/>
    <w:rsid w:val="00D91B1A"/>
    <w:rsid w:val="00DA064C"/>
    <w:rsid w:val="00DA2795"/>
    <w:rsid w:val="00DA2CD8"/>
    <w:rsid w:val="00DA7B93"/>
    <w:rsid w:val="00DB1E74"/>
    <w:rsid w:val="00DB35AC"/>
    <w:rsid w:val="00DB49C5"/>
    <w:rsid w:val="00DB64F4"/>
    <w:rsid w:val="00DC1151"/>
    <w:rsid w:val="00DC1291"/>
    <w:rsid w:val="00DC3579"/>
    <w:rsid w:val="00DC3612"/>
    <w:rsid w:val="00DC3AA0"/>
    <w:rsid w:val="00DC4D0A"/>
    <w:rsid w:val="00DC5066"/>
    <w:rsid w:val="00DD1BFF"/>
    <w:rsid w:val="00DD337F"/>
    <w:rsid w:val="00DE1362"/>
    <w:rsid w:val="00DE2383"/>
    <w:rsid w:val="00DF1086"/>
    <w:rsid w:val="00DF3624"/>
    <w:rsid w:val="00DF5EB7"/>
    <w:rsid w:val="00DF5FD1"/>
    <w:rsid w:val="00DF6A23"/>
    <w:rsid w:val="00E0213F"/>
    <w:rsid w:val="00E021C1"/>
    <w:rsid w:val="00E04A24"/>
    <w:rsid w:val="00E0564D"/>
    <w:rsid w:val="00E06A2C"/>
    <w:rsid w:val="00E07987"/>
    <w:rsid w:val="00E10926"/>
    <w:rsid w:val="00E10994"/>
    <w:rsid w:val="00E13590"/>
    <w:rsid w:val="00E240F8"/>
    <w:rsid w:val="00E27223"/>
    <w:rsid w:val="00E2756F"/>
    <w:rsid w:val="00E31B37"/>
    <w:rsid w:val="00E322F6"/>
    <w:rsid w:val="00E33CB7"/>
    <w:rsid w:val="00E34912"/>
    <w:rsid w:val="00E34F6B"/>
    <w:rsid w:val="00E3564C"/>
    <w:rsid w:val="00E35E72"/>
    <w:rsid w:val="00E41079"/>
    <w:rsid w:val="00E42721"/>
    <w:rsid w:val="00E43490"/>
    <w:rsid w:val="00E44AF0"/>
    <w:rsid w:val="00E46069"/>
    <w:rsid w:val="00E5082E"/>
    <w:rsid w:val="00E513CC"/>
    <w:rsid w:val="00E51A66"/>
    <w:rsid w:val="00E52673"/>
    <w:rsid w:val="00E530E6"/>
    <w:rsid w:val="00E5415A"/>
    <w:rsid w:val="00E5487E"/>
    <w:rsid w:val="00E54C30"/>
    <w:rsid w:val="00E55349"/>
    <w:rsid w:val="00E55557"/>
    <w:rsid w:val="00E55D0B"/>
    <w:rsid w:val="00E561F8"/>
    <w:rsid w:val="00E62ED2"/>
    <w:rsid w:val="00E658A1"/>
    <w:rsid w:val="00E671DD"/>
    <w:rsid w:val="00E671FC"/>
    <w:rsid w:val="00E70B20"/>
    <w:rsid w:val="00E75D3B"/>
    <w:rsid w:val="00E76BB5"/>
    <w:rsid w:val="00E76CA1"/>
    <w:rsid w:val="00E76F75"/>
    <w:rsid w:val="00E82F81"/>
    <w:rsid w:val="00E83A40"/>
    <w:rsid w:val="00E84BB9"/>
    <w:rsid w:val="00E84FA2"/>
    <w:rsid w:val="00E86538"/>
    <w:rsid w:val="00E876A0"/>
    <w:rsid w:val="00E877CA"/>
    <w:rsid w:val="00E928D7"/>
    <w:rsid w:val="00E92BF5"/>
    <w:rsid w:val="00E97C4A"/>
    <w:rsid w:val="00E97FFD"/>
    <w:rsid w:val="00EA0448"/>
    <w:rsid w:val="00EB1536"/>
    <w:rsid w:val="00EB1C20"/>
    <w:rsid w:val="00EB2B6A"/>
    <w:rsid w:val="00EB4C46"/>
    <w:rsid w:val="00EC18C3"/>
    <w:rsid w:val="00EC19E1"/>
    <w:rsid w:val="00EC3396"/>
    <w:rsid w:val="00EC5F32"/>
    <w:rsid w:val="00EC5F36"/>
    <w:rsid w:val="00EC6E52"/>
    <w:rsid w:val="00ED1554"/>
    <w:rsid w:val="00ED1F9D"/>
    <w:rsid w:val="00ED4FD9"/>
    <w:rsid w:val="00ED6399"/>
    <w:rsid w:val="00ED7365"/>
    <w:rsid w:val="00ED78DF"/>
    <w:rsid w:val="00ED7FBD"/>
    <w:rsid w:val="00EE0A91"/>
    <w:rsid w:val="00EE28CD"/>
    <w:rsid w:val="00EE45FD"/>
    <w:rsid w:val="00EE5DF0"/>
    <w:rsid w:val="00EE6B58"/>
    <w:rsid w:val="00EF10E8"/>
    <w:rsid w:val="00EF1FE0"/>
    <w:rsid w:val="00EF34F7"/>
    <w:rsid w:val="00EF3746"/>
    <w:rsid w:val="00EF3E5C"/>
    <w:rsid w:val="00F05682"/>
    <w:rsid w:val="00F06598"/>
    <w:rsid w:val="00F065BD"/>
    <w:rsid w:val="00F17161"/>
    <w:rsid w:val="00F177AC"/>
    <w:rsid w:val="00F20BB2"/>
    <w:rsid w:val="00F20F55"/>
    <w:rsid w:val="00F2227D"/>
    <w:rsid w:val="00F2233A"/>
    <w:rsid w:val="00F23D0F"/>
    <w:rsid w:val="00F2629E"/>
    <w:rsid w:val="00F30010"/>
    <w:rsid w:val="00F31A73"/>
    <w:rsid w:val="00F32725"/>
    <w:rsid w:val="00F34857"/>
    <w:rsid w:val="00F3653F"/>
    <w:rsid w:val="00F36B57"/>
    <w:rsid w:val="00F42013"/>
    <w:rsid w:val="00F42EB7"/>
    <w:rsid w:val="00F43449"/>
    <w:rsid w:val="00F434C7"/>
    <w:rsid w:val="00F511C3"/>
    <w:rsid w:val="00F52841"/>
    <w:rsid w:val="00F5504F"/>
    <w:rsid w:val="00F5578A"/>
    <w:rsid w:val="00F5732F"/>
    <w:rsid w:val="00F637BB"/>
    <w:rsid w:val="00F63B1C"/>
    <w:rsid w:val="00F63FBE"/>
    <w:rsid w:val="00F64ECB"/>
    <w:rsid w:val="00F6540E"/>
    <w:rsid w:val="00F67A05"/>
    <w:rsid w:val="00F71684"/>
    <w:rsid w:val="00F75EBF"/>
    <w:rsid w:val="00F76C54"/>
    <w:rsid w:val="00F76F11"/>
    <w:rsid w:val="00F773B2"/>
    <w:rsid w:val="00F80B98"/>
    <w:rsid w:val="00F81B93"/>
    <w:rsid w:val="00F83C46"/>
    <w:rsid w:val="00F84319"/>
    <w:rsid w:val="00F858BA"/>
    <w:rsid w:val="00F85D3B"/>
    <w:rsid w:val="00F86077"/>
    <w:rsid w:val="00F86697"/>
    <w:rsid w:val="00F86C9C"/>
    <w:rsid w:val="00F90494"/>
    <w:rsid w:val="00F90BC0"/>
    <w:rsid w:val="00F92DC3"/>
    <w:rsid w:val="00F92DC8"/>
    <w:rsid w:val="00FA0393"/>
    <w:rsid w:val="00FA1118"/>
    <w:rsid w:val="00FA1F56"/>
    <w:rsid w:val="00FA24CE"/>
    <w:rsid w:val="00FA2ECD"/>
    <w:rsid w:val="00FA49A7"/>
    <w:rsid w:val="00FA6890"/>
    <w:rsid w:val="00FA703B"/>
    <w:rsid w:val="00FB1CB1"/>
    <w:rsid w:val="00FB27F5"/>
    <w:rsid w:val="00FB3CDE"/>
    <w:rsid w:val="00FB536F"/>
    <w:rsid w:val="00FB5C17"/>
    <w:rsid w:val="00FC14D4"/>
    <w:rsid w:val="00FC1C72"/>
    <w:rsid w:val="00FC5060"/>
    <w:rsid w:val="00FC7475"/>
    <w:rsid w:val="00FD00AA"/>
    <w:rsid w:val="00FD0B1C"/>
    <w:rsid w:val="00FD1AA3"/>
    <w:rsid w:val="00FD2745"/>
    <w:rsid w:val="00FD7A4A"/>
    <w:rsid w:val="00FE2242"/>
    <w:rsid w:val="00FE41B0"/>
    <w:rsid w:val="00FE63C1"/>
    <w:rsid w:val="00FE6EB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9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s refss,Footnote Reference1,ftref,16 Point,Superscript 6 Point,Superscript 6 Point + 11 pt, BVI fnr,Ref,de nota al pie,note bp,4_G,Footnote Ref,Footnote Refernece,Footnote number,Знак сноски-FN,Знак сноски 1,BVI fnr"/>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List Paragraph1 Char"/>
    <w:link w:val="ListParagraph"/>
    <w:uiPriority w:val="34"/>
    <w:locked/>
    <w:rsid w:val="003C2949"/>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483084"/>
    <w:rPr>
      <w:rFonts w:ascii="Times New Roman" w:eastAsia="Times New Roman" w:hAnsi="Times New Roman"/>
      <w:lang w:val="en-GB" w:eastAsia="en-GB"/>
    </w:rPr>
  </w:style>
  <w:style w:type="paragraph" w:styleId="NormalWeb">
    <w:name w:val="Normal (Web)"/>
    <w:basedOn w:val="Normal"/>
    <w:uiPriority w:val="99"/>
    <w:semiHidden/>
    <w:unhideWhenUsed/>
    <w:rsid w:val="00156B73"/>
  </w:style>
  <w:style w:type="paragraph" w:styleId="PlainText">
    <w:name w:val="Plain Text"/>
    <w:basedOn w:val="Normal"/>
    <w:link w:val="PlainTextChar"/>
    <w:uiPriority w:val="99"/>
    <w:semiHidden/>
    <w:unhideWhenUsed/>
    <w:rsid w:val="000A23A8"/>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0A23A8"/>
    <w:rPr>
      <w:rFonts w:eastAsiaTheme="minorHAnsi" w:cstheme="minorBidi"/>
      <w:sz w:val="22"/>
      <w:szCs w:val="21"/>
      <w:lang w:eastAsia="en-US"/>
    </w:rPr>
  </w:style>
  <w:style w:type="character" w:customStyle="1" w:styleId="UnresolvedMention1">
    <w:name w:val="Unresolved Mention1"/>
    <w:basedOn w:val="DefaultParagraphFont"/>
    <w:uiPriority w:val="99"/>
    <w:unhideWhenUsed/>
    <w:rsid w:val="00490188"/>
    <w:rPr>
      <w:color w:val="605E5C"/>
      <w:shd w:val="clear" w:color="auto" w:fill="E1DFDD"/>
    </w:rPr>
  </w:style>
  <w:style w:type="character" w:customStyle="1" w:styleId="Mention1">
    <w:name w:val="Mention1"/>
    <w:basedOn w:val="DefaultParagraphFont"/>
    <w:uiPriority w:val="99"/>
    <w:unhideWhenUsed/>
    <w:rsid w:val="004901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5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56534730">
      <w:bodyDiv w:val="1"/>
      <w:marLeft w:val="0"/>
      <w:marRight w:val="0"/>
      <w:marTop w:val="0"/>
      <w:marBottom w:val="0"/>
      <w:divBdr>
        <w:top w:val="none" w:sz="0" w:space="0" w:color="auto"/>
        <w:left w:val="none" w:sz="0" w:space="0" w:color="auto"/>
        <w:bottom w:val="none" w:sz="0" w:space="0" w:color="auto"/>
        <w:right w:val="none" w:sz="0" w:space="0" w:color="auto"/>
      </w:divBdr>
    </w:div>
    <w:div w:id="1133870720">
      <w:bodyDiv w:val="1"/>
      <w:marLeft w:val="0"/>
      <w:marRight w:val="0"/>
      <w:marTop w:val="0"/>
      <w:marBottom w:val="0"/>
      <w:divBdr>
        <w:top w:val="none" w:sz="0" w:space="0" w:color="auto"/>
        <w:left w:val="none" w:sz="0" w:space="0" w:color="auto"/>
        <w:bottom w:val="none" w:sz="0" w:space="0" w:color="auto"/>
        <w:right w:val="none" w:sz="0" w:space="0" w:color="auto"/>
      </w:divBdr>
      <w:divsChild>
        <w:div w:id="348722182">
          <w:marLeft w:val="1080"/>
          <w:marRight w:val="0"/>
          <w:marTop w:val="10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7622097">
      <w:bodyDiv w:val="1"/>
      <w:marLeft w:val="0"/>
      <w:marRight w:val="0"/>
      <w:marTop w:val="0"/>
      <w:marBottom w:val="0"/>
      <w:divBdr>
        <w:top w:val="none" w:sz="0" w:space="0" w:color="auto"/>
        <w:left w:val="none" w:sz="0" w:space="0" w:color="auto"/>
        <w:bottom w:val="none" w:sz="0" w:space="0" w:color="auto"/>
        <w:right w:val="none" w:sz="0" w:space="0" w:color="auto"/>
      </w:divBdr>
      <w:divsChild>
        <w:div w:id="147983961">
          <w:marLeft w:val="360"/>
          <w:marRight w:val="0"/>
          <w:marTop w:val="200"/>
          <w:marBottom w:val="0"/>
          <w:divBdr>
            <w:top w:val="none" w:sz="0" w:space="0" w:color="auto"/>
            <w:left w:val="none" w:sz="0" w:space="0" w:color="auto"/>
            <w:bottom w:val="none" w:sz="0" w:space="0" w:color="auto"/>
            <w:right w:val="none" w:sz="0" w:space="0" w:color="auto"/>
          </w:divBdr>
        </w:div>
        <w:div w:id="1633369162">
          <w:marLeft w:val="360"/>
          <w:marRight w:val="0"/>
          <w:marTop w:val="200"/>
          <w:marBottom w:val="0"/>
          <w:divBdr>
            <w:top w:val="none" w:sz="0" w:space="0" w:color="auto"/>
            <w:left w:val="none" w:sz="0" w:space="0" w:color="auto"/>
            <w:bottom w:val="none" w:sz="0" w:space="0" w:color="auto"/>
            <w:right w:val="none" w:sz="0" w:space="0" w:color="auto"/>
          </w:divBdr>
        </w:div>
        <w:div w:id="1758136873">
          <w:marLeft w:val="360"/>
          <w:marRight w:val="0"/>
          <w:marTop w:val="200"/>
          <w:marBottom w:val="0"/>
          <w:divBdr>
            <w:top w:val="none" w:sz="0" w:space="0" w:color="auto"/>
            <w:left w:val="none" w:sz="0" w:space="0" w:color="auto"/>
            <w:bottom w:val="none" w:sz="0" w:space="0" w:color="auto"/>
            <w:right w:val="none" w:sz="0" w:space="0" w:color="auto"/>
          </w:divBdr>
        </w:div>
        <w:div w:id="227961313">
          <w:marLeft w:val="360"/>
          <w:marRight w:val="0"/>
          <w:marTop w:val="200"/>
          <w:marBottom w:val="0"/>
          <w:divBdr>
            <w:top w:val="none" w:sz="0" w:space="0" w:color="auto"/>
            <w:left w:val="none" w:sz="0" w:space="0" w:color="auto"/>
            <w:bottom w:val="none" w:sz="0" w:space="0" w:color="auto"/>
            <w:right w:val="none" w:sz="0" w:space="0" w:color="auto"/>
          </w:divBdr>
        </w:div>
        <w:div w:id="353196580">
          <w:marLeft w:val="360"/>
          <w:marRight w:val="0"/>
          <w:marTop w:val="200"/>
          <w:marBottom w:val="0"/>
          <w:divBdr>
            <w:top w:val="none" w:sz="0" w:space="0" w:color="auto"/>
            <w:left w:val="none" w:sz="0" w:space="0" w:color="auto"/>
            <w:bottom w:val="none" w:sz="0" w:space="0" w:color="auto"/>
            <w:right w:val="none" w:sz="0" w:space="0" w:color="auto"/>
          </w:divBdr>
        </w:div>
        <w:div w:id="1457526486">
          <w:marLeft w:val="360"/>
          <w:marRight w:val="0"/>
          <w:marTop w:val="200"/>
          <w:marBottom w:val="0"/>
          <w:divBdr>
            <w:top w:val="none" w:sz="0" w:space="0" w:color="auto"/>
            <w:left w:val="none" w:sz="0" w:space="0" w:color="auto"/>
            <w:bottom w:val="none" w:sz="0" w:space="0" w:color="auto"/>
            <w:right w:val="none" w:sz="0" w:space="0" w:color="auto"/>
          </w:divBdr>
        </w:div>
        <w:div w:id="1355770366">
          <w:marLeft w:val="360"/>
          <w:marRight w:val="0"/>
          <w:marTop w:val="200"/>
          <w:marBottom w:val="0"/>
          <w:divBdr>
            <w:top w:val="none" w:sz="0" w:space="0" w:color="auto"/>
            <w:left w:val="none" w:sz="0" w:space="0" w:color="auto"/>
            <w:bottom w:val="none" w:sz="0" w:space="0" w:color="auto"/>
            <w:right w:val="none" w:sz="0" w:space="0" w:color="auto"/>
          </w:divBdr>
        </w:div>
        <w:div w:id="581646277">
          <w:marLeft w:val="360"/>
          <w:marRight w:val="0"/>
          <w:marTop w:val="200"/>
          <w:marBottom w:val="0"/>
          <w:divBdr>
            <w:top w:val="none" w:sz="0" w:space="0" w:color="auto"/>
            <w:left w:val="none" w:sz="0" w:space="0" w:color="auto"/>
            <w:bottom w:val="none" w:sz="0" w:space="0" w:color="auto"/>
            <w:right w:val="none" w:sz="0" w:space="0" w:color="auto"/>
          </w:divBdr>
        </w:div>
        <w:div w:id="22829077">
          <w:marLeft w:val="360"/>
          <w:marRight w:val="0"/>
          <w:marTop w:val="200"/>
          <w:marBottom w:val="0"/>
          <w:divBdr>
            <w:top w:val="none" w:sz="0" w:space="0" w:color="auto"/>
            <w:left w:val="none" w:sz="0" w:space="0" w:color="auto"/>
            <w:bottom w:val="none" w:sz="0" w:space="0" w:color="auto"/>
            <w:right w:val="none" w:sz="0" w:space="0" w:color="auto"/>
          </w:divBdr>
        </w:div>
        <w:div w:id="2058158191">
          <w:marLeft w:val="1080"/>
          <w:marRight w:val="0"/>
          <w:marTop w:val="100"/>
          <w:marBottom w:val="0"/>
          <w:divBdr>
            <w:top w:val="none" w:sz="0" w:space="0" w:color="auto"/>
            <w:left w:val="none" w:sz="0" w:space="0" w:color="auto"/>
            <w:bottom w:val="none" w:sz="0" w:space="0" w:color="auto"/>
            <w:right w:val="none" w:sz="0" w:space="0" w:color="auto"/>
          </w:divBdr>
        </w:div>
        <w:div w:id="988099026">
          <w:marLeft w:val="1080"/>
          <w:marRight w:val="0"/>
          <w:marTop w:val="100"/>
          <w:marBottom w:val="0"/>
          <w:divBdr>
            <w:top w:val="none" w:sz="0" w:space="0" w:color="auto"/>
            <w:left w:val="none" w:sz="0" w:space="0" w:color="auto"/>
            <w:bottom w:val="none" w:sz="0" w:space="0" w:color="auto"/>
            <w:right w:val="none" w:sz="0" w:space="0" w:color="auto"/>
          </w:divBdr>
        </w:div>
      </w:divsChild>
    </w:div>
    <w:div w:id="1684815420">
      <w:bodyDiv w:val="1"/>
      <w:marLeft w:val="0"/>
      <w:marRight w:val="0"/>
      <w:marTop w:val="0"/>
      <w:marBottom w:val="0"/>
      <w:divBdr>
        <w:top w:val="none" w:sz="0" w:space="0" w:color="auto"/>
        <w:left w:val="none" w:sz="0" w:space="0" w:color="auto"/>
        <w:bottom w:val="none" w:sz="0" w:space="0" w:color="auto"/>
        <w:right w:val="none" w:sz="0" w:space="0" w:color="auto"/>
      </w:divBdr>
    </w:div>
    <w:div w:id="1688483510">
      <w:bodyDiv w:val="1"/>
      <w:marLeft w:val="0"/>
      <w:marRight w:val="0"/>
      <w:marTop w:val="0"/>
      <w:marBottom w:val="0"/>
      <w:divBdr>
        <w:top w:val="none" w:sz="0" w:space="0" w:color="auto"/>
        <w:left w:val="none" w:sz="0" w:space="0" w:color="auto"/>
        <w:bottom w:val="none" w:sz="0" w:space="0" w:color="auto"/>
        <w:right w:val="none" w:sz="0" w:space="0" w:color="auto"/>
      </w:divBdr>
    </w:div>
    <w:div w:id="20212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liberia.unfpa.org%2Fen%2Fnews%2Fformer-drug-user-speaks-joy-after-overcoming-%25E2%2580%259Cbad-habit%25E2%2580%259D&amp;data=04%7C01%7Cbendu.zaizay%40undp.org%7Cce59ebfa22924d15308308d87ce4aded%7Cb3e5db5e2944483799f57488ace54319%7C0%7C0%7C637396668900565344%7CUnknown%7CTWFpbGZsb3d8eyJWIjoiMC4wLjAwMDAiLCJQIjoiV2luMzIiLCJBTiI6Ik1haWwiLCJXVCI6Mn0%3D%7C1000&amp;sdata=wDiMhAfWhpe4D98YTG1cfRSdlgaMMMYEn0w72fdZCb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6b49b94bb9fe6c6d078d224d94c4ce7d">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91d4d65d1c6e0554570b0700cf3e4a2a"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FB5E71D6-4E33-481D-9702-1C27162DE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FD8BFD60-9224-490C-A9F8-A042875F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2</cp:revision>
  <cp:lastPrinted>2014-02-10T17:12:00Z</cp:lastPrinted>
  <dcterms:created xsi:type="dcterms:W3CDTF">2020-11-19T14:29:00Z</dcterms:created>
  <dcterms:modified xsi:type="dcterms:W3CDTF">2020-11-19T14:29:00Z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0x01010078C465FE38F8AB4D836393147610A0B6</vt:lpwstr>
  </property>
</Properties>
</file>