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D55E6" w14:textId="77777777" w:rsidR="005A5126" w:rsidRDefault="00DB11C9" w:rsidP="005A5126">
      <w:pPr>
        <w:jc w:val="center"/>
        <w:rPr>
          <w:rStyle w:val="hps"/>
          <w:rFonts w:ascii="Arial" w:hAnsi="Arial" w:cs="Arial"/>
          <w:b/>
          <w:color w:val="222222"/>
          <w:sz w:val="72"/>
          <w:szCs w:val="72"/>
        </w:rPr>
      </w:pPr>
      <w:r>
        <w:rPr>
          <w:rStyle w:val="hps"/>
          <w:rFonts w:ascii="Arial" w:hAnsi="Arial"/>
          <w:b/>
          <w:color w:val="222222"/>
          <w:sz w:val="72"/>
        </w:rPr>
        <w:t xml:space="preserve">                                                                                                                                                                                                                                                                                                                                                                                                                                                                                                                                                                                                                                                                                                                                                                                                                                                                                                                                                                                                                                                                                                                                                     </w:t>
      </w:r>
    </w:p>
    <w:p w14:paraId="29051998" w14:textId="77777777" w:rsidR="005A5126" w:rsidRDefault="005A5126" w:rsidP="005A5126">
      <w:pPr>
        <w:jc w:val="center"/>
        <w:rPr>
          <w:rStyle w:val="hps"/>
          <w:rFonts w:ascii="Arial" w:hAnsi="Arial" w:cs="Arial"/>
          <w:b/>
          <w:color w:val="222222"/>
          <w:sz w:val="72"/>
          <w:szCs w:val="72"/>
        </w:rPr>
      </w:pPr>
    </w:p>
    <w:p w14:paraId="43B3A92C" w14:textId="77777777" w:rsidR="002B462A" w:rsidRDefault="008C6D8C" w:rsidP="008C6D8C">
      <w:pPr>
        <w:jc w:val="center"/>
        <w:rPr>
          <w:rStyle w:val="hps"/>
          <w:rFonts w:ascii="Arial" w:hAnsi="Arial" w:cs="Arial"/>
          <w:b/>
          <w:color w:val="222222"/>
          <w:sz w:val="56"/>
          <w:szCs w:val="56"/>
        </w:rPr>
      </w:pPr>
      <w:r>
        <w:rPr>
          <w:rStyle w:val="hps"/>
          <w:rFonts w:ascii="Arial" w:hAnsi="Arial"/>
          <w:b/>
          <w:color w:val="222222"/>
          <w:sz w:val="68"/>
        </w:rPr>
        <w:t xml:space="preserve"> </w:t>
      </w:r>
      <w:r>
        <w:rPr>
          <w:rStyle w:val="hps"/>
          <w:rFonts w:ascii="Arial" w:hAnsi="Arial"/>
          <w:b/>
          <w:color w:val="222222"/>
          <w:sz w:val="56"/>
        </w:rPr>
        <w:t xml:space="preserve">                                                                                                                                                                                                                                                                                                                                                                                                                                                                                                                                                                                                                                                                                                                                                                                                                                                                                                                                                                                                                                                                                                                                                                                                                                                                                                                                                                                                                                                                                                                                                                                                                                                                                                                                                                                                                                                                                                                                                                                                                                                                                                                                                                                                                                                                                                                                                                                                                                                                                                                                                                                                                                                                                                                         </w:t>
      </w:r>
    </w:p>
    <w:p w14:paraId="74C25B19" w14:textId="64413837" w:rsidR="004664CF" w:rsidRDefault="006A0117" w:rsidP="00561918">
      <w:pPr>
        <w:jc w:val="center"/>
        <w:rPr>
          <w:rStyle w:val="hps"/>
          <w:rFonts w:ascii="Arial" w:hAnsi="Arial"/>
          <w:b/>
          <w:color w:val="222222"/>
          <w:sz w:val="56"/>
        </w:rPr>
      </w:pPr>
      <w:r>
        <w:rPr>
          <w:rStyle w:val="hps"/>
          <w:rFonts w:ascii="Arial" w:hAnsi="Arial"/>
          <w:b/>
          <w:color w:val="222222"/>
          <w:sz w:val="56"/>
        </w:rPr>
        <w:t xml:space="preserve">UN </w:t>
      </w:r>
      <w:r w:rsidR="002F075B">
        <w:rPr>
          <w:rStyle w:val="hps"/>
          <w:rFonts w:ascii="Arial" w:hAnsi="Arial"/>
          <w:b/>
          <w:color w:val="222222"/>
          <w:sz w:val="56"/>
        </w:rPr>
        <w:t>UGANDA</w:t>
      </w:r>
    </w:p>
    <w:p w14:paraId="5E6DC55D" w14:textId="7851CA14" w:rsidR="005A5126" w:rsidRPr="002B462A" w:rsidRDefault="002B462A" w:rsidP="00561918">
      <w:pPr>
        <w:jc w:val="center"/>
        <w:rPr>
          <w:rStyle w:val="hps"/>
          <w:rFonts w:ascii="Arial" w:hAnsi="Arial" w:cs="Arial"/>
          <w:b/>
          <w:color w:val="222222"/>
          <w:sz w:val="56"/>
          <w:szCs w:val="56"/>
        </w:rPr>
      </w:pPr>
      <w:r>
        <w:rPr>
          <w:rStyle w:val="hps"/>
          <w:rFonts w:ascii="Arial" w:hAnsi="Arial"/>
          <w:b/>
          <w:color w:val="222222"/>
          <w:sz w:val="56"/>
        </w:rPr>
        <w:t>MULTI-</w:t>
      </w:r>
      <w:r w:rsidR="00624291">
        <w:rPr>
          <w:rStyle w:val="hps"/>
          <w:rFonts w:ascii="Arial" w:hAnsi="Arial"/>
          <w:b/>
          <w:color w:val="222222"/>
          <w:sz w:val="56"/>
        </w:rPr>
        <w:t>PARTNER</w:t>
      </w:r>
      <w:r>
        <w:rPr>
          <w:rStyle w:val="hps"/>
          <w:rFonts w:ascii="Arial" w:hAnsi="Arial"/>
          <w:b/>
          <w:color w:val="222222"/>
          <w:sz w:val="56"/>
        </w:rPr>
        <w:t xml:space="preserve"> TRUST FUND</w:t>
      </w:r>
    </w:p>
    <w:p w14:paraId="34396C75" w14:textId="77777777" w:rsidR="002B462A" w:rsidRDefault="00DB11C9" w:rsidP="005A5126">
      <w:pPr>
        <w:jc w:val="center"/>
        <w:rPr>
          <w:rStyle w:val="hps"/>
          <w:rFonts w:ascii="Arial" w:hAnsi="Arial" w:cs="Arial"/>
          <w:b/>
          <w:color w:val="222222"/>
          <w:sz w:val="36"/>
          <w:szCs w:val="36"/>
        </w:rPr>
      </w:pPr>
      <w:r>
        <w:rPr>
          <w:rStyle w:val="hps"/>
          <w:rFonts w:ascii="Arial" w:hAnsi="Arial"/>
          <w:b/>
          <w:color w:val="222222"/>
          <w:sz w:val="36"/>
        </w:rPr>
        <w:t xml:space="preserve">                                                                                                                                                                                                                                      </w:t>
      </w:r>
    </w:p>
    <w:p w14:paraId="1A029F05" w14:textId="77777777" w:rsidR="002B462A" w:rsidRDefault="002B462A" w:rsidP="005A5126">
      <w:pPr>
        <w:jc w:val="center"/>
        <w:rPr>
          <w:rStyle w:val="hps"/>
          <w:rFonts w:ascii="Arial" w:hAnsi="Arial" w:cs="Arial"/>
          <w:b/>
          <w:color w:val="222222"/>
          <w:sz w:val="36"/>
          <w:szCs w:val="36"/>
        </w:rPr>
      </w:pPr>
    </w:p>
    <w:p w14:paraId="719B4679" w14:textId="77777777" w:rsidR="005A5126" w:rsidRDefault="005A5126" w:rsidP="005A5126">
      <w:pPr>
        <w:jc w:val="center"/>
        <w:rPr>
          <w:rStyle w:val="hps"/>
          <w:rFonts w:ascii="Arial" w:hAnsi="Arial" w:cs="Arial"/>
          <w:b/>
          <w:color w:val="222222"/>
          <w:sz w:val="36"/>
          <w:szCs w:val="36"/>
        </w:rPr>
      </w:pPr>
      <w:r>
        <w:rPr>
          <w:rStyle w:val="hps"/>
          <w:rFonts w:ascii="Arial" w:hAnsi="Arial"/>
          <w:b/>
          <w:color w:val="222222"/>
          <w:sz w:val="36"/>
        </w:rPr>
        <w:t>Terms of Reference</w:t>
      </w:r>
    </w:p>
    <w:p w14:paraId="6CEB90FB" w14:textId="77777777" w:rsidR="005A5126" w:rsidRDefault="005A5126" w:rsidP="005A5126">
      <w:pPr>
        <w:jc w:val="center"/>
        <w:rPr>
          <w:rStyle w:val="hps"/>
          <w:rFonts w:ascii="Arial" w:hAnsi="Arial" w:cs="Arial"/>
          <w:b/>
          <w:color w:val="222222"/>
          <w:sz w:val="36"/>
          <w:szCs w:val="36"/>
        </w:rPr>
      </w:pPr>
    </w:p>
    <w:p w14:paraId="2425E54C" w14:textId="77777777" w:rsidR="005A5126" w:rsidRDefault="00DB11C9" w:rsidP="005A5126">
      <w:pPr>
        <w:jc w:val="center"/>
        <w:rPr>
          <w:rStyle w:val="hps"/>
          <w:rFonts w:ascii="Arial" w:hAnsi="Arial" w:cs="Arial"/>
          <w:b/>
          <w:color w:val="222222"/>
          <w:sz w:val="36"/>
          <w:szCs w:val="36"/>
        </w:rPr>
      </w:pPr>
      <w:r>
        <w:rPr>
          <w:rStyle w:val="hps"/>
          <w:rFonts w:ascii="Arial" w:hAnsi="Arial"/>
          <w:b/>
          <w:color w:val="222222"/>
          <w:sz w:val="36"/>
        </w:rPr>
        <w:t xml:space="preserve">                                                 </w:t>
      </w:r>
    </w:p>
    <w:p w14:paraId="5CDA4EAD" w14:textId="77777777" w:rsidR="005A5126" w:rsidRDefault="005A5126" w:rsidP="005A5126">
      <w:pPr>
        <w:jc w:val="right"/>
        <w:rPr>
          <w:rStyle w:val="hps"/>
          <w:rFonts w:ascii="Arial" w:hAnsi="Arial" w:cs="Arial"/>
          <w:color w:val="222222"/>
        </w:rPr>
      </w:pPr>
    </w:p>
    <w:p w14:paraId="3E093A49" w14:textId="77777777" w:rsidR="00AC6509" w:rsidRDefault="00AC6509" w:rsidP="005A5126">
      <w:pPr>
        <w:jc w:val="right"/>
        <w:rPr>
          <w:rStyle w:val="hps"/>
          <w:rFonts w:ascii="Arial" w:hAnsi="Arial" w:cs="Arial"/>
          <w:color w:val="222222"/>
        </w:rPr>
      </w:pPr>
    </w:p>
    <w:p w14:paraId="030DCA88" w14:textId="77777777" w:rsidR="00AC6509" w:rsidRDefault="00AC6509" w:rsidP="005A5126">
      <w:pPr>
        <w:jc w:val="right"/>
        <w:rPr>
          <w:rStyle w:val="hps"/>
          <w:rFonts w:ascii="Arial" w:hAnsi="Arial" w:cs="Arial"/>
          <w:color w:val="222222"/>
        </w:rPr>
      </w:pPr>
    </w:p>
    <w:p w14:paraId="431F65E0" w14:textId="77777777" w:rsidR="00AC6509" w:rsidRDefault="00AC6509" w:rsidP="005A5126">
      <w:pPr>
        <w:jc w:val="right"/>
        <w:rPr>
          <w:rStyle w:val="hps"/>
          <w:rFonts w:ascii="Arial" w:hAnsi="Arial" w:cs="Arial"/>
          <w:color w:val="222222"/>
        </w:rPr>
      </w:pPr>
    </w:p>
    <w:p w14:paraId="26940B22" w14:textId="77777777" w:rsidR="00AC6509" w:rsidRDefault="00AC6509" w:rsidP="005A5126">
      <w:pPr>
        <w:jc w:val="right"/>
        <w:rPr>
          <w:rStyle w:val="hps"/>
          <w:rFonts w:ascii="Arial" w:hAnsi="Arial" w:cs="Arial"/>
          <w:color w:val="222222"/>
        </w:rPr>
      </w:pPr>
    </w:p>
    <w:p w14:paraId="187BF025" w14:textId="77777777" w:rsidR="00AC6509" w:rsidRDefault="00AC6509" w:rsidP="005A5126">
      <w:pPr>
        <w:jc w:val="right"/>
        <w:rPr>
          <w:rStyle w:val="hps"/>
          <w:rFonts w:ascii="Arial" w:hAnsi="Arial" w:cs="Arial"/>
          <w:color w:val="222222"/>
        </w:rPr>
      </w:pPr>
    </w:p>
    <w:p w14:paraId="65B87848" w14:textId="77777777" w:rsidR="005A5126" w:rsidRDefault="005A5126" w:rsidP="005A5126">
      <w:pPr>
        <w:jc w:val="right"/>
        <w:rPr>
          <w:rStyle w:val="hps"/>
          <w:rFonts w:ascii="Arial" w:hAnsi="Arial" w:cs="Arial"/>
          <w:color w:val="222222"/>
        </w:rPr>
      </w:pPr>
    </w:p>
    <w:p w14:paraId="0E3DD6B9" w14:textId="77777777" w:rsidR="002444C7" w:rsidRDefault="002444C7" w:rsidP="005A5126">
      <w:pPr>
        <w:jc w:val="center"/>
        <w:rPr>
          <w:rStyle w:val="hps"/>
          <w:rFonts w:ascii="Arial" w:hAnsi="Arial" w:cs="Arial"/>
          <w:color w:val="222222"/>
        </w:rPr>
      </w:pPr>
    </w:p>
    <w:p w14:paraId="756327AF" w14:textId="77777777" w:rsidR="00AC6509" w:rsidRDefault="00AC6509" w:rsidP="005A5126">
      <w:pPr>
        <w:jc w:val="center"/>
        <w:rPr>
          <w:rStyle w:val="hps"/>
          <w:rFonts w:ascii="Arial" w:hAnsi="Arial" w:cs="Arial"/>
          <w:color w:val="222222"/>
        </w:rPr>
      </w:pPr>
    </w:p>
    <w:p w14:paraId="77F6526B" w14:textId="4860A123" w:rsidR="008615A3" w:rsidRDefault="008615A3">
      <w:pPr>
        <w:rPr>
          <w:rStyle w:val="hps"/>
          <w:rFonts w:ascii="Arial" w:hAnsi="Arial" w:cs="Arial"/>
          <w:color w:val="222222"/>
        </w:rPr>
      </w:pPr>
      <w:r>
        <w:rPr>
          <w:rStyle w:val="hps"/>
          <w:rFonts w:ascii="Arial" w:hAnsi="Arial" w:cs="Arial"/>
          <w:color w:val="222222"/>
        </w:rPr>
        <w:br w:type="page"/>
      </w:r>
    </w:p>
    <w:p w14:paraId="3E129328" w14:textId="77777777" w:rsidR="00AC6509" w:rsidRDefault="00AC6509" w:rsidP="005A5126">
      <w:pPr>
        <w:jc w:val="center"/>
        <w:rPr>
          <w:rStyle w:val="hps"/>
          <w:rFonts w:ascii="Arial" w:hAnsi="Arial" w:cs="Arial"/>
          <w:color w:val="222222"/>
        </w:rPr>
      </w:pPr>
    </w:p>
    <w:sdt>
      <w:sdtPr>
        <w:rPr>
          <w:rFonts w:asciiTheme="minorHAnsi" w:eastAsiaTheme="minorHAnsi" w:hAnsiTheme="minorHAnsi" w:cstheme="minorBidi"/>
          <w:color w:val="auto"/>
          <w:sz w:val="22"/>
          <w:szCs w:val="22"/>
        </w:rPr>
        <w:id w:val="1381591974"/>
        <w:docPartObj>
          <w:docPartGallery w:val="Table of Contents"/>
          <w:docPartUnique/>
        </w:docPartObj>
      </w:sdtPr>
      <w:sdtEndPr>
        <w:rPr>
          <w:b/>
          <w:bCs/>
        </w:rPr>
      </w:sdtEndPr>
      <w:sdtContent>
        <w:p w14:paraId="3FC4B7CD" w14:textId="77777777" w:rsidR="00155B5D" w:rsidRPr="0025160B" w:rsidRDefault="00155B5D">
          <w:pPr>
            <w:pStyle w:val="TOCHeading"/>
            <w:rPr>
              <w:b/>
            </w:rPr>
          </w:pPr>
          <w:r>
            <w:rPr>
              <w:b/>
            </w:rPr>
            <w:t>Content</w:t>
          </w:r>
        </w:p>
        <w:p w14:paraId="78CC00B8" w14:textId="77777777" w:rsidR="00155B5D" w:rsidRPr="00155B5D" w:rsidRDefault="00155B5D" w:rsidP="00155B5D"/>
        <w:p w14:paraId="1D3FF3BD" w14:textId="1F28C7EB" w:rsidR="00EB510D" w:rsidRDefault="00F00FB3">
          <w:pPr>
            <w:pStyle w:val="TOC1"/>
            <w:tabs>
              <w:tab w:val="left" w:pos="440"/>
              <w:tab w:val="right" w:leader="dot" w:pos="9350"/>
            </w:tabs>
            <w:rPr>
              <w:rFonts w:eastAsiaTheme="minorEastAsia"/>
              <w:noProof/>
              <w:lang w:bidi="ar-SA"/>
            </w:rPr>
          </w:pPr>
          <w:r>
            <w:fldChar w:fldCharType="begin"/>
          </w:r>
          <w:r w:rsidR="00155B5D">
            <w:instrText xml:space="preserve"> TOC \o "1-3" \h \z \u </w:instrText>
          </w:r>
          <w:r>
            <w:fldChar w:fldCharType="separate"/>
          </w:r>
          <w:hyperlink w:anchor="_Toc39503328" w:history="1">
            <w:r w:rsidR="00EB510D" w:rsidRPr="00F90A3E">
              <w:rPr>
                <w:rStyle w:val="Hyperlink"/>
                <w:b/>
                <w:noProof/>
              </w:rPr>
              <w:t>1.</w:t>
            </w:r>
            <w:r w:rsidR="00EB510D">
              <w:rPr>
                <w:rFonts w:eastAsiaTheme="minorEastAsia"/>
                <w:noProof/>
                <w:lang w:bidi="ar-SA"/>
              </w:rPr>
              <w:tab/>
            </w:r>
            <w:r w:rsidR="00EB510D" w:rsidRPr="00F90A3E">
              <w:rPr>
                <w:rStyle w:val="Hyperlink"/>
                <w:b/>
                <w:noProof/>
              </w:rPr>
              <w:t>Introduction</w:t>
            </w:r>
            <w:r w:rsidR="00EB510D">
              <w:rPr>
                <w:noProof/>
                <w:webHidden/>
              </w:rPr>
              <w:tab/>
            </w:r>
            <w:r w:rsidR="00EB510D">
              <w:rPr>
                <w:noProof/>
                <w:webHidden/>
              </w:rPr>
              <w:fldChar w:fldCharType="begin"/>
            </w:r>
            <w:r w:rsidR="00EB510D">
              <w:rPr>
                <w:noProof/>
                <w:webHidden/>
              </w:rPr>
              <w:instrText xml:space="preserve"> PAGEREF _Toc39503328 \h </w:instrText>
            </w:r>
            <w:r w:rsidR="00EB510D">
              <w:rPr>
                <w:noProof/>
                <w:webHidden/>
              </w:rPr>
            </w:r>
            <w:r w:rsidR="00EB510D">
              <w:rPr>
                <w:noProof/>
                <w:webHidden/>
              </w:rPr>
              <w:fldChar w:fldCharType="separate"/>
            </w:r>
            <w:r w:rsidR="00EB510D">
              <w:rPr>
                <w:noProof/>
                <w:webHidden/>
              </w:rPr>
              <w:t>3</w:t>
            </w:r>
            <w:r w:rsidR="00EB510D">
              <w:rPr>
                <w:noProof/>
                <w:webHidden/>
              </w:rPr>
              <w:fldChar w:fldCharType="end"/>
            </w:r>
          </w:hyperlink>
        </w:p>
        <w:p w14:paraId="397651DB" w14:textId="40298987" w:rsidR="00EB510D" w:rsidRDefault="001565C3">
          <w:pPr>
            <w:pStyle w:val="TOC1"/>
            <w:tabs>
              <w:tab w:val="left" w:pos="440"/>
              <w:tab w:val="right" w:leader="dot" w:pos="9350"/>
            </w:tabs>
            <w:rPr>
              <w:rFonts w:eastAsiaTheme="minorEastAsia"/>
              <w:noProof/>
              <w:lang w:bidi="ar-SA"/>
            </w:rPr>
          </w:pPr>
          <w:hyperlink w:anchor="_Toc39503329" w:history="1">
            <w:r w:rsidR="00EB510D" w:rsidRPr="00F90A3E">
              <w:rPr>
                <w:rStyle w:val="Hyperlink"/>
                <w:b/>
                <w:noProof/>
              </w:rPr>
              <w:t>2.</w:t>
            </w:r>
            <w:r w:rsidR="00EB510D">
              <w:rPr>
                <w:rFonts w:eastAsiaTheme="minorEastAsia"/>
                <w:noProof/>
                <w:lang w:bidi="ar-SA"/>
              </w:rPr>
              <w:tab/>
            </w:r>
            <w:r w:rsidR="00EB510D" w:rsidRPr="00F90A3E">
              <w:rPr>
                <w:rStyle w:val="Hyperlink"/>
                <w:b/>
                <w:noProof/>
              </w:rPr>
              <w:t>Rationale and Fund's Functions:</w:t>
            </w:r>
            <w:r w:rsidR="00EB510D">
              <w:rPr>
                <w:noProof/>
                <w:webHidden/>
              </w:rPr>
              <w:tab/>
            </w:r>
            <w:r w:rsidR="00EB510D">
              <w:rPr>
                <w:noProof/>
                <w:webHidden/>
              </w:rPr>
              <w:fldChar w:fldCharType="begin"/>
            </w:r>
            <w:r w:rsidR="00EB510D">
              <w:rPr>
                <w:noProof/>
                <w:webHidden/>
              </w:rPr>
              <w:instrText xml:space="preserve"> PAGEREF _Toc39503329 \h </w:instrText>
            </w:r>
            <w:r w:rsidR="00EB510D">
              <w:rPr>
                <w:noProof/>
                <w:webHidden/>
              </w:rPr>
            </w:r>
            <w:r w:rsidR="00EB510D">
              <w:rPr>
                <w:noProof/>
                <w:webHidden/>
              </w:rPr>
              <w:fldChar w:fldCharType="separate"/>
            </w:r>
            <w:r w:rsidR="00EB510D">
              <w:rPr>
                <w:noProof/>
                <w:webHidden/>
              </w:rPr>
              <w:t>3</w:t>
            </w:r>
            <w:r w:rsidR="00EB510D">
              <w:rPr>
                <w:noProof/>
                <w:webHidden/>
              </w:rPr>
              <w:fldChar w:fldCharType="end"/>
            </w:r>
          </w:hyperlink>
        </w:p>
        <w:p w14:paraId="0B2F213E" w14:textId="7BFEF8D3" w:rsidR="00EB510D" w:rsidRDefault="001565C3">
          <w:pPr>
            <w:pStyle w:val="TOC1"/>
            <w:tabs>
              <w:tab w:val="left" w:pos="440"/>
              <w:tab w:val="right" w:leader="dot" w:pos="9350"/>
            </w:tabs>
            <w:rPr>
              <w:rFonts w:eastAsiaTheme="minorEastAsia"/>
              <w:noProof/>
              <w:lang w:bidi="ar-SA"/>
            </w:rPr>
          </w:pPr>
          <w:hyperlink w:anchor="_Toc39503330" w:history="1">
            <w:r w:rsidR="00EB510D" w:rsidRPr="00F90A3E">
              <w:rPr>
                <w:rStyle w:val="Hyperlink"/>
                <w:b/>
                <w:noProof/>
              </w:rPr>
              <w:t>3.</w:t>
            </w:r>
            <w:r w:rsidR="00EB510D">
              <w:rPr>
                <w:rFonts w:eastAsiaTheme="minorEastAsia"/>
                <w:noProof/>
                <w:lang w:bidi="ar-SA"/>
              </w:rPr>
              <w:tab/>
            </w:r>
            <w:r w:rsidR="00EB510D" w:rsidRPr="00F90A3E">
              <w:rPr>
                <w:rStyle w:val="Hyperlink"/>
                <w:b/>
                <w:noProof/>
              </w:rPr>
              <w:t>Theory of Change and Scope of the Fund</w:t>
            </w:r>
            <w:r w:rsidR="00EB510D">
              <w:rPr>
                <w:noProof/>
                <w:webHidden/>
              </w:rPr>
              <w:tab/>
            </w:r>
            <w:r w:rsidR="00EB510D">
              <w:rPr>
                <w:noProof/>
                <w:webHidden/>
              </w:rPr>
              <w:fldChar w:fldCharType="begin"/>
            </w:r>
            <w:r w:rsidR="00EB510D">
              <w:rPr>
                <w:noProof/>
                <w:webHidden/>
              </w:rPr>
              <w:instrText xml:space="preserve"> PAGEREF _Toc39503330 \h </w:instrText>
            </w:r>
            <w:r w:rsidR="00EB510D">
              <w:rPr>
                <w:noProof/>
                <w:webHidden/>
              </w:rPr>
            </w:r>
            <w:r w:rsidR="00EB510D">
              <w:rPr>
                <w:noProof/>
                <w:webHidden/>
              </w:rPr>
              <w:fldChar w:fldCharType="separate"/>
            </w:r>
            <w:r w:rsidR="00EB510D">
              <w:rPr>
                <w:noProof/>
                <w:webHidden/>
              </w:rPr>
              <w:t>4</w:t>
            </w:r>
            <w:r w:rsidR="00EB510D">
              <w:rPr>
                <w:noProof/>
                <w:webHidden/>
              </w:rPr>
              <w:fldChar w:fldCharType="end"/>
            </w:r>
          </w:hyperlink>
        </w:p>
        <w:p w14:paraId="2A1B0378" w14:textId="71FCE258" w:rsidR="00EB510D" w:rsidRDefault="001565C3">
          <w:pPr>
            <w:pStyle w:val="TOC1"/>
            <w:tabs>
              <w:tab w:val="left" w:pos="440"/>
              <w:tab w:val="right" w:leader="dot" w:pos="9350"/>
            </w:tabs>
            <w:rPr>
              <w:rFonts w:eastAsiaTheme="minorEastAsia"/>
              <w:noProof/>
              <w:lang w:bidi="ar-SA"/>
            </w:rPr>
          </w:pPr>
          <w:hyperlink w:anchor="_Toc39503331" w:history="1">
            <w:r w:rsidR="00EB510D" w:rsidRPr="00F90A3E">
              <w:rPr>
                <w:rStyle w:val="Hyperlink"/>
                <w:b/>
                <w:noProof/>
              </w:rPr>
              <w:t>4.</w:t>
            </w:r>
            <w:r w:rsidR="00EB510D">
              <w:rPr>
                <w:rFonts w:eastAsiaTheme="minorEastAsia"/>
                <w:noProof/>
                <w:lang w:bidi="ar-SA"/>
              </w:rPr>
              <w:tab/>
            </w:r>
            <w:r w:rsidR="00EB510D" w:rsidRPr="00F90A3E">
              <w:rPr>
                <w:rStyle w:val="Hyperlink"/>
                <w:b/>
                <w:noProof/>
              </w:rPr>
              <w:t>Fund Governance and Coordination</w:t>
            </w:r>
            <w:r w:rsidR="00EB510D">
              <w:rPr>
                <w:noProof/>
                <w:webHidden/>
              </w:rPr>
              <w:tab/>
            </w:r>
            <w:r w:rsidR="00EB510D">
              <w:rPr>
                <w:noProof/>
                <w:webHidden/>
              </w:rPr>
              <w:fldChar w:fldCharType="begin"/>
            </w:r>
            <w:r w:rsidR="00EB510D">
              <w:rPr>
                <w:noProof/>
                <w:webHidden/>
              </w:rPr>
              <w:instrText xml:space="preserve"> PAGEREF _Toc39503331 \h </w:instrText>
            </w:r>
            <w:r w:rsidR="00EB510D">
              <w:rPr>
                <w:noProof/>
                <w:webHidden/>
              </w:rPr>
            </w:r>
            <w:r w:rsidR="00EB510D">
              <w:rPr>
                <w:noProof/>
                <w:webHidden/>
              </w:rPr>
              <w:fldChar w:fldCharType="separate"/>
            </w:r>
            <w:r w:rsidR="00EB510D">
              <w:rPr>
                <w:noProof/>
                <w:webHidden/>
              </w:rPr>
              <w:t>8</w:t>
            </w:r>
            <w:r w:rsidR="00EB510D">
              <w:rPr>
                <w:noProof/>
                <w:webHidden/>
              </w:rPr>
              <w:fldChar w:fldCharType="end"/>
            </w:r>
          </w:hyperlink>
        </w:p>
        <w:p w14:paraId="6960D20E" w14:textId="460D0B26" w:rsidR="00EB510D" w:rsidRDefault="001565C3">
          <w:pPr>
            <w:pStyle w:val="TOC2"/>
            <w:tabs>
              <w:tab w:val="right" w:leader="dot" w:pos="9350"/>
            </w:tabs>
            <w:rPr>
              <w:rFonts w:eastAsiaTheme="minorEastAsia"/>
              <w:noProof/>
              <w:lang w:bidi="ar-SA"/>
            </w:rPr>
          </w:pPr>
          <w:hyperlink w:anchor="_Toc39503332" w:history="1">
            <w:r w:rsidR="00EB510D" w:rsidRPr="00F90A3E">
              <w:rPr>
                <w:rStyle w:val="Hyperlink"/>
                <w:noProof/>
              </w:rPr>
              <w:t>Fund Operations</w:t>
            </w:r>
            <w:r w:rsidR="00EB510D">
              <w:rPr>
                <w:noProof/>
                <w:webHidden/>
              </w:rPr>
              <w:tab/>
            </w:r>
            <w:r w:rsidR="00EB510D">
              <w:rPr>
                <w:noProof/>
                <w:webHidden/>
              </w:rPr>
              <w:fldChar w:fldCharType="begin"/>
            </w:r>
            <w:r w:rsidR="00EB510D">
              <w:rPr>
                <w:noProof/>
                <w:webHidden/>
              </w:rPr>
              <w:instrText xml:space="preserve"> PAGEREF _Toc39503332 \h </w:instrText>
            </w:r>
            <w:r w:rsidR="00EB510D">
              <w:rPr>
                <w:noProof/>
                <w:webHidden/>
              </w:rPr>
            </w:r>
            <w:r w:rsidR="00EB510D">
              <w:rPr>
                <w:noProof/>
                <w:webHidden/>
              </w:rPr>
              <w:fldChar w:fldCharType="separate"/>
            </w:r>
            <w:r w:rsidR="00EB510D">
              <w:rPr>
                <w:noProof/>
                <w:webHidden/>
              </w:rPr>
              <w:t>8</w:t>
            </w:r>
            <w:r w:rsidR="00EB510D">
              <w:rPr>
                <w:noProof/>
                <w:webHidden/>
              </w:rPr>
              <w:fldChar w:fldCharType="end"/>
            </w:r>
          </w:hyperlink>
        </w:p>
        <w:p w14:paraId="42675D85" w14:textId="59025139" w:rsidR="00EB510D" w:rsidRDefault="001565C3">
          <w:pPr>
            <w:pStyle w:val="TOC2"/>
            <w:tabs>
              <w:tab w:val="right" w:leader="dot" w:pos="9350"/>
            </w:tabs>
            <w:rPr>
              <w:rFonts w:eastAsiaTheme="minorEastAsia"/>
              <w:noProof/>
              <w:lang w:bidi="ar-SA"/>
            </w:rPr>
          </w:pPr>
          <w:hyperlink w:anchor="_Toc39503333" w:history="1">
            <w:r w:rsidR="00EB510D" w:rsidRPr="00F90A3E">
              <w:rPr>
                <w:rStyle w:val="Hyperlink"/>
                <w:noProof/>
              </w:rPr>
              <w:t>Fund Administration</w:t>
            </w:r>
            <w:r w:rsidR="00EB510D">
              <w:rPr>
                <w:noProof/>
                <w:webHidden/>
              </w:rPr>
              <w:tab/>
            </w:r>
            <w:r w:rsidR="00EB510D">
              <w:rPr>
                <w:noProof/>
                <w:webHidden/>
              </w:rPr>
              <w:fldChar w:fldCharType="begin"/>
            </w:r>
            <w:r w:rsidR="00EB510D">
              <w:rPr>
                <w:noProof/>
                <w:webHidden/>
              </w:rPr>
              <w:instrText xml:space="preserve"> PAGEREF _Toc39503333 \h </w:instrText>
            </w:r>
            <w:r w:rsidR="00EB510D">
              <w:rPr>
                <w:noProof/>
                <w:webHidden/>
              </w:rPr>
            </w:r>
            <w:r w:rsidR="00EB510D">
              <w:rPr>
                <w:noProof/>
                <w:webHidden/>
              </w:rPr>
              <w:fldChar w:fldCharType="separate"/>
            </w:r>
            <w:r w:rsidR="00EB510D">
              <w:rPr>
                <w:noProof/>
                <w:webHidden/>
              </w:rPr>
              <w:t>10</w:t>
            </w:r>
            <w:r w:rsidR="00EB510D">
              <w:rPr>
                <w:noProof/>
                <w:webHidden/>
              </w:rPr>
              <w:fldChar w:fldCharType="end"/>
            </w:r>
          </w:hyperlink>
        </w:p>
        <w:p w14:paraId="127B8984" w14:textId="06372528" w:rsidR="00EB510D" w:rsidRDefault="001565C3">
          <w:pPr>
            <w:pStyle w:val="TOC2"/>
            <w:tabs>
              <w:tab w:val="right" w:leader="dot" w:pos="9350"/>
            </w:tabs>
            <w:rPr>
              <w:rFonts w:eastAsiaTheme="minorEastAsia"/>
              <w:noProof/>
              <w:lang w:bidi="ar-SA"/>
            </w:rPr>
          </w:pPr>
          <w:hyperlink w:anchor="_Toc39503334" w:history="1">
            <w:r w:rsidR="00EB510D" w:rsidRPr="00F90A3E">
              <w:rPr>
                <w:rStyle w:val="Hyperlink"/>
                <w:noProof/>
              </w:rPr>
              <w:t>Fund Implementation</w:t>
            </w:r>
            <w:r w:rsidR="00EB510D">
              <w:rPr>
                <w:noProof/>
                <w:webHidden/>
              </w:rPr>
              <w:tab/>
            </w:r>
            <w:r w:rsidR="00EB510D">
              <w:rPr>
                <w:noProof/>
                <w:webHidden/>
              </w:rPr>
              <w:fldChar w:fldCharType="begin"/>
            </w:r>
            <w:r w:rsidR="00EB510D">
              <w:rPr>
                <w:noProof/>
                <w:webHidden/>
              </w:rPr>
              <w:instrText xml:space="preserve"> PAGEREF _Toc39503334 \h </w:instrText>
            </w:r>
            <w:r w:rsidR="00EB510D">
              <w:rPr>
                <w:noProof/>
                <w:webHidden/>
              </w:rPr>
            </w:r>
            <w:r w:rsidR="00EB510D">
              <w:rPr>
                <w:noProof/>
                <w:webHidden/>
              </w:rPr>
              <w:fldChar w:fldCharType="separate"/>
            </w:r>
            <w:r w:rsidR="00EB510D">
              <w:rPr>
                <w:noProof/>
                <w:webHidden/>
              </w:rPr>
              <w:t>11</w:t>
            </w:r>
            <w:r w:rsidR="00EB510D">
              <w:rPr>
                <w:noProof/>
                <w:webHidden/>
              </w:rPr>
              <w:fldChar w:fldCharType="end"/>
            </w:r>
          </w:hyperlink>
        </w:p>
        <w:p w14:paraId="28574A65" w14:textId="7EF26154" w:rsidR="00EB510D" w:rsidRDefault="001565C3">
          <w:pPr>
            <w:pStyle w:val="TOC1"/>
            <w:tabs>
              <w:tab w:val="left" w:pos="440"/>
              <w:tab w:val="right" w:leader="dot" w:pos="9350"/>
            </w:tabs>
            <w:rPr>
              <w:rFonts w:eastAsiaTheme="minorEastAsia"/>
              <w:noProof/>
              <w:lang w:bidi="ar-SA"/>
            </w:rPr>
          </w:pPr>
          <w:hyperlink w:anchor="_Toc39503335" w:history="1">
            <w:r w:rsidR="00EB510D" w:rsidRPr="00F90A3E">
              <w:rPr>
                <w:rStyle w:val="Hyperlink"/>
                <w:b/>
                <w:noProof/>
              </w:rPr>
              <w:t>5.</w:t>
            </w:r>
            <w:r w:rsidR="00EB510D">
              <w:rPr>
                <w:rFonts w:eastAsiaTheme="minorEastAsia"/>
                <w:noProof/>
                <w:lang w:bidi="ar-SA"/>
              </w:rPr>
              <w:tab/>
            </w:r>
            <w:r w:rsidR="00EB510D" w:rsidRPr="00F90A3E">
              <w:rPr>
                <w:rStyle w:val="Hyperlink"/>
                <w:b/>
                <w:noProof/>
              </w:rPr>
              <w:t>Contributions</w:t>
            </w:r>
            <w:r w:rsidR="00EB510D">
              <w:rPr>
                <w:noProof/>
                <w:webHidden/>
              </w:rPr>
              <w:tab/>
            </w:r>
            <w:r w:rsidR="00EB510D">
              <w:rPr>
                <w:noProof/>
                <w:webHidden/>
              </w:rPr>
              <w:fldChar w:fldCharType="begin"/>
            </w:r>
            <w:r w:rsidR="00EB510D">
              <w:rPr>
                <w:noProof/>
                <w:webHidden/>
              </w:rPr>
              <w:instrText xml:space="preserve"> PAGEREF _Toc39503335 \h </w:instrText>
            </w:r>
            <w:r w:rsidR="00EB510D">
              <w:rPr>
                <w:noProof/>
                <w:webHidden/>
              </w:rPr>
            </w:r>
            <w:r w:rsidR="00EB510D">
              <w:rPr>
                <w:noProof/>
                <w:webHidden/>
              </w:rPr>
              <w:fldChar w:fldCharType="separate"/>
            </w:r>
            <w:r w:rsidR="00EB510D">
              <w:rPr>
                <w:noProof/>
                <w:webHidden/>
              </w:rPr>
              <w:t>11</w:t>
            </w:r>
            <w:r w:rsidR="00EB510D">
              <w:rPr>
                <w:noProof/>
                <w:webHidden/>
              </w:rPr>
              <w:fldChar w:fldCharType="end"/>
            </w:r>
          </w:hyperlink>
        </w:p>
        <w:p w14:paraId="37CDDC6F" w14:textId="6466C967" w:rsidR="00EB510D" w:rsidRDefault="001565C3">
          <w:pPr>
            <w:pStyle w:val="TOC1"/>
            <w:tabs>
              <w:tab w:val="left" w:pos="440"/>
              <w:tab w:val="right" w:leader="dot" w:pos="9350"/>
            </w:tabs>
            <w:rPr>
              <w:rFonts w:eastAsiaTheme="minorEastAsia"/>
              <w:noProof/>
              <w:lang w:bidi="ar-SA"/>
            </w:rPr>
          </w:pPr>
          <w:hyperlink w:anchor="_Toc39503336" w:history="1">
            <w:r w:rsidR="00EB510D" w:rsidRPr="00F90A3E">
              <w:rPr>
                <w:rStyle w:val="Hyperlink"/>
                <w:b/>
                <w:noProof/>
              </w:rPr>
              <w:t>6.</w:t>
            </w:r>
            <w:r w:rsidR="00EB510D">
              <w:rPr>
                <w:rFonts w:eastAsiaTheme="minorEastAsia"/>
                <w:noProof/>
                <w:lang w:bidi="ar-SA"/>
              </w:rPr>
              <w:tab/>
            </w:r>
            <w:r w:rsidR="00EB510D" w:rsidRPr="00F90A3E">
              <w:rPr>
                <w:rStyle w:val="Hyperlink"/>
                <w:b/>
                <w:noProof/>
              </w:rPr>
              <w:t>Project Approval Process</w:t>
            </w:r>
            <w:r w:rsidR="00EB510D">
              <w:rPr>
                <w:noProof/>
                <w:webHidden/>
              </w:rPr>
              <w:tab/>
            </w:r>
            <w:r w:rsidR="00EB510D">
              <w:rPr>
                <w:noProof/>
                <w:webHidden/>
              </w:rPr>
              <w:fldChar w:fldCharType="begin"/>
            </w:r>
            <w:r w:rsidR="00EB510D">
              <w:rPr>
                <w:noProof/>
                <w:webHidden/>
              </w:rPr>
              <w:instrText xml:space="preserve"> PAGEREF _Toc39503336 \h </w:instrText>
            </w:r>
            <w:r w:rsidR="00EB510D">
              <w:rPr>
                <w:noProof/>
                <w:webHidden/>
              </w:rPr>
            </w:r>
            <w:r w:rsidR="00EB510D">
              <w:rPr>
                <w:noProof/>
                <w:webHidden/>
              </w:rPr>
              <w:fldChar w:fldCharType="separate"/>
            </w:r>
            <w:r w:rsidR="00EB510D">
              <w:rPr>
                <w:noProof/>
                <w:webHidden/>
              </w:rPr>
              <w:t>11</w:t>
            </w:r>
            <w:r w:rsidR="00EB510D">
              <w:rPr>
                <w:noProof/>
                <w:webHidden/>
              </w:rPr>
              <w:fldChar w:fldCharType="end"/>
            </w:r>
          </w:hyperlink>
        </w:p>
        <w:p w14:paraId="6F8E5CB2" w14:textId="75C49C6E" w:rsidR="00EB510D" w:rsidRDefault="001565C3">
          <w:pPr>
            <w:pStyle w:val="TOC2"/>
            <w:tabs>
              <w:tab w:val="right" w:leader="dot" w:pos="9350"/>
            </w:tabs>
            <w:rPr>
              <w:rFonts w:eastAsiaTheme="minorEastAsia"/>
              <w:noProof/>
              <w:lang w:bidi="ar-SA"/>
            </w:rPr>
          </w:pPr>
          <w:hyperlink w:anchor="_Toc39503337" w:history="1">
            <w:r w:rsidR="00EB510D" w:rsidRPr="00F90A3E">
              <w:rPr>
                <w:rStyle w:val="Hyperlink"/>
                <w:noProof/>
              </w:rPr>
              <w:t>6.1. Rapid cycle</w:t>
            </w:r>
            <w:r w:rsidR="00EB510D">
              <w:rPr>
                <w:noProof/>
                <w:webHidden/>
              </w:rPr>
              <w:tab/>
            </w:r>
            <w:r w:rsidR="00EB510D">
              <w:rPr>
                <w:noProof/>
                <w:webHidden/>
              </w:rPr>
              <w:fldChar w:fldCharType="begin"/>
            </w:r>
            <w:r w:rsidR="00EB510D">
              <w:rPr>
                <w:noProof/>
                <w:webHidden/>
              </w:rPr>
              <w:instrText xml:space="preserve"> PAGEREF _Toc39503337 \h </w:instrText>
            </w:r>
            <w:r w:rsidR="00EB510D">
              <w:rPr>
                <w:noProof/>
                <w:webHidden/>
              </w:rPr>
            </w:r>
            <w:r w:rsidR="00EB510D">
              <w:rPr>
                <w:noProof/>
                <w:webHidden/>
              </w:rPr>
              <w:fldChar w:fldCharType="separate"/>
            </w:r>
            <w:r w:rsidR="00EB510D">
              <w:rPr>
                <w:noProof/>
                <w:webHidden/>
              </w:rPr>
              <w:t>11</w:t>
            </w:r>
            <w:r w:rsidR="00EB510D">
              <w:rPr>
                <w:noProof/>
                <w:webHidden/>
              </w:rPr>
              <w:fldChar w:fldCharType="end"/>
            </w:r>
          </w:hyperlink>
        </w:p>
        <w:p w14:paraId="438718B7" w14:textId="3E099EA7" w:rsidR="00EB510D" w:rsidRDefault="001565C3">
          <w:pPr>
            <w:pStyle w:val="TOC2"/>
            <w:tabs>
              <w:tab w:val="right" w:leader="dot" w:pos="9350"/>
            </w:tabs>
            <w:rPr>
              <w:rFonts w:eastAsiaTheme="minorEastAsia"/>
              <w:noProof/>
              <w:lang w:bidi="ar-SA"/>
            </w:rPr>
          </w:pPr>
          <w:hyperlink w:anchor="_Toc39503338" w:history="1">
            <w:r w:rsidR="00EB510D" w:rsidRPr="00F90A3E">
              <w:rPr>
                <w:rStyle w:val="Hyperlink"/>
                <w:noProof/>
              </w:rPr>
              <w:t>6.2. Regular cycle</w:t>
            </w:r>
            <w:r w:rsidR="00EB510D">
              <w:rPr>
                <w:noProof/>
                <w:webHidden/>
              </w:rPr>
              <w:tab/>
            </w:r>
            <w:r w:rsidR="00EB510D">
              <w:rPr>
                <w:noProof/>
                <w:webHidden/>
              </w:rPr>
              <w:fldChar w:fldCharType="begin"/>
            </w:r>
            <w:r w:rsidR="00EB510D">
              <w:rPr>
                <w:noProof/>
                <w:webHidden/>
              </w:rPr>
              <w:instrText xml:space="preserve"> PAGEREF _Toc39503338 \h </w:instrText>
            </w:r>
            <w:r w:rsidR="00EB510D">
              <w:rPr>
                <w:noProof/>
                <w:webHidden/>
              </w:rPr>
            </w:r>
            <w:r w:rsidR="00EB510D">
              <w:rPr>
                <w:noProof/>
                <w:webHidden/>
              </w:rPr>
              <w:fldChar w:fldCharType="separate"/>
            </w:r>
            <w:r w:rsidR="00EB510D">
              <w:rPr>
                <w:noProof/>
                <w:webHidden/>
              </w:rPr>
              <w:t>12</w:t>
            </w:r>
            <w:r w:rsidR="00EB510D">
              <w:rPr>
                <w:noProof/>
                <w:webHidden/>
              </w:rPr>
              <w:fldChar w:fldCharType="end"/>
            </w:r>
          </w:hyperlink>
        </w:p>
        <w:p w14:paraId="30CC0EA8" w14:textId="01B6B6EE" w:rsidR="00EB510D" w:rsidRDefault="001565C3">
          <w:pPr>
            <w:pStyle w:val="TOC3"/>
            <w:tabs>
              <w:tab w:val="right" w:leader="dot" w:pos="9350"/>
            </w:tabs>
            <w:rPr>
              <w:rFonts w:eastAsiaTheme="minorEastAsia"/>
              <w:noProof/>
              <w:lang w:bidi="ar-SA"/>
            </w:rPr>
          </w:pPr>
          <w:hyperlink w:anchor="_Toc39503339" w:history="1">
            <w:r w:rsidR="00EB510D" w:rsidRPr="00F90A3E">
              <w:rPr>
                <w:rStyle w:val="Hyperlink"/>
                <w:noProof/>
              </w:rPr>
              <w:t>6.1.1 Project identification, design and submission</w:t>
            </w:r>
            <w:r w:rsidR="00EB510D">
              <w:rPr>
                <w:noProof/>
                <w:webHidden/>
              </w:rPr>
              <w:tab/>
            </w:r>
            <w:r w:rsidR="00EB510D">
              <w:rPr>
                <w:noProof/>
                <w:webHidden/>
              </w:rPr>
              <w:fldChar w:fldCharType="begin"/>
            </w:r>
            <w:r w:rsidR="00EB510D">
              <w:rPr>
                <w:noProof/>
                <w:webHidden/>
              </w:rPr>
              <w:instrText xml:space="preserve"> PAGEREF _Toc39503339 \h </w:instrText>
            </w:r>
            <w:r w:rsidR="00EB510D">
              <w:rPr>
                <w:noProof/>
                <w:webHidden/>
              </w:rPr>
            </w:r>
            <w:r w:rsidR="00EB510D">
              <w:rPr>
                <w:noProof/>
                <w:webHidden/>
              </w:rPr>
              <w:fldChar w:fldCharType="separate"/>
            </w:r>
            <w:r w:rsidR="00EB510D">
              <w:rPr>
                <w:noProof/>
                <w:webHidden/>
              </w:rPr>
              <w:t>12</w:t>
            </w:r>
            <w:r w:rsidR="00EB510D">
              <w:rPr>
                <w:noProof/>
                <w:webHidden/>
              </w:rPr>
              <w:fldChar w:fldCharType="end"/>
            </w:r>
          </w:hyperlink>
        </w:p>
        <w:p w14:paraId="1F5B0545" w14:textId="49A026FB" w:rsidR="00EB510D" w:rsidRDefault="001565C3">
          <w:pPr>
            <w:pStyle w:val="TOC3"/>
            <w:tabs>
              <w:tab w:val="right" w:leader="dot" w:pos="9350"/>
            </w:tabs>
            <w:rPr>
              <w:rFonts w:eastAsiaTheme="minorEastAsia"/>
              <w:noProof/>
              <w:lang w:bidi="ar-SA"/>
            </w:rPr>
          </w:pPr>
          <w:hyperlink w:anchor="_Toc39503340" w:history="1">
            <w:r w:rsidR="00EB510D" w:rsidRPr="00F90A3E">
              <w:rPr>
                <w:rStyle w:val="Hyperlink"/>
                <w:noProof/>
              </w:rPr>
              <w:t>6.1.2. Review of Projects</w:t>
            </w:r>
            <w:r w:rsidR="00EB510D">
              <w:rPr>
                <w:noProof/>
                <w:webHidden/>
              </w:rPr>
              <w:tab/>
            </w:r>
            <w:r w:rsidR="00EB510D">
              <w:rPr>
                <w:noProof/>
                <w:webHidden/>
              </w:rPr>
              <w:fldChar w:fldCharType="begin"/>
            </w:r>
            <w:r w:rsidR="00EB510D">
              <w:rPr>
                <w:noProof/>
                <w:webHidden/>
              </w:rPr>
              <w:instrText xml:space="preserve"> PAGEREF _Toc39503340 \h </w:instrText>
            </w:r>
            <w:r w:rsidR="00EB510D">
              <w:rPr>
                <w:noProof/>
                <w:webHidden/>
              </w:rPr>
            </w:r>
            <w:r w:rsidR="00EB510D">
              <w:rPr>
                <w:noProof/>
                <w:webHidden/>
              </w:rPr>
              <w:fldChar w:fldCharType="separate"/>
            </w:r>
            <w:r w:rsidR="00EB510D">
              <w:rPr>
                <w:noProof/>
                <w:webHidden/>
              </w:rPr>
              <w:t>12</w:t>
            </w:r>
            <w:r w:rsidR="00EB510D">
              <w:rPr>
                <w:noProof/>
                <w:webHidden/>
              </w:rPr>
              <w:fldChar w:fldCharType="end"/>
            </w:r>
          </w:hyperlink>
        </w:p>
        <w:p w14:paraId="01E5F16D" w14:textId="7B7DC4D4" w:rsidR="00EB510D" w:rsidRDefault="001565C3">
          <w:pPr>
            <w:pStyle w:val="TOC3"/>
            <w:tabs>
              <w:tab w:val="right" w:leader="dot" w:pos="9350"/>
            </w:tabs>
            <w:rPr>
              <w:rFonts w:eastAsiaTheme="minorEastAsia"/>
              <w:noProof/>
              <w:lang w:bidi="ar-SA"/>
            </w:rPr>
          </w:pPr>
          <w:hyperlink w:anchor="_Toc39503341" w:history="1">
            <w:r w:rsidR="00EB510D" w:rsidRPr="00F90A3E">
              <w:rPr>
                <w:rStyle w:val="Hyperlink"/>
                <w:noProof/>
              </w:rPr>
              <w:t>6.1.3. Project approval and funds transfer</w:t>
            </w:r>
            <w:r w:rsidR="00EB510D">
              <w:rPr>
                <w:noProof/>
                <w:webHidden/>
              </w:rPr>
              <w:tab/>
            </w:r>
            <w:r w:rsidR="00EB510D">
              <w:rPr>
                <w:noProof/>
                <w:webHidden/>
              </w:rPr>
              <w:fldChar w:fldCharType="begin"/>
            </w:r>
            <w:r w:rsidR="00EB510D">
              <w:rPr>
                <w:noProof/>
                <w:webHidden/>
              </w:rPr>
              <w:instrText xml:space="preserve"> PAGEREF _Toc39503341 \h </w:instrText>
            </w:r>
            <w:r w:rsidR="00EB510D">
              <w:rPr>
                <w:noProof/>
                <w:webHidden/>
              </w:rPr>
            </w:r>
            <w:r w:rsidR="00EB510D">
              <w:rPr>
                <w:noProof/>
                <w:webHidden/>
              </w:rPr>
              <w:fldChar w:fldCharType="separate"/>
            </w:r>
            <w:r w:rsidR="00EB510D">
              <w:rPr>
                <w:noProof/>
                <w:webHidden/>
              </w:rPr>
              <w:t>13</w:t>
            </w:r>
            <w:r w:rsidR="00EB510D">
              <w:rPr>
                <w:noProof/>
                <w:webHidden/>
              </w:rPr>
              <w:fldChar w:fldCharType="end"/>
            </w:r>
          </w:hyperlink>
        </w:p>
        <w:p w14:paraId="6D6B8F67" w14:textId="6676B0D3" w:rsidR="00EB510D" w:rsidRDefault="001565C3">
          <w:pPr>
            <w:pStyle w:val="TOC1"/>
            <w:tabs>
              <w:tab w:val="left" w:pos="440"/>
              <w:tab w:val="right" w:leader="dot" w:pos="9350"/>
            </w:tabs>
            <w:rPr>
              <w:rFonts w:eastAsiaTheme="minorEastAsia"/>
              <w:noProof/>
              <w:lang w:bidi="ar-SA"/>
            </w:rPr>
          </w:pPr>
          <w:hyperlink w:anchor="_Toc39503342" w:history="1">
            <w:r w:rsidR="00EB510D" w:rsidRPr="00F90A3E">
              <w:rPr>
                <w:rStyle w:val="Hyperlink"/>
                <w:b/>
                <w:noProof/>
              </w:rPr>
              <w:t>7.</w:t>
            </w:r>
            <w:r w:rsidR="00EB510D">
              <w:rPr>
                <w:rFonts w:eastAsiaTheme="minorEastAsia"/>
                <w:noProof/>
                <w:lang w:bidi="ar-SA"/>
              </w:rPr>
              <w:tab/>
            </w:r>
            <w:r w:rsidR="00EB510D" w:rsidRPr="00F90A3E">
              <w:rPr>
                <w:rStyle w:val="Hyperlink"/>
                <w:b/>
                <w:noProof/>
              </w:rPr>
              <w:t>Risk management</w:t>
            </w:r>
            <w:r w:rsidR="00EB510D">
              <w:rPr>
                <w:noProof/>
                <w:webHidden/>
              </w:rPr>
              <w:tab/>
            </w:r>
            <w:r w:rsidR="00EB510D">
              <w:rPr>
                <w:noProof/>
                <w:webHidden/>
              </w:rPr>
              <w:fldChar w:fldCharType="begin"/>
            </w:r>
            <w:r w:rsidR="00EB510D">
              <w:rPr>
                <w:noProof/>
                <w:webHidden/>
              </w:rPr>
              <w:instrText xml:space="preserve"> PAGEREF _Toc39503342 \h </w:instrText>
            </w:r>
            <w:r w:rsidR="00EB510D">
              <w:rPr>
                <w:noProof/>
                <w:webHidden/>
              </w:rPr>
            </w:r>
            <w:r w:rsidR="00EB510D">
              <w:rPr>
                <w:noProof/>
                <w:webHidden/>
              </w:rPr>
              <w:fldChar w:fldCharType="separate"/>
            </w:r>
            <w:r w:rsidR="00EB510D">
              <w:rPr>
                <w:noProof/>
                <w:webHidden/>
              </w:rPr>
              <w:t>13</w:t>
            </w:r>
            <w:r w:rsidR="00EB510D">
              <w:rPr>
                <w:noProof/>
                <w:webHidden/>
              </w:rPr>
              <w:fldChar w:fldCharType="end"/>
            </w:r>
          </w:hyperlink>
        </w:p>
        <w:p w14:paraId="52695416" w14:textId="78330773" w:rsidR="00EB510D" w:rsidRDefault="001565C3">
          <w:pPr>
            <w:pStyle w:val="TOC1"/>
            <w:tabs>
              <w:tab w:val="left" w:pos="440"/>
              <w:tab w:val="right" w:leader="dot" w:pos="9350"/>
            </w:tabs>
            <w:rPr>
              <w:rFonts w:eastAsiaTheme="minorEastAsia"/>
              <w:noProof/>
              <w:lang w:bidi="ar-SA"/>
            </w:rPr>
          </w:pPr>
          <w:hyperlink w:anchor="_Toc39503343" w:history="1">
            <w:r w:rsidR="00EB510D" w:rsidRPr="00F90A3E">
              <w:rPr>
                <w:rStyle w:val="Hyperlink"/>
                <w:b/>
                <w:noProof/>
              </w:rPr>
              <w:t>8.</w:t>
            </w:r>
            <w:r w:rsidR="00EB510D">
              <w:rPr>
                <w:rFonts w:eastAsiaTheme="minorEastAsia"/>
                <w:noProof/>
                <w:lang w:bidi="ar-SA"/>
              </w:rPr>
              <w:tab/>
            </w:r>
            <w:r w:rsidR="00EB510D" w:rsidRPr="00F90A3E">
              <w:rPr>
                <w:rStyle w:val="Hyperlink"/>
                <w:b/>
                <w:noProof/>
              </w:rPr>
              <w:t>Monitoring, evaluation and report</w:t>
            </w:r>
            <w:r w:rsidR="00EB510D">
              <w:rPr>
                <w:noProof/>
                <w:webHidden/>
              </w:rPr>
              <w:tab/>
            </w:r>
            <w:r w:rsidR="00EB510D">
              <w:rPr>
                <w:noProof/>
                <w:webHidden/>
              </w:rPr>
              <w:fldChar w:fldCharType="begin"/>
            </w:r>
            <w:r w:rsidR="00EB510D">
              <w:rPr>
                <w:noProof/>
                <w:webHidden/>
              </w:rPr>
              <w:instrText xml:space="preserve"> PAGEREF _Toc39503343 \h </w:instrText>
            </w:r>
            <w:r w:rsidR="00EB510D">
              <w:rPr>
                <w:noProof/>
                <w:webHidden/>
              </w:rPr>
            </w:r>
            <w:r w:rsidR="00EB510D">
              <w:rPr>
                <w:noProof/>
                <w:webHidden/>
              </w:rPr>
              <w:fldChar w:fldCharType="separate"/>
            </w:r>
            <w:r w:rsidR="00EB510D">
              <w:rPr>
                <w:noProof/>
                <w:webHidden/>
              </w:rPr>
              <w:t>14</w:t>
            </w:r>
            <w:r w:rsidR="00EB510D">
              <w:rPr>
                <w:noProof/>
                <w:webHidden/>
              </w:rPr>
              <w:fldChar w:fldCharType="end"/>
            </w:r>
          </w:hyperlink>
        </w:p>
        <w:p w14:paraId="2DCBAF87" w14:textId="624FB965" w:rsidR="00EB510D" w:rsidRDefault="001565C3">
          <w:pPr>
            <w:pStyle w:val="TOC2"/>
            <w:tabs>
              <w:tab w:val="right" w:leader="dot" w:pos="9350"/>
            </w:tabs>
            <w:rPr>
              <w:rFonts w:eastAsiaTheme="minorEastAsia"/>
              <w:noProof/>
              <w:lang w:bidi="ar-SA"/>
            </w:rPr>
          </w:pPr>
          <w:hyperlink w:anchor="_Toc39503344" w:history="1">
            <w:r w:rsidR="00EB510D" w:rsidRPr="00F90A3E">
              <w:rPr>
                <w:rStyle w:val="Hyperlink"/>
                <w:noProof/>
              </w:rPr>
              <w:t>8.1 Monitoring</w:t>
            </w:r>
            <w:r w:rsidR="00EB510D">
              <w:rPr>
                <w:noProof/>
                <w:webHidden/>
              </w:rPr>
              <w:tab/>
            </w:r>
            <w:r w:rsidR="00EB510D">
              <w:rPr>
                <w:noProof/>
                <w:webHidden/>
              </w:rPr>
              <w:fldChar w:fldCharType="begin"/>
            </w:r>
            <w:r w:rsidR="00EB510D">
              <w:rPr>
                <w:noProof/>
                <w:webHidden/>
              </w:rPr>
              <w:instrText xml:space="preserve"> PAGEREF _Toc39503344 \h </w:instrText>
            </w:r>
            <w:r w:rsidR="00EB510D">
              <w:rPr>
                <w:noProof/>
                <w:webHidden/>
              </w:rPr>
            </w:r>
            <w:r w:rsidR="00EB510D">
              <w:rPr>
                <w:noProof/>
                <w:webHidden/>
              </w:rPr>
              <w:fldChar w:fldCharType="separate"/>
            </w:r>
            <w:r w:rsidR="00EB510D">
              <w:rPr>
                <w:noProof/>
                <w:webHidden/>
              </w:rPr>
              <w:t>14</w:t>
            </w:r>
            <w:r w:rsidR="00EB510D">
              <w:rPr>
                <w:noProof/>
                <w:webHidden/>
              </w:rPr>
              <w:fldChar w:fldCharType="end"/>
            </w:r>
          </w:hyperlink>
        </w:p>
        <w:p w14:paraId="7A199838" w14:textId="35CE21F9" w:rsidR="00EB510D" w:rsidRDefault="001565C3">
          <w:pPr>
            <w:pStyle w:val="TOC2"/>
            <w:tabs>
              <w:tab w:val="right" w:leader="dot" w:pos="9350"/>
            </w:tabs>
            <w:rPr>
              <w:rFonts w:eastAsiaTheme="minorEastAsia"/>
              <w:noProof/>
              <w:lang w:bidi="ar-SA"/>
            </w:rPr>
          </w:pPr>
          <w:hyperlink w:anchor="_Toc39503345" w:history="1">
            <w:r w:rsidR="00EB510D" w:rsidRPr="00F90A3E">
              <w:rPr>
                <w:rStyle w:val="Hyperlink"/>
                <w:noProof/>
              </w:rPr>
              <w:t>8.2 Evaluation</w:t>
            </w:r>
            <w:r w:rsidR="00EB510D">
              <w:rPr>
                <w:noProof/>
                <w:webHidden/>
              </w:rPr>
              <w:tab/>
            </w:r>
            <w:r w:rsidR="00EB510D">
              <w:rPr>
                <w:noProof/>
                <w:webHidden/>
              </w:rPr>
              <w:fldChar w:fldCharType="begin"/>
            </w:r>
            <w:r w:rsidR="00EB510D">
              <w:rPr>
                <w:noProof/>
                <w:webHidden/>
              </w:rPr>
              <w:instrText xml:space="preserve"> PAGEREF _Toc39503345 \h </w:instrText>
            </w:r>
            <w:r w:rsidR="00EB510D">
              <w:rPr>
                <w:noProof/>
                <w:webHidden/>
              </w:rPr>
            </w:r>
            <w:r w:rsidR="00EB510D">
              <w:rPr>
                <w:noProof/>
                <w:webHidden/>
              </w:rPr>
              <w:fldChar w:fldCharType="separate"/>
            </w:r>
            <w:r w:rsidR="00EB510D">
              <w:rPr>
                <w:noProof/>
                <w:webHidden/>
              </w:rPr>
              <w:t>15</w:t>
            </w:r>
            <w:r w:rsidR="00EB510D">
              <w:rPr>
                <w:noProof/>
                <w:webHidden/>
              </w:rPr>
              <w:fldChar w:fldCharType="end"/>
            </w:r>
          </w:hyperlink>
        </w:p>
        <w:p w14:paraId="42F195CD" w14:textId="7F188DD6" w:rsidR="00EB510D" w:rsidRDefault="001565C3">
          <w:pPr>
            <w:pStyle w:val="TOC2"/>
            <w:tabs>
              <w:tab w:val="right" w:leader="dot" w:pos="9350"/>
            </w:tabs>
            <w:rPr>
              <w:rFonts w:eastAsiaTheme="minorEastAsia"/>
              <w:noProof/>
              <w:lang w:bidi="ar-SA"/>
            </w:rPr>
          </w:pPr>
          <w:hyperlink w:anchor="_Toc39503346" w:history="1">
            <w:r w:rsidR="00EB510D" w:rsidRPr="00F90A3E">
              <w:rPr>
                <w:rStyle w:val="Hyperlink"/>
                <w:noProof/>
              </w:rPr>
              <w:t>8.3 Reporting:</w:t>
            </w:r>
            <w:r w:rsidR="00EB510D">
              <w:rPr>
                <w:noProof/>
                <w:webHidden/>
              </w:rPr>
              <w:tab/>
            </w:r>
            <w:r w:rsidR="00EB510D">
              <w:rPr>
                <w:noProof/>
                <w:webHidden/>
              </w:rPr>
              <w:fldChar w:fldCharType="begin"/>
            </w:r>
            <w:r w:rsidR="00EB510D">
              <w:rPr>
                <w:noProof/>
                <w:webHidden/>
              </w:rPr>
              <w:instrText xml:space="preserve"> PAGEREF _Toc39503346 \h </w:instrText>
            </w:r>
            <w:r w:rsidR="00EB510D">
              <w:rPr>
                <w:noProof/>
                <w:webHidden/>
              </w:rPr>
            </w:r>
            <w:r w:rsidR="00EB510D">
              <w:rPr>
                <w:noProof/>
                <w:webHidden/>
              </w:rPr>
              <w:fldChar w:fldCharType="separate"/>
            </w:r>
            <w:r w:rsidR="00EB510D">
              <w:rPr>
                <w:noProof/>
                <w:webHidden/>
              </w:rPr>
              <w:t>15</w:t>
            </w:r>
            <w:r w:rsidR="00EB510D">
              <w:rPr>
                <w:noProof/>
                <w:webHidden/>
              </w:rPr>
              <w:fldChar w:fldCharType="end"/>
            </w:r>
          </w:hyperlink>
        </w:p>
        <w:p w14:paraId="490CC43F" w14:textId="436CBA04" w:rsidR="00EB510D" w:rsidRDefault="001565C3">
          <w:pPr>
            <w:pStyle w:val="TOC1"/>
            <w:tabs>
              <w:tab w:val="left" w:pos="440"/>
              <w:tab w:val="right" w:leader="dot" w:pos="9350"/>
            </w:tabs>
            <w:rPr>
              <w:rFonts w:eastAsiaTheme="minorEastAsia"/>
              <w:noProof/>
              <w:lang w:bidi="ar-SA"/>
            </w:rPr>
          </w:pPr>
          <w:hyperlink w:anchor="_Toc39503347" w:history="1">
            <w:r w:rsidR="00EB510D" w:rsidRPr="00F90A3E">
              <w:rPr>
                <w:rStyle w:val="Hyperlink"/>
                <w:b/>
                <w:noProof/>
              </w:rPr>
              <w:t>9.</w:t>
            </w:r>
            <w:r w:rsidR="00EB510D">
              <w:rPr>
                <w:rFonts w:eastAsiaTheme="minorEastAsia"/>
                <w:noProof/>
                <w:lang w:bidi="ar-SA"/>
              </w:rPr>
              <w:tab/>
            </w:r>
            <w:r w:rsidR="00EB510D" w:rsidRPr="00F90A3E">
              <w:rPr>
                <w:rStyle w:val="Hyperlink"/>
                <w:b/>
                <w:noProof/>
              </w:rPr>
              <w:t>Accountability and transparency</w:t>
            </w:r>
            <w:r w:rsidR="00EB510D">
              <w:rPr>
                <w:noProof/>
                <w:webHidden/>
              </w:rPr>
              <w:tab/>
            </w:r>
            <w:r w:rsidR="00EB510D">
              <w:rPr>
                <w:noProof/>
                <w:webHidden/>
              </w:rPr>
              <w:fldChar w:fldCharType="begin"/>
            </w:r>
            <w:r w:rsidR="00EB510D">
              <w:rPr>
                <w:noProof/>
                <w:webHidden/>
              </w:rPr>
              <w:instrText xml:space="preserve"> PAGEREF _Toc39503347 \h </w:instrText>
            </w:r>
            <w:r w:rsidR="00EB510D">
              <w:rPr>
                <w:noProof/>
                <w:webHidden/>
              </w:rPr>
            </w:r>
            <w:r w:rsidR="00EB510D">
              <w:rPr>
                <w:noProof/>
                <w:webHidden/>
              </w:rPr>
              <w:fldChar w:fldCharType="separate"/>
            </w:r>
            <w:r w:rsidR="00EB510D">
              <w:rPr>
                <w:noProof/>
                <w:webHidden/>
              </w:rPr>
              <w:t>16</w:t>
            </w:r>
            <w:r w:rsidR="00EB510D">
              <w:rPr>
                <w:noProof/>
                <w:webHidden/>
              </w:rPr>
              <w:fldChar w:fldCharType="end"/>
            </w:r>
          </w:hyperlink>
        </w:p>
        <w:p w14:paraId="09D17883" w14:textId="161A4851" w:rsidR="00EB510D" w:rsidRDefault="001565C3">
          <w:pPr>
            <w:pStyle w:val="TOC2"/>
            <w:tabs>
              <w:tab w:val="right" w:leader="dot" w:pos="9350"/>
            </w:tabs>
            <w:rPr>
              <w:rFonts w:eastAsiaTheme="minorEastAsia"/>
              <w:noProof/>
              <w:lang w:bidi="ar-SA"/>
            </w:rPr>
          </w:pPr>
          <w:hyperlink w:anchor="_Toc39503348" w:history="1">
            <w:r w:rsidR="00EB510D" w:rsidRPr="00F90A3E">
              <w:rPr>
                <w:rStyle w:val="Hyperlink"/>
                <w:noProof/>
              </w:rPr>
              <w:t>9.1 Accountability</w:t>
            </w:r>
            <w:r w:rsidR="00EB510D">
              <w:rPr>
                <w:noProof/>
                <w:webHidden/>
              </w:rPr>
              <w:tab/>
            </w:r>
            <w:r w:rsidR="00EB510D">
              <w:rPr>
                <w:noProof/>
                <w:webHidden/>
              </w:rPr>
              <w:fldChar w:fldCharType="begin"/>
            </w:r>
            <w:r w:rsidR="00EB510D">
              <w:rPr>
                <w:noProof/>
                <w:webHidden/>
              </w:rPr>
              <w:instrText xml:space="preserve"> PAGEREF _Toc39503348 \h </w:instrText>
            </w:r>
            <w:r w:rsidR="00EB510D">
              <w:rPr>
                <w:noProof/>
                <w:webHidden/>
              </w:rPr>
            </w:r>
            <w:r w:rsidR="00EB510D">
              <w:rPr>
                <w:noProof/>
                <w:webHidden/>
              </w:rPr>
              <w:fldChar w:fldCharType="separate"/>
            </w:r>
            <w:r w:rsidR="00EB510D">
              <w:rPr>
                <w:noProof/>
                <w:webHidden/>
              </w:rPr>
              <w:t>16</w:t>
            </w:r>
            <w:r w:rsidR="00EB510D">
              <w:rPr>
                <w:noProof/>
                <w:webHidden/>
              </w:rPr>
              <w:fldChar w:fldCharType="end"/>
            </w:r>
          </w:hyperlink>
        </w:p>
        <w:p w14:paraId="4408E1FA" w14:textId="065EB0C7" w:rsidR="00EB510D" w:rsidRDefault="001565C3">
          <w:pPr>
            <w:pStyle w:val="TOC2"/>
            <w:tabs>
              <w:tab w:val="right" w:leader="dot" w:pos="9350"/>
            </w:tabs>
            <w:rPr>
              <w:rFonts w:eastAsiaTheme="minorEastAsia"/>
              <w:noProof/>
              <w:lang w:bidi="ar-SA"/>
            </w:rPr>
          </w:pPr>
          <w:hyperlink w:anchor="_Toc39503349" w:history="1">
            <w:r w:rsidR="00EB510D" w:rsidRPr="00F90A3E">
              <w:rPr>
                <w:rStyle w:val="Hyperlink"/>
                <w:noProof/>
              </w:rPr>
              <w:t>9.2. Transparency</w:t>
            </w:r>
            <w:r w:rsidR="00EB510D">
              <w:rPr>
                <w:noProof/>
                <w:webHidden/>
              </w:rPr>
              <w:tab/>
            </w:r>
            <w:r w:rsidR="00EB510D">
              <w:rPr>
                <w:noProof/>
                <w:webHidden/>
              </w:rPr>
              <w:fldChar w:fldCharType="begin"/>
            </w:r>
            <w:r w:rsidR="00EB510D">
              <w:rPr>
                <w:noProof/>
                <w:webHidden/>
              </w:rPr>
              <w:instrText xml:space="preserve"> PAGEREF _Toc39503349 \h </w:instrText>
            </w:r>
            <w:r w:rsidR="00EB510D">
              <w:rPr>
                <w:noProof/>
                <w:webHidden/>
              </w:rPr>
            </w:r>
            <w:r w:rsidR="00EB510D">
              <w:rPr>
                <w:noProof/>
                <w:webHidden/>
              </w:rPr>
              <w:fldChar w:fldCharType="separate"/>
            </w:r>
            <w:r w:rsidR="00EB510D">
              <w:rPr>
                <w:noProof/>
                <w:webHidden/>
              </w:rPr>
              <w:t>16</w:t>
            </w:r>
            <w:r w:rsidR="00EB510D">
              <w:rPr>
                <w:noProof/>
                <w:webHidden/>
              </w:rPr>
              <w:fldChar w:fldCharType="end"/>
            </w:r>
          </w:hyperlink>
        </w:p>
        <w:p w14:paraId="23D209FD" w14:textId="60D83EEA" w:rsidR="00EB510D" w:rsidRDefault="001565C3">
          <w:pPr>
            <w:pStyle w:val="TOC1"/>
            <w:tabs>
              <w:tab w:val="left" w:pos="660"/>
              <w:tab w:val="right" w:leader="dot" w:pos="9350"/>
            </w:tabs>
            <w:rPr>
              <w:rFonts w:eastAsiaTheme="minorEastAsia"/>
              <w:noProof/>
              <w:lang w:bidi="ar-SA"/>
            </w:rPr>
          </w:pPr>
          <w:hyperlink w:anchor="_Toc39503350" w:history="1">
            <w:r w:rsidR="00EB510D" w:rsidRPr="00F90A3E">
              <w:rPr>
                <w:rStyle w:val="Hyperlink"/>
                <w:b/>
                <w:noProof/>
              </w:rPr>
              <w:t>10.</w:t>
            </w:r>
            <w:r w:rsidR="00EB510D">
              <w:rPr>
                <w:rFonts w:eastAsiaTheme="minorEastAsia"/>
                <w:noProof/>
                <w:lang w:bidi="ar-SA"/>
              </w:rPr>
              <w:tab/>
            </w:r>
            <w:r w:rsidR="00EB510D" w:rsidRPr="00F90A3E">
              <w:rPr>
                <w:rStyle w:val="Hyperlink"/>
                <w:b/>
                <w:noProof/>
              </w:rPr>
              <w:t>Amendments, duration and termination</w:t>
            </w:r>
            <w:r w:rsidR="00EB510D">
              <w:rPr>
                <w:noProof/>
                <w:webHidden/>
              </w:rPr>
              <w:tab/>
            </w:r>
            <w:r w:rsidR="00EB510D">
              <w:rPr>
                <w:noProof/>
                <w:webHidden/>
              </w:rPr>
              <w:fldChar w:fldCharType="begin"/>
            </w:r>
            <w:r w:rsidR="00EB510D">
              <w:rPr>
                <w:noProof/>
                <w:webHidden/>
              </w:rPr>
              <w:instrText xml:space="preserve"> PAGEREF _Toc39503350 \h </w:instrText>
            </w:r>
            <w:r w:rsidR="00EB510D">
              <w:rPr>
                <w:noProof/>
                <w:webHidden/>
              </w:rPr>
            </w:r>
            <w:r w:rsidR="00EB510D">
              <w:rPr>
                <w:noProof/>
                <w:webHidden/>
              </w:rPr>
              <w:fldChar w:fldCharType="separate"/>
            </w:r>
            <w:r w:rsidR="00EB510D">
              <w:rPr>
                <w:noProof/>
                <w:webHidden/>
              </w:rPr>
              <w:t>16</w:t>
            </w:r>
            <w:r w:rsidR="00EB510D">
              <w:rPr>
                <w:noProof/>
                <w:webHidden/>
              </w:rPr>
              <w:fldChar w:fldCharType="end"/>
            </w:r>
          </w:hyperlink>
        </w:p>
        <w:p w14:paraId="5B862086" w14:textId="59B559B9" w:rsidR="00E964A7" w:rsidRDefault="00F00FB3">
          <w:pPr>
            <w:pStyle w:val="TOC1"/>
            <w:tabs>
              <w:tab w:val="left" w:pos="440"/>
              <w:tab w:val="right" w:leader="dot" w:pos="9350"/>
            </w:tabs>
            <w:rPr>
              <w:rFonts w:eastAsiaTheme="minorEastAsia"/>
              <w:noProof/>
            </w:rPr>
          </w:pPr>
          <w:r>
            <w:rPr>
              <w:b/>
              <w:bCs/>
            </w:rPr>
            <w:fldChar w:fldCharType="end"/>
          </w:r>
        </w:p>
      </w:sdtContent>
    </w:sdt>
    <w:p w14:paraId="439AA8BE" w14:textId="77777777" w:rsidR="00155B5D" w:rsidRPr="00155B5D" w:rsidRDefault="00155B5D" w:rsidP="00155B5D">
      <w:pPr>
        <w:pStyle w:val="Heading1"/>
        <w:ind w:left="360"/>
      </w:pPr>
    </w:p>
    <w:p w14:paraId="1F4868BA" w14:textId="77777777" w:rsidR="00155B5D" w:rsidRDefault="00155B5D">
      <w:pPr>
        <w:rPr>
          <w:rFonts w:asciiTheme="majorHAnsi" w:eastAsiaTheme="majorEastAsia" w:hAnsiTheme="majorHAnsi" w:cstheme="majorBidi"/>
          <w:color w:val="2E74B5" w:themeColor="accent1" w:themeShade="BF"/>
          <w:sz w:val="32"/>
          <w:szCs w:val="32"/>
          <w:highlight w:val="lightGray"/>
        </w:rPr>
      </w:pPr>
      <w:r>
        <w:br w:type="page"/>
      </w:r>
    </w:p>
    <w:p w14:paraId="37E66A08" w14:textId="0CE294DB" w:rsidR="0039182F" w:rsidRPr="00436EB0" w:rsidRDefault="003E35E5" w:rsidP="00B31055">
      <w:pPr>
        <w:pStyle w:val="ListParagraph"/>
        <w:numPr>
          <w:ilvl w:val="0"/>
          <w:numId w:val="8"/>
        </w:numPr>
        <w:spacing w:after="0" w:line="240" w:lineRule="auto"/>
        <w:rPr>
          <w:rStyle w:val="Heading1Char"/>
          <w:b/>
        </w:rPr>
      </w:pPr>
      <w:bookmarkStart w:id="0" w:name="_Toc39503328"/>
      <w:r>
        <w:rPr>
          <w:rStyle w:val="Heading1Char"/>
          <w:b/>
        </w:rPr>
        <w:lastRenderedPageBreak/>
        <w:t>Introduction</w:t>
      </w:r>
      <w:bookmarkEnd w:id="0"/>
    </w:p>
    <w:p w14:paraId="1D7E932B" w14:textId="77777777" w:rsidR="0039182F" w:rsidRDefault="0039182F" w:rsidP="009235AD">
      <w:pPr>
        <w:spacing w:after="0" w:line="240" w:lineRule="auto"/>
        <w:jc w:val="both"/>
        <w:rPr>
          <w:bCs/>
        </w:rPr>
      </w:pPr>
    </w:p>
    <w:p w14:paraId="05010700" w14:textId="252BDB65" w:rsidR="006A0117" w:rsidRDefault="006A0117" w:rsidP="009235AD">
      <w:pPr>
        <w:jc w:val="both"/>
      </w:pPr>
      <w:bookmarkStart w:id="1" w:name="_Toc439066150"/>
      <w:bookmarkStart w:id="2" w:name="_Toc439066151"/>
      <w:bookmarkStart w:id="3" w:name="_Toc439066152"/>
      <w:bookmarkStart w:id="4" w:name="_Toc439066153"/>
      <w:bookmarkStart w:id="5" w:name="_Toc439066154"/>
      <w:bookmarkStart w:id="6" w:name="_Toc439066155"/>
      <w:bookmarkEnd w:id="1"/>
      <w:bookmarkEnd w:id="2"/>
      <w:bookmarkEnd w:id="3"/>
      <w:bookmarkEnd w:id="4"/>
      <w:bookmarkEnd w:id="5"/>
      <w:bookmarkEnd w:id="6"/>
      <w:r w:rsidRPr="006A0117">
        <w:t xml:space="preserve">The </w:t>
      </w:r>
      <w:r>
        <w:t xml:space="preserve">UN Uganda MPTF </w:t>
      </w:r>
      <w:r w:rsidRPr="006A0117">
        <w:t xml:space="preserve">aims to support coherent actions towards the accomplishment of the 2030 Agenda. The Fund draws up and mobilizes funding/financing for strategic interventions through which the UN development system and its partners—acting together and drawing on each other’s comparative advantages—can contribute to the achievement of the </w:t>
      </w:r>
      <w:r>
        <w:t xml:space="preserve">Uganda </w:t>
      </w:r>
      <w:r w:rsidRPr="006A0117">
        <w:t>national development priorities to be reflect</w:t>
      </w:r>
      <w:r>
        <w:t>e</w:t>
      </w:r>
      <w:r w:rsidRPr="006A0117">
        <w:t>d in the UN</w:t>
      </w:r>
      <w:r>
        <w:t>SDCF</w:t>
      </w:r>
      <w:r w:rsidRPr="006A0117">
        <w:t xml:space="preserve"> and ultimately contributing to Agenda 2030.</w:t>
      </w:r>
    </w:p>
    <w:p w14:paraId="416AC004" w14:textId="088B8B1A" w:rsidR="006A0117" w:rsidRDefault="000419A0" w:rsidP="006A0117">
      <w:pPr>
        <w:jc w:val="both"/>
      </w:pPr>
      <w:r>
        <w:t xml:space="preserve">The Fund </w:t>
      </w:r>
      <w:r w:rsidR="006A0117">
        <w:t>will have several</w:t>
      </w:r>
      <w:r w:rsidRPr="0072337A">
        <w:t xml:space="preserve"> </w:t>
      </w:r>
      <w:r w:rsidR="00250426">
        <w:t xml:space="preserve">thematic </w:t>
      </w:r>
      <w:r w:rsidRPr="0072337A">
        <w:t xml:space="preserve">windows </w:t>
      </w:r>
      <w:r w:rsidR="006A0117">
        <w:t>that will open</w:t>
      </w:r>
      <w:r w:rsidR="005F080C">
        <w:t xml:space="preserve"> </w:t>
      </w:r>
      <w:r w:rsidR="006B0636">
        <w:t>gradually</w:t>
      </w:r>
      <w:r w:rsidRPr="0072337A">
        <w:t xml:space="preserve">. </w:t>
      </w:r>
      <w:r w:rsidR="006A0117">
        <w:t>An</w:t>
      </w:r>
      <w:r w:rsidR="008F329D">
        <w:t xml:space="preserve"> initial window on “emergency” will be opened</w:t>
      </w:r>
      <w:r w:rsidR="006A0117">
        <w:t xml:space="preserve"> at this stage, and it will address the COVID-19 crisis.</w:t>
      </w:r>
    </w:p>
    <w:p w14:paraId="3755214F" w14:textId="77777777" w:rsidR="006A0117" w:rsidRPr="001749DC" w:rsidRDefault="006A0117" w:rsidP="006A0117">
      <w:pPr>
        <w:spacing w:after="0" w:line="240" w:lineRule="auto"/>
        <w:jc w:val="both"/>
        <w:rPr>
          <w:rFonts w:cstheme="minorHAnsi"/>
        </w:rPr>
      </w:pPr>
      <w:r w:rsidRPr="001749DC">
        <w:rPr>
          <w:rFonts w:cstheme="minorHAnsi"/>
        </w:rPr>
        <w:t xml:space="preserve">On 21 March 2020, Uganda confirmed its first COVID-19 imported case and since then cases have </w:t>
      </w:r>
      <w:r>
        <w:rPr>
          <w:rFonts w:cstheme="minorHAnsi"/>
        </w:rPr>
        <w:t xml:space="preserve">gradually </w:t>
      </w:r>
      <w:r w:rsidRPr="001749DC">
        <w:rPr>
          <w:rFonts w:cstheme="minorHAnsi"/>
        </w:rPr>
        <w:t xml:space="preserve">been on the rise. </w:t>
      </w:r>
      <w:r w:rsidRPr="00AC6302">
        <w:rPr>
          <w:rFonts w:cstheme="minorHAnsi"/>
        </w:rPr>
        <w:t xml:space="preserve">The Government of Uganda has implemented a series of measures and developed national guidelines to prevent and respond to the spread of COVID-19. </w:t>
      </w:r>
      <w:r w:rsidRPr="001749DC">
        <w:rPr>
          <w:rFonts w:cstheme="minorHAnsi"/>
        </w:rPr>
        <w:t xml:space="preserve">To support the Government of Uganda to </w:t>
      </w:r>
      <w:r>
        <w:rPr>
          <w:rFonts w:cstheme="minorHAnsi"/>
        </w:rPr>
        <w:t>ensure</w:t>
      </w:r>
      <w:r w:rsidRPr="001749DC">
        <w:rPr>
          <w:rFonts w:cstheme="minorHAnsi"/>
        </w:rPr>
        <w:t xml:space="preserve"> urgent and robust response, the United Nations in Uganda, together with the Government and NGO partner organizations has launched the UN Emergency Appeal for COVID-19 Response and its Impacts in Uganda</w:t>
      </w:r>
      <w:r>
        <w:rPr>
          <w:rFonts w:cstheme="minorHAnsi"/>
        </w:rPr>
        <w:t xml:space="preserve"> on 23</w:t>
      </w:r>
      <w:r w:rsidRPr="00610647">
        <w:rPr>
          <w:rFonts w:cstheme="minorHAnsi"/>
          <w:vertAlign w:val="superscript"/>
        </w:rPr>
        <w:t>rd</w:t>
      </w:r>
      <w:r>
        <w:rPr>
          <w:rFonts w:cstheme="minorHAnsi"/>
        </w:rPr>
        <w:t xml:space="preserve"> April 2020</w:t>
      </w:r>
      <w:r w:rsidRPr="001749DC">
        <w:rPr>
          <w:rFonts w:cstheme="minorHAnsi"/>
        </w:rPr>
        <w:t xml:space="preserve">. The UN Emergency Appeal aims to mobilize USD 316.4 million to support 12.8 million people by addressing the impact of the COVID-19 pandemic on the most vulnerable people in Uganda, including the elderly, people living with disabilities, women and girls, refugees, widows, female-headed households, market women, street vendors, people living with HIV and TB, migrants and those displaced by natural disasters. The support will be provided through key </w:t>
      </w:r>
      <w:r>
        <w:rPr>
          <w:rFonts w:cstheme="minorHAnsi"/>
        </w:rPr>
        <w:t xml:space="preserve">thematic </w:t>
      </w:r>
      <w:r w:rsidRPr="001749DC">
        <w:rPr>
          <w:rFonts w:cstheme="minorHAnsi"/>
        </w:rPr>
        <w:t xml:space="preserve">areas: </w:t>
      </w:r>
    </w:p>
    <w:p w14:paraId="57EBB4F4" w14:textId="77777777" w:rsidR="006A0117" w:rsidRPr="001749DC" w:rsidRDefault="006A0117" w:rsidP="006A0117">
      <w:pPr>
        <w:spacing w:after="0" w:line="240" w:lineRule="auto"/>
        <w:jc w:val="both"/>
        <w:rPr>
          <w:rFonts w:cstheme="minorHAnsi"/>
        </w:rPr>
      </w:pPr>
    </w:p>
    <w:p w14:paraId="0889EC01" w14:textId="77777777" w:rsidR="006A0117" w:rsidRPr="007D4E3E" w:rsidRDefault="006A0117" w:rsidP="00B31055">
      <w:pPr>
        <w:pStyle w:val="ListParagraph"/>
        <w:numPr>
          <w:ilvl w:val="0"/>
          <w:numId w:val="13"/>
        </w:numPr>
        <w:spacing w:after="0" w:line="240" w:lineRule="auto"/>
        <w:jc w:val="both"/>
        <w:rPr>
          <w:rFonts w:cstheme="minorHAnsi"/>
        </w:rPr>
      </w:pPr>
      <w:r w:rsidRPr="007D4E3E">
        <w:rPr>
          <w:rFonts w:cstheme="minorHAnsi"/>
        </w:rPr>
        <w:t>health;</w:t>
      </w:r>
    </w:p>
    <w:p w14:paraId="2E2FA367" w14:textId="77777777" w:rsidR="006A0117" w:rsidRPr="007D4E3E" w:rsidRDefault="006A0117" w:rsidP="00B31055">
      <w:pPr>
        <w:pStyle w:val="ListParagraph"/>
        <w:numPr>
          <w:ilvl w:val="0"/>
          <w:numId w:val="13"/>
        </w:numPr>
        <w:spacing w:after="0" w:line="240" w:lineRule="auto"/>
        <w:jc w:val="both"/>
        <w:rPr>
          <w:rFonts w:cstheme="minorHAnsi"/>
        </w:rPr>
      </w:pPr>
      <w:r w:rsidRPr="007D4E3E">
        <w:rPr>
          <w:rFonts w:cstheme="minorHAnsi"/>
        </w:rPr>
        <w:t xml:space="preserve">food security, livelihoods and nutrition; </w:t>
      </w:r>
    </w:p>
    <w:p w14:paraId="749C735E" w14:textId="77777777" w:rsidR="006A0117" w:rsidRPr="007D4E3E" w:rsidRDefault="006A0117" w:rsidP="00B31055">
      <w:pPr>
        <w:pStyle w:val="ListParagraph"/>
        <w:numPr>
          <w:ilvl w:val="0"/>
          <w:numId w:val="13"/>
        </w:numPr>
        <w:spacing w:after="0" w:line="240" w:lineRule="auto"/>
        <w:jc w:val="both"/>
        <w:rPr>
          <w:rFonts w:cstheme="minorHAnsi"/>
        </w:rPr>
      </w:pPr>
      <w:r w:rsidRPr="007D4E3E">
        <w:rPr>
          <w:rFonts w:cstheme="minorHAnsi"/>
        </w:rPr>
        <w:t xml:space="preserve">life-saving services and social protection; </w:t>
      </w:r>
    </w:p>
    <w:p w14:paraId="3102CBE5" w14:textId="77777777" w:rsidR="006A0117" w:rsidRPr="007D4E3E" w:rsidRDefault="006A0117" w:rsidP="00B31055">
      <w:pPr>
        <w:pStyle w:val="ListParagraph"/>
        <w:numPr>
          <w:ilvl w:val="0"/>
          <w:numId w:val="13"/>
        </w:numPr>
        <w:spacing w:after="0" w:line="240" w:lineRule="auto"/>
        <w:jc w:val="both"/>
        <w:rPr>
          <w:rFonts w:cstheme="minorHAnsi"/>
        </w:rPr>
      </w:pPr>
      <w:r w:rsidRPr="007D4E3E">
        <w:rPr>
          <w:rFonts w:cstheme="minorHAnsi"/>
        </w:rPr>
        <w:t xml:space="preserve">refugees and displacement; </w:t>
      </w:r>
    </w:p>
    <w:p w14:paraId="5354D5A6" w14:textId="77777777" w:rsidR="006A0117" w:rsidRPr="007D4E3E" w:rsidRDefault="006A0117" w:rsidP="00B31055">
      <w:pPr>
        <w:pStyle w:val="ListParagraph"/>
        <w:numPr>
          <w:ilvl w:val="0"/>
          <w:numId w:val="13"/>
        </w:numPr>
        <w:spacing w:after="0" w:line="240" w:lineRule="auto"/>
        <w:jc w:val="both"/>
        <w:rPr>
          <w:rFonts w:cstheme="minorHAnsi"/>
        </w:rPr>
      </w:pPr>
      <w:r w:rsidRPr="007D4E3E">
        <w:rPr>
          <w:rFonts w:cstheme="minorHAnsi"/>
        </w:rPr>
        <w:t xml:space="preserve">immediate economic support and digital innovation; </w:t>
      </w:r>
    </w:p>
    <w:p w14:paraId="789529C0" w14:textId="77777777" w:rsidR="006A0117" w:rsidRPr="007D4E3E" w:rsidRDefault="006A0117" w:rsidP="00B31055">
      <w:pPr>
        <w:pStyle w:val="ListParagraph"/>
        <w:numPr>
          <w:ilvl w:val="0"/>
          <w:numId w:val="13"/>
        </w:numPr>
        <w:spacing w:after="0" w:line="240" w:lineRule="auto"/>
        <w:jc w:val="both"/>
        <w:rPr>
          <w:rFonts w:cstheme="minorHAnsi"/>
        </w:rPr>
      </w:pPr>
      <w:r w:rsidRPr="007D4E3E">
        <w:rPr>
          <w:rFonts w:cstheme="minorHAnsi"/>
        </w:rPr>
        <w:t>coordination and common services</w:t>
      </w:r>
      <w:r>
        <w:rPr>
          <w:rFonts w:cstheme="minorHAnsi"/>
        </w:rPr>
        <w:t>.</w:t>
      </w:r>
    </w:p>
    <w:p w14:paraId="5D7755A0" w14:textId="79E5D1BF" w:rsidR="008F329D" w:rsidRDefault="008F329D" w:rsidP="006A0117">
      <w:pPr>
        <w:jc w:val="both"/>
      </w:pPr>
      <w:r>
        <w:t>.</w:t>
      </w:r>
    </w:p>
    <w:p w14:paraId="42C57392" w14:textId="77777777" w:rsidR="005F080C" w:rsidRDefault="005F080C" w:rsidP="009235AD">
      <w:pPr>
        <w:jc w:val="both"/>
        <w:rPr>
          <w:rFonts w:ascii="Calibri" w:hAnsi="Calibri" w:cs="Helvetica"/>
          <w:bCs/>
          <w:color w:val="000000" w:themeColor="text1"/>
        </w:rPr>
      </w:pPr>
    </w:p>
    <w:p w14:paraId="75C708FE" w14:textId="457EB264" w:rsidR="0027170D" w:rsidRPr="009235AD" w:rsidRDefault="00A86377" w:rsidP="00B31055">
      <w:pPr>
        <w:pStyle w:val="ListParagraph"/>
        <w:numPr>
          <w:ilvl w:val="0"/>
          <w:numId w:val="8"/>
        </w:numPr>
        <w:spacing w:after="0" w:line="240" w:lineRule="auto"/>
        <w:rPr>
          <w:rStyle w:val="Heading1Char"/>
          <w:b/>
        </w:rPr>
      </w:pPr>
      <w:bookmarkStart w:id="7" w:name="_Toc443408923"/>
      <w:bookmarkStart w:id="8" w:name="_Toc39503329"/>
      <w:r>
        <w:rPr>
          <w:rStyle w:val="Heading1Char"/>
          <w:b/>
        </w:rPr>
        <w:t xml:space="preserve">Rationale and </w:t>
      </w:r>
      <w:r w:rsidR="00C503D5">
        <w:rPr>
          <w:rStyle w:val="Heading1Char"/>
          <w:b/>
        </w:rPr>
        <w:t>Fund's Functions:</w:t>
      </w:r>
      <w:bookmarkEnd w:id="7"/>
      <w:bookmarkEnd w:id="8"/>
    </w:p>
    <w:p w14:paraId="6FB0F2EE" w14:textId="77777777" w:rsidR="002720EF" w:rsidRPr="00283BEE" w:rsidRDefault="002720EF" w:rsidP="009235AD">
      <w:pPr>
        <w:spacing w:after="0" w:line="240" w:lineRule="auto"/>
        <w:contextualSpacing/>
      </w:pPr>
    </w:p>
    <w:p w14:paraId="0A4BC876" w14:textId="77777777" w:rsidR="004852BD" w:rsidRDefault="004852BD" w:rsidP="004852BD">
      <w:pPr>
        <w:spacing w:after="0" w:line="240" w:lineRule="auto"/>
        <w:jc w:val="both"/>
        <w:rPr>
          <w:bCs/>
          <w:lang w:val="en-GB"/>
        </w:rPr>
      </w:pPr>
      <w:r w:rsidRPr="002809C8">
        <w:rPr>
          <w:bCs/>
          <w:lang w:val="en-GB"/>
        </w:rPr>
        <w:t>The 2030 Agenda calls for integrated approaches across multiple sectors and goals, as well as collective action at all levels in order to achieve the Sustainable Development Goals (SDGs). On 31 May 2018, the United Nations General Assembly adopted Resolution 72/729 which aims to better position the United Nations development system (UNDS) to address the full range of human rights, peacebuilding, humanitarian and development challenges and opportunities, and to align its functions and capacities with the 2030 Agenda to be more strategic, accountable, transparent, collaborative, efficient, effective and results-oriented.</w:t>
      </w:r>
    </w:p>
    <w:p w14:paraId="1855FC7C" w14:textId="77777777" w:rsidR="004852BD" w:rsidRDefault="004852BD" w:rsidP="004852BD">
      <w:pPr>
        <w:spacing w:after="0" w:line="240" w:lineRule="auto"/>
        <w:jc w:val="both"/>
        <w:rPr>
          <w:bCs/>
          <w:lang w:val="en-GB"/>
        </w:rPr>
      </w:pPr>
    </w:p>
    <w:p w14:paraId="35C3DB91" w14:textId="77777777" w:rsidR="004852BD" w:rsidRDefault="004852BD" w:rsidP="004852BD">
      <w:pPr>
        <w:spacing w:after="0" w:line="240" w:lineRule="auto"/>
        <w:jc w:val="both"/>
        <w:rPr>
          <w:bCs/>
          <w:lang w:val="en-GB"/>
        </w:rPr>
      </w:pPr>
      <w:r w:rsidRPr="00FA1B70">
        <w:rPr>
          <w:bCs/>
          <w:lang w:val="en-GB"/>
        </w:rPr>
        <w:t>A repositioned UNDS that delivers on the 2030 Agenda is being implemented by the Secretary-General from January 2019, and calls for a new generation of more responsive United Nations Country Teams (UNCTs) and creates an independent, empowered and impartial Resident Coordinator and strengthened UNRCO able to lead the UN’s integrated and impactful contributions at country level. To deliver on such an ambitious reform agenda, and to enable a new generation of Resident Coordinators to shape country-</w:t>
      </w:r>
      <w:r w:rsidRPr="00FA1B70">
        <w:rPr>
          <w:bCs/>
          <w:lang w:val="en-GB"/>
        </w:rPr>
        <w:lastRenderedPageBreak/>
        <w:t>based programming, aligned with country Cooperation Frameworks (UNSDF), the resolution 72/729 promotes the use of pooled funding mechanisms.</w:t>
      </w:r>
    </w:p>
    <w:p w14:paraId="35CB1E32" w14:textId="77777777" w:rsidR="004852BD" w:rsidRDefault="004852BD" w:rsidP="004852BD">
      <w:pPr>
        <w:spacing w:after="0" w:line="240" w:lineRule="auto"/>
        <w:jc w:val="both"/>
        <w:rPr>
          <w:bCs/>
          <w:lang w:val="en-GB"/>
        </w:rPr>
      </w:pPr>
    </w:p>
    <w:p w14:paraId="4C5239CF" w14:textId="77777777" w:rsidR="004852BD" w:rsidRDefault="004852BD" w:rsidP="004852BD">
      <w:pPr>
        <w:spacing w:after="0" w:line="240" w:lineRule="auto"/>
        <w:jc w:val="both"/>
        <w:rPr>
          <w:bCs/>
          <w:lang w:val="en-GB"/>
        </w:rPr>
      </w:pPr>
      <w:r w:rsidRPr="0020237E">
        <w:rPr>
          <w:bCs/>
          <w:lang w:val="en-GB"/>
        </w:rPr>
        <w:t xml:space="preserve">Experience to date shows that </w:t>
      </w:r>
      <w:r>
        <w:rPr>
          <w:bCs/>
          <w:lang w:val="en-GB"/>
        </w:rPr>
        <w:t>pooled funds</w:t>
      </w:r>
      <w:r w:rsidRPr="0020237E">
        <w:rPr>
          <w:bCs/>
          <w:lang w:val="en-GB"/>
        </w:rPr>
        <w:t xml:space="preserve"> can improve coordination, coherence, and alignment; better manage risks; and promote transformative change. They help bridge the silos between humanitarian, peacebuilding and development agendas in a flexible design that can accommodate several windows and governance mechanisms while improving overall accountability for results and financial reporting.</w:t>
      </w:r>
    </w:p>
    <w:p w14:paraId="09808548" w14:textId="77777777" w:rsidR="004852BD" w:rsidRDefault="004852BD" w:rsidP="004852BD">
      <w:pPr>
        <w:spacing w:after="0" w:line="240" w:lineRule="auto"/>
        <w:jc w:val="both"/>
        <w:rPr>
          <w:bCs/>
          <w:lang w:val="en-GB"/>
        </w:rPr>
      </w:pPr>
    </w:p>
    <w:p w14:paraId="2285CEC9" w14:textId="77777777" w:rsidR="004852BD" w:rsidRDefault="004852BD" w:rsidP="004852BD">
      <w:pPr>
        <w:spacing w:after="0" w:line="240" w:lineRule="auto"/>
        <w:jc w:val="both"/>
        <w:rPr>
          <w:bCs/>
          <w:lang w:val="en-GB"/>
        </w:rPr>
      </w:pPr>
      <w:r>
        <w:rPr>
          <w:bCs/>
          <w:lang w:val="en-GB"/>
        </w:rPr>
        <w:t>The</w:t>
      </w:r>
      <w:r w:rsidRPr="006410FC">
        <w:rPr>
          <w:bCs/>
          <w:lang w:val="en-GB"/>
        </w:rPr>
        <w:t xml:space="preserve"> </w:t>
      </w:r>
      <w:r>
        <w:rPr>
          <w:bCs/>
          <w:lang w:val="en-GB"/>
        </w:rPr>
        <w:t>Uganda MPTF</w:t>
      </w:r>
      <w:r w:rsidRPr="006410FC">
        <w:rPr>
          <w:bCs/>
          <w:lang w:val="en-GB"/>
        </w:rPr>
        <w:t xml:space="preserve"> </w:t>
      </w:r>
      <w:r>
        <w:rPr>
          <w:bCs/>
          <w:lang w:val="en-GB"/>
        </w:rPr>
        <w:t xml:space="preserve">envisions </w:t>
      </w:r>
      <w:r w:rsidRPr="006410FC">
        <w:rPr>
          <w:bCs/>
          <w:lang w:val="en-GB"/>
        </w:rPr>
        <w:t>to support an ambitious agenda for working together to unlock progress towards the SDGs.</w:t>
      </w:r>
      <w:r>
        <w:rPr>
          <w:bCs/>
        </w:rPr>
        <w:t xml:space="preserve"> </w:t>
      </w:r>
      <w:r w:rsidRPr="003C72E8">
        <w:rPr>
          <w:bCs/>
          <w:lang w:val="en-GB"/>
        </w:rPr>
        <w:t xml:space="preserve">The </w:t>
      </w:r>
      <w:r>
        <w:rPr>
          <w:bCs/>
        </w:rPr>
        <w:t>Fund</w:t>
      </w:r>
      <w:r w:rsidRPr="003C72E8">
        <w:rPr>
          <w:bCs/>
          <w:lang w:val="en-GB"/>
        </w:rPr>
        <w:t xml:space="preserve"> aims to finance actions that provide catalytic support to UN</w:t>
      </w:r>
      <w:r>
        <w:rPr>
          <w:bCs/>
          <w:lang w:val="en-GB"/>
        </w:rPr>
        <w:t>SD</w:t>
      </w:r>
      <w:r w:rsidRPr="003C72E8">
        <w:rPr>
          <w:bCs/>
          <w:lang w:val="en-GB"/>
        </w:rPr>
        <w:t xml:space="preserve">F priorities aligned with the National </w:t>
      </w:r>
      <w:r>
        <w:rPr>
          <w:bCs/>
          <w:lang w:val="en-GB"/>
        </w:rPr>
        <w:t>Policy Framework</w:t>
      </w:r>
      <w:r w:rsidRPr="003C72E8">
        <w:rPr>
          <w:bCs/>
          <w:lang w:val="en-GB"/>
        </w:rPr>
        <w:t xml:space="preserve"> and SDGs.</w:t>
      </w:r>
    </w:p>
    <w:p w14:paraId="360BA55D" w14:textId="77777777" w:rsidR="00E30BEE" w:rsidRDefault="00A035A8" w:rsidP="00A035A8">
      <w:pPr>
        <w:spacing w:after="0" w:line="240" w:lineRule="auto"/>
        <w:contextualSpacing/>
      </w:pPr>
      <w:r>
        <w:t xml:space="preserve">The </w:t>
      </w:r>
      <w:r w:rsidR="00E30BEE">
        <w:t>Fund will have the following functions:</w:t>
      </w:r>
    </w:p>
    <w:p w14:paraId="6591FB0B" w14:textId="77777777" w:rsidR="000C6BEA" w:rsidRDefault="000C6BEA" w:rsidP="008C086D">
      <w:pPr>
        <w:spacing w:after="0" w:line="240" w:lineRule="auto"/>
        <w:contextualSpacing/>
      </w:pPr>
    </w:p>
    <w:p w14:paraId="73DDE63B" w14:textId="3E0D5F9F" w:rsidR="008C086D" w:rsidRDefault="008C086D" w:rsidP="00B31055">
      <w:pPr>
        <w:pStyle w:val="ListParagraph"/>
        <w:numPr>
          <w:ilvl w:val="0"/>
          <w:numId w:val="12"/>
        </w:numPr>
        <w:spacing w:after="0" w:line="240" w:lineRule="auto"/>
      </w:pPr>
      <w:r w:rsidRPr="008C086D">
        <w:t>Coordination and alignment</w:t>
      </w:r>
      <w:r w:rsidR="000C6BEA">
        <w:t xml:space="preserve">: </w:t>
      </w:r>
      <w:r w:rsidRPr="008C086D">
        <w:t>Enable a platform to strengthen coordination, evaluation, planning and communication among several entities</w:t>
      </w:r>
      <w:r w:rsidR="00F77A42">
        <w:t>;</w:t>
      </w:r>
    </w:p>
    <w:p w14:paraId="551CFFB9" w14:textId="221A2058" w:rsidR="00D05281" w:rsidRPr="008C086D" w:rsidRDefault="00D05281" w:rsidP="00B31055">
      <w:pPr>
        <w:pStyle w:val="ListParagraph"/>
        <w:numPr>
          <w:ilvl w:val="0"/>
          <w:numId w:val="12"/>
        </w:numPr>
        <w:spacing w:after="0" w:line="240" w:lineRule="auto"/>
      </w:pPr>
      <w:r>
        <w:t xml:space="preserve">Coherence: </w:t>
      </w:r>
      <w:r w:rsidR="00D667C7" w:rsidRPr="008C086D">
        <w:t>Develop synergies among different players</w:t>
      </w:r>
      <w:r w:rsidR="00F77A42">
        <w:t>;</w:t>
      </w:r>
    </w:p>
    <w:p w14:paraId="22D654A1" w14:textId="54CEC988" w:rsidR="008C086D" w:rsidRPr="008C086D" w:rsidRDefault="00C051AE" w:rsidP="00B31055">
      <w:pPr>
        <w:pStyle w:val="ListParagraph"/>
        <w:numPr>
          <w:ilvl w:val="0"/>
          <w:numId w:val="12"/>
        </w:numPr>
        <w:spacing w:after="0" w:line="240" w:lineRule="auto"/>
      </w:pPr>
      <w:r>
        <w:t>S</w:t>
      </w:r>
      <w:r w:rsidR="008C086D" w:rsidRPr="008C086D">
        <w:t>trategic allocation of resources</w:t>
      </w:r>
      <w:r w:rsidR="00D667C7">
        <w:t xml:space="preserve"> through an inclusive </w:t>
      </w:r>
      <w:r w:rsidR="008704BD">
        <w:t>and transparent decision-making</w:t>
      </w:r>
      <w:r w:rsidR="00D667C7">
        <w:t xml:space="preserve"> </w:t>
      </w:r>
      <w:r w:rsidR="008704BD">
        <w:t>structure</w:t>
      </w:r>
      <w:r w:rsidR="00F77A42">
        <w:t>;</w:t>
      </w:r>
    </w:p>
    <w:p w14:paraId="495609E6" w14:textId="77777777" w:rsidR="00C409B0" w:rsidRDefault="008C086D" w:rsidP="00B31055">
      <w:pPr>
        <w:pStyle w:val="ListParagraph"/>
        <w:numPr>
          <w:ilvl w:val="0"/>
          <w:numId w:val="12"/>
        </w:numPr>
        <w:spacing w:after="0" w:line="240" w:lineRule="auto"/>
      </w:pPr>
      <w:r w:rsidRPr="008C086D">
        <w:t xml:space="preserve">Reduce political and fiduciary risks faced by </w:t>
      </w:r>
      <w:r w:rsidR="00C409B0">
        <w:t>stakeholders</w:t>
      </w:r>
      <w:r w:rsidRPr="008C086D">
        <w:t xml:space="preserve"> through the concentration of resources and a result-based management system which is transparent and responsible;</w:t>
      </w:r>
    </w:p>
    <w:p w14:paraId="55986D25" w14:textId="5F0476FF" w:rsidR="008C086D" w:rsidRPr="008C086D" w:rsidRDefault="008C086D" w:rsidP="00B31055">
      <w:pPr>
        <w:pStyle w:val="ListParagraph"/>
        <w:numPr>
          <w:ilvl w:val="0"/>
          <w:numId w:val="12"/>
        </w:numPr>
        <w:spacing w:after="0" w:line="240" w:lineRule="auto"/>
      </w:pPr>
      <w:r w:rsidRPr="008C086D">
        <w:t>Broaden the financial base of emerging or non-resident donors;</w:t>
      </w:r>
    </w:p>
    <w:p w14:paraId="44AE86EE" w14:textId="6F495506" w:rsidR="008C086D" w:rsidRDefault="008C086D" w:rsidP="00B31055">
      <w:pPr>
        <w:pStyle w:val="ListParagraph"/>
        <w:numPr>
          <w:ilvl w:val="0"/>
          <w:numId w:val="12"/>
        </w:numPr>
        <w:spacing w:after="0" w:line="240" w:lineRule="auto"/>
      </w:pPr>
      <w:r w:rsidRPr="008C086D">
        <w:t>Reduc</w:t>
      </w:r>
      <w:r w:rsidR="00403374">
        <w:t>e</w:t>
      </w:r>
      <w:r w:rsidRPr="008C086D">
        <w:t xml:space="preserve"> transaction costs</w:t>
      </w:r>
      <w:r w:rsidR="00402844">
        <w:t xml:space="preserve"> by using</w:t>
      </w:r>
      <w:r w:rsidR="007F58B6">
        <w:t xml:space="preserve"> </w:t>
      </w:r>
      <w:r w:rsidR="007F58B6" w:rsidRPr="007F58B6">
        <w:t>pre-approved single Standard legal agreements.</w:t>
      </w:r>
      <w:r w:rsidR="00F77A42">
        <w:t>;</w:t>
      </w:r>
    </w:p>
    <w:p w14:paraId="2DD0DD7B" w14:textId="2540E70F" w:rsidR="004F3A01" w:rsidRPr="00012F13" w:rsidRDefault="00AC7C49" w:rsidP="00B31055">
      <w:pPr>
        <w:pStyle w:val="ListParagraph"/>
        <w:numPr>
          <w:ilvl w:val="0"/>
          <w:numId w:val="12"/>
        </w:numPr>
        <w:spacing w:after="0" w:line="240" w:lineRule="auto"/>
      </w:pPr>
      <w:r>
        <w:t>Provide f</w:t>
      </w:r>
      <w:r w:rsidR="004F3A01">
        <w:t>lexibility: t</w:t>
      </w:r>
      <w:r w:rsidR="004F3A01" w:rsidRPr="00012F13">
        <w:t>he Fund is a flexible mechanism that</w:t>
      </w:r>
      <w:r w:rsidR="00A11C74">
        <w:t xml:space="preserve"> </w:t>
      </w:r>
      <w:r w:rsidR="0014440C">
        <w:t xml:space="preserve">easily </w:t>
      </w:r>
      <w:r w:rsidR="0014440C" w:rsidRPr="00012F13">
        <w:t>adapts</w:t>
      </w:r>
      <w:r w:rsidR="004F3A01" w:rsidRPr="00012F13">
        <w:t xml:space="preserve"> to changes</w:t>
      </w:r>
      <w:r w:rsidR="00A11C74">
        <w:t xml:space="preserve"> (</w:t>
      </w:r>
      <w:r w:rsidR="004F3A01" w:rsidRPr="00012F13">
        <w:t xml:space="preserve">new thematic </w:t>
      </w:r>
      <w:r w:rsidR="0014440C">
        <w:t>areas of intervention</w:t>
      </w:r>
      <w:r w:rsidR="004F3A01" w:rsidRPr="00012F13">
        <w:t xml:space="preserve">, </w:t>
      </w:r>
      <w:r w:rsidR="0014440C">
        <w:t xml:space="preserve">additional </w:t>
      </w:r>
      <w:r w:rsidR="004F3A01" w:rsidRPr="00012F13">
        <w:t>implementing entities</w:t>
      </w:r>
      <w:r w:rsidR="00A11C74">
        <w:t xml:space="preserve">, </w:t>
      </w:r>
      <w:r w:rsidR="00FE48BC">
        <w:t xml:space="preserve">new processes, </w:t>
      </w:r>
      <w:r w:rsidR="00A11C74">
        <w:t>etc).</w:t>
      </w:r>
    </w:p>
    <w:p w14:paraId="06133E5D" w14:textId="0A6DB54C" w:rsidR="004F3A01" w:rsidRDefault="004F3A01" w:rsidP="008C086D">
      <w:pPr>
        <w:spacing w:after="0" w:line="240" w:lineRule="auto"/>
        <w:contextualSpacing/>
      </w:pPr>
    </w:p>
    <w:p w14:paraId="313DFD60" w14:textId="77777777" w:rsidR="00402844" w:rsidRPr="008C086D" w:rsidRDefault="00402844" w:rsidP="008C086D">
      <w:pPr>
        <w:spacing w:after="0" w:line="240" w:lineRule="auto"/>
        <w:contextualSpacing/>
      </w:pPr>
    </w:p>
    <w:p w14:paraId="155D8568" w14:textId="576C12E5" w:rsidR="004652CE" w:rsidRPr="009344BB" w:rsidRDefault="004652CE" w:rsidP="00B31055">
      <w:pPr>
        <w:pStyle w:val="Heading1"/>
        <w:numPr>
          <w:ilvl w:val="0"/>
          <w:numId w:val="7"/>
        </w:numPr>
        <w:rPr>
          <w:b/>
        </w:rPr>
      </w:pPr>
      <w:bookmarkStart w:id="9" w:name="_Toc443408924"/>
      <w:bookmarkStart w:id="10" w:name="_Toc39503330"/>
      <w:r>
        <w:rPr>
          <w:b/>
        </w:rPr>
        <w:t>Theory of Change and Scope of the Fund</w:t>
      </w:r>
      <w:bookmarkEnd w:id="9"/>
      <w:bookmarkEnd w:id="10"/>
    </w:p>
    <w:p w14:paraId="36852B53" w14:textId="65508F02" w:rsidR="009E6BE5" w:rsidRDefault="00A001A7" w:rsidP="00253BA7">
      <w:pPr>
        <w:widowControl w:val="0"/>
        <w:autoSpaceDE w:val="0"/>
        <w:autoSpaceDN w:val="0"/>
        <w:adjustRightInd w:val="0"/>
        <w:spacing w:after="0" w:line="240" w:lineRule="auto"/>
        <w:contextualSpacing/>
        <w:jc w:val="both"/>
        <w:rPr>
          <w:rFonts w:ascii="Calibri" w:hAnsi="Calibri" w:cs="Helvetica"/>
          <w:bCs/>
          <w:color w:val="000000" w:themeColor="text1"/>
        </w:rPr>
      </w:pPr>
      <w:r w:rsidRPr="00133217">
        <w:rPr>
          <w:rFonts w:ascii="Calibri" w:hAnsi="Calibri" w:cs="Helvetica"/>
          <w:bCs/>
          <w:color w:val="000000" w:themeColor="text1"/>
        </w:rPr>
        <w:t xml:space="preserve">The goal of the fund is to support the </w:t>
      </w:r>
      <w:r w:rsidR="001A6A37">
        <w:rPr>
          <w:rFonts w:ascii="Calibri" w:hAnsi="Calibri" w:cs="Helvetica"/>
          <w:bCs/>
          <w:color w:val="000000" w:themeColor="text1"/>
        </w:rPr>
        <w:t>achievement of the SDGs in the country</w:t>
      </w:r>
      <w:r w:rsidR="003D2D4F">
        <w:rPr>
          <w:rFonts w:ascii="Calibri" w:hAnsi="Calibri" w:cs="Helvetica"/>
          <w:bCs/>
          <w:color w:val="000000" w:themeColor="text1"/>
        </w:rPr>
        <w:t xml:space="preserve"> by supporting key </w:t>
      </w:r>
      <w:r w:rsidR="000F49C2">
        <w:rPr>
          <w:rFonts w:ascii="Calibri" w:hAnsi="Calibri" w:cs="Helvetica"/>
          <w:bCs/>
          <w:color w:val="000000" w:themeColor="text1"/>
        </w:rPr>
        <w:t>catalytic interventions within</w:t>
      </w:r>
      <w:r w:rsidR="003E3ED2">
        <w:rPr>
          <w:rFonts w:ascii="Calibri" w:hAnsi="Calibri" w:cs="Helvetica"/>
          <w:bCs/>
          <w:color w:val="000000" w:themeColor="text1"/>
        </w:rPr>
        <w:t xml:space="preserve"> the</w:t>
      </w:r>
      <w:r w:rsidRPr="00133217">
        <w:rPr>
          <w:rFonts w:ascii="Calibri" w:hAnsi="Calibri" w:cs="Helvetica"/>
          <w:bCs/>
          <w:color w:val="000000" w:themeColor="text1"/>
        </w:rPr>
        <w:t xml:space="preserve"> </w:t>
      </w:r>
      <w:r w:rsidR="00916258">
        <w:rPr>
          <w:rFonts w:ascii="Calibri" w:hAnsi="Calibri" w:cs="Helvetica"/>
          <w:bCs/>
          <w:color w:val="000000" w:themeColor="text1"/>
        </w:rPr>
        <w:t>Uganda</w:t>
      </w:r>
      <w:r w:rsidRPr="00133217">
        <w:rPr>
          <w:rFonts w:ascii="Calibri" w:hAnsi="Calibri" w:cs="Helvetica"/>
          <w:bCs/>
          <w:color w:val="000000" w:themeColor="text1"/>
        </w:rPr>
        <w:t xml:space="preserve"> UN </w:t>
      </w:r>
      <w:r w:rsidR="0069260B">
        <w:rPr>
          <w:rFonts w:ascii="Calibri" w:hAnsi="Calibri" w:cs="Helvetica"/>
          <w:bCs/>
          <w:color w:val="000000" w:themeColor="text1"/>
        </w:rPr>
        <w:t xml:space="preserve">Sustainable </w:t>
      </w:r>
      <w:r w:rsidRPr="00133217">
        <w:rPr>
          <w:rFonts w:ascii="Calibri" w:hAnsi="Calibri" w:cs="Helvetica"/>
          <w:bCs/>
          <w:color w:val="000000" w:themeColor="text1"/>
        </w:rPr>
        <w:t xml:space="preserve">Development </w:t>
      </w:r>
      <w:r w:rsidR="0069260B">
        <w:rPr>
          <w:rFonts w:ascii="Calibri" w:hAnsi="Calibri" w:cs="Helvetica"/>
          <w:bCs/>
          <w:color w:val="000000" w:themeColor="text1"/>
        </w:rPr>
        <w:t xml:space="preserve">Cooperation </w:t>
      </w:r>
      <w:r w:rsidRPr="00133217">
        <w:rPr>
          <w:rFonts w:ascii="Calibri" w:hAnsi="Calibri" w:cs="Helvetica"/>
          <w:bCs/>
          <w:color w:val="000000" w:themeColor="text1"/>
        </w:rPr>
        <w:t>Framework (20</w:t>
      </w:r>
      <w:r w:rsidR="00916258">
        <w:rPr>
          <w:rFonts w:ascii="Calibri" w:hAnsi="Calibri" w:cs="Helvetica"/>
          <w:bCs/>
          <w:color w:val="000000" w:themeColor="text1"/>
        </w:rPr>
        <w:t>21</w:t>
      </w:r>
      <w:r w:rsidRPr="00133217">
        <w:rPr>
          <w:rFonts w:ascii="Calibri" w:hAnsi="Calibri" w:cs="Helvetica"/>
          <w:bCs/>
          <w:color w:val="000000" w:themeColor="text1"/>
        </w:rPr>
        <w:t>-202</w:t>
      </w:r>
      <w:r w:rsidR="00916258">
        <w:rPr>
          <w:rFonts w:ascii="Calibri" w:hAnsi="Calibri" w:cs="Helvetica"/>
          <w:bCs/>
          <w:color w:val="000000" w:themeColor="text1"/>
        </w:rPr>
        <w:t>5</w:t>
      </w:r>
      <w:r w:rsidRPr="00133217">
        <w:rPr>
          <w:rFonts w:ascii="Calibri" w:hAnsi="Calibri" w:cs="Helvetica"/>
          <w:bCs/>
          <w:color w:val="000000" w:themeColor="text1"/>
        </w:rPr>
        <w:t>)</w:t>
      </w:r>
      <w:r w:rsidR="00086800">
        <w:rPr>
          <w:rFonts w:ascii="Calibri" w:hAnsi="Calibri" w:cs="Helvetica"/>
          <w:bCs/>
          <w:color w:val="000000" w:themeColor="text1"/>
        </w:rPr>
        <w:t xml:space="preserve">. </w:t>
      </w:r>
    </w:p>
    <w:p w14:paraId="44768B6A" w14:textId="4ED61199" w:rsidR="00253BA7" w:rsidRDefault="009E6BE5" w:rsidP="00253BA7">
      <w:pPr>
        <w:widowControl w:val="0"/>
        <w:autoSpaceDE w:val="0"/>
        <w:autoSpaceDN w:val="0"/>
        <w:adjustRightInd w:val="0"/>
        <w:spacing w:after="0" w:line="240" w:lineRule="auto"/>
        <w:contextualSpacing/>
        <w:jc w:val="both"/>
        <w:rPr>
          <w:rFonts w:ascii="Calibri" w:hAnsi="Calibri" w:cs="Helvetica"/>
          <w:bCs/>
          <w:color w:val="000000" w:themeColor="text1"/>
        </w:rPr>
      </w:pPr>
      <w:r>
        <w:rPr>
          <w:rFonts w:ascii="Calibri" w:hAnsi="Calibri" w:cs="Helvetica"/>
          <w:bCs/>
          <w:color w:val="000000" w:themeColor="text1"/>
        </w:rPr>
        <w:t>The</w:t>
      </w:r>
      <w:r w:rsidR="00D34A04">
        <w:rPr>
          <w:rFonts w:ascii="Calibri" w:hAnsi="Calibri" w:cs="Helvetica"/>
          <w:bCs/>
          <w:color w:val="000000" w:themeColor="text1"/>
        </w:rPr>
        <w:t xml:space="preserve"> Fund will be structure</w:t>
      </w:r>
      <w:r w:rsidR="006A0117">
        <w:rPr>
          <w:rFonts w:ascii="Calibri" w:hAnsi="Calibri" w:cs="Helvetica"/>
          <w:bCs/>
          <w:color w:val="000000" w:themeColor="text1"/>
        </w:rPr>
        <w:t>d</w:t>
      </w:r>
      <w:r w:rsidR="00D34A04">
        <w:rPr>
          <w:rFonts w:ascii="Calibri" w:hAnsi="Calibri" w:cs="Helvetica"/>
          <w:bCs/>
          <w:color w:val="000000" w:themeColor="text1"/>
        </w:rPr>
        <w:t xml:space="preserve"> in thematic windows, </w:t>
      </w:r>
      <w:r w:rsidR="006A0117">
        <w:rPr>
          <w:rFonts w:ascii="Calibri" w:hAnsi="Calibri" w:cs="Helvetica"/>
          <w:bCs/>
          <w:color w:val="000000" w:themeColor="text1"/>
        </w:rPr>
        <w:t>the first one being an</w:t>
      </w:r>
      <w:r w:rsidR="00D34A04">
        <w:rPr>
          <w:rFonts w:ascii="Calibri" w:hAnsi="Calibri" w:cs="Helvetica"/>
          <w:bCs/>
          <w:color w:val="000000" w:themeColor="text1"/>
        </w:rPr>
        <w:t xml:space="preserve"> “Emergency window”</w:t>
      </w:r>
      <w:r w:rsidR="006A0117">
        <w:rPr>
          <w:rFonts w:ascii="Calibri" w:hAnsi="Calibri" w:cs="Helvetica"/>
          <w:bCs/>
          <w:color w:val="000000" w:themeColor="text1"/>
        </w:rPr>
        <w:t xml:space="preserve"> that will address the COVID-19 crisis</w:t>
      </w:r>
      <w:r w:rsidR="00906263">
        <w:rPr>
          <w:rFonts w:ascii="Calibri" w:hAnsi="Calibri" w:cs="Helvetica"/>
          <w:bCs/>
          <w:color w:val="000000" w:themeColor="text1"/>
        </w:rPr>
        <w:t>.</w:t>
      </w:r>
      <w:r w:rsidR="00A001A7">
        <w:rPr>
          <w:rFonts w:ascii="Calibri" w:hAnsi="Calibri" w:cs="Helvetica"/>
          <w:bCs/>
          <w:color w:val="000000" w:themeColor="text1"/>
        </w:rPr>
        <w:t xml:space="preserve"> </w:t>
      </w:r>
    </w:p>
    <w:p w14:paraId="4541D8BB" w14:textId="0A245E38" w:rsidR="006A0117" w:rsidRDefault="006A0117" w:rsidP="00253BA7">
      <w:pPr>
        <w:widowControl w:val="0"/>
        <w:autoSpaceDE w:val="0"/>
        <w:autoSpaceDN w:val="0"/>
        <w:adjustRightInd w:val="0"/>
        <w:spacing w:after="0" w:line="240" w:lineRule="auto"/>
        <w:contextualSpacing/>
        <w:jc w:val="both"/>
        <w:rPr>
          <w:rFonts w:ascii="Calibri" w:hAnsi="Calibri" w:cs="Helvetica"/>
          <w:bCs/>
          <w:color w:val="000000" w:themeColor="text1"/>
        </w:rPr>
      </w:pPr>
    </w:p>
    <w:p w14:paraId="207B3A65" w14:textId="77777777" w:rsidR="006A0117" w:rsidRPr="00AC6302" w:rsidRDefault="006A0117" w:rsidP="006A0117">
      <w:pPr>
        <w:spacing w:after="0" w:line="240" w:lineRule="auto"/>
        <w:jc w:val="both"/>
        <w:rPr>
          <w:rFonts w:cstheme="minorHAnsi"/>
        </w:rPr>
      </w:pPr>
      <w:r w:rsidRPr="00AC6302">
        <w:rPr>
          <w:rFonts w:cstheme="minorHAnsi"/>
        </w:rPr>
        <w:t xml:space="preserve">The Government of Uganda has implemented a series of measures and developed national guidelines to prevent and respond to the spread of COVID-19. The Ministry of Health prepared a National COVID-19 Preparedness and Response Plan that  has been updated to respond to the evolving pandemic, modelling data and new evidence aimed at reducing the importation, transmission, morbidity and mortality as well as socio-economic  disruption that might result from the COVID-19 outbreak. District Task Forces and their subcommittees have been activated, and various guidelines, Standard Operating Procedures and public awareness messages have been developed and widely disseminated. Mapping of facilities for managing COVID-19 cases -including severely ill requiring intensive care management- is ongoing alongside resource mobilization. </w:t>
      </w:r>
    </w:p>
    <w:p w14:paraId="327BF056" w14:textId="77777777" w:rsidR="006A0117" w:rsidRPr="00AC6302" w:rsidRDefault="006A0117" w:rsidP="006A0117">
      <w:pPr>
        <w:spacing w:after="0" w:line="240" w:lineRule="auto"/>
        <w:jc w:val="both"/>
        <w:rPr>
          <w:rFonts w:cstheme="minorHAnsi"/>
        </w:rPr>
      </w:pPr>
    </w:p>
    <w:p w14:paraId="57BFE8B2" w14:textId="77777777" w:rsidR="006A0117" w:rsidRPr="00AC6302" w:rsidRDefault="006A0117" w:rsidP="006A0117">
      <w:pPr>
        <w:spacing w:after="0" w:line="240" w:lineRule="auto"/>
        <w:jc w:val="both"/>
        <w:rPr>
          <w:rFonts w:cstheme="minorHAnsi"/>
        </w:rPr>
      </w:pPr>
      <w:r w:rsidRPr="00AC6302">
        <w:rPr>
          <w:rFonts w:cstheme="minorHAnsi"/>
        </w:rPr>
        <w:t>COVID-19 puts all people in Uganda at risk and requires an urgent and robust response, including through the intensification of surveillance, detection and containment measures, as well as case</w:t>
      </w:r>
      <w:r>
        <w:rPr>
          <w:rFonts w:cstheme="minorHAnsi"/>
        </w:rPr>
        <w:t xml:space="preserve"> </w:t>
      </w:r>
      <w:r w:rsidRPr="00AC6302">
        <w:rPr>
          <w:rFonts w:cstheme="minorHAnsi"/>
        </w:rPr>
        <w:t>management and community engagement. The necessary restrictions on movement are impacting both people’s ability to access basic services like healthcare and food and to sustain their livelihoods.</w:t>
      </w:r>
      <w:r>
        <w:rPr>
          <w:rFonts w:cstheme="minorHAnsi"/>
        </w:rPr>
        <w:t xml:space="preserve"> </w:t>
      </w:r>
      <w:r w:rsidRPr="00AC6302">
        <w:rPr>
          <w:rFonts w:cstheme="minorHAnsi"/>
        </w:rPr>
        <w:t xml:space="preserve">Beyond the immediate </w:t>
      </w:r>
      <w:r w:rsidRPr="00AC6302">
        <w:rPr>
          <w:rFonts w:cstheme="minorHAnsi"/>
        </w:rPr>
        <w:lastRenderedPageBreak/>
        <w:t xml:space="preserve">public health aspects of the COVID-19 pandemic, the disease will also have humanitarian and socio-economic consequences, as already seen in the global economic slow-down. </w:t>
      </w:r>
    </w:p>
    <w:p w14:paraId="784EE7DD" w14:textId="77777777" w:rsidR="006A0117" w:rsidRPr="00AC6302" w:rsidRDefault="006A0117" w:rsidP="006A0117">
      <w:pPr>
        <w:spacing w:after="0" w:line="240" w:lineRule="auto"/>
        <w:jc w:val="both"/>
        <w:rPr>
          <w:rFonts w:cstheme="minorHAnsi"/>
        </w:rPr>
      </w:pPr>
      <w:r w:rsidRPr="00AC6302">
        <w:rPr>
          <w:rFonts w:cstheme="minorHAnsi"/>
        </w:rPr>
        <w:t>The</w:t>
      </w:r>
      <w:r>
        <w:rPr>
          <w:rFonts w:cstheme="minorHAnsi"/>
        </w:rPr>
        <w:t xml:space="preserve"> </w:t>
      </w:r>
      <w:r w:rsidRPr="00AC6302">
        <w:rPr>
          <w:rFonts w:cstheme="minorHAnsi"/>
        </w:rPr>
        <w:t>containment measures have significantly reduced the level of economic activity, particularly in the informal sector, which employs 85% of Ugandans. Up to 60 percent of informal enterprises have stopped their operations or moved below the poverty level, denying daily earnings to between 5 and 6 million informal workers, most of them living hand to mouth. The measures are particularly worrisome for the elderly, the disabled, as well as female and child-headed families. These populations often do not have access to banking services and do not have savings to fall back on.  COVID-19 prevention measures will also backlog the criminal justice system as those awaiting bail or trial will face delays.</w:t>
      </w:r>
    </w:p>
    <w:p w14:paraId="062200BA" w14:textId="77777777" w:rsidR="006A0117" w:rsidRPr="00AC6302" w:rsidRDefault="006A0117" w:rsidP="006A0117">
      <w:pPr>
        <w:spacing w:after="0" w:line="240" w:lineRule="auto"/>
        <w:jc w:val="both"/>
        <w:rPr>
          <w:rFonts w:cstheme="minorHAnsi"/>
        </w:rPr>
      </w:pPr>
    </w:p>
    <w:p w14:paraId="6182815C" w14:textId="77777777" w:rsidR="006A0117" w:rsidRPr="00AC6302" w:rsidRDefault="006A0117" w:rsidP="006A0117">
      <w:pPr>
        <w:spacing w:after="0" w:line="240" w:lineRule="auto"/>
        <w:jc w:val="both"/>
        <w:rPr>
          <w:rFonts w:cstheme="minorHAnsi"/>
        </w:rPr>
      </w:pPr>
      <w:r w:rsidRPr="00AC6302">
        <w:rPr>
          <w:rFonts w:cstheme="minorHAnsi"/>
        </w:rPr>
        <w:t>COVID-19 is a threat to the peaceful co-existence of refugees in Uganda. Funding for refugee responses across the region have dwindled and focus on national COVID-19 responses worldwide will likely hurt efforts to maintain what meagre resources remain to feed, clothe, shelter, educate and protect the 1.4 million refugees in Uganda. It is also important that changes in weather patterns and natural disasters that have forced Ugandans to flee their homes do not exacerbate the spread of the virus due to crowding in makeshift shelters. Investment in disaster management at local levels close to meteorological hot spots is key. The protection of children, particularly girls and young women, is compromised the longer they are out of school as they are exposed to the possibility of child marriage, exploitation and teen pregnancy. Families, communities, cultural and religious leaders are critical partners on this frontline against the exploitation of women and girls.</w:t>
      </w:r>
    </w:p>
    <w:p w14:paraId="66A9A38D" w14:textId="77777777" w:rsidR="006A0117" w:rsidRPr="00AC6302" w:rsidRDefault="006A0117" w:rsidP="006A0117">
      <w:pPr>
        <w:spacing w:after="0" w:line="240" w:lineRule="auto"/>
        <w:jc w:val="both"/>
        <w:rPr>
          <w:rFonts w:cstheme="minorHAnsi"/>
        </w:rPr>
      </w:pPr>
    </w:p>
    <w:p w14:paraId="14F43F1A" w14:textId="77777777" w:rsidR="006A0117" w:rsidRPr="00EB6E4E" w:rsidRDefault="006A0117" w:rsidP="006A0117">
      <w:pPr>
        <w:spacing w:after="0" w:line="240" w:lineRule="auto"/>
        <w:jc w:val="both"/>
        <w:rPr>
          <w:rFonts w:cstheme="minorHAnsi"/>
          <w:lang w:bidi="ar-SA"/>
        </w:rPr>
      </w:pPr>
      <w:r w:rsidRPr="00AC6302">
        <w:rPr>
          <w:rFonts w:cstheme="minorHAnsi"/>
        </w:rPr>
        <w:t xml:space="preserve">To support the Government of Uganda to ensure urgent and robust response, the United Nations in Uganda, together with the Government and NGO partner organizations has launched </w:t>
      </w:r>
      <w:hyperlink r:id="rId11" w:history="1">
        <w:r w:rsidRPr="00AC6302">
          <w:rPr>
            <w:rStyle w:val="Hyperlink"/>
            <w:rFonts w:cstheme="minorHAnsi"/>
          </w:rPr>
          <w:t>the UN Emergency Appeal for COVID-19 Response and its Impacts in Uganda</w:t>
        </w:r>
      </w:hyperlink>
      <w:r w:rsidRPr="00AC6302">
        <w:rPr>
          <w:rFonts w:cstheme="minorHAnsi"/>
        </w:rPr>
        <w:t xml:space="preserve"> on 23</w:t>
      </w:r>
      <w:r w:rsidRPr="00AC6302">
        <w:rPr>
          <w:rFonts w:cstheme="minorHAnsi"/>
          <w:vertAlign w:val="superscript"/>
        </w:rPr>
        <w:t>rd</w:t>
      </w:r>
      <w:r w:rsidRPr="00AC6302">
        <w:rPr>
          <w:rFonts w:cstheme="minorHAnsi"/>
        </w:rPr>
        <w:t xml:space="preserve"> April 2020. The UN Emergency Appeal aims to mobilize USD 316.4 million to support 12.8 million people by addressing the impact of the COVID-19 pandemic on the most vulnerable people in Uganda, including the elderly, people living with disabilities, women and girls, refugees, widows, female-headed households, market women, street vendors, people living with HIV and TB, migrants and those displaced by natural disasters. </w:t>
      </w:r>
    </w:p>
    <w:p w14:paraId="79258AFA" w14:textId="77777777" w:rsidR="006A0117" w:rsidRPr="00AC6302" w:rsidRDefault="006A0117" w:rsidP="006A0117">
      <w:pPr>
        <w:spacing w:after="0" w:line="240" w:lineRule="auto"/>
        <w:jc w:val="both"/>
        <w:rPr>
          <w:rFonts w:cstheme="minorHAnsi"/>
        </w:rPr>
      </w:pPr>
    </w:p>
    <w:p w14:paraId="3051A46A" w14:textId="77777777" w:rsidR="006A0117" w:rsidRPr="00AC6302" w:rsidRDefault="006A0117" w:rsidP="006A0117">
      <w:pPr>
        <w:spacing w:after="0" w:line="240" w:lineRule="auto"/>
        <w:jc w:val="both"/>
        <w:rPr>
          <w:rFonts w:cstheme="minorHAnsi"/>
        </w:rPr>
      </w:pPr>
      <w:r w:rsidRPr="00AC6302">
        <w:rPr>
          <w:rFonts w:cstheme="minorHAnsi"/>
        </w:rPr>
        <w:t xml:space="preserve">The UN Emergency Appeal will provide a </w:t>
      </w:r>
      <w:r>
        <w:rPr>
          <w:rFonts w:cstheme="minorHAnsi"/>
        </w:rPr>
        <w:t xml:space="preserve">foundation for life-saving action and serve as a </w:t>
      </w:r>
      <w:r w:rsidRPr="00AC6302">
        <w:rPr>
          <w:rFonts w:cstheme="minorHAnsi"/>
        </w:rPr>
        <w:t>bridge to longer-term activities focused on recovery and resilience-buildings and leaving no one behind, to be implemented under the UN Sustainable Cooperation Framework (2021-2025), which is under development, in support of the Government’s new National Development Plan III and implementation of the Sustainable Development Goals (SDG).</w:t>
      </w:r>
    </w:p>
    <w:p w14:paraId="471D3945" w14:textId="77777777" w:rsidR="006A0117" w:rsidRPr="00AC6302" w:rsidRDefault="006A0117" w:rsidP="006A0117">
      <w:pPr>
        <w:spacing w:after="0" w:line="240" w:lineRule="auto"/>
        <w:jc w:val="both"/>
        <w:rPr>
          <w:rFonts w:cstheme="minorHAnsi"/>
          <w:b/>
          <w:bCs/>
        </w:rPr>
      </w:pPr>
    </w:p>
    <w:p w14:paraId="472ADFD6" w14:textId="77777777" w:rsidR="006A0117" w:rsidRPr="00AC6302" w:rsidRDefault="006A0117" w:rsidP="006A0117">
      <w:pPr>
        <w:spacing w:after="0" w:line="240" w:lineRule="auto"/>
        <w:contextualSpacing/>
        <w:jc w:val="both"/>
        <w:rPr>
          <w:rFonts w:cstheme="minorHAnsi"/>
          <w:bCs/>
          <w:color w:val="000000" w:themeColor="text1"/>
        </w:rPr>
      </w:pPr>
      <w:r>
        <w:rPr>
          <w:rFonts w:cstheme="minorHAnsi"/>
        </w:rPr>
        <w:t>The</w:t>
      </w:r>
      <w:r w:rsidRPr="00AC6302">
        <w:rPr>
          <w:rFonts w:cstheme="minorHAnsi"/>
        </w:rPr>
        <w:t xml:space="preserve"> </w:t>
      </w:r>
      <w:r w:rsidRPr="00AC6302">
        <w:rPr>
          <w:rFonts w:cstheme="minorHAnsi"/>
          <w:b/>
        </w:rPr>
        <w:t>Strategic Objectives</w:t>
      </w:r>
      <w:r w:rsidRPr="00AC6302">
        <w:rPr>
          <w:rFonts w:cstheme="minorHAnsi"/>
        </w:rPr>
        <w:t xml:space="preserve"> </w:t>
      </w:r>
      <w:r>
        <w:rPr>
          <w:rFonts w:cstheme="minorHAnsi"/>
        </w:rPr>
        <w:t xml:space="preserve">of the </w:t>
      </w:r>
      <w:r w:rsidRPr="00AC6302">
        <w:rPr>
          <w:rFonts w:cstheme="minorHAnsi"/>
        </w:rPr>
        <w:t xml:space="preserve">Emergency Window of the Fund, include: </w:t>
      </w:r>
    </w:p>
    <w:p w14:paraId="52D9F16D" w14:textId="77777777" w:rsidR="006A0117" w:rsidRPr="00AC6302" w:rsidRDefault="006A0117" w:rsidP="006A0117">
      <w:pPr>
        <w:spacing w:after="0" w:line="240" w:lineRule="auto"/>
        <w:contextualSpacing/>
        <w:jc w:val="both"/>
        <w:rPr>
          <w:rFonts w:cstheme="minorHAnsi"/>
          <w:bCs/>
          <w:color w:val="000000" w:themeColor="text1"/>
        </w:rPr>
      </w:pPr>
    </w:p>
    <w:p w14:paraId="0E0FD6E4" w14:textId="77777777" w:rsidR="006A0117" w:rsidRPr="00365A76" w:rsidRDefault="006A0117" w:rsidP="00B31055">
      <w:pPr>
        <w:pStyle w:val="ListParagraph"/>
        <w:numPr>
          <w:ilvl w:val="0"/>
          <w:numId w:val="14"/>
        </w:numPr>
        <w:spacing w:after="0" w:line="240" w:lineRule="auto"/>
        <w:jc w:val="both"/>
        <w:rPr>
          <w:rFonts w:cstheme="minorHAnsi"/>
        </w:rPr>
      </w:pPr>
      <w:r w:rsidRPr="00365A76">
        <w:rPr>
          <w:rFonts w:cstheme="minorHAnsi"/>
        </w:rPr>
        <w:t>Support public health response to contain the spread of COVID-19 pandemic by decreasing morbidity and mortality.</w:t>
      </w:r>
    </w:p>
    <w:p w14:paraId="10B398B6" w14:textId="77777777" w:rsidR="006A0117" w:rsidRPr="00365A76" w:rsidRDefault="006A0117" w:rsidP="00B31055">
      <w:pPr>
        <w:pStyle w:val="ListParagraph"/>
        <w:numPr>
          <w:ilvl w:val="0"/>
          <w:numId w:val="14"/>
        </w:numPr>
        <w:spacing w:after="0" w:line="240" w:lineRule="auto"/>
        <w:jc w:val="both"/>
        <w:rPr>
          <w:rFonts w:cstheme="minorHAnsi"/>
        </w:rPr>
      </w:pPr>
      <w:r w:rsidRPr="00365A76">
        <w:rPr>
          <w:rFonts w:cstheme="minorHAnsi"/>
        </w:rPr>
        <w:t>Provide access to life-saving, livelihoods- saving and resilience-building services, assistance and protection, prioritizing the most vulnerable and those most at-risk of COVID-19.</w:t>
      </w:r>
    </w:p>
    <w:p w14:paraId="54F63437" w14:textId="77777777" w:rsidR="006A0117" w:rsidRPr="00365A76" w:rsidRDefault="006A0117" w:rsidP="00B31055">
      <w:pPr>
        <w:pStyle w:val="ListParagraph"/>
        <w:numPr>
          <w:ilvl w:val="0"/>
          <w:numId w:val="14"/>
        </w:numPr>
        <w:spacing w:after="0" w:line="240" w:lineRule="auto"/>
        <w:jc w:val="both"/>
        <w:rPr>
          <w:rFonts w:cstheme="minorHAnsi"/>
        </w:rPr>
      </w:pPr>
      <w:r w:rsidRPr="00365A76">
        <w:rPr>
          <w:rFonts w:cstheme="minorHAnsi"/>
        </w:rPr>
        <w:t>Create an enabling environment for the COVID-19 response through immediate interventions to improve governance, human rights and gender equality, coordination and social cohesion.</w:t>
      </w:r>
    </w:p>
    <w:p w14:paraId="043E015E" w14:textId="77777777" w:rsidR="006A0117" w:rsidRPr="00AC6302" w:rsidRDefault="006A0117" w:rsidP="006A0117">
      <w:pPr>
        <w:widowControl w:val="0"/>
        <w:autoSpaceDE w:val="0"/>
        <w:autoSpaceDN w:val="0"/>
        <w:adjustRightInd w:val="0"/>
        <w:spacing w:after="0" w:line="240" w:lineRule="auto"/>
        <w:contextualSpacing/>
        <w:jc w:val="both"/>
        <w:rPr>
          <w:rFonts w:cstheme="minorHAnsi"/>
        </w:rPr>
      </w:pPr>
    </w:p>
    <w:p w14:paraId="59C72F64" w14:textId="77777777" w:rsidR="006A0117" w:rsidRPr="00EB6E4E" w:rsidRDefault="006A0117" w:rsidP="006A0117">
      <w:pPr>
        <w:autoSpaceDE w:val="0"/>
        <w:autoSpaceDN w:val="0"/>
        <w:adjustRightInd w:val="0"/>
        <w:spacing w:after="0" w:line="240" w:lineRule="auto"/>
        <w:jc w:val="both"/>
        <w:rPr>
          <w:rFonts w:cstheme="minorHAnsi"/>
          <w:b/>
          <w:bCs/>
        </w:rPr>
      </w:pPr>
      <w:r w:rsidRPr="00EB6E4E">
        <w:rPr>
          <w:rFonts w:cstheme="minorHAnsi"/>
          <w:b/>
          <w:bCs/>
        </w:rPr>
        <w:t>Response Approach</w:t>
      </w:r>
    </w:p>
    <w:p w14:paraId="4971EAAA" w14:textId="77777777" w:rsidR="006A0117" w:rsidRPr="00EB6E4E" w:rsidRDefault="006A0117" w:rsidP="006A0117">
      <w:pPr>
        <w:autoSpaceDE w:val="0"/>
        <w:autoSpaceDN w:val="0"/>
        <w:adjustRightInd w:val="0"/>
        <w:spacing w:after="0" w:line="240" w:lineRule="auto"/>
        <w:jc w:val="both"/>
        <w:rPr>
          <w:rFonts w:cstheme="minorHAnsi"/>
        </w:rPr>
      </w:pPr>
      <w:r w:rsidRPr="00EB6E4E">
        <w:rPr>
          <w:rFonts w:cstheme="minorHAnsi"/>
          <w:color w:val="282829"/>
        </w:rPr>
        <w:t xml:space="preserve">This United Nations-coordinated Emergency Appeal prioritizes the most urgent interventions to be carried out in Uganda in the next six months (April to September 2020) in support of the Government-led response to COVID-19. Complementing the Government of Uganda and the Ministry of Health’s response, </w:t>
      </w:r>
      <w:r w:rsidRPr="00EB6E4E">
        <w:rPr>
          <w:rFonts w:cstheme="minorHAnsi"/>
          <w:color w:val="282829"/>
        </w:rPr>
        <w:lastRenderedPageBreak/>
        <w:t>the appeal focuses on: 1) the immediate public health response to COVID-19, and 2) response to the secondary impacts of the pandemic on vulnerable Ugandans, including children, the elderly, women, people living with disabilities, people living with HIV, refugees, migrants, and those displaced by natural disasters.  Whilst seeking to ensure that there is not duplication in funding asks with existing programmes, some activities in the Emergency Appeal represent a strictly prioritized and/or scaled-up version of activities in the Uganda Refugee Response Plan, and Uganda’s United Nations Development Assistance Framework (UNDAF)</w:t>
      </w:r>
      <w:r w:rsidRPr="00EB6E4E">
        <w:rPr>
          <w:rFonts w:cstheme="minorHAnsi"/>
        </w:rPr>
        <w:t xml:space="preserve">. </w:t>
      </w:r>
    </w:p>
    <w:p w14:paraId="324465B5" w14:textId="77777777" w:rsidR="006A0117" w:rsidRPr="00AC6302" w:rsidRDefault="006A0117" w:rsidP="006A0117">
      <w:pPr>
        <w:spacing w:after="0" w:line="240" w:lineRule="auto"/>
        <w:jc w:val="both"/>
        <w:rPr>
          <w:rFonts w:cstheme="minorHAnsi"/>
        </w:rPr>
      </w:pPr>
    </w:p>
    <w:p w14:paraId="04FEA474" w14:textId="77777777" w:rsidR="006A0117" w:rsidRPr="00AC6302" w:rsidRDefault="006A0117" w:rsidP="006A0117">
      <w:pPr>
        <w:spacing w:after="0" w:line="240" w:lineRule="auto"/>
        <w:jc w:val="both"/>
        <w:rPr>
          <w:rFonts w:cstheme="minorHAnsi"/>
        </w:rPr>
      </w:pPr>
      <w:r w:rsidRPr="00AC6302">
        <w:rPr>
          <w:rFonts w:cstheme="minorHAnsi"/>
        </w:rPr>
        <w:t>The appeal will respond to the most urgent needs generated by the secondary consequences caused by the COVID-19 outbreak for the most vulnerable Ugandans, including through: food security, livelihoods and nutrition interventions; life-saving protection, education and WASH services; social protection for the most vulnerable; assistance for refugees and internally displaced people; and support to the private sector, local governments and communities to counter-act the immediate humanitarian consequences of COVID-19. Common services -including coordination, security, communication and logistics- will underpin the response and support the scale-up of partners’ emergency programmes to meet critical life-saving needs in the period ahead.</w:t>
      </w:r>
    </w:p>
    <w:p w14:paraId="37F7A57F" w14:textId="77777777" w:rsidR="006A0117" w:rsidRPr="00AC6302" w:rsidRDefault="006A0117" w:rsidP="006A0117">
      <w:pPr>
        <w:spacing w:after="0" w:line="240" w:lineRule="auto"/>
        <w:jc w:val="both"/>
        <w:rPr>
          <w:rFonts w:cstheme="minorHAnsi"/>
        </w:rPr>
      </w:pPr>
    </w:p>
    <w:p w14:paraId="3294CB2F" w14:textId="77777777" w:rsidR="006A0117" w:rsidRPr="00EB6E4E" w:rsidRDefault="006A0117" w:rsidP="006A0117">
      <w:pPr>
        <w:autoSpaceDE w:val="0"/>
        <w:autoSpaceDN w:val="0"/>
        <w:adjustRightInd w:val="0"/>
        <w:spacing w:after="0" w:line="240" w:lineRule="auto"/>
        <w:jc w:val="both"/>
        <w:rPr>
          <w:rFonts w:cstheme="minorHAnsi"/>
          <w:color w:val="282829"/>
        </w:rPr>
      </w:pPr>
      <w:r w:rsidRPr="00EB6E4E">
        <w:rPr>
          <w:rFonts w:cstheme="minorHAnsi"/>
          <w:b/>
          <w:bCs/>
          <w:color w:val="282829"/>
        </w:rPr>
        <w:t xml:space="preserve">The appeal targets at risk communities across Uganda under </w:t>
      </w:r>
      <w:r>
        <w:rPr>
          <w:rFonts w:cstheme="minorHAnsi"/>
          <w:b/>
          <w:bCs/>
          <w:color w:val="282829"/>
        </w:rPr>
        <w:t xml:space="preserve">six </w:t>
      </w:r>
      <w:r w:rsidRPr="00EB6E4E">
        <w:rPr>
          <w:rFonts w:cstheme="minorHAnsi"/>
          <w:b/>
          <w:bCs/>
          <w:color w:val="282829"/>
        </w:rPr>
        <w:t xml:space="preserve">core themes: </w:t>
      </w:r>
      <w:r w:rsidRPr="00EB6E4E">
        <w:rPr>
          <w:rFonts w:cstheme="minorHAnsi"/>
          <w:color w:val="282829"/>
        </w:rPr>
        <w:t>1) Life-Saving Health Services, including the immediate COVID-19 public health response; 2) Food Security, Livelihoods and Nutrition; 3)Social Protection and Life-Saving Essential Services; 4) Refugees and Displacement;) Immediate Economic Support &amp; Digital Innovation;</w:t>
      </w:r>
      <w:r w:rsidRPr="00AC6302">
        <w:rPr>
          <w:rFonts w:cstheme="minorHAnsi"/>
        </w:rPr>
        <w:t xml:space="preserve"> </w:t>
      </w:r>
      <w:r w:rsidRPr="00EB6E4E">
        <w:rPr>
          <w:rFonts w:cstheme="minorHAnsi"/>
          <w:color w:val="282829"/>
        </w:rPr>
        <w:t>and 6) Coordination and Common services.</w:t>
      </w:r>
    </w:p>
    <w:p w14:paraId="11439FF2" w14:textId="77777777" w:rsidR="006A0117" w:rsidRPr="00EB6E4E" w:rsidRDefault="006A0117" w:rsidP="006A0117">
      <w:pPr>
        <w:autoSpaceDE w:val="0"/>
        <w:autoSpaceDN w:val="0"/>
        <w:adjustRightInd w:val="0"/>
        <w:spacing w:after="0" w:line="240" w:lineRule="auto"/>
        <w:jc w:val="both"/>
        <w:rPr>
          <w:rFonts w:cstheme="minorHAnsi"/>
          <w:color w:val="282829"/>
        </w:rPr>
      </w:pPr>
    </w:p>
    <w:p w14:paraId="6A5BC088" w14:textId="77777777" w:rsidR="006A0117" w:rsidRPr="00AC6302" w:rsidRDefault="006A0117" w:rsidP="006A0117">
      <w:pPr>
        <w:autoSpaceDE w:val="0"/>
        <w:autoSpaceDN w:val="0"/>
        <w:adjustRightInd w:val="0"/>
        <w:spacing w:after="0" w:line="240" w:lineRule="auto"/>
        <w:jc w:val="both"/>
        <w:rPr>
          <w:rFonts w:cstheme="minorHAnsi"/>
        </w:rPr>
      </w:pPr>
      <w:r w:rsidRPr="00AC6302">
        <w:rPr>
          <w:rFonts w:cstheme="minorHAnsi"/>
        </w:rPr>
        <w:t xml:space="preserve">Under each theme, the Appeal presents two sets of time-bound interventions, as follows: </w:t>
      </w:r>
    </w:p>
    <w:p w14:paraId="5CF61565" w14:textId="77777777" w:rsidR="006A0117" w:rsidRPr="00EB6E4E" w:rsidRDefault="006A0117" w:rsidP="006A0117">
      <w:pPr>
        <w:autoSpaceDE w:val="0"/>
        <w:autoSpaceDN w:val="0"/>
        <w:adjustRightInd w:val="0"/>
        <w:spacing w:after="0" w:line="240" w:lineRule="auto"/>
        <w:jc w:val="both"/>
        <w:rPr>
          <w:rFonts w:cstheme="minorHAnsi"/>
        </w:rPr>
      </w:pPr>
      <w:r w:rsidRPr="001721E1">
        <w:rPr>
          <w:rFonts w:cstheme="minorHAnsi"/>
        </w:rPr>
        <w:t xml:space="preserve">1. The most urgently required immediate </w:t>
      </w:r>
      <w:r w:rsidRPr="00EB6E4E">
        <w:rPr>
          <w:rFonts w:cstheme="minorHAnsi"/>
        </w:rPr>
        <w:t xml:space="preserve">interventions for the public health emergency and impacts from COVID-19 in next eight-weeks are prioritized and highlighted; 2. These are placed alongside priority interventions that will tackle long term public health interventions aimed at containment of COVID-19 and address the impacts of the containment measures over the next six months. </w:t>
      </w:r>
    </w:p>
    <w:p w14:paraId="679FA46C" w14:textId="77777777" w:rsidR="006A0117" w:rsidRPr="00EB6E4E" w:rsidRDefault="006A0117" w:rsidP="006A0117">
      <w:pPr>
        <w:autoSpaceDE w:val="0"/>
        <w:autoSpaceDN w:val="0"/>
        <w:adjustRightInd w:val="0"/>
        <w:spacing w:after="0" w:line="240" w:lineRule="auto"/>
        <w:jc w:val="both"/>
        <w:rPr>
          <w:rFonts w:cstheme="minorHAnsi"/>
        </w:rPr>
      </w:pPr>
    </w:p>
    <w:p w14:paraId="7273B02D" w14:textId="77777777" w:rsidR="006A0117" w:rsidRDefault="006A0117" w:rsidP="006A0117">
      <w:pPr>
        <w:autoSpaceDE w:val="0"/>
        <w:autoSpaceDN w:val="0"/>
        <w:adjustRightInd w:val="0"/>
        <w:spacing w:after="0" w:line="240" w:lineRule="auto"/>
        <w:jc w:val="both"/>
        <w:rPr>
          <w:rFonts w:cstheme="minorHAnsi"/>
        </w:rPr>
      </w:pPr>
      <w:r w:rsidRPr="00EB6E4E">
        <w:rPr>
          <w:rFonts w:cstheme="minorHAnsi"/>
        </w:rPr>
        <w:t>To maximize efficiency and effectiveness, wherever possible, existing mechanisms will be utilized -such as the social protection programme under the Ministry of Gender, Labour and Social Development (MGLSD)- with programmes in the Emergency Appeal supporting a vertical and horizontal expansion to incorporate new caseloads of vulnerable people in need. The response will complement the coordinated fiscal response led by the  Office of the Prime Minister, which is scaling up existing social protection programmes and re-purposing them to protect the most vulnerable, including the elderly, youth, poor, women, people with HIV, people with disabilities, refugees and others. The response will also take into account other Government initiatives, such as: the establishment of a National Food Strategic Reserve and modernizing and digitalizing supply chains; protecting basic service delivery, such as water, electricity and health services; and working with International Financial Institutions to avoid the knock-on effects of COVID-19 for the wider economy.</w:t>
      </w:r>
    </w:p>
    <w:p w14:paraId="5B3AB298" w14:textId="77777777" w:rsidR="006A0117" w:rsidRDefault="006A0117" w:rsidP="006A0117">
      <w:pPr>
        <w:rPr>
          <w:rFonts w:cstheme="minorHAnsi"/>
        </w:rPr>
      </w:pPr>
    </w:p>
    <w:p w14:paraId="75E261FC" w14:textId="77777777" w:rsidR="006A0117" w:rsidRPr="00EB6E4E" w:rsidRDefault="006A0117" w:rsidP="006A0117">
      <w:pPr>
        <w:jc w:val="both"/>
        <w:rPr>
          <w:rStyle w:val="Emphasis"/>
          <w:rFonts w:eastAsia="Cambria" w:cstheme="minorHAnsi"/>
          <w:b/>
          <w:i w:val="0"/>
        </w:rPr>
      </w:pPr>
      <w:r w:rsidRPr="00A955A8">
        <w:rPr>
          <w:rFonts w:cstheme="minorHAnsi"/>
          <w:b/>
          <w:bCs/>
          <w:i/>
          <w:iCs/>
        </w:rPr>
        <w:t>Ke</w:t>
      </w:r>
      <w:r>
        <w:rPr>
          <w:rStyle w:val="Emphasis"/>
          <w:rFonts w:cstheme="minorHAnsi"/>
          <w:b/>
        </w:rPr>
        <w:t>y a</w:t>
      </w:r>
      <w:r w:rsidRPr="00EB6E4E">
        <w:rPr>
          <w:rStyle w:val="Emphasis"/>
          <w:rFonts w:cstheme="minorHAnsi"/>
          <w:b/>
        </w:rPr>
        <w:t>ssumptions</w:t>
      </w:r>
    </w:p>
    <w:p w14:paraId="08D5E88D" w14:textId="77777777" w:rsidR="006A0117" w:rsidRPr="00EB6E4E" w:rsidRDefault="006A0117" w:rsidP="00B31055">
      <w:pPr>
        <w:pStyle w:val="ListParagraph"/>
        <w:numPr>
          <w:ilvl w:val="0"/>
          <w:numId w:val="2"/>
        </w:numPr>
        <w:spacing w:after="0" w:line="240" w:lineRule="auto"/>
        <w:jc w:val="both"/>
        <w:rPr>
          <w:rStyle w:val="Emphasis"/>
          <w:rFonts w:cstheme="minorHAnsi"/>
          <w:i w:val="0"/>
        </w:rPr>
      </w:pPr>
      <w:r w:rsidRPr="00EB6E4E">
        <w:rPr>
          <w:rStyle w:val="Emphasis"/>
          <w:rFonts w:cstheme="minorHAnsi"/>
          <w:b/>
        </w:rPr>
        <w:t>Times of Preparedness and Start-Up:</w:t>
      </w:r>
      <w:r w:rsidRPr="00EB6E4E">
        <w:rPr>
          <w:rStyle w:val="Emphasis"/>
          <w:rFonts w:cstheme="minorHAnsi"/>
        </w:rPr>
        <w:t xml:space="preserve"> The Fund will begin to finance rapid response and preparedness actions before the full mobilization of resources for the UN Emergency Appeal.</w:t>
      </w:r>
      <w:r w:rsidRPr="00EB6E4E">
        <w:rPr>
          <w:rStyle w:val="Emphasis"/>
          <w:rFonts w:cstheme="minorHAnsi"/>
          <w:i w:val="0"/>
        </w:rPr>
        <w:t xml:space="preserve"> </w:t>
      </w:r>
    </w:p>
    <w:p w14:paraId="11472133" w14:textId="77777777" w:rsidR="006A0117" w:rsidRDefault="006A0117" w:rsidP="00B31055">
      <w:pPr>
        <w:pStyle w:val="ListParagraph"/>
        <w:numPr>
          <w:ilvl w:val="0"/>
          <w:numId w:val="2"/>
        </w:numPr>
        <w:spacing w:after="0" w:line="240" w:lineRule="auto"/>
        <w:jc w:val="both"/>
        <w:rPr>
          <w:rFonts w:cstheme="minorHAnsi"/>
        </w:rPr>
      </w:pPr>
      <w:r w:rsidRPr="00EB6E4E">
        <w:rPr>
          <w:rStyle w:val="Emphasis"/>
          <w:rFonts w:cstheme="minorHAnsi"/>
          <w:b/>
        </w:rPr>
        <w:t>Resources:</w:t>
      </w:r>
      <w:r w:rsidRPr="00EB6E4E">
        <w:rPr>
          <w:rStyle w:val="Emphasis"/>
          <w:rFonts w:cstheme="minorHAnsi"/>
        </w:rPr>
        <w:t xml:space="preserve"> </w:t>
      </w:r>
      <w:r>
        <w:rPr>
          <w:rFonts w:cstheme="minorHAnsi"/>
        </w:rPr>
        <w:t>The</w:t>
      </w:r>
      <w:r w:rsidRPr="00AC6302">
        <w:rPr>
          <w:rFonts w:cstheme="minorHAnsi"/>
        </w:rPr>
        <w:t xml:space="preserve"> Government of Uganda </w:t>
      </w:r>
      <w:r>
        <w:rPr>
          <w:rFonts w:cstheme="minorHAnsi"/>
        </w:rPr>
        <w:t>and bilateral partners are</w:t>
      </w:r>
      <w:r w:rsidRPr="00AC6302">
        <w:rPr>
          <w:rFonts w:cstheme="minorHAnsi"/>
        </w:rPr>
        <w:t xml:space="preserve"> committed </w:t>
      </w:r>
      <w:r>
        <w:rPr>
          <w:rFonts w:cstheme="minorHAnsi"/>
        </w:rPr>
        <w:t>to providing funding  under this appeal.</w:t>
      </w:r>
    </w:p>
    <w:p w14:paraId="70D148F0" w14:textId="77777777" w:rsidR="006A0117" w:rsidRDefault="006A0117" w:rsidP="006A0117">
      <w:pPr>
        <w:rPr>
          <w:rFonts w:cstheme="minorHAnsi"/>
        </w:rPr>
      </w:pPr>
      <w:r>
        <w:rPr>
          <w:rFonts w:cstheme="minorHAnsi"/>
        </w:rPr>
        <w:br w:type="page"/>
      </w:r>
    </w:p>
    <w:p w14:paraId="27E80DDC" w14:textId="77777777" w:rsidR="006A0117" w:rsidRPr="00AC6302" w:rsidRDefault="006A0117" w:rsidP="006A0117">
      <w:pPr>
        <w:jc w:val="both"/>
        <w:rPr>
          <w:rFonts w:cstheme="minorHAnsi"/>
          <w:b/>
        </w:rPr>
      </w:pPr>
      <w:r w:rsidRPr="00AC6302">
        <w:rPr>
          <w:rFonts w:cstheme="minorHAnsi"/>
          <w:b/>
          <w:noProof/>
        </w:rPr>
        <w:lastRenderedPageBreak/>
        <mc:AlternateContent>
          <mc:Choice Requires="wpg">
            <w:drawing>
              <wp:anchor distT="0" distB="0" distL="114300" distR="114300" simplePos="0" relativeHeight="251659264" behindDoc="0" locked="0" layoutInCell="1" allowOverlap="1" wp14:anchorId="0C3E9F33" wp14:editId="596E23FE">
                <wp:simplePos x="0" y="0"/>
                <wp:positionH relativeFrom="column">
                  <wp:posOffset>-406400</wp:posOffset>
                </wp:positionH>
                <wp:positionV relativeFrom="paragraph">
                  <wp:posOffset>251460</wp:posOffset>
                </wp:positionV>
                <wp:extent cx="6334701" cy="5326380"/>
                <wp:effectExtent l="0" t="0" r="28575" b="26670"/>
                <wp:wrapNone/>
                <wp:docPr id="1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4701" cy="5326380"/>
                          <a:chOff x="1702" y="1122"/>
                          <a:chExt cx="9956" cy="8388"/>
                        </a:xfrm>
                      </wpg:grpSpPr>
                      <wps:wsp>
                        <wps:cNvPr id="15" name="Text Box 37"/>
                        <wps:cNvSpPr txBox="1">
                          <a:spLocks noChangeArrowheads="1"/>
                        </wps:cNvSpPr>
                        <wps:spPr bwMode="auto">
                          <a:xfrm>
                            <a:off x="4033" y="1122"/>
                            <a:ext cx="6892" cy="810"/>
                          </a:xfrm>
                          <a:prstGeom prst="rect">
                            <a:avLst/>
                          </a:prstGeom>
                          <a:solidFill>
                            <a:srgbClr val="FFFFFF"/>
                          </a:solidFill>
                          <a:ln w="9525">
                            <a:solidFill>
                              <a:srgbClr val="000000"/>
                            </a:solidFill>
                            <a:miter lim="800000"/>
                            <a:headEnd/>
                            <a:tailEnd/>
                          </a:ln>
                        </wps:spPr>
                        <wps:txbx>
                          <w:txbxContent>
                            <w:p w14:paraId="32651944" w14:textId="77777777" w:rsidR="006A0117" w:rsidRPr="006A27D1" w:rsidRDefault="006A0117" w:rsidP="006A0117">
                              <w:pPr>
                                <w:spacing w:after="0"/>
                                <w:jc w:val="center"/>
                                <w:rPr>
                                  <w:b/>
                                </w:rPr>
                              </w:pPr>
                              <w:r w:rsidRPr="006A27D1">
                                <w:rPr>
                                  <w:b/>
                                </w:rPr>
                                <w:t>DESIRED CHANGE IN THE LONG TERM</w:t>
                              </w:r>
                            </w:p>
                            <w:p w14:paraId="6B8707DD" w14:textId="77777777" w:rsidR="006A0117" w:rsidRPr="00D85E71" w:rsidRDefault="006A0117" w:rsidP="006A0117">
                              <w:pPr>
                                <w:spacing w:after="0"/>
                                <w:jc w:val="center"/>
                              </w:pPr>
                              <w:r>
                                <w:t xml:space="preserve">Leave no one behind as a result of COVID-19 </w:t>
                              </w:r>
                            </w:p>
                          </w:txbxContent>
                        </wps:txbx>
                        <wps:bodyPr rot="0" vert="horz" wrap="square" lIns="91440" tIns="45720" rIns="91440" bIns="45720" anchor="t" anchorCtr="0" upright="1">
                          <a:noAutofit/>
                        </wps:bodyPr>
                      </wps:wsp>
                      <wps:wsp>
                        <wps:cNvPr id="16" name="Text Box 38"/>
                        <wps:cNvSpPr txBox="1">
                          <a:spLocks noChangeArrowheads="1"/>
                        </wps:cNvSpPr>
                        <wps:spPr bwMode="auto">
                          <a:xfrm>
                            <a:off x="4750" y="2152"/>
                            <a:ext cx="5347" cy="1055"/>
                          </a:xfrm>
                          <a:prstGeom prst="rect">
                            <a:avLst/>
                          </a:prstGeom>
                          <a:solidFill>
                            <a:srgbClr val="FFFFFF"/>
                          </a:solidFill>
                          <a:ln w="9525">
                            <a:solidFill>
                              <a:srgbClr val="000000"/>
                            </a:solidFill>
                            <a:miter lim="800000"/>
                            <a:headEnd/>
                            <a:tailEnd/>
                          </a:ln>
                        </wps:spPr>
                        <wps:txbx>
                          <w:txbxContent>
                            <w:p w14:paraId="26003AB6" w14:textId="77777777" w:rsidR="006A0117" w:rsidRDefault="006A0117" w:rsidP="006A0117">
                              <w:pPr>
                                <w:spacing w:after="0"/>
                                <w:jc w:val="center"/>
                                <w:rPr>
                                  <w:b/>
                                </w:rPr>
                              </w:pPr>
                              <w:r w:rsidRPr="006A27D1">
                                <w:rPr>
                                  <w:b/>
                                </w:rPr>
                                <w:t>IMPACT</w:t>
                              </w:r>
                            </w:p>
                            <w:p w14:paraId="71D930FB" w14:textId="77777777" w:rsidR="006A0117" w:rsidRPr="00D85E71" w:rsidRDefault="006A0117" w:rsidP="006A0117">
                              <w:pPr>
                                <w:spacing w:after="0"/>
                                <w:jc w:val="center"/>
                              </w:pPr>
                              <w:r>
                                <w:t>Long-Term Recovery</w:t>
                              </w:r>
                            </w:p>
                            <w:p w14:paraId="3438F75C" w14:textId="77777777" w:rsidR="006A0117" w:rsidRPr="006A27D1" w:rsidRDefault="006A0117" w:rsidP="006A0117">
                              <w:pPr>
                                <w:spacing w:after="0"/>
                                <w:jc w:val="center"/>
                                <w:rPr>
                                  <w:b/>
                                </w:rPr>
                              </w:pPr>
                            </w:p>
                            <w:p w14:paraId="087646BD" w14:textId="77777777" w:rsidR="006A0117" w:rsidRPr="00D85E71" w:rsidRDefault="006A0117" w:rsidP="006A0117">
                              <w:pPr>
                                <w:spacing w:after="0"/>
                                <w:jc w:val="center"/>
                              </w:pPr>
                            </w:p>
                          </w:txbxContent>
                        </wps:txbx>
                        <wps:bodyPr rot="0" vert="horz" wrap="square" lIns="91440" tIns="45720" rIns="91440" bIns="45720" anchor="t" anchorCtr="0" upright="1">
                          <a:noAutofit/>
                        </wps:bodyPr>
                      </wps:wsp>
                      <wps:wsp>
                        <wps:cNvPr id="17" name="Text Box 39"/>
                        <wps:cNvSpPr txBox="1">
                          <a:spLocks noChangeArrowheads="1"/>
                        </wps:cNvSpPr>
                        <wps:spPr bwMode="auto">
                          <a:xfrm>
                            <a:off x="3441" y="3881"/>
                            <a:ext cx="1935" cy="5608"/>
                          </a:xfrm>
                          <a:prstGeom prst="rect">
                            <a:avLst/>
                          </a:prstGeom>
                          <a:solidFill>
                            <a:srgbClr val="FFFFFF"/>
                          </a:solidFill>
                          <a:ln w="9525">
                            <a:solidFill>
                              <a:srgbClr val="000000"/>
                            </a:solidFill>
                            <a:miter lim="800000"/>
                            <a:headEnd/>
                            <a:tailEnd/>
                          </a:ln>
                        </wps:spPr>
                        <wps:txbx>
                          <w:txbxContent>
                            <w:p w14:paraId="3EFB24D0" w14:textId="77777777" w:rsidR="006A0117" w:rsidRPr="003405E7" w:rsidRDefault="006A0117" w:rsidP="006A0117">
                              <w:pPr>
                                <w:spacing w:after="0"/>
                                <w:rPr>
                                  <w:b/>
                                  <w:bCs/>
                                  <w:sz w:val="18"/>
                                  <w:szCs w:val="18"/>
                                </w:rPr>
                              </w:pPr>
                              <w:r w:rsidRPr="003405E7">
                                <w:rPr>
                                  <w:b/>
                                  <w:bCs/>
                                  <w:sz w:val="18"/>
                                  <w:szCs w:val="18"/>
                                </w:rPr>
                                <w:t>Food Security, Livelihoods &amp; Nutrition</w:t>
                              </w:r>
                            </w:p>
                            <w:p w14:paraId="43C00B3D" w14:textId="77777777" w:rsidR="006A0117" w:rsidRPr="004C4565" w:rsidRDefault="006A0117" w:rsidP="006A0117">
                              <w:pPr>
                                <w:spacing w:after="0"/>
                                <w:rPr>
                                  <w:sz w:val="18"/>
                                  <w:szCs w:val="18"/>
                                </w:rPr>
                              </w:pPr>
                              <w:r w:rsidRPr="003405E7">
                                <w:rPr>
                                  <w:sz w:val="18"/>
                                  <w:szCs w:val="18"/>
                                </w:rPr>
                                <w:t>Supporting a</w:t>
                              </w:r>
                              <w:r w:rsidRPr="004C4565">
                                <w:rPr>
                                  <w:sz w:val="18"/>
                                  <w:szCs w:val="18"/>
                                </w:rPr>
                                <w:t>ccess to food through food assistance; and</w:t>
                              </w:r>
                            </w:p>
                            <w:p w14:paraId="397C0E88" w14:textId="77777777" w:rsidR="006A0117" w:rsidRPr="004C4565" w:rsidRDefault="006A0117" w:rsidP="006A0117">
                              <w:pPr>
                                <w:spacing w:after="0"/>
                                <w:rPr>
                                  <w:sz w:val="18"/>
                                  <w:szCs w:val="18"/>
                                </w:rPr>
                              </w:pPr>
                              <w:r>
                                <w:rPr>
                                  <w:sz w:val="18"/>
                                  <w:szCs w:val="18"/>
                                </w:rPr>
                                <w:t>a</w:t>
                              </w:r>
                              <w:r w:rsidRPr="004C4565">
                                <w:rPr>
                                  <w:sz w:val="18"/>
                                  <w:szCs w:val="18"/>
                                </w:rPr>
                                <w:t>ccess to food through own production</w:t>
                              </w:r>
                            </w:p>
                            <w:p w14:paraId="67465C68" w14:textId="77777777" w:rsidR="006A0117" w:rsidRPr="003405E7" w:rsidRDefault="006A0117" w:rsidP="006A0117">
                              <w:pPr>
                                <w:spacing w:after="0"/>
                                <w:jc w:val="center"/>
                                <w:rPr>
                                  <w:sz w:val="18"/>
                                  <w:szCs w:val="18"/>
                                </w:rPr>
                              </w:pPr>
                            </w:p>
                          </w:txbxContent>
                        </wps:txbx>
                        <wps:bodyPr rot="0" vert="horz" wrap="square" lIns="91440" tIns="45720" rIns="91440" bIns="45720" anchor="t" anchorCtr="0" upright="1">
                          <a:noAutofit/>
                        </wps:bodyPr>
                      </wps:wsp>
                      <wps:wsp>
                        <wps:cNvPr id="18" name="Text Box 40"/>
                        <wps:cNvSpPr txBox="1">
                          <a:spLocks noChangeArrowheads="1"/>
                        </wps:cNvSpPr>
                        <wps:spPr bwMode="auto">
                          <a:xfrm>
                            <a:off x="1702" y="3881"/>
                            <a:ext cx="1650" cy="5568"/>
                          </a:xfrm>
                          <a:prstGeom prst="rect">
                            <a:avLst/>
                          </a:prstGeom>
                          <a:solidFill>
                            <a:srgbClr val="FFFFFF"/>
                          </a:solidFill>
                          <a:ln w="9525">
                            <a:solidFill>
                              <a:srgbClr val="000000"/>
                            </a:solidFill>
                            <a:miter lim="800000"/>
                            <a:headEnd/>
                            <a:tailEnd/>
                          </a:ln>
                        </wps:spPr>
                        <wps:txbx>
                          <w:txbxContent>
                            <w:p w14:paraId="5E027C0C" w14:textId="77777777" w:rsidR="006A0117" w:rsidRPr="003405E7" w:rsidRDefault="006A0117" w:rsidP="006A0117">
                              <w:pPr>
                                <w:spacing w:after="0"/>
                                <w:rPr>
                                  <w:rFonts w:cs="Calibri"/>
                                  <w:b/>
                                  <w:bCs/>
                                  <w:sz w:val="18"/>
                                  <w:szCs w:val="18"/>
                                </w:rPr>
                              </w:pPr>
                              <w:r w:rsidRPr="003405E7">
                                <w:rPr>
                                  <w:rFonts w:cs="Calibri"/>
                                  <w:b/>
                                  <w:bCs/>
                                  <w:sz w:val="18"/>
                                  <w:szCs w:val="18"/>
                                </w:rPr>
                                <w:t>Health</w:t>
                              </w:r>
                            </w:p>
                            <w:p w14:paraId="205DB80C" w14:textId="77777777" w:rsidR="006A0117" w:rsidRPr="00E460B8" w:rsidRDefault="006A0117" w:rsidP="006A0117">
                              <w:pPr>
                                <w:spacing w:after="0"/>
                                <w:rPr>
                                  <w:rFonts w:cs="Calibri"/>
                                  <w:sz w:val="18"/>
                                  <w:szCs w:val="18"/>
                                </w:rPr>
                              </w:pPr>
                              <w:r w:rsidRPr="003405E7">
                                <w:rPr>
                                  <w:rFonts w:cs="Calibri"/>
                                  <w:sz w:val="18"/>
                                  <w:szCs w:val="18"/>
                                </w:rPr>
                                <w:t>Supporting i</w:t>
                              </w:r>
                              <w:r w:rsidRPr="00E460B8">
                                <w:rPr>
                                  <w:rFonts w:cs="Calibri"/>
                                  <w:sz w:val="18"/>
                                  <w:szCs w:val="18"/>
                                </w:rPr>
                                <w:t>mmediate COVID-19 public health response and</w:t>
                              </w:r>
                            </w:p>
                            <w:p w14:paraId="466A561D" w14:textId="77777777" w:rsidR="006A0117" w:rsidRPr="00E460B8" w:rsidRDefault="006A0117" w:rsidP="006A0117">
                              <w:pPr>
                                <w:spacing w:after="0"/>
                                <w:rPr>
                                  <w:rFonts w:cs="Calibri"/>
                                  <w:sz w:val="18"/>
                                  <w:szCs w:val="18"/>
                                </w:rPr>
                              </w:pPr>
                              <w:r>
                                <w:rPr>
                                  <w:rFonts w:cs="Calibri"/>
                                  <w:sz w:val="18"/>
                                  <w:szCs w:val="18"/>
                                </w:rPr>
                                <w:t>c</w:t>
                              </w:r>
                              <w:r w:rsidRPr="00E460B8">
                                <w:rPr>
                                  <w:rFonts w:cs="Calibri"/>
                                  <w:sz w:val="18"/>
                                  <w:szCs w:val="18"/>
                                </w:rPr>
                                <w:t>ontinuity of other essential life-saving health services during the outbreak</w:t>
                              </w:r>
                            </w:p>
                            <w:p w14:paraId="78766163" w14:textId="77777777" w:rsidR="006A0117" w:rsidRPr="003405E7" w:rsidRDefault="006A0117" w:rsidP="006A0117">
                              <w:pPr>
                                <w:spacing w:after="0"/>
                                <w:rPr>
                                  <w:rFonts w:cs="Calibri"/>
                                  <w:sz w:val="18"/>
                                  <w:szCs w:val="18"/>
                                </w:rPr>
                              </w:pPr>
                            </w:p>
                          </w:txbxContent>
                        </wps:txbx>
                        <wps:bodyPr rot="0" vert="horz" wrap="square" lIns="91440" tIns="45720" rIns="91440" bIns="45720" anchor="t" anchorCtr="0" upright="1">
                          <a:noAutofit/>
                        </wps:bodyPr>
                      </wps:wsp>
                      <wps:wsp>
                        <wps:cNvPr id="19" name="Text Box 41"/>
                        <wps:cNvSpPr txBox="1">
                          <a:spLocks noChangeArrowheads="1"/>
                        </wps:cNvSpPr>
                        <wps:spPr bwMode="auto">
                          <a:xfrm>
                            <a:off x="5421" y="3881"/>
                            <a:ext cx="1697" cy="5581"/>
                          </a:xfrm>
                          <a:prstGeom prst="rect">
                            <a:avLst/>
                          </a:prstGeom>
                          <a:solidFill>
                            <a:srgbClr val="FFFFFF"/>
                          </a:solidFill>
                          <a:ln w="9525">
                            <a:solidFill>
                              <a:srgbClr val="000000"/>
                            </a:solidFill>
                            <a:miter lim="800000"/>
                            <a:headEnd/>
                            <a:tailEnd/>
                          </a:ln>
                        </wps:spPr>
                        <wps:txbx>
                          <w:txbxContent>
                            <w:p w14:paraId="6C66EE44" w14:textId="77777777" w:rsidR="006A0117" w:rsidRPr="003405E7" w:rsidRDefault="006A0117" w:rsidP="006A0117">
                              <w:pPr>
                                <w:spacing w:after="0"/>
                                <w:rPr>
                                  <w:b/>
                                  <w:sz w:val="18"/>
                                  <w:szCs w:val="18"/>
                                </w:rPr>
                              </w:pPr>
                              <w:r w:rsidRPr="003405E7">
                                <w:rPr>
                                  <w:b/>
                                  <w:sz w:val="18"/>
                                  <w:szCs w:val="18"/>
                                </w:rPr>
                                <w:t>Life-Saving Services &amp; Social Protection</w:t>
                              </w:r>
                            </w:p>
                            <w:p w14:paraId="43CF84BD" w14:textId="77777777" w:rsidR="006A0117" w:rsidRPr="003405E7" w:rsidRDefault="006A0117" w:rsidP="006A0117">
                              <w:pPr>
                                <w:spacing w:after="0"/>
                                <w:rPr>
                                  <w:bCs/>
                                  <w:sz w:val="18"/>
                                  <w:szCs w:val="18"/>
                                </w:rPr>
                              </w:pPr>
                              <w:r w:rsidRPr="003405E7">
                                <w:rPr>
                                  <w:bCs/>
                                  <w:sz w:val="18"/>
                                  <w:szCs w:val="18"/>
                                </w:rPr>
                                <w:t xml:space="preserve">Addressing the needs of the most vulnerable  through life-saving services in: Social Protection; Education; </w:t>
                              </w:r>
                            </w:p>
                            <w:p w14:paraId="0B241F01" w14:textId="77777777" w:rsidR="006A0117" w:rsidRPr="003405E7" w:rsidRDefault="006A0117" w:rsidP="006A0117">
                              <w:pPr>
                                <w:spacing w:after="0"/>
                                <w:rPr>
                                  <w:b/>
                                  <w:sz w:val="18"/>
                                  <w:szCs w:val="18"/>
                                </w:rPr>
                              </w:pPr>
                              <w:r w:rsidRPr="003405E7">
                                <w:rPr>
                                  <w:bCs/>
                                  <w:sz w:val="18"/>
                                  <w:szCs w:val="18"/>
                                </w:rPr>
                                <w:t>Protection (General, Child Protection, GBV); WASH and  Mental Health and Psychosocial Support</w:t>
                              </w:r>
                            </w:p>
                          </w:txbxContent>
                        </wps:txbx>
                        <wps:bodyPr rot="0" vert="horz" wrap="square" lIns="91440" tIns="45720" rIns="91440" bIns="45720" anchor="t" anchorCtr="0" upright="1">
                          <a:noAutofit/>
                        </wps:bodyPr>
                      </wps:wsp>
                      <wps:wsp>
                        <wps:cNvPr id="20" name="Text Box 42"/>
                        <wps:cNvSpPr txBox="1">
                          <a:spLocks noChangeArrowheads="1"/>
                        </wps:cNvSpPr>
                        <wps:spPr bwMode="auto">
                          <a:xfrm>
                            <a:off x="7221" y="3881"/>
                            <a:ext cx="1815" cy="5594"/>
                          </a:xfrm>
                          <a:prstGeom prst="rect">
                            <a:avLst/>
                          </a:prstGeom>
                          <a:solidFill>
                            <a:srgbClr val="FFFFFF"/>
                          </a:solidFill>
                          <a:ln w="9525">
                            <a:solidFill>
                              <a:srgbClr val="000000"/>
                            </a:solidFill>
                            <a:miter lim="800000"/>
                            <a:headEnd/>
                            <a:tailEnd/>
                          </a:ln>
                        </wps:spPr>
                        <wps:txbx>
                          <w:txbxContent>
                            <w:p w14:paraId="63304B8F" w14:textId="77777777" w:rsidR="006A0117" w:rsidRPr="003405E7" w:rsidRDefault="006A0117" w:rsidP="006A0117">
                              <w:pPr>
                                <w:spacing w:after="0"/>
                                <w:rPr>
                                  <w:b/>
                                  <w:bCs/>
                                  <w:sz w:val="18"/>
                                  <w:szCs w:val="18"/>
                                </w:rPr>
                              </w:pPr>
                              <w:r w:rsidRPr="003405E7">
                                <w:rPr>
                                  <w:b/>
                                  <w:bCs/>
                                  <w:sz w:val="18"/>
                                  <w:szCs w:val="18"/>
                                </w:rPr>
                                <w:t xml:space="preserve">Refugees &amp; Displacement </w:t>
                              </w:r>
                            </w:p>
                            <w:p w14:paraId="4ECF9A0B" w14:textId="77777777" w:rsidR="006A0117" w:rsidRPr="003405E7" w:rsidRDefault="006A0117" w:rsidP="006A0117">
                              <w:pPr>
                                <w:spacing w:after="0"/>
                                <w:rPr>
                                  <w:b/>
                                  <w:bCs/>
                                  <w:sz w:val="18"/>
                                  <w:szCs w:val="18"/>
                                </w:rPr>
                              </w:pPr>
                              <w:r w:rsidRPr="003405E7">
                                <w:rPr>
                                  <w:b/>
                                  <w:bCs/>
                                  <w:sz w:val="18"/>
                                  <w:szCs w:val="18"/>
                                </w:rPr>
                                <w:t>4.1 Refugees</w:t>
                              </w:r>
                            </w:p>
                            <w:p w14:paraId="0D5583D2" w14:textId="77777777" w:rsidR="006A0117" w:rsidRPr="003405E7" w:rsidRDefault="006A0117" w:rsidP="006A0117">
                              <w:pPr>
                                <w:spacing w:after="0"/>
                                <w:rPr>
                                  <w:sz w:val="18"/>
                                  <w:szCs w:val="18"/>
                                </w:rPr>
                              </w:pPr>
                              <w:r w:rsidRPr="003405E7">
                                <w:rPr>
                                  <w:sz w:val="18"/>
                                  <w:szCs w:val="18"/>
                                </w:rPr>
                                <w:t>Support through multi-sectoral approach, in line with the Refugee Coordination Model, targeting 1.4 million refugees in need</w:t>
                              </w:r>
                            </w:p>
                            <w:p w14:paraId="24AED161" w14:textId="77777777" w:rsidR="006A0117" w:rsidRPr="003405E7" w:rsidRDefault="006A0117" w:rsidP="006A0117">
                              <w:pPr>
                                <w:spacing w:after="0"/>
                                <w:rPr>
                                  <w:b/>
                                  <w:bCs/>
                                  <w:sz w:val="18"/>
                                  <w:szCs w:val="18"/>
                                </w:rPr>
                              </w:pPr>
                            </w:p>
                            <w:p w14:paraId="61A331A8" w14:textId="77777777" w:rsidR="006A0117" w:rsidRDefault="006A0117" w:rsidP="006A0117">
                              <w:pPr>
                                <w:spacing w:after="0"/>
                                <w:rPr>
                                  <w:b/>
                                  <w:bCs/>
                                  <w:sz w:val="18"/>
                                  <w:szCs w:val="18"/>
                                </w:rPr>
                              </w:pPr>
                              <w:r w:rsidRPr="003405E7">
                                <w:rPr>
                                  <w:b/>
                                  <w:bCs/>
                                  <w:sz w:val="18"/>
                                  <w:szCs w:val="18"/>
                                </w:rPr>
                                <w:t>4.2 Internal Displacement</w:t>
                              </w:r>
                            </w:p>
                            <w:p w14:paraId="4CB4D571" w14:textId="77777777" w:rsidR="006A0117" w:rsidRPr="003405E7" w:rsidRDefault="006A0117" w:rsidP="006A0117">
                              <w:pPr>
                                <w:spacing w:after="0"/>
                                <w:rPr>
                                  <w:b/>
                                  <w:bCs/>
                                  <w:sz w:val="18"/>
                                  <w:szCs w:val="18"/>
                                </w:rPr>
                              </w:pPr>
                              <w:r>
                                <w:rPr>
                                  <w:sz w:val="18"/>
                                  <w:szCs w:val="18"/>
                                </w:rPr>
                                <w:t>Supporting</w:t>
                              </w:r>
                              <w:r w:rsidRPr="00880F2E">
                                <w:rPr>
                                  <w:sz w:val="18"/>
                                  <w:szCs w:val="18"/>
                                </w:rPr>
                                <w:t xml:space="preserve"> preparedness actions</w:t>
                              </w:r>
                              <w:r>
                                <w:rPr>
                                  <w:sz w:val="18"/>
                                  <w:szCs w:val="18"/>
                                </w:rPr>
                                <w:t xml:space="preserve"> including for floods response, locusts and other natural disasters</w:t>
                              </w:r>
                            </w:p>
                          </w:txbxContent>
                        </wps:txbx>
                        <wps:bodyPr rot="0" vert="horz" wrap="square" lIns="91440" tIns="45720" rIns="91440" bIns="45720" anchor="t" anchorCtr="0" upright="1">
                          <a:noAutofit/>
                        </wps:bodyPr>
                      </wps:wsp>
                      <wps:wsp>
                        <wps:cNvPr id="21" name="Text Box 43"/>
                        <wps:cNvSpPr txBox="1">
                          <a:spLocks noChangeArrowheads="1"/>
                        </wps:cNvSpPr>
                        <wps:spPr bwMode="auto">
                          <a:xfrm>
                            <a:off x="9096" y="3897"/>
                            <a:ext cx="1650" cy="5613"/>
                          </a:xfrm>
                          <a:prstGeom prst="rect">
                            <a:avLst/>
                          </a:prstGeom>
                          <a:solidFill>
                            <a:srgbClr val="FFFFFF"/>
                          </a:solidFill>
                          <a:ln w="9525">
                            <a:solidFill>
                              <a:srgbClr val="000000"/>
                            </a:solidFill>
                            <a:miter lim="800000"/>
                            <a:headEnd/>
                            <a:tailEnd/>
                          </a:ln>
                        </wps:spPr>
                        <wps:txbx>
                          <w:txbxContent>
                            <w:p w14:paraId="0A6239AC" w14:textId="77777777" w:rsidR="006A0117" w:rsidRPr="003405E7" w:rsidRDefault="006A0117" w:rsidP="006A0117">
                              <w:pPr>
                                <w:spacing w:after="0"/>
                                <w:rPr>
                                  <w:b/>
                                  <w:bCs/>
                                  <w:sz w:val="18"/>
                                  <w:szCs w:val="18"/>
                                </w:rPr>
                              </w:pPr>
                              <w:r w:rsidRPr="003405E7">
                                <w:rPr>
                                  <w:b/>
                                  <w:bCs/>
                                  <w:sz w:val="18"/>
                                  <w:szCs w:val="18"/>
                                </w:rPr>
                                <w:t>Immediate Economic Support &amp; Digital Innovation</w:t>
                              </w:r>
                            </w:p>
                            <w:p w14:paraId="754B2B36" w14:textId="77777777" w:rsidR="006A0117" w:rsidRPr="003405E7" w:rsidRDefault="006A0117" w:rsidP="006A0117">
                              <w:pPr>
                                <w:spacing w:after="0"/>
                                <w:rPr>
                                  <w:sz w:val="18"/>
                                  <w:szCs w:val="18"/>
                                </w:rPr>
                              </w:pPr>
                              <w:r>
                                <w:rPr>
                                  <w:sz w:val="18"/>
                                  <w:szCs w:val="18"/>
                                </w:rPr>
                                <w:t xml:space="preserve">Supporting through </w:t>
                              </w:r>
                              <w:r w:rsidRPr="003405E7">
                                <w:rPr>
                                  <w:sz w:val="18"/>
                                  <w:szCs w:val="18"/>
                                </w:rPr>
                                <w:t xml:space="preserve"> socio-economic recovery and structural transformation</w:t>
                              </w:r>
                              <w:r>
                                <w:rPr>
                                  <w:sz w:val="18"/>
                                  <w:szCs w:val="18"/>
                                </w:rPr>
                                <w:t>; b</w:t>
                              </w:r>
                              <w:r w:rsidRPr="003405E7">
                                <w:rPr>
                                  <w:sz w:val="18"/>
                                  <w:szCs w:val="18"/>
                                </w:rPr>
                                <w:t>uild</w:t>
                              </w:r>
                              <w:r>
                                <w:rPr>
                                  <w:sz w:val="18"/>
                                  <w:szCs w:val="18"/>
                                </w:rPr>
                                <w:t>ing</w:t>
                              </w:r>
                              <w:r w:rsidRPr="003405E7">
                                <w:rPr>
                                  <w:sz w:val="18"/>
                                  <w:szCs w:val="18"/>
                                </w:rPr>
                                <w:t xml:space="preserve"> resilience of most vulnerable and fragile sectors of economy</w:t>
                              </w:r>
                              <w:r>
                                <w:rPr>
                                  <w:sz w:val="18"/>
                                  <w:szCs w:val="18"/>
                                </w:rPr>
                                <w:t>; s</w:t>
                              </w:r>
                              <w:r w:rsidRPr="003405E7">
                                <w:rPr>
                                  <w:sz w:val="18"/>
                                  <w:szCs w:val="18"/>
                                </w:rPr>
                                <w:t>trengthen</w:t>
                              </w:r>
                              <w:r>
                                <w:rPr>
                                  <w:sz w:val="18"/>
                                  <w:szCs w:val="18"/>
                                </w:rPr>
                                <w:t>ing</w:t>
                              </w:r>
                              <w:r w:rsidRPr="003405E7">
                                <w:rPr>
                                  <w:sz w:val="18"/>
                                  <w:szCs w:val="18"/>
                                </w:rPr>
                                <w:t xml:space="preserve"> Inclusive and multisectoral crisis</w:t>
                              </w:r>
                              <w:r w:rsidRPr="0072387D">
                                <w:rPr>
                                  <w:sz w:val="18"/>
                                  <w:szCs w:val="18"/>
                                </w:rPr>
                                <w:t xml:space="preserve"> </w:t>
                              </w:r>
                              <w:r w:rsidRPr="003405E7">
                                <w:rPr>
                                  <w:sz w:val="18"/>
                                  <w:szCs w:val="18"/>
                                </w:rPr>
                                <w:t>managemen</w:t>
                              </w:r>
                              <w:r>
                                <w:rPr>
                                  <w:sz w:val="18"/>
                                  <w:szCs w:val="18"/>
                                </w:rPr>
                                <w:t>t;</w:t>
                              </w:r>
                              <w:r w:rsidRPr="003405E7">
                                <w:rPr>
                                  <w:sz w:val="18"/>
                                  <w:szCs w:val="18"/>
                                </w:rPr>
                                <w:t xml:space="preserve"> digital economy in the public and private sectors</w:t>
                              </w:r>
                            </w:p>
                            <w:p w14:paraId="5FC5AB81" w14:textId="77777777" w:rsidR="006A0117" w:rsidRPr="003405E7" w:rsidRDefault="006A0117" w:rsidP="006A0117">
                              <w:pPr>
                                <w:spacing w:after="0"/>
                                <w:rPr>
                                  <w:b/>
                                  <w:bCs/>
                                  <w:sz w:val="18"/>
                                  <w:szCs w:val="18"/>
                                </w:rPr>
                              </w:pPr>
                            </w:p>
                            <w:p w14:paraId="3D515B7D" w14:textId="77777777" w:rsidR="006A0117" w:rsidRPr="003405E7" w:rsidRDefault="006A0117" w:rsidP="006A0117">
                              <w:pPr>
                                <w:spacing w:after="0"/>
                                <w:rPr>
                                  <w:b/>
                                  <w:bCs/>
                                  <w:sz w:val="18"/>
                                  <w:szCs w:val="18"/>
                                </w:rPr>
                              </w:pPr>
                            </w:p>
                            <w:p w14:paraId="752FAC43" w14:textId="77777777" w:rsidR="006A0117" w:rsidRPr="003405E7" w:rsidRDefault="006A0117" w:rsidP="006A0117">
                              <w:pPr>
                                <w:spacing w:after="0"/>
                                <w:rPr>
                                  <w:b/>
                                  <w:bCs/>
                                  <w:sz w:val="18"/>
                                  <w:szCs w:val="18"/>
                                </w:rPr>
                              </w:pPr>
                            </w:p>
                          </w:txbxContent>
                        </wps:txbx>
                        <wps:bodyPr rot="0" vert="horz" wrap="square" lIns="91440" tIns="45720" rIns="91440" bIns="45720" anchor="t" anchorCtr="0" upright="1">
                          <a:noAutofit/>
                        </wps:bodyPr>
                      </wps:wsp>
                      <wps:wsp>
                        <wps:cNvPr id="22" name="AutoShape 44"/>
                        <wps:cNvCnPr>
                          <a:cxnSpLocks noChangeShapeType="1"/>
                        </wps:cNvCnPr>
                        <wps:spPr bwMode="auto">
                          <a:xfrm>
                            <a:off x="2841" y="3521"/>
                            <a:ext cx="88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45"/>
                        <wps:cNvCnPr>
                          <a:cxnSpLocks noChangeShapeType="1"/>
                        </wps:cNvCnPr>
                        <wps:spPr bwMode="auto">
                          <a:xfrm>
                            <a:off x="2856" y="3521"/>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46"/>
                        <wps:cNvCnPr>
                          <a:cxnSpLocks noChangeShapeType="1"/>
                        </wps:cNvCnPr>
                        <wps:spPr bwMode="auto">
                          <a:xfrm>
                            <a:off x="4416" y="3521"/>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47"/>
                        <wps:cNvCnPr>
                          <a:cxnSpLocks noChangeShapeType="1"/>
                        </wps:cNvCnPr>
                        <wps:spPr bwMode="auto">
                          <a:xfrm>
                            <a:off x="6246" y="3521"/>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48"/>
                        <wps:cNvCnPr>
                          <a:cxnSpLocks noChangeShapeType="1"/>
                        </wps:cNvCnPr>
                        <wps:spPr bwMode="auto">
                          <a:xfrm>
                            <a:off x="7941" y="3521"/>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49"/>
                        <wps:cNvCnPr>
                          <a:cxnSpLocks noChangeShapeType="1"/>
                        </wps:cNvCnPr>
                        <wps:spPr bwMode="auto">
                          <a:xfrm>
                            <a:off x="10041" y="3521"/>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50"/>
                        <wps:cNvCnPr>
                          <a:cxnSpLocks noChangeShapeType="1"/>
                        </wps:cNvCnPr>
                        <wps:spPr bwMode="auto">
                          <a:xfrm>
                            <a:off x="7282" y="3198"/>
                            <a:ext cx="0" cy="3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3E9F33" id="Group 36" o:spid="_x0000_s1026" style="position:absolute;left:0;text-align:left;margin-left:-32pt;margin-top:19.8pt;width:498.8pt;height:419.4pt;z-index:251659264" coordorigin="1702,1122" coordsize="9956,8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">
                <v:shapetype id="_x0000_t202" coordsize="21600,21600" o:spt="202" path="m,l,21600r21600,l21600,xe">
                  <v:stroke joinstyle="miter"/>
                  <v:path gradientshapeok="t" o:connecttype="rect"/>
                </v:shapetype>
                <v:shape id="Text Box 37" o:spid="_x0000_s1027" type="#_x0000_t202" style="position:absolute;left:4033;top:1122;width:689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32651944" w14:textId="77777777" w:rsidR="006A0117" w:rsidRPr="006A27D1" w:rsidRDefault="006A0117" w:rsidP="006A0117">
                        <w:pPr>
                          <w:spacing w:after="0"/>
                          <w:jc w:val="center"/>
                          <w:rPr>
                            <w:b/>
                          </w:rPr>
                        </w:pPr>
                        <w:r w:rsidRPr="006A27D1">
                          <w:rPr>
                            <w:b/>
                          </w:rPr>
                          <w:t>DESIRED CHANGE IN THE LONG TERM</w:t>
                        </w:r>
                      </w:p>
                      <w:p w14:paraId="6B8707DD" w14:textId="77777777" w:rsidR="006A0117" w:rsidRPr="00D85E71" w:rsidRDefault="006A0117" w:rsidP="006A0117">
                        <w:pPr>
                          <w:spacing w:after="0"/>
                          <w:jc w:val="center"/>
                        </w:pPr>
                        <w:r>
                          <w:t xml:space="preserve">Leave no one behind as a result of COVID-19 </w:t>
                        </w:r>
                      </w:p>
                    </w:txbxContent>
                  </v:textbox>
                </v:shape>
                <v:shape id="Text Box 38" o:spid="_x0000_s1028" type="#_x0000_t202" style="position:absolute;left:4750;top:2152;width:5347;height: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26003AB6" w14:textId="77777777" w:rsidR="006A0117" w:rsidRDefault="006A0117" w:rsidP="006A0117">
                        <w:pPr>
                          <w:spacing w:after="0"/>
                          <w:jc w:val="center"/>
                          <w:rPr>
                            <w:b/>
                          </w:rPr>
                        </w:pPr>
                        <w:r w:rsidRPr="006A27D1">
                          <w:rPr>
                            <w:b/>
                          </w:rPr>
                          <w:t>IMPACT</w:t>
                        </w:r>
                      </w:p>
                      <w:p w14:paraId="71D930FB" w14:textId="77777777" w:rsidR="006A0117" w:rsidRPr="00D85E71" w:rsidRDefault="006A0117" w:rsidP="006A0117">
                        <w:pPr>
                          <w:spacing w:after="0"/>
                          <w:jc w:val="center"/>
                        </w:pPr>
                        <w:r>
                          <w:t>Long-Term Recovery</w:t>
                        </w:r>
                      </w:p>
                      <w:p w14:paraId="3438F75C" w14:textId="77777777" w:rsidR="006A0117" w:rsidRPr="006A27D1" w:rsidRDefault="006A0117" w:rsidP="006A0117">
                        <w:pPr>
                          <w:spacing w:after="0"/>
                          <w:jc w:val="center"/>
                          <w:rPr>
                            <w:b/>
                          </w:rPr>
                        </w:pPr>
                      </w:p>
                      <w:p w14:paraId="087646BD" w14:textId="77777777" w:rsidR="006A0117" w:rsidRPr="00D85E71" w:rsidRDefault="006A0117" w:rsidP="006A0117">
                        <w:pPr>
                          <w:spacing w:after="0"/>
                          <w:jc w:val="center"/>
                        </w:pPr>
                      </w:p>
                    </w:txbxContent>
                  </v:textbox>
                </v:shape>
                <v:shape id="Text Box 39" o:spid="_x0000_s1029" type="#_x0000_t202" style="position:absolute;left:3441;top:3881;width:1935;height:5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3EFB24D0" w14:textId="77777777" w:rsidR="006A0117" w:rsidRPr="003405E7" w:rsidRDefault="006A0117" w:rsidP="006A0117">
                        <w:pPr>
                          <w:spacing w:after="0"/>
                          <w:rPr>
                            <w:b/>
                            <w:bCs/>
                            <w:sz w:val="18"/>
                            <w:szCs w:val="18"/>
                          </w:rPr>
                        </w:pPr>
                        <w:r w:rsidRPr="003405E7">
                          <w:rPr>
                            <w:b/>
                            <w:bCs/>
                            <w:sz w:val="18"/>
                            <w:szCs w:val="18"/>
                          </w:rPr>
                          <w:t>Food Security, Livelihoods &amp; Nutrition</w:t>
                        </w:r>
                      </w:p>
                      <w:p w14:paraId="43C00B3D" w14:textId="77777777" w:rsidR="006A0117" w:rsidRPr="004C4565" w:rsidRDefault="006A0117" w:rsidP="006A0117">
                        <w:pPr>
                          <w:spacing w:after="0"/>
                          <w:rPr>
                            <w:sz w:val="18"/>
                            <w:szCs w:val="18"/>
                          </w:rPr>
                        </w:pPr>
                        <w:r w:rsidRPr="003405E7">
                          <w:rPr>
                            <w:sz w:val="18"/>
                            <w:szCs w:val="18"/>
                          </w:rPr>
                          <w:t>Supporting a</w:t>
                        </w:r>
                        <w:r w:rsidRPr="004C4565">
                          <w:rPr>
                            <w:sz w:val="18"/>
                            <w:szCs w:val="18"/>
                          </w:rPr>
                          <w:t>ccess to food through food assistance; and</w:t>
                        </w:r>
                      </w:p>
                      <w:p w14:paraId="397C0E88" w14:textId="77777777" w:rsidR="006A0117" w:rsidRPr="004C4565" w:rsidRDefault="006A0117" w:rsidP="006A0117">
                        <w:pPr>
                          <w:spacing w:after="0"/>
                          <w:rPr>
                            <w:sz w:val="18"/>
                            <w:szCs w:val="18"/>
                          </w:rPr>
                        </w:pPr>
                        <w:r>
                          <w:rPr>
                            <w:sz w:val="18"/>
                            <w:szCs w:val="18"/>
                          </w:rPr>
                          <w:t>a</w:t>
                        </w:r>
                        <w:r w:rsidRPr="004C4565">
                          <w:rPr>
                            <w:sz w:val="18"/>
                            <w:szCs w:val="18"/>
                          </w:rPr>
                          <w:t>ccess to food through own production</w:t>
                        </w:r>
                      </w:p>
                      <w:p w14:paraId="67465C68" w14:textId="77777777" w:rsidR="006A0117" w:rsidRPr="003405E7" w:rsidRDefault="006A0117" w:rsidP="006A0117">
                        <w:pPr>
                          <w:spacing w:after="0"/>
                          <w:jc w:val="center"/>
                          <w:rPr>
                            <w:sz w:val="18"/>
                            <w:szCs w:val="18"/>
                          </w:rPr>
                        </w:pPr>
                      </w:p>
                    </w:txbxContent>
                  </v:textbox>
                </v:shape>
                <v:shape id="Text Box 40" o:spid="_x0000_s1030" type="#_x0000_t202" style="position:absolute;left:1702;top:3881;width:1650;height:5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5E027C0C" w14:textId="77777777" w:rsidR="006A0117" w:rsidRPr="003405E7" w:rsidRDefault="006A0117" w:rsidP="006A0117">
                        <w:pPr>
                          <w:spacing w:after="0"/>
                          <w:rPr>
                            <w:rFonts w:cs="Calibri"/>
                            <w:b/>
                            <w:bCs/>
                            <w:sz w:val="18"/>
                            <w:szCs w:val="18"/>
                          </w:rPr>
                        </w:pPr>
                        <w:r w:rsidRPr="003405E7">
                          <w:rPr>
                            <w:rFonts w:cs="Calibri"/>
                            <w:b/>
                            <w:bCs/>
                            <w:sz w:val="18"/>
                            <w:szCs w:val="18"/>
                          </w:rPr>
                          <w:t>Health</w:t>
                        </w:r>
                      </w:p>
                      <w:p w14:paraId="205DB80C" w14:textId="77777777" w:rsidR="006A0117" w:rsidRPr="00E460B8" w:rsidRDefault="006A0117" w:rsidP="006A0117">
                        <w:pPr>
                          <w:spacing w:after="0"/>
                          <w:rPr>
                            <w:rFonts w:cs="Calibri"/>
                            <w:sz w:val="18"/>
                            <w:szCs w:val="18"/>
                          </w:rPr>
                        </w:pPr>
                        <w:r w:rsidRPr="003405E7">
                          <w:rPr>
                            <w:rFonts w:cs="Calibri"/>
                            <w:sz w:val="18"/>
                            <w:szCs w:val="18"/>
                          </w:rPr>
                          <w:t>Supporting i</w:t>
                        </w:r>
                        <w:r w:rsidRPr="00E460B8">
                          <w:rPr>
                            <w:rFonts w:cs="Calibri"/>
                            <w:sz w:val="18"/>
                            <w:szCs w:val="18"/>
                          </w:rPr>
                          <w:t>mmediate COVID-19 public health response and</w:t>
                        </w:r>
                      </w:p>
                      <w:p w14:paraId="466A561D" w14:textId="77777777" w:rsidR="006A0117" w:rsidRPr="00E460B8" w:rsidRDefault="006A0117" w:rsidP="006A0117">
                        <w:pPr>
                          <w:spacing w:after="0"/>
                          <w:rPr>
                            <w:rFonts w:cs="Calibri"/>
                            <w:sz w:val="18"/>
                            <w:szCs w:val="18"/>
                          </w:rPr>
                        </w:pPr>
                        <w:r>
                          <w:rPr>
                            <w:rFonts w:cs="Calibri"/>
                            <w:sz w:val="18"/>
                            <w:szCs w:val="18"/>
                          </w:rPr>
                          <w:t>c</w:t>
                        </w:r>
                        <w:r w:rsidRPr="00E460B8">
                          <w:rPr>
                            <w:rFonts w:cs="Calibri"/>
                            <w:sz w:val="18"/>
                            <w:szCs w:val="18"/>
                          </w:rPr>
                          <w:t>ontinuity of other essential life-saving health services during the outbreak</w:t>
                        </w:r>
                      </w:p>
                      <w:p w14:paraId="78766163" w14:textId="77777777" w:rsidR="006A0117" w:rsidRPr="003405E7" w:rsidRDefault="006A0117" w:rsidP="006A0117">
                        <w:pPr>
                          <w:spacing w:after="0"/>
                          <w:rPr>
                            <w:rFonts w:cs="Calibri"/>
                            <w:sz w:val="18"/>
                            <w:szCs w:val="18"/>
                          </w:rPr>
                        </w:pPr>
                      </w:p>
                    </w:txbxContent>
                  </v:textbox>
                </v:shape>
                <v:shape id="Text Box 41" o:spid="_x0000_s1031" type="#_x0000_t202" style="position:absolute;left:5421;top:3881;width:1697;height:5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6C66EE44" w14:textId="77777777" w:rsidR="006A0117" w:rsidRPr="003405E7" w:rsidRDefault="006A0117" w:rsidP="006A0117">
                        <w:pPr>
                          <w:spacing w:after="0"/>
                          <w:rPr>
                            <w:b/>
                            <w:sz w:val="18"/>
                            <w:szCs w:val="18"/>
                          </w:rPr>
                        </w:pPr>
                        <w:r w:rsidRPr="003405E7">
                          <w:rPr>
                            <w:b/>
                            <w:sz w:val="18"/>
                            <w:szCs w:val="18"/>
                          </w:rPr>
                          <w:t>Life-Saving Services &amp; Social Protection</w:t>
                        </w:r>
                      </w:p>
                      <w:p w14:paraId="43CF84BD" w14:textId="77777777" w:rsidR="006A0117" w:rsidRPr="003405E7" w:rsidRDefault="006A0117" w:rsidP="006A0117">
                        <w:pPr>
                          <w:spacing w:after="0"/>
                          <w:rPr>
                            <w:bCs/>
                            <w:sz w:val="18"/>
                            <w:szCs w:val="18"/>
                          </w:rPr>
                        </w:pPr>
                        <w:r w:rsidRPr="003405E7">
                          <w:rPr>
                            <w:bCs/>
                            <w:sz w:val="18"/>
                            <w:szCs w:val="18"/>
                          </w:rPr>
                          <w:t xml:space="preserve">Addressing the needs of the most vulnerable  through life-saving services in: Social Protection; Education; </w:t>
                        </w:r>
                      </w:p>
                      <w:p w14:paraId="0B241F01" w14:textId="77777777" w:rsidR="006A0117" w:rsidRPr="003405E7" w:rsidRDefault="006A0117" w:rsidP="006A0117">
                        <w:pPr>
                          <w:spacing w:after="0"/>
                          <w:rPr>
                            <w:b/>
                            <w:sz w:val="18"/>
                            <w:szCs w:val="18"/>
                          </w:rPr>
                        </w:pPr>
                        <w:r w:rsidRPr="003405E7">
                          <w:rPr>
                            <w:bCs/>
                            <w:sz w:val="18"/>
                            <w:szCs w:val="18"/>
                          </w:rPr>
                          <w:t>Protection (General, Child Protection, GBV); WASH and  Mental Health and Psychosocial Support</w:t>
                        </w:r>
                      </w:p>
                    </w:txbxContent>
                  </v:textbox>
                </v:shape>
                <v:shape id="Text Box 42" o:spid="_x0000_s1032" type="#_x0000_t202" style="position:absolute;left:7221;top:3881;width:1815;height:5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63304B8F" w14:textId="77777777" w:rsidR="006A0117" w:rsidRPr="003405E7" w:rsidRDefault="006A0117" w:rsidP="006A0117">
                        <w:pPr>
                          <w:spacing w:after="0"/>
                          <w:rPr>
                            <w:b/>
                            <w:bCs/>
                            <w:sz w:val="18"/>
                            <w:szCs w:val="18"/>
                          </w:rPr>
                        </w:pPr>
                        <w:r w:rsidRPr="003405E7">
                          <w:rPr>
                            <w:b/>
                            <w:bCs/>
                            <w:sz w:val="18"/>
                            <w:szCs w:val="18"/>
                          </w:rPr>
                          <w:t xml:space="preserve">Refugees &amp; Displacement </w:t>
                        </w:r>
                      </w:p>
                      <w:p w14:paraId="4ECF9A0B" w14:textId="77777777" w:rsidR="006A0117" w:rsidRPr="003405E7" w:rsidRDefault="006A0117" w:rsidP="006A0117">
                        <w:pPr>
                          <w:spacing w:after="0"/>
                          <w:rPr>
                            <w:b/>
                            <w:bCs/>
                            <w:sz w:val="18"/>
                            <w:szCs w:val="18"/>
                          </w:rPr>
                        </w:pPr>
                        <w:r w:rsidRPr="003405E7">
                          <w:rPr>
                            <w:b/>
                            <w:bCs/>
                            <w:sz w:val="18"/>
                            <w:szCs w:val="18"/>
                          </w:rPr>
                          <w:t>4.1 Refugees</w:t>
                        </w:r>
                      </w:p>
                      <w:p w14:paraId="0D5583D2" w14:textId="77777777" w:rsidR="006A0117" w:rsidRPr="003405E7" w:rsidRDefault="006A0117" w:rsidP="006A0117">
                        <w:pPr>
                          <w:spacing w:after="0"/>
                          <w:rPr>
                            <w:sz w:val="18"/>
                            <w:szCs w:val="18"/>
                          </w:rPr>
                        </w:pPr>
                        <w:r w:rsidRPr="003405E7">
                          <w:rPr>
                            <w:sz w:val="18"/>
                            <w:szCs w:val="18"/>
                          </w:rPr>
                          <w:t>Support through multi-sectoral approach, in line with the Refugee Coordination Model, targeting 1.4 million refugees in need</w:t>
                        </w:r>
                      </w:p>
                      <w:p w14:paraId="24AED161" w14:textId="77777777" w:rsidR="006A0117" w:rsidRPr="003405E7" w:rsidRDefault="006A0117" w:rsidP="006A0117">
                        <w:pPr>
                          <w:spacing w:after="0"/>
                          <w:rPr>
                            <w:b/>
                            <w:bCs/>
                            <w:sz w:val="18"/>
                            <w:szCs w:val="18"/>
                          </w:rPr>
                        </w:pPr>
                      </w:p>
                      <w:p w14:paraId="61A331A8" w14:textId="77777777" w:rsidR="006A0117" w:rsidRDefault="006A0117" w:rsidP="006A0117">
                        <w:pPr>
                          <w:spacing w:after="0"/>
                          <w:rPr>
                            <w:b/>
                            <w:bCs/>
                            <w:sz w:val="18"/>
                            <w:szCs w:val="18"/>
                          </w:rPr>
                        </w:pPr>
                        <w:r w:rsidRPr="003405E7">
                          <w:rPr>
                            <w:b/>
                            <w:bCs/>
                            <w:sz w:val="18"/>
                            <w:szCs w:val="18"/>
                          </w:rPr>
                          <w:t>4.2 Internal Displacement</w:t>
                        </w:r>
                      </w:p>
                      <w:p w14:paraId="4CB4D571" w14:textId="77777777" w:rsidR="006A0117" w:rsidRPr="003405E7" w:rsidRDefault="006A0117" w:rsidP="006A0117">
                        <w:pPr>
                          <w:spacing w:after="0"/>
                          <w:rPr>
                            <w:b/>
                            <w:bCs/>
                            <w:sz w:val="18"/>
                            <w:szCs w:val="18"/>
                          </w:rPr>
                        </w:pPr>
                        <w:r>
                          <w:rPr>
                            <w:sz w:val="18"/>
                            <w:szCs w:val="18"/>
                          </w:rPr>
                          <w:t>Supporting</w:t>
                        </w:r>
                        <w:r w:rsidRPr="00880F2E">
                          <w:rPr>
                            <w:sz w:val="18"/>
                            <w:szCs w:val="18"/>
                          </w:rPr>
                          <w:t xml:space="preserve"> preparedness actions</w:t>
                        </w:r>
                        <w:r>
                          <w:rPr>
                            <w:sz w:val="18"/>
                            <w:szCs w:val="18"/>
                          </w:rPr>
                          <w:t xml:space="preserve"> including for floods response, locusts and other natural disasters</w:t>
                        </w:r>
                      </w:p>
                    </w:txbxContent>
                  </v:textbox>
                </v:shape>
                <v:shape id="_x0000_s1033" type="#_x0000_t202" style="position:absolute;left:9096;top:3897;width:1650;height:5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0A6239AC" w14:textId="77777777" w:rsidR="006A0117" w:rsidRPr="003405E7" w:rsidRDefault="006A0117" w:rsidP="006A0117">
                        <w:pPr>
                          <w:spacing w:after="0"/>
                          <w:rPr>
                            <w:b/>
                            <w:bCs/>
                            <w:sz w:val="18"/>
                            <w:szCs w:val="18"/>
                          </w:rPr>
                        </w:pPr>
                        <w:r w:rsidRPr="003405E7">
                          <w:rPr>
                            <w:b/>
                            <w:bCs/>
                            <w:sz w:val="18"/>
                            <w:szCs w:val="18"/>
                          </w:rPr>
                          <w:t>Immediate Economic Support &amp; Digital Innovation</w:t>
                        </w:r>
                      </w:p>
                      <w:p w14:paraId="754B2B36" w14:textId="77777777" w:rsidR="006A0117" w:rsidRPr="003405E7" w:rsidRDefault="006A0117" w:rsidP="006A0117">
                        <w:pPr>
                          <w:spacing w:after="0"/>
                          <w:rPr>
                            <w:sz w:val="18"/>
                            <w:szCs w:val="18"/>
                          </w:rPr>
                        </w:pPr>
                        <w:r>
                          <w:rPr>
                            <w:sz w:val="18"/>
                            <w:szCs w:val="18"/>
                          </w:rPr>
                          <w:t xml:space="preserve">Supporting through </w:t>
                        </w:r>
                        <w:r w:rsidRPr="003405E7">
                          <w:rPr>
                            <w:sz w:val="18"/>
                            <w:szCs w:val="18"/>
                          </w:rPr>
                          <w:t xml:space="preserve"> socio-economic recovery and structural transformation</w:t>
                        </w:r>
                        <w:r>
                          <w:rPr>
                            <w:sz w:val="18"/>
                            <w:szCs w:val="18"/>
                          </w:rPr>
                          <w:t>; b</w:t>
                        </w:r>
                        <w:r w:rsidRPr="003405E7">
                          <w:rPr>
                            <w:sz w:val="18"/>
                            <w:szCs w:val="18"/>
                          </w:rPr>
                          <w:t>uild</w:t>
                        </w:r>
                        <w:r>
                          <w:rPr>
                            <w:sz w:val="18"/>
                            <w:szCs w:val="18"/>
                          </w:rPr>
                          <w:t>ing</w:t>
                        </w:r>
                        <w:r w:rsidRPr="003405E7">
                          <w:rPr>
                            <w:sz w:val="18"/>
                            <w:szCs w:val="18"/>
                          </w:rPr>
                          <w:t xml:space="preserve"> resilience of most vulnerable and fragile sectors of economy</w:t>
                        </w:r>
                        <w:r>
                          <w:rPr>
                            <w:sz w:val="18"/>
                            <w:szCs w:val="18"/>
                          </w:rPr>
                          <w:t>; s</w:t>
                        </w:r>
                        <w:r w:rsidRPr="003405E7">
                          <w:rPr>
                            <w:sz w:val="18"/>
                            <w:szCs w:val="18"/>
                          </w:rPr>
                          <w:t>trengthen</w:t>
                        </w:r>
                        <w:r>
                          <w:rPr>
                            <w:sz w:val="18"/>
                            <w:szCs w:val="18"/>
                          </w:rPr>
                          <w:t>ing</w:t>
                        </w:r>
                        <w:r w:rsidRPr="003405E7">
                          <w:rPr>
                            <w:sz w:val="18"/>
                            <w:szCs w:val="18"/>
                          </w:rPr>
                          <w:t xml:space="preserve"> Inclusive and multisectoral crisis</w:t>
                        </w:r>
                        <w:r w:rsidRPr="0072387D">
                          <w:rPr>
                            <w:sz w:val="18"/>
                            <w:szCs w:val="18"/>
                          </w:rPr>
                          <w:t xml:space="preserve"> </w:t>
                        </w:r>
                        <w:r w:rsidRPr="003405E7">
                          <w:rPr>
                            <w:sz w:val="18"/>
                            <w:szCs w:val="18"/>
                          </w:rPr>
                          <w:t>managemen</w:t>
                        </w:r>
                        <w:r>
                          <w:rPr>
                            <w:sz w:val="18"/>
                            <w:szCs w:val="18"/>
                          </w:rPr>
                          <w:t>t;</w:t>
                        </w:r>
                        <w:r w:rsidRPr="003405E7">
                          <w:rPr>
                            <w:sz w:val="18"/>
                            <w:szCs w:val="18"/>
                          </w:rPr>
                          <w:t xml:space="preserve"> digital economy in the public and private sectors</w:t>
                        </w:r>
                      </w:p>
                      <w:p w14:paraId="5FC5AB81" w14:textId="77777777" w:rsidR="006A0117" w:rsidRPr="003405E7" w:rsidRDefault="006A0117" w:rsidP="006A0117">
                        <w:pPr>
                          <w:spacing w:after="0"/>
                          <w:rPr>
                            <w:b/>
                            <w:bCs/>
                            <w:sz w:val="18"/>
                            <w:szCs w:val="18"/>
                          </w:rPr>
                        </w:pPr>
                      </w:p>
                      <w:p w14:paraId="3D515B7D" w14:textId="77777777" w:rsidR="006A0117" w:rsidRPr="003405E7" w:rsidRDefault="006A0117" w:rsidP="006A0117">
                        <w:pPr>
                          <w:spacing w:after="0"/>
                          <w:rPr>
                            <w:b/>
                            <w:bCs/>
                            <w:sz w:val="18"/>
                            <w:szCs w:val="18"/>
                          </w:rPr>
                        </w:pPr>
                      </w:p>
                      <w:p w14:paraId="752FAC43" w14:textId="77777777" w:rsidR="006A0117" w:rsidRPr="003405E7" w:rsidRDefault="006A0117" w:rsidP="006A0117">
                        <w:pPr>
                          <w:spacing w:after="0"/>
                          <w:rPr>
                            <w:b/>
                            <w:bCs/>
                            <w:sz w:val="18"/>
                            <w:szCs w:val="18"/>
                          </w:rPr>
                        </w:pPr>
                      </w:p>
                    </w:txbxContent>
                  </v:textbox>
                </v:shape>
                <v:shapetype id="_x0000_t32" coordsize="21600,21600" o:spt="32" o:oned="t" path="m,l21600,21600e" filled="f">
                  <v:path arrowok="t" fillok="f" o:connecttype="none"/>
                  <o:lock v:ext="edit" shapetype="t"/>
                </v:shapetype>
                <v:shape id="AutoShape 44" o:spid="_x0000_s1034" type="#_x0000_t32" style="position:absolute;left:2841;top:3521;width:88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45" o:spid="_x0000_s1035" type="#_x0000_t32" style="position:absolute;left:2856;top:3521;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46" o:spid="_x0000_s1036" type="#_x0000_t32" style="position:absolute;left:4416;top:3521;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47" o:spid="_x0000_s1037" type="#_x0000_t32" style="position:absolute;left:6246;top:3521;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48" o:spid="_x0000_s1038" type="#_x0000_t32" style="position:absolute;left:7941;top:3521;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49" o:spid="_x0000_s1039" type="#_x0000_t32" style="position:absolute;left:10041;top:3521;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50" o:spid="_x0000_s1040" type="#_x0000_t32" style="position:absolute;left:7282;top:3198;width:0;height:3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group>
            </w:pict>
          </mc:Fallback>
        </mc:AlternateContent>
      </w:r>
      <w:r w:rsidRPr="00AC6302">
        <w:rPr>
          <w:rFonts w:cstheme="minorHAnsi"/>
          <w:b/>
        </w:rPr>
        <w:t>Figure 1: Impact and Results Framework</w:t>
      </w:r>
    </w:p>
    <w:p w14:paraId="0C686F57" w14:textId="77777777" w:rsidR="006A0117" w:rsidRPr="00AC6302" w:rsidRDefault="006A0117" w:rsidP="006A0117">
      <w:pPr>
        <w:jc w:val="both"/>
        <w:rPr>
          <w:rFonts w:cstheme="minorHAnsi"/>
          <w:b/>
        </w:rPr>
      </w:pPr>
    </w:p>
    <w:p w14:paraId="1D841BD9" w14:textId="77777777" w:rsidR="006A0117" w:rsidRPr="00AC6302" w:rsidRDefault="006A0117" w:rsidP="006A0117">
      <w:pPr>
        <w:jc w:val="both"/>
        <w:rPr>
          <w:rFonts w:cstheme="minorHAnsi"/>
          <w:b/>
          <w:noProof/>
        </w:rPr>
      </w:pPr>
      <w:r w:rsidRPr="00AC6302">
        <w:rPr>
          <w:rFonts w:cstheme="minorHAnsi"/>
          <w:b/>
        </w:rPr>
        <w:t xml:space="preserve"> </w:t>
      </w:r>
    </w:p>
    <w:p w14:paraId="702D12FE" w14:textId="77777777" w:rsidR="006A0117" w:rsidRDefault="006A0117" w:rsidP="006A0117">
      <w:pPr>
        <w:jc w:val="both"/>
        <w:rPr>
          <w:rFonts w:cstheme="minorHAnsi"/>
        </w:rPr>
      </w:pPr>
      <w:r w:rsidRPr="00AC6302">
        <w:rPr>
          <w:rFonts w:cstheme="minorHAnsi"/>
          <w:noProof/>
        </w:rPr>
        <mc:AlternateContent>
          <mc:Choice Requires="wps">
            <w:drawing>
              <wp:anchor distT="0" distB="0" distL="114300" distR="114300" simplePos="0" relativeHeight="251660288" behindDoc="0" locked="0" layoutInCell="1" allowOverlap="1" wp14:anchorId="7167B783" wp14:editId="32F8208A">
                <wp:simplePos x="0" y="0"/>
                <wp:positionH relativeFrom="page">
                  <wp:posOffset>6311900</wp:posOffset>
                </wp:positionH>
                <wp:positionV relativeFrom="paragraph">
                  <wp:posOffset>1141306</wp:posOffset>
                </wp:positionV>
                <wp:extent cx="1049655" cy="3547533"/>
                <wp:effectExtent l="0" t="0" r="17145" b="1524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3547533"/>
                        </a:xfrm>
                        <a:prstGeom prst="rect">
                          <a:avLst/>
                        </a:prstGeom>
                        <a:solidFill>
                          <a:srgbClr val="FFFFFF"/>
                        </a:solidFill>
                        <a:ln w="9525">
                          <a:solidFill>
                            <a:srgbClr val="000000"/>
                          </a:solidFill>
                          <a:miter lim="800000"/>
                          <a:headEnd/>
                          <a:tailEnd/>
                        </a:ln>
                      </wps:spPr>
                      <wps:txbx>
                        <w:txbxContent>
                          <w:p w14:paraId="67AE057F" w14:textId="77777777" w:rsidR="006A0117" w:rsidRPr="00936395" w:rsidRDefault="006A0117" w:rsidP="006A0117">
                            <w:pPr>
                              <w:spacing w:after="0"/>
                              <w:rPr>
                                <w:rFonts w:cstheme="minorHAnsi"/>
                                <w:b/>
                                <w:bCs/>
                                <w:sz w:val="18"/>
                                <w:szCs w:val="18"/>
                              </w:rPr>
                            </w:pPr>
                            <w:r w:rsidRPr="00936395">
                              <w:rPr>
                                <w:rFonts w:cstheme="minorHAnsi"/>
                                <w:b/>
                                <w:bCs/>
                                <w:sz w:val="18"/>
                                <w:szCs w:val="18"/>
                              </w:rPr>
                              <w:t>Coordination and Common services</w:t>
                            </w:r>
                          </w:p>
                          <w:p w14:paraId="1A15D66B" w14:textId="77777777" w:rsidR="006A0117" w:rsidRPr="00936395" w:rsidRDefault="006A0117" w:rsidP="006A0117">
                            <w:pPr>
                              <w:spacing w:after="0"/>
                              <w:rPr>
                                <w:sz w:val="18"/>
                                <w:szCs w:val="18"/>
                              </w:rPr>
                            </w:pPr>
                            <w:r w:rsidRPr="00936395">
                              <w:rPr>
                                <w:sz w:val="18"/>
                                <w:szCs w:val="18"/>
                              </w:rPr>
                              <w:t>Ensuring an effective, efficient and coherent response</w:t>
                            </w:r>
                          </w:p>
                          <w:p w14:paraId="52CF9552" w14:textId="77777777" w:rsidR="006A0117" w:rsidRPr="00181F73" w:rsidRDefault="006A0117" w:rsidP="006A0117">
                            <w:pPr>
                              <w:spacing w:after="0"/>
                              <w:rPr>
                                <w:sz w:val="18"/>
                                <w:szCs w:val="18"/>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167B783" id="Text Box 43" o:spid="_x0000_s1041" type="#_x0000_t202" style="position:absolute;left:0;text-align:left;margin-left:497pt;margin-top:89.85pt;width:82.65pt;height:279.35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">
                <v:textbox>
                  <w:txbxContent>
                    <w:p w14:paraId="67AE057F" w14:textId="77777777" w:rsidR="006A0117" w:rsidRPr="00936395" w:rsidRDefault="006A0117" w:rsidP="006A0117">
                      <w:pPr>
                        <w:spacing w:after="0"/>
                        <w:rPr>
                          <w:rFonts w:cstheme="minorHAnsi"/>
                          <w:b/>
                          <w:bCs/>
                          <w:sz w:val="18"/>
                          <w:szCs w:val="18"/>
                        </w:rPr>
                      </w:pPr>
                      <w:r w:rsidRPr="00936395">
                        <w:rPr>
                          <w:rFonts w:cstheme="minorHAnsi"/>
                          <w:b/>
                          <w:bCs/>
                          <w:sz w:val="18"/>
                          <w:szCs w:val="18"/>
                        </w:rPr>
                        <w:t>Coordination and Common services</w:t>
                      </w:r>
                    </w:p>
                    <w:p w14:paraId="1A15D66B" w14:textId="77777777" w:rsidR="006A0117" w:rsidRPr="00936395" w:rsidRDefault="006A0117" w:rsidP="006A0117">
                      <w:pPr>
                        <w:spacing w:after="0"/>
                        <w:rPr>
                          <w:sz w:val="18"/>
                          <w:szCs w:val="18"/>
                        </w:rPr>
                      </w:pPr>
                      <w:r w:rsidRPr="00936395">
                        <w:rPr>
                          <w:sz w:val="18"/>
                          <w:szCs w:val="18"/>
                        </w:rPr>
                        <w:t>Ensuring an effective, efficient and coherent response</w:t>
                      </w:r>
                    </w:p>
                    <w:p w14:paraId="52CF9552" w14:textId="77777777" w:rsidR="006A0117" w:rsidRPr="00181F73" w:rsidRDefault="006A0117" w:rsidP="006A0117">
                      <w:pPr>
                        <w:spacing w:after="0"/>
                        <w:rPr>
                          <w:sz w:val="18"/>
                          <w:szCs w:val="18"/>
                        </w:rPr>
                      </w:pPr>
                    </w:p>
                  </w:txbxContent>
                </v:textbox>
                <w10:wrap anchorx="page"/>
              </v:shape>
            </w:pict>
          </mc:Fallback>
        </mc:AlternateContent>
      </w:r>
      <w:r w:rsidRPr="00EB6E4E">
        <w:rPr>
          <w:rFonts w:cstheme="minorHAnsi"/>
          <w:noProof/>
        </w:rPr>
        <mc:AlternateContent>
          <mc:Choice Requires="wps">
            <w:drawing>
              <wp:anchor distT="0" distB="0" distL="114300" distR="114300" simplePos="0" relativeHeight="251661312" behindDoc="0" locked="0" layoutInCell="1" allowOverlap="1" wp14:anchorId="74052306" wp14:editId="041D95AB">
                <wp:simplePos x="0" y="0"/>
                <wp:positionH relativeFrom="column">
                  <wp:posOffset>5935133</wp:posOffset>
                </wp:positionH>
                <wp:positionV relativeFrom="paragraph">
                  <wp:posOffset>922867</wp:posOffset>
                </wp:positionV>
                <wp:extent cx="0" cy="228600"/>
                <wp:effectExtent l="0" t="0" r="0" b="0"/>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46F8FCC" id="AutoShape 49" o:spid="_x0000_s1026" type="#_x0000_t32" style="position:absolute;margin-left:467.35pt;margin-top:72.65pt;width:0;height:1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OSuHgIAADs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"/>
            </w:pict>
          </mc:Fallback>
        </mc:AlternateContent>
      </w:r>
      <w:r w:rsidRPr="00AC6302">
        <w:rPr>
          <w:rFonts w:cstheme="minorHAnsi"/>
          <w:b/>
        </w:rPr>
        <w:br w:type="page"/>
      </w:r>
    </w:p>
    <w:p w14:paraId="525CDDCE" w14:textId="2621B38C" w:rsidR="002444C7" w:rsidRDefault="000F7A6E" w:rsidP="00B31055">
      <w:pPr>
        <w:pStyle w:val="Heading1"/>
        <w:numPr>
          <w:ilvl w:val="0"/>
          <w:numId w:val="7"/>
        </w:numPr>
        <w:rPr>
          <w:b/>
        </w:rPr>
      </w:pPr>
      <w:bookmarkStart w:id="11" w:name="_Toc443408926"/>
      <w:bookmarkStart w:id="12" w:name="_Toc439066235"/>
      <w:bookmarkStart w:id="13" w:name="_Toc39503331"/>
      <w:r w:rsidRPr="0075483E">
        <w:rPr>
          <w:b/>
        </w:rPr>
        <w:lastRenderedPageBreak/>
        <w:t>Fund Governance and Coordination</w:t>
      </w:r>
      <w:bookmarkEnd w:id="11"/>
      <w:bookmarkEnd w:id="12"/>
      <w:bookmarkEnd w:id="13"/>
    </w:p>
    <w:p w14:paraId="1623C08F" w14:textId="77777777" w:rsidR="009C1FB2" w:rsidRDefault="009C1FB2" w:rsidP="009C1FB2">
      <w:pPr>
        <w:jc w:val="both"/>
        <w:rPr>
          <w:rFonts w:cs="Arial"/>
        </w:rPr>
      </w:pPr>
      <w:r>
        <w:t>The Fund operating details will be described in depth in the Fund Operational Manual that will be developed by the Fund's Secretariat with support from the MPTF Office after the establishment of the Fund.</w:t>
      </w:r>
    </w:p>
    <w:p w14:paraId="749EEBC3" w14:textId="4B2C95F8" w:rsidR="009C1FB2" w:rsidRDefault="009C1FB2" w:rsidP="009C1FB2">
      <w:pPr>
        <w:spacing w:after="0"/>
        <w:jc w:val="both"/>
      </w:pPr>
      <w:r>
        <w:t xml:space="preserve">The Fund's governance involves three levels: Operation (Steering Committee, Technical </w:t>
      </w:r>
      <w:r w:rsidR="000F2AF9">
        <w:t>Committees</w:t>
      </w:r>
      <w:r>
        <w:t xml:space="preserve"> and the Fund Secretariat), Design and Administration (MPTF Office) and Implementation (implementing entities). </w:t>
      </w:r>
    </w:p>
    <w:p w14:paraId="424025CF" w14:textId="77777777" w:rsidR="000F3A0F" w:rsidRPr="005602A0" w:rsidRDefault="000F3A0F" w:rsidP="009235AD"/>
    <w:p w14:paraId="26CCA9D9" w14:textId="5394EFD7" w:rsidR="003E35E5" w:rsidRDefault="00DE2A22" w:rsidP="00DE2A22">
      <w:pPr>
        <w:pStyle w:val="Heading2"/>
      </w:pPr>
      <w:bookmarkStart w:id="14" w:name="_Toc39503332"/>
      <w:r>
        <w:t>Fund Operations</w:t>
      </w:r>
      <w:bookmarkEnd w:id="14"/>
    </w:p>
    <w:p w14:paraId="149CB450" w14:textId="12EA183F" w:rsidR="003E35E5" w:rsidRPr="002C3FEE" w:rsidRDefault="003E35E5" w:rsidP="003E35E5">
      <w:pPr>
        <w:jc w:val="both"/>
        <w:rPr>
          <w:b/>
          <w:i/>
        </w:rPr>
      </w:pPr>
      <w:r w:rsidRPr="002C3FEE">
        <w:rPr>
          <w:b/>
          <w:i/>
        </w:rPr>
        <w:t>M</w:t>
      </w:r>
      <w:r w:rsidR="0096052C">
        <w:rPr>
          <w:b/>
          <w:i/>
        </w:rPr>
        <w:t>P</w:t>
      </w:r>
      <w:r w:rsidRPr="002C3FEE">
        <w:rPr>
          <w:b/>
          <w:i/>
        </w:rPr>
        <w:t xml:space="preserve">TF Steering Committee </w:t>
      </w:r>
    </w:p>
    <w:p w14:paraId="5D023619" w14:textId="4627D6EB" w:rsidR="004D6C58" w:rsidRDefault="004D6C58" w:rsidP="004D6C58">
      <w:pPr>
        <w:jc w:val="both"/>
      </w:pPr>
      <w:r w:rsidRPr="00133217">
        <w:t>The Steering Committee is the body in charge of the strategic guid</w:t>
      </w:r>
      <w:r w:rsidR="008A5337">
        <w:t>ance</w:t>
      </w:r>
      <w:r w:rsidRPr="00133217">
        <w:t xml:space="preserve"> and general supervision of the Fund. It is the </w:t>
      </w:r>
      <w:r w:rsidR="00062F75" w:rsidRPr="00133217">
        <w:t xml:space="preserve">chaired by the </w:t>
      </w:r>
      <w:r w:rsidR="00B93632">
        <w:t xml:space="preserve">Government and co-chaired by the </w:t>
      </w:r>
      <w:r w:rsidRPr="00133217">
        <w:t xml:space="preserve">UN Resident Coordinator. The Steering Committee comprises of </w:t>
      </w:r>
      <w:r w:rsidR="00A31734">
        <w:t xml:space="preserve">representatives of </w:t>
      </w:r>
      <w:r w:rsidRPr="00133217">
        <w:t xml:space="preserve">United Nations agencies </w:t>
      </w:r>
      <w:r w:rsidR="00133217" w:rsidRPr="00133217">
        <w:t>(</w:t>
      </w:r>
      <w:r w:rsidRPr="00133217">
        <w:t>signatories of the MOU</w:t>
      </w:r>
      <w:r w:rsidR="00133217" w:rsidRPr="00133217">
        <w:t>)</w:t>
      </w:r>
      <w:r w:rsidR="00062F75" w:rsidRPr="00133217">
        <w:t>, donors</w:t>
      </w:r>
      <w:r w:rsidRPr="00133217">
        <w:t xml:space="preserve"> </w:t>
      </w:r>
      <w:r w:rsidR="006473EC">
        <w:t>and</w:t>
      </w:r>
      <w:r w:rsidR="00823F09">
        <w:t xml:space="preserve"> </w:t>
      </w:r>
      <w:r w:rsidRPr="00133217">
        <w:t>MPTFO as ex-officio member.</w:t>
      </w:r>
    </w:p>
    <w:p w14:paraId="599E2AB0" w14:textId="267FA2D8" w:rsidR="004D6C58" w:rsidRPr="003723F9" w:rsidRDefault="004D6C58" w:rsidP="004D6C58">
      <w:pPr>
        <w:jc w:val="both"/>
      </w:pPr>
      <w:r>
        <w:t>The Steering Committee meets when deemed necessary</w:t>
      </w:r>
      <w:r w:rsidR="00DD183A">
        <w:t xml:space="preserve"> and</w:t>
      </w:r>
      <w:r>
        <w:t xml:space="preserve"> it is responsible for the following tasks:</w:t>
      </w:r>
    </w:p>
    <w:p w14:paraId="23D897E0" w14:textId="77777777" w:rsidR="004D6C58" w:rsidRPr="00CB1AEA" w:rsidRDefault="004D6C58" w:rsidP="00B31055">
      <w:pPr>
        <w:pStyle w:val="ListParagraph"/>
        <w:numPr>
          <w:ilvl w:val="0"/>
          <w:numId w:val="4"/>
        </w:numPr>
        <w:spacing w:line="256" w:lineRule="auto"/>
        <w:ind w:left="1080"/>
        <w:jc w:val="both"/>
      </w:pPr>
      <w:r w:rsidRPr="00CB1AEA">
        <w:t>Provide general oversight and exercising overall accountability of the Fund;</w:t>
      </w:r>
    </w:p>
    <w:p w14:paraId="47474278" w14:textId="77777777" w:rsidR="004D6C58" w:rsidRPr="00CB1AEA" w:rsidRDefault="004D6C58" w:rsidP="00B31055">
      <w:pPr>
        <w:pStyle w:val="ListParagraph"/>
        <w:numPr>
          <w:ilvl w:val="0"/>
          <w:numId w:val="4"/>
        </w:numPr>
        <w:spacing w:line="256" w:lineRule="auto"/>
        <w:ind w:left="1080"/>
        <w:jc w:val="both"/>
      </w:pPr>
      <w:r w:rsidRPr="00CB1AEA">
        <w:t xml:space="preserve">Approve the strategic direction of the Fund and its overall results framework; </w:t>
      </w:r>
    </w:p>
    <w:p w14:paraId="13CDC41F" w14:textId="4BA6369E" w:rsidR="004D6C58" w:rsidRPr="00CB1AEA" w:rsidRDefault="004D6C58" w:rsidP="00B31055">
      <w:pPr>
        <w:pStyle w:val="ListParagraph"/>
        <w:numPr>
          <w:ilvl w:val="0"/>
          <w:numId w:val="4"/>
        </w:numPr>
        <w:spacing w:line="256" w:lineRule="auto"/>
        <w:ind w:left="1080"/>
        <w:jc w:val="both"/>
      </w:pPr>
      <w:r w:rsidRPr="00CB1AEA">
        <w:t xml:space="preserve">Approve </w:t>
      </w:r>
      <w:r w:rsidR="00E57F81">
        <w:t xml:space="preserve">the </w:t>
      </w:r>
      <w:r w:rsidRPr="00CB1AEA">
        <w:t>Fund risk management strategy and review risk monitoring regularly;</w:t>
      </w:r>
    </w:p>
    <w:p w14:paraId="57E99A86" w14:textId="77777777" w:rsidR="004D6C58" w:rsidRPr="00CB1AEA" w:rsidRDefault="004D6C58" w:rsidP="00B31055">
      <w:pPr>
        <w:pStyle w:val="ListParagraph"/>
        <w:numPr>
          <w:ilvl w:val="0"/>
          <w:numId w:val="4"/>
        </w:numPr>
        <w:spacing w:line="256" w:lineRule="auto"/>
        <w:ind w:left="1080"/>
        <w:jc w:val="both"/>
      </w:pPr>
      <w:r w:rsidRPr="00CB1AEA">
        <w:t>Review and approve proposals submitted for funding (if applicable: after being cleared by the relevant thematic working groups), ensuring their conformity with the requirements of the Fund Terms of Reference (TOR);</w:t>
      </w:r>
    </w:p>
    <w:p w14:paraId="37D9E889" w14:textId="77777777" w:rsidR="004D6C58" w:rsidRPr="00CB1AEA" w:rsidRDefault="004D6C58" w:rsidP="00B31055">
      <w:pPr>
        <w:pStyle w:val="ListParagraph"/>
        <w:numPr>
          <w:ilvl w:val="0"/>
          <w:numId w:val="4"/>
        </w:numPr>
        <w:spacing w:line="256" w:lineRule="auto"/>
        <w:ind w:left="1080"/>
        <w:jc w:val="both"/>
      </w:pPr>
      <w:r w:rsidRPr="00CB1AEA">
        <w:t>Decide the allocation of funds;</w:t>
      </w:r>
    </w:p>
    <w:p w14:paraId="3E51489A" w14:textId="77777777" w:rsidR="004D6C58" w:rsidRPr="00CB1AEA" w:rsidRDefault="004D6C58" w:rsidP="00B31055">
      <w:pPr>
        <w:pStyle w:val="ListParagraph"/>
        <w:numPr>
          <w:ilvl w:val="0"/>
          <w:numId w:val="4"/>
        </w:numPr>
        <w:spacing w:line="256" w:lineRule="auto"/>
        <w:ind w:left="1080"/>
        <w:jc w:val="both"/>
      </w:pPr>
      <w:r w:rsidRPr="00CB1AEA">
        <w:t xml:space="preserve">Review Fund status and oversee the overall progress against the results framework through monitoring, reporting and evaluation;  </w:t>
      </w:r>
    </w:p>
    <w:p w14:paraId="4F5B0BE5" w14:textId="52EEA1D8" w:rsidR="004D6C58" w:rsidRPr="00CB1AEA" w:rsidRDefault="004D6C58" w:rsidP="00B31055">
      <w:pPr>
        <w:pStyle w:val="ListParagraph"/>
        <w:numPr>
          <w:ilvl w:val="0"/>
          <w:numId w:val="4"/>
        </w:numPr>
        <w:spacing w:line="256" w:lineRule="auto"/>
        <w:ind w:left="1080"/>
        <w:jc w:val="both"/>
      </w:pPr>
      <w:r w:rsidRPr="00CB1AEA">
        <w:t>Review the periodic progress reports consolidated by the Administrative Agent and the Secretariat based on the progress reports submitted by the Implementing Entities;</w:t>
      </w:r>
    </w:p>
    <w:p w14:paraId="72E422C2" w14:textId="77777777" w:rsidR="004D6C58" w:rsidRPr="00CB1AEA" w:rsidRDefault="004D6C58" w:rsidP="00B31055">
      <w:pPr>
        <w:pStyle w:val="ListParagraph"/>
        <w:numPr>
          <w:ilvl w:val="0"/>
          <w:numId w:val="4"/>
        </w:numPr>
        <w:spacing w:line="256" w:lineRule="auto"/>
        <w:ind w:left="1080"/>
        <w:jc w:val="both"/>
      </w:pPr>
      <w:r w:rsidRPr="00CB1AEA">
        <w:t xml:space="preserve">Commission mid-term and final independent evaluations on the overall performance of the Fund; </w:t>
      </w:r>
    </w:p>
    <w:p w14:paraId="35167320" w14:textId="27C3B3D0" w:rsidR="004D6C58" w:rsidRPr="00CB1AEA" w:rsidRDefault="004D6C58" w:rsidP="00B31055">
      <w:pPr>
        <w:pStyle w:val="ListParagraph"/>
        <w:numPr>
          <w:ilvl w:val="0"/>
          <w:numId w:val="4"/>
        </w:numPr>
        <w:spacing w:line="256" w:lineRule="auto"/>
        <w:ind w:left="1080"/>
        <w:jc w:val="both"/>
      </w:pPr>
      <w:r w:rsidRPr="00CB1AEA">
        <w:t>Approve direct costs related to fund operations</w:t>
      </w:r>
      <w:r w:rsidR="00BC3367">
        <w:t>, including the Secretariat costs</w:t>
      </w:r>
      <w:r w:rsidRPr="00CB1AEA">
        <w:t xml:space="preserve">; </w:t>
      </w:r>
    </w:p>
    <w:p w14:paraId="394B55D6" w14:textId="77777777" w:rsidR="004D6C58" w:rsidRPr="00CB1AEA" w:rsidRDefault="004D6C58" w:rsidP="00B31055">
      <w:pPr>
        <w:pStyle w:val="ListParagraph"/>
        <w:numPr>
          <w:ilvl w:val="0"/>
          <w:numId w:val="4"/>
        </w:numPr>
        <w:spacing w:line="256" w:lineRule="auto"/>
        <w:ind w:left="1080"/>
        <w:jc w:val="both"/>
      </w:pPr>
      <w:r w:rsidRPr="00CB1AEA">
        <w:t>Approve Fund extensions and updates to the Fund TOR, as required.</w:t>
      </w:r>
    </w:p>
    <w:p w14:paraId="1A28C9F6" w14:textId="7706D5B7" w:rsidR="004D6C58" w:rsidRDefault="004D6C58" w:rsidP="004D6C58">
      <w:pPr>
        <w:jc w:val="both"/>
      </w:pPr>
      <w:r>
        <w:t xml:space="preserve">The Steering Committee makes decisions by consensus. </w:t>
      </w:r>
    </w:p>
    <w:p w14:paraId="378CF624" w14:textId="77777777" w:rsidR="003E35E5" w:rsidRPr="002C3FEE" w:rsidRDefault="003E35E5" w:rsidP="003E35E5">
      <w:pPr>
        <w:jc w:val="both"/>
        <w:rPr>
          <w:i/>
        </w:rPr>
      </w:pPr>
    </w:p>
    <w:p w14:paraId="5766F975" w14:textId="35FD50A9" w:rsidR="00400053" w:rsidRPr="00FF51D1" w:rsidRDefault="00400053" w:rsidP="00400053">
      <w:pPr>
        <w:tabs>
          <w:tab w:val="left" w:pos="540"/>
          <w:tab w:val="left" w:pos="1080"/>
        </w:tabs>
        <w:spacing w:after="200"/>
        <w:jc w:val="both"/>
        <w:rPr>
          <w:rFonts w:cstheme="minorHAnsi"/>
          <w:b/>
        </w:rPr>
      </w:pPr>
      <w:r w:rsidRPr="00FF51D1">
        <w:rPr>
          <w:rFonts w:cstheme="minorHAnsi"/>
          <w:b/>
        </w:rPr>
        <w:t>The thematic window Steering Committee</w:t>
      </w:r>
    </w:p>
    <w:p w14:paraId="247CF371" w14:textId="597B18DF" w:rsidR="00400053" w:rsidRPr="00400053" w:rsidRDefault="00400053" w:rsidP="00400053">
      <w:pPr>
        <w:tabs>
          <w:tab w:val="left" w:pos="540"/>
          <w:tab w:val="left" w:pos="1080"/>
        </w:tabs>
        <w:spacing w:after="200" w:line="240" w:lineRule="auto"/>
        <w:jc w:val="both"/>
        <w:rPr>
          <w:rFonts w:cstheme="minorHAnsi"/>
        </w:rPr>
      </w:pPr>
      <w:r w:rsidRPr="00400053">
        <w:rPr>
          <w:rFonts w:cstheme="minorHAnsi"/>
        </w:rPr>
        <w:t xml:space="preserve">When a thematic or a geographic window is stablished, the Steering Committee may create a window Steering Committee with delegated authority </w:t>
      </w:r>
      <w:r w:rsidR="00530086">
        <w:rPr>
          <w:rFonts w:cstheme="minorHAnsi"/>
        </w:rPr>
        <w:t>to perform the SC</w:t>
      </w:r>
      <w:r w:rsidRPr="00400053">
        <w:rPr>
          <w:rFonts w:cstheme="minorHAnsi"/>
        </w:rPr>
        <w:t xml:space="preserve"> </w:t>
      </w:r>
      <w:r w:rsidR="007A456A">
        <w:rPr>
          <w:rFonts w:cstheme="minorHAnsi"/>
        </w:rPr>
        <w:t>functions</w:t>
      </w:r>
      <w:r w:rsidRPr="00400053">
        <w:rPr>
          <w:rFonts w:cstheme="minorHAnsi"/>
        </w:rPr>
        <w:t xml:space="preserve"> within the thematic window, in line the strategic guidance of</w:t>
      </w:r>
      <w:r>
        <w:rPr>
          <w:rFonts w:cstheme="minorHAnsi"/>
        </w:rPr>
        <w:t xml:space="preserve"> the</w:t>
      </w:r>
      <w:r w:rsidRPr="00400053">
        <w:rPr>
          <w:rFonts w:cstheme="minorHAnsi"/>
        </w:rPr>
        <w:t xml:space="preserve"> Steering Committee. The thematic window steering committee is chaired by the UN Resident Coordinator (or designated UN official) and is comprised of </w:t>
      </w:r>
      <w:r>
        <w:rPr>
          <w:rFonts w:cstheme="minorHAnsi"/>
        </w:rPr>
        <w:t xml:space="preserve">the Government, </w:t>
      </w:r>
      <w:r w:rsidRPr="00400053">
        <w:rPr>
          <w:rFonts w:cstheme="minorHAnsi"/>
        </w:rPr>
        <w:t>Participating UN Organizations</w:t>
      </w:r>
      <w:r>
        <w:rPr>
          <w:rFonts w:cstheme="minorHAnsi"/>
        </w:rPr>
        <w:t xml:space="preserve"> and </w:t>
      </w:r>
      <w:r w:rsidRPr="00400053">
        <w:rPr>
          <w:rFonts w:cstheme="minorHAnsi"/>
        </w:rPr>
        <w:t>window participating donors</w:t>
      </w:r>
      <w:r>
        <w:rPr>
          <w:rFonts w:cstheme="minorHAnsi"/>
        </w:rPr>
        <w:t xml:space="preserve">, </w:t>
      </w:r>
      <w:r w:rsidRPr="00400053">
        <w:rPr>
          <w:rFonts w:cstheme="minorHAnsi"/>
        </w:rPr>
        <w:t>with the fund Secretariat and Administrative Agent as ex-officio members.</w:t>
      </w:r>
    </w:p>
    <w:p w14:paraId="12A2B5F8" w14:textId="28514FA1" w:rsidR="00400053" w:rsidRPr="00400053" w:rsidRDefault="00400053" w:rsidP="00400053">
      <w:pPr>
        <w:tabs>
          <w:tab w:val="left" w:pos="540"/>
          <w:tab w:val="left" w:pos="1080"/>
        </w:tabs>
        <w:spacing w:after="200" w:line="240" w:lineRule="auto"/>
        <w:jc w:val="both"/>
        <w:rPr>
          <w:rFonts w:cstheme="minorHAnsi"/>
        </w:rPr>
      </w:pPr>
      <w:r w:rsidRPr="00400053">
        <w:rPr>
          <w:rFonts w:cstheme="minorHAnsi"/>
        </w:rPr>
        <w:lastRenderedPageBreak/>
        <w:t xml:space="preserve">The thematic window Steering Committee </w:t>
      </w:r>
      <w:r w:rsidR="00FE3DF5">
        <w:rPr>
          <w:rFonts w:cstheme="minorHAnsi"/>
        </w:rPr>
        <w:t xml:space="preserve">delegated </w:t>
      </w:r>
      <w:r w:rsidR="0012260F">
        <w:rPr>
          <w:rFonts w:cstheme="minorHAnsi"/>
        </w:rPr>
        <w:t>responsibilities</w:t>
      </w:r>
      <w:r w:rsidR="00FE3DF5">
        <w:rPr>
          <w:rFonts w:cstheme="minorHAnsi"/>
        </w:rPr>
        <w:t xml:space="preserve"> </w:t>
      </w:r>
      <w:r w:rsidR="005800F8">
        <w:rPr>
          <w:rFonts w:cstheme="minorHAnsi"/>
        </w:rPr>
        <w:t xml:space="preserve">may vary and </w:t>
      </w:r>
      <w:r w:rsidR="003E31F6">
        <w:rPr>
          <w:rFonts w:cstheme="minorHAnsi"/>
        </w:rPr>
        <w:t xml:space="preserve">they </w:t>
      </w:r>
      <w:r w:rsidR="005800F8">
        <w:rPr>
          <w:rFonts w:cstheme="minorHAnsi"/>
        </w:rPr>
        <w:t>will be spelled out in</w:t>
      </w:r>
      <w:r w:rsidR="0012260F">
        <w:rPr>
          <w:rFonts w:cstheme="minorHAnsi"/>
        </w:rPr>
        <w:t xml:space="preserve"> the</w:t>
      </w:r>
      <w:r w:rsidR="005800F8">
        <w:rPr>
          <w:rFonts w:cstheme="minorHAnsi"/>
        </w:rPr>
        <w:t xml:space="preserve"> specific window TOR</w:t>
      </w:r>
      <w:r w:rsidR="0012260F">
        <w:rPr>
          <w:rFonts w:cstheme="minorHAnsi"/>
        </w:rPr>
        <w:t>.</w:t>
      </w:r>
    </w:p>
    <w:p w14:paraId="5B9DF38C" w14:textId="77777777" w:rsidR="00AE2DA5" w:rsidRDefault="00AE2DA5" w:rsidP="003E35E5">
      <w:pPr>
        <w:jc w:val="both"/>
        <w:rPr>
          <w:b/>
          <w:i/>
        </w:rPr>
      </w:pPr>
    </w:p>
    <w:p w14:paraId="35CBA323" w14:textId="752305AF" w:rsidR="003E35E5" w:rsidRPr="002C3FEE" w:rsidRDefault="003E35E5" w:rsidP="003E35E5">
      <w:pPr>
        <w:jc w:val="both"/>
        <w:rPr>
          <w:b/>
          <w:i/>
        </w:rPr>
      </w:pPr>
      <w:r w:rsidRPr="002C3FEE">
        <w:rPr>
          <w:b/>
          <w:i/>
        </w:rPr>
        <w:t>Secretariat</w:t>
      </w:r>
    </w:p>
    <w:p w14:paraId="0E4AD84C" w14:textId="77777777" w:rsidR="00C71B4A" w:rsidRDefault="00C71B4A" w:rsidP="00C71B4A">
      <w:pPr>
        <w:spacing w:after="0" w:line="240" w:lineRule="auto"/>
        <w:jc w:val="both"/>
      </w:pPr>
      <w:r>
        <w:t xml:space="preserve">It is the entity responsible for the operational functioning of the Fund. The Secretariat provides technical and administrative support to the Steering Committee. </w:t>
      </w:r>
    </w:p>
    <w:p w14:paraId="6858A4AA" w14:textId="77777777" w:rsidR="00C71B4A" w:rsidRDefault="00C71B4A" w:rsidP="00C71B4A">
      <w:pPr>
        <w:spacing w:after="0" w:line="240" w:lineRule="auto"/>
        <w:jc w:val="both"/>
      </w:pPr>
    </w:p>
    <w:p w14:paraId="2BB1EB6B" w14:textId="5531C2EE" w:rsidR="00C71B4A" w:rsidRDefault="00CF3807" w:rsidP="00C71B4A">
      <w:pPr>
        <w:spacing w:after="0" w:line="240" w:lineRule="auto"/>
        <w:jc w:val="both"/>
      </w:pPr>
      <w:r>
        <w:t>With this initial window,</w:t>
      </w:r>
      <w:r w:rsidR="00C71B4A">
        <w:t xml:space="preserve"> the Secretariat function will be provided by the Resident Coordinator Office.</w:t>
      </w:r>
    </w:p>
    <w:p w14:paraId="63A143A8" w14:textId="77314BA1" w:rsidR="00C71B4A" w:rsidRDefault="00C71B4A" w:rsidP="00C71B4A">
      <w:pPr>
        <w:jc w:val="both"/>
      </w:pPr>
      <w:r>
        <w:t xml:space="preserve">The Secretariat structure can be reviewed and adjusted by the Steering Committee in line with needs and budget availability. </w:t>
      </w:r>
    </w:p>
    <w:p w14:paraId="64E543ED" w14:textId="77777777" w:rsidR="00C71B4A" w:rsidRPr="005558AE" w:rsidRDefault="00C71B4A" w:rsidP="00C71B4A">
      <w:pPr>
        <w:jc w:val="both"/>
      </w:pPr>
      <w:r>
        <w:t>The Secretariat main functions are:</w:t>
      </w:r>
    </w:p>
    <w:p w14:paraId="4A6BD96D" w14:textId="77777777" w:rsidR="00C71B4A" w:rsidRDefault="00C71B4A" w:rsidP="00B31055">
      <w:pPr>
        <w:pStyle w:val="ListParagraph"/>
        <w:numPr>
          <w:ilvl w:val="0"/>
          <w:numId w:val="4"/>
        </w:numPr>
        <w:spacing w:line="256" w:lineRule="auto"/>
        <w:ind w:left="1080"/>
        <w:jc w:val="both"/>
      </w:pPr>
      <w:r>
        <w:t>Advise the Steering Committee on strategic priorities, programmatic and financial allocations (based on the inputs of inter-agency working groups, if applicable)</w:t>
      </w:r>
    </w:p>
    <w:p w14:paraId="26810DE1" w14:textId="77777777" w:rsidR="00C71B4A" w:rsidRDefault="00C71B4A" w:rsidP="00B31055">
      <w:pPr>
        <w:pStyle w:val="ListParagraph"/>
        <w:numPr>
          <w:ilvl w:val="0"/>
          <w:numId w:val="4"/>
        </w:numPr>
        <w:spacing w:line="256" w:lineRule="auto"/>
        <w:ind w:left="1080"/>
        <w:jc w:val="both"/>
      </w:pPr>
      <w:r>
        <w:t xml:space="preserve">Provide logistical and operational support to the Steering Committee; </w:t>
      </w:r>
    </w:p>
    <w:p w14:paraId="3FFE3E11" w14:textId="77777777" w:rsidR="00C71B4A" w:rsidRDefault="00C71B4A" w:rsidP="00B31055">
      <w:pPr>
        <w:pStyle w:val="ListParagraph"/>
        <w:numPr>
          <w:ilvl w:val="0"/>
          <w:numId w:val="4"/>
        </w:numPr>
        <w:spacing w:line="256" w:lineRule="auto"/>
        <w:ind w:left="1080"/>
        <w:jc w:val="both"/>
      </w:pPr>
      <w:r>
        <w:t>Organize calls for proposals and appraisal processes;</w:t>
      </w:r>
    </w:p>
    <w:p w14:paraId="179FD70A" w14:textId="77777777" w:rsidR="00C71B4A" w:rsidRDefault="00C71B4A" w:rsidP="00B31055">
      <w:pPr>
        <w:pStyle w:val="ListParagraph"/>
        <w:numPr>
          <w:ilvl w:val="0"/>
          <w:numId w:val="4"/>
        </w:numPr>
        <w:spacing w:line="256" w:lineRule="auto"/>
        <w:ind w:left="1080"/>
        <w:jc w:val="both"/>
      </w:pPr>
      <w:r>
        <w:t xml:space="preserve">Ensure the monitoring of the operational risks and Fund performance; </w:t>
      </w:r>
    </w:p>
    <w:p w14:paraId="6A094B55" w14:textId="19D5EBF6" w:rsidR="00C71B4A" w:rsidRDefault="00C71B4A" w:rsidP="00B31055">
      <w:pPr>
        <w:pStyle w:val="ListParagraph"/>
        <w:numPr>
          <w:ilvl w:val="0"/>
          <w:numId w:val="4"/>
        </w:numPr>
        <w:spacing w:line="256" w:lineRule="auto"/>
        <w:ind w:left="1080"/>
        <w:jc w:val="both"/>
      </w:pPr>
      <w:r>
        <w:t>Consolidate annual and final narrative reports provided by the Participating UN Organisations and share with the Steering Committee for review as well as with Administrative Agent for preparation of consolidated narrative and financial reports;</w:t>
      </w:r>
    </w:p>
    <w:p w14:paraId="18EA54FB" w14:textId="77777777" w:rsidR="00606004" w:rsidRDefault="00C71B4A" w:rsidP="00B31055">
      <w:pPr>
        <w:pStyle w:val="ListParagraph"/>
        <w:numPr>
          <w:ilvl w:val="0"/>
          <w:numId w:val="4"/>
        </w:numPr>
        <w:spacing w:line="256" w:lineRule="auto"/>
        <w:ind w:left="1080"/>
        <w:jc w:val="both"/>
      </w:pPr>
      <w:r>
        <w:t xml:space="preserve">Facilitate collaboration and communication between Participating UN Organizations to ensure programmes are implemented effectively. </w:t>
      </w:r>
    </w:p>
    <w:p w14:paraId="114793D0" w14:textId="09DD49D1" w:rsidR="003E35E5" w:rsidRDefault="00C71B4A" w:rsidP="00B31055">
      <w:pPr>
        <w:pStyle w:val="ListParagraph"/>
        <w:numPr>
          <w:ilvl w:val="0"/>
          <w:numId w:val="4"/>
        </w:numPr>
        <w:spacing w:line="256" w:lineRule="auto"/>
        <w:ind w:left="1080"/>
        <w:jc w:val="both"/>
      </w:pPr>
      <w:r>
        <w:t xml:space="preserve">Liaise with the Administrative Agent on </w:t>
      </w:r>
      <w:r w:rsidR="00094A58">
        <w:t>F</w:t>
      </w:r>
      <w:r>
        <w:t xml:space="preserve">und administration issues, including </w:t>
      </w:r>
      <w:r w:rsidR="00F22CC3">
        <w:t xml:space="preserve">submitting the funds transfer requests and </w:t>
      </w:r>
      <w:r>
        <w:t xml:space="preserve">issues related to project/ </w:t>
      </w:r>
      <w:r w:rsidR="00094A58">
        <w:t>F</w:t>
      </w:r>
      <w:r>
        <w:t>und extensions and project/</w:t>
      </w:r>
      <w:r w:rsidR="00094A58">
        <w:t>F</w:t>
      </w:r>
      <w:r>
        <w:t>und closure.</w:t>
      </w:r>
    </w:p>
    <w:p w14:paraId="475F87EF" w14:textId="6207D66D" w:rsidR="00606004" w:rsidRPr="002C3FEE" w:rsidRDefault="00606004" w:rsidP="00C71B4A">
      <w:pPr>
        <w:jc w:val="both"/>
        <w:rPr>
          <w:i/>
        </w:rPr>
      </w:pPr>
      <w:r w:rsidRPr="00133217">
        <w:t xml:space="preserve">The costs of the Secretariat will be charged to the Fund as direct costs. The Secretariat's budget will be agreed and approved by the Steering </w:t>
      </w:r>
      <w:r w:rsidR="009B78A4">
        <w:t xml:space="preserve">Committee. </w:t>
      </w:r>
    </w:p>
    <w:p w14:paraId="203FFFA1" w14:textId="77777777" w:rsidR="00594117" w:rsidRDefault="00594117" w:rsidP="00B63AB2">
      <w:pPr>
        <w:jc w:val="both"/>
        <w:rPr>
          <w:b/>
          <w:i/>
        </w:rPr>
      </w:pPr>
    </w:p>
    <w:p w14:paraId="684BA3C7" w14:textId="7D73B512" w:rsidR="005B5139" w:rsidRPr="005B5139" w:rsidRDefault="005B5139" w:rsidP="00B63AB2">
      <w:pPr>
        <w:jc w:val="both"/>
        <w:rPr>
          <w:b/>
          <w:i/>
        </w:rPr>
      </w:pPr>
      <w:r w:rsidRPr="005B5139">
        <w:rPr>
          <w:b/>
          <w:i/>
        </w:rPr>
        <w:t>T</w:t>
      </w:r>
      <w:r w:rsidR="00987C26">
        <w:rPr>
          <w:b/>
          <w:i/>
        </w:rPr>
        <w:t>hematic</w:t>
      </w:r>
      <w:r w:rsidRPr="005B5139">
        <w:rPr>
          <w:b/>
          <w:i/>
        </w:rPr>
        <w:t xml:space="preserve"> </w:t>
      </w:r>
      <w:r w:rsidR="007F0C63">
        <w:rPr>
          <w:b/>
          <w:i/>
        </w:rPr>
        <w:t>Working Groups</w:t>
      </w:r>
      <w:r w:rsidR="007E29AE">
        <w:rPr>
          <w:b/>
          <w:i/>
        </w:rPr>
        <w:t xml:space="preserve"> (TWG)</w:t>
      </w:r>
    </w:p>
    <w:p w14:paraId="674742B8" w14:textId="385B26EB" w:rsidR="00B63AB2" w:rsidRPr="0095602B" w:rsidRDefault="00B63AB2" w:rsidP="00B63AB2">
      <w:pPr>
        <w:jc w:val="both"/>
        <w:rPr>
          <w:bCs/>
        </w:rPr>
      </w:pPr>
      <w:r>
        <w:t>The T</w:t>
      </w:r>
      <w:r w:rsidR="00987C26">
        <w:t>hematic</w:t>
      </w:r>
      <w:r>
        <w:t xml:space="preserve"> </w:t>
      </w:r>
      <w:r w:rsidR="007E29AE">
        <w:t>Working Groups</w:t>
      </w:r>
      <w:r>
        <w:t xml:space="preserve"> are bodies in charge of reviewing projects or </w:t>
      </w:r>
      <w:r w:rsidR="0074071F">
        <w:t xml:space="preserve">joint </w:t>
      </w:r>
      <w:r>
        <w:t xml:space="preserve">programs submitted to the Fund, which will be submitted for approval to the Steering Committee through the Secretariat. </w:t>
      </w:r>
    </w:p>
    <w:p w14:paraId="6AB8EBAA" w14:textId="77777777" w:rsidR="00B63AB2" w:rsidRPr="0095602B" w:rsidRDefault="00B63AB2" w:rsidP="00B63AB2">
      <w:pPr>
        <w:jc w:val="both"/>
      </w:pPr>
      <w:r>
        <w:t>During the project review, the implementing entities and/or executing partners will be invited to the committee meetings in order to receive technical recommendations regarding project and program execution.</w:t>
      </w:r>
    </w:p>
    <w:p w14:paraId="5335CDCC" w14:textId="60551950" w:rsidR="00B63AB2" w:rsidRDefault="00B63AB2" w:rsidP="00B63AB2">
      <w:pPr>
        <w:jc w:val="both"/>
      </w:pPr>
      <w:r>
        <w:t xml:space="preserve">Project review by </w:t>
      </w:r>
      <w:r w:rsidR="007E29AE">
        <w:t>T</w:t>
      </w:r>
      <w:r w:rsidR="00987C26">
        <w:t>hematic</w:t>
      </w:r>
      <w:r w:rsidR="007E29AE">
        <w:t xml:space="preserve"> Working Groups</w:t>
      </w:r>
      <w:r>
        <w:t xml:space="preserve"> has the following objectives:</w:t>
      </w:r>
    </w:p>
    <w:p w14:paraId="5224DA4F" w14:textId="77777777" w:rsidR="00B63AB2" w:rsidRPr="003C30E7" w:rsidRDefault="00B63AB2" w:rsidP="00B31055">
      <w:pPr>
        <w:pStyle w:val="ListParagraph"/>
        <w:numPr>
          <w:ilvl w:val="0"/>
          <w:numId w:val="3"/>
        </w:numPr>
        <w:ind w:left="360"/>
        <w:jc w:val="both"/>
      </w:pPr>
      <w:r>
        <w:t>Ensure project technical quality through technical specialized review per sector or field;</w:t>
      </w:r>
    </w:p>
    <w:p w14:paraId="6AD7E250" w14:textId="434F7F27" w:rsidR="00B63AB2" w:rsidRPr="003C30E7" w:rsidRDefault="00B63AB2" w:rsidP="00B31055">
      <w:pPr>
        <w:pStyle w:val="ListParagraph"/>
        <w:numPr>
          <w:ilvl w:val="0"/>
          <w:numId w:val="3"/>
        </w:numPr>
        <w:ind w:left="360"/>
        <w:jc w:val="both"/>
      </w:pPr>
      <w:r>
        <w:t xml:space="preserve">Guarantee intervention relevancy: it ensures that the projects submitted to the approval of the Steering Committee, are (i) aligned to these Terms of Reference; (ii) coordinated with existing </w:t>
      </w:r>
      <w:r>
        <w:lastRenderedPageBreak/>
        <w:t>activities, foreseen within the sector and (iii) developed in consultation with relevant national institutions.</w:t>
      </w:r>
    </w:p>
    <w:p w14:paraId="07B80FA2" w14:textId="11389A8B" w:rsidR="00B63AB2" w:rsidRDefault="00B63AB2" w:rsidP="00B63AB2">
      <w:pPr>
        <w:jc w:val="both"/>
      </w:pPr>
      <w:r>
        <w:t xml:space="preserve">The </w:t>
      </w:r>
      <w:r w:rsidR="007E29AE">
        <w:t>TWGs</w:t>
      </w:r>
      <w:r>
        <w:t xml:space="preserve"> consists of representatives of the UN, Government, </w:t>
      </w:r>
      <w:r w:rsidRPr="00A4672D">
        <w:t>donor</w:t>
      </w:r>
      <w:r>
        <w:t>s</w:t>
      </w:r>
      <w:r w:rsidRPr="00A4672D">
        <w:t xml:space="preserve"> </w:t>
      </w:r>
      <w:r>
        <w:t xml:space="preserve">and a Fund's Secretariat representative. Depending on the project's subject matter, representatives from other entities with relevant knowledge could be invited. </w:t>
      </w:r>
    </w:p>
    <w:p w14:paraId="6DC1F822" w14:textId="20018470" w:rsidR="00B63AB2" w:rsidRPr="007E6BC2" w:rsidRDefault="00B63AB2" w:rsidP="00B63AB2">
      <w:pPr>
        <w:jc w:val="both"/>
      </w:pPr>
      <w:r>
        <w:t>T</w:t>
      </w:r>
      <w:r w:rsidR="00987C26">
        <w:t>hematic</w:t>
      </w:r>
      <w:r>
        <w:t xml:space="preserve"> </w:t>
      </w:r>
      <w:r w:rsidR="00037925">
        <w:t>Working Groups</w:t>
      </w:r>
      <w:r>
        <w:t xml:space="preserve"> meet monthly or as required and they are responsible for the following tasks:</w:t>
      </w:r>
    </w:p>
    <w:p w14:paraId="45592ED5" w14:textId="77777777" w:rsidR="00B63AB2" w:rsidRDefault="00B63AB2" w:rsidP="00B31055">
      <w:pPr>
        <w:pStyle w:val="ListParagraph"/>
        <w:numPr>
          <w:ilvl w:val="0"/>
          <w:numId w:val="9"/>
        </w:numPr>
        <w:jc w:val="both"/>
      </w:pPr>
      <w:r>
        <w:t>Support the development of projects during the stage previous to the proposal presentation.</w:t>
      </w:r>
    </w:p>
    <w:p w14:paraId="09666C3C" w14:textId="77777777" w:rsidR="00B63AB2" w:rsidRPr="0095602B" w:rsidRDefault="00B63AB2" w:rsidP="00B31055">
      <w:pPr>
        <w:pStyle w:val="ListParagraph"/>
        <w:numPr>
          <w:ilvl w:val="0"/>
          <w:numId w:val="9"/>
        </w:numPr>
        <w:jc w:val="both"/>
      </w:pPr>
      <w:r>
        <w:t xml:space="preserve">Review projects submitted to them in order to ensure technical quality and relevancy.  </w:t>
      </w:r>
    </w:p>
    <w:p w14:paraId="3952FEE2" w14:textId="77777777" w:rsidR="00B63AB2" w:rsidRDefault="00B63AB2" w:rsidP="00B31055">
      <w:pPr>
        <w:pStyle w:val="ListParagraph"/>
        <w:numPr>
          <w:ilvl w:val="0"/>
          <w:numId w:val="9"/>
        </w:numPr>
        <w:jc w:val="both"/>
      </w:pPr>
      <w:r>
        <w:t>Recommend to the Steering Committee the approval of projects presented to the Fund.</w:t>
      </w:r>
    </w:p>
    <w:p w14:paraId="4008E9B6" w14:textId="58FD3573" w:rsidR="00B63AB2" w:rsidRPr="00132030" w:rsidRDefault="00B63AB2" w:rsidP="00B31055">
      <w:pPr>
        <w:pStyle w:val="ListParagraph"/>
        <w:numPr>
          <w:ilvl w:val="0"/>
          <w:numId w:val="9"/>
        </w:numPr>
        <w:jc w:val="both"/>
      </w:pPr>
      <w:r>
        <w:t xml:space="preserve">Make recommendations to the Secretariat and the MPTFO regarding Fund's report presentation, monitoring and evaluation.   </w:t>
      </w:r>
    </w:p>
    <w:p w14:paraId="42624920" w14:textId="4F9C1CAD" w:rsidR="00DE2A22" w:rsidRDefault="00DE2A22" w:rsidP="003E35E5">
      <w:pPr>
        <w:jc w:val="both"/>
        <w:rPr>
          <w:b/>
          <w:i/>
        </w:rPr>
      </w:pPr>
    </w:p>
    <w:p w14:paraId="330500B3" w14:textId="5EBB4027" w:rsidR="00DE2A22" w:rsidRDefault="00DE2A22" w:rsidP="00DE2A22">
      <w:pPr>
        <w:pStyle w:val="Heading2"/>
      </w:pPr>
      <w:bookmarkStart w:id="15" w:name="_Toc39503333"/>
      <w:r>
        <w:t>Fund Administration</w:t>
      </w:r>
      <w:bookmarkEnd w:id="15"/>
    </w:p>
    <w:p w14:paraId="01FE3F86" w14:textId="12B4EFDA" w:rsidR="003E35E5" w:rsidRPr="002C3FEE" w:rsidRDefault="003E35E5" w:rsidP="003E35E5">
      <w:pPr>
        <w:jc w:val="both"/>
        <w:rPr>
          <w:b/>
          <w:i/>
        </w:rPr>
      </w:pPr>
      <w:r w:rsidRPr="002C3FEE">
        <w:rPr>
          <w:b/>
          <w:i/>
        </w:rPr>
        <w:t>The Administrative Agent</w:t>
      </w:r>
    </w:p>
    <w:p w14:paraId="40CD3A03" w14:textId="60B9525F" w:rsidR="001668F3" w:rsidRPr="00227FB7" w:rsidRDefault="001668F3" w:rsidP="001668F3">
      <w:pPr>
        <w:jc w:val="both"/>
      </w:pPr>
      <w:r>
        <w:t xml:space="preserve">The Fund is administered by the MPTFO under the pass-through management modality. The Fund's administration services, whose costs are 1% of received contributions, include: </w:t>
      </w:r>
    </w:p>
    <w:p w14:paraId="1C375D0F" w14:textId="77777777" w:rsidR="001668F3" w:rsidRDefault="001668F3" w:rsidP="00B31055">
      <w:pPr>
        <w:pStyle w:val="ListParagraph"/>
        <w:numPr>
          <w:ilvl w:val="0"/>
          <w:numId w:val="1"/>
        </w:numPr>
        <w:jc w:val="both"/>
      </w:pPr>
      <w:r>
        <w:t xml:space="preserve">The Fund's setting up: support to the Fund's design (Terms of Reference and Operation Manual), and development of legal instruments; and </w:t>
      </w:r>
    </w:p>
    <w:p w14:paraId="12F9C55E" w14:textId="77777777" w:rsidR="001668F3" w:rsidRDefault="001668F3" w:rsidP="00B31055">
      <w:pPr>
        <w:pStyle w:val="ListParagraph"/>
        <w:numPr>
          <w:ilvl w:val="0"/>
          <w:numId w:val="1"/>
        </w:numPr>
        <w:jc w:val="both"/>
      </w:pPr>
      <w:r>
        <w:t>The Fund's administration: receipt, administration and release of funds to implementing entities in accordance with decisions from the Steering Committee, and financial report consolidation.</w:t>
      </w:r>
    </w:p>
    <w:p w14:paraId="1315747A" w14:textId="77777777" w:rsidR="001668F3" w:rsidRPr="007F6AC7" w:rsidRDefault="001668F3" w:rsidP="001668F3">
      <w:pPr>
        <w:jc w:val="both"/>
      </w:pPr>
      <w:r>
        <w:t>The MPTFO is responsible for the following functions:</w:t>
      </w:r>
    </w:p>
    <w:p w14:paraId="3922312E" w14:textId="77777777" w:rsidR="001668F3" w:rsidRDefault="001668F3" w:rsidP="00B31055">
      <w:pPr>
        <w:pStyle w:val="ListParagraph"/>
        <w:numPr>
          <w:ilvl w:val="0"/>
          <w:numId w:val="5"/>
        </w:numPr>
        <w:jc w:val="both"/>
      </w:pPr>
      <w:r>
        <w:t>Provide support to the design of the Fund;</w:t>
      </w:r>
    </w:p>
    <w:p w14:paraId="6FC588C6" w14:textId="7D3A24E4" w:rsidR="001668F3" w:rsidRDefault="001668F3" w:rsidP="00B31055">
      <w:pPr>
        <w:pStyle w:val="ListParagraph"/>
        <w:numPr>
          <w:ilvl w:val="0"/>
          <w:numId w:val="5"/>
        </w:numPr>
        <w:jc w:val="both"/>
      </w:pPr>
      <w:r>
        <w:t xml:space="preserve">Sign a Memorandum of Understanding (MOU) with </w:t>
      </w:r>
      <w:r w:rsidR="00B4039F">
        <w:t xml:space="preserve">the </w:t>
      </w:r>
      <w:r w:rsidR="00936646">
        <w:t>Participating UN Organizations</w:t>
      </w:r>
      <w:r>
        <w:t>;</w:t>
      </w:r>
    </w:p>
    <w:p w14:paraId="5EFBE9B3" w14:textId="77777777" w:rsidR="001668F3" w:rsidRDefault="001668F3" w:rsidP="00B31055">
      <w:pPr>
        <w:pStyle w:val="ListParagraph"/>
        <w:numPr>
          <w:ilvl w:val="0"/>
          <w:numId w:val="5"/>
        </w:numPr>
        <w:jc w:val="both"/>
      </w:pPr>
      <w:r>
        <w:t>Sign Standard Administrative Agreements with donors that wish to contribute financially to the Fund;</w:t>
      </w:r>
    </w:p>
    <w:p w14:paraId="014165BA" w14:textId="36CE527B" w:rsidR="001668F3" w:rsidRDefault="001668F3" w:rsidP="00B31055">
      <w:pPr>
        <w:pStyle w:val="ListParagraph"/>
        <w:numPr>
          <w:ilvl w:val="0"/>
          <w:numId w:val="5"/>
        </w:numPr>
        <w:jc w:val="both"/>
      </w:pPr>
      <w:r>
        <w:t xml:space="preserve">Receive and </w:t>
      </w:r>
      <w:r w:rsidR="00AC61B8">
        <w:t>administer</w:t>
      </w:r>
      <w:r>
        <w:t xml:space="preserve"> funds included those of the Fund's closure;</w:t>
      </w:r>
    </w:p>
    <w:p w14:paraId="1D145735" w14:textId="77777777" w:rsidR="001668F3" w:rsidRDefault="001668F3" w:rsidP="00B31055">
      <w:pPr>
        <w:pStyle w:val="ListParagraph"/>
        <w:numPr>
          <w:ilvl w:val="0"/>
          <w:numId w:val="5"/>
        </w:numPr>
        <w:jc w:val="both"/>
      </w:pPr>
      <w:r>
        <w:t>Provide updated information to the Steering Committee regarding the regular resource availability;</w:t>
      </w:r>
    </w:p>
    <w:p w14:paraId="30625622" w14:textId="77777777" w:rsidR="001668F3" w:rsidRDefault="001668F3" w:rsidP="00B31055">
      <w:pPr>
        <w:pStyle w:val="ListParagraph"/>
        <w:numPr>
          <w:ilvl w:val="0"/>
          <w:numId w:val="5"/>
        </w:numPr>
        <w:jc w:val="both"/>
      </w:pPr>
      <w:r>
        <w:t>Subject to the availability of resources, transfer funds to implementing entities in accordance with the Steering Committee decisions;</w:t>
      </w:r>
    </w:p>
    <w:p w14:paraId="478F33F0" w14:textId="41ECC731" w:rsidR="001668F3" w:rsidRPr="009235AD" w:rsidRDefault="001668F3" w:rsidP="00B31055">
      <w:pPr>
        <w:pStyle w:val="ListParagraph"/>
        <w:numPr>
          <w:ilvl w:val="0"/>
          <w:numId w:val="5"/>
        </w:numPr>
        <w:jc w:val="both"/>
      </w:pPr>
      <w:r>
        <w:t xml:space="preserve">Consolidate the </w:t>
      </w:r>
      <w:r w:rsidR="00193516">
        <w:t>financial</w:t>
      </w:r>
      <w:r>
        <w:t xml:space="preserve"> annual and final reports submitted by implementing entities and present the consolidated report to the Steering Committee and to each of the Fund's contributors.</w:t>
      </w:r>
    </w:p>
    <w:p w14:paraId="5BC85301" w14:textId="77777777" w:rsidR="001668F3" w:rsidRPr="00050C37" w:rsidRDefault="001668F3" w:rsidP="00B31055">
      <w:pPr>
        <w:pStyle w:val="ListParagraph"/>
        <w:numPr>
          <w:ilvl w:val="0"/>
          <w:numId w:val="5"/>
        </w:numPr>
        <w:jc w:val="both"/>
      </w:pPr>
      <w:r>
        <w:t>Provide a Fund's final financial report which included a notice of the Fund's closure;</w:t>
      </w:r>
    </w:p>
    <w:p w14:paraId="2F253EE2" w14:textId="33A28854" w:rsidR="001668F3" w:rsidRDefault="001668F3" w:rsidP="00B31055">
      <w:pPr>
        <w:pStyle w:val="ListParagraph"/>
        <w:numPr>
          <w:ilvl w:val="0"/>
          <w:numId w:val="5"/>
        </w:numPr>
        <w:jc w:val="both"/>
      </w:pPr>
      <w:r>
        <w:t xml:space="preserve">Release funds as direct costs for the running of the Secretariat, based on the Steering Committee decisions. </w:t>
      </w:r>
    </w:p>
    <w:p w14:paraId="42EA1EB2" w14:textId="77777777" w:rsidR="001668F3" w:rsidRDefault="001668F3" w:rsidP="00B31055">
      <w:pPr>
        <w:pStyle w:val="ListParagraph"/>
        <w:numPr>
          <w:ilvl w:val="0"/>
          <w:numId w:val="5"/>
        </w:numPr>
        <w:jc w:val="both"/>
      </w:pPr>
      <w:r>
        <w:t>Release funds for additional expenses that the Steering Committee decide to allocate;</w:t>
      </w:r>
    </w:p>
    <w:p w14:paraId="2AA86E27" w14:textId="77777777" w:rsidR="001668F3" w:rsidRDefault="001668F3" w:rsidP="00B31055">
      <w:pPr>
        <w:pStyle w:val="ListParagraph"/>
        <w:numPr>
          <w:ilvl w:val="0"/>
          <w:numId w:val="5"/>
        </w:numPr>
        <w:jc w:val="both"/>
      </w:pPr>
      <w:r>
        <w:t>Provide tools for fund management to ensure transparency and accountability.</w:t>
      </w:r>
    </w:p>
    <w:p w14:paraId="1815B68E" w14:textId="7A84C940" w:rsidR="00DE2A22" w:rsidRDefault="00DE2A22" w:rsidP="00F1670E">
      <w:pPr>
        <w:jc w:val="both"/>
        <w:rPr>
          <w:b/>
          <w:i/>
        </w:rPr>
      </w:pPr>
    </w:p>
    <w:p w14:paraId="532989F2" w14:textId="4C6D8510" w:rsidR="00DE2A22" w:rsidRDefault="00DE2A22" w:rsidP="00DE2A22">
      <w:pPr>
        <w:pStyle w:val="Heading2"/>
      </w:pPr>
      <w:bookmarkStart w:id="16" w:name="_Toc39503334"/>
      <w:r>
        <w:lastRenderedPageBreak/>
        <w:t>Fund Implementation</w:t>
      </w:r>
      <w:bookmarkEnd w:id="16"/>
    </w:p>
    <w:p w14:paraId="05C84265" w14:textId="021CFDDF" w:rsidR="0097690A" w:rsidRDefault="00977F33" w:rsidP="0097690A">
      <w:pPr>
        <w:jc w:val="both"/>
      </w:pPr>
      <w:r>
        <w:t xml:space="preserve">The Fund will be implemented by UN Agencies. </w:t>
      </w:r>
      <w:r w:rsidR="00EE39D3">
        <w:t>Each implementing entity is programmatically and financially responsible for funds received in accordance with its own regulations, rules, policies and procedures, including those related to public procurement, as well as recruitment and evaluation of executing partners.</w:t>
      </w:r>
      <w:r w:rsidR="0097690A">
        <w:t xml:space="preserve"> Agencies will charge as indirect costs, seven percent (7%) of amounts received for project implementation.</w:t>
      </w:r>
    </w:p>
    <w:p w14:paraId="06A02BD4" w14:textId="4106B46D" w:rsidR="00B83473" w:rsidRDefault="00B83473" w:rsidP="00B83473">
      <w:pPr>
        <w:jc w:val="both"/>
      </w:pPr>
      <w:r>
        <w:t xml:space="preserve">Civil Society Organizations (CSOs) </w:t>
      </w:r>
      <w:r w:rsidRPr="00410FB6">
        <w:t xml:space="preserve">will be able to receive resources from the Fund </w:t>
      </w:r>
      <w:r>
        <w:t>though a Managing Agent (MA). This function can be performed by any of the UN entities signing the Fund MOU and as approved by the SC.</w:t>
      </w:r>
    </w:p>
    <w:p w14:paraId="7C2DDAAC" w14:textId="77777777" w:rsidR="00C20716" w:rsidRDefault="00C20716" w:rsidP="00C20716">
      <w:pPr>
        <w:pStyle w:val="Heading1"/>
        <w:numPr>
          <w:ilvl w:val="0"/>
          <w:numId w:val="7"/>
        </w:numPr>
        <w:rPr>
          <w:b/>
        </w:rPr>
      </w:pPr>
      <w:bookmarkStart w:id="17" w:name="_Toc443408927"/>
      <w:bookmarkStart w:id="18" w:name="_Toc39503335"/>
      <w:bookmarkStart w:id="19" w:name="_Toc28969905"/>
      <w:bookmarkStart w:id="20" w:name="_Toc38466422"/>
      <w:r>
        <w:rPr>
          <w:b/>
        </w:rPr>
        <w:t>Contributions</w:t>
      </w:r>
      <w:bookmarkEnd w:id="17"/>
      <w:bookmarkEnd w:id="18"/>
    </w:p>
    <w:p w14:paraId="062AF252" w14:textId="77777777" w:rsidR="00C20716" w:rsidRPr="009235AD" w:rsidRDefault="00C20716" w:rsidP="00C20716"/>
    <w:p w14:paraId="389EF4C1" w14:textId="77777777" w:rsidR="00C20716" w:rsidRPr="009235AD" w:rsidRDefault="00C20716" w:rsidP="00C20716">
      <w:pPr>
        <w:jc w:val="both"/>
      </w:pPr>
      <w:r w:rsidRPr="00796444">
        <w:t xml:space="preserve">Contributions to the Fund may be accepted from governments of Member States of the United Nations or from intergovernmental or non-governmental organizations, or from private sources. </w:t>
      </w:r>
      <w:r>
        <w:t xml:space="preserve">The Fund's resources will be used to finance or co-finance projects, programs and operations approved by the Fund's Steering Committee. As a general rule, the contributions will not be earmarked and will depend on the decisions of the Steering Committee, however contributors can earmark at window level. </w:t>
      </w:r>
    </w:p>
    <w:p w14:paraId="45205619" w14:textId="77777777" w:rsidR="00C20716" w:rsidRDefault="00C20716" w:rsidP="00C20716">
      <w:pPr>
        <w:jc w:val="both"/>
      </w:pPr>
      <w:r>
        <w:t xml:space="preserve">The Fund receives contributions in fully convertible currency or any other currency that can be readily used. Such contributions will be deposited to the bank account designated by the MPTFO. The value of the contributions, if made in a currency other than US dollars will be determined by applying the UN operational exchange type in effect of the date of payment. Profit or loss due to currency exchange rate is registered in the Fund's account set by the Administrative Agent and will be taken on by the Fund. </w:t>
      </w:r>
    </w:p>
    <w:p w14:paraId="7A4387E0" w14:textId="77777777" w:rsidR="004B7F36" w:rsidRPr="00CA7EAD" w:rsidRDefault="004B7F36" w:rsidP="00C20716">
      <w:pPr>
        <w:pStyle w:val="Heading1"/>
        <w:numPr>
          <w:ilvl w:val="0"/>
          <w:numId w:val="7"/>
        </w:numPr>
        <w:rPr>
          <w:b/>
        </w:rPr>
      </w:pPr>
      <w:bookmarkStart w:id="21" w:name="_Toc39503336"/>
      <w:r w:rsidRPr="00CA7EAD">
        <w:rPr>
          <w:b/>
        </w:rPr>
        <w:t>Pro</w:t>
      </w:r>
      <w:r>
        <w:rPr>
          <w:b/>
        </w:rPr>
        <w:t>ject</w:t>
      </w:r>
      <w:r w:rsidRPr="00CA7EAD">
        <w:rPr>
          <w:b/>
        </w:rPr>
        <w:t xml:space="preserve"> Approval Process</w:t>
      </w:r>
      <w:bookmarkEnd w:id="19"/>
      <w:bookmarkEnd w:id="20"/>
      <w:bookmarkEnd w:id="21"/>
    </w:p>
    <w:p w14:paraId="0BC0910B" w14:textId="77777777" w:rsidR="004B7F36" w:rsidRDefault="004B7F36" w:rsidP="004B7F36">
      <w:pPr>
        <w:spacing w:after="0" w:line="240" w:lineRule="auto"/>
        <w:jc w:val="both"/>
      </w:pPr>
    </w:p>
    <w:p w14:paraId="7588FF6D" w14:textId="1CC34418" w:rsidR="004B7F36" w:rsidRPr="00F23A20" w:rsidRDefault="004B7F36" w:rsidP="004B7F36">
      <w:pPr>
        <w:spacing w:after="0" w:line="240" w:lineRule="auto"/>
        <w:jc w:val="both"/>
      </w:pPr>
      <w:r w:rsidRPr="00F23A20">
        <w:t>Two types of project approval are proposed:</w:t>
      </w:r>
    </w:p>
    <w:p w14:paraId="23BBEDCA" w14:textId="77777777" w:rsidR="004B7F36" w:rsidRPr="00F23A20" w:rsidRDefault="004B7F36" w:rsidP="004B7F36">
      <w:pPr>
        <w:pStyle w:val="ListParagraph"/>
        <w:numPr>
          <w:ilvl w:val="0"/>
          <w:numId w:val="17"/>
        </w:numPr>
        <w:spacing w:after="0" w:line="240" w:lineRule="auto"/>
        <w:jc w:val="both"/>
        <w:rPr>
          <w:i/>
          <w:iCs/>
        </w:rPr>
      </w:pPr>
      <w:r w:rsidRPr="00F23A20">
        <w:rPr>
          <w:i/>
          <w:iCs/>
        </w:rPr>
        <w:t>Rapid cycle: the approval phases are shorter (total duration of maximum five days), to prioritize the approval of critical initiatives of short-term implementation.</w:t>
      </w:r>
    </w:p>
    <w:p w14:paraId="7B9E1527" w14:textId="77777777" w:rsidR="004B7F36" w:rsidRPr="00F23A20" w:rsidRDefault="004B7F36" w:rsidP="004B7F36">
      <w:pPr>
        <w:pStyle w:val="ListParagraph"/>
        <w:numPr>
          <w:ilvl w:val="0"/>
          <w:numId w:val="17"/>
        </w:numPr>
        <w:spacing w:after="0" w:line="240" w:lineRule="auto"/>
        <w:jc w:val="both"/>
      </w:pPr>
      <w:r w:rsidRPr="00F23A20">
        <w:t xml:space="preserve">Regular cycle: includes phases of project identification, presentation, and review.  </w:t>
      </w:r>
    </w:p>
    <w:p w14:paraId="7A9E70E6" w14:textId="77777777" w:rsidR="004B7F36" w:rsidRDefault="004B7F36" w:rsidP="004B7F36">
      <w:pPr>
        <w:pStyle w:val="ListParagraph"/>
        <w:spacing w:after="0" w:line="240" w:lineRule="auto"/>
        <w:jc w:val="both"/>
        <w:rPr>
          <w:i/>
          <w:iCs/>
        </w:rPr>
      </w:pPr>
    </w:p>
    <w:p w14:paraId="2B5E31F3" w14:textId="20B4928B" w:rsidR="004B7F36" w:rsidRDefault="00C20716" w:rsidP="004B7F36">
      <w:pPr>
        <w:pStyle w:val="Heading2"/>
        <w:spacing w:before="0"/>
        <w:jc w:val="both"/>
      </w:pPr>
      <w:bookmarkStart w:id="22" w:name="_Toc516775597"/>
      <w:bookmarkStart w:id="23" w:name="_Toc28969910"/>
      <w:bookmarkStart w:id="24" w:name="_Toc38466427"/>
      <w:bookmarkStart w:id="25" w:name="_Toc39503337"/>
      <w:r>
        <w:t>6</w:t>
      </w:r>
      <w:r w:rsidR="004B7F36">
        <w:t>.1. Rapid cycle</w:t>
      </w:r>
      <w:bookmarkEnd w:id="22"/>
      <w:bookmarkEnd w:id="23"/>
      <w:bookmarkEnd w:id="24"/>
      <w:bookmarkEnd w:id="25"/>
    </w:p>
    <w:p w14:paraId="57AEFDA2" w14:textId="77777777" w:rsidR="004B7F36" w:rsidRPr="007139FE" w:rsidRDefault="004B7F36" w:rsidP="004B7F36"/>
    <w:p w14:paraId="6F451F31" w14:textId="37CFCAA2" w:rsidR="004B7F36" w:rsidRDefault="004B7F36" w:rsidP="004B7F36">
      <w:pPr>
        <w:spacing w:after="0"/>
        <w:jc w:val="both"/>
      </w:pPr>
      <w:r>
        <w:t xml:space="preserve">The Implementing Entity submits the project document to the Secretariat.  The Secretariat </w:t>
      </w:r>
      <w:r w:rsidRPr="00F23A20">
        <w:t>convenes the corresponding T</w:t>
      </w:r>
      <w:r w:rsidR="003F4198">
        <w:t xml:space="preserve">hematic </w:t>
      </w:r>
      <w:r w:rsidRPr="00F23A20">
        <w:t>W</w:t>
      </w:r>
      <w:r w:rsidR="003F4198">
        <w:t xml:space="preserve">orking </w:t>
      </w:r>
      <w:r w:rsidRPr="00F23A20">
        <w:t>G</w:t>
      </w:r>
      <w:r w:rsidR="003F4198">
        <w:t>roup</w:t>
      </w:r>
      <w:r w:rsidRPr="00F23A20">
        <w:t xml:space="preserve"> depending on its category, to review virtually the proposal within no more than 48 hours at the end of which the project shall be deemed approved on a no-objection basis.  Once the project </w:t>
      </w:r>
      <w:r>
        <w:t xml:space="preserve">document is endorsed by the TWG and the technical sheet is prepared by the Secretariat (within no more than 2 working days) the Secretariat will circulate these documents to the </w:t>
      </w:r>
      <w:r>
        <w:rPr>
          <w:lang w:val="en-GB"/>
        </w:rPr>
        <w:t>SC</w:t>
      </w:r>
      <w:r>
        <w:t xml:space="preserve"> which will meet in person or virtually to make decisions on the project and resource allocation. The funds transfer follows the same process as the regular cycle.</w:t>
      </w:r>
    </w:p>
    <w:p w14:paraId="49CA97DB" w14:textId="77777777" w:rsidR="004B7F36" w:rsidRDefault="004B7F36" w:rsidP="004B7F36">
      <w:pPr>
        <w:spacing w:after="0" w:line="240" w:lineRule="auto"/>
        <w:jc w:val="both"/>
      </w:pPr>
    </w:p>
    <w:p w14:paraId="7C308C8A" w14:textId="3B2575D2" w:rsidR="004B7F36" w:rsidRDefault="004B7F36" w:rsidP="004B7F36">
      <w:pPr>
        <w:spacing w:after="0" w:line="240" w:lineRule="auto"/>
        <w:jc w:val="both"/>
      </w:pPr>
      <w:r>
        <w:t xml:space="preserve">This rapid cycle will be used when the </w:t>
      </w:r>
      <w:r>
        <w:rPr>
          <w:lang w:val="en-GB"/>
        </w:rPr>
        <w:t>SC</w:t>
      </w:r>
      <w:r>
        <w:t xml:space="preserve"> considers necessary for emergency interventions.</w:t>
      </w:r>
    </w:p>
    <w:p w14:paraId="6D8C7E1F" w14:textId="77777777" w:rsidR="004B7F36" w:rsidRPr="00F23A20" w:rsidRDefault="004B7F36" w:rsidP="004B7F36">
      <w:pPr>
        <w:pStyle w:val="ListParagraph"/>
        <w:spacing w:after="0" w:line="240" w:lineRule="auto"/>
        <w:jc w:val="both"/>
        <w:rPr>
          <w:i/>
          <w:iCs/>
        </w:rPr>
      </w:pPr>
    </w:p>
    <w:p w14:paraId="41CF4BFF" w14:textId="5DA15C1E" w:rsidR="004B7F36" w:rsidRDefault="00C20716" w:rsidP="004B7F36">
      <w:pPr>
        <w:pStyle w:val="Heading2"/>
        <w:spacing w:before="0"/>
        <w:jc w:val="both"/>
      </w:pPr>
      <w:bookmarkStart w:id="26" w:name="_Toc516775593"/>
      <w:bookmarkStart w:id="27" w:name="_Toc28969906"/>
      <w:bookmarkStart w:id="28" w:name="_Toc38466423"/>
      <w:bookmarkStart w:id="29" w:name="_Toc39503338"/>
      <w:r>
        <w:lastRenderedPageBreak/>
        <w:t>6</w:t>
      </w:r>
      <w:r w:rsidR="004B7F36">
        <w:t>.2. Regular cycle</w:t>
      </w:r>
      <w:bookmarkEnd w:id="26"/>
      <w:bookmarkEnd w:id="27"/>
      <w:bookmarkEnd w:id="28"/>
      <w:bookmarkEnd w:id="29"/>
    </w:p>
    <w:p w14:paraId="48A33C4B" w14:textId="4D45AB45" w:rsidR="004B7F36" w:rsidRDefault="004B7F36" w:rsidP="004B7F36">
      <w:pPr>
        <w:pStyle w:val="Heading3"/>
        <w:spacing w:before="0"/>
        <w:jc w:val="both"/>
      </w:pPr>
      <w:r>
        <w:br/>
      </w:r>
      <w:bookmarkStart w:id="30" w:name="_Toc516775594"/>
      <w:bookmarkStart w:id="31" w:name="_Toc28969907"/>
      <w:bookmarkStart w:id="32" w:name="_Toc38466424"/>
      <w:bookmarkStart w:id="33" w:name="_Toc39503339"/>
      <w:r w:rsidR="00C20716">
        <w:t>6</w:t>
      </w:r>
      <w:r>
        <w:t>.1.1 Project identification, design and submission</w:t>
      </w:r>
      <w:bookmarkEnd w:id="30"/>
      <w:bookmarkEnd w:id="31"/>
      <w:bookmarkEnd w:id="32"/>
      <w:bookmarkEnd w:id="33"/>
    </w:p>
    <w:p w14:paraId="575721A7" w14:textId="629F40F3" w:rsidR="004B7F36" w:rsidRPr="00F23A20" w:rsidRDefault="00F0595A" w:rsidP="004B7F36">
      <w:pPr>
        <w:spacing w:line="240" w:lineRule="auto"/>
        <w:jc w:val="both"/>
      </w:pPr>
      <w:r>
        <w:t>For the Emergency Window</w:t>
      </w:r>
      <w:r w:rsidR="004B7F36">
        <w:t xml:space="preserve">, projects will be </w:t>
      </w:r>
      <w:r w:rsidR="004B7F36" w:rsidRPr="00F23A20">
        <w:t>developed based on a request from the SC and in accordance with projects in the UN Emergency Appeal. Projects are then reviewed by the Secretariat and the relevant TWG before being presented for approval to the SC, which can be done electronically and on a non-</w:t>
      </w:r>
      <w:r w:rsidR="004B7F36" w:rsidRPr="00F23A20">
        <w:rPr>
          <w:i/>
          <w:iCs/>
        </w:rPr>
        <w:t>objection basis within 72 hours of submission</w:t>
      </w:r>
      <w:r w:rsidR="004B7F36" w:rsidRPr="00F23A20">
        <w:t>.</w:t>
      </w:r>
    </w:p>
    <w:p w14:paraId="44B2E513" w14:textId="2FA43A73" w:rsidR="004B7F36" w:rsidRPr="006F11C4" w:rsidRDefault="004B7F36" w:rsidP="004B7F36">
      <w:pPr>
        <w:spacing w:after="0"/>
        <w:jc w:val="both"/>
      </w:pPr>
      <w:r w:rsidRPr="00F23A20">
        <w:t xml:space="preserve">Projects are identified in the UN Emergency Appeal across six thematic areas and are designed with the 8 weeks and 6 months’ timeframes. In the cases of newly </w:t>
      </w:r>
      <w:r>
        <w:t>developed projects outside of the UN Emergency Appeal, their development will be ensured through n</w:t>
      </w:r>
      <w:r w:rsidRPr="006F11C4">
        <w:t>eeds analysis that can be done at level</w:t>
      </w:r>
      <w:r>
        <w:t xml:space="preserve"> of TWGs.  S</w:t>
      </w:r>
      <w:r w:rsidRPr="006F11C4">
        <w:t xml:space="preserve">uch projects </w:t>
      </w:r>
      <w:r>
        <w:t xml:space="preserve">should be aligned to the “UN Emergency Appeal for Response to Covid-19 and its Impacts” priority areas. The SC and the TWG will be supported by the Secretariat in the identification of priorities and needs. </w:t>
      </w:r>
    </w:p>
    <w:p w14:paraId="1E0AE8D7" w14:textId="77777777" w:rsidR="004B7F36" w:rsidRDefault="004B7F36" w:rsidP="004B7F36">
      <w:pPr>
        <w:pStyle w:val="Body"/>
        <w:jc w:val="both"/>
        <w:rPr>
          <w:rFonts w:ascii="Calibri" w:hAnsi="Calibri"/>
          <w:bCs/>
          <w:color w:val="00000A"/>
          <w:sz w:val="22"/>
          <w:szCs w:val="22"/>
          <w:lang w:val="en-GB"/>
        </w:rPr>
      </w:pPr>
    </w:p>
    <w:p w14:paraId="239338E7" w14:textId="77777777" w:rsidR="004B7F36" w:rsidRPr="009A3FEB" w:rsidRDefault="004B7F36" w:rsidP="004B7F36">
      <w:pPr>
        <w:pStyle w:val="Body"/>
        <w:jc w:val="both"/>
        <w:rPr>
          <w:rFonts w:ascii="Calibri" w:hAnsi="Calibri"/>
          <w:bCs/>
          <w:color w:val="00000A"/>
          <w:sz w:val="22"/>
          <w:szCs w:val="22"/>
          <w:lang w:val="en-GB"/>
        </w:rPr>
      </w:pPr>
      <w:r w:rsidRPr="009A3FEB">
        <w:rPr>
          <w:rFonts w:ascii="Calibri" w:hAnsi="Calibri"/>
          <w:bCs/>
          <w:color w:val="00000A"/>
          <w:sz w:val="22"/>
          <w:szCs w:val="22"/>
          <w:lang w:val="en-GB"/>
        </w:rPr>
        <w:t xml:space="preserve">Two project </w:t>
      </w:r>
      <w:r>
        <w:rPr>
          <w:rFonts w:ascii="Calibri" w:hAnsi="Calibri"/>
          <w:bCs/>
          <w:color w:val="00000A"/>
          <w:sz w:val="22"/>
          <w:szCs w:val="22"/>
          <w:lang w:val="en-GB"/>
        </w:rPr>
        <w:t>submission</w:t>
      </w:r>
      <w:r w:rsidRPr="009A3FEB">
        <w:rPr>
          <w:rFonts w:ascii="Calibri" w:hAnsi="Calibri"/>
          <w:bCs/>
          <w:color w:val="00000A"/>
          <w:sz w:val="22"/>
          <w:szCs w:val="22"/>
          <w:lang w:val="en-GB"/>
        </w:rPr>
        <w:t xml:space="preserve"> processes are foreseen: </w:t>
      </w:r>
      <w:r>
        <w:rPr>
          <w:rFonts w:ascii="Calibri" w:hAnsi="Calibri"/>
          <w:bCs/>
          <w:color w:val="00000A"/>
          <w:sz w:val="22"/>
          <w:szCs w:val="22"/>
          <w:lang w:val="en-GB"/>
        </w:rPr>
        <w:t xml:space="preserve"> </w:t>
      </w:r>
      <w:r>
        <w:rPr>
          <w:rFonts w:ascii="Calibri" w:hAnsi="Calibri"/>
          <w:sz w:val="22"/>
          <w:szCs w:val="22"/>
          <w:lang w:val="en-GB"/>
        </w:rPr>
        <w:t>D</w:t>
      </w:r>
      <w:r w:rsidRPr="009A3FEB">
        <w:rPr>
          <w:rFonts w:ascii="Calibri" w:hAnsi="Calibri"/>
          <w:sz w:val="22"/>
          <w:szCs w:val="22"/>
          <w:lang w:val="en-GB"/>
        </w:rPr>
        <w:t xml:space="preserve">irect submission </w:t>
      </w:r>
      <w:r>
        <w:rPr>
          <w:rFonts w:ascii="Calibri" w:hAnsi="Calibri"/>
          <w:sz w:val="22"/>
          <w:szCs w:val="22"/>
          <w:lang w:val="en-GB"/>
        </w:rPr>
        <w:t xml:space="preserve">and </w:t>
      </w:r>
      <w:r w:rsidRPr="009A3FEB">
        <w:rPr>
          <w:rFonts w:ascii="Calibri" w:hAnsi="Calibri"/>
          <w:sz w:val="22"/>
          <w:szCs w:val="22"/>
          <w:lang w:val="en-GB"/>
        </w:rPr>
        <w:t>Call for proposals</w:t>
      </w:r>
      <w:r>
        <w:rPr>
          <w:rFonts w:ascii="Calibri" w:hAnsi="Calibri"/>
          <w:sz w:val="22"/>
          <w:szCs w:val="22"/>
          <w:lang w:val="en-GB"/>
        </w:rPr>
        <w:t>.</w:t>
      </w:r>
      <w:r w:rsidRPr="009A3FEB">
        <w:rPr>
          <w:rFonts w:ascii="Calibri" w:hAnsi="Calibri"/>
          <w:sz w:val="22"/>
          <w:szCs w:val="22"/>
          <w:lang w:val="en-GB"/>
        </w:rPr>
        <w:t xml:space="preserve"> </w:t>
      </w:r>
    </w:p>
    <w:p w14:paraId="61FAC39E" w14:textId="1E295783" w:rsidR="004B7F36" w:rsidRPr="009462C1" w:rsidRDefault="004B7F36" w:rsidP="004B7F36">
      <w:pPr>
        <w:pStyle w:val="Body"/>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olor w:val="auto"/>
          <w:sz w:val="22"/>
          <w:szCs w:val="22"/>
          <w:lang w:val="en-GB"/>
        </w:rPr>
      </w:pPr>
      <w:r w:rsidRPr="009A3FEB">
        <w:rPr>
          <w:rFonts w:ascii="Calibri" w:hAnsi="Calibri"/>
          <w:bCs/>
          <w:color w:val="00000A"/>
          <w:sz w:val="22"/>
          <w:szCs w:val="22"/>
          <w:lang w:val="en-GB"/>
        </w:rPr>
        <w:t xml:space="preserve">Direct submission of projects: </w:t>
      </w:r>
      <w:r>
        <w:rPr>
          <w:rFonts w:ascii="Calibri" w:hAnsi="Calibri"/>
          <w:bCs/>
          <w:color w:val="00000A"/>
          <w:sz w:val="22"/>
          <w:szCs w:val="22"/>
          <w:lang w:val="en-GB"/>
        </w:rPr>
        <w:t xml:space="preserve">Based on SC directives, prioritizations and consultations, the </w:t>
      </w:r>
      <w:r>
        <w:rPr>
          <w:rFonts w:asciiTheme="minorHAnsi" w:hAnsiTheme="minorHAnsi"/>
          <w:sz w:val="22"/>
          <w:szCs w:val="22"/>
          <w:lang w:val="en-GB"/>
        </w:rPr>
        <w:t>Implementing Agencies may be directly invited to present project proposals to the Secretariat</w:t>
      </w:r>
      <w:r w:rsidRPr="009A3FEB">
        <w:rPr>
          <w:rFonts w:ascii="Calibri" w:hAnsi="Calibri"/>
          <w:bCs/>
          <w:color w:val="00000A"/>
          <w:sz w:val="22"/>
          <w:szCs w:val="22"/>
          <w:lang w:val="en-GB"/>
        </w:rPr>
        <w:t>.</w:t>
      </w:r>
    </w:p>
    <w:p w14:paraId="6C2F6C19" w14:textId="77777777" w:rsidR="004B7F36" w:rsidRPr="009462C1" w:rsidRDefault="004B7F36" w:rsidP="004B7F36">
      <w:pPr>
        <w:pStyle w:val="Body"/>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olor w:val="auto"/>
          <w:sz w:val="22"/>
          <w:szCs w:val="22"/>
          <w:lang w:val="en-GB"/>
        </w:rPr>
      </w:pPr>
      <w:r w:rsidRPr="009A3FEB">
        <w:rPr>
          <w:rFonts w:ascii="Calibri" w:hAnsi="Calibri"/>
          <w:sz w:val="22"/>
          <w:szCs w:val="22"/>
          <w:lang w:val="en-GB"/>
        </w:rPr>
        <w:t>Calls for proposals</w:t>
      </w:r>
      <w:r w:rsidRPr="009A3FEB">
        <w:rPr>
          <w:rFonts w:ascii="Calibri" w:hAnsi="Calibri"/>
          <w:bCs/>
          <w:color w:val="00000A"/>
          <w:sz w:val="22"/>
          <w:szCs w:val="22"/>
          <w:lang w:val="en-GB"/>
        </w:rPr>
        <w:t xml:space="preserve">: The </w:t>
      </w:r>
      <w:r>
        <w:rPr>
          <w:rFonts w:ascii="Calibri" w:hAnsi="Calibri"/>
          <w:bCs/>
          <w:color w:val="00000A"/>
          <w:sz w:val="22"/>
          <w:szCs w:val="22"/>
          <w:lang w:val="en-GB"/>
        </w:rPr>
        <w:t>Secretariat</w:t>
      </w:r>
      <w:r w:rsidRPr="009A3FEB">
        <w:rPr>
          <w:rFonts w:ascii="Calibri" w:hAnsi="Calibri"/>
          <w:bCs/>
          <w:color w:val="00000A"/>
          <w:sz w:val="22"/>
          <w:szCs w:val="22"/>
          <w:lang w:val="en-GB"/>
        </w:rPr>
        <w:t xml:space="preserve">, based on </w:t>
      </w:r>
      <w:r>
        <w:rPr>
          <w:rFonts w:ascii="Calibri" w:hAnsi="Calibri"/>
          <w:bCs/>
          <w:color w:val="00000A"/>
          <w:sz w:val="22"/>
          <w:szCs w:val="22"/>
          <w:lang w:val="en-GB"/>
        </w:rPr>
        <w:t>EWSC’s</w:t>
      </w:r>
      <w:r w:rsidRPr="009A3FEB">
        <w:rPr>
          <w:rFonts w:ascii="Calibri" w:hAnsi="Calibri"/>
          <w:bCs/>
          <w:color w:val="00000A"/>
          <w:sz w:val="22"/>
          <w:szCs w:val="22"/>
          <w:lang w:val="en-GB"/>
        </w:rPr>
        <w:t xml:space="preserve"> decisions, will request implementing entities to submit project proposals. The call will specify the requirements for submitting a proposal. </w:t>
      </w:r>
    </w:p>
    <w:p w14:paraId="7252E3E7" w14:textId="77777777" w:rsidR="004B7F36" w:rsidRDefault="004B7F36" w:rsidP="004B7F36">
      <w:pPr>
        <w:spacing w:after="0"/>
        <w:jc w:val="both"/>
      </w:pPr>
    </w:p>
    <w:p w14:paraId="70FE199D" w14:textId="77777777" w:rsidR="004B7F36" w:rsidRPr="009462C1" w:rsidRDefault="004B7F36" w:rsidP="004B7F36">
      <w:pPr>
        <w:spacing w:after="0"/>
        <w:jc w:val="both"/>
      </w:pPr>
      <w:r>
        <w:t xml:space="preserve">Prior to the Project Development, the implementing agencies will present a concept note to the relevant TWG through the Secretariat for validation. This is to ensure that prior to developing the full-fledged project proposal it is aligned to the relevant strategy and priorities and is within the funding range set by the EWSC for the respective Thematic Area. </w:t>
      </w:r>
    </w:p>
    <w:p w14:paraId="5F29903F" w14:textId="77777777" w:rsidR="004B7F36" w:rsidRDefault="004B7F36" w:rsidP="004B7F36">
      <w:pPr>
        <w:spacing w:after="0"/>
        <w:jc w:val="both"/>
      </w:pPr>
    </w:p>
    <w:p w14:paraId="588FB699" w14:textId="77777777" w:rsidR="004B7F36" w:rsidRDefault="004B7F36" w:rsidP="004B7F36">
      <w:pPr>
        <w:spacing w:after="0"/>
        <w:jc w:val="both"/>
      </w:pPr>
      <w:r>
        <w:t xml:space="preserve">The design of the projects will be the responsibility of the Implementing Agencies.  </w:t>
      </w:r>
      <w:r w:rsidRPr="006B0776">
        <w:rPr>
          <w:lang w:val="en-GB"/>
        </w:rPr>
        <w:t xml:space="preserve">The design of projects or programs shall be consistent with the </w:t>
      </w:r>
      <w:r>
        <w:rPr>
          <w:lang w:val="en-GB"/>
        </w:rPr>
        <w:t xml:space="preserve">programmatic parameters established in the Emergency Window Strategic Framework. </w:t>
      </w:r>
      <w:r w:rsidRPr="009462C1">
        <w:t>The minimum requirement for project proposals should be: the key expected results and indicators, activities, ind</w:t>
      </w:r>
      <w:r>
        <w:t>icative budget, a risk analysis,</w:t>
      </w:r>
      <w:r w:rsidRPr="009462C1">
        <w:t xml:space="preserve"> proposed implementing partners and geographical scope.</w:t>
      </w:r>
    </w:p>
    <w:p w14:paraId="1C5CF323" w14:textId="77777777" w:rsidR="004B7F36" w:rsidRDefault="004B7F36" w:rsidP="004B7F36">
      <w:pPr>
        <w:pStyle w:val="Heading3"/>
        <w:spacing w:before="0"/>
        <w:jc w:val="both"/>
      </w:pPr>
      <w:bookmarkStart w:id="34" w:name="_Toc516775595"/>
    </w:p>
    <w:p w14:paraId="34E83A3E" w14:textId="147A5FC6" w:rsidR="004B7F36" w:rsidRPr="00C14AF3" w:rsidRDefault="00C20716" w:rsidP="004B7F36">
      <w:pPr>
        <w:pStyle w:val="Heading3"/>
        <w:spacing w:before="0"/>
        <w:jc w:val="both"/>
      </w:pPr>
      <w:bookmarkStart w:id="35" w:name="_Toc28969908"/>
      <w:bookmarkStart w:id="36" w:name="_Toc38466425"/>
      <w:bookmarkStart w:id="37" w:name="_Toc39503340"/>
      <w:r>
        <w:t>6</w:t>
      </w:r>
      <w:r w:rsidR="004B7F36">
        <w:t>.1.2. Review of Projects</w:t>
      </w:r>
      <w:bookmarkEnd w:id="34"/>
      <w:bookmarkEnd w:id="35"/>
      <w:bookmarkEnd w:id="36"/>
      <w:bookmarkEnd w:id="37"/>
    </w:p>
    <w:p w14:paraId="4C0F1CA9" w14:textId="16C1147D" w:rsidR="004B7F36" w:rsidRDefault="004B7F36" w:rsidP="004B7F36">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hAnsi="Calibri"/>
          <w:bCs/>
          <w:color w:val="00000A"/>
          <w:sz w:val="22"/>
          <w:szCs w:val="22"/>
          <w:lang w:val="en-GB"/>
        </w:rPr>
      </w:pPr>
      <w:r w:rsidRPr="00B21B9E">
        <w:rPr>
          <w:rFonts w:asciiTheme="minorHAnsi" w:eastAsiaTheme="minorHAnsi" w:hAnsiTheme="minorHAnsi" w:cstheme="minorBidi"/>
          <w:color w:val="auto"/>
          <w:sz w:val="22"/>
          <w:szCs w:val="22"/>
          <w:bdr w:val="none" w:sz="0" w:space="0" w:color="auto"/>
          <w:lang w:bidi="en-US"/>
        </w:rPr>
        <w:t>The Secretariat with the</w:t>
      </w:r>
      <w:r w:rsidRPr="009B2B7F">
        <w:rPr>
          <w:rFonts w:ascii="Calibri" w:hAnsi="Calibri"/>
          <w:bCs/>
          <w:color w:val="00000A"/>
          <w:sz w:val="22"/>
          <w:szCs w:val="22"/>
          <w:lang w:val="en-GB"/>
        </w:rPr>
        <w:t xml:space="preserve"> support of relevant </w:t>
      </w:r>
      <w:r>
        <w:rPr>
          <w:rFonts w:ascii="Calibri" w:hAnsi="Calibri"/>
          <w:bCs/>
          <w:color w:val="00000A"/>
          <w:sz w:val="22"/>
          <w:szCs w:val="22"/>
          <w:lang w:val="en-GB"/>
        </w:rPr>
        <w:t>thematic area</w:t>
      </w:r>
      <w:r w:rsidRPr="009B2B7F">
        <w:rPr>
          <w:rFonts w:ascii="Calibri" w:hAnsi="Calibri"/>
          <w:bCs/>
          <w:color w:val="00000A"/>
          <w:sz w:val="22"/>
          <w:szCs w:val="22"/>
          <w:lang w:val="en-GB"/>
        </w:rPr>
        <w:t xml:space="preserve"> specialists will conduct a</w:t>
      </w:r>
      <w:r>
        <w:rPr>
          <w:rFonts w:ascii="Calibri" w:hAnsi="Calibri"/>
          <w:bCs/>
          <w:color w:val="00000A"/>
          <w:sz w:val="22"/>
          <w:szCs w:val="22"/>
          <w:lang w:val="en-GB"/>
        </w:rPr>
        <w:t xml:space="preserve">n </w:t>
      </w:r>
      <w:r w:rsidRPr="009B2B7F">
        <w:rPr>
          <w:rFonts w:ascii="Calibri" w:hAnsi="Calibri"/>
          <w:bCs/>
          <w:color w:val="00000A"/>
          <w:sz w:val="22"/>
          <w:szCs w:val="22"/>
          <w:lang w:val="en-GB"/>
        </w:rPr>
        <w:t xml:space="preserve">assessment of the project proposals. </w:t>
      </w:r>
    </w:p>
    <w:p w14:paraId="7ACB6BD0" w14:textId="77777777" w:rsidR="004B7F36" w:rsidRDefault="004B7F36" w:rsidP="004B7F36">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hAnsi="Calibri"/>
          <w:bCs/>
          <w:color w:val="00000A"/>
          <w:sz w:val="22"/>
          <w:szCs w:val="22"/>
          <w:lang w:val="en-GB"/>
        </w:rPr>
      </w:pPr>
    </w:p>
    <w:p w14:paraId="68F40465" w14:textId="77777777" w:rsidR="004B7F36" w:rsidRDefault="004B7F36" w:rsidP="004B7F36">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hAnsi="Calibri"/>
          <w:bCs/>
          <w:color w:val="00000A"/>
          <w:sz w:val="22"/>
          <w:szCs w:val="22"/>
          <w:lang w:val="en-GB"/>
        </w:rPr>
      </w:pPr>
      <w:r>
        <w:rPr>
          <w:rFonts w:ascii="Calibri" w:hAnsi="Calibri"/>
          <w:bCs/>
          <w:color w:val="00000A"/>
          <w:sz w:val="22"/>
          <w:szCs w:val="22"/>
          <w:lang w:val="en-GB"/>
        </w:rPr>
        <w:t>The assessment is divided in 2 reviews:</w:t>
      </w:r>
    </w:p>
    <w:p w14:paraId="74597E04" w14:textId="77777777" w:rsidR="004B7F36" w:rsidRDefault="004B7F36" w:rsidP="004B7F36">
      <w:pPr>
        <w:pStyle w:val="Body"/>
        <w:suppressAutoHyphens/>
        <w:jc w:val="both"/>
        <w:rPr>
          <w:rFonts w:ascii="Calibri" w:hAnsi="Calibri"/>
          <w:bCs/>
          <w:color w:val="00000A"/>
          <w:sz w:val="22"/>
          <w:szCs w:val="22"/>
          <w:lang w:val="en-GB"/>
        </w:rPr>
      </w:pPr>
    </w:p>
    <w:p w14:paraId="28444BCD" w14:textId="77777777" w:rsidR="004B7F36" w:rsidRPr="00E93620" w:rsidRDefault="004B7F36" w:rsidP="004B7F36">
      <w:pPr>
        <w:pStyle w:val="Body"/>
        <w:numPr>
          <w:ilvl w:val="0"/>
          <w:numId w:val="16"/>
        </w:numPr>
        <w:suppressAutoHyphens/>
        <w:jc w:val="both"/>
        <w:rPr>
          <w:rFonts w:ascii="Calibri" w:hAnsi="Calibri"/>
          <w:bCs/>
          <w:color w:val="00000A"/>
          <w:sz w:val="22"/>
          <w:szCs w:val="22"/>
          <w:lang w:val="en-GB"/>
        </w:rPr>
      </w:pPr>
      <w:r w:rsidRPr="00610361">
        <w:rPr>
          <w:rFonts w:asciiTheme="minorHAnsi" w:hAnsiTheme="minorHAnsi" w:cstheme="minorHAnsi"/>
          <w:sz w:val="22"/>
          <w:szCs w:val="22"/>
        </w:rPr>
        <w:t>Secretariat</w:t>
      </w:r>
      <w:r w:rsidRPr="00610361">
        <w:rPr>
          <w:rFonts w:asciiTheme="minorHAnsi" w:hAnsiTheme="minorHAnsi" w:cstheme="minorHAnsi"/>
          <w:bCs/>
          <w:color w:val="00000A"/>
          <w:sz w:val="22"/>
          <w:szCs w:val="22"/>
          <w:lang w:val="en-GB"/>
        </w:rPr>
        <w:t xml:space="preserve"> </w:t>
      </w:r>
      <w:r>
        <w:rPr>
          <w:rFonts w:ascii="Calibri" w:hAnsi="Calibri"/>
          <w:bCs/>
          <w:color w:val="00000A"/>
          <w:sz w:val="22"/>
          <w:szCs w:val="22"/>
          <w:lang w:val="en-GB"/>
        </w:rPr>
        <w:t>Review</w:t>
      </w:r>
    </w:p>
    <w:p w14:paraId="5F1CC41F" w14:textId="77777777" w:rsidR="004B7F36" w:rsidRPr="00F23A20" w:rsidRDefault="004B7F36" w:rsidP="004B7F36">
      <w:pPr>
        <w:pStyle w:val="Body"/>
        <w:suppressAutoHyphens/>
        <w:jc w:val="both"/>
        <w:rPr>
          <w:rFonts w:ascii="Calibri" w:hAnsi="Calibri"/>
          <w:bCs/>
          <w:color w:val="auto"/>
          <w:sz w:val="22"/>
          <w:szCs w:val="22"/>
          <w:lang w:val="en-GB"/>
        </w:rPr>
      </w:pPr>
      <w:r w:rsidRPr="00127B8E">
        <w:rPr>
          <w:rFonts w:ascii="Calibri" w:hAnsi="Calibri"/>
          <w:bCs/>
          <w:color w:val="00000A"/>
          <w:sz w:val="22"/>
          <w:szCs w:val="22"/>
          <w:lang w:val="en-GB"/>
        </w:rPr>
        <w:t xml:space="preserve">This review will ensure the administrative completeness of the submission and </w:t>
      </w:r>
      <w:r w:rsidRPr="00F23A20">
        <w:rPr>
          <w:rFonts w:ascii="Calibri" w:hAnsi="Calibri"/>
          <w:bCs/>
          <w:color w:val="auto"/>
          <w:sz w:val="22"/>
          <w:szCs w:val="22"/>
          <w:lang w:val="en-GB"/>
        </w:rPr>
        <w:t>will be done within one day of the receipt of the proposal. The administrative review includes: (i) format, (ii) supporting documents, (iii) budget, and (iv) general value for money assessment.</w:t>
      </w:r>
    </w:p>
    <w:p w14:paraId="6D9CD27E" w14:textId="77777777" w:rsidR="004B7F36" w:rsidRPr="00F23A20" w:rsidRDefault="004B7F36" w:rsidP="004B7F36">
      <w:pPr>
        <w:pStyle w:val="Body"/>
        <w:suppressAutoHyphens/>
        <w:jc w:val="both"/>
        <w:rPr>
          <w:rFonts w:ascii="Calibri" w:hAnsi="Calibri"/>
          <w:bCs/>
          <w:color w:val="auto"/>
          <w:sz w:val="22"/>
          <w:szCs w:val="22"/>
          <w:lang w:val="en-GB"/>
        </w:rPr>
      </w:pPr>
    </w:p>
    <w:p w14:paraId="344427EE" w14:textId="498E80C0" w:rsidR="004B7F36" w:rsidRPr="00F23A20" w:rsidRDefault="004B7F36" w:rsidP="004B7F36">
      <w:pPr>
        <w:pStyle w:val="Body"/>
        <w:numPr>
          <w:ilvl w:val="0"/>
          <w:numId w:val="16"/>
        </w:numPr>
        <w:suppressAutoHyphens/>
        <w:jc w:val="both"/>
        <w:rPr>
          <w:rFonts w:ascii="Calibri" w:hAnsi="Calibri"/>
          <w:bCs/>
          <w:color w:val="auto"/>
          <w:sz w:val="22"/>
          <w:szCs w:val="22"/>
          <w:lang w:val="en-GB"/>
        </w:rPr>
      </w:pPr>
      <w:r w:rsidRPr="00F23A20">
        <w:rPr>
          <w:rFonts w:ascii="Calibri" w:hAnsi="Calibri"/>
          <w:bCs/>
          <w:color w:val="auto"/>
          <w:sz w:val="22"/>
          <w:szCs w:val="22"/>
          <w:lang w:val="en-GB"/>
        </w:rPr>
        <w:t>TWG Review</w:t>
      </w:r>
    </w:p>
    <w:p w14:paraId="35BCAE8D" w14:textId="4CAA73E3" w:rsidR="004B7F36" w:rsidRPr="00F23A20" w:rsidRDefault="004B7F36" w:rsidP="004B7F36">
      <w:pPr>
        <w:spacing w:after="0"/>
        <w:jc w:val="both"/>
        <w:rPr>
          <w:lang w:val="en-GB"/>
        </w:rPr>
      </w:pPr>
      <w:r w:rsidRPr="00F23A20">
        <w:rPr>
          <w:rFonts w:ascii="Calibri" w:hAnsi="Calibri"/>
          <w:bCs/>
          <w:lang w:val="en-GB"/>
        </w:rPr>
        <w:t xml:space="preserve">Proposals are then transmitted by the </w:t>
      </w:r>
      <w:r w:rsidRPr="00F23A20">
        <w:t>Secretariat</w:t>
      </w:r>
      <w:r w:rsidRPr="00F23A20">
        <w:rPr>
          <w:rFonts w:ascii="Calibri" w:hAnsi="Calibri"/>
          <w:bCs/>
          <w:lang w:val="en-GB"/>
        </w:rPr>
        <w:t xml:space="preserve"> to the relevant TWG for a technical assessment. </w:t>
      </w:r>
      <w:r w:rsidRPr="00F23A20">
        <w:t xml:space="preserve">The </w:t>
      </w:r>
      <w:r w:rsidRPr="00F23A20">
        <w:rPr>
          <w:rFonts w:ascii="Calibri" w:hAnsi="Calibri"/>
          <w:bCs/>
          <w:lang w:val="en-GB"/>
        </w:rPr>
        <w:t xml:space="preserve">TAWG </w:t>
      </w:r>
      <w:r w:rsidRPr="00F23A20">
        <w:t xml:space="preserve">conducts the program-related quality control of the proposal and ensures alignment, coordination </w:t>
      </w:r>
      <w:r w:rsidRPr="00F23A20">
        <w:lastRenderedPageBreak/>
        <w:t xml:space="preserve">and prioritization of the intervention in the relevant Thematic Area, including gender equality and environmental management. The review completed within 48 hours ensures that programs that are subject to the approval of the </w:t>
      </w:r>
      <w:r w:rsidRPr="00F23A20">
        <w:rPr>
          <w:lang w:val="en-GB"/>
        </w:rPr>
        <w:t>SC</w:t>
      </w:r>
      <w:r w:rsidRPr="00F23A20">
        <w:t xml:space="preserve"> are aligned to priorities and needs of the relevant strategies, coordinated with existent and foreseen activities, and developed in consultation with relevant actors. </w:t>
      </w:r>
    </w:p>
    <w:p w14:paraId="22812FF1" w14:textId="77777777" w:rsidR="004B7F36" w:rsidRPr="00F23A20" w:rsidRDefault="004B7F36" w:rsidP="004B7F36">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hAnsi="Calibri"/>
          <w:bCs/>
          <w:color w:val="auto"/>
          <w:sz w:val="22"/>
          <w:szCs w:val="22"/>
          <w:lang w:val="en-GB"/>
        </w:rPr>
      </w:pPr>
    </w:p>
    <w:p w14:paraId="5118E66C" w14:textId="46330E7B" w:rsidR="004B7F36" w:rsidRPr="00F23A20" w:rsidRDefault="004B7F36" w:rsidP="004B7F36">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hAnsi="Calibri"/>
          <w:bCs/>
          <w:color w:val="auto"/>
          <w:sz w:val="22"/>
          <w:szCs w:val="22"/>
          <w:lang w:val="en-GB"/>
        </w:rPr>
      </w:pPr>
      <w:r w:rsidRPr="00F23A20">
        <w:rPr>
          <w:rFonts w:ascii="Calibri" w:hAnsi="Calibri"/>
          <w:bCs/>
          <w:color w:val="auto"/>
          <w:sz w:val="22"/>
          <w:szCs w:val="22"/>
          <w:lang w:val="en-GB"/>
        </w:rPr>
        <w:t xml:space="preserve">The </w:t>
      </w:r>
      <w:r w:rsidRPr="00F23A20">
        <w:rPr>
          <w:rFonts w:asciiTheme="minorHAnsi" w:hAnsiTheme="minorHAnsi" w:cstheme="minorHAnsi"/>
          <w:color w:val="auto"/>
          <w:sz w:val="22"/>
          <w:szCs w:val="22"/>
        </w:rPr>
        <w:t>Secretariat</w:t>
      </w:r>
      <w:r w:rsidRPr="00F23A20">
        <w:rPr>
          <w:rFonts w:asciiTheme="minorHAnsi" w:hAnsiTheme="minorHAnsi" w:cstheme="minorHAnsi"/>
          <w:bCs/>
          <w:color w:val="auto"/>
          <w:sz w:val="22"/>
          <w:szCs w:val="22"/>
          <w:lang w:val="en-GB"/>
        </w:rPr>
        <w:t xml:space="preserve"> s</w:t>
      </w:r>
      <w:r w:rsidRPr="00F23A20">
        <w:rPr>
          <w:rFonts w:ascii="Calibri" w:hAnsi="Calibri"/>
          <w:bCs/>
          <w:color w:val="auto"/>
          <w:sz w:val="22"/>
          <w:szCs w:val="22"/>
          <w:lang w:val="en-GB"/>
        </w:rPr>
        <w:t xml:space="preserve">hall send the consolidated package of all submitted proposals to the SC within three working days of submission and 48 hours prior to the date of the scheduled meeting.  </w:t>
      </w:r>
    </w:p>
    <w:p w14:paraId="434CAE14" w14:textId="77777777" w:rsidR="004B7F36" w:rsidRPr="00F23A20" w:rsidRDefault="004B7F36" w:rsidP="004B7F36">
      <w:pPr>
        <w:spacing w:after="0" w:line="240" w:lineRule="auto"/>
        <w:jc w:val="both"/>
      </w:pPr>
    </w:p>
    <w:p w14:paraId="6FBEFDDE" w14:textId="12E64988" w:rsidR="004B7F36" w:rsidRPr="00C14AF3" w:rsidRDefault="00C20716" w:rsidP="004B7F36">
      <w:pPr>
        <w:pStyle w:val="Heading3"/>
        <w:spacing w:before="0"/>
        <w:jc w:val="both"/>
      </w:pPr>
      <w:bookmarkStart w:id="38" w:name="_Toc516775596"/>
      <w:bookmarkStart w:id="39" w:name="_Toc28969909"/>
      <w:bookmarkStart w:id="40" w:name="_Toc38466426"/>
      <w:bookmarkStart w:id="41" w:name="_Toc39503341"/>
      <w:r>
        <w:t>6</w:t>
      </w:r>
      <w:r w:rsidR="004B7F36">
        <w:t>.1.3. Project approval and funds transfer</w:t>
      </w:r>
      <w:bookmarkEnd w:id="38"/>
      <w:bookmarkEnd w:id="39"/>
      <w:bookmarkEnd w:id="40"/>
      <w:bookmarkEnd w:id="41"/>
    </w:p>
    <w:p w14:paraId="0D1E2E3B" w14:textId="77777777" w:rsidR="004B7F36" w:rsidRPr="00C17678" w:rsidRDefault="004B7F36" w:rsidP="004B7F36">
      <w:pPr>
        <w:spacing w:after="0" w:line="240" w:lineRule="auto"/>
        <w:jc w:val="both"/>
        <w:rPr>
          <w:i/>
        </w:rPr>
      </w:pPr>
      <w:r>
        <w:rPr>
          <w:i/>
        </w:rPr>
        <w:t>Project approval</w:t>
      </w:r>
    </w:p>
    <w:p w14:paraId="59E03538" w14:textId="76C1731C" w:rsidR="004B7F36" w:rsidRPr="008C219B" w:rsidRDefault="004B7F36" w:rsidP="004B7F36">
      <w:pPr>
        <w:spacing w:after="0"/>
        <w:jc w:val="both"/>
        <w:rPr>
          <w:bCs/>
        </w:rPr>
      </w:pPr>
      <w:r w:rsidRPr="009A3FEB">
        <w:rPr>
          <w:rFonts w:ascii="Calibri" w:hAnsi="Calibri"/>
          <w:bCs/>
          <w:color w:val="00000A"/>
          <w:lang w:val="en-GB"/>
        </w:rPr>
        <w:t xml:space="preserve">Once the review is finalised by the </w:t>
      </w:r>
      <w:r>
        <w:t>Secretariat</w:t>
      </w:r>
      <w:r>
        <w:rPr>
          <w:rFonts w:ascii="Calibri" w:hAnsi="Calibri"/>
          <w:bCs/>
          <w:color w:val="00000A"/>
          <w:lang w:val="en-GB"/>
        </w:rPr>
        <w:t xml:space="preserve"> through the technical review conducted by the TAWG</w:t>
      </w:r>
      <w:r w:rsidRPr="009A3FEB">
        <w:rPr>
          <w:rFonts w:ascii="Calibri" w:hAnsi="Calibri"/>
          <w:bCs/>
          <w:color w:val="00000A"/>
          <w:lang w:val="en-GB"/>
        </w:rPr>
        <w:t xml:space="preserve">, project documents will be submitted to the </w:t>
      </w:r>
      <w:r>
        <w:rPr>
          <w:rFonts w:ascii="Calibri" w:hAnsi="Calibri"/>
          <w:bCs/>
          <w:color w:val="00000A"/>
          <w:lang w:val="en-GB"/>
        </w:rPr>
        <w:t>SC</w:t>
      </w:r>
      <w:r w:rsidRPr="009A3FEB">
        <w:rPr>
          <w:rFonts w:ascii="Calibri" w:hAnsi="Calibri"/>
          <w:bCs/>
          <w:color w:val="00000A"/>
          <w:lang w:val="en-GB"/>
        </w:rPr>
        <w:t xml:space="preserve"> for approval. </w:t>
      </w:r>
      <w:r w:rsidRPr="009A3FEB">
        <w:rPr>
          <w:lang w:val="en-GB"/>
        </w:rPr>
        <w:t xml:space="preserve">The </w:t>
      </w:r>
      <w:r>
        <w:rPr>
          <w:lang w:val="en-GB"/>
        </w:rPr>
        <w:t>SC</w:t>
      </w:r>
      <w:r w:rsidRPr="009A3FEB">
        <w:rPr>
          <w:lang w:val="en-GB"/>
        </w:rPr>
        <w:t xml:space="preserve"> will approve the </w:t>
      </w:r>
      <w:r>
        <w:rPr>
          <w:lang w:val="en-GB"/>
        </w:rPr>
        <w:t>f</w:t>
      </w:r>
      <w:r w:rsidRPr="009A3FEB">
        <w:rPr>
          <w:lang w:val="en-GB"/>
        </w:rPr>
        <w:t>und</w:t>
      </w:r>
      <w:r>
        <w:rPr>
          <w:lang w:val="en-GB"/>
        </w:rPr>
        <w:t>s’</w:t>
      </w:r>
      <w:r w:rsidRPr="009A3FEB">
        <w:rPr>
          <w:lang w:val="en-GB"/>
        </w:rPr>
        <w:t xml:space="preserve"> allocation</w:t>
      </w:r>
      <w:r>
        <w:rPr>
          <w:lang w:val="en-GB"/>
        </w:rPr>
        <w:t>s</w:t>
      </w:r>
      <w:r w:rsidRPr="009A3FEB">
        <w:rPr>
          <w:lang w:val="en-GB"/>
        </w:rPr>
        <w:t xml:space="preserve"> </w:t>
      </w:r>
      <w:r>
        <w:rPr>
          <w:lang w:val="en-GB"/>
        </w:rPr>
        <w:t>based</w:t>
      </w:r>
      <w:r w:rsidRPr="009A3FEB">
        <w:rPr>
          <w:lang w:val="en-GB"/>
        </w:rPr>
        <w:t xml:space="preserve"> on the review</w:t>
      </w:r>
      <w:r>
        <w:rPr>
          <w:lang w:val="en-GB"/>
        </w:rPr>
        <w:t xml:space="preserve"> package received from</w:t>
      </w:r>
      <w:r w:rsidRPr="009A3FEB">
        <w:rPr>
          <w:lang w:val="en-GB"/>
        </w:rPr>
        <w:t xml:space="preserve"> the </w:t>
      </w:r>
      <w:r>
        <w:t>Secretariat</w:t>
      </w:r>
      <w:r w:rsidRPr="009A3FEB">
        <w:rPr>
          <w:lang w:val="en-GB"/>
        </w:rPr>
        <w:t xml:space="preserve">. The reviewing process will not go beyond </w:t>
      </w:r>
      <w:r>
        <w:rPr>
          <w:lang w:val="en-GB"/>
        </w:rPr>
        <w:t>one</w:t>
      </w:r>
      <w:r w:rsidRPr="009A3FEB">
        <w:rPr>
          <w:lang w:val="en-GB"/>
        </w:rPr>
        <w:t xml:space="preserve"> week from the reception </w:t>
      </w:r>
      <w:r>
        <w:rPr>
          <w:lang w:val="en-GB"/>
        </w:rPr>
        <w:t>of the project proposal.</w:t>
      </w:r>
      <w:r>
        <w:t xml:space="preserve"> The </w:t>
      </w:r>
      <w:r>
        <w:rPr>
          <w:lang w:val="en-GB"/>
        </w:rPr>
        <w:t>SC</w:t>
      </w:r>
      <w:r>
        <w:t xml:space="preserve"> will take into account all the proposals and will select these based on their alignment with the Fund’s Strategic Framework, available funding, complementarity of the intervention with other ongoing or foreseen actions and level of involvement of concerned actors.  The Cross-cutting criteria will also be taken into account.</w:t>
      </w:r>
    </w:p>
    <w:p w14:paraId="0966907F" w14:textId="77777777" w:rsidR="004B7F36" w:rsidRDefault="004B7F36" w:rsidP="004B7F36">
      <w:pPr>
        <w:spacing w:after="0"/>
        <w:jc w:val="both"/>
      </w:pPr>
    </w:p>
    <w:p w14:paraId="1A23CE5C" w14:textId="68B4B1F2" w:rsidR="004B7F36" w:rsidRPr="00BD64A4" w:rsidRDefault="004B7F36" w:rsidP="004B7F36">
      <w:pPr>
        <w:spacing w:after="0"/>
        <w:jc w:val="both"/>
        <w:rPr>
          <w:bCs/>
        </w:rPr>
      </w:pPr>
      <w:bookmarkStart w:id="42" w:name="_GoBack"/>
      <w:bookmarkEnd w:id="42"/>
      <w:r>
        <w:t xml:space="preserve">Programs or projects approved with recommendations do not require submitting a proposal again.  The Secretariat shall ensure that the implementing entity incorporates the recommendations of the </w:t>
      </w:r>
      <w:r>
        <w:rPr>
          <w:lang w:val="en-GB"/>
        </w:rPr>
        <w:t>SC</w:t>
      </w:r>
      <w:r>
        <w:t xml:space="preserve">, before requesting the MPTFO to transfer funds to the </w:t>
      </w:r>
      <w:r w:rsidR="007278E7">
        <w:t>Participating UN Organization</w:t>
      </w:r>
      <w:r>
        <w:t>.</w:t>
      </w:r>
    </w:p>
    <w:p w14:paraId="6AB0634E" w14:textId="77777777" w:rsidR="004B7F36" w:rsidRDefault="004B7F36" w:rsidP="004B7F36">
      <w:pPr>
        <w:spacing w:after="0"/>
        <w:jc w:val="both"/>
      </w:pPr>
    </w:p>
    <w:p w14:paraId="0BDE96E8" w14:textId="18CB7557" w:rsidR="004B7F36" w:rsidRPr="00216446" w:rsidRDefault="004B7F36" w:rsidP="004B7F36">
      <w:pPr>
        <w:spacing w:after="0"/>
        <w:jc w:val="both"/>
        <w:rPr>
          <w:bCs/>
        </w:rPr>
      </w:pPr>
      <w:r>
        <w:t xml:space="preserve">The </w:t>
      </w:r>
      <w:r>
        <w:rPr>
          <w:lang w:val="en-GB"/>
        </w:rPr>
        <w:t>SC</w:t>
      </w:r>
      <w:r>
        <w:t xml:space="preserve"> decisions are recorded in its minutes of meeting, which are consolidated by the Secretariat and shared electronically.</w:t>
      </w:r>
    </w:p>
    <w:p w14:paraId="75500783" w14:textId="77777777" w:rsidR="004B7F36" w:rsidRPr="00636CB9" w:rsidRDefault="004B7F36" w:rsidP="004B7F36">
      <w:pPr>
        <w:spacing w:after="0" w:line="240" w:lineRule="auto"/>
        <w:jc w:val="both"/>
      </w:pPr>
    </w:p>
    <w:p w14:paraId="1A3D2680" w14:textId="77777777" w:rsidR="004B7F36" w:rsidRDefault="004B7F36" w:rsidP="004B7F36">
      <w:pPr>
        <w:spacing w:after="0" w:line="240" w:lineRule="auto"/>
        <w:jc w:val="both"/>
        <w:rPr>
          <w:i/>
        </w:rPr>
      </w:pPr>
      <w:r>
        <w:rPr>
          <w:i/>
        </w:rPr>
        <w:t>Funds transfer</w:t>
      </w:r>
    </w:p>
    <w:p w14:paraId="36FAC45B" w14:textId="484A7B40" w:rsidR="004B7F36" w:rsidRPr="00216446" w:rsidRDefault="004B7F36" w:rsidP="004B7F36">
      <w:pPr>
        <w:spacing w:after="0"/>
        <w:jc w:val="both"/>
        <w:rPr>
          <w:bCs/>
        </w:rPr>
      </w:pPr>
      <w:r>
        <w:t xml:space="preserve">The Secretariat shall request the transfer of funds to the AA by submitting a Funds Transfer Request (FTR) form for the budget allocations approved by the </w:t>
      </w:r>
      <w:r>
        <w:rPr>
          <w:lang w:val="en-GB"/>
        </w:rPr>
        <w:t>SC</w:t>
      </w:r>
      <w:r>
        <w:t xml:space="preserve">.  The MPTFO will carry out transfers approved by the </w:t>
      </w:r>
      <w:r>
        <w:rPr>
          <w:lang w:val="en-GB"/>
        </w:rPr>
        <w:t>SC</w:t>
      </w:r>
      <w:r>
        <w:t xml:space="preserve"> to implementing entities no later than five working days after the receipt of the FTR.  Upon completion of the transfer, the representative of the receiving organization and the Secretariat will be notified through electronic mail.</w:t>
      </w:r>
    </w:p>
    <w:p w14:paraId="4D4BB851" w14:textId="77777777" w:rsidR="004B7F36" w:rsidRDefault="004B7F36" w:rsidP="004B7F36">
      <w:pPr>
        <w:spacing w:after="0"/>
        <w:jc w:val="both"/>
        <w:rPr>
          <w:b/>
          <w:highlight w:val="yellow"/>
        </w:rPr>
      </w:pPr>
    </w:p>
    <w:p w14:paraId="40913DFB" w14:textId="77777777" w:rsidR="001C1FD3" w:rsidRPr="009235AD" w:rsidRDefault="001C1FD3" w:rsidP="009235AD">
      <w:pPr>
        <w:jc w:val="both"/>
      </w:pPr>
      <w:bookmarkStart w:id="43" w:name="_Toc439148691"/>
      <w:bookmarkStart w:id="44" w:name="_Toc439152322"/>
      <w:bookmarkStart w:id="45" w:name="_Toc439148693"/>
      <w:bookmarkStart w:id="46" w:name="_Toc439152324"/>
      <w:bookmarkEnd w:id="43"/>
      <w:bookmarkEnd w:id="44"/>
      <w:bookmarkEnd w:id="45"/>
      <w:bookmarkEnd w:id="46"/>
    </w:p>
    <w:p w14:paraId="323F2B72" w14:textId="77777777" w:rsidR="00AC4A9B" w:rsidRDefault="002B462A" w:rsidP="00C20716">
      <w:pPr>
        <w:pStyle w:val="Heading1"/>
        <w:numPr>
          <w:ilvl w:val="0"/>
          <w:numId w:val="7"/>
        </w:numPr>
        <w:rPr>
          <w:b/>
        </w:rPr>
      </w:pPr>
      <w:bookmarkStart w:id="47" w:name="_Toc439066165"/>
      <w:bookmarkStart w:id="48" w:name="_Toc439066237"/>
      <w:bookmarkStart w:id="49" w:name="_Toc439148695"/>
      <w:bookmarkStart w:id="50" w:name="_Toc439152326"/>
      <w:bookmarkStart w:id="51" w:name="_Toc443408929"/>
      <w:bookmarkStart w:id="52" w:name="_Toc39503342"/>
      <w:bookmarkEnd w:id="47"/>
      <w:bookmarkEnd w:id="48"/>
      <w:bookmarkEnd w:id="49"/>
      <w:bookmarkEnd w:id="50"/>
      <w:r>
        <w:rPr>
          <w:b/>
        </w:rPr>
        <w:t>Risk management</w:t>
      </w:r>
      <w:bookmarkEnd w:id="51"/>
      <w:bookmarkEnd w:id="52"/>
    </w:p>
    <w:p w14:paraId="3C7285F0" w14:textId="77777777" w:rsidR="00AC4A9B" w:rsidRPr="009235AD" w:rsidRDefault="00AC4A9B" w:rsidP="009235AD"/>
    <w:p w14:paraId="108913A5" w14:textId="77777777" w:rsidR="00636CB9" w:rsidRPr="00216446" w:rsidRDefault="002B462A" w:rsidP="00F04024">
      <w:pPr>
        <w:jc w:val="both"/>
      </w:pPr>
      <w:r>
        <w:t>The final objective of a risk management strategy at the Fund level is facilitating the achievement of program-related objectives of its interventions in the context of the risk in which it operates.</w:t>
      </w:r>
    </w:p>
    <w:p w14:paraId="75C3510B" w14:textId="77777777" w:rsidR="002B462A" w:rsidRPr="00216446" w:rsidRDefault="00216446" w:rsidP="00F04024">
      <w:pPr>
        <w:jc w:val="both"/>
      </w:pPr>
      <w:r>
        <w:t xml:space="preserve">The Technical Secretariat will develop a risk management strategy whose main objectives are: accelerate Fund implementation and increase its impact, ensure that the Fund's interventions meet the "Do no harm" principles, verify that resources are used for foreseen purposes and improve risk management capacity of national institutions. </w:t>
      </w:r>
    </w:p>
    <w:p w14:paraId="6109045C" w14:textId="77777777" w:rsidR="00636CB9" w:rsidRDefault="00636CB9" w:rsidP="00636CB9">
      <w:pPr>
        <w:spacing w:after="0" w:line="240" w:lineRule="auto"/>
        <w:jc w:val="both"/>
        <w:rPr>
          <w:rFonts w:cs="Arial"/>
          <w:color w:val="222222"/>
        </w:rPr>
      </w:pPr>
    </w:p>
    <w:p w14:paraId="31F936E2" w14:textId="77777777" w:rsidR="002B462A" w:rsidRPr="00CB0BBA" w:rsidRDefault="002B462A" w:rsidP="00636CB9">
      <w:pPr>
        <w:spacing w:after="0" w:line="240" w:lineRule="auto"/>
        <w:jc w:val="both"/>
        <w:rPr>
          <w:rFonts w:cs="Arial"/>
          <w:color w:val="222222"/>
        </w:rPr>
      </w:pPr>
      <w:r>
        <w:rPr>
          <w:color w:val="222222"/>
        </w:rPr>
        <w:lastRenderedPageBreak/>
        <w:t>The Fund's risk management strategy will encompass the following tasks:</w:t>
      </w:r>
    </w:p>
    <w:p w14:paraId="40BB4070" w14:textId="77777777" w:rsidR="002B462A" w:rsidRPr="00636CB9" w:rsidRDefault="002B462A" w:rsidP="00B31055">
      <w:pPr>
        <w:pStyle w:val="ListParagraph"/>
        <w:numPr>
          <w:ilvl w:val="0"/>
          <w:numId w:val="6"/>
        </w:numPr>
        <w:spacing w:after="0" w:line="240" w:lineRule="auto"/>
        <w:jc w:val="both"/>
        <w:rPr>
          <w:rFonts w:cs="Arial"/>
          <w:color w:val="222222"/>
        </w:rPr>
      </w:pPr>
      <w:r>
        <w:rPr>
          <w:color w:val="222222"/>
        </w:rPr>
        <w:t>Develop shared understanding of risks faced by the Fund;</w:t>
      </w:r>
    </w:p>
    <w:p w14:paraId="6AA3D556" w14:textId="77777777" w:rsidR="002B462A" w:rsidRPr="00636CB9" w:rsidRDefault="002B462A" w:rsidP="00B31055">
      <w:pPr>
        <w:pStyle w:val="ListParagraph"/>
        <w:numPr>
          <w:ilvl w:val="0"/>
          <w:numId w:val="6"/>
        </w:numPr>
        <w:spacing w:after="0" w:line="240" w:lineRule="auto"/>
        <w:jc w:val="both"/>
        <w:rPr>
          <w:rFonts w:cs="Arial"/>
          <w:color w:val="222222"/>
        </w:rPr>
      </w:pPr>
      <w:r>
        <w:rPr>
          <w:color w:val="222222"/>
        </w:rPr>
        <w:t>Define risk appetite or tolerance of the Fund (Fund's risk profile);</w:t>
      </w:r>
    </w:p>
    <w:p w14:paraId="2A3C3D7A" w14:textId="77777777" w:rsidR="002B462A" w:rsidRPr="00636CB9" w:rsidRDefault="002B462A" w:rsidP="00B31055">
      <w:pPr>
        <w:pStyle w:val="ListParagraph"/>
        <w:numPr>
          <w:ilvl w:val="0"/>
          <w:numId w:val="6"/>
        </w:numPr>
        <w:spacing w:after="0" w:line="240" w:lineRule="auto"/>
        <w:jc w:val="both"/>
        <w:rPr>
          <w:rFonts w:cs="Arial"/>
          <w:color w:val="222222"/>
        </w:rPr>
      </w:pPr>
      <w:r>
        <w:rPr>
          <w:color w:val="222222"/>
        </w:rPr>
        <w:t>Establish the Fund's policies regarding identified risks (Fund's risk policies).</w:t>
      </w:r>
    </w:p>
    <w:p w14:paraId="640F471D" w14:textId="77777777" w:rsidR="002B462A" w:rsidRPr="00636CB9" w:rsidRDefault="002B462A" w:rsidP="00B31055">
      <w:pPr>
        <w:pStyle w:val="ListParagraph"/>
        <w:numPr>
          <w:ilvl w:val="0"/>
          <w:numId w:val="6"/>
        </w:numPr>
        <w:spacing w:after="0" w:line="240" w:lineRule="auto"/>
        <w:jc w:val="both"/>
        <w:rPr>
          <w:rFonts w:cs="Arial"/>
          <w:color w:val="222222"/>
        </w:rPr>
      </w:pPr>
      <w:r>
        <w:rPr>
          <w:color w:val="222222"/>
        </w:rPr>
        <w:t>Identify or clarify potential compensation from risk taking and seek consensus among stakeholders regarding its management;</w:t>
      </w:r>
    </w:p>
    <w:p w14:paraId="3927FC8D" w14:textId="77777777" w:rsidR="002B462A" w:rsidRPr="00636CB9" w:rsidRDefault="002B462A" w:rsidP="00B31055">
      <w:pPr>
        <w:pStyle w:val="ListParagraph"/>
        <w:numPr>
          <w:ilvl w:val="0"/>
          <w:numId w:val="6"/>
        </w:numPr>
        <w:spacing w:after="0" w:line="240" w:lineRule="auto"/>
        <w:jc w:val="both"/>
        <w:rPr>
          <w:rFonts w:cs="Arial"/>
          <w:color w:val="222222"/>
        </w:rPr>
      </w:pPr>
      <w:r>
        <w:rPr>
          <w:color w:val="222222"/>
        </w:rPr>
        <w:t>Determine risk treatment through measures of mitigation or adaptation;</w:t>
      </w:r>
    </w:p>
    <w:p w14:paraId="4E107EF8" w14:textId="77777777" w:rsidR="002B462A" w:rsidRPr="00636CB9" w:rsidRDefault="002B462A" w:rsidP="00B31055">
      <w:pPr>
        <w:pStyle w:val="ListParagraph"/>
        <w:numPr>
          <w:ilvl w:val="0"/>
          <w:numId w:val="6"/>
        </w:numPr>
        <w:spacing w:after="0" w:line="240" w:lineRule="auto"/>
        <w:jc w:val="both"/>
        <w:rPr>
          <w:rFonts w:cs="Arial"/>
          <w:color w:val="222222"/>
        </w:rPr>
      </w:pPr>
      <w:r>
        <w:rPr>
          <w:color w:val="222222"/>
        </w:rPr>
        <w:t xml:space="preserve">Identify risk holders, control its spreading and define follow-up measures; </w:t>
      </w:r>
    </w:p>
    <w:p w14:paraId="69E3D073" w14:textId="77777777" w:rsidR="002B462A" w:rsidRPr="00636CB9" w:rsidRDefault="002B462A" w:rsidP="00B31055">
      <w:pPr>
        <w:pStyle w:val="ListParagraph"/>
        <w:numPr>
          <w:ilvl w:val="0"/>
          <w:numId w:val="6"/>
        </w:numPr>
        <w:spacing w:after="0" w:line="240" w:lineRule="auto"/>
        <w:jc w:val="both"/>
        <w:rPr>
          <w:rFonts w:cs="Arial"/>
          <w:color w:val="222222"/>
        </w:rPr>
      </w:pPr>
      <w:r>
        <w:rPr>
          <w:color w:val="222222"/>
        </w:rPr>
        <w:t>Establish information strategies and common messages about the risks.</w:t>
      </w:r>
    </w:p>
    <w:p w14:paraId="63C0BC3E" w14:textId="77777777" w:rsidR="00636CB9" w:rsidRPr="006B0D57" w:rsidRDefault="00636CB9" w:rsidP="006B0D57">
      <w:pPr>
        <w:jc w:val="both"/>
      </w:pPr>
    </w:p>
    <w:p w14:paraId="74028903" w14:textId="2F7A4455" w:rsidR="00636CB9" w:rsidRDefault="002B462A" w:rsidP="00216446">
      <w:pPr>
        <w:jc w:val="both"/>
      </w:pPr>
      <w:r>
        <w:t xml:space="preserve">Every program or project approved by the Fund shall comply with the risk management strategy. The fulfillment of such strategy will be one of the selection criteria during the process of project evaluation. </w:t>
      </w:r>
    </w:p>
    <w:p w14:paraId="009C2AA7" w14:textId="46CA6B50" w:rsidR="009D7FF5" w:rsidRDefault="009D7FF5" w:rsidP="00216446">
      <w:pPr>
        <w:jc w:val="both"/>
      </w:pPr>
    </w:p>
    <w:p w14:paraId="0A5FF22D" w14:textId="77777777" w:rsidR="002B462A" w:rsidRPr="00454755" w:rsidRDefault="002B462A" w:rsidP="00C20716">
      <w:pPr>
        <w:pStyle w:val="Heading1"/>
        <w:numPr>
          <w:ilvl w:val="0"/>
          <w:numId w:val="7"/>
        </w:numPr>
        <w:rPr>
          <w:b/>
        </w:rPr>
      </w:pPr>
      <w:bookmarkStart w:id="53" w:name="_Toc443408930"/>
      <w:bookmarkStart w:id="54" w:name="_Toc39503343"/>
      <w:r>
        <w:rPr>
          <w:b/>
        </w:rPr>
        <w:t>Monitoring, evaluation and report</w:t>
      </w:r>
      <w:bookmarkEnd w:id="53"/>
      <w:bookmarkEnd w:id="54"/>
    </w:p>
    <w:p w14:paraId="1DDA50A9" w14:textId="77777777" w:rsidR="00454755" w:rsidRDefault="00454755" w:rsidP="00C40B44">
      <w:pPr>
        <w:jc w:val="both"/>
        <w:rPr>
          <w:u w:val="single"/>
        </w:rPr>
      </w:pPr>
    </w:p>
    <w:p w14:paraId="7EC6843C" w14:textId="6A4CCEDC" w:rsidR="007D4A12" w:rsidRPr="007E020C" w:rsidRDefault="00C20716" w:rsidP="003A08FE">
      <w:pPr>
        <w:pStyle w:val="Heading2"/>
      </w:pPr>
      <w:bookmarkStart w:id="55" w:name="_Toc39503344"/>
      <w:bookmarkStart w:id="56" w:name="_Hlk32035458"/>
      <w:r>
        <w:t>8</w:t>
      </w:r>
      <w:r w:rsidR="003A08FE">
        <w:t xml:space="preserve">.1 </w:t>
      </w:r>
      <w:r w:rsidR="007D4A12" w:rsidRPr="007E020C">
        <w:t>Monitoring</w:t>
      </w:r>
      <w:bookmarkEnd w:id="55"/>
      <w:r w:rsidR="007D4A12" w:rsidRPr="007E020C">
        <w:t xml:space="preserve"> </w:t>
      </w:r>
    </w:p>
    <w:bookmarkEnd w:id="56"/>
    <w:p w14:paraId="20CBF081" w14:textId="7CBDDB00" w:rsidR="007D4A12" w:rsidRPr="007E020C" w:rsidRDefault="007D4A12" w:rsidP="007D4A12">
      <w:pPr>
        <w:spacing w:line="264" w:lineRule="auto"/>
        <w:jc w:val="both"/>
        <w:rPr>
          <w:sz w:val="24"/>
          <w:szCs w:val="24"/>
        </w:rPr>
      </w:pPr>
      <w:r w:rsidRPr="007E020C">
        <w:rPr>
          <w:sz w:val="24"/>
          <w:szCs w:val="24"/>
        </w:rPr>
        <w:t xml:space="preserve">The </w:t>
      </w:r>
      <w:r>
        <w:rPr>
          <w:sz w:val="24"/>
          <w:szCs w:val="24"/>
        </w:rPr>
        <w:t>Secretariat</w:t>
      </w:r>
      <w:r w:rsidRPr="007E020C">
        <w:rPr>
          <w:sz w:val="24"/>
          <w:szCs w:val="24"/>
        </w:rPr>
        <w:t xml:space="preserve"> is responsible for </w:t>
      </w:r>
      <w:r>
        <w:rPr>
          <w:sz w:val="24"/>
          <w:szCs w:val="24"/>
        </w:rPr>
        <w:t xml:space="preserve">the </w:t>
      </w:r>
      <w:r w:rsidRPr="007E020C">
        <w:rPr>
          <w:sz w:val="24"/>
          <w:szCs w:val="24"/>
        </w:rPr>
        <w:t xml:space="preserve">continuous monitoring and evaluation of programmes, providing guidance to implementing partners on performance indicators and methods of data collection and analysis. The </w:t>
      </w:r>
      <w:r w:rsidR="000940E7">
        <w:rPr>
          <w:sz w:val="24"/>
          <w:szCs w:val="24"/>
        </w:rPr>
        <w:t>Secretariat</w:t>
      </w:r>
      <w:r w:rsidRPr="007E020C">
        <w:rPr>
          <w:sz w:val="24"/>
          <w:szCs w:val="24"/>
        </w:rPr>
        <w:t xml:space="preserve"> consolidates programme-level information </w:t>
      </w:r>
      <w:r>
        <w:rPr>
          <w:sz w:val="24"/>
          <w:szCs w:val="24"/>
        </w:rPr>
        <w:t>in</w:t>
      </w:r>
      <w:r w:rsidRPr="007E020C">
        <w:rPr>
          <w:sz w:val="24"/>
          <w:szCs w:val="24"/>
        </w:rPr>
        <w:t xml:space="preserve"> a central</w:t>
      </w:r>
      <w:r>
        <w:rPr>
          <w:sz w:val="24"/>
          <w:szCs w:val="24"/>
        </w:rPr>
        <w:t>,</w:t>
      </w:r>
      <w:r w:rsidRPr="007E020C">
        <w:rPr>
          <w:sz w:val="24"/>
          <w:szCs w:val="24"/>
        </w:rPr>
        <w:t xml:space="preserve"> result</w:t>
      </w:r>
      <w:r>
        <w:rPr>
          <w:sz w:val="24"/>
          <w:szCs w:val="24"/>
        </w:rPr>
        <w:t>s</w:t>
      </w:r>
      <w:r w:rsidRPr="007E020C">
        <w:rPr>
          <w:sz w:val="24"/>
          <w:szCs w:val="24"/>
        </w:rPr>
        <w:t xml:space="preserve">-based management system. </w:t>
      </w:r>
      <w:r>
        <w:rPr>
          <w:sz w:val="24"/>
          <w:szCs w:val="24"/>
        </w:rPr>
        <w:t>P</w:t>
      </w:r>
      <w:r w:rsidRPr="007E020C">
        <w:rPr>
          <w:sz w:val="24"/>
          <w:szCs w:val="24"/>
        </w:rPr>
        <w:t xml:space="preserve">erformance data </w:t>
      </w:r>
      <w:r>
        <w:rPr>
          <w:sz w:val="24"/>
          <w:szCs w:val="24"/>
        </w:rPr>
        <w:t>is gathered</w:t>
      </w:r>
      <w:r w:rsidRPr="007E020C">
        <w:rPr>
          <w:sz w:val="24"/>
          <w:szCs w:val="24"/>
        </w:rPr>
        <w:t xml:space="preserve"> </w:t>
      </w:r>
      <w:r>
        <w:rPr>
          <w:sz w:val="24"/>
          <w:szCs w:val="24"/>
        </w:rPr>
        <w:t>at</w:t>
      </w:r>
      <w:r w:rsidRPr="007E020C">
        <w:rPr>
          <w:sz w:val="24"/>
          <w:szCs w:val="24"/>
        </w:rPr>
        <w:t xml:space="preserve"> outcome and output levels, linking program-related and financial result indicators so evaluators can measure </w:t>
      </w:r>
      <w:r w:rsidR="0034008E">
        <w:rPr>
          <w:sz w:val="24"/>
          <w:szCs w:val="24"/>
        </w:rPr>
        <w:t>the Fund</w:t>
      </w:r>
      <w:r w:rsidRPr="007E020C">
        <w:rPr>
          <w:sz w:val="24"/>
          <w:szCs w:val="24"/>
        </w:rPr>
        <w:t xml:space="preserve"> efficiency and effectiveness. </w:t>
      </w:r>
    </w:p>
    <w:p w14:paraId="182228EF" w14:textId="77777777" w:rsidR="007D4A12" w:rsidRPr="008213F4" w:rsidRDefault="007D4A12" w:rsidP="007D4A12">
      <w:pPr>
        <w:spacing w:line="264" w:lineRule="auto"/>
        <w:jc w:val="both"/>
        <w:rPr>
          <w:bCs/>
          <w:sz w:val="24"/>
          <w:szCs w:val="24"/>
          <w:u w:val="single"/>
        </w:rPr>
      </w:pPr>
      <w:r w:rsidRPr="008213F4">
        <w:rPr>
          <w:bCs/>
          <w:sz w:val="24"/>
          <w:szCs w:val="24"/>
          <w:u w:val="single"/>
        </w:rPr>
        <w:t>Output level</w:t>
      </w:r>
    </w:p>
    <w:p w14:paraId="71891B6F" w14:textId="77777777" w:rsidR="007D4A12" w:rsidRPr="007E020C" w:rsidRDefault="007D4A12" w:rsidP="007D4A12">
      <w:pPr>
        <w:spacing w:line="264" w:lineRule="auto"/>
        <w:jc w:val="both"/>
        <w:rPr>
          <w:sz w:val="24"/>
          <w:szCs w:val="24"/>
        </w:rPr>
      </w:pPr>
      <w:r>
        <w:rPr>
          <w:sz w:val="24"/>
          <w:szCs w:val="24"/>
        </w:rPr>
        <w:t>O</w:t>
      </w:r>
      <w:r w:rsidRPr="007E020C">
        <w:rPr>
          <w:sz w:val="24"/>
          <w:szCs w:val="24"/>
        </w:rPr>
        <w:t xml:space="preserve">utput indicators are specific to each programme and reflect changes in skills </w:t>
      </w:r>
      <w:r>
        <w:rPr>
          <w:sz w:val="24"/>
          <w:szCs w:val="24"/>
        </w:rPr>
        <w:t>and</w:t>
      </w:r>
      <w:r w:rsidRPr="007E020C">
        <w:rPr>
          <w:sz w:val="24"/>
          <w:szCs w:val="24"/>
        </w:rPr>
        <w:t xml:space="preserve"> abilities, or the new products and services that </w:t>
      </w:r>
      <w:r>
        <w:rPr>
          <w:sz w:val="24"/>
          <w:szCs w:val="24"/>
        </w:rPr>
        <w:t>can be sourced</w:t>
      </w:r>
      <w:r w:rsidRPr="007E020C">
        <w:rPr>
          <w:sz w:val="24"/>
          <w:szCs w:val="24"/>
        </w:rPr>
        <w:t xml:space="preserve"> with resources provided by the Fund. </w:t>
      </w:r>
      <w:r>
        <w:rPr>
          <w:sz w:val="24"/>
          <w:szCs w:val="24"/>
        </w:rPr>
        <w:t>Evaluating</w:t>
      </w:r>
      <w:r w:rsidRPr="007E020C">
        <w:rPr>
          <w:sz w:val="24"/>
          <w:szCs w:val="24"/>
        </w:rPr>
        <w:t xml:space="preserve"> performance against each output indicator</w:t>
      </w:r>
      <w:r>
        <w:rPr>
          <w:sz w:val="24"/>
          <w:szCs w:val="24"/>
        </w:rPr>
        <w:t xml:space="preserve"> involves</w:t>
      </w:r>
      <w:r w:rsidRPr="007E020C">
        <w:rPr>
          <w:sz w:val="24"/>
          <w:szCs w:val="24"/>
        </w:rPr>
        <w:t xml:space="preserve"> takes external factors into account </w:t>
      </w:r>
      <w:r>
        <w:rPr>
          <w:sz w:val="24"/>
          <w:szCs w:val="24"/>
        </w:rPr>
        <w:t>alongside</w:t>
      </w:r>
      <w:r w:rsidRPr="007E020C">
        <w:rPr>
          <w:sz w:val="24"/>
          <w:szCs w:val="24"/>
        </w:rPr>
        <w:t xml:space="preserve"> pre-identified assumptions and risks. Implementing </w:t>
      </w:r>
      <w:r>
        <w:rPr>
          <w:sz w:val="24"/>
          <w:szCs w:val="24"/>
        </w:rPr>
        <w:t>o</w:t>
      </w:r>
      <w:r w:rsidRPr="007E020C">
        <w:rPr>
          <w:sz w:val="24"/>
          <w:szCs w:val="24"/>
        </w:rPr>
        <w:t xml:space="preserve">rganizations are responsible for </w:t>
      </w:r>
      <w:r>
        <w:rPr>
          <w:sz w:val="24"/>
          <w:szCs w:val="24"/>
        </w:rPr>
        <w:t>meeting the</w:t>
      </w:r>
      <w:r w:rsidRPr="007E020C">
        <w:rPr>
          <w:sz w:val="24"/>
          <w:szCs w:val="24"/>
        </w:rPr>
        <w:t xml:space="preserve"> first level of results</w:t>
      </w:r>
      <w:r>
        <w:rPr>
          <w:sz w:val="24"/>
          <w:szCs w:val="24"/>
        </w:rPr>
        <w:t>,</w:t>
      </w:r>
      <w:r w:rsidRPr="007E020C">
        <w:rPr>
          <w:sz w:val="24"/>
          <w:szCs w:val="24"/>
        </w:rPr>
        <w:t xml:space="preserve"> collecting </w:t>
      </w:r>
      <w:r>
        <w:rPr>
          <w:sz w:val="24"/>
          <w:szCs w:val="24"/>
        </w:rPr>
        <w:t xml:space="preserve">data, </w:t>
      </w:r>
      <w:r w:rsidRPr="007E020C">
        <w:rPr>
          <w:sz w:val="24"/>
          <w:szCs w:val="24"/>
        </w:rPr>
        <w:t xml:space="preserve">and reporting </w:t>
      </w:r>
      <w:r>
        <w:rPr>
          <w:sz w:val="24"/>
          <w:szCs w:val="24"/>
        </w:rPr>
        <w:t>process/findings</w:t>
      </w:r>
      <w:r w:rsidRPr="007E020C">
        <w:rPr>
          <w:sz w:val="24"/>
          <w:szCs w:val="24"/>
        </w:rPr>
        <w:t xml:space="preserve">. </w:t>
      </w:r>
    </w:p>
    <w:p w14:paraId="5A869C3E" w14:textId="77777777" w:rsidR="007D4A12" w:rsidRPr="008213F4" w:rsidRDefault="007D4A12" w:rsidP="007D4A12">
      <w:pPr>
        <w:spacing w:line="264" w:lineRule="auto"/>
        <w:jc w:val="both"/>
        <w:rPr>
          <w:bCs/>
          <w:sz w:val="24"/>
          <w:szCs w:val="24"/>
          <w:u w:val="single"/>
        </w:rPr>
      </w:pPr>
      <w:r w:rsidRPr="008213F4">
        <w:rPr>
          <w:bCs/>
          <w:sz w:val="24"/>
          <w:szCs w:val="24"/>
          <w:u w:val="single"/>
        </w:rPr>
        <w:t>Outcome level</w:t>
      </w:r>
    </w:p>
    <w:p w14:paraId="7924EA0F" w14:textId="29EFFC81" w:rsidR="007D4A12" w:rsidRPr="007E020C" w:rsidRDefault="007D4A12" w:rsidP="007D4A12">
      <w:pPr>
        <w:spacing w:line="264" w:lineRule="auto"/>
        <w:jc w:val="both"/>
        <w:rPr>
          <w:color w:val="222222"/>
          <w:sz w:val="24"/>
          <w:szCs w:val="24"/>
        </w:rPr>
      </w:pPr>
      <w:r w:rsidRPr="007E020C">
        <w:rPr>
          <w:color w:val="222222"/>
          <w:sz w:val="24"/>
          <w:szCs w:val="24"/>
        </w:rPr>
        <w:t xml:space="preserve">Signature </w:t>
      </w:r>
      <w:r>
        <w:rPr>
          <w:color w:val="222222"/>
          <w:sz w:val="24"/>
          <w:szCs w:val="24"/>
        </w:rPr>
        <w:t>o</w:t>
      </w:r>
      <w:r w:rsidRPr="007E020C">
        <w:rPr>
          <w:color w:val="222222"/>
          <w:sz w:val="24"/>
          <w:szCs w:val="24"/>
        </w:rPr>
        <w:t xml:space="preserve">utcome indicators are defined in the </w:t>
      </w:r>
      <w:r>
        <w:rPr>
          <w:color w:val="222222"/>
          <w:sz w:val="24"/>
          <w:szCs w:val="24"/>
        </w:rPr>
        <w:t>R</w:t>
      </w:r>
      <w:r w:rsidRPr="007E020C">
        <w:rPr>
          <w:color w:val="222222"/>
          <w:sz w:val="24"/>
          <w:szCs w:val="24"/>
        </w:rPr>
        <w:t xml:space="preserve">esult </w:t>
      </w:r>
      <w:r>
        <w:rPr>
          <w:color w:val="222222"/>
          <w:sz w:val="24"/>
          <w:szCs w:val="24"/>
        </w:rPr>
        <w:t>F</w:t>
      </w:r>
      <w:r w:rsidRPr="007E020C">
        <w:rPr>
          <w:color w:val="222222"/>
          <w:sz w:val="24"/>
          <w:szCs w:val="24"/>
        </w:rPr>
        <w:t xml:space="preserve">ramework. Implementing </w:t>
      </w:r>
      <w:r>
        <w:rPr>
          <w:color w:val="222222"/>
          <w:sz w:val="24"/>
          <w:szCs w:val="24"/>
        </w:rPr>
        <w:t>p</w:t>
      </w:r>
      <w:r w:rsidRPr="007E020C">
        <w:rPr>
          <w:color w:val="222222"/>
          <w:sz w:val="24"/>
          <w:szCs w:val="24"/>
        </w:rPr>
        <w:t xml:space="preserve">artners </w:t>
      </w:r>
      <w:r>
        <w:rPr>
          <w:color w:val="222222"/>
          <w:sz w:val="24"/>
          <w:szCs w:val="24"/>
        </w:rPr>
        <w:t>are</w:t>
      </w:r>
      <w:r w:rsidRPr="007E020C">
        <w:rPr>
          <w:color w:val="222222"/>
          <w:sz w:val="24"/>
          <w:szCs w:val="24"/>
        </w:rPr>
        <w:t xml:space="preserve"> obligated to report against selected outcome indicators. The evaluation of performance indicators take external factors into account, as well as previously identified assumptions and risks in </w:t>
      </w:r>
      <w:r>
        <w:rPr>
          <w:color w:val="222222"/>
          <w:sz w:val="24"/>
          <w:szCs w:val="24"/>
        </w:rPr>
        <w:t>each</w:t>
      </w:r>
      <w:r w:rsidRPr="007E020C">
        <w:rPr>
          <w:color w:val="222222"/>
          <w:sz w:val="24"/>
          <w:szCs w:val="24"/>
        </w:rPr>
        <w:t xml:space="preserve"> </w:t>
      </w:r>
      <w:r>
        <w:rPr>
          <w:color w:val="222222"/>
          <w:sz w:val="24"/>
          <w:szCs w:val="24"/>
        </w:rPr>
        <w:t>theory</w:t>
      </w:r>
      <w:r w:rsidRPr="007E020C">
        <w:rPr>
          <w:color w:val="222222"/>
          <w:sz w:val="24"/>
          <w:szCs w:val="24"/>
        </w:rPr>
        <w:t xml:space="preserve"> of change. </w:t>
      </w:r>
      <w:r>
        <w:rPr>
          <w:color w:val="222222"/>
          <w:sz w:val="24"/>
          <w:szCs w:val="24"/>
        </w:rPr>
        <w:t>G</w:t>
      </w:r>
      <w:r w:rsidRPr="007E020C">
        <w:rPr>
          <w:color w:val="222222"/>
          <w:sz w:val="24"/>
          <w:szCs w:val="24"/>
        </w:rPr>
        <w:t>athering data</w:t>
      </w:r>
      <w:r>
        <w:rPr>
          <w:color w:val="222222"/>
          <w:sz w:val="24"/>
          <w:szCs w:val="24"/>
        </w:rPr>
        <w:t xml:space="preserve"> is </w:t>
      </w:r>
      <w:r w:rsidRPr="007E020C">
        <w:rPr>
          <w:color w:val="222222"/>
          <w:sz w:val="24"/>
          <w:szCs w:val="24"/>
        </w:rPr>
        <w:t xml:space="preserve">a mandatory element </w:t>
      </w:r>
      <w:r>
        <w:rPr>
          <w:color w:val="222222"/>
          <w:sz w:val="24"/>
          <w:szCs w:val="24"/>
        </w:rPr>
        <w:t xml:space="preserve">to be </w:t>
      </w:r>
      <w:r w:rsidRPr="007E020C">
        <w:rPr>
          <w:color w:val="222222"/>
          <w:sz w:val="24"/>
          <w:szCs w:val="24"/>
        </w:rPr>
        <w:t>reflected in every annual report</w:t>
      </w:r>
      <w:r>
        <w:rPr>
          <w:color w:val="222222"/>
          <w:sz w:val="24"/>
          <w:szCs w:val="24"/>
        </w:rPr>
        <w:t xml:space="preserve"> drafted by implementing partners</w:t>
      </w:r>
      <w:r w:rsidRPr="007E020C">
        <w:rPr>
          <w:color w:val="222222"/>
          <w:sz w:val="24"/>
          <w:szCs w:val="24"/>
        </w:rPr>
        <w:t>.</w:t>
      </w:r>
    </w:p>
    <w:p w14:paraId="1834451A" w14:textId="26AE3931" w:rsidR="007D4A12" w:rsidRPr="005D3D23" w:rsidRDefault="00C20716" w:rsidP="005D3D23">
      <w:pPr>
        <w:pStyle w:val="Heading2"/>
      </w:pPr>
      <w:bookmarkStart w:id="57" w:name="_Toc39503345"/>
      <w:r>
        <w:t>8</w:t>
      </w:r>
      <w:r w:rsidR="00172415">
        <w:t xml:space="preserve">.2 </w:t>
      </w:r>
      <w:r w:rsidR="005D3D23" w:rsidRPr="005D3D23">
        <w:t>Evaluation</w:t>
      </w:r>
      <w:bookmarkEnd w:id="57"/>
    </w:p>
    <w:p w14:paraId="284BAF78" w14:textId="626E39FF" w:rsidR="007D4A12" w:rsidRPr="007E020C" w:rsidRDefault="007D4A12" w:rsidP="007D4A12">
      <w:pPr>
        <w:spacing w:line="264" w:lineRule="auto"/>
        <w:jc w:val="both"/>
        <w:rPr>
          <w:color w:val="222222"/>
          <w:sz w:val="24"/>
          <w:szCs w:val="24"/>
        </w:rPr>
      </w:pPr>
      <w:r w:rsidRPr="007E020C">
        <w:rPr>
          <w:color w:val="222222"/>
          <w:sz w:val="24"/>
          <w:szCs w:val="24"/>
        </w:rPr>
        <w:t xml:space="preserve">External evaluations are required to assess </w:t>
      </w:r>
      <w:r>
        <w:rPr>
          <w:color w:val="222222"/>
          <w:sz w:val="24"/>
          <w:szCs w:val="24"/>
        </w:rPr>
        <w:t>programme</w:t>
      </w:r>
      <w:r w:rsidRPr="007E020C">
        <w:rPr>
          <w:color w:val="222222"/>
          <w:sz w:val="24"/>
          <w:szCs w:val="24"/>
        </w:rPr>
        <w:t xml:space="preserve"> performance and </w:t>
      </w:r>
      <w:r>
        <w:rPr>
          <w:color w:val="222222"/>
          <w:sz w:val="24"/>
          <w:szCs w:val="24"/>
        </w:rPr>
        <w:t>at the</w:t>
      </w:r>
      <w:r w:rsidRPr="007E020C">
        <w:rPr>
          <w:color w:val="222222"/>
          <w:sz w:val="24"/>
          <w:szCs w:val="24"/>
        </w:rPr>
        <w:t xml:space="preserve"> mid-term and, if necessary, </w:t>
      </w:r>
      <w:r>
        <w:rPr>
          <w:color w:val="222222"/>
          <w:sz w:val="24"/>
          <w:szCs w:val="24"/>
        </w:rPr>
        <w:t>around</w:t>
      </w:r>
      <w:r w:rsidRPr="007E020C">
        <w:rPr>
          <w:color w:val="222222"/>
          <w:sz w:val="24"/>
          <w:szCs w:val="24"/>
        </w:rPr>
        <w:t xml:space="preserve"> the time of programme closure. Evaluations are used to analyze programme </w:t>
      </w:r>
      <w:r w:rsidRPr="007E020C">
        <w:rPr>
          <w:color w:val="222222"/>
          <w:sz w:val="24"/>
          <w:szCs w:val="24"/>
        </w:rPr>
        <w:lastRenderedPageBreak/>
        <w:t>performance and demonstrate the validity of theories of change.</w:t>
      </w:r>
      <w:r>
        <w:rPr>
          <w:color w:val="222222"/>
          <w:sz w:val="24"/>
          <w:szCs w:val="24"/>
        </w:rPr>
        <w:t xml:space="preserve"> </w:t>
      </w:r>
      <w:r w:rsidR="003A08FE">
        <w:rPr>
          <w:color w:val="222222"/>
          <w:sz w:val="24"/>
          <w:szCs w:val="24"/>
        </w:rPr>
        <w:t>The Fund’s</w:t>
      </w:r>
      <w:r>
        <w:rPr>
          <w:color w:val="222222"/>
          <w:sz w:val="24"/>
          <w:szCs w:val="24"/>
        </w:rPr>
        <w:t xml:space="preserve"> </w:t>
      </w:r>
      <w:r w:rsidRPr="007E020C">
        <w:rPr>
          <w:color w:val="222222"/>
          <w:sz w:val="24"/>
          <w:szCs w:val="24"/>
        </w:rPr>
        <w:t xml:space="preserve">mid-term and final </w:t>
      </w:r>
      <w:r>
        <w:rPr>
          <w:color w:val="222222"/>
          <w:sz w:val="24"/>
          <w:szCs w:val="24"/>
        </w:rPr>
        <w:t>(</w:t>
      </w:r>
      <w:r w:rsidRPr="007E020C">
        <w:rPr>
          <w:color w:val="222222"/>
          <w:sz w:val="24"/>
          <w:szCs w:val="24"/>
        </w:rPr>
        <w:t>independent</w:t>
      </w:r>
      <w:r>
        <w:rPr>
          <w:color w:val="222222"/>
          <w:sz w:val="24"/>
          <w:szCs w:val="24"/>
        </w:rPr>
        <w:t>)</w:t>
      </w:r>
      <w:r w:rsidRPr="007E020C">
        <w:rPr>
          <w:color w:val="222222"/>
          <w:sz w:val="24"/>
          <w:szCs w:val="24"/>
        </w:rPr>
        <w:t xml:space="preserve"> evaluations will be commissioned by the </w:t>
      </w:r>
      <w:r w:rsidR="003A08FE">
        <w:rPr>
          <w:color w:val="222222"/>
          <w:sz w:val="24"/>
          <w:szCs w:val="24"/>
        </w:rPr>
        <w:t>Steering Committee</w:t>
      </w:r>
      <w:r w:rsidRPr="007E020C">
        <w:rPr>
          <w:color w:val="222222"/>
          <w:sz w:val="24"/>
          <w:szCs w:val="24"/>
        </w:rPr>
        <w:t xml:space="preserve"> to assess overall </w:t>
      </w:r>
      <w:r>
        <w:rPr>
          <w:color w:val="222222"/>
          <w:sz w:val="24"/>
          <w:szCs w:val="24"/>
        </w:rPr>
        <w:t xml:space="preserve">Fund </w:t>
      </w:r>
      <w:r w:rsidRPr="007E020C">
        <w:rPr>
          <w:color w:val="222222"/>
          <w:sz w:val="24"/>
          <w:szCs w:val="24"/>
        </w:rPr>
        <w:t>performance, design</w:t>
      </w:r>
      <w:r w:rsidR="003A08FE">
        <w:rPr>
          <w:color w:val="222222"/>
          <w:sz w:val="24"/>
          <w:szCs w:val="24"/>
        </w:rPr>
        <w:t xml:space="preserve"> and</w:t>
      </w:r>
      <w:r w:rsidRPr="007E020C">
        <w:rPr>
          <w:color w:val="222222"/>
          <w:sz w:val="24"/>
          <w:szCs w:val="24"/>
        </w:rPr>
        <w:t xml:space="preserve"> management. </w:t>
      </w:r>
      <w:r>
        <w:rPr>
          <w:color w:val="222222"/>
          <w:sz w:val="24"/>
          <w:szCs w:val="24"/>
        </w:rPr>
        <w:t>In</w:t>
      </w:r>
      <w:r w:rsidRPr="007E020C">
        <w:rPr>
          <w:color w:val="222222"/>
          <w:sz w:val="24"/>
          <w:szCs w:val="24"/>
        </w:rPr>
        <w:t xml:space="preserve"> </w:t>
      </w:r>
      <w:r>
        <w:rPr>
          <w:color w:val="222222"/>
          <w:sz w:val="24"/>
          <w:szCs w:val="24"/>
        </w:rPr>
        <w:t>the</w:t>
      </w:r>
      <w:r w:rsidRPr="007E020C">
        <w:rPr>
          <w:color w:val="222222"/>
          <w:sz w:val="24"/>
          <w:szCs w:val="24"/>
        </w:rPr>
        <w:t xml:space="preserve"> evaluation specific recommendations may be provided to the </w:t>
      </w:r>
      <w:r w:rsidR="003A08FE">
        <w:rPr>
          <w:color w:val="222222"/>
          <w:sz w:val="24"/>
          <w:szCs w:val="24"/>
        </w:rPr>
        <w:t>Steering Committee</w:t>
      </w:r>
      <w:r w:rsidR="003A08FE" w:rsidRPr="007E020C">
        <w:rPr>
          <w:color w:val="222222"/>
          <w:sz w:val="24"/>
          <w:szCs w:val="24"/>
        </w:rPr>
        <w:t xml:space="preserve"> </w:t>
      </w:r>
      <w:r w:rsidRPr="007E020C">
        <w:rPr>
          <w:color w:val="222222"/>
          <w:sz w:val="24"/>
          <w:szCs w:val="24"/>
        </w:rPr>
        <w:t>to guide revisions to the theory of change</w:t>
      </w:r>
      <w:r w:rsidR="005D3D23">
        <w:rPr>
          <w:color w:val="222222"/>
          <w:sz w:val="24"/>
          <w:szCs w:val="24"/>
        </w:rPr>
        <w:t>,</w:t>
      </w:r>
      <w:r w:rsidRPr="007E020C">
        <w:rPr>
          <w:color w:val="222222"/>
          <w:sz w:val="24"/>
          <w:szCs w:val="24"/>
        </w:rPr>
        <w:t xml:space="preserve"> governance arrangements, and/or </w:t>
      </w:r>
      <w:r w:rsidR="005D3D23">
        <w:rPr>
          <w:color w:val="222222"/>
          <w:sz w:val="24"/>
          <w:szCs w:val="24"/>
        </w:rPr>
        <w:t>project approval</w:t>
      </w:r>
      <w:r w:rsidRPr="007E020C">
        <w:rPr>
          <w:color w:val="222222"/>
          <w:sz w:val="24"/>
          <w:szCs w:val="24"/>
        </w:rPr>
        <w:t xml:space="preserve"> cycle.</w:t>
      </w:r>
    </w:p>
    <w:p w14:paraId="36DC7D60" w14:textId="738A76D0" w:rsidR="002B462A" w:rsidRPr="003A08FE" w:rsidRDefault="00C20716" w:rsidP="003A08FE">
      <w:pPr>
        <w:pStyle w:val="Heading2"/>
      </w:pPr>
      <w:bookmarkStart w:id="58" w:name="_Toc39503346"/>
      <w:r>
        <w:t>8</w:t>
      </w:r>
      <w:r w:rsidR="00172415">
        <w:t xml:space="preserve">.3 </w:t>
      </w:r>
      <w:r w:rsidR="002B462A" w:rsidRPr="003A08FE">
        <w:t>Report</w:t>
      </w:r>
      <w:r w:rsidR="00EB1A50" w:rsidRPr="003A08FE">
        <w:t>ing</w:t>
      </w:r>
      <w:r w:rsidR="002B462A" w:rsidRPr="003A08FE">
        <w:t>:</w:t>
      </w:r>
      <w:bookmarkEnd w:id="58"/>
      <w:r w:rsidR="002B462A" w:rsidRPr="003A08FE">
        <w:t xml:space="preserve"> </w:t>
      </w:r>
    </w:p>
    <w:p w14:paraId="43C2A39E" w14:textId="2A7F200D" w:rsidR="002B462A" w:rsidRDefault="002B462A" w:rsidP="00C40B44">
      <w:pPr>
        <w:jc w:val="both"/>
      </w:pPr>
      <w:r>
        <w:t xml:space="preserve">The responsibilities related to reporting are gathered and detailed in the Memorandum of Understanding (section IV) and Standard Administrative Agreements </w:t>
      </w:r>
      <w:r w:rsidR="006E5B39">
        <w:t xml:space="preserve">(SAA) </w:t>
      </w:r>
      <w:r>
        <w:t>(section V).</w:t>
      </w:r>
    </w:p>
    <w:p w14:paraId="1D0BB2C7" w14:textId="77777777" w:rsidR="002B462A" w:rsidRDefault="002B462A" w:rsidP="00C40B44">
      <w:pPr>
        <w:jc w:val="both"/>
      </w:pPr>
      <w:r>
        <w:t xml:space="preserve">All the implementing entities will carry out annual and final reports on activities and expenditures according to a common format designed for the Fund. </w:t>
      </w:r>
    </w:p>
    <w:p w14:paraId="6EA70230" w14:textId="77777777" w:rsidR="00F419AC" w:rsidRDefault="00F419AC" w:rsidP="00C45251">
      <w:pPr>
        <w:rPr>
          <w:rFonts w:ascii="Calibri" w:hAnsi="Calibri"/>
          <w:u w:val="single"/>
        </w:rPr>
      </w:pPr>
    </w:p>
    <w:p w14:paraId="64D62F9E" w14:textId="463B5E8C" w:rsidR="00C45251" w:rsidRPr="00C27AF7" w:rsidRDefault="00C45251" w:rsidP="00C45251">
      <w:pPr>
        <w:rPr>
          <w:rFonts w:ascii="Calibri" w:hAnsi="Calibri"/>
          <w:szCs w:val="24"/>
          <w:u w:val="single"/>
        </w:rPr>
      </w:pPr>
      <w:r>
        <w:rPr>
          <w:rFonts w:ascii="Calibri" w:hAnsi="Calibri"/>
          <w:u w:val="single"/>
        </w:rPr>
        <w:t>Narrative report</w:t>
      </w:r>
      <w:r w:rsidR="00210190">
        <w:rPr>
          <w:rFonts w:ascii="Calibri" w:hAnsi="Calibri"/>
          <w:u w:val="single"/>
        </w:rPr>
        <w:t>s</w:t>
      </w:r>
    </w:p>
    <w:p w14:paraId="07EDAA80" w14:textId="7D54DD12" w:rsidR="00C45251" w:rsidRPr="00C27AF7" w:rsidRDefault="00C45251" w:rsidP="00C45251">
      <w:pPr>
        <w:pStyle w:val="ListParagraph"/>
        <w:tabs>
          <w:tab w:val="left" w:pos="720"/>
        </w:tabs>
        <w:ind w:left="0"/>
        <w:jc w:val="both"/>
        <w:rPr>
          <w:rFonts w:ascii="Calibri" w:hAnsi="Calibri"/>
          <w:szCs w:val="24"/>
        </w:rPr>
      </w:pPr>
      <w:r>
        <w:rPr>
          <w:rFonts w:ascii="Calibri" w:hAnsi="Calibri"/>
        </w:rPr>
        <w:t xml:space="preserve">The </w:t>
      </w:r>
      <w:r w:rsidR="000E793B">
        <w:rPr>
          <w:rFonts w:ascii="Calibri" w:hAnsi="Calibri"/>
        </w:rPr>
        <w:t>Participating UN Organizations</w:t>
      </w:r>
      <w:r>
        <w:rPr>
          <w:rFonts w:ascii="Calibri" w:hAnsi="Calibri"/>
        </w:rPr>
        <w:t xml:space="preserve"> will present the following reports to the Secretariat for consolidation and further transmission the Administrative Agent:</w:t>
      </w:r>
    </w:p>
    <w:p w14:paraId="43B2ABC5" w14:textId="77777777" w:rsidR="00C45251" w:rsidRPr="00C27AF7" w:rsidRDefault="00C45251" w:rsidP="00B31055">
      <w:pPr>
        <w:numPr>
          <w:ilvl w:val="0"/>
          <w:numId w:val="10"/>
        </w:numPr>
        <w:spacing w:after="0" w:line="240" w:lineRule="auto"/>
        <w:jc w:val="both"/>
        <w:rPr>
          <w:rFonts w:ascii="Calibri" w:hAnsi="Calibri"/>
          <w:szCs w:val="24"/>
        </w:rPr>
      </w:pPr>
      <w:r>
        <w:rPr>
          <w:rFonts w:ascii="Calibri" w:hAnsi="Calibri"/>
        </w:rPr>
        <w:t xml:space="preserve">Annual narrative reports to be provided no more than three months (March 31st) after the end of the calendar year; </w:t>
      </w:r>
    </w:p>
    <w:p w14:paraId="3874720B" w14:textId="77777777" w:rsidR="00C45251" w:rsidRPr="00C27AF7" w:rsidRDefault="00C45251" w:rsidP="00C45251">
      <w:pPr>
        <w:ind w:left="720"/>
        <w:jc w:val="both"/>
        <w:rPr>
          <w:rFonts w:ascii="Calibri" w:hAnsi="Calibri"/>
          <w:szCs w:val="24"/>
        </w:rPr>
      </w:pPr>
    </w:p>
    <w:p w14:paraId="6647E2CA" w14:textId="77777777" w:rsidR="00C45251" w:rsidRPr="00C27AF7" w:rsidRDefault="00C45251" w:rsidP="00B31055">
      <w:pPr>
        <w:numPr>
          <w:ilvl w:val="0"/>
          <w:numId w:val="10"/>
        </w:numPr>
        <w:spacing w:after="0" w:line="240" w:lineRule="auto"/>
        <w:jc w:val="both"/>
        <w:rPr>
          <w:rFonts w:ascii="Calibri" w:hAnsi="Calibri"/>
          <w:szCs w:val="24"/>
        </w:rPr>
      </w:pPr>
      <w:r>
        <w:rPr>
          <w:rFonts w:ascii="Calibri" w:hAnsi="Calibri"/>
        </w:rPr>
        <w:t xml:space="preserve">Final narrative reports after the end of activities contained in the program-related approved document, including the final year of such activities, to be submitted no more than four months (April 30th) in the following year after the financial closure of the Fund. </w:t>
      </w:r>
    </w:p>
    <w:p w14:paraId="6ED45491" w14:textId="77777777" w:rsidR="00C45251" w:rsidRPr="00C27AF7" w:rsidRDefault="00C45251" w:rsidP="00C45251">
      <w:pPr>
        <w:pStyle w:val="ListParagraph"/>
        <w:rPr>
          <w:rFonts w:ascii="Calibri" w:hAnsi="Calibri"/>
          <w:szCs w:val="24"/>
        </w:rPr>
      </w:pPr>
    </w:p>
    <w:p w14:paraId="62BD422C" w14:textId="77777777" w:rsidR="00C45251" w:rsidRPr="00C27AF7" w:rsidRDefault="00C45251" w:rsidP="00C45251">
      <w:pPr>
        <w:jc w:val="both"/>
        <w:rPr>
          <w:rFonts w:ascii="Calibri" w:hAnsi="Calibri"/>
          <w:szCs w:val="24"/>
        </w:rPr>
      </w:pPr>
      <w:r>
        <w:rPr>
          <w:rFonts w:ascii="Calibri" w:hAnsi="Calibri"/>
        </w:rPr>
        <w:t xml:space="preserve">Annual and final reports will exhibit results based on evidence. Annual and final narrative reports will compare actual results against estimated results in terms of outputs and outcomes and they will explain the reasons of higher or lower performance. The final narrative report will also include the analysis of how the outputs and outcomes have contributed to the Fund's global impact. </w:t>
      </w:r>
    </w:p>
    <w:p w14:paraId="56D31B98" w14:textId="600DCFC5" w:rsidR="00C45251" w:rsidRPr="00C27AF7" w:rsidRDefault="00C45251" w:rsidP="00C45251">
      <w:pPr>
        <w:jc w:val="both"/>
        <w:rPr>
          <w:rFonts w:ascii="Calibri" w:hAnsi="Calibri"/>
          <w:szCs w:val="24"/>
          <w:u w:val="single"/>
        </w:rPr>
      </w:pPr>
      <w:r>
        <w:rPr>
          <w:rFonts w:ascii="Calibri" w:hAnsi="Calibri"/>
          <w:u w:val="single"/>
        </w:rPr>
        <w:t>Financial Report</w:t>
      </w:r>
      <w:r w:rsidR="00210190">
        <w:rPr>
          <w:rFonts w:ascii="Calibri" w:hAnsi="Calibri"/>
          <w:u w:val="single"/>
        </w:rPr>
        <w:t>s</w:t>
      </w:r>
    </w:p>
    <w:p w14:paraId="7BD670CE" w14:textId="3766AA83" w:rsidR="00C45251" w:rsidRPr="00C27AF7" w:rsidRDefault="00210190" w:rsidP="00C45251">
      <w:pPr>
        <w:pStyle w:val="ListParagraph"/>
        <w:tabs>
          <w:tab w:val="left" w:pos="720"/>
        </w:tabs>
        <w:ind w:left="0"/>
        <w:jc w:val="both"/>
        <w:rPr>
          <w:rFonts w:ascii="Calibri" w:hAnsi="Calibri"/>
          <w:szCs w:val="24"/>
        </w:rPr>
      </w:pPr>
      <w:r>
        <w:rPr>
          <w:rFonts w:ascii="Calibri" w:hAnsi="Calibri"/>
        </w:rPr>
        <w:t>Th</w:t>
      </w:r>
      <w:r w:rsidR="00C45251">
        <w:rPr>
          <w:rFonts w:ascii="Calibri" w:hAnsi="Calibri"/>
        </w:rPr>
        <w:t xml:space="preserve">e </w:t>
      </w:r>
      <w:r w:rsidR="000E793B">
        <w:rPr>
          <w:rFonts w:ascii="Calibri" w:hAnsi="Calibri"/>
        </w:rPr>
        <w:t>Participating UN Organizations</w:t>
      </w:r>
      <w:r w:rsidR="00C45251">
        <w:rPr>
          <w:rFonts w:ascii="Calibri" w:hAnsi="Calibri"/>
        </w:rPr>
        <w:t xml:space="preserve"> will present the following financial statements and reports to the Administrative Agent:</w:t>
      </w:r>
    </w:p>
    <w:p w14:paraId="6CB27FD3" w14:textId="77777777" w:rsidR="00C45251" w:rsidRPr="00C27AF7" w:rsidRDefault="00C45251" w:rsidP="00C45251">
      <w:pPr>
        <w:ind w:left="720"/>
        <w:jc w:val="both"/>
        <w:rPr>
          <w:rFonts w:ascii="Calibri" w:hAnsi="Calibri"/>
          <w:szCs w:val="24"/>
        </w:rPr>
      </w:pPr>
    </w:p>
    <w:p w14:paraId="16DEBE90" w14:textId="77777777" w:rsidR="00C45251" w:rsidRPr="00C27AF7" w:rsidRDefault="00C45251" w:rsidP="00B31055">
      <w:pPr>
        <w:numPr>
          <w:ilvl w:val="0"/>
          <w:numId w:val="11"/>
        </w:numPr>
        <w:spacing w:after="0" w:line="240" w:lineRule="auto"/>
        <w:ind w:left="1080"/>
        <w:jc w:val="both"/>
        <w:rPr>
          <w:rFonts w:ascii="Calibri" w:hAnsi="Calibri"/>
          <w:szCs w:val="24"/>
        </w:rPr>
      </w:pPr>
      <w:r>
        <w:rPr>
          <w:rFonts w:ascii="Calibri" w:hAnsi="Calibri"/>
        </w:rPr>
        <w:t xml:space="preserve">Annual financial statements and reports to December 31st, regarding released resources by the Fund to them; these shall be provided no more than four months (April 30th) after the ending of the calendar year; </w:t>
      </w:r>
    </w:p>
    <w:p w14:paraId="7A4145FE" w14:textId="77777777" w:rsidR="00C45251" w:rsidRPr="00C27AF7" w:rsidRDefault="00C45251" w:rsidP="00C45251">
      <w:pPr>
        <w:pStyle w:val="ListParagraph"/>
        <w:ind w:left="1080"/>
        <w:rPr>
          <w:rFonts w:ascii="Calibri" w:hAnsi="Calibri"/>
          <w:szCs w:val="24"/>
        </w:rPr>
      </w:pPr>
    </w:p>
    <w:p w14:paraId="35271D81" w14:textId="77777777" w:rsidR="00C45251" w:rsidRPr="00C27AF7" w:rsidRDefault="00C45251" w:rsidP="00B31055">
      <w:pPr>
        <w:numPr>
          <w:ilvl w:val="0"/>
          <w:numId w:val="11"/>
        </w:numPr>
        <w:spacing w:after="0" w:line="240" w:lineRule="auto"/>
        <w:ind w:left="1080"/>
        <w:jc w:val="both"/>
        <w:rPr>
          <w:rFonts w:ascii="Calibri" w:hAnsi="Calibri"/>
          <w:szCs w:val="24"/>
        </w:rPr>
      </w:pPr>
      <w:r>
        <w:rPr>
          <w:rFonts w:ascii="Calibri" w:hAnsi="Calibri"/>
        </w:rPr>
        <w:t>Final certified financial statements and financial reports after the completion of activities contained in the program-related approved document, including the final year of such activities, to be submitted no more than six months (June 30th) in the following year after the financial closure of the Fund.</w:t>
      </w:r>
    </w:p>
    <w:p w14:paraId="38A3BDFF" w14:textId="77777777" w:rsidR="00C45251" w:rsidRPr="00C27AF7" w:rsidRDefault="00C45251" w:rsidP="00C45251">
      <w:pPr>
        <w:jc w:val="both"/>
        <w:rPr>
          <w:rFonts w:ascii="Calibri" w:hAnsi="Calibri"/>
          <w:szCs w:val="24"/>
        </w:rPr>
      </w:pPr>
    </w:p>
    <w:p w14:paraId="7CBCBB32" w14:textId="77777777" w:rsidR="00C45251" w:rsidRPr="00C27AF7" w:rsidRDefault="00C45251" w:rsidP="00C45251">
      <w:pPr>
        <w:pStyle w:val="ListParagraph"/>
        <w:ind w:left="0"/>
        <w:jc w:val="both"/>
        <w:rPr>
          <w:rFonts w:ascii="Calibri" w:hAnsi="Calibri"/>
          <w:szCs w:val="24"/>
        </w:rPr>
      </w:pPr>
      <w:r>
        <w:rPr>
          <w:rFonts w:ascii="Calibri" w:hAnsi="Calibri"/>
        </w:rPr>
        <w:t>Based on these reports, the Administrative Agent will prepare consolidated narrative and financial reports which will submit to each of the Fund's Contributors and to the Steering Committee as per the schedule established in the Standard Administrative Agreement.</w:t>
      </w:r>
    </w:p>
    <w:p w14:paraId="6F666C04" w14:textId="77777777" w:rsidR="002B462A" w:rsidRDefault="002B462A" w:rsidP="00C40B44">
      <w:pPr>
        <w:jc w:val="both"/>
        <w:rPr>
          <w:b/>
        </w:rPr>
      </w:pPr>
    </w:p>
    <w:p w14:paraId="474AC339" w14:textId="77777777" w:rsidR="002B462A" w:rsidRPr="0098207F" w:rsidRDefault="002B462A" w:rsidP="00C20716">
      <w:pPr>
        <w:pStyle w:val="Heading1"/>
        <w:numPr>
          <w:ilvl w:val="0"/>
          <w:numId w:val="7"/>
        </w:numPr>
        <w:rPr>
          <w:b/>
        </w:rPr>
      </w:pPr>
      <w:bookmarkStart w:id="59" w:name="_Toc443408931"/>
      <w:bookmarkStart w:id="60" w:name="_Toc39503347"/>
      <w:r>
        <w:rPr>
          <w:b/>
        </w:rPr>
        <w:t>Accountability and transparency</w:t>
      </w:r>
      <w:bookmarkEnd w:id="59"/>
      <w:bookmarkEnd w:id="60"/>
    </w:p>
    <w:p w14:paraId="1A303F98" w14:textId="77777777" w:rsidR="0098207F" w:rsidRDefault="0098207F" w:rsidP="00C40B44">
      <w:pPr>
        <w:jc w:val="both"/>
      </w:pPr>
    </w:p>
    <w:p w14:paraId="4804748C" w14:textId="78A82A05" w:rsidR="002B462A" w:rsidRPr="00636CB9" w:rsidRDefault="002B462A" w:rsidP="00C40B44">
      <w:pPr>
        <w:jc w:val="both"/>
      </w:pPr>
      <w:r>
        <w:t xml:space="preserve">These clauses are detailed in the legal instruments that will govern the Fund (MOU and SAA). </w:t>
      </w:r>
    </w:p>
    <w:p w14:paraId="6DF7FFE4" w14:textId="5BB25E59" w:rsidR="002B462A" w:rsidRPr="00636CB9" w:rsidRDefault="00C20716" w:rsidP="009E1F35">
      <w:pPr>
        <w:pStyle w:val="Heading2"/>
      </w:pPr>
      <w:bookmarkStart w:id="61" w:name="_Toc39503348"/>
      <w:r>
        <w:t>9</w:t>
      </w:r>
      <w:r w:rsidR="009E1F35">
        <w:t xml:space="preserve">.1 </w:t>
      </w:r>
      <w:r w:rsidR="002B462A">
        <w:t>Accountability</w:t>
      </w:r>
      <w:bookmarkEnd w:id="61"/>
    </w:p>
    <w:p w14:paraId="5E20B048" w14:textId="4CA20CAA" w:rsidR="002B462A" w:rsidRPr="00636CB9" w:rsidRDefault="004E2E92" w:rsidP="00C40B44">
      <w:pPr>
        <w:jc w:val="both"/>
      </w:pPr>
      <w:r>
        <w:t xml:space="preserve">The UNS will provide implementation services in accordance with its own financial regulations, rules and policies. </w:t>
      </w:r>
    </w:p>
    <w:p w14:paraId="2717AE12" w14:textId="77777777" w:rsidR="00454755" w:rsidRPr="00185C5D" w:rsidRDefault="002B462A" w:rsidP="00C40B44">
      <w:pPr>
        <w:jc w:val="both"/>
        <w:rPr>
          <w:rFonts w:cs="Arial"/>
        </w:rPr>
      </w:pPr>
      <w:r>
        <w:t>For each project or program approved for funding, each implementing entity will provide the Secretariat and the MPTFO annual and final reports and financial statements prepared in accordance with their accounting system and reporting procedures, as stated in the legal agreements signed with the Administrative Agent.</w:t>
      </w:r>
    </w:p>
    <w:p w14:paraId="527DC24D" w14:textId="7E768DA7" w:rsidR="002B462A" w:rsidRPr="00D227EB" w:rsidRDefault="002B462A" w:rsidP="00C40B44">
      <w:pPr>
        <w:jc w:val="both"/>
      </w:pPr>
      <w:r>
        <w:t xml:space="preserve">Financial audit: the Administrative Agent and the UN implementing bodies will be audited according to their own financial rules and regulations, in line with the audit framework for multi-donor funds, as agreed by the </w:t>
      </w:r>
      <w:r w:rsidR="00B3655B">
        <w:t>A</w:t>
      </w:r>
      <w:r>
        <w:t xml:space="preserve">udit </w:t>
      </w:r>
      <w:r w:rsidR="00B3655B">
        <w:t>I</w:t>
      </w:r>
      <w:r>
        <w:t xml:space="preserve">nternal </w:t>
      </w:r>
      <w:r w:rsidR="00B3655B">
        <w:t>S</w:t>
      </w:r>
      <w:r>
        <w:t>ervices of the UN implementing bodies and endorsed by UNDG in September 2007.</w:t>
      </w:r>
    </w:p>
    <w:p w14:paraId="702C5E24" w14:textId="4B406CAB" w:rsidR="002B462A" w:rsidRPr="006B123B" w:rsidRDefault="00C20716" w:rsidP="009E1F35">
      <w:pPr>
        <w:pStyle w:val="Heading2"/>
      </w:pPr>
      <w:bookmarkStart w:id="62" w:name="_Toc39503349"/>
      <w:r>
        <w:t>9</w:t>
      </w:r>
      <w:r w:rsidR="009E1F35">
        <w:t xml:space="preserve">.2. </w:t>
      </w:r>
      <w:r w:rsidR="002B462A" w:rsidRPr="006B123B">
        <w:t>Transparenc</w:t>
      </w:r>
      <w:r w:rsidR="001559DE">
        <w:t>y</w:t>
      </w:r>
      <w:bookmarkEnd w:id="62"/>
    </w:p>
    <w:p w14:paraId="71247F4A" w14:textId="77777777" w:rsidR="002B462A" w:rsidRPr="00185C5D" w:rsidRDefault="002B462A" w:rsidP="00C40B44">
      <w:pPr>
        <w:jc w:val="both"/>
        <w:rPr>
          <w:rFonts w:cs="Arial"/>
        </w:rPr>
      </w:pPr>
      <w:r>
        <w:t>The MPTFO website, Gateway (http://mptf.undp.org), is a web-based service portal that provides real-time financial data issued directly from the UNDP accounting system. Once established, the Fund will have a separate page in the Gateway portal which will allow partners and the public at large to follow-up the Fund contributions, transfers and expenses, and access key documents and reports.</w:t>
      </w:r>
    </w:p>
    <w:p w14:paraId="20342F99" w14:textId="77777777" w:rsidR="00454755" w:rsidRDefault="002B462A" w:rsidP="00C40B44">
      <w:pPr>
        <w:jc w:val="both"/>
        <w:rPr>
          <w:rFonts w:cs="Arial"/>
        </w:rPr>
      </w:pPr>
      <w:r>
        <w:t xml:space="preserve">The Secretariat and the MPTFO will ensure that the Fund's operations are posted on the Gateway portal. From its side, each implementing entity will take appropriate measures to promote the Fund. Information shared with the media regarding beneficiaries of funding, official press releases, reports and publications will acknowledge the role of the Fund. </w:t>
      </w:r>
    </w:p>
    <w:p w14:paraId="2107DF0F" w14:textId="1BF06642" w:rsidR="009D7FF5" w:rsidRDefault="009D7FF5" w:rsidP="00C40B44">
      <w:pPr>
        <w:jc w:val="both"/>
        <w:rPr>
          <w:rFonts w:cs="Arial"/>
        </w:rPr>
      </w:pPr>
    </w:p>
    <w:p w14:paraId="5BB9B487" w14:textId="3FF0B6D2" w:rsidR="002D3D76" w:rsidRPr="005315DB" w:rsidRDefault="000E3F57" w:rsidP="00C20716">
      <w:pPr>
        <w:pStyle w:val="Heading1"/>
        <w:numPr>
          <w:ilvl w:val="0"/>
          <w:numId w:val="7"/>
        </w:numPr>
        <w:rPr>
          <w:b/>
        </w:rPr>
      </w:pPr>
      <w:bookmarkStart w:id="63" w:name="_Toc443408934"/>
      <w:bookmarkStart w:id="64" w:name="_Toc39503350"/>
      <w:r>
        <w:rPr>
          <w:b/>
        </w:rPr>
        <w:t>Amendments, duration and termination</w:t>
      </w:r>
      <w:bookmarkEnd w:id="63"/>
      <w:bookmarkEnd w:id="64"/>
      <w:r>
        <w:rPr>
          <w:b/>
        </w:rPr>
        <w:t xml:space="preserve"> </w:t>
      </w:r>
    </w:p>
    <w:p w14:paraId="483A8C9D" w14:textId="77777777" w:rsidR="00AE6CFB" w:rsidRDefault="00AE6CFB" w:rsidP="00AE6CFB">
      <w:pPr>
        <w:spacing w:after="240"/>
        <w:ind w:left="567"/>
        <w:jc w:val="both"/>
        <w:rPr>
          <w:lang w:val="en-GB"/>
        </w:rPr>
      </w:pPr>
    </w:p>
    <w:p w14:paraId="3C35EE88" w14:textId="5CEA2F52" w:rsidR="00AE6CFB" w:rsidRPr="00AE6CFB" w:rsidRDefault="00AE6CFB" w:rsidP="00AE6CFB">
      <w:pPr>
        <w:spacing w:after="240"/>
        <w:jc w:val="both"/>
        <w:rPr>
          <w:bCs/>
          <w:lang w:val="en-GB"/>
        </w:rPr>
      </w:pPr>
      <w:r w:rsidRPr="00AE6CFB">
        <w:rPr>
          <w:lang w:val="en-GB"/>
        </w:rPr>
        <w:t xml:space="preserve">The present Terms of Reference may be modified at any time by the </w:t>
      </w:r>
      <w:r w:rsidRPr="00AE6CFB">
        <w:rPr>
          <w:bCs/>
          <w:lang w:val="en-GB"/>
        </w:rPr>
        <w:t>Steering Committee.</w:t>
      </w:r>
    </w:p>
    <w:p w14:paraId="7C0CA734" w14:textId="6D8D803C" w:rsidR="00AE6CFB" w:rsidRPr="00EE3AA1" w:rsidRDefault="00AE6CFB" w:rsidP="00AE6CFB">
      <w:pPr>
        <w:tabs>
          <w:tab w:val="left" w:pos="540"/>
        </w:tabs>
        <w:spacing w:after="240"/>
        <w:jc w:val="both"/>
      </w:pPr>
      <w:r w:rsidRPr="00AE6CFB">
        <w:rPr>
          <w:lang w:val="en-GB"/>
        </w:rPr>
        <w:t xml:space="preserve">The </w:t>
      </w:r>
      <w:r>
        <w:rPr>
          <w:lang w:val="en-GB"/>
        </w:rPr>
        <w:t>UN Uganda MPTF</w:t>
      </w:r>
      <w:r w:rsidRPr="00AE6CFB">
        <w:rPr>
          <w:lang w:val="en-GB"/>
        </w:rPr>
        <w:t xml:space="preserve"> Fund was established upon signing of the Memorandum of Understanding </w:t>
      </w:r>
      <w:r w:rsidR="00E8011B">
        <w:rPr>
          <w:lang w:val="en-GB"/>
        </w:rPr>
        <w:t>and</w:t>
      </w:r>
      <w:r w:rsidRPr="00AE6CFB">
        <w:rPr>
          <w:spacing w:val="-2"/>
          <w:lang w:val="en-GB"/>
        </w:rPr>
        <w:t xml:space="preserve"> will terminate upon completion of all programmes funded through the </w:t>
      </w:r>
      <w:r w:rsidRPr="00AE6CFB">
        <w:rPr>
          <w:lang w:val="en-GB"/>
        </w:rPr>
        <w:t>Fund</w:t>
      </w:r>
      <w:r w:rsidRPr="00AE6CFB">
        <w:rPr>
          <w:spacing w:val="-2"/>
          <w:lang w:val="en-GB"/>
        </w:rPr>
        <w:t xml:space="preserve"> and after satisfaction of all commitments and liabilities. This fund will have the same duration as </w:t>
      </w:r>
      <w:r w:rsidR="00842AA3">
        <w:rPr>
          <w:spacing w:val="-2"/>
          <w:lang w:val="en-GB"/>
        </w:rPr>
        <w:t>the following UNSDCF</w:t>
      </w:r>
      <w:r w:rsidRPr="00AE6CFB">
        <w:rPr>
          <w:spacing w:val="-2"/>
          <w:lang w:val="en-GB"/>
        </w:rPr>
        <w:t xml:space="preserve"> cycle that runs until the end of 202</w:t>
      </w:r>
      <w:r w:rsidR="00842AA3">
        <w:rPr>
          <w:spacing w:val="-2"/>
          <w:lang w:val="en-GB"/>
        </w:rPr>
        <w:t>5</w:t>
      </w:r>
      <w:r w:rsidRPr="00AE6CFB">
        <w:rPr>
          <w:spacing w:val="-2"/>
          <w:lang w:val="en-GB"/>
        </w:rPr>
        <w:t xml:space="preserve">. </w:t>
      </w:r>
    </w:p>
    <w:p w14:paraId="0C7760E4" w14:textId="50FC2104" w:rsidR="00AE6CFB" w:rsidRPr="00AE6CFB" w:rsidRDefault="00AE6CFB" w:rsidP="00AE6CFB">
      <w:pPr>
        <w:spacing w:after="240"/>
        <w:jc w:val="both"/>
        <w:rPr>
          <w:lang w:val="en-GB"/>
        </w:rPr>
      </w:pPr>
      <w:r w:rsidRPr="00AE6CFB">
        <w:rPr>
          <w:lang w:val="en-GB"/>
        </w:rPr>
        <w:lastRenderedPageBreak/>
        <w:t>The last date to transfer funds to Participating Organizations will be 31 December of the penultimate year of the programmatic cycle (i.e., 31 December 202</w:t>
      </w:r>
      <w:r w:rsidR="00FF7626">
        <w:rPr>
          <w:lang w:val="en-GB"/>
        </w:rPr>
        <w:t>4</w:t>
      </w:r>
      <w:r w:rsidRPr="00AE6CFB">
        <w:rPr>
          <w:lang w:val="en-GB"/>
        </w:rPr>
        <w:t>). Completion of all operational activities will be 31 December of the end year of the programme (i.e., 31 December 202</w:t>
      </w:r>
      <w:r w:rsidR="00A52979">
        <w:rPr>
          <w:lang w:val="en-GB"/>
        </w:rPr>
        <w:t>5</w:t>
      </w:r>
      <w:r w:rsidRPr="00AE6CFB">
        <w:rPr>
          <w:lang w:val="en-GB"/>
        </w:rPr>
        <w:t xml:space="preserve">). The dissemination of the final narrative report will be 30 June of the year following the operational closure of the programme. </w:t>
      </w:r>
    </w:p>
    <w:p w14:paraId="293A957A" w14:textId="77777777" w:rsidR="00F419AC" w:rsidRPr="00AE6CFB" w:rsidRDefault="00F419AC" w:rsidP="003E35E5">
      <w:pPr>
        <w:rPr>
          <w:b/>
          <w:color w:val="222222"/>
          <w:lang w:val="en-GB"/>
        </w:rPr>
      </w:pPr>
    </w:p>
    <w:p w14:paraId="00383283" w14:textId="32AA7B9B" w:rsidR="003E35E5" w:rsidRDefault="003E35E5" w:rsidP="003E35E5">
      <w:pPr>
        <w:rPr>
          <w:rFonts w:cs="Arial"/>
          <w:b/>
          <w:color w:val="222222"/>
        </w:rPr>
      </w:pPr>
      <w:r>
        <w:rPr>
          <w:b/>
          <w:color w:val="222222"/>
        </w:rPr>
        <w:t xml:space="preserve">Annex 1: </w:t>
      </w:r>
      <w:r w:rsidR="00E711F9">
        <w:rPr>
          <w:b/>
          <w:color w:val="222222"/>
        </w:rPr>
        <w:t>Emergency window</w:t>
      </w:r>
      <w:r>
        <w:rPr>
          <w:b/>
          <w:color w:val="222222"/>
        </w:rPr>
        <w:t xml:space="preserve"> results matrix </w:t>
      </w:r>
    </w:p>
    <w:sectPr w:rsidR="003E35E5" w:rsidSect="003E35E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08FC5" w14:textId="77777777" w:rsidR="001565C3" w:rsidRDefault="001565C3" w:rsidP="002F458B">
      <w:pPr>
        <w:spacing w:after="0" w:line="240" w:lineRule="auto"/>
      </w:pPr>
      <w:r>
        <w:separator/>
      </w:r>
    </w:p>
  </w:endnote>
  <w:endnote w:type="continuationSeparator" w:id="0">
    <w:p w14:paraId="634BED2B" w14:textId="77777777" w:rsidR="001565C3" w:rsidRDefault="001565C3" w:rsidP="002F4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229624"/>
      <w:docPartObj>
        <w:docPartGallery w:val="Page Numbers (Bottom of Page)"/>
        <w:docPartUnique/>
      </w:docPartObj>
    </w:sdtPr>
    <w:sdtEndPr/>
    <w:sdtContent>
      <w:p w14:paraId="04FA5C20" w14:textId="7BD4CD0E" w:rsidR="00A86377" w:rsidRDefault="00A86377">
        <w:pPr>
          <w:pStyle w:val="Footer"/>
          <w:jc w:val="right"/>
        </w:pPr>
        <w:r>
          <w:fldChar w:fldCharType="begin"/>
        </w:r>
        <w:r>
          <w:instrText>PAGE   \* MERGEFORMAT</w:instrText>
        </w:r>
        <w:r>
          <w:fldChar w:fldCharType="separate"/>
        </w:r>
        <w:r w:rsidR="00CE586C">
          <w:rPr>
            <w:noProof/>
          </w:rPr>
          <w:t>15</w:t>
        </w:r>
        <w:r>
          <w:rPr>
            <w:noProof/>
          </w:rPr>
          <w:fldChar w:fldCharType="end"/>
        </w:r>
      </w:p>
    </w:sdtContent>
  </w:sdt>
  <w:p w14:paraId="13ACF824" w14:textId="77777777" w:rsidR="00A86377" w:rsidRDefault="00A86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DC35A" w14:textId="77777777" w:rsidR="001565C3" w:rsidRDefault="001565C3" w:rsidP="002F458B">
      <w:pPr>
        <w:spacing w:after="0" w:line="240" w:lineRule="auto"/>
      </w:pPr>
      <w:r>
        <w:separator/>
      </w:r>
    </w:p>
  </w:footnote>
  <w:footnote w:type="continuationSeparator" w:id="0">
    <w:p w14:paraId="4BB1573A" w14:textId="77777777" w:rsidR="001565C3" w:rsidRDefault="001565C3" w:rsidP="002F45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34A8"/>
    <w:multiLevelType w:val="hybridMultilevel"/>
    <w:tmpl w:val="3FD41708"/>
    <w:lvl w:ilvl="0" w:tplc="0C0A000F">
      <w:start w:val="3"/>
      <w:numFmt w:val="decimal"/>
      <w:lvlText w:val="%1."/>
      <w:lvlJc w:val="left"/>
      <w:pPr>
        <w:ind w:left="927" w:hanging="360"/>
      </w:pPr>
      <w:rPr>
        <w:rFonts w:hint="default"/>
      </w:rPr>
    </w:lvl>
    <w:lvl w:ilvl="1" w:tplc="0C0A0019">
      <w:start w:val="1"/>
      <w:numFmt w:val="lowerLetter"/>
      <w:lvlText w:val="%2."/>
      <w:lvlJc w:val="left"/>
      <w:pPr>
        <w:ind w:left="1581" w:hanging="360"/>
      </w:pPr>
    </w:lvl>
    <w:lvl w:ilvl="2" w:tplc="0C0A001B" w:tentative="1">
      <w:start w:val="1"/>
      <w:numFmt w:val="lowerRoman"/>
      <w:lvlText w:val="%3."/>
      <w:lvlJc w:val="right"/>
      <w:pPr>
        <w:ind w:left="2301" w:hanging="180"/>
      </w:pPr>
    </w:lvl>
    <w:lvl w:ilvl="3" w:tplc="0C0A000F" w:tentative="1">
      <w:start w:val="1"/>
      <w:numFmt w:val="decimal"/>
      <w:lvlText w:val="%4."/>
      <w:lvlJc w:val="left"/>
      <w:pPr>
        <w:ind w:left="3021" w:hanging="360"/>
      </w:pPr>
    </w:lvl>
    <w:lvl w:ilvl="4" w:tplc="0C0A0019" w:tentative="1">
      <w:start w:val="1"/>
      <w:numFmt w:val="lowerLetter"/>
      <w:lvlText w:val="%5."/>
      <w:lvlJc w:val="left"/>
      <w:pPr>
        <w:ind w:left="3741" w:hanging="360"/>
      </w:pPr>
    </w:lvl>
    <w:lvl w:ilvl="5" w:tplc="0C0A001B" w:tentative="1">
      <w:start w:val="1"/>
      <w:numFmt w:val="lowerRoman"/>
      <w:lvlText w:val="%6."/>
      <w:lvlJc w:val="right"/>
      <w:pPr>
        <w:ind w:left="4461" w:hanging="180"/>
      </w:pPr>
    </w:lvl>
    <w:lvl w:ilvl="6" w:tplc="0C0A000F" w:tentative="1">
      <w:start w:val="1"/>
      <w:numFmt w:val="decimal"/>
      <w:lvlText w:val="%7."/>
      <w:lvlJc w:val="left"/>
      <w:pPr>
        <w:ind w:left="5181" w:hanging="360"/>
      </w:pPr>
    </w:lvl>
    <w:lvl w:ilvl="7" w:tplc="0C0A0019" w:tentative="1">
      <w:start w:val="1"/>
      <w:numFmt w:val="lowerLetter"/>
      <w:lvlText w:val="%8."/>
      <w:lvlJc w:val="left"/>
      <w:pPr>
        <w:ind w:left="5901" w:hanging="360"/>
      </w:pPr>
    </w:lvl>
    <w:lvl w:ilvl="8" w:tplc="0C0A001B" w:tentative="1">
      <w:start w:val="1"/>
      <w:numFmt w:val="lowerRoman"/>
      <w:lvlText w:val="%9."/>
      <w:lvlJc w:val="right"/>
      <w:pPr>
        <w:ind w:left="6621" w:hanging="180"/>
      </w:pPr>
    </w:lvl>
  </w:abstractNum>
  <w:abstractNum w:abstractNumId="1" w15:restartNumberingAfterBreak="0">
    <w:nsid w:val="08D63868"/>
    <w:multiLevelType w:val="hybridMultilevel"/>
    <w:tmpl w:val="4FF6FB2C"/>
    <w:lvl w:ilvl="0" w:tplc="4ECEA7C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B05C99"/>
    <w:multiLevelType w:val="hybridMultilevel"/>
    <w:tmpl w:val="6A327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BE52B1"/>
    <w:multiLevelType w:val="hybridMultilevel"/>
    <w:tmpl w:val="24321F02"/>
    <w:lvl w:ilvl="0" w:tplc="7D8E101E">
      <w:start w:val="4"/>
      <w:numFmt w:val="bullet"/>
      <w:lvlText w:val="-"/>
      <w:lvlJc w:val="left"/>
      <w:pPr>
        <w:ind w:left="-6840" w:hanging="360"/>
      </w:pPr>
      <w:rPr>
        <w:rFonts w:ascii="Calibri" w:eastAsiaTheme="minorHAnsi" w:hAnsi="Calibri" w:cstheme="minorBidi" w:hint="default"/>
      </w:rPr>
    </w:lvl>
    <w:lvl w:ilvl="1" w:tplc="240A0003">
      <w:start w:val="1"/>
      <w:numFmt w:val="bullet"/>
      <w:lvlText w:val="o"/>
      <w:lvlJc w:val="left"/>
      <w:pPr>
        <w:ind w:left="-6120" w:hanging="360"/>
      </w:pPr>
      <w:rPr>
        <w:rFonts w:ascii="Courier New" w:hAnsi="Courier New" w:cs="Courier New" w:hint="default"/>
      </w:rPr>
    </w:lvl>
    <w:lvl w:ilvl="2" w:tplc="240A0005" w:tentative="1">
      <w:start w:val="1"/>
      <w:numFmt w:val="bullet"/>
      <w:lvlText w:val=""/>
      <w:lvlJc w:val="left"/>
      <w:pPr>
        <w:ind w:left="-5400" w:hanging="360"/>
      </w:pPr>
      <w:rPr>
        <w:rFonts w:ascii="Wingdings" w:hAnsi="Wingdings" w:hint="default"/>
      </w:rPr>
    </w:lvl>
    <w:lvl w:ilvl="3" w:tplc="240A0001" w:tentative="1">
      <w:start w:val="1"/>
      <w:numFmt w:val="bullet"/>
      <w:lvlText w:val=""/>
      <w:lvlJc w:val="left"/>
      <w:pPr>
        <w:ind w:left="-468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3240" w:hanging="360"/>
      </w:pPr>
      <w:rPr>
        <w:rFonts w:ascii="Wingdings" w:hAnsi="Wingdings" w:hint="default"/>
      </w:rPr>
    </w:lvl>
    <w:lvl w:ilvl="6" w:tplc="240A0001" w:tentative="1">
      <w:start w:val="1"/>
      <w:numFmt w:val="bullet"/>
      <w:lvlText w:val=""/>
      <w:lvlJc w:val="left"/>
      <w:pPr>
        <w:ind w:left="-2520" w:hanging="360"/>
      </w:pPr>
      <w:rPr>
        <w:rFonts w:ascii="Symbol" w:hAnsi="Symbol" w:hint="default"/>
      </w:rPr>
    </w:lvl>
    <w:lvl w:ilvl="7" w:tplc="240A0003" w:tentative="1">
      <w:start w:val="1"/>
      <w:numFmt w:val="bullet"/>
      <w:lvlText w:val="o"/>
      <w:lvlJc w:val="left"/>
      <w:pPr>
        <w:ind w:left="-1800" w:hanging="360"/>
      </w:pPr>
      <w:rPr>
        <w:rFonts w:ascii="Courier New" w:hAnsi="Courier New" w:cs="Courier New" w:hint="default"/>
      </w:rPr>
    </w:lvl>
    <w:lvl w:ilvl="8" w:tplc="240A0005" w:tentative="1">
      <w:start w:val="1"/>
      <w:numFmt w:val="bullet"/>
      <w:lvlText w:val=""/>
      <w:lvlJc w:val="left"/>
      <w:pPr>
        <w:ind w:left="-1080" w:hanging="360"/>
      </w:pPr>
      <w:rPr>
        <w:rFonts w:ascii="Wingdings" w:hAnsi="Wingdings" w:hint="default"/>
      </w:rPr>
    </w:lvl>
  </w:abstractNum>
  <w:abstractNum w:abstractNumId="4" w15:restartNumberingAfterBreak="0">
    <w:nsid w:val="1C6E6E67"/>
    <w:multiLevelType w:val="hybridMultilevel"/>
    <w:tmpl w:val="7F24F168"/>
    <w:lvl w:ilvl="0" w:tplc="D5E8C228">
      <w:start w:val="15"/>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0FF0E0E"/>
    <w:multiLevelType w:val="hybridMultilevel"/>
    <w:tmpl w:val="06624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F3312"/>
    <w:multiLevelType w:val="hybridMultilevel"/>
    <w:tmpl w:val="F9500B9E"/>
    <w:lvl w:ilvl="0" w:tplc="7D8E101E">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622E3"/>
    <w:multiLevelType w:val="hybridMultilevel"/>
    <w:tmpl w:val="493CE9C4"/>
    <w:lvl w:ilvl="0" w:tplc="7D8E101E">
      <w:start w:val="4"/>
      <w:numFmt w:val="bullet"/>
      <w:lvlText w:val="-"/>
      <w:lvlJc w:val="left"/>
      <w:pPr>
        <w:ind w:left="360" w:hanging="360"/>
      </w:pPr>
      <w:rPr>
        <w:rFonts w:ascii="Calibri" w:eastAsiaTheme="minorHAnsi" w:hAnsi="Calibri" w:cstheme="minorBid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FB31AB1"/>
    <w:multiLevelType w:val="hybridMultilevel"/>
    <w:tmpl w:val="D5F80742"/>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34B11C00"/>
    <w:multiLevelType w:val="hybridMultilevel"/>
    <w:tmpl w:val="0CE057B0"/>
    <w:lvl w:ilvl="0" w:tplc="987432E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D2D1F7D"/>
    <w:multiLevelType w:val="hybridMultilevel"/>
    <w:tmpl w:val="8D706E9A"/>
    <w:lvl w:ilvl="0" w:tplc="65A274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E6D92"/>
    <w:multiLevelType w:val="hybridMultilevel"/>
    <w:tmpl w:val="6CE4C8AC"/>
    <w:lvl w:ilvl="0" w:tplc="6B6C839C">
      <w:start w:val="1"/>
      <w:numFmt w:val="bullet"/>
      <w:lvlText w:val=""/>
      <w:lvlJc w:val="left"/>
      <w:pPr>
        <w:ind w:left="36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63E44C3"/>
    <w:multiLevelType w:val="hybridMultilevel"/>
    <w:tmpl w:val="6FA69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C5617DE"/>
    <w:multiLevelType w:val="hybridMultilevel"/>
    <w:tmpl w:val="9E62A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097DE1"/>
    <w:multiLevelType w:val="hybridMultilevel"/>
    <w:tmpl w:val="CFB4BA0A"/>
    <w:lvl w:ilvl="0" w:tplc="7D8E101E">
      <w:start w:val="4"/>
      <w:numFmt w:val="bullet"/>
      <w:lvlText w:val="-"/>
      <w:lvlJc w:val="left"/>
      <w:pPr>
        <w:ind w:left="360" w:hanging="360"/>
      </w:pPr>
      <w:rPr>
        <w:rFonts w:ascii="Calibri" w:eastAsiaTheme="minorHAnsi" w:hAnsi="Calibri" w:cstheme="minorBid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65FA6D03"/>
    <w:multiLevelType w:val="hybridMultilevel"/>
    <w:tmpl w:val="D2D85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B20323"/>
    <w:multiLevelType w:val="hybridMultilevel"/>
    <w:tmpl w:val="50B21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B27082"/>
    <w:multiLevelType w:val="hybridMultilevel"/>
    <w:tmpl w:val="3FD41708"/>
    <w:lvl w:ilvl="0" w:tplc="0C0A000F">
      <w:start w:val="3"/>
      <w:numFmt w:val="decimal"/>
      <w:lvlText w:val="%1."/>
      <w:lvlJc w:val="left"/>
      <w:pPr>
        <w:ind w:left="927" w:hanging="360"/>
      </w:pPr>
      <w:rPr>
        <w:rFonts w:hint="default"/>
      </w:rPr>
    </w:lvl>
    <w:lvl w:ilvl="1" w:tplc="0C0A0019">
      <w:start w:val="1"/>
      <w:numFmt w:val="lowerLetter"/>
      <w:lvlText w:val="%2."/>
      <w:lvlJc w:val="left"/>
      <w:pPr>
        <w:ind w:left="1581" w:hanging="360"/>
      </w:pPr>
    </w:lvl>
    <w:lvl w:ilvl="2" w:tplc="0C0A001B" w:tentative="1">
      <w:start w:val="1"/>
      <w:numFmt w:val="lowerRoman"/>
      <w:lvlText w:val="%3."/>
      <w:lvlJc w:val="right"/>
      <w:pPr>
        <w:ind w:left="2301" w:hanging="180"/>
      </w:pPr>
    </w:lvl>
    <w:lvl w:ilvl="3" w:tplc="0C0A000F" w:tentative="1">
      <w:start w:val="1"/>
      <w:numFmt w:val="decimal"/>
      <w:lvlText w:val="%4."/>
      <w:lvlJc w:val="left"/>
      <w:pPr>
        <w:ind w:left="3021" w:hanging="360"/>
      </w:pPr>
    </w:lvl>
    <w:lvl w:ilvl="4" w:tplc="0C0A0019" w:tentative="1">
      <w:start w:val="1"/>
      <w:numFmt w:val="lowerLetter"/>
      <w:lvlText w:val="%5."/>
      <w:lvlJc w:val="left"/>
      <w:pPr>
        <w:ind w:left="3741" w:hanging="360"/>
      </w:pPr>
    </w:lvl>
    <w:lvl w:ilvl="5" w:tplc="0C0A001B" w:tentative="1">
      <w:start w:val="1"/>
      <w:numFmt w:val="lowerRoman"/>
      <w:lvlText w:val="%6."/>
      <w:lvlJc w:val="right"/>
      <w:pPr>
        <w:ind w:left="4461" w:hanging="180"/>
      </w:pPr>
    </w:lvl>
    <w:lvl w:ilvl="6" w:tplc="0C0A000F" w:tentative="1">
      <w:start w:val="1"/>
      <w:numFmt w:val="decimal"/>
      <w:lvlText w:val="%7."/>
      <w:lvlJc w:val="left"/>
      <w:pPr>
        <w:ind w:left="5181" w:hanging="360"/>
      </w:pPr>
    </w:lvl>
    <w:lvl w:ilvl="7" w:tplc="0C0A0019" w:tentative="1">
      <w:start w:val="1"/>
      <w:numFmt w:val="lowerLetter"/>
      <w:lvlText w:val="%8."/>
      <w:lvlJc w:val="left"/>
      <w:pPr>
        <w:ind w:left="5901" w:hanging="360"/>
      </w:pPr>
    </w:lvl>
    <w:lvl w:ilvl="8" w:tplc="0C0A001B" w:tentative="1">
      <w:start w:val="1"/>
      <w:numFmt w:val="lowerRoman"/>
      <w:lvlText w:val="%9."/>
      <w:lvlJc w:val="right"/>
      <w:pPr>
        <w:ind w:left="6621" w:hanging="180"/>
      </w:pPr>
    </w:lvl>
  </w:abstractNum>
  <w:num w:numId="1">
    <w:abstractNumId w:val="9"/>
  </w:num>
  <w:num w:numId="2">
    <w:abstractNumId w:val="11"/>
  </w:num>
  <w:num w:numId="3">
    <w:abstractNumId w:val="6"/>
  </w:num>
  <w:num w:numId="4">
    <w:abstractNumId w:val="3"/>
  </w:num>
  <w:num w:numId="5">
    <w:abstractNumId w:val="7"/>
  </w:num>
  <w:num w:numId="6">
    <w:abstractNumId w:val="14"/>
  </w:num>
  <w:num w:numId="7">
    <w:abstractNumId w:val="17"/>
  </w:num>
  <w:num w:numId="8">
    <w:abstractNumId w:val="8"/>
  </w:num>
  <w:num w:numId="9">
    <w:abstractNumId w:val="4"/>
  </w:num>
  <w:num w:numId="10">
    <w:abstractNumId w:val="1"/>
  </w:num>
  <w:num w:numId="11">
    <w:abstractNumId w:val="10"/>
  </w:num>
  <w:num w:numId="12">
    <w:abstractNumId w:val="2"/>
  </w:num>
  <w:num w:numId="13">
    <w:abstractNumId w:val="12"/>
  </w:num>
  <w:num w:numId="14">
    <w:abstractNumId w:val="5"/>
  </w:num>
  <w:num w:numId="15">
    <w:abstractNumId w:val="15"/>
  </w:num>
  <w:num w:numId="16">
    <w:abstractNumId w:val="16"/>
  </w:num>
  <w:num w:numId="17">
    <w:abstractNumId w:val="13"/>
  </w:num>
  <w:num w:numId="1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cumentProtection w:edit="trackedChange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438"/>
    <w:rsid w:val="00000427"/>
    <w:rsid w:val="00002A15"/>
    <w:rsid w:val="0000469F"/>
    <w:rsid w:val="00004EEA"/>
    <w:rsid w:val="000062C6"/>
    <w:rsid w:val="00010BAA"/>
    <w:rsid w:val="00016AD0"/>
    <w:rsid w:val="000174F8"/>
    <w:rsid w:val="0002068A"/>
    <w:rsid w:val="00021CCB"/>
    <w:rsid w:val="0002296F"/>
    <w:rsid w:val="00023B9E"/>
    <w:rsid w:val="00030094"/>
    <w:rsid w:val="00030494"/>
    <w:rsid w:val="000334C2"/>
    <w:rsid w:val="00035F9C"/>
    <w:rsid w:val="00037925"/>
    <w:rsid w:val="00040519"/>
    <w:rsid w:val="00040AF6"/>
    <w:rsid w:val="000419A0"/>
    <w:rsid w:val="00042FC6"/>
    <w:rsid w:val="00045B37"/>
    <w:rsid w:val="00047049"/>
    <w:rsid w:val="00047B44"/>
    <w:rsid w:val="00050C37"/>
    <w:rsid w:val="000529E4"/>
    <w:rsid w:val="00052A49"/>
    <w:rsid w:val="00055920"/>
    <w:rsid w:val="0005692B"/>
    <w:rsid w:val="00062F75"/>
    <w:rsid w:val="00066299"/>
    <w:rsid w:val="000663F6"/>
    <w:rsid w:val="00070022"/>
    <w:rsid w:val="00072FEB"/>
    <w:rsid w:val="00075952"/>
    <w:rsid w:val="00076A74"/>
    <w:rsid w:val="0008017A"/>
    <w:rsid w:val="0008079F"/>
    <w:rsid w:val="00080CC7"/>
    <w:rsid w:val="00081ACC"/>
    <w:rsid w:val="00086800"/>
    <w:rsid w:val="000922BB"/>
    <w:rsid w:val="000940E7"/>
    <w:rsid w:val="000946D0"/>
    <w:rsid w:val="00094A58"/>
    <w:rsid w:val="0009564E"/>
    <w:rsid w:val="00096167"/>
    <w:rsid w:val="000A1D6A"/>
    <w:rsid w:val="000A20E1"/>
    <w:rsid w:val="000A30A1"/>
    <w:rsid w:val="000A49A4"/>
    <w:rsid w:val="000B0777"/>
    <w:rsid w:val="000B1741"/>
    <w:rsid w:val="000B7393"/>
    <w:rsid w:val="000C4E36"/>
    <w:rsid w:val="000C65A3"/>
    <w:rsid w:val="000C6BEA"/>
    <w:rsid w:val="000C763F"/>
    <w:rsid w:val="000D39B3"/>
    <w:rsid w:val="000D3E25"/>
    <w:rsid w:val="000D50A5"/>
    <w:rsid w:val="000E06F8"/>
    <w:rsid w:val="000E3E00"/>
    <w:rsid w:val="000E3F57"/>
    <w:rsid w:val="000E6B17"/>
    <w:rsid w:val="000E793B"/>
    <w:rsid w:val="000F2AF9"/>
    <w:rsid w:val="000F3A0F"/>
    <w:rsid w:val="000F454D"/>
    <w:rsid w:val="000F49C2"/>
    <w:rsid w:val="000F7A6E"/>
    <w:rsid w:val="0010024C"/>
    <w:rsid w:val="0010126F"/>
    <w:rsid w:val="00103DD9"/>
    <w:rsid w:val="00105574"/>
    <w:rsid w:val="001065B3"/>
    <w:rsid w:val="00107169"/>
    <w:rsid w:val="00110054"/>
    <w:rsid w:val="00110674"/>
    <w:rsid w:val="00115554"/>
    <w:rsid w:val="0011561B"/>
    <w:rsid w:val="00117A60"/>
    <w:rsid w:val="00120E07"/>
    <w:rsid w:val="0012260F"/>
    <w:rsid w:val="00124869"/>
    <w:rsid w:val="0012648F"/>
    <w:rsid w:val="00132030"/>
    <w:rsid w:val="00133217"/>
    <w:rsid w:val="0013641A"/>
    <w:rsid w:val="001367A3"/>
    <w:rsid w:val="00136D46"/>
    <w:rsid w:val="00136EA7"/>
    <w:rsid w:val="001376C4"/>
    <w:rsid w:val="001414DD"/>
    <w:rsid w:val="001429EF"/>
    <w:rsid w:val="0014440C"/>
    <w:rsid w:val="00144538"/>
    <w:rsid w:val="00145432"/>
    <w:rsid w:val="0014679A"/>
    <w:rsid w:val="00147EAA"/>
    <w:rsid w:val="001508A9"/>
    <w:rsid w:val="00150CCD"/>
    <w:rsid w:val="001539D0"/>
    <w:rsid w:val="00154F5E"/>
    <w:rsid w:val="001559DE"/>
    <w:rsid w:val="00155B5D"/>
    <w:rsid w:val="001565C3"/>
    <w:rsid w:val="001654BB"/>
    <w:rsid w:val="001668F3"/>
    <w:rsid w:val="00166FCF"/>
    <w:rsid w:val="00167EC6"/>
    <w:rsid w:val="001713AA"/>
    <w:rsid w:val="00172415"/>
    <w:rsid w:val="00177810"/>
    <w:rsid w:val="001809C4"/>
    <w:rsid w:val="001816E7"/>
    <w:rsid w:val="001827E4"/>
    <w:rsid w:val="00182D7C"/>
    <w:rsid w:val="00183428"/>
    <w:rsid w:val="001844EC"/>
    <w:rsid w:val="00184614"/>
    <w:rsid w:val="00185C5D"/>
    <w:rsid w:val="00186383"/>
    <w:rsid w:val="001901CD"/>
    <w:rsid w:val="00190AF3"/>
    <w:rsid w:val="00192E63"/>
    <w:rsid w:val="00193516"/>
    <w:rsid w:val="00195F21"/>
    <w:rsid w:val="00196FC2"/>
    <w:rsid w:val="00197B9A"/>
    <w:rsid w:val="001A6A37"/>
    <w:rsid w:val="001B38A9"/>
    <w:rsid w:val="001B4D5A"/>
    <w:rsid w:val="001B77C1"/>
    <w:rsid w:val="001C0B21"/>
    <w:rsid w:val="001C160A"/>
    <w:rsid w:val="001C1678"/>
    <w:rsid w:val="001C1AF0"/>
    <w:rsid w:val="001C1FD3"/>
    <w:rsid w:val="001D566E"/>
    <w:rsid w:val="001D718D"/>
    <w:rsid w:val="001E07E9"/>
    <w:rsid w:val="001E346E"/>
    <w:rsid w:val="001E568F"/>
    <w:rsid w:val="001E5BF4"/>
    <w:rsid w:val="001E70D9"/>
    <w:rsid w:val="001E7C51"/>
    <w:rsid w:val="001F02BE"/>
    <w:rsid w:val="001F2F61"/>
    <w:rsid w:val="001F40C2"/>
    <w:rsid w:val="001F5027"/>
    <w:rsid w:val="00200365"/>
    <w:rsid w:val="00201424"/>
    <w:rsid w:val="00201812"/>
    <w:rsid w:val="002024F3"/>
    <w:rsid w:val="0020577A"/>
    <w:rsid w:val="002057CD"/>
    <w:rsid w:val="00205CDC"/>
    <w:rsid w:val="0020735F"/>
    <w:rsid w:val="00207C6A"/>
    <w:rsid w:val="00210190"/>
    <w:rsid w:val="002107FC"/>
    <w:rsid w:val="0021574B"/>
    <w:rsid w:val="00216446"/>
    <w:rsid w:val="00216D9C"/>
    <w:rsid w:val="00222A01"/>
    <w:rsid w:val="00223378"/>
    <w:rsid w:val="00223D6B"/>
    <w:rsid w:val="00224A4B"/>
    <w:rsid w:val="00224C25"/>
    <w:rsid w:val="00227653"/>
    <w:rsid w:val="00227F92"/>
    <w:rsid w:val="00227FB7"/>
    <w:rsid w:val="00227FF2"/>
    <w:rsid w:val="0023057A"/>
    <w:rsid w:val="00230CE1"/>
    <w:rsid w:val="002331E4"/>
    <w:rsid w:val="00234C1D"/>
    <w:rsid w:val="00235FE3"/>
    <w:rsid w:val="00237FFD"/>
    <w:rsid w:val="00242AEF"/>
    <w:rsid w:val="002444C7"/>
    <w:rsid w:val="00244DAC"/>
    <w:rsid w:val="00247503"/>
    <w:rsid w:val="00250426"/>
    <w:rsid w:val="00251304"/>
    <w:rsid w:val="0025160B"/>
    <w:rsid w:val="002539B8"/>
    <w:rsid w:val="00253BA7"/>
    <w:rsid w:val="002572E1"/>
    <w:rsid w:val="00262C15"/>
    <w:rsid w:val="00264F21"/>
    <w:rsid w:val="00266DFA"/>
    <w:rsid w:val="00267B82"/>
    <w:rsid w:val="00271059"/>
    <w:rsid w:val="0027170D"/>
    <w:rsid w:val="00271E9E"/>
    <w:rsid w:val="002720EF"/>
    <w:rsid w:val="00273411"/>
    <w:rsid w:val="002810F7"/>
    <w:rsid w:val="00284B11"/>
    <w:rsid w:val="0028666E"/>
    <w:rsid w:val="00291DEB"/>
    <w:rsid w:val="00294A23"/>
    <w:rsid w:val="002959A5"/>
    <w:rsid w:val="00297017"/>
    <w:rsid w:val="002A055D"/>
    <w:rsid w:val="002A171F"/>
    <w:rsid w:val="002A1D90"/>
    <w:rsid w:val="002A7224"/>
    <w:rsid w:val="002B075D"/>
    <w:rsid w:val="002B0B33"/>
    <w:rsid w:val="002B281E"/>
    <w:rsid w:val="002B462A"/>
    <w:rsid w:val="002B4683"/>
    <w:rsid w:val="002B46E7"/>
    <w:rsid w:val="002B4D63"/>
    <w:rsid w:val="002B75FC"/>
    <w:rsid w:val="002C3C29"/>
    <w:rsid w:val="002C3FEE"/>
    <w:rsid w:val="002C46D5"/>
    <w:rsid w:val="002D1753"/>
    <w:rsid w:val="002D19B2"/>
    <w:rsid w:val="002D3D76"/>
    <w:rsid w:val="002D4C2A"/>
    <w:rsid w:val="002D707E"/>
    <w:rsid w:val="002D75E2"/>
    <w:rsid w:val="002E60EE"/>
    <w:rsid w:val="002E60F5"/>
    <w:rsid w:val="002F075B"/>
    <w:rsid w:val="002F1728"/>
    <w:rsid w:val="002F1DB3"/>
    <w:rsid w:val="002F458B"/>
    <w:rsid w:val="002F4CF4"/>
    <w:rsid w:val="002F566F"/>
    <w:rsid w:val="00301CDA"/>
    <w:rsid w:val="00302009"/>
    <w:rsid w:val="0030418F"/>
    <w:rsid w:val="003078B0"/>
    <w:rsid w:val="0031076C"/>
    <w:rsid w:val="00311947"/>
    <w:rsid w:val="00312FCB"/>
    <w:rsid w:val="00316079"/>
    <w:rsid w:val="00316F8B"/>
    <w:rsid w:val="0031738A"/>
    <w:rsid w:val="00317A4C"/>
    <w:rsid w:val="00320660"/>
    <w:rsid w:val="003247F5"/>
    <w:rsid w:val="00332AE0"/>
    <w:rsid w:val="00334C89"/>
    <w:rsid w:val="00336287"/>
    <w:rsid w:val="0034008E"/>
    <w:rsid w:val="003410E2"/>
    <w:rsid w:val="0034204D"/>
    <w:rsid w:val="0034408C"/>
    <w:rsid w:val="0034624A"/>
    <w:rsid w:val="003468C7"/>
    <w:rsid w:val="00347698"/>
    <w:rsid w:val="00347BE8"/>
    <w:rsid w:val="00347CD2"/>
    <w:rsid w:val="003510A5"/>
    <w:rsid w:val="00351878"/>
    <w:rsid w:val="00352B8E"/>
    <w:rsid w:val="003548F3"/>
    <w:rsid w:val="00356686"/>
    <w:rsid w:val="00357AE4"/>
    <w:rsid w:val="00361BB7"/>
    <w:rsid w:val="00366C0D"/>
    <w:rsid w:val="003672BB"/>
    <w:rsid w:val="00367A02"/>
    <w:rsid w:val="0037160B"/>
    <w:rsid w:val="003723F9"/>
    <w:rsid w:val="00372697"/>
    <w:rsid w:val="0037303F"/>
    <w:rsid w:val="00373C73"/>
    <w:rsid w:val="003760CD"/>
    <w:rsid w:val="00380227"/>
    <w:rsid w:val="003877C2"/>
    <w:rsid w:val="00390DE2"/>
    <w:rsid w:val="00391101"/>
    <w:rsid w:val="0039182F"/>
    <w:rsid w:val="00391862"/>
    <w:rsid w:val="0039203E"/>
    <w:rsid w:val="00392B4E"/>
    <w:rsid w:val="003947D5"/>
    <w:rsid w:val="00395515"/>
    <w:rsid w:val="00395737"/>
    <w:rsid w:val="003966E6"/>
    <w:rsid w:val="00396C22"/>
    <w:rsid w:val="003A08FE"/>
    <w:rsid w:val="003A2455"/>
    <w:rsid w:val="003A36B5"/>
    <w:rsid w:val="003A4641"/>
    <w:rsid w:val="003A65B4"/>
    <w:rsid w:val="003B1E62"/>
    <w:rsid w:val="003B4880"/>
    <w:rsid w:val="003B5A71"/>
    <w:rsid w:val="003C057F"/>
    <w:rsid w:val="003C30E7"/>
    <w:rsid w:val="003C4482"/>
    <w:rsid w:val="003C7974"/>
    <w:rsid w:val="003D2D4F"/>
    <w:rsid w:val="003D70BC"/>
    <w:rsid w:val="003E1744"/>
    <w:rsid w:val="003E2BC0"/>
    <w:rsid w:val="003E31F6"/>
    <w:rsid w:val="003E35E5"/>
    <w:rsid w:val="003E36A9"/>
    <w:rsid w:val="003E3ED2"/>
    <w:rsid w:val="003E4893"/>
    <w:rsid w:val="003E51B4"/>
    <w:rsid w:val="003F2061"/>
    <w:rsid w:val="003F359F"/>
    <w:rsid w:val="003F4198"/>
    <w:rsid w:val="003F6728"/>
    <w:rsid w:val="00400053"/>
    <w:rsid w:val="00402844"/>
    <w:rsid w:val="00403374"/>
    <w:rsid w:val="00412D3E"/>
    <w:rsid w:val="004134F7"/>
    <w:rsid w:val="00421A9F"/>
    <w:rsid w:val="004263E8"/>
    <w:rsid w:val="00426C6F"/>
    <w:rsid w:val="00426F17"/>
    <w:rsid w:val="00427F27"/>
    <w:rsid w:val="00431681"/>
    <w:rsid w:val="0043385D"/>
    <w:rsid w:val="004354BA"/>
    <w:rsid w:val="00444B80"/>
    <w:rsid w:val="004452C3"/>
    <w:rsid w:val="00450E2C"/>
    <w:rsid w:val="00454755"/>
    <w:rsid w:val="0045593C"/>
    <w:rsid w:val="004570E2"/>
    <w:rsid w:val="00457858"/>
    <w:rsid w:val="004620FA"/>
    <w:rsid w:val="00463F2C"/>
    <w:rsid w:val="00464177"/>
    <w:rsid w:val="00464185"/>
    <w:rsid w:val="004652CE"/>
    <w:rsid w:val="004664CF"/>
    <w:rsid w:val="0046668C"/>
    <w:rsid w:val="00471FC1"/>
    <w:rsid w:val="004764D1"/>
    <w:rsid w:val="00483AC8"/>
    <w:rsid w:val="004852BD"/>
    <w:rsid w:val="00485EAF"/>
    <w:rsid w:val="004878A3"/>
    <w:rsid w:val="00494BF7"/>
    <w:rsid w:val="00495147"/>
    <w:rsid w:val="00495FAC"/>
    <w:rsid w:val="00496F96"/>
    <w:rsid w:val="00497D6C"/>
    <w:rsid w:val="004A14D6"/>
    <w:rsid w:val="004A15D4"/>
    <w:rsid w:val="004A238A"/>
    <w:rsid w:val="004A2C5E"/>
    <w:rsid w:val="004A3953"/>
    <w:rsid w:val="004A4370"/>
    <w:rsid w:val="004A657C"/>
    <w:rsid w:val="004B0361"/>
    <w:rsid w:val="004B2226"/>
    <w:rsid w:val="004B4DEF"/>
    <w:rsid w:val="004B62AF"/>
    <w:rsid w:val="004B6EA1"/>
    <w:rsid w:val="004B7F36"/>
    <w:rsid w:val="004C048D"/>
    <w:rsid w:val="004C20EC"/>
    <w:rsid w:val="004C7A1F"/>
    <w:rsid w:val="004D14FF"/>
    <w:rsid w:val="004D2905"/>
    <w:rsid w:val="004D6C58"/>
    <w:rsid w:val="004E0068"/>
    <w:rsid w:val="004E1D71"/>
    <w:rsid w:val="004E2E92"/>
    <w:rsid w:val="004F2F9D"/>
    <w:rsid w:val="004F306E"/>
    <w:rsid w:val="004F3A01"/>
    <w:rsid w:val="004F49F5"/>
    <w:rsid w:val="004F54BF"/>
    <w:rsid w:val="00507A7B"/>
    <w:rsid w:val="00511CA6"/>
    <w:rsid w:val="005141F3"/>
    <w:rsid w:val="005167FE"/>
    <w:rsid w:val="0051700B"/>
    <w:rsid w:val="00520846"/>
    <w:rsid w:val="00523E6E"/>
    <w:rsid w:val="00525E71"/>
    <w:rsid w:val="005278B1"/>
    <w:rsid w:val="00530086"/>
    <w:rsid w:val="005300B8"/>
    <w:rsid w:val="00531483"/>
    <w:rsid w:val="005315DB"/>
    <w:rsid w:val="00534B4B"/>
    <w:rsid w:val="00536085"/>
    <w:rsid w:val="005401D0"/>
    <w:rsid w:val="00544FDD"/>
    <w:rsid w:val="00547C9C"/>
    <w:rsid w:val="0055190F"/>
    <w:rsid w:val="005544E7"/>
    <w:rsid w:val="00554C8B"/>
    <w:rsid w:val="00554FFD"/>
    <w:rsid w:val="005558AE"/>
    <w:rsid w:val="005572F3"/>
    <w:rsid w:val="00557630"/>
    <w:rsid w:val="00557B6A"/>
    <w:rsid w:val="005602A0"/>
    <w:rsid w:val="005614CE"/>
    <w:rsid w:val="00561634"/>
    <w:rsid w:val="00561918"/>
    <w:rsid w:val="00563648"/>
    <w:rsid w:val="00573213"/>
    <w:rsid w:val="005800F8"/>
    <w:rsid w:val="00581782"/>
    <w:rsid w:val="00584AF5"/>
    <w:rsid w:val="005850D6"/>
    <w:rsid w:val="0058725D"/>
    <w:rsid w:val="00593C6E"/>
    <w:rsid w:val="00594117"/>
    <w:rsid w:val="00594427"/>
    <w:rsid w:val="00597810"/>
    <w:rsid w:val="005A31C8"/>
    <w:rsid w:val="005A5126"/>
    <w:rsid w:val="005A53F1"/>
    <w:rsid w:val="005B1AAE"/>
    <w:rsid w:val="005B342F"/>
    <w:rsid w:val="005B5139"/>
    <w:rsid w:val="005C1FAE"/>
    <w:rsid w:val="005C3BBD"/>
    <w:rsid w:val="005C6738"/>
    <w:rsid w:val="005D2852"/>
    <w:rsid w:val="005D2B78"/>
    <w:rsid w:val="005D3874"/>
    <w:rsid w:val="005D3D23"/>
    <w:rsid w:val="005D40BB"/>
    <w:rsid w:val="005E0EA9"/>
    <w:rsid w:val="005E3C09"/>
    <w:rsid w:val="005E5307"/>
    <w:rsid w:val="005E6568"/>
    <w:rsid w:val="005F080C"/>
    <w:rsid w:val="005F1D88"/>
    <w:rsid w:val="005F3A03"/>
    <w:rsid w:val="005F436D"/>
    <w:rsid w:val="005F47BE"/>
    <w:rsid w:val="00601152"/>
    <w:rsid w:val="00601212"/>
    <w:rsid w:val="00601BCD"/>
    <w:rsid w:val="0060246F"/>
    <w:rsid w:val="006050F5"/>
    <w:rsid w:val="00605466"/>
    <w:rsid w:val="00606004"/>
    <w:rsid w:val="00607990"/>
    <w:rsid w:val="00607D81"/>
    <w:rsid w:val="0061237F"/>
    <w:rsid w:val="00624291"/>
    <w:rsid w:val="006326F0"/>
    <w:rsid w:val="00633FEB"/>
    <w:rsid w:val="00636A58"/>
    <w:rsid w:val="00636CB9"/>
    <w:rsid w:val="006424C3"/>
    <w:rsid w:val="006449AB"/>
    <w:rsid w:val="006473EC"/>
    <w:rsid w:val="00654E96"/>
    <w:rsid w:val="00657DE2"/>
    <w:rsid w:val="006606B2"/>
    <w:rsid w:val="006622DC"/>
    <w:rsid w:val="00662746"/>
    <w:rsid w:val="0066563B"/>
    <w:rsid w:val="00667231"/>
    <w:rsid w:val="00667737"/>
    <w:rsid w:val="00671B91"/>
    <w:rsid w:val="00672C9B"/>
    <w:rsid w:val="006747CD"/>
    <w:rsid w:val="00681D26"/>
    <w:rsid w:val="00687C0A"/>
    <w:rsid w:val="00691FC1"/>
    <w:rsid w:val="0069201F"/>
    <w:rsid w:val="0069260B"/>
    <w:rsid w:val="006934B6"/>
    <w:rsid w:val="0069353F"/>
    <w:rsid w:val="006A0117"/>
    <w:rsid w:val="006A0369"/>
    <w:rsid w:val="006A2908"/>
    <w:rsid w:val="006A332E"/>
    <w:rsid w:val="006A7C26"/>
    <w:rsid w:val="006B02FF"/>
    <w:rsid w:val="006B0636"/>
    <w:rsid w:val="006B0D57"/>
    <w:rsid w:val="006B123B"/>
    <w:rsid w:val="006B2B1F"/>
    <w:rsid w:val="006B34EC"/>
    <w:rsid w:val="006B5662"/>
    <w:rsid w:val="006B57BF"/>
    <w:rsid w:val="006B57C0"/>
    <w:rsid w:val="006B63AF"/>
    <w:rsid w:val="006B63F1"/>
    <w:rsid w:val="006C19B8"/>
    <w:rsid w:val="006C50D7"/>
    <w:rsid w:val="006C7A3D"/>
    <w:rsid w:val="006C7CBD"/>
    <w:rsid w:val="006D11FC"/>
    <w:rsid w:val="006D6D5F"/>
    <w:rsid w:val="006E14A8"/>
    <w:rsid w:val="006E5B39"/>
    <w:rsid w:val="006F1832"/>
    <w:rsid w:val="006F5591"/>
    <w:rsid w:val="006F7789"/>
    <w:rsid w:val="006F7A2D"/>
    <w:rsid w:val="00704CB9"/>
    <w:rsid w:val="00706B94"/>
    <w:rsid w:val="0070733B"/>
    <w:rsid w:val="00720450"/>
    <w:rsid w:val="00720B91"/>
    <w:rsid w:val="00721B77"/>
    <w:rsid w:val="00721E86"/>
    <w:rsid w:val="007223B8"/>
    <w:rsid w:val="0072337A"/>
    <w:rsid w:val="00724356"/>
    <w:rsid w:val="00724C24"/>
    <w:rsid w:val="007278E7"/>
    <w:rsid w:val="00730183"/>
    <w:rsid w:val="0074071F"/>
    <w:rsid w:val="00741D9D"/>
    <w:rsid w:val="007435C0"/>
    <w:rsid w:val="00751001"/>
    <w:rsid w:val="007511BB"/>
    <w:rsid w:val="007511E0"/>
    <w:rsid w:val="00752E58"/>
    <w:rsid w:val="00753AE3"/>
    <w:rsid w:val="0075483E"/>
    <w:rsid w:val="0076471F"/>
    <w:rsid w:val="00765C41"/>
    <w:rsid w:val="007714D1"/>
    <w:rsid w:val="00771F55"/>
    <w:rsid w:val="00774057"/>
    <w:rsid w:val="00774F49"/>
    <w:rsid w:val="007760F1"/>
    <w:rsid w:val="0077686A"/>
    <w:rsid w:val="00777C97"/>
    <w:rsid w:val="00780541"/>
    <w:rsid w:val="00780642"/>
    <w:rsid w:val="00781E3A"/>
    <w:rsid w:val="00783139"/>
    <w:rsid w:val="007875AC"/>
    <w:rsid w:val="007910B3"/>
    <w:rsid w:val="00793A99"/>
    <w:rsid w:val="00794DC8"/>
    <w:rsid w:val="00795F0F"/>
    <w:rsid w:val="00796444"/>
    <w:rsid w:val="007A232D"/>
    <w:rsid w:val="007A4391"/>
    <w:rsid w:val="007A456A"/>
    <w:rsid w:val="007A5791"/>
    <w:rsid w:val="007A6C91"/>
    <w:rsid w:val="007A7F4C"/>
    <w:rsid w:val="007B0B63"/>
    <w:rsid w:val="007B2CA8"/>
    <w:rsid w:val="007B3C14"/>
    <w:rsid w:val="007B4C5C"/>
    <w:rsid w:val="007B73F9"/>
    <w:rsid w:val="007C4619"/>
    <w:rsid w:val="007D4A12"/>
    <w:rsid w:val="007D546F"/>
    <w:rsid w:val="007E167C"/>
    <w:rsid w:val="007E29AE"/>
    <w:rsid w:val="007E4C16"/>
    <w:rsid w:val="007E6BC2"/>
    <w:rsid w:val="007F0C63"/>
    <w:rsid w:val="007F30E1"/>
    <w:rsid w:val="007F58B6"/>
    <w:rsid w:val="007F62AA"/>
    <w:rsid w:val="007F6AC7"/>
    <w:rsid w:val="007F6B22"/>
    <w:rsid w:val="0080028B"/>
    <w:rsid w:val="008038C6"/>
    <w:rsid w:val="0080487C"/>
    <w:rsid w:val="00811806"/>
    <w:rsid w:val="008172DB"/>
    <w:rsid w:val="008213F4"/>
    <w:rsid w:val="00821E6B"/>
    <w:rsid w:val="008222F5"/>
    <w:rsid w:val="00823633"/>
    <w:rsid w:val="0082393D"/>
    <w:rsid w:val="00823B21"/>
    <w:rsid w:val="00823F09"/>
    <w:rsid w:val="00824617"/>
    <w:rsid w:val="008262CF"/>
    <w:rsid w:val="0083139E"/>
    <w:rsid w:val="0083261B"/>
    <w:rsid w:val="00841630"/>
    <w:rsid w:val="00842AA3"/>
    <w:rsid w:val="008440E6"/>
    <w:rsid w:val="00844DC2"/>
    <w:rsid w:val="0084525C"/>
    <w:rsid w:val="00845CED"/>
    <w:rsid w:val="0085578B"/>
    <w:rsid w:val="008569B5"/>
    <w:rsid w:val="008571D1"/>
    <w:rsid w:val="008615A3"/>
    <w:rsid w:val="00864524"/>
    <w:rsid w:val="0087004E"/>
    <w:rsid w:val="008704BD"/>
    <w:rsid w:val="00874218"/>
    <w:rsid w:val="00874AF7"/>
    <w:rsid w:val="00880C04"/>
    <w:rsid w:val="0088221B"/>
    <w:rsid w:val="00886E37"/>
    <w:rsid w:val="00890B05"/>
    <w:rsid w:val="008913E7"/>
    <w:rsid w:val="00891D22"/>
    <w:rsid w:val="00892AD1"/>
    <w:rsid w:val="0089471A"/>
    <w:rsid w:val="008972A5"/>
    <w:rsid w:val="008A0722"/>
    <w:rsid w:val="008A5337"/>
    <w:rsid w:val="008A55D3"/>
    <w:rsid w:val="008A6012"/>
    <w:rsid w:val="008A60E5"/>
    <w:rsid w:val="008B2667"/>
    <w:rsid w:val="008B4C83"/>
    <w:rsid w:val="008B7CCA"/>
    <w:rsid w:val="008C086D"/>
    <w:rsid w:val="008C219B"/>
    <w:rsid w:val="008C3378"/>
    <w:rsid w:val="008C6D8C"/>
    <w:rsid w:val="008C74E5"/>
    <w:rsid w:val="008D2FCF"/>
    <w:rsid w:val="008D49B0"/>
    <w:rsid w:val="008E030B"/>
    <w:rsid w:val="008E09BB"/>
    <w:rsid w:val="008E3B56"/>
    <w:rsid w:val="008E3F87"/>
    <w:rsid w:val="008F329D"/>
    <w:rsid w:val="008F3F58"/>
    <w:rsid w:val="008F7FE5"/>
    <w:rsid w:val="009031FA"/>
    <w:rsid w:val="00906263"/>
    <w:rsid w:val="0091174B"/>
    <w:rsid w:val="00913180"/>
    <w:rsid w:val="00914CBA"/>
    <w:rsid w:val="00916258"/>
    <w:rsid w:val="00917F8B"/>
    <w:rsid w:val="00920DFE"/>
    <w:rsid w:val="009218BF"/>
    <w:rsid w:val="00921F43"/>
    <w:rsid w:val="009223DF"/>
    <w:rsid w:val="009235AD"/>
    <w:rsid w:val="00924FB0"/>
    <w:rsid w:val="00925820"/>
    <w:rsid w:val="00925F70"/>
    <w:rsid w:val="009267B0"/>
    <w:rsid w:val="009344BB"/>
    <w:rsid w:val="00935679"/>
    <w:rsid w:val="00936646"/>
    <w:rsid w:val="0094032A"/>
    <w:rsid w:val="00940CC3"/>
    <w:rsid w:val="00941361"/>
    <w:rsid w:val="00941F75"/>
    <w:rsid w:val="00953F61"/>
    <w:rsid w:val="0095602B"/>
    <w:rsid w:val="0096052C"/>
    <w:rsid w:val="00963851"/>
    <w:rsid w:val="0097003A"/>
    <w:rsid w:val="009720B7"/>
    <w:rsid w:val="0097690A"/>
    <w:rsid w:val="0097728F"/>
    <w:rsid w:val="00977407"/>
    <w:rsid w:val="00977F33"/>
    <w:rsid w:val="0098207F"/>
    <w:rsid w:val="009861EB"/>
    <w:rsid w:val="009865D0"/>
    <w:rsid w:val="00987C26"/>
    <w:rsid w:val="009923C2"/>
    <w:rsid w:val="0099343C"/>
    <w:rsid w:val="009A206E"/>
    <w:rsid w:val="009A3811"/>
    <w:rsid w:val="009A500D"/>
    <w:rsid w:val="009B07CB"/>
    <w:rsid w:val="009B12BB"/>
    <w:rsid w:val="009B188E"/>
    <w:rsid w:val="009B21B2"/>
    <w:rsid w:val="009B394D"/>
    <w:rsid w:val="009B5615"/>
    <w:rsid w:val="009B6755"/>
    <w:rsid w:val="009B78A4"/>
    <w:rsid w:val="009C1FB2"/>
    <w:rsid w:val="009C353C"/>
    <w:rsid w:val="009C728C"/>
    <w:rsid w:val="009C7BAF"/>
    <w:rsid w:val="009D00B4"/>
    <w:rsid w:val="009D02A9"/>
    <w:rsid w:val="009D22FA"/>
    <w:rsid w:val="009D414E"/>
    <w:rsid w:val="009D4576"/>
    <w:rsid w:val="009D499B"/>
    <w:rsid w:val="009D5808"/>
    <w:rsid w:val="009D6F57"/>
    <w:rsid w:val="009D7FF5"/>
    <w:rsid w:val="009E1F35"/>
    <w:rsid w:val="009E4071"/>
    <w:rsid w:val="009E4101"/>
    <w:rsid w:val="009E6BE5"/>
    <w:rsid w:val="009E7AA8"/>
    <w:rsid w:val="009F2712"/>
    <w:rsid w:val="009F337E"/>
    <w:rsid w:val="009F3828"/>
    <w:rsid w:val="009F525F"/>
    <w:rsid w:val="009F5A89"/>
    <w:rsid w:val="009F62E2"/>
    <w:rsid w:val="00A001A7"/>
    <w:rsid w:val="00A00636"/>
    <w:rsid w:val="00A01C50"/>
    <w:rsid w:val="00A035A8"/>
    <w:rsid w:val="00A05663"/>
    <w:rsid w:val="00A06BF3"/>
    <w:rsid w:val="00A0730A"/>
    <w:rsid w:val="00A101C5"/>
    <w:rsid w:val="00A11C74"/>
    <w:rsid w:val="00A1310F"/>
    <w:rsid w:val="00A148F3"/>
    <w:rsid w:val="00A14CFE"/>
    <w:rsid w:val="00A1529D"/>
    <w:rsid w:val="00A20C77"/>
    <w:rsid w:val="00A21457"/>
    <w:rsid w:val="00A22220"/>
    <w:rsid w:val="00A22CD1"/>
    <w:rsid w:val="00A231D7"/>
    <w:rsid w:val="00A241B4"/>
    <w:rsid w:val="00A252FE"/>
    <w:rsid w:val="00A26D7D"/>
    <w:rsid w:val="00A30DDB"/>
    <w:rsid w:val="00A31734"/>
    <w:rsid w:val="00A32C69"/>
    <w:rsid w:val="00A33582"/>
    <w:rsid w:val="00A340AB"/>
    <w:rsid w:val="00A35D0C"/>
    <w:rsid w:val="00A3721A"/>
    <w:rsid w:val="00A37ABB"/>
    <w:rsid w:val="00A41411"/>
    <w:rsid w:val="00A41F6D"/>
    <w:rsid w:val="00A440CD"/>
    <w:rsid w:val="00A44B72"/>
    <w:rsid w:val="00A4672D"/>
    <w:rsid w:val="00A503DA"/>
    <w:rsid w:val="00A51D36"/>
    <w:rsid w:val="00A52979"/>
    <w:rsid w:val="00A57158"/>
    <w:rsid w:val="00A57AFB"/>
    <w:rsid w:val="00A60981"/>
    <w:rsid w:val="00A66081"/>
    <w:rsid w:val="00A70F6B"/>
    <w:rsid w:val="00A75AF1"/>
    <w:rsid w:val="00A76304"/>
    <w:rsid w:val="00A76513"/>
    <w:rsid w:val="00A80327"/>
    <w:rsid w:val="00A808FD"/>
    <w:rsid w:val="00A82BD2"/>
    <w:rsid w:val="00A8607E"/>
    <w:rsid w:val="00A86377"/>
    <w:rsid w:val="00A86639"/>
    <w:rsid w:val="00A87112"/>
    <w:rsid w:val="00A93E1E"/>
    <w:rsid w:val="00A9413A"/>
    <w:rsid w:val="00A94D52"/>
    <w:rsid w:val="00A9712B"/>
    <w:rsid w:val="00AA0639"/>
    <w:rsid w:val="00AA36BC"/>
    <w:rsid w:val="00AA433C"/>
    <w:rsid w:val="00AB02CA"/>
    <w:rsid w:val="00AB07E2"/>
    <w:rsid w:val="00AB2DC2"/>
    <w:rsid w:val="00AC0499"/>
    <w:rsid w:val="00AC1976"/>
    <w:rsid w:val="00AC4050"/>
    <w:rsid w:val="00AC46A1"/>
    <w:rsid w:val="00AC4A9B"/>
    <w:rsid w:val="00AC61B8"/>
    <w:rsid w:val="00AC6509"/>
    <w:rsid w:val="00AC7C49"/>
    <w:rsid w:val="00AD38CC"/>
    <w:rsid w:val="00AD4CA3"/>
    <w:rsid w:val="00AD4EA6"/>
    <w:rsid w:val="00AD61B5"/>
    <w:rsid w:val="00AE0EDD"/>
    <w:rsid w:val="00AE2DA5"/>
    <w:rsid w:val="00AE6BBB"/>
    <w:rsid w:val="00AE6CFB"/>
    <w:rsid w:val="00AF5899"/>
    <w:rsid w:val="00B011E1"/>
    <w:rsid w:val="00B01AA5"/>
    <w:rsid w:val="00B02292"/>
    <w:rsid w:val="00B03880"/>
    <w:rsid w:val="00B0516B"/>
    <w:rsid w:val="00B06034"/>
    <w:rsid w:val="00B06B63"/>
    <w:rsid w:val="00B0720A"/>
    <w:rsid w:val="00B07337"/>
    <w:rsid w:val="00B07D39"/>
    <w:rsid w:val="00B10D34"/>
    <w:rsid w:val="00B112A2"/>
    <w:rsid w:val="00B124CE"/>
    <w:rsid w:val="00B14AB5"/>
    <w:rsid w:val="00B20171"/>
    <w:rsid w:val="00B20677"/>
    <w:rsid w:val="00B24D63"/>
    <w:rsid w:val="00B26DCC"/>
    <w:rsid w:val="00B31055"/>
    <w:rsid w:val="00B32E76"/>
    <w:rsid w:val="00B3396B"/>
    <w:rsid w:val="00B3655B"/>
    <w:rsid w:val="00B37144"/>
    <w:rsid w:val="00B4039F"/>
    <w:rsid w:val="00B41045"/>
    <w:rsid w:val="00B4761C"/>
    <w:rsid w:val="00B52A73"/>
    <w:rsid w:val="00B53341"/>
    <w:rsid w:val="00B550DA"/>
    <w:rsid w:val="00B571C3"/>
    <w:rsid w:val="00B614FE"/>
    <w:rsid w:val="00B6229E"/>
    <w:rsid w:val="00B63AB2"/>
    <w:rsid w:val="00B6603D"/>
    <w:rsid w:val="00B67ACD"/>
    <w:rsid w:val="00B716C4"/>
    <w:rsid w:val="00B74BA2"/>
    <w:rsid w:val="00B8102A"/>
    <w:rsid w:val="00B819D5"/>
    <w:rsid w:val="00B81AAF"/>
    <w:rsid w:val="00B83473"/>
    <w:rsid w:val="00B87164"/>
    <w:rsid w:val="00B90A86"/>
    <w:rsid w:val="00B91FD4"/>
    <w:rsid w:val="00B9295B"/>
    <w:rsid w:val="00B93632"/>
    <w:rsid w:val="00B94138"/>
    <w:rsid w:val="00BA0AF7"/>
    <w:rsid w:val="00BA16AE"/>
    <w:rsid w:val="00BA7E82"/>
    <w:rsid w:val="00BB01D7"/>
    <w:rsid w:val="00BB4477"/>
    <w:rsid w:val="00BB452E"/>
    <w:rsid w:val="00BB4558"/>
    <w:rsid w:val="00BB559D"/>
    <w:rsid w:val="00BB603B"/>
    <w:rsid w:val="00BB7367"/>
    <w:rsid w:val="00BC0400"/>
    <w:rsid w:val="00BC17C5"/>
    <w:rsid w:val="00BC1B47"/>
    <w:rsid w:val="00BC2929"/>
    <w:rsid w:val="00BC3367"/>
    <w:rsid w:val="00BC3A2E"/>
    <w:rsid w:val="00BC63F2"/>
    <w:rsid w:val="00BC7B70"/>
    <w:rsid w:val="00BD305A"/>
    <w:rsid w:val="00BD64A4"/>
    <w:rsid w:val="00BE594D"/>
    <w:rsid w:val="00BE5DAD"/>
    <w:rsid w:val="00BE5FC5"/>
    <w:rsid w:val="00BE5FD9"/>
    <w:rsid w:val="00BE6129"/>
    <w:rsid w:val="00BF3F30"/>
    <w:rsid w:val="00BF73D9"/>
    <w:rsid w:val="00BF7B93"/>
    <w:rsid w:val="00C051AE"/>
    <w:rsid w:val="00C130B2"/>
    <w:rsid w:val="00C14AF3"/>
    <w:rsid w:val="00C17546"/>
    <w:rsid w:val="00C17678"/>
    <w:rsid w:val="00C202EE"/>
    <w:rsid w:val="00C20716"/>
    <w:rsid w:val="00C223D9"/>
    <w:rsid w:val="00C24701"/>
    <w:rsid w:val="00C25525"/>
    <w:rsid w:val="00C25790"/>
    <w:rsid w:val="00C261B2"/>
    <w:rsid w:val="00C279A9"/>
    <w:rsid w:val="00C27AF7"/>
    <w:rsid w:val="00C32743"/>
    <w:rsid w:val="00C34AD5"/>
    <w:rsid w:val="00C409B0"/>
    <w:rsid w:val="00C40B44"/>
    <w:rsid w:val="00C41D51"/>
    <w:rsid w:val="00C437AA"/>
    <w:rsid w:val="00C45251"/>
    <w:rsid w:val="00C503D5"/>
    <w:rsid w:val="00C52DC8"/>
    <w:rsid w:val="00C56F1D"/>
    <w:rsid w:val="00C60B18"/>
    <w:rsid w:val="00C61028"/>
    <w:rsid w:val="00C6137D"/>
    <w:rsid w:val="00C66C57"/>
    <w:rsid w:val="00C7181F"/>
    <w:rsid w:val="00C71B4A"/>
    <w:rsid w:val="00C754C2"/>
    <w:rsid w:val="00C77188"/>
    <w:rsid w:val="00C77A9C"/>
    <w:rsid w:val="00C8621B"/>
    <w:rsid w:val="00C86DE7"/>
    <w:rsid w:val="00C91178"/>
    <w:rsid w:val="00C911CE"/>
    <w:rsid w:val="00C941E0"/>
    <w:rsid w:val="00CA1CA9"/>
    <w:rsid w:val="00CB0BBA"/>
    <w:rsid w:val="00CB1E75"/>
    <w:rsid w:val="00CB6859"/>
    <w:rsid w:val="00CC74B7"/>
    <w:rsid w:val="00CD0B08"/>
    <w:rsid w:val="00CD0C08"/>
    <w:rsid w:val="00CD2B7C"/>
    <w:rsid w:val="00CD50CC"/>
    <w:rsid w:val="00CE586C"/>
    <w:rsid w:val="00CE7EDD"/>
    <w:rsid w:val="00CF04EE"/>
    <w:rsid w:val="00CF3807"/>
    <w:rsid w:val="00CF449C"/>
    <w:rsid w:val="00D05281"/>
    <w:rsid w:val="00D07CE2"/>
    <w:rsid w:val="00D12E3A"/>
    <w:rsid w:val="00D12E54"/>
    <w:rsid w:val="00D178C3"/>
    <w:rsid w:val="00D20302"/>
    <w:rsid w:val="00D20C67"/>
    <w:rsid w:val="00D227EB"/>
    <w:rsid w:val="00D23CA6"/>
    <w:rsid w:val="00D25396"/>
    <w:rsid w:val="00D27A48"/>
    <w:rsid w:val="00D30F1E"/>
    <w:rsid w:val="00D34A04"/>
    <w:rsid w:val="00D35017"/>
    <w:rsid w:val="00D36B9D"/>
    <w:rsid w:val="00D37C88"/>
    <w:rsid w:val="00D42347"/>
    <w:rsid w:val="00D536B2"/>
    <w:rsid w:val="00D53808"/>
    <w:rsid w:val="00D5530A"/>
    <w:rsid w:val="00D56C5E"/>
    <w:rsid w:val="00D574FE"/>
    <w:rsid w:val="00D57EB9"/>
    <w:rsid w:val="00D632BC"/>
    <w:rsid w:val="00D65A6D"/>
    <w:rsid w:val="00D667C7"/>
    <w:rsid w:val="00D70CB9"/>
    <w:rsid w:val="00D76521"/>
    <w:rsid w:val="00D80CA2"/>
    <w:rsid w:val="00D80DB3"/>
    <w:rsid w:val="00D816DC"/>
    <w:rsid w:val="00D81D73"/>
    <w:rsid w:val="00D824C2"/>
    <w:rsid w:val="00D85422"/>
    <w:rsid w:val="00D86053"/>
    <w:rsid w:val="00D921A9"/>
    <w:rsid w:val="00DA00DE"/>
    <w:rsid w:val="00DA0439"/>
    <w:rsid w:val="00DA3576"/>
    <w:rsid w:val="00DA4817"/>
    <w:rsid w:val="00DA5BC7"/>
    <w:rsid w:val="00DA604C"/>
    <w:rsid w:val="00DA7E08"/>
    <w:rsid w:val="00DB11C9"/>
    <w:rsid w:val="00DB2C47"/>
    <w:rsid w:val="00DB6F97"/>
    <w:rsid w:val="00DB7AD8"/>
    <w:rsid w:val="00DC1D0A"/>
    <w:rsid w:val="00DC3498"/>
    <w:rsid w:val="00DC3FB9"/>
    <w:rsid w:val="00DC6AFA"/>
    <w:rsid w:val="00DC6D8D"/>
    <w:rsid w:val="00DD066C"/>
    <w:rsid w:val="00DD183A"/>
    <w:rsid w:val="00DD24CE"/>
    <w:rsid w:val="00DD3309"/>
    <w:rsid w:val="00DD409B"/>
    <w:rsid w:val="00DE04BD"/>
    <w:rsid w:val="00DE19E2"/>
    <w:rsid w:val="00DE2537"/>
    <w:rsid w:val="00DE2A22"/>
    <w:rsid w:val="00DE5E91"/>
    <w:rsid w:val="00DF5A14"/>
    <w:rsid w:val="00E05B11"/>
    <w:rsid w:val="00E1275F"/>
    <w:rsid w:val="00E15514"/>
    <w:rsid w:val="00E161A6"/>
    <w:rsid w:val="00E16F72"/>
    <w:rsid w:val="00E17F64"/>
    <w:rsid w:val="00E211C3"/>
    <w:rsid w:val="00E21431"/>
    <w:rsid w:val="00E26CCB"/>
    <w:rsid w:val="00E26DD4"/>
    <w:rsid w:val="00E30BEE"/>
    <w:rsid w:val="00E32A81"/>
    <w:rsid w:val="00E37952"/>
    <w:rsid w:val="00E40ABE"/>
    <w:rsid w:val="00E42BC2"/>
    <w:rsid w:val="00E45B3D"/>
    <w:rsid w:val="00E5610C"/>
    <w:rsid w:val="00E57905"/>
    <w:rsid w:val="00E57B3D"/>
    <w:rsid w:val="00E57F81"/>
    <w:rsid w:val="00E60AC8"/>
    <w:rsid w:val="00E63E42"/>
    <w:rsid w:val="00E67189"/>
    <w:rsid w:val="00E675AE"/>
    <w:rsid w:val="00E67EAF"/>
    <w:rsid w:val="00E7050C"/>
    <w:rsid w:val="00E711F9"/>
    <w:rsid w:val="00E71757"/>
    <w:rsid w:val="00E72D8D"/>
    <w:rsid w:val="00E73625"/>
    <w:rsid w:val="00E77E8D"/>
    <w:rsid w:val="00E8011B"/>
    <w:rsid w:val="00E8304A"/>
    <w:rsid w:val="00E843C2"/>
    <w:rsid w:val="00E843D7"/>
    <w:rsid w:val="00E85780"/>
    <w:rsid w:val="00E8590F"/>
    <w:rsid w:val="00E87C4A"/>
    <w:rsid w:val="00E91C2D"/>
    <w:rsid w:val="00E964A7"/>
    <w:rsid w:val="00EA22AB"/>
    <w:rsid w:val="00EA3FD1"/>
    <w:rsid w:val="00EB0FCF"/>
    <w:rsid w:val="00EB1A50"/>
    <w:rsid w:val="00EB510D"/>
    <w:rsid w:val="00EB7A2F"/>
    <w:rsid w:val="00EC077B"/>
    <w:rsid w:val="00ED10F9"/>
    <w:rsid w:val="00ED1BC3"/>
    <w:rsid w:val="00EE39D3"/>
    <w:rsid w:val="00EE449D"/>
    <w:rsid w:val="00EE55A5"/>
    <w:rsid w:val="00EE6D58"/>
    <w:rsid w:val="00EF02E3"/>
    <w:rsid w:val="00EF07B2"/>
    <w:rsid w:val="00EF0EAE"/>
    <w:rsid w:val="00EF1EE7"/>
    <w:rsid w:val="00EF3CAD"/>
    <w:rsid w:val="00EF4331"/>
    <w:rsid w:val="00F00C8E"/>
    <w:rsid w:val="00F00FB3"/>
    <w:rsid w:val="00F01B18"/>
    <w:rsid w:val="00F02E30"/>
    <w:rsid w:val="00F04024"/>
    <w:rsid w:val="00F0459E"/>
    <w:rsid w:val="00F0595A"/>
    <w:rsid w:val="00F10FB9"/>
    <w:rsid w:val="00F15E2B"/>
    <w:rsid w:val="00F15F5F"/>
    <w:rsid w:val="00F1670E"/>
    <w:rsid w:val="00F17438"/>
    <w:rsid w:val="00F17D9A"/>
    <w:rsid w:val="00F22CC3"/>
    <w:rsid w:val="00F22FE9"/>
    <w:rsid w:val="00F23E96"/>
    <w:rsid w:val="00F2620F"/>
    <w:rsid w:val="00F3240B"/>
    <w:rsid w:val="00F32B91"/>
    <w:rsid w:val="00F33880"/>
    <w:rsid w:val="00F372B4"/>
    <w:rsid w:val="00F3758A"/>
    <w:rsid w:val="00F400B7"/>
    <w:rsid w:val="00F40793"/>
    <w:rsid w:val="00F419AC"/>
    <w:rsid w:val="00F420C8"/>
    <w:rsid w:val="00F425AD"/>
    <w:rsid w:val="00F44AC5"/>
    <w:rsid w:val="00F47B0E"/>
    <w:rsid w:val="00F52173"/>
    <w:rsid w:val="00F564C5"/>
    <w:rsid w:val="00F61467"/>
    <w:rsid w:val="00F618BE"/>
    <w:rsid w:val="00F64622"/>
    <w:rsid w:val="00F70CF7"/>
    <w:rsid w:val="00F736D4"/>
    <w:rsid w:val="00F77A42"/>
    <w:rsid w:val="00F801EC"/>
    <w:rsid w:val="00F8034C"/>
    <w:rsid w:val="00F820D3"/>
    <w:rsid w:val="00F83ACB"/>
    <w:rsid w:val="00F8535F"/>
    <w:rsid w:val="00F85534"/>
    <w:rsid w:val="00F86A14"/>
    <w:rsid w:val="00F86C88"/>
    <w:rsid w:val="00F86ED6"/>
    <w:rsid w:val="00F87A0C"/>
    <w:rsid w:val="00F87B34"/>
    <w:rsid w:val="00F9150A"/>
    <w:rsid w:val="00F9182C"/>
    <w:rsid w:val="00F97CDA"/>
    <w:rsid w:val="00FA16AE"/>
    <w:rsid w:val="00FB0B78"/>
    <w:rsid w:val="00FB0D8C"/>
    <w:rsid w:val="00FB18F8"/>
    <w:rsid w:val="00FB2CA1"/>
    <w:rsid w:val="00FB5F21"/>
    <w:rsid w:val="00FC0301"/>
    <w:rsid w:val="00FC49BF"/>
    <w:rsid w:val="00FC667A"/>
    <w:rsid w:val="00FC7EB2"/>
    <w:rsid w:val="00FD07B0"/>
    <w:rsid w:val="00FD0DB1"/>
    <w:rsid w:val="00FD1ADC"/>
    <w:rsid w:val="00FD2795"/>
    <w:rsid w:val="00FD5CF9"/>
    <w:rsid w:val="00FE0097"/>
    <w:rsid w:val="00FE2E0F"/>
    <w:rsid w:val="00FE3DF5"/>
    <w:rsid w:val="00FE48BC"/>
    <w:rsid w:val="00FF0089"/>
    <w:rsid w:val="00FF294B"/>
    <w:rsid w:val="00FF2C78"/>
    <w:rsid w:val="00FF3ED9"/>
    <w:rsid w:val="00FF7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E8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2743"/>
  </w:style>
  <w:style w:type="paragraph" w:styleId="Heading1">
    <w:name w:val="heading 1"/>
    <w:basedOn w:val="Normal"/>
    <w:next w:val="Normal"/>
    <w:link w:val="Heading1Char"/>
    <w:uiPriority w:val="9"/>
    <w:qFormat/>
    <w:rsid w:val="00155B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2A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B7F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17438"/>
  </w:style>
  <w:style w:type="paragraph" w:styleId="ListParagraph">
    <w:name w:val="List Paragraph"/>
    <w:aliases w:val="titulo 3,Bullets,Párrafo de lista1,normal,Normal1,Lapis Bulleted List"/>
    <w:basedOn w:val="Normal"/>
    <w:link w:val="ListParagraphChar"/>
    <w:uiPriority w:val="34"/>
    <w:qFormat/>
    <w:rsid w:val="002444C7"/>
    <w:pPr>
      <w:ind w:left="720"/>
      <w:contextualSpacing/>
    </w:pPr>
  </w:style>
  <w:style w:type="character" w:styleId="Hyperlink">
    <w:name w:val="Hyperlink"/>
    <w:basedOn w:val="DefaultParagraphFont"/>
    <w:uiPriority w:val="99"/>
    <w:unhideWhenUsed/>
    <w:rsid w:val="002444C7"/>
    <w:rPr>
      <w:color w:val="0563C1" w:themeColor="hyperlink"/>
      <w:u w:val="single"/>
    </w:rPr>
  </w:style>
  <w:style w:type="paragraph" w:styleId="Header">
    <w:name w:val="header"/>
    <w:basedOn w:val="Normal"/>
    <w:link w:val="HeaderChar"/>
    <w:uiPriority w:val="99"/>
    <w:unhideWhenUsed/>
    <w:rsid w:val="002F4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58B"/>
  </w:style>
  <w:style w:type="paragraph" w:styleId="Footer">
    <w:name w:val="footer"/>
    <w:basedOn w:val="Normal"/>
    <w:link w:val="FooterChar"/>
    <w:uiPriority w:val="99"/>
    <w:unhideWhenUsed/>
    <w:rsid w:val="002F4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58B"/>
  </w:style>
  <w:style w:type="paragraph" w:styleId="BalloonText">
    <w:name w:val="Balloon Text"/>
    <w:basedOn w:val="Normal"/>
    <w:link w:val="BalloonTextChar"/>
    <w:uiPriority w:val="99"/>
    <w:semiHidden/>
    <w:unhideWhenUsed/>
    <w:rsid w:val="006B02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2FF"/>
    <w:rPr>
      <w:rFonts w:ascii="Segoe UI" w:hAnsi="Segoe UI" w:cs="Segoe UI"/>
      <w:sz w:val="18"/>
      <w:szCs w:val="18"/>
    </w:rPr>
  </w:style>
  <w:style w:type="paragraph" w:styleId="FootnoteText">
    <w:name w:val="footnote text"/>
    <w:aliases w:val="5_G"/>
    <w:basedOn w:val="Normal"/>
    <w:link w:val="FootnoteTextChar"/>
    <w:uiPriority w:val="99"/>
    <w:semiHidden/>
    <w:unhideWhenUsed/>
    <w:qFormat/>
    <w:rsid w:val="004B2226"/>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semiHidden/>
    <w:rsid w:val="004B2226"/>
    <w:rPr>
      <w:sz w:val="20"/>
      <w:szCs w:val="20"/>
    </w:rPr>
  </w:style>
  <w:style w:type="character" w:styleId="FootnoteReference">
    <w:name w:val="footnote reference"/>
    <w:aliases w:val="ftref,Footnotes refss,16 Point,Superscript 6 Point,Char Char,FO,Знак сноски 1,referencia nota al pie,Texto de nota al pie,BVI fnr,Footnote symbol,Footnote,Ref. ...,Ref. de nota al pie2,Nota de pie,Ref,de nota al pie,Pie de pagina,FC"/>
    <w:basedOn w:val="DefaultParagraphFont"/>
    <w:uiPriority w:val="99"/>
    <w:unhideWhenUsed/>
    <w:rsid w:val="004B2226"/>
    <w:rPr>
      <w:vertAlign w:val="superscript"/>
    </w:rPr>
  </w:style>
  <w:style w:type="character" w:styleId="CommentReference">
    <w:name w:val="annotation reference"/>
    <w:basedOn w:val="DefaultParagraphFont"/>
    <w:uiPriority w:val="99"/>
    <w:semiHidden/>
    <w:unhideWhenUsed/>
    <w:rsid w:val="006A332E"/>
    <w:rPr>
      <w:sz w:val="16"/>
      <w:szCs w:val="16"/>
    </w:rPr>
  </w:style>
  <w:style w:type="paragraph" w:styleId="CommentText">
    <w:name w:val="annotation text"/>
    <w:basedOn w:val="Normal"/>
    <w:link w:val="CommentTextChar"/>
    <w:uiPriority w:val="99"/>
    <w:unhideWhenUsed/>
    <w:rsid w:val="006A332E"/>
    <w:pPr>
      <w:spacing w:line="240" w:lineRule="auto"/>
    </w:pPr>
    <w:rPr>
      <w:sz w:val="20"/>
      <w:szCs w:val="20"/>
    </w:rPr>
  </w:style>
  <w:style w:type="character" w:customStyle="1" w:styleId="CommentTextChar">
    <w:name w:val="Comment Text Char"/>
    <w:basedOn w:val="DefaultParagraphFont"/>
    <w:link w:val="CommentText"/>
    <w:uiPriority w:val="99"/>
    <w:rsid w:val="006A332E"/>
    <w:rPr>
      <w:sz w:val="20"/>
      <w:szCs w:val="20"/>
    </w:rPr>
  </w:style>
  <w:style w:type="paragraph" w:styleId="CommentSubject">
    <w:name w:val="annotation subject"/>
    <w:basedOn w:val="CommentText"/>
    <w:next w:val="CommentText"/>
    <w:link w:val="CommentSubjectChar"/>
    <w:uiPriority w:val="99"/>
    <w:semiHidden/>
    <w:unhideWhenUsed/>
    <w:rsid w:val="006A332E"/>
    <w:rPr>
      <w:b/>
      <w:bCs/>
    </w:rPr>
  </w:style>
  <w:style w:type="character" w:customStyle="1" w:styleId="CommentSubjectChar">
    <w:name w:val="Comment Subject Char"/>
    <w:basedOn w:val="CommentTextChar"/>
    <w:link w:val="CommentSubject"/>
    <w:uiPriority w:val="99"/>
    <w:semiHidden/>
    <w:rsid w:val="006A332E"/>
    <w:rPr>
      <w:b/>
      <w:bCs/>
      <w:sz w:val="20"/>
      <w:szCs w:val="20"/>
    </w:rPr>
  </w:style>
  <w:style w:type="character" w:customStyle="1" w:styleId="Heading1Char">
    <w:name w:val="Heading 1 Char"/>
    <w:basedOn w:val="DefaultParagraphFont"/>
    <w:link w:val="Heading1"/>
    <w:uiPriority w:val="9"/>
    <w:rsid w:val="00155B5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55B5D"/>
    <w:pPr>
      <w:outlineLvl w:val="9"/>
    </w:pPr>
  </w:style>
  <w:style w:type="paragraph" w:styleId="TOC1">
    <w:name w:val="toc 1"/>
    <w:basedOn w:val="Normal"/>
    <w:next w:val="Normal"/>
    <w:autoRedefine/>
    <w:uiPriority w:val="39"/>
    <w:unhideWhenUsed/>
    <w:rsid w:val="00155B5D"/>
    <w:pPr>
      <w:spacing w:after="100"/>
    </w:pPr>
  </w:style>
  <w:style w:type="paragraph" w:styleId="Revision">
    <w:name w:val="Revision"/>
    <w:hidden/>
    <w:uiPriority w:val="99"/>
    <w:semiHidden/>
    <w:rsid w:val="00A14CFE"/>
    <w:pPr>
      <w:spacing w:after="0" w:line="240" w:lineRule="auto"/>
    </w:pPr>
  </w:style>
  <w:style w:type="paragraph" w:styleId="DocumentMap">
    <w:name w:val="Document Map"/>
    <w:basedOn w:val="Normal"/>
    <w:link w:val="DocumentMapChar"/>
    <w:uiPriority w:val="99"/>
    <w:semiHidden/>
    <w:unhideWhenUsed/>
    <w:rsid w:val="00A14CFE"/>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14CFE"/>
    <w:rPr>
      <w:rFonts w:ascii="Lucida Grande" w:hAnsi="Lucida Grande" w:cs="Lucida Grande"/>
      <w:sz w:val="24"/>
      <w:szCs w:val="24"/>
    </w:rPr>
  </w:style>
  <w:style w:type="paragraph" w:styleId="BodyText">
    <w:name w:val="Body Text"/>
    <w:basedOn w:val="Normal"/>
    <w:link w:val="BodyTextChar"/>
    <w:uiPriority w:val="99"/>
    <w:rsid w:val="00A01C5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A01C50"/>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0D3E2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0D3E25"/>
    <w:rPr>
      <w:rFonts w:asciiTheme="majorHAnsi" w:eastAsiaTheme="majorEastAsia" w:hAnsiTheme="majorHAnsi" w:cstheme="majorBidi"/>
      <w:i/>
      <w:iCs/>
      <w:color w:val="5B9BD5" w:themeColor="accent1"/>
      <w:spacing w:val="15"/>
      <w:sz w:val="24"/>
      <w:szCs w:val="24"/>
    </w:rPr>
  </w:style>
  <w:style w:type="character" w:customStyle="1" w:styleId="ListParagraphChar">
    <w:name w:val="List Paragraph Char"/>
    <w:aliases w:val="titulo 3 Char,Bullets Char,Párrafo de lista1 Char,normal Char,Normal1 Char,Lapis Bulleted List Char"/>
    <w:link w:val="ListParagraph"/>
    <w:uiPriority w:val="34"/>
    <w:locked/>
    <w:rsid w:val="007D546F"/>
  </w:style>
  <w:style w:type="character" w:styleId="Emphasis">
    <w:name w:val="Emphasis"/>
    <w:basedOn w:val="DefaultParagraphFont"/>
    <w:uiPriority w:val="20"/>
    <w:qFormat/>
    <w:rsid w:val="00DD3309"/>
    <w:rPr>
      <w:i/>
      <w:iCs/>
    </w:rPr>
  </w:style>
  <w:style w:type="paragraph" w:styleId="NormalWeb">
    <w:name w:val="Normal (Web)"/>
    <w:basedOn w:val="Normal"/>
    <w:uiPriority w:val="99"/>
    <w:unhideWhenUsed/>
    <w:rsid w:val="00E8590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stTable6Colorful-Accent11">
    <w:name w:val="List Table 6 Colorful - Accent 11"/>
    <w:basedOn w:val="TableNormal"/>
    <w:uiPriority w:val="51"/>
    <w:rsid w:val="00A22220"/>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39"/>
    <w:rsid w:val="0039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E2A22"/>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2A171F"/>
    <w:pPr>
      <w:spacing w:after="100"/>
      <w:ind w:left="220"/>
    </w:pPr>
  </w:style>
  <w:style w:type="paragraph" w:customStyle="1" w:styleId="ColorfulList-Accent11">
    <w:name w:val="Colorful List - Accent 11"/>
    <w:aliases w:val="List Paragraph (numbered (a)),References,WB List Paragraph,Dot pt,F5 List Paragraph,List Paragraph1,No Spacing1,List Paragraph Char Char Char,Indicator Text,Numbered Para 1,Bullet 1,Bullet Points"/>
    <w:basedOn w:val="Normal"/>
    <w:link w:val="ColorfulList-Accent1Char"/>
    <w:qFormat/>
    <w:rsid w:val="00400053"/>
    <w:pPr>
      <w:spacing w:after="200" w:line="276" w:lineRule="auto"/>
      <w:ind w:left="720"/>
      <w:contextualSpacing/>
    </w:pPr>
    <w:rPr>
      <w:rFonts w:ascii="Calibri" w:eastAsia="Calibri" w:hAnsi="Calibri" w:cs="Times New Roman"/>
      <w:lang w:bidi="ar-SA"/>
    </w:rPr>
  </w:style>
  <w:style w:type="character" w:customStyle="1" w:styleId="ColorfulList-Accent1Char">
    <w:name w:val="Colorful List - Accent 1 Char"/>
    <w:aliases w:val="List Paragraph (numbered (a)) Char,References Char,WB List Paragraph Char,Dot pt Char,F5 List Paragraph Char,List Paragraph1 Char,No Spacing1 Char,List Paragraph Char Char Char Char,Indicator Text Char,Numbered Para 1 Char"/>
    <w:link w:val="ColorfulList-Accent11"/>
    <w:qFormat/>
    <w:rsid w:val="00400053"/>
    <w:rPr>
      <w:rFonts w:ascii="Calibri" w:eastAsia="Calibri" w:hAnsi="Calibri" w:cs="Times New Roman"/>
      <w:lang w:bidi="ar-SA"/>
    </w:rPr>
  </w:style>
  <w:style w:type="character" w:customStyle="1" w:styleId="Heading3Char">
    <w:name w:val="Heading 3 Char"/>
    <w:basedOn w:val="DefaultParagraphFont"/>
    <w:link w:val="Heading3"/>
    <w:uiPriority w:val="9"/>
    <w:rsid w:val="004B7F36"/>
    <w:rPr>
      <w:rFonts w:asciiTheme="majorHAnsi" w:eastAsiaTheme="majorEastAsia" w:hAnsiTheme="majorHAnsi" w:cstheme="majorBidi"/>
      <w:color w:val="1F4D78" w:themeColor="accent1" w:themeShade="7F"/>
      <w:sz w:val="24"/>
      <w:szCs w:val="24"/>
    </w:rPr>
  </w:style>
  <w:style w:type="paragraph" w:customStyle="1" w:styleId="Body">
    <w:name w:val="Body"/>
    <w:rsid w:val="004B7F36"/>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bidi="ar-SA"/>
    </w:rPr>
  </w:style>
  <w:style w:type="paragraph" w:styleId="TOC3">
    <w:name w:val="toc 3"/>
    <w:basedOn w:val="Normal"/>
    <w:next w:val="Normal"/>
    <w:autoRedefine/>
    <w:uiPriority w:val="39"/>
    <w:unhideWhenUsed/>
    <w:rsid w:val="001559D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07146">
      <w:bodyDiv w:val="1"/>
      <w:marLeft w:val="0"/>
      <w:marRight w:val="0"/>
      <w:marTop w:val="0"/>
      <w:marBottom w:val="0"/>
      <w:divBdr>
        <w:top w:val="none" w:sz="0" w:space="0" w:color="auto"/>
        <w:left w:val="none" w:sz="0" w:space="0" w:color="auto"/>
        <w:bottom w:val="none" w:sz="0" w:space="0" w:color="auto"/>
        <w:right w:val="none" w:sz="0" w:space="0" w:color="auto"/>
      </w:divBdr>
    </w:div>
    <w:div w:id="151795503">
      <w:bodyDiv w:val="1"/>
      <w:marLeft w:val="0"/>
      <w:marRight w:val="0"/>
      <w:marTop w:val="0"/>
      <w:marBottom w:val="0"/>
      <w:divBdr>
        <w:top w:val="none" w:sz="0" w:space="0" w:color="auto"/>
        <w:left w:val="none" w:sz="0" w:space="0" w:color="auto"/>
        <w:bottom w:val="none" w:sz="0" w:space="0" w:color="auto"/>
        <w:right w:val="none" w:sz="0" w:space="0" w:color="auto"/>
      </w:divBdr>
    </w:div>
    <w:div w:id="372384707">
      <w:bodyDiv w:val="1"/>
      <w:marLeft w:val="0"/>
      <w:marRight w:val="0"/>
      <w:marTop w:val="0"/>
      <w:marBottom w:val="0"/>
      <w:divBdr>
        <w:top w:val="none" w:sz="0" w:space="0" w:color="auto"/>
        <w:left w:val="none" w:sz="0" w:space="0" w:color="auto"/>
        <w:bottom w:val="none" w:sz="0" w:space="0" w:color="auto"/>
        <w:right w:val="none" w:sz="0" w:space="0" w:color="auto"/>
      </w:divBdr>
    </w:div>
    <w:div w:id="734622740">
      <w:bodyDiv w:val="1"/>
      <w:marLeft w:val="0"/>
      <w:marRight w:val="0"/>
      <w:marTop w:val="0"/>
      <w:marBottom w:val="0"/>
      <w:divBdr>
        <w:top w:val="none" w:sz="0" w:space="0" w:color="auto"/>
        <w:left w:val="none" w:sz="0" w:space="0" w:color="auto"/>
        <w:bottom w:val="none" w:sz="0" w:space="0" w:color="auto"/>
        <w:right w:val="none" w:sz="0" w:space="0" w:color="auto"/>
      </w:divBdr>
    </w:div>
    <w:div w:id="751897332">
      <w:bodyDiv w:val="1"/>
      <w:marLeft w:val="0"/>
      <w:marRight w:val="0"/>
      <w:marTop w:val="0"/>
      <w:marBottom w:val="0"/>
      <w:divBdr>
        <w:top w:val="none" w:sz="0" w:space="0" w:color="auto"/>
        <w:left w:val="none" w:sz="0" w:space="0" w:color="auto"/>
        <w:bottom w:val="none" w:sz="0" w:space="0" w:color="auto"/>
        <w:right w:val="none" w:sz="0" w:space="0" w:color="auto"/>
      </w:divBdr>
    </w:div>
    <w:div w:id="775291575">
      <w:bodyDiv w:val="1"/>
      <w:marLeft w:val="0"/>
      <w:marRight w:val="0"/>
      <w:marTop w:val="0"/>
      <w:marBottom w:val="0"/>
      <w:divBdr>
        <w:top w:val="none" w:sz="0" w:space="0" w:color="auto"/>
        <w:left w:val="none" w:sz="0" w:space="0" w:color="auto"/>
        <w:bottom w:val="none" w:sz="0" w:space="0" w:color="auto"/>
        <w:right w:val="none" w:sz="0" w:space="0" w:color="auto"/>
      </w:divBdr>
    </w:div>
    <w:div w:id="944340615">
      <w:bodyDiv w:val="1"/>
      <w:marLeft w:val="0"/>
      <w:marRight w:val="0"/>
      <w:marTop w:val="0"/>
      <w:marBottom w:val="0"/>
      <w:divBdr>
        <w:top w:val="none" w:sz="0" w:space="0" w:color="auto"/>
        <w:left w:val="none" w:sz="0" w:space="0" w:color="auto"/>
        <w:bottom w:val="none" w:sz="0" w:space="0" w:color="auto"/>
        <w:right w:val="none" w:sz="0" w:space="0" w:color="auto"/>
      </w:divBdr>
    </w:div>
    <w:div w:id="972752972">
      <w:bodyDiv w:val="1"/>
      <w:marLeft w:val="0"/>
      <w:marRight w:val="0"/>
      <w:marTop w:val="0"/>
      <w:marBottom w:val="0"/>
      <w:divBdr>
        <w:top w:val="none" w:sz="0" w:space="0" w:color="auto"/>
        <w:left w:val="none" w:sz="0" w:space="0" w:color="auto"/>
        <w:bottom w:val="none" w:sz="0" w:space="0" w:color="auto"/>
        <w:right w:val="none" w:sz="0" w:space="0" w:color="auto"/>
      </w:divBdr>
    </w:div>
    <w:div w:id="1121532004">
      <w:bodyDiv w:val="1"/>
      <w:marLeft w:val="0"/>
      <w:marRight w:val="0"/>
      <w:marTop w:val="0"/>
      <w:marBottom w:val="0"/>
      <w:divBdr>
        <w:top w:val="none" w:sz="0" w:space="0" w:color="auto"/>
        <w:left w:val="none" w:sz="0" w:space="0" w:color="auto"/>
        <w:bottom w:val="none" w:sz="0" w:space="0" w:color="auto"/>
        <w:right w:val="none" w:sz="0" w:space="0" w:color="auto"/>
      </w:divBdr>
    </w:div>
    <w:div w:id="1236352905">
      <w:bodyDiv w:val="1"/>
      <w:marLeft w:val="0"/>
      <w:marRight w:val="0"/>
      <w:marTop w:val="0"/>
      <w:marBottom w:val="0"/>
      <w:divBdr>
        <w:top w:val="none" w:sz="0" w:space="0" w:color="auto"/>
        <w:left w:val="none" w:sz="0" w:space="0" w:color="auto"/>
        <w:bottom w:val="none" w:sz="0" w:space="0" w:color="auto"/>
        <w:right w:val="none" w:sz="0" w:space="0" w:color="auto"/>
      </w:divBdr>
      <w:divsChild>
        <w:div w:id="321395269">
          <w:marLeft w:val="0"/>
          <w:marRight w:val="0"/>
          <w:marTop w:val="0"/>
          <w:marBottom w:val="0"/>
          <w:divBdr>
            <w:top w:val="none" w:sz="0" w:space="0" w:color="auto"/>
            <w:left w:val="none" w:sz="0" w:space="0" w:color="auto"/>
            <w:bottom w:val="none" w:sz="0" w:space="0" w:color="auto"/>
            <w:right w:val="none" w:sz="0" w:space="0" w:color="auto"/>
          </w:divBdr>
        </w:div>
        <w:div w:id="408305976">
          <w:marLeft w:val="0"/>
          <w:marRight w:val="0"/>
          <w:marTop w:val="0"/>
          <w:marBottom w:val="0"/>
          <w:divBdr>
            <w:top w:val="none" w:sz="0" w:space="0" w:color="auto"/>
            <w:left w:val="none" w:sz="0" w:space="0" w:color="auto"/>
            <w:bottom w:val="none" w:sz="0" w:space="0" w:color="auto"/>
            <w:right w:val="none" w:sz="0" w:space="0" w:color="auto"/>
          </w:divBdr>
        </w:div>
        <w:div w:id="410156780">
          <w:marLeft w:val="0"/>
          <w:marRight w:val="0"/>
          <w:marTop w:val="0"/>
          <w:marBottom w:val="0"/>
          <w:divBdr>
            <w:top w:val="none" w:sz="0" w:space="0" w:color="auto"/>
            <w:left w:val="none" w:sz="0" w:space="0" w:color="auto"/>
            <w:bottom w:val="none" w:sz="0" w:space="0" w:color="auto"/>
            <w:right w:val="none" w:sz="0" w:space="0" w:color="auto"/>
          </w:divBdr>
        </w:div>
        <w:div w:id="1091395596">
          <w:marLeft w:val="0"/>
          <w:marRight w:val="0"/>
          <w:marTop w:val="0"/>
          <w:marBottom w:val="0"/>
          <w:divBdr>
            <w:top w:val="none" w:sz="0" w:space="0" w:color="auto"/>
            <w:left w:val="none" w:sz="0" w:space="0" w:color="auto"/>
            <w:bottom w:val="none" w:sz="0" w:space="0" w:color="auto"/>
            <w:right w:val="none" w:sz="0" w:space="0" w:color="auto"/>
          </w:divBdr>
        </w:div>
        <w:div w:id="1126657511">
          <w:marLeft w:val="0"/>
          <w:marRight w:val="0"/>
          <w:marTop w:val="0"/>
          <w:marBottom w:val="0"/>
          <w:divBdr>
            <w:top w:val="none" w:sz="0" w:space="0" w:color="auto"/>
            <w:left w:val="none" w:sz="0" w:space="0" w:color="auto"/>
            <w:bottom w:val="none" w:sz="0" w:space="0" w:color="auto"/>
            <w:right w:val="none" w:sz="0" w:space="0" w:color="auto"/>
          </w:divBdr>
        </w:div>
        <w:div w:id="1153177955">
          <w:marLeft w:val="0"/>
          <w:marRight w:val="0"/>
          <w:marTop w:val="0"/>
          <w:marBottom w:val="0"/>
          <w:divBdr>
            <w:top w:val="none" w:sz="0" w:space="0" w:color="auto"/>
            <w:left w:val="none" w:sz="0" w:space="0" w:color="auto"/>
            <w:bottom w:val="none" w:sz="0" w:space="0" w:color="auto"/>
            <w:right w:val="none" w:sz="0" w:space="0" w:color="auto"/>
          </w:divBdr>
        </w:div>
        <w:div w:id="1513766150">
          <w:marLeft w:val="0"/>
          <w:marRight w:val="0"/>
          <w:marTop w:val="0"/>
          <w:marBottom w:val="0"/>
          <w:divBdr>
            <w:top w:val="none" w:sz="0" w:space="0" w:color="auto"/>
            <w:left w:val="none" w:sz="0" w:space="0" w:color="auto"/>
            <w:bottom w:val="none" w:sz="0" w:space="0" w:color="auto"/>
            <w:right w:val="none" w:sz="0" w:space="0" w:color="auto"/>
          </w:divBdr>
        </w:div>
        <w:div w:id="1514997701">
          <w:marLeft w:val="0"/>
          <w:marRight w:val="0"/>
          <w:marTop w:val="0"/>
          <w:marBottom w:val="0"/>
          <w:divBdr>
            <w:top w:val="none" w:sz="0" w:space="0" w:color="auto"/>
            <w:left w:val="none" w:sz="0" w:space="0" w:color="auto"/>
            <w:bottom w:val="none" w:sz="0" w:space="0" w:color="auto"/>
            <w:right w:val="none" w:sz="0" w:space="0" w:color="auto"/>
          </w:divBdr>
        </w:div>
        <w:div w:id="2025666513">
          <w:marLeft w:val="0"/>
          <w:marRight w:val="0"/>
          <w:marTop w:val="0"/>
          <w:marBottom w:val="0"/>
          <w:divBdr>
            <w:top w:val="none" w:sz="0" w:space="0" w:color="auto"/>
            <w:left w:val="none" w:sz="0" w:space="0" w:color="auto"/>
            <w:bottom w:val="none" w:sz="0" w:space="0" w:color="auto"/>
            <w:right w:val="none" w:sz="0" w:space="0" w:color="auto"/>
          </w:divBdr>
        </w:div>
      </w:divsChild>
    </w:div>
    <w:div w:id="1541161732">
      <w:bodyDiv w:val="1"/>
      <w:marLeft w:val="0"/>
      <w:marRight w:val="0"/>
      <w:marTop w:val="0"/>
      <w:marBottom w:val="0"/>
      <w:divBdr>
        <w:top w:val="none" w:sz="0" w:space="0" w:color="auto"/>
        <w:left w:val="none" w:sz="0" w:space="0" w:color="auto"/>
        <w:bottom w:val="none" w:sz="0" w:space="0" w:color="auto"/>
        <w:right w:val="none" w:sz="0" w:space="0" w:color="auto"/>
      </w:divBdr>
    </w:div>
    <w:div w:id="1577013876">
      <w:bodyDiv w:val="1"/>
      <w:marLeft w:val="0"/>
      <w:marRight w:val="0"/>
      <w:marTop w:val="0"/>
      <w:marBottom w:val="0"/>
      <w:divBdr>
        <w:top w:val="none" w:sz="0" w:space="0" w:color="auto"/>
        <w:left w:val="none" w:sz="0" w:space="0" w:color="auto"/>
        <w:bottom w:val="none" w:sz="0" w:space="0" w:color="auto"/>
        <w:right w:val="none" w:sz="0" w:space="0" w:color="auto"/>
      </w:divBdr>
    </w:div>
    <w:div w:id="1790053273">
      <w:bodyDiv w:val="1"/>
      <w:marLeft w:val="0"/>
      <w:marRight w:val="0"/>
      <w:marTop w:val="0"/>
      <w:marBottom w:val="0"/>
      <w:divBdr>
        <w:top w:val="none" w:sz="0" w:space="0" w:color="auto"/>
        <w:left w:val="none" w:sz="0" w:space="0" w:color="auto"/>
        <w:bottom w:val="none" w:sz="0" w:space="0" w:color="auto"/>
        <w:right w:val="none" w:sz="0" w:space="0" w:color="auto"/>
      </w:divBdr>
    </w:div>
    <w:div w:id="1797750406">
      <w:bodyDiv w:val="1"/>
      <w:marLeft w:val="0"/>
      <w:marRight w:val="0"/>
      <w:marTop w:val="0"/>
      <w:marBottom w:val="0"/>
      <w:divBdr>
        <w:top w:val="none" w:sz="0" w:space="0" w:color="auto"/>
        <w:left w:val="none" w:sz="0" w:space="0" w:color="auto"/>
        <w:bottom w:val="none" w:sz="0" w:space="0" w:color="auto"/>
        <w:right w:val="none" w:sz="0" w:space="0" w:color="auto"/>
      </w:divBdr>
    </w:div>
    <w:div w:id="198896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liefweb.int/sites/reliefweb.int/files/resources/Uganda_Emergency_Appeal_COVID19_2020.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16AC8DC56F7D4799D051E89F721FB3" ma:contentTypeVersion="6" ma:contentTypeDescription="Create a new document." ma:contentTypeScope="" ma:versionID="7dbb71e6f3cc00865933e38d50968be5">
  <xsd:schema xmlns:xsd="http://www.w3.org/2001/XMLSchema" xmlns:xs="http://www.w3.org/2001/XMLSchema" xmlns:p="http://schemas.microsoft.com/office/2006/metadata/properties" xmlns:ns2="4e953f92-a56f-4194-9171-1af554cf63d8" xmlns:ns3="b844176a-2e1e-4910-88cf-c2e4bfcd214e" targetNamespace="http://schemas.microsoft.com/office/2006/metadata/properties" ma:root="true" ma:fieldsID="d325d41cee89fd4e227095839c0bcfdb" ns2:_="" ns3:_="">
    <xsd:import namespace="4e953f92-a56f-4194-9171-1af554cf63d8"/>
    <xsd:import namespace="b844176a-2e1e-4910-88cf-c2e4bfcd21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53f92-a56f-4194-9171-1af554cf6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44176a-2e1e-4910-88cf-c2e4bfcd21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1ED1-3CD8-4C68-9A7D-39FFB46E2733}"/>
</file>

<file path=customXml/itemProps2.xml><?xml version="1.0" encoding="utf-8"?>
<ds:datastoreItem xmlns:ds="http://schemas.openxmlformats.org/officeDocument/2006/customXml" ds:itemID="{810CB310-6AEC-44A4-A0C8-99CAE6F325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EACB53-7243-41CA-8838-40ACA30278A3}">
  <ds:schemaRefs>
    <ds:schemaRef ds:uri="http://schemas.microsoft.com/sharepoint/v3/contenttype/forms"/>
  </ds:schemaRefs>
</ds:datastoreItem>
</file>

<file path=customXml/itemProps4.xml><?xml version="1.0" encoding="utf-8"?>
<ds:datastoreItem xmlns:ds="http://schemas.openxmlformats.org/officeDocument/2006/customXml" ds:itemID="{562798A2-9DFC-4343-8004-17A0F18D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6528</Words>
  <Characters>37212</Characters>
  <Application>Microsoft Office Word</Application>
  <DocSecurity>0</DocSecurity>
  <Lines>310</Lines>
  <Paragraphs>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43653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2020-08-06T13:39:00Z</dcterms:created>
  <dcterms:modified xsi:type="dcterms:W3CDTF">2020-08-06T13:40:00Z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0x0101008C16AC8DC56F7D4799D051E89F721FB3</vt:lpwstr>
  </property>
</Properties>
</file>