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6708" w14:textId="77777777" w:rsidR="00B91A05" w:rsidRPr="00C76853"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contextualSpacing/>
        <w:jc w:val="center"/>
        <w:rPr>
          <w:rFonts w:cs="Calibri"/>
          <w:bCs/>
          <w:i/>
          <w:sz w:val="21"/>
          <w:szCs w:val="21"/>
        </w:rPr>
      </w:pPr>
      <w:r w:rsidRPr="00C76853">
        <w:rPr>
          <w:rFonts w:cs="Calibri"/>
          <w:b/>
          <w:bCs/>
          <w:sz w:val="21"/>
          <w:szCs w:val="21"/>
        </w:rPr>
        <w:t>PROGRAMME</w:t>
      </w:r>
      <w:r w:rsidR="00D93B07" w:rsidRPr="00C76853">
        <w:rPr>
          <w:rFonts w:cs="Calibri"/>
          <w:b/>
          <w:bCs/>
          <w:sz w:val="21"/>
          <w:szCs w:val="21"/>
        </w:rPr>
        <w:t xml:space="preserve"> </w:t>
      </w:r>
      <w:r w:rsidR="00423951" w:rsidRPr="00C76853">
        <w:rPr>
          <w:rFonts w:cs="Calibri"/>
          <w:b/>
          <w:bCs/>
          <w:sz w:val="21"/>
          <w:szCs w:val="21"/>
        </w:rPr>
        <w:t>ANNUAL</w:t>
      </w:r>
      <w:r w:rsidR="00D01F36" w:rsidRPr="00C76853">
        <w:rPr>
          <w:rFonts w:cs="Calibri"/>
          <w:b/>
          <w:bCs/>
          <w:sz w:val="21"/>
          <w:szCs w:val="21"/>
        </w:rPr>
        <w:t xml:space="preserve"> PROGRESS REPORT</w:t>
      </w:r>
    </w:p>
    <w:p w14:paraId="04456B50" w14:textId="77777777" w:rsidR="00B91A05" w:rsidRPr="00C76853" w:rsidRDefault="00474992"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cs="Calibri"/>
          <w:b/>
          <w:bCs/>
          <w:sz w:val="21"/>
          <w:szCs w:val="21"/>
        </w:rPr>
      </w:pPr>
      <w:r w:rsidRPr="00C76853">
        <w:rPr>
          <w:rFonts w:cs="Calibri"/>
          <w:b/>
          <w:bCs/>
          <w:sz w:val="21"/>
          <w:szCs w:val="21"/>
        </w:rPr>
        <w:t>Period</w:t>
      </w:r>
      <w:r w:rsidR="00CF3803" w:rsidRPr="00C76853">
        <w:rPr>
          <w:rFonts w:cs="Calibri"/>
          <w:b/>
          <w:bCs/>
          <w:sz w:val="21"/>
          <w:szCs w:val="21"/>
        </w:rPr>
        <w:t>:</w:t>
      </w:r>
      <w:r w:rsidR="00423951" w:rsidRPr="00C76853">
        <w:rPr>
          <w:rFonts w:cs="Calibri"/>
          <w:b/>
          <w:bCs/>
          <w:sz w:val="21"/>
          <w:szCs w:val="21"/>
        </w:rPr>
        <w:t xml:space="preserve"> 201</w:t>
      </w:r>
      <w:r w:rsidR="00C30333" w:rsidRPr="00C76853">
        <w:rPr>
          <w:rFonts w:cs="Calibri"/>
          <w:b/>
          <w:bCs/>
          <w:sz w:val="21"/>
          <w:szCs w:val="21"/>
        </w:rPr>
        <w:t>9</w:t>
      </w:r>
    </w:p>
    <w:p w14:paraId="76328186" w14:textId="77777777" w:rsidR="00CF3803" w:rsidRPr="00C76853" w:rsidRDefault="00CF3803"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cs="Calibri"/>
          <w:b/>
          <w:bCs/>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CF3803" w:rsidRPr="00C76853" w14:paraId="03502341" w14:textId="77777777" w:rsidTr="00AE488C">
        <w:tc>
          <w:tcPr>
            <w:tcW w:w="2830" w:type="dxa"/>
            <w:shd w:val="clear" w:color="auto" w:fill="D9D9D9"/>
          </w:tcPr>
          <w:p w14:paraId="0A9FEAFE" w14:textId="77777777" w:rsidR="00CF3803" w:rsidRPr="00C76853" w:rsidRDefault="00CF3803" w:rsidP="009E0601">
            <w:pPr>
              <w:spacing w:after="0"/>
              <w:rPr>
                <w:rFonts w:cs="Calibri"/>
                <w:b/>
              </w:rPr>
            </w:pPr>
            <w:r w:rsidRPr="00C76853">
              <w:rPr>
                <w:rFonts w:cs="Calibri"/>
                <w:b/>
              </w:rPr>
              <w:t>Project Name</w:t>
            </w:r>
          </w:p>
        </w:tc>
        <w:tc>
          <w:tcPr>
            <w:tcW w:w="6237" w:type="dxa"/>
            <w:shd w:val="clear" w:color="auto" w:fill="auto"/>
          </w:tcPr>
          <w:p w14:paraId="3406C8BF" w14:textId="77777777" w:rsidR="00CF3803" w:rsidRPr="00C76853" w:rsidRDefault="00EA37E8" w:rsidP="009E0601">
            <w:pPr>
              <w:spacing w:after="0"/>
              <w:rPr>
                <w:rFonts w:cs="Calibri"/>
              </w:rPr>
            </w:pPr>
            <w:r w:rsidRPr="00C76853">
              <w:rPr>
                <w:rFonts w:cs="Calibri"/>
              </w:rPr>
              <w:t>Operationalizing Somali National Strategy and Action Plan on Preventing and Countering of Violent Extremism</w:t>
            </w:r>
          </w:p>
        </w:tc>
      </w:tr>
      <w:tr w:rsidR="00CF3803" w:rsidRPr="00C76853" w14:paraId="748DBE35" w14:textId="77777777" w:rsidTr="00AE488C">
        <w:tc>
          <w:tcPr>
            <w:tcW w:w="2830" w:type="dxa"/>
            <w:shd w:val="clear" w:color="auto" w:fill="D9D9D9"/>
          </w:tcPr>
          <w:p w14:paraId="34651C40" w14:textId="77777777" w:rsidR="00CF3803" w:rsidRPr="00C76853" w:rsidRDefault="00CF3803" w:rsidP="009E0601">
            <w:pPr>
              <w:spacing w:after="0"/>
              <w:rPr>
                <w:rFonts w:cs="Calibri"/>
                <w:b/>
              </w:rPr>
            </w:pPr>
            <w:r w:rsidRPr="00C76853">
              <w:rPr>
                <w:rFonts w:cs="Calibri"/>
              </w:rPr>
              <w:t>Gateway ID</w:t>
            </w:r>
          </w:p>
        </w:tc>
        <w:tc>
          <w:tcPr>
            <w:tcW w:w="6237" w:type="dxa"/>
            <w:shd w:val="clear" w:color="auto" w:fill="auto"/>
          </w:tcPr>
          <w:p w14:paraId="25F9A077" w14:textId="77777777" w:rsidR="00CF3803" w:rsidRPr="00C76853" w:rsidRDefault="00EA37E8" w:rsidP="009E0601">
            <w:pPr>
              <w:spacing w:after="0"/>
              <w:rPr>
                <w:rFonts w:cs="Calibri"/>
              </w:rPr>
            </w:pPr>
            <w:r w:rsidRPr="00C76853">
              <w:rPr>
                <w:rFonts w:cs="Calibri"/>
              </w:rPr>
              <w:t>00112758</w:t>
            </w:r>
          </w:p>
        </w:tc>
      </w:tr>
      <w:tr w:rsidR="00CF3803" w:rsidRPr="00C76853" w14:paraId="047EB947" w14:textId="77777777" w:rsidTr="00AE488C">
        <w:tc>
          <w:tcPr>
            <w:tcW w:w="2830" w:type="dxa"/>
            <w:shd w:val="clear" w:color="auto" w:fill="D9D9D9"/>
          </w:tcPr>
          <w:p w14:paraId="7CC6F44E" w14:textId="77777777" w:rsidR="00CF3803" w:rsidRPr="00C76853" w:rsidRDefault="00CF3803" w:rsidP="009E0601">
            <w:pPr>
              <w:spacing w:after="0"/>
              <w:rPr>
                <w:rFonts w:cs="Calibri"/>
              </w:rPr>
            </w:pPr>
            <w:r w:rsidRPr="00C76853">
              <w:rPr>
                <w:rFonts w:cs="Calibri"/>
              </w:rPr>
              <w:t>Start date</w:t>
            </w:r>
          </w:p>
        </w:tc>
        <w:tc>
          <w:tcPr>
            <w:tcW w:w="6237" w:type="dxa"/>
            <w:shd w:val="clear" w:color="auto" w:fill="auto"/>
          </w:tcPr>
          <w:p w14:paraId="77975AAE" w14:textId="77777777" w:rsidR="00CF3803" w:rsidRPr="00C76853" w:rsidRDefault="00EA37E8" w:rsidP="009E0601">
            <w:pPr>
              <w:spacing w:after="0"/>
              <w:rPr>
                <w:rFonts w:cs="Calibri"/>
              </w:rPr>
            </w:pPr>
            <w:r w:rsidRPr="00C76853">
              <w:rPr>
                <w:rFonts w:cs="Calibri"/>
              </w:rPr>
              <w:t>01 September 2018</w:t>
            </w:r>
          </w:p>
        </w:tc>
      </w:tr>
      <w:tr w:rsidR="00CF3803" w:rsidRPr="00C76853" w14:paraId="710526A9" w14:textId="77777777" w:rsidTr="00AE488C">
        <w:tc>
          <w:tcPr>
            <w:tcW w:w="2830" w:type="dxa"/>
            <w:shd w:val="clear" w:color="auto" w:fill="D9D9D9"/>
          </w:tcPr>
          <w:p w14:paraId="0C969A35" w14:textId="77777777" w:rsidR="00CF3803" w:rsidRPr="00C76853" w:rsidRDefault="00CF3803" w:rsidP="009E0601">
            <w:pPr>
              <w:spacing w:after="0"/>
              <w:rPr>
                <w:rFonts w:cs="Calibri"/>
              </w:rPr>
            </w:pPr>
            <w:r w:rsidRPr="00C76853">
              <w:rPr>
                <w:rFonts w:cs="Calibri"/>
              </w:rPr>
              <w:t xml:space="preserve">Planned end date </w:t>
            </w:r>
          </w:p>
          <w:p w14:paraId="08A6ACB0" w14:textId="77777777" w:rsidR="00CF3803" w:rsidRPr="00C76853" w:rsidRDefault="00CF3803" w:rsidP="009E0601">
            <w:pPr>
              <w:spacing w:after="0"/>
              <w:rPr>
                <w:rFonts w:cs="Calibri"/>
                <w:b/>
                <w:color w:val="FF0000"/>
              </w:rPr>
            </w:pPr>
            <w:r w:rsidRPr="00C76853">
              <w:rPr>
                <w:rFonts w:cs="Calibri"/>
              </w:rPr>
              <w:t>(as per last approval)</w:t>
            </w:r>
          </w:p>
        </w:tc>
        <w:tc>
          <w:tcPr>
            <w:tcW w:w="6237" w:type="dxa"/>
            <w:shd w:val="clear" w:color="auto" w:fill="auto"/>
          </w:tcPr>
          <w:p w14:paraId="7D3B8FB6" w14:textId="77777777" w:rsidR="00CF3803" w:rsidRPr="00C76853" w:rsidRDefault="00EA37E8" w:rsidP="009E0601">
            <w:pPr>
              <w:spacing w:after="0"/>
              <w:rPr>
                <w:rFonts w:cs="Calibri"/>
              </w:rPr>
            </w:pPr>
            <w:r w:rsidRPr="00C76853">
              <w:rPr>
                <w:rFonts w:cs="Calibri"/>
              </w:rPr>
              <w:t>31 December 2019</w:t>
            </w:r>
          </w:p>
        </w:tc>
      </w:tr>
      <w:tr w:rsidR="00CF3803" w:rsidRPr="00C76853" w14:paraId="055887EF" w14:textId="77777777" w:rsidTr="00AE488C">
        <w:tc>
          <w:tcPr>
            <w:tcW w:w="2830" w:type="dxa"/>
            <w:vMerge w:val="restart"/>
            <w:shd w:val="clear" w:color="auto" w:fill="D9D9D9"/>
          </w:tcPr>
          <w:p w14:paraId="6DA910CF" w14:textId="77777777" w:rsidR="00CF3803" w:rsidRPr="00C76853" w:rsidRDefault="00CF3803" w:rsidP="009E0601">
            <w:pPr>
              <w:spacing w:after="0"/>
              <w:rPr>
                <w:rFonts w:cs="Calibri"/>
              </w:rPr>
            </w:pPr>
          </w:p>
          <w:p w14:paraId="09F6D94D" w14:textId="77777777" w:rsidR="00CF3803" w:rsidRPr="00C76853" w:rsidRDefault="00CF3803" w:rsidP="009E0601">
            <w:pPr>
              <w:spacing w:after="0"/>
              <w:rPr>
                <w:rFonts w:cs="Calibri"/>
              </w:rPr>
            </w:pPr>
            <w:r w:rsidRPr="00C76853">
              <w:rPr>
                <w:rFonts w:cs="Calibri"/>
              </w:rPr>
              <w:t>Focal Person</w:t>
            </w:r>
            <w:r w:rsidR="00DB3FBF" w:rsidRPr="00C76853">
              <w:rPr>
                <w:rFonts w:cs="Calibri"/>
              </w:rPr>
              <w:t>(s)</w:t>
            </w:r>
          </w:p>
        </w:tc>
        <w:tc>
          <w:tcPr>
            <w:tcW w:w="6237" w:type="dxa"/>
            <w:shd w:val="clear" w:color="auto" w:fill="auto"/>
          </w:tcPr>
          <w:p w14:paraId="5DFB1B70" w14:textId="77777777" w:rsidR="00CF3803" w:rsidRPr="00C76853" w:rsidRDefault="00CF3803" w:rsidP="009E0601">
            <w:pPr>
              <w:spacing w:after="0"/>
              <w:rPr>
                <w:rFonts w:cs="Calibri"/>
              </w:rPr>
            </w:pPr>
            <w:r w:rsidRPr="00C76853">
              <w:rPr>
                <w:rFonts w:cs="Calibri"/>
              </w:rPr>
              <w:t>(Name):</w:t>
            </w:r>
            <w:r w:rsidR="00EA37E8" w:rsidRPr="00C76853">
              <w:rPr>
                <w:rFonts w:cs="Calibri"/>
              </w:rPr>
              <w:t xml:space="preserve"> Doel Mukerjee</w:t>
            </w:r>
          </w:p>
        </w:tc>
      </w:tr>
      <w:tr w:rsidR="00CF3803" w:rsidRPr="00C76853" w14:paraId="49FF97DD" w14:textId="77777777" w:rsidTr="00AE488C">
        <w:tc>
          <w:tcPr>
            <w:tcW w:w="2830" w:type="dxa"/>
            <w:vMerge/>
            <w:shd w:val="clear" w:color="auto" w:fill="D9D9D9"/>
          </w:tcPr>
          <w:p w14:paraId="3063930C" w14:textId="77777777" w:rsidR="00CF3803" w:rsidRPr="00C76853" w:rsidRDefault="00CF3803" w:rsidP="009E0601">
            <w:pPr>
              <w:spacing w:after="0"/>
              <w:rPr>
                <w:rFonts w:cs="Calibri"/>
              </w:rPr>
            </w:pPr>
          </w:p>
        </w:tc>
        <w:tc>
          <w:tcPr>
            <w:tcW w:w="6237" w:type="dxa"/>
            <w:shd w:val="clear" w:color="auto" w:fill="auto"/>
          </w:tcPr>
          <w:p w14:paraId="770D082D" w14:textId="77777777" w:rsidR="00CF3803" w:rsidRPr="00C76853" w:rsidRDefault="00CF3803" w:rsidP="009E0601">
            <w:pPr>
              <w:spacing w:after="0"/>
              <w:rPr>
                <w:rFonts w:cs="Calibri"/>
              </w:rPr>
            </w:pPr>
            <w:r w:rsidRPr="00C76853">
              <w:rPr>
                <w:rFonts w:cs="Calibri"/>
              </w:rPr>
              <w:t>(Email):</w:t>
            </w:r>
            <w:r w:rsidR="00EA37E8" w:rsidRPr="00C76853">
              <w:rPr>
                <w:rFonts w:cs="Calibri"/>
              </w:rPr>
              <w:t xml:space="preserve"> </w:t>
            </w:r>
            <w:hyperlink r:id="rId11" w:history="1">
              <w:r w:rsidR="00EA37E8" w:rsidRPr="00C76853">
                <w:rPr>
                  <w:rStyle w:val="Hyperlink"/>
                  <w:rFonts w:cs="Calibri"/>
                  <w:color w:val="000000"/>
                </w:rPr>
                <w:t>doel.mukerjee@undp.org</w:t>
              </w:r>
            </w:hyperlink>
          </w:p>
        </w:tc>
      </w:tr>
      <w:tr w:rsidR="00CF3803" w:rsidRPr="00C76853" w14:paraId="4C59A6A7" w14:textId="77777777" w:rsidTr="00AE488C">
        <w:tc>
          <w:tcPr>
            <w:tcW w:w="2830" w:type="dxa"/>
            <w:vMerge/>
            <w:shd w:val="clear" w:color="auto" w:fill="D9D9D9"/>
          </w:tcPr>
          <w:p w14:paraId="6D71DA51" w14:textId="77777777" w:rsidR="00CF3803" w:rsidRPr="00C76853" w:rsidRDefault="00CF3803" w:rsidP="009E0601">
            <w:pPr>
              <w:spacing w:after="0"/>
              <w:rPr>
                <w:rFonts w:cs="Calibri"/>
              </w:rPr>
            </w:pPr>
          </w:p>
        </w:tc>
        <w:tc>
          <w:tcPr>
            <w:tcW w:w="6237" w:type="dxa"/>
            <w:shd w:val="clear" w:color="auto" w:fill="auto"/>
          </w:tcPr>
          <w:p w14:paraId="43D137E2" w14:textId="77777777" w:rsidR="00CF3803" w:rsidRPr="00C76853" w:rsidRDefault="00CF3803" w:rsidP="009E0601">
            <w:pPr>
              <w:spacing w:after="0"/>
              <w:rPr>
                <w:rFonts w:cs="Calibri"/>
              </w:rPr>
            </w:pPr>
            <w:r w:rsidRPr="00C76853">
              <w:rPr>
                <w:rFonts w:cs="Calibri"/>
              </w:rPr>
              <w:t>(Tel):</w:t>
            </w:r>
            <w:r w:rsidR="00EA37E8" w:rsidRPr="00C76853">
              <w:rPr>
                <w:rFonts w:cs="Calibri"/>
              </w:rPr>
              <w:t xml:space="preserve"> </w:t>
            </w:r>
            <w:r w:rsidR="00EA37E8" w:rsidRPr="00C76853">
              <w:rPr>
                <w:rFonts w:cs="Calibri"/>
                <w:color w:val="000000"/>
              </w:rPr>
              <w:t>0619883848</w:t>
            </w:r>
          </w:p>
        </w:tc>
      </w:tr>
      <w:tr w:rsidR="00EE19D8" w:rsidRPr="00C76853" w14:paraId="1379A10E" w14:textId="77777777" w:rsidTr="00AE488C">
        <w:tc>
          <w:tcPr>
            <w:tcW w:w="2830" w:type="dxa"/>
            <w:shd w:val="clear" w:color="auto" w:fill="D9D9D9"/>
          </w:tcPr>
          <w:p w14:paraId="265B2E6F" w14:textId="77777777" w:rsidR="00EE19D8" w:rsidRPr="00C76853" w:rsidRDefault="00EE19D8" w:rsidP="009E0601">
            <w:pPr>
              <w:spacing w:after="0"/>
              <w:rPr>
                <w:rFonts w:cs="Calibri"/>
              </w:rPr>
            </w:pPr>
            <w:r w:rsidRPr="00C76853">
              <w:rPr>
                <w:rFonts w:cs="Calibri"/>
              </w:rPr>
              <w:t>Participating UN Entities</w:t>
            </w:r>
          </w:p>
        </w:tc>
        <w:tc>
          <w:tcPr>
            <w:tcW w:w="6237" w:type="dxa"/>
            <w:shd w:val="clear" w:color="auto" w:fill="auto"/>
          </w:tcPr>
          <w:p w14:paraId="13112308" w14:textId="77777777" w:rsidR="00EE19D8" w:rsidRPr="00C76853" w:rsidRDefault="00EA37E8" w:rsidP="009E0601">
            <w:pPr>
              <w:spacing w:after="0"/>
              <w:rPr>
                <w:rFonts w:cs="Calibri"/>
              </w:rPr>
            </w:pPr>
            <w:r w:rsidRPr="00C76853">
              <w:rPr>
                <w:rFonts w:cs="Calibri"/>
                <w:color w:val="000000"/>
              </w:rPr>
              <w:t>UNDP, UNSOM</w:t>
            </w:r>
          </w:p>
        </w:tc>
      </w:tr>
      <w:tr w:rsidR="00CF3803" w:rsidRPr="00C76853" w14:paraId="2BE33874" w14:textId="77777777" w:rsidTr="00AE488C">
        <w:tc>
          <w:tcPr>
            <w:tcW w:w="2830" w:type="dxa"/>
            <w:shd w:val="clear" w:color="auto" w:fill="D9D9D9"/>
          </w:tcPr>
          <w:p w14:paraId="3C2463F0" w14:textId="77777777" w:rsidR="00CF3803" w:rsidRPr="00C76853" w:rsidRDefault="00EE19D8" w:rsidP="009E0601">
            <w:pPr>
              <w:spacing w:after="0"/>
              <w:rPr>
                <w:rFonts w:cs="Calibri"/>
              </w:rPr>
            </w:pPr>
            <w:r w:rsidRPr="00C76853">
              <w:rPr>
                <w:rFonts w:cs="Calibri"/>
              </w:rPr>
              <w:t>NDP Pillar</w:t>
            </w:r>
          </w:p>
        </w:tc>
        <w:tc>
          <w:tcPr>
            <w:tcW w:w="6237" w:type="dxa"/>
            <w:shd w:val="clear" w:color="auto" w:fill="auto"/>
          </w:tcPr>
          <w:p w14:paraId="5B1ABD76" w14:textId="77777777" w:rsidR="00CF3803" w:rsidRPr="00D72DAA" w:rsidRDefault="00EA37E8" w:rsidP="009E0601">
            <w:pPr>
              <w:spacing w:after="0"/>
              <w:rPr>
                <w:rFonts w:cs="Calibri"/>
                <w:sz w:val="20"/>
                <w:szCs w:val="20"/>
              </w:rPr>
            </w:pPr>
            <w:r w:rsidRPr="00D72DAA">
              <w:rPr>
                <w:rFonts w:cs="Calibri"/>
                <w:color w:val="000000"/>
                <w:sz w:val="20"/>
                <w:szCs w:val="20"/>
              </w:rPr>
              <w:t>To achieve a stable and peaceful Federal Somalia through inclusive political processes, establishing unified, capable and accountable security institutions and establishing independent, accountable and efficient justice institution</w:t>
            </w:r>
          </w:p>
        </w:tc>
      </w:tr>
      <w:tr w:rsidR="00CF3803" w:rsidRPr="00C76853" w14:paraId="4D75CE62" w14:textId="77777777" w:rsidTr="00AE488C">
        <w:tc>
          <w:tcPr>
            <w:tcW w:w="2830" w:type="dxa"/>
            <w:shd w:val="clear" w:color="auto" w:fill="D9D9D9"/>
          </w:tcPr>
          <w:p w14:paraId="46F972C9" w14:textId="77777777" w:rsidR="00CF3803" w:rsidRPr="00C76853" w:rsidRDefault="003A2BA5" w:rsidP="009E0601">
            <w:pPr>
              <w:spacing w:after="0"/>
              <w:rPr>
                <w:rFonts w:cs="Calibri"/>
              </w:rPr>
            </w:pPr>
            <w:r w:rsidRPr="00C76853">
              <w:rPr>
                <w:rFonts w:cs="Calibri"/>
              </w:rPr>
              <w:t>UNSF Strategic Priority</w:t>
            </w:r>
          </w:p>
        </w:tc>
        <w:tc>
          <w:tcPr>
            <w:tcW w:w="6237" w:type="dxa"/>
            <w:shd w:val="clear" w:color="auto" w:fill="auto"/>
          </w:tcPr>
          <w:p w14:paraId="6AB56F25" w14:textId="77777777" w:rsidR="00CF3803" w:rsidRPr="00D72DAA" w:rsidRDefault="00EA37E8" w:rsidP="00EA37E8">
            <w:pPr>
              <w:spacing w:after="0"/>
              <w:rPr>
                <w:rFonts w:cs="Calibri"/>
                <w:sz w:val="20"/>
                <w:szCs w:val="20"/>
              </w:rPr>
            </w:pPr>
            <w:r w:rsidRPr="00D72DAA">
              <w:rPr>
                <w:rFonts w:cs="Calibri"/>
                <w:color w:val="000000"/>
                <w:sz w:val="20"/>
                <w:szCs w:val="20"/>
              </w:rPr>
              <w:t>Priority 3: All Somalis benefit from Peace, Security and the Rule of Law including Justice; Priority 4: Effective and accountable institutions that respond to needs and rights of all Somali</w:t>
            </w:r>
          </w:p>
        </w:tc>
      </w:tr>
      <w:tr w:rsidR="00CF3803" w:rsidRPr="00C76853" w14:paraId="61BA80D2" w14:textId="77777777" w:rsidTr="00AE488C">
        <w:tc>
          <w:tcPr>
            <w:tcW w:w="2830" w:type="dxa"/>
            <w:shd w:val="clear" w:color="auto" w:fill="D9D9D9"/>
          </w:tcPr>
          <w:p w14:paraId="3B7B6DAD" w14:textId="77777777" w:rsidR="00CF3803" w:rsidRPr="00C76853" w:rsidRDefault="003A2BA5" w:rsidP="009E0601">
            <w:pPr>
              <w:spacing w:after="0"/>
              <w:rPr>
                <w:rFonts w:cs="Calibri"/>
              </w:rPr>
            </w:pPr>
            <w:r w:rsidRPr="00C76853">
              <w:rPr>
                <w:rFonts w:cs="Calibri"/>
              </w:rPr>
              <w:t>SDG(s)</w:t>
            </w:r>
          </w:p>
        </w:tc>
        <w:tc>
          <w:tcPr>
            <w:tcW w:w="6237" w:type="dxa"/>
            <w:shd w:val="clear" w:color="auto" w:fill="auto"/>
          </w:tcPr>
          <w:p w14:paraId="092B6B28" w14:textId="77777777" w:rsidR="00CF3803" w:rsidRPr="00C76853" w:rsidRDefault="00E742E9" w:rsidP="009E0601">
            <w:pPr>
              <w:spacing w:after="0"/>
              <w:rPr>
                <w:rFonts w:cs="Calibri"/>
              </w:rPr>
            </w:pPr>
            <w:r w:rsidRPr="00C76853">
              <w:rPr>
                <w:rFonts w:cs="Calibri"/>
              </w:rPr>
              <w:t xml:space="preserve">SDG16: Peace, Justice and Strong Institutions </w:t>
            </w:r>
          </w:p>
        </w:tc>
      </w:tr>
      <w:tr w:rsidR="00CF3803" w:rsidRPr="00C76853" w14:paraId="545DF4D7" w14:textId="77777777" w:rsidTr="00AE488C">
        <w:tc>
          <w:tcPr>
            <w:tcW w:w="2830" w:type="dxa"/>
            <w:shd w:val="clear" w:color="auto" w:fill="D9D9D9"/>
          </w:tcPr>
          <w:p w14:paraId="4AECE755" w14:textId="77777777" w:rsidR="00CF3803" w:rsidRPr="00C76853" w:rsidRDefault="00CF3803" w:rsidP="009E0601">
            <w:pPr>
              <w:spacing w:after="0"/>
              <w:rPr>
                <w:rFonts w:cs="Calibri"/>
              </w:rPr>
            </w:pPr>
            <w:r w:rsidRPr="00C76853">
              <w:rPr>
                <w:rFonts w:cs="Calibri"/>
              </w:rPr>
              <w:t>Location</w:t>
            </w:r>
          </w:p>
        </w:tc>
        <w:tc>
          <w:tcPr>
            <w:tcW w:w="6237" w:type="dxa"/>
            <w:shd w:val="clear" w:color="auto" w:fill="auto"/>
          </w:tcPr>
          <w:p w14:paraId="7D73890F" w14:textId="77777777" w:rsidR="00CF3803" w:rsidRPr="00C76853" w:rsidRDefault="00EA37E8" w:rsidP="009E0601">
            <w:pPr>
              <w:spacing w:after="0"/>
              <w:rPr>
                <w:rFonts w:cs="Calibri"/>
              </w:rPr>
            </w:pPr>
            <w:proofErr w:type="spellStart"/>
            <w:r w:rsidRPr="00C76853">
              <w:rPr>
                <w:rFonts w:cs="Calibri"/>
                <w:color w:val="000000"/>
              </w:rPr>
              <w:t>Benadir</w:t>
            </w:r>
            <w:proofErr w:type="spellEnd"/>
            <w:r w:rsidRPr="00C76853">
              <w:rPr>
                <w:rFonts w:cs="Calibri"/>
                <w:color w:val="000000"/>
              </w:rPr>
              <w:t xml:space="preserve">, Galmudug, </w:t>
            </w:r>
            <w:proofErr w:type="spellStart"/>
            <w:r w:rsidRPr="00C76853">
              <w:rPr>
                <w:rFonts w:cs="Calibri"/>
                <w:color w:val="000000"/>
              </w:rPr>
              <w:t>Hirshabelle</w:t>
            </w:r>
            <w:proofErr w:type="spellEnd"/>
            <w:r w:rsidRPr="00C76853">
              <w:rPr>
                <w:rFonts w:cs="Calibri"/>
                <w:color w:val="000000"/>
              </w:rPr>
              <w:t xml:space="preserve">, </w:t>
            </w:r>
            <w:proofErr w:type="spellStart"/>
            <w:r w:rsidRPr="00C76853">
              <w:rPr>
                <w:rFonts w:cs="Calibri"/>
                <w:color w:val="000000"/>
              </w:rPr>
              <w:t>Jubaland</w:t>
            </w:r>
            <w:proofErr w:type="spellEnd"/>
            <w:r w:rsidRPr="00C76853">
              <w:rPr>
                <w:rFonts w:cs="Calibri"/>
                <w:color w:val="000000"/>
              </w:rPr>
              <w:t>, Puntland, South-West</w:t>
            </w:r>
          </w:p>
        </w:tc>
      </w:tr>
      <w:tr w:rsidR="00CF3803" w:rsidRPr="00C76853" w14:paraId="6164B014" w14:textId="77777777" w:rsidTr="00AE488C">
        <w:tc>
          <w:tcPr>
            <w:tcW w:w="2830" w:type="dxa"/>
            <w:shd w:val="clear" w:color="auto" w:fill="D9D9D9"/>
          </w:tcPr>
          <w:p w14:paraId="3386C7A1" w14:textId="77777777" w:rsidR="00CF3803" w:rsidRPr="00C76853" w:rsidRDefault="00CF3803" w:rsidP="009E0601">
            <w:pPr>
              <w:spacing w:after="0"/>
              <w:rPr>
                <w:rFonts w:cs="Calibri"/>
              </w:rPr>
            </w:pPr>
            <w:r w:rsidRPr="00C76853">
              <w:rPr>
                <w:rFonts w:cs="Calibri"/>
              </w:rPr>
              <w:t>Gender Marker</w:t>
            </w:r>
          </w:p>
        </w:tc>
        <w:tc>
          <w:tcPr>
            <w:tcW w:w="6237" w:type="dxa"/>
            <w:shd w:val="clear" w:color="auto" w:fill="auto"/>
          </w:tcPr>
          <w:p w14:paraId="54A53810" w14:textId="77777777" w:rsidR="00CF3803" w:rsidRPr="00C76853" w:rsidRDefault="00EA37E8" w:rsidP="009E0601">
            <w:pPr>
              <w:spacing w:after="0"/>
              <w:rPr>
                <w:rFonts w:cs="Calibri"/>
              </w:rPr>
            </w:pPr>
            <w:r w:rsidRPr="00C76853">
              <w:rPr>
                <w:rFonts w:cs="Calibri"/>
              </w:rPr>
              <w:t>2</w:t>
            </w:r>
          </w:p>
        </w:tc>
      </w:tr>
    </w:tbl>
    <w:p w14:paraId="6EC3C92D" w14:textId="77777777" w:rsidR="00CF3803" w:rsidRPr="00C76853" w:rsidRDefault="00CF3803" w:rsidP="00776292">
      <w:pPr>
        <w:spacing w:after="0"/>
        <w:rPr>
          <w:rFonts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9C265A" w:rsidRPr="00C76853" w14:paraId="7DAD7133" w14:textId="77777777" w:rsidTr="00AE488C">
        <w:tc>
          <w:tcPr>
            <w:tcW w:w="2830" w:type="dxa"/>
            <w:shd w:val="clear" w:color="auto" w:fill="D9D9D9"/>
          </w:tcPr>
          <w:p w14:paraId="6809C259" w14:textId="77777777" w:rsidR="009C265A" w:rsidRPr="00C76853" w:rsidRDefault="009C265A" w:rsidP="009C265A">
            <w:pPr>
              <w:spacing w:after="0"/>
              <w:rPr>
                <w:rFonts w:cs="Calibri"/>
                <w:b/>
              </w:rPr>
            </w:pPr>
            <w:r w:rsidRPr="00C76853">
              <w:rPr>
                <w:rFonts w:cs="Calibri"/>
                <w:b/>
              </w:rPr>
              <w:t xml:space="preserve">Total Budget as per ProDoc </w:t>
            </w:r>
          </w:p>
        </w:tc>
        <w:tc>
          <w:tcPr>
            <w:tcW w:w="6237" w:type="dxa"/>
            <w:shd w:val="clear" w:color="auto" w:fill="auto"/>
          </w:tcPr>
          <w:p w14:paraId="5971CC0A" w14:textId="77777777" w:rsidR="009C265A" w:rsidRPr="00C76853" w:rsidRDefault="009C265A" w:rsidP="009C265A">
            <w:pPr>
              <w:snapToGrid w:val="0"/>
              <w:spacing w:after="0"/>
              <w:rPr>
                <w:rFonts w:cs="Calibri"/>
              </w:rPr>
            </w:pPr>
            <w:r w:rsidRPr="00C76853">
              <w:rPr>
                <w:rFonts w:cs="Calibri"/>
                <w:color w:val="000000"/>
              </w:rPr>
              <w:t>2,056,791 USD</w:t>
            </w:r>
          </w:p>
        </w:tc>
      </w:tr>
      <w:tr w:rsidR="009C265A" w:rsidRPr="00C76853" w14:paraId="11171348" w14:textId="77777777" w:rsidTr="00AE488C">
        <w:tc>
          <w:tcPr>
            <w:tcW w:w="2830" w:type="dxa"/>
            <w:shd w:val="clear" w:color="auto" w:fill="D9D9D9"/>
          </w:tcPr>
          <w:p w14:paraId="01DC9C01" w14:textId="77777777" w:rsidR="009C265A" w:rsidRPr="00C76853" w:rsidRDefault="009C265A" w:rsidP="009C265A">
            <w:pPr>
              <w:spacing w:after="0"/>
              <w:jc w:val="right"/>
              <w:rPr>
                <w:rFonts w:cs="Calibri"/>
              </w:rPr>
            </w:pPr>
            <w:r w:rsidRPr="00C76853">
              <w:rPr>
                <w:rFonts w:cs="Calibri"/>
              </w:rPr>
              <w:t>MPTF:</w:t>
            </w:r>
          </w:p>
        </w:tc>
        <w:tc>
          <w:tcPr>
            <w:tcW w:w="6237" w:type="dxa"/>
            <w:shd w:val="clear" w:color="auto" w:fill="auto"/>
          </w:tcPr>
          <w:p w14:paraId="07598A30" w14:textId="77777777" w:rsidR="009C265A" w:rsidRPr="00C76853" w:rsidRDefault="009C265A" w:rsidP="009C265A">
            <w:pPr>
              <w:snapToGrid w:val="0"/>
              <w:spacing w:after="0"/>
              <w:rPr>
                <w:rFonts w:cs="Calibri"/>
              </w:rPr>
            </w:pPr>
            <w:r w:rsidRPr="00C76853">
              <w:rPr>
                <w:rFonts w:cs="Calibri"/>
                <w:color w:val="000000"/>
              </w:rPr>
              <w:t>1,702,579 USD</w:t>
            </w:r>
          </w:p>
        </w:tc>
      </w:tr>
      <w:tr w:rsidR="009C265A" w:rsidRPr="00C76853" w14:paraId="11B5EB26" w14:textId="77777777" w:rsidTr="00AE488C">
        <w:tc>
          <w:tcPr>
            <w:tcW w:w="2830" w:type="dxa"/>
            <w:vMerge w:val="restart"/>
            <w:shd w:val="clear" w:color="auto" w:fill="D9D9D9"/>
          </w:tcPr>
          <w:p w14:paraId="3D4B7256" w14:textId="77777777" w:rsidR="009C265A" w:rsidRPr="00C76853" w:rsidRDefault="009C265A" w:rsidP="009C265A">
            <w:pPr>
              <w:spacing w:after="0"/>
              <w:jc w:val="right"/>
              <w:rPr>
                <w:rFonts w:cs="Calibri"/>
              </w:rPr>
            </w:pPr>
          </w:p>
          <w:p w14:paraId="126E18E3" w14:textId="77777777" w:rsidR="009C265A" w:rsidRPr="00C76853" w:rsidRDefault="009C265A" w:rsidP="009C265A">
            <w:pPr>
              <w:spacing w:after="0"/>
              <w:jc w:val="right"/>
              <w:rPr>
                <w:rFonts w:cs="Calibri"/>
              </w:rPr>
            </w:pPr>
            <w:r w:rsidRPr="00C76853">
              <w:rPr>
                <w:rFonts w:cs="Calibri"/>
              </w:rPr>
              <w:t>Non-MPTF sources:</w:t>
            </w:r>
          </w:p>
        </w:tc>
        <w:tc>
          <w:tcPr>
            <w:tcW w:w="6237" w:type="dxa"/>
            <w:shd w:val="clear" w:color="auto" w:fill="auto"/>
          </w:tcPr>
          <w:p w14:paraId="24BD6AC6" w14:textId="77777777" w:rsidR="009C265A" w:rsidRPr="00C76853" w:rsidRDefault="009C265A" w:rsidP="009C265A">
            <w:pPr>
              <w:spacing w:after="0"/>
              <w:rPr>
                <w:rFonts w:cs="Calibri"/>
              </w:rPr>
            </w:pPr>
            <w:r w:rsidRPr="00C76853">
              <w:rPr>
                <w:rFonts w:cs="Calibri"/>
              </w:rPr>
              <w:t>PBF:</w:t>
            </w:r>
          </w:p>
        </w:tc>
      </w:tr>
      <w:tr w:rsidR="009C265A" w:rsidRPr="00C76853" w14:paraId="1C4C9CFE" w14:textId="77777777" w:rsidTr="00AE488C">
        <w:tc>
          <w:tcPr>
            <w:tcW w:w="2830" w:type="dxa"/>
            <w:vMerge/>
            <w:shd w:val="clear" w:color="auto" w:fill="D9D9D9"/>
          </w:tcPr>
          <w:p w14:paraId="0B0AD3A5" w14:textId="77777777" w:rsidR="009C265A" w:rsidRPr="00C76853" w:rsidRDefault="009C265A" w:rsidP="009C265A">
            <w:pPr>
              <w:spacing w:after="0"/>
              <w:rPr>
                <w:rFonts w:cs="Calibri"/>
              </w:rPr>
            </w:pPr>
          </w:p>
        </w:tc>
        <w:tc>
          <w:tcPr>
            <w:tcW w:w="6237" w:type="dxa"/>
            <w:shd w:val="clear" w:color="auto" w:fill="auto"/>
          </w:tcPr>
          <w:p w14:paraId="39661551" w14:textId="77777777" w:rsidR="009C265A" w:rsidRPr="00C76853" w:rsidRDefault="009C265A" w:rsidP="009C265A">
            <w:pPr>
              <w:spacing w:after="0"/>
              <w:rPr>
                <w:rFonts w:cs="Calibri"/>
              </w:rPr>
            </w:pPr>
            <w:r w:rsidRPr="00C76853">
              <w:rPr>
                <w:rFonts w:cs="Calibri"/>
              </w:rPr>
              <w:t xml:space="preserve">Trac: </w:t>
            </w:r>
          </w:p>
        </w:tc>
      </w:tr>
      <w:tr w:rsidR="009C265A" w:rsidRPr="00C76853" w14:paraId="294C1F7C" w14:textId="77777777" w:rsidTr="00AE488C">
        <w:tc>
          <w:tcPr>
            <w:tcW w:w="2830" w:type="dxa"/>
            <w:vMerge/>
            <w:shd w:val="clear" w:color="auto" w:fill="D9D9D9"/>
          </w:tcPr>
          <w:p w14:paraId="422F8A93" w14:textId="77777777" w:rsidR="009C265A" w:rsidRPr="00C76853" w:rsidRDefault="009C265A" w:rsidP="009C265A">
            <w:pPr>
              <w:spacing w:after="0"/>
              <w:rPr>
                <w:rFonts w:cs="Calibri"/>
              </w:rPr>
            </w:pPr>
          </w:p>
        </w:tc>
        <w:tc>
          <w:tcPr>
            <w:tcW w:w="6237" w:type="dxa"/>
            <w:shd w:val="clear" w:color="auto" w:fill="auto"/>
          </w:tcPr>
          <w:p w14:paraId="34E3FC20" w14:textId="77777777" w:rsidR="009C265A" w:rsidRPr="00C76853" w:rsidRDefault="009C265A" w:rsidP="009C265A">
            <w:pPr>
              <w:spacing w:after="0"/>
              <w:rPr>
                <w:rFonts w:cs="Calibri"/>
              </w:rPr>
            </w:pPr>
            <w:r w:rsidRPr="00C76853">
              <w:rPr>
                <w:rFonts w:cs="Calibri"/>
              </w:rPr>
              <w:t>Other:</w:t>
            </w:r>
          </w:p>
        </w:tc>
      </w:tr>
    </w:tbl>
    <w:p w14:paraId="686092F0" w14:textId="77777777" w:rsidR="007D4633" w:rsidRPr="00C76853" w:rsidRDefault="007D4633" w:rsidP="009B3E79">
      <w:pPr>
        <w:spacing w:after="0"/>
        <w:rPr>
          <w:rFonts w:cs="Calibri"/>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05"/>
        <w:gridCol w:w="1385"/>
        <w:gridCol w:w="1385"/>
        <w:gridCol w:w="1395"/>
        <w:gridCol w:w="1307"/>
        <w:gridCol w:w="1245"/>
      </w:tblGrid>
      <w:tr w:rsidR="007D4633" w:rsidRPr="00C76853" w14:paraId="5B05A94A" w14:textId="77777777" w:rsidTr="00212A8E">
        <w:tc>
          <w:tcPr>
            <w:tcW w:w="5126" w:type="dxa"/>
            <w:gridSpan w:val="4"/>
            <w:shd w:val="clear" w:color="auto" w:fill="D9D9D9"/>
          </w:tcPr>
          <w:p w14:paraId="5BF1F88C" w14:textId="77777777" w:rsidR="007D4633" w:rsidRPr="00C76853" w:rsidRDefault="007D4633" w:rsidP="009B3E79">
            <w:pPr>
              <w:spacing w:after="0"/>
              <w:ind w:left="-105" w:firstLine="105"/>
              <w:jc w:val="center"/>
              <w:rPr>
                <w:rFonts w:cs="Calibri"/>
                <w:b/>
                <w:sz w:val="20"/>
                <w:szCs w:val="20"/>
              </w:rPr>
            </w:pPr>
            <w:r w:rsidRPr="00C76853">
              <w:rPr>
                <w:rFonts w:cs="Calibri"/>
                <w:b/>
                <w:sz w:val="20"/>
                <w:szCs w:val="20"/>
              </w:rPr>
              <w:t>Total MPTF Funds Received</w:t>
            </w:r>
          </w:p>
        </w:tc>
        <w:tc>
          <w:tcPr>
            <w:tcW w:w="3947" w:type="dxa"/>
            <w:gridSpan w:val="3"/>
            <w:shd w:val="clear" w:color="auto" w:fill="D9D9D9"/>
          </w:tcPr>
          <w:p w14:paraId="6CD8FA42" w14:textId="77777777" w:rsidR="007D4633" w:rsidRPr="00C76853" w:rsidRDefault="007D4633" w:rsidP="00D4797D">
            <w:pPr>
              <w:spacing w:after="0"/>
              <w:jc w:val="center"/>
              <w:rPr>
                <w:rFonts w:cs="Calibri"/>
                <w:b/>
                <w:sz w:val="20"/>
                <w:szCs w:val="20"/>
              </w:rPr>
            </w:pPr>
            <w:r w:rsidRPr="00C76853">
              <w:rPr>
                <w:rFonts w:cs="Calibri"/>
                <w:b/>
                <w:sz w:val="20"/>
                <w:szCs w:val="20"/>
              </w:rPr>
              <w:t>Total non-MPTF Funds Received</w:t>
            </w:r>
          </w:p>
        </w:tc>
      </w:tr>
      <w:tr w:rsidR="00212A8E" w:rsidRPr="00C76853" w14:paraId="226B891E" w14:textId="77777777" w:rsidTr="00D72DAA">
        <w:tc>
          <w:tcPr>
            <w:tcW w:w="851" w:type="dxa"/>
            <w:shd w:val="clear" w:color="auto" w:fill="D9D9D9"/>
            <w:vAlign w:val="center"/>
          </w:tcPr>
          <w:p w14:paraId="033C6AB5" w14:textId="77777777" w:rsidR="00FE36EB" w:rsidRPr="00C76853" w:rsidRDefault="00FE36EB" w:rsidP="00FE36EB">
            <w:pPr>
              <w:spacing w:after="0"/>
              <w:rPr>
                <w:rFonts w:cs="Calibri"/>
                <w:b/>
                <w:sz w:val="20"/>
                <w:szCs w:val="20"/>
              </w:rPr>
            </w:pPr>
            <w:r w:rsidRPr="00C76853">
              <w:rPr>
                <w:rFonts w:cs="Calibri"/>
                <w:b/>
                <w:sz w:val="20"/>
                <w:szCs w:val="20"/>
              </w:rPr>
              <w:t>PUNO</w:t>
            </w:r>
          </w:p>
        </w:tc>
        <w:tc>
          <w:tcPr>
            <w:tcW w:w="1505" w:type="dxa"/>
            <w:shd w:val="clear" w:color="auto" w:fill="D9D9D9"/>
            <w:vAlign w:val="center"/>
          </w:tcPr>
          <w:p w14:paraId="3FD647AB" w14:textId="77777777" w:rsidR="00FE36EB" w:rsidRPr="00C76853" w:rsidRDefault="00FE36EB" w:rsidP="00FE36EB">
            <w:pPr>
              <w:spacing w:after="0"/>
              <w:jc w:val="center"/>
              <w:rPr>
                <w:rFonts w:cs="Calibri"/>
                <w:b/>
                <w:sz w:val="20"/>
                <w:szCs w:val="20"/>
              </w:rPr>
            </w:pPr>
            <w:r w:rsidRPr="00C76853">
              <w:rPr>
                <w:rFonts w:cs="Calibri"/>
                <w:b/>
                <w:sz w:val="20"/>
                <w:szCs w:val="20"/>
              </w:rPr>
              <w:t>Semi Annual 201</w:t>
            </w:r>
            <w:r w:rsidR="003A2BA5" w:rsidRPr="00C76853">
              <w:rPr>
                <w:rFonts w:cs="Calibri"/>
                <w:b/>
                <w:sz w:val="20"/>
                <w:szCs w:val="20"/>
              </w:rPr>
              <w:t>9</w:t>
            </w:r>
            <w:r w:rsidRPr="00C76853">
              <w:rPr>
                <w:rFonts w:cs="Calibri"/>
                <w:b/>
                <w:sz w:val="20"/>
                <w:szCs w:val="20"/>
              </w:rPr>
              <w:t xml:space="preserve"> (2)</w:t>
            </w:r>
          </w:p>
        </w:tc>
        <w:tc>
          <w:tcPr>
            <w:tcW w:w="1385" w:type="dxa"/>
            <w:shd w:val="clear" w:color="auto" w:fill="D9D9D9"/>
            <w:vAlign w:val="center"/>
          </w:tcPr>
          <w:p w14:paraId="1A884185" w14:textId="77777777" w:rsidR="00FE36EB" w:rsidRPr="00C76853" w:rsidRDefault="00FE36EB" w:rsidP="00FE36EB">
            <w:pPr>
              <w:spacing w:after="0"/>
              <w:jc w:val="center"/>
              <w:rPr>
                <w:rFonts w:cs="Calibri"/>
                <w:b/>
                <w:sz w:val="20"/>
                <w:szCs w:val="20"/>
              </w:rPr>
            </w:pPr>
            <w:r w:rsidRPr="00C76853">
              <w:rPr>
                <w:rFonts w:cs="Calibri"/>
                <w:b/>
                <w:sz w:val="20"/>
                <w:szCs w:val="20"/>
              </w:rPr>
              <w:t>Cumulative</w:t>
            </w:r>
          </w:p>
        </w:tc>
        <w:tc>
          <w:tcPr>
            <w:tcW w:w="1385" w:type="dxa"/>
            <w:shd w:val="clear" w:color="auto" w:fill="D9D9D9"/>
            <w:vAlign w:val="center"/>
          </w:tcPr>
          <w:p w14:paraId="78463FFD" w14:textId="77777777" w:rsidR="00FE36EB" w:rsidRPr="00C76853" w:rsidRDefault="00FE36EB" w:rsidP="00FE36EB">
            <w:pPr>
              <w:spacing w:after="0"/>
              <w:jc w:val="center"/>
              <w:rPr>
                <w:rFonts w:cs="Calibri"/>
                <w:b/>
                <w:sz w:val="20"/>
                <w:szCs w:val="20"/>
              </w:rPr>
            </w:pPr>
            <w:r w:rsidRPr="00C76853">
              <w:rPr>
                <w:rFonts w:cs="Calibri"/>
                <w:b/>
                <w:sz w:val="20"/>
                <w:szCs w:val="20"/>
              </w:rPr>
              <w:t>Annual 201</w:t>
            </w:r>
            <w:r w:rsidR="003A2BA5" w:rsidRPr="00C76853">
              <w:rPr>
                <w:rFonts w:cs="Calibri"/>
                <w:b/>
                <w:sz w:val="20"/>
                <w:szCs w:val="20"/>
              </w:rPr>
              <w:t>9</w:t>
            </w:r>
          </w:p>
        </w:tc>
        <w:tc>
          <w:tcPr>
            <w:tcW w:w="1395" w:type="dxa"/>
            <w:shd w:val="clear" w:color="auto" w:fill="D9D9D9"/>
            <w:vAlign w:val="center"/>
          </w:tcPr>
          <w:p w14:paraId="3A11C159" w14:textId="77777777" w:rsidR="00FE36EB" w:rsidRPr="00C76853" w:rsidRDefault="00FE36EB" w:rsidP="00FE36EB">
            <w:pPr>
              <w:spacing w:after="0"/>
              <w:jc w:val="center"/>
              <w:rPr>
                <w:rFonts w:cs="Calibri"/>
                <w:b/>
                <w:sz w:val="20"/>
                <w:szCs w:val="20"/>
              </w:rPr>
            </w:pPr>
            <w:r w:rsidRPr="00C76853">
              <w:rPr>
                <w:rFonts w:cs="Calibri"/>
                <w:b/>
                <w:sz w:val="20"/>
                <w:szCs w:val="20"/>
              </w:rPr>
              <w:t>Semi Annual 201</w:t>
            </w:r>
            <w:r w:rsidR="003A2BA5" w:rsidRPr="00C76853">
              <w:rPr>
                <w:rFonts w:cs="Calibri"/>
                <w:b/>
                <w:sz w:val="20"/>
                <w:szCs w:val="20"/>
              </w:rPr>
              <w:t>9</w:t>
            </w:r>
            <w:r w:rsidRPr="00C76853">
              <w:rPr>
                <w:rFonts w:cs="Calibri"/>
                <w:b/>
                <w:sz w:val="20"/>
                <w:szCs w:val="20"/>
              </w:rPr>
              <w:t xml:space="preserve"> (2)</w:t>
            </w:r>
          </w:p>
        </w:tc>
        <w:tc>
          <w:tcPr>
            <w:tcW w:w="1307" w:type="dxa"/>
            <w:shd w:val="clear" w:color="auto" w:fill="D9D9D9"/>
            <w:vAlign w:val="center"/>
          </w:tcPr>
          <w:p w14:paraId="563357A9" w14:textId="77777777" w:rsidR="00FE36EB" w:rsidRPr="00C76853" w:rsidRDefault="00FE36EB" w:rsidP="00FE36EB">
            <w:pPr>
              <w:spacing w:after="0"/>
              <w:jc w:val="center"/>
              <w:rPr>
                <w:rFonts w:cs="Calibri"/>
                <w:b/>
                <w:sz w:val="20"/>
                <w:szCs w:val="20"/>
              </w:rPr>
            </w:pPr>
            <w:r w:rsidRPr="00C76853">
              <w:rPr>
                <w:rFonts w:cs="Calibri"/>
                <w:b/>
                <w:sz w:val="20"/>
                <w:szCs w:val="20"/>
              </w:rPr>
              <w:t>Cumulative</w:t>
            </w:r>
          </w:p>
        </w:tc>
        <w:tc>
          <w:tcPr>
            <w:tcW w:w="1245" w:type="dxa"/>
            <w:shd w:val="clear" w:color="auto" w:fill="D9D9D9"/>
            <w:vAlign w:val="center"/>
          </w:tcPr>
          <w:p w14:paraId="0AB6D08E" w14:textId="77777777" w:rsidR="00FE36EB" w:rsidRPr="00C76853" w:rsidRDefault="00FE36EB" w:rsidP="00FE36EB">
            <w:pPr>
              <w:spacing w:after="0"/>
              <w:jc w:val="center"/>
              <w:rPr>
                <w:rFonts w:cs="Calibri"/>
                <w:b/>
                <w:sz w:val="20"/>
                <w:szCs w:val="20"/>
              </w:rPr>
            </w:pPr>
            <w:r w:rsidRPr="00C76853">
              <w:rPr>
                <w:rFonts w:cs="Calibri"/>
                <w:b/>
                <w:sz w:val="20"/>
                <w:szCs w:val="20"/>
              </w:rPr>
              <w:t>Annual 201</w:t>
            </w:r>
            <w:r w:rsidR="003A2BA5" w:rsidRPr="00C76853">
              <w:rPr>
                <w:rFonts w:cs="Calibri"/>
                <w:b/>
                <w:sz w:val="20"/>
                <w:szCs w:val="20"/>
              </w:rPr>
              <w:t>9</w:t>
            </w:r>
          </w:p>
        </w:tc>
      </w:tr>
      <w:tr w:rsidR="00D72DAA" w:rsidRPr="00C76853" w14:paraId="2026429E" w14:textId="77777777" w:rsidTr="00D72DAA">
        <w:tc>
          <w:tcPr>
            <w:tcW w:w="851" w:type="dxa"/>
            <w:tcBorders>
              <w:bottom w:val="single" w:sz="4" w:space="0" w:color="auto"/>
            </w:tcBorders>
            <w:shd w:val="clear" w:color="auto" w:fill="auto"/>
          </w:tcPr>
          <w:p w14:paraId="1277F9DA" w14:textId="77777777" w:rsidR="00D72DAA" w:rsidRPr="00C76853" w:rsidRDefault="00D72DAA" w:rsidP="00D72DAA">
            <w:pPr>
              <w:spacing w:after="0"/>
              <w:rPr>
                <w:rFonts w:cs="Calibri"/>
                <w:b/>
                <w:sz w:val="20"/>
                <w:szCs w:val="20"/>
              </w:rPr>
            </w:pPr>
            <w:r w:rsidRPr="00C76853">
              <w:rPr>
                <w:rFonts w:cs="Calibri"/>
                <w:b/>
                <w:sz w:val="20"/>
                <w:szCs w:val="20"/>
              </w:rPr>
              <w:t>UNDP</w:t>
            </w:r>
          </w:p>
        </w:tc>
        <w:tc>
          <w:tcPr>
            <w:tcW w:w="1505" w:type="dxa"/>
            <w:tcBorders>
              <w:bottom w:val="single" w:sz="4" w:space="0" w:color="auto"/>
            </w:tcBorders>
            <w:shd w:val="clear" w:color="auto" w:fill="auto"/>
          </w:tcPr>
          <w:p w14:paraId="1FB8CB48" w14:textId="77777777" w:rsidR="00D72DAA" w:rsidRPr="00C76853" w:rsidRDefault="00D72DAA" w:rsidP="00D72DAA">
            <w:pPr>
              <w:spacing w:after="0"/>
              <w:jc w:val="center"/>
              <w:rPr>
                <w:rFonts w:cs="Calibri"/>
                <w:bCs/>
                <w:sz w:val="20"/>
                <w:szCs w:val="20"/>
              </w:rPr>
            </w:pPr>
            <w:r>
              <w:rPr>
                <w:rFonts w:cs="Calibri"/>
                <w:bCs/>
                <w:sz w:val="20"/>
                <w:szCs w:val="20"/>
              </w:rPr>
              <w:t>0</w:t>
            </w:r>
          </w:p>
        </w:tc>
        <w:tc>
          <w:tcPr>
            <w:tcW w:w="1385" w:type="dxa"/>
            <w:tcBorders>
              <w:bottom w:val="single" w:sz="4" w:space="0" w:color="auto"/>
            </w:tcBorders>
            <w:shd w:val="clear" w:color="auto" w:fill="auto"/>
          </w:tcPr>
          <w:p w14:paraId="0F5B4DA5" w14:textId="77777777" w:rsidR="00D72DAA" w:rsidRPr="00C76853" w:rsidRDefault="00D72DAA" w:rsidP="00D72DAA">
            <w:pPr>
              <w:spacing w:after="0"/>
              <w:jc w:val="center"/>
              <w:rPr>
                <w:rFonts w:cs="Calibri"/>
                <w:bCs/>
                <w:sz w:val="20"/>
                <w:szCs w:val="20"/>
              </w:rPr>
            </w:pPr>
            <w:r w:rsidRPr="00C76853">
              <w:rPr>
                <w:rFonts w:cs="Calibri"/>
                <w:bCs/>
                <w:sz w:val="20"/>
                <w:szCs w:val="20"/>
              </w:rPr>
              <w:t>1,449,446.83</w:t>
            </w:r>
          </w:p>
        </w:tc>
        <w:tc>
          <w:tcPr>
            <w:tcW w:w="1385" w:type="dxa"/>
            <w:tcBorders>
              <w:bottom w:val="single" w:sz="4" w:space="0" w:color="auto"/>
            </w:tcBorders>
          </w:tcPr>
          <w:p w14:paraId="3CBE672B" w14:textId="77777777" w:rsidR="00D72DAA" w:rsidRPr="00C76853" w:rsidRDefault="00D72DAA" w:rsidP="00D72DAA">
            <w:pPr>
              <w:spacing w:after="0"/>
              <w:jc w:val="center"/>
              <w:rPr>
                <w:rFonts w:cs="Calibri"/>
                <w:bCs/>
                <w:sz w:val="20"/>
                <w:szCs w:val="20"/>
              </w:rPr>
            </w:pPr>
            <w:r w:rsidRPr="00C76853">
              <w:rPr>
                <w:rFonts w:cs="Calibri"/>
                <w:bCs/>
                <w:sz w:val="20"/>
                <w:szCs w:val="20"/>
              </w:rPr>
              <w:t>899,581.85</w:t>
            </w:r>
          </w:p>
        </w:tc>
        <w:tc>
          <w:tcPr>
            <w:tcW w:w="1395" w:type="dxa"/>
            <w:tcBorders>
              <w:bottom w:val="single" w:sz="4" w:space="0" w:color="auto"/>
            </w:tcBorders>
            <w:shd w:val="clear" w:color="auto" w:fill="auto"/>
          </w:tcPr>
          <w:p w14:paraId="6F88A73F" w14:textId="77777777" w:rsidR="00D72DAA" w:rsidRPr="00C76853" w:rsidRDefault="00D72DAA" w:rsidP="00D72DAA">
            <w:pPr>
              <w:spacing w:after="0"/>
              <w:jc w:val="center"/>
              <w:rPr>
                <w:rFonts w:cs="Calibri"/>
                <w:bCs/>
                <w:sz w:val="20"/>
                <w:szCs w:val="20"/>
              </w:rPr>
            </w:pPr>
            <w:r>
              <w:rPr>
                <w:rFonts w:cs="Calibri"/>
                <w:bCs/>
                <w:sz w:val="20"/>
                <w:szCs w:val="20"/>
              </w:rPr>
              <w:t>0</w:t>
            </w:r>
          </w:p>
        </w:tc>
        <w:tc>
          <w:tcPr>
            <w:tcW w:w="1307" w:type="dxa"/>
            <w:tcBorders>
              <w:bottom w:val="single" w:sz="4" w:space="0" w:color="auto"/>
            </w:tcBorders>
            <w:shd w:val="clear" w:color="auto" w:fill="auto"/>
          </w:tcPr>
          <w:p w14:paraId="688518CA" w14:textId="77777777" w:rsidR="00D72DAA" w:rsidRPr="00C76853" w:rsidRDefault="00D72DAA" w:rsidP="00D72DAA">
            <w:pPr>
              <w:spacing w:after="0"/>
              <w:jc w:val="center"/>
              <w:rPr>
                <w:rFonts w:cs="Calibri"/>
                <w:bCs/>
                <w:sz w:val="20"/>
                <w:szCs w:val="20"/>
              </w:rPr>
            </w:pPr>
            <w:r w:rsidRPr="00C76853">
              <w:rPr>
                <w:rFonts w:cs="Calibri"/>
                <w:bCs/>
                <w:sz w:val="20"/>
                <w:szCs w:val="20"/>
              </w:rPr>
              <w:t>370,579.00</w:t>
            </w:r>
          </w:p>
        </w:tc>
        <w:tc>
          <w:tcPr>
            <w:tcW w:w="1245" w:type="dxa"/>
            <w:tcBorders>
              <w:bottom w:val="single" w:sz="4" w:space="0" w:color="auto"/>
            </w:tcBorders>
          </w:tcPr>
          <w:p w14:paraId="5514F5CB" w14:textId="77777777" w:rsidR="00D72DAA" w:rsidRPr="00C76853" w:rsidRDefault="00D72DAA" w:rsidP="00D72DAA">
            <w:pPr>
              <w:spacing w:after="0"/>
              <w:jc w:val="center"/>
              <w:rPr>
                <w:rFonts w:cs="Calibri"/>
                <w:bCs/>
                <w:sz w:val="20"/>
                <w:szCs w:val="20"/>
              </w:rPr>
            </w:pPr>
            <w:r w:rsidRPr="00C76853">
              <w:rPr>
                <w:rFonts w:cs="Calibri"/>
                <w:bCs/>
                <w:sz w:val="20"/>
                <w:szCs w:val="20"/>
              </w:rPr>
              <w:t>216,000</w:t>
            </w:r>
          </w:p>
        </w:tc>
      </w:tr>
      <w:tr w:rsidR="00D72DAA" w:rsidRPr="00C76853" w14:paraId="1A96257A" w14:textId="77777777" w:rsidTr="00D72DAA">
        <w:tc>
          <w:tcPr>
            <w:tcW w:w="851" w:type="dxa"/>
            <w:tcBorders>
              <w:top w:val="single" w:sz="4" w:space="0" w:color="auto"/>
              <w:left w:val="nil"/>
              <w:bottom w:val="single" w:sz="4" w:space="0" w:color="auto"/>
              <w:right w:val="nil"/>
            </w:tcBorders>
            <w:shd w:val="clear" w:color="auto" w:fill="auto"/>
          </w:tcPr>
          <w:p w14:paraId="76D66104" w14:textId="77777777" w:rsidR="00D72DAA" w:rsidRPr="00C76853" w:rsidRDefault="00D72DAA" w:rsidP="00D72DAA">
            <w:pPr>
              <w:spacing w:after="0"/>
              <w:rPr>
                <w:rFonts w:cs="Calibri"/>
                <w:b/>
                <w:sz w:val="20"/>
                <w:szCs w:val="20"/>
              </w:rPr>
            </w:pPr>
          </w:p>
        </w:tc>
        <w:tc>
          <w:tcPr>
            <w:tcW w:w="1505" w:type="dxa"/>
            <w:tcBorders>
              <w:top w:val="single" w:sz="4" w:space="0" w:color="auto"/>
              <w:left w:val="nil"/>
              <w:bottom w:val="single" w:sz="4" w:space="0" w:color="auto"/>
              <w:right w:val="nil"/>
            </w:tcBorders>
            <w:shd w:val="clear" w:color="auto" w:fill="auto"/>
          </w:tcPr>
          <w:p w14:paraId="1954CA72" w14:textId="77777777" w:rsidR="00D72DAA" w:rsidRDefault="00D72DAA" w:rsidP="00D72DAA">
            <w:pPr>
              <w:spacing w:after="0"/>
              <w:rPr>
                <w:rFonts w:cs="Calibri"/>
                <w:bCs/>
                <w:sz w:val="20"/>
                <w:szCs w:val="20"/>
              </w:rPr>
            </w:pPr>
          </w:p>
        </w:tc>
        <w:tc>
          <w:tcPr>
            <w:tcW w:w="1385" w:type="dxa"/>
            <w:tcBorders>
              <w:top w:val="single" w:sz="4" w:space="0" w:color="auto"/>
              <w:left w:val="nil"/>
              <w:bottom w:val="single" w:sz="4" w:space="0" w:color="auto"/>
              <w:right w:val="nil"/>
            </w:tcBorders>
            <w:shd w:val="clear" w:color="auto" w:fill="auto"/>
          </w:tcPr>
          <w:p w14:paraId="64E731C8" w14:textId="77777777" w:rsidR="00D72DAA" w:rsidRPr="00C76853" w:rsidRDefault="00D72DAA" w:rsidP="00D72DAA">
            <w:pPr>
              <w:spacing w:after="0"/>
              <w:rPr>
                <w:rFonts w:cs="Calibri"/>
                <w:bCs/>
                <w:sz w:val="20"/>
                <w:szCs w:val="20"/>
              </w:rPr>
            </w:pPr>
          </w:p>
        </w:tc>
        <w:tc>
          <w:tcPr>
            <w:tcW w:w="1385" w:type="dxa"/>
            <w:tcBorders>
              <w:top w:val="single" w:sz="4" w:space="0" w:color="auto"/>
              <w:left w:val="nil"/>
              <w:bottom w:val="single" w:sz="4" w:space="0" w:color="auto"/>
              <w:right w:val="nil"/>
            </w:tcBorders>
          </w:tcPr>
          <w:p w14:paraId="146DB29B" w14:textId="77777777" w:rsidR="00D72DAA" w:rsidRPr="00C76853" w:rsidRDefault="00D72DAA" w:rsidP="00D72DAA">
            <w:pPr>
              <w:spacing w:after="0"/>
              <w:rPr>
                <w:rFonts w:cs="Calibri"/>
                <w:bCs/>
                <w:sz w:val="20"/>
                <w:szCs w:val="20"/>
              </w:rPr>
            </w:pPr>
          </w:p>
        </w:tc>
        <w:tc>
          <w:tcPr>
            <w:tcW w:w="1395" w:type="dxa"/>
            <w:tcBorders>
              <w:top w:val="single" w:sz="4" w:space="0" w:color="auto"/>
              <w:left w:val="nil"/>
              <w:bottom w:val="single" w:sz="4" w:space="0" w:color="auto"/>
              <w:right w:val="nil"/>
            </w:tcBorders>
            <w:shd w:val="clear" w:color="auto" w:fill="auto"/>
          </w:tcPr>
          <w:p w14:paraId="4F699BD4" w14:textId="77777777" w:rsidR="00D72DAA" w:rsidRDefault="00D72DAA" w:rsidP="00D72DAA">
            <w:pPr>
              <w:spacing w:after="0"/>
              <w:rPr>
                <w:rFonts w:cs="Calibri"/>
                <w:bCs/>
                <w:sz w:val="20"/>
                <w:szCs w:val="20"/>
              </w:rPr>
            </w:pPr>
          </w:p>
        </w:tc>
        <w:tc>
          <w:tcPr>
            <w:tcW w:w="1307" w:type="dxa"/>
            <w:tcBorders>
              <w:top w:val="single" w:sz="4" w:space="0" w:color="auto"/>
              <w:left w:val="nil"/>
              <w:bottom w:val="single" w:sz="4" w:space="0" w:color="auto"/>
              <w:right w:val="nil"/>
            </w:tcBorders>
            <w:shd w:val="clear" w:color="auto" w:fill="auto"/>
          </w:tcPr>
          <w:p w14:paraId="218C04B6" w14:textId="77777777" w:rsidR="00D72DAA" w:rsidRPr="00C76853" w:rsidRDefault="00D72DAA" w:rsidP="00D72DAA">
            <w:pPr>
              <w:spacing w:after="0"/>
              <w:rPr>
                <w:rFonts w:cs="Calibri"/>
                <w:bCs/>
                <w:sz w:val="20"/>
                <w:szCs w:val="20"/>
              </w:rPr>
            </w:pPr>
          </w:p>
        </w:tc>
        <w:tc>
          <w:tcPr>
            <w:tcW w:w="1245" w:type="dxa"/>
            <w:tcBorders>
              <w:top w:val="single" w:sz="4" w:space="0" w:color="auto"/>
              <w:left w:val="nil"/>
              <w:bottom w:val="single" w:sz="4" w:space="0" w:color="auto"/>
              <w:right w:val="nil"/>
            </w:tcBorders>
          </w:tcPr>
          <w:p w14:paraId="139D74CA" w14:textId="77777777" w:rsidR="00D72DAA" w:rsidRPr="00C76853" w:rsidRDefault="00D72DAA" w:rsidP="00D72DAA">
            <w:pPr>
              <w:spacing w:after="0"/>
              <w:rPr>
                <w:rFonts w:cs="Calibri"/>
                <w:bCs/>
                <w:sz w:val="20"/>
                <w:szCs w:val="20"/>
              </w:rPr>
            </w:pPr>
          </w:p>
        </w:tc>
      </w:tr>
      <w:tr w:rsidR="00D72DAA" w:rsidRPr="00C76853" w14:paraId="3643B337" w14:textId="77777777" w:rsidTr="00D72DAA">
        <w:tc>
          <w:tcPr>
            <w:tcW w:w="5126" w:type="dxa"/>
            <w:gridSpan w:val="4"/>
            <w:tcBorders>
              <w:top w:val="single" w:sz="4" w:space="0" w:color="auto"/>
            </w:tcBorders>
            <w:shd w:val="clear" w:color="auto" w:fill="D9D9D9"/>
          </w:tcPr>
          <w:p w14:paraId="0D2886BA" w14:textId="77777777" w:rsidR="00D72DAA" w:rsidRPr="00C76853" w:rsidRDefault="00D72DAA" w:rsidP="00D72DAA">
            <w:pPr>
              <w:spacing w:after="0"/>
              <w:jc w:val="center"/>
              <w:rPr>
                <w:rFonts w:cs="Calibri"/>
                <w:b/>
                <w:sz w:val="20"/>
                <w:szCs w:val="20"/>
              </w:rPr>
            </w:pPr>
            <w:r w:rsidRPr="00C76853">
              <w:rPr>
                <w:rFonts w:cs="Calibri"/>
                <w:b/>
                <w:sz w:val="20"/>
                <w:szCs w:val="20"/>
              </w:rPr>
              <w:t>JP Expenditure of MPTF Funds</w:t>
            </w:r>
            <w:r w:rsidRPr="00C76853">
              <w:rPr>
                <w:rStyle w:val="FootnoteReference"/>
                <w:rFonts w:cs="Calibri"/>
                <w:b/>
                <w:sz w:val="20"/>
                <w:szCs w:val="20"/>
              </w:rPr>
              <w:footnoteReference w:id="1"/>
            </w:r>
          </w:p>
        </w:tc>
        <w:tc>
          <w:tcPr>
            <w:tcW w:w="3947" w:type="dxa"/>
            <w:gridSpan w:val="3"/>
            <w:tcBorders>
              <w:top w:val="single" w:sz="4" w:space="0" w:color="auto"/>
            </w:tcBorders>
            <w:shd w:val="clear" w:color="auto" w:fill="D9D9D9"/>
          </w:tcPr>
          <w:p w14:paraId="66C53308" w14:textId="77777777" w:rsidR="00D72DAA" w:rsidRPr="00C76853" w:rsidRDefault="00D72DAA" w:rsidP="00D72DAA">
            <w:pPr>
              <w:spacing w:after="0"/>
              <w:jc w:val="center"/>
              <w:rPr>
                <w:rFonts w:cs="Calibri"/>
                <w:b/>
                <w:sz w:val="20"/>
                <w:szCs w:val="20"/>
              </w:rPr>
            </w:pPr>
            <w:r w:rsidRPr="00C76853">
              <w:rPr>
                <w:rFonts w:cs="Calibri"/>
                <w:b/>
                <w:sz w:val="20"/>
                <w:szCs w:val="20"/>
              </w:rPr>
              <w:t xml:space="preserve">JP Expenditure of non-MPTF Funds </w:t>
            </w:r>
          </w:p>
        </w:tc>
      </w:tr>
      <w:tr w:rsidR="00D72DAA" w:rsidRPr="00C76853" w14:paraId="0A06BA82" w14:textId="77777777" w:rsidTr="00D72DAA">
        <w:tc>
          <w:tcPr>
            <w:tcW w:w="851" w:type="dxa"/>
            <w:shd w:val="clear" w:color="auto" w:fill="D9D9D9"/>
            <w:vAlign w:val="center"/>
          </w:tcPr>
          <w:p w14:paraId="5E3F21BD" w14:textId="77777777" w:rsidR="00D72DAA" w:rsidRPr="00C76853" w:rsidRDefault="00D72DAA" w:rsidP="00D72DAA">
            <w:pPr>
              <w:spacing w:after="0"/>
              <w:rPr>
                <w:rFonts w:cs="Calibri"/>
                <w:b/>
                <w:sz w:val="20"/>
                <w:szCs w:val="20"/>
              </w:rPr>
            </w:pPr>
            <w:r w:rsidRPr="00C76853">
              <w:rPr>
                <w:rFonts w:cs="Calibri"/>
                <w:b/>
                <w:sz w:val="20"/>
                <w:szCs w:val="20"/>
              </w:rPr>
              <w:t>PUNO</w:t>
            </w:r>
          </w:p>
        </w:tc>
        <w:tc>
          <w:tcPr>
            <w:tcW w:w="1505" w:type="dxa"/>
            <w:shd w:val="clear" w:color="auto" w:fill="D9D9D9"/>
            <w:vAlign w:val="center"/>
          </w:tcPr>
          <w:p w14:paraId="36FE4AEB" w14:textId="77777777" w:rsidR="00D72DAA" w:rsidRPr="00C76853" w:rsidRDefault="00D72DAA" w:rsidP="00D72DAA">
            <w:pPr>
              <w:spacing w:after="0"/>
              <w:jc w:val="center"/>
              <w:rPr>
                <w:rFonts w:cs="Calibri"/>
                <w:b/>
                <w:sz w:val="20"/>
                <w:szCs w:val="20"/>
              </w:rPr>
            </w:pPr>
            <w:r w:rsidRPr="00C76853">
              <w:rPr>
                <w:rFonts w:cs="Calibri"/>
                <w:b/>
                <w:sz w:val="20"/>
                <w:szCs w:val="20"/>
              </w:rPr>
              <w:t>Semi Annual 2019 (2)</w:t>
            </w:r>
          </w:p>
        </w:tc>
        <w:tc>
          <w:tcPr>
            <w:tcW w:w="1385" w:type="dxa"/>
            <w:shd w:val="clear" w:color="auto" w:fill="D9D9D9"/>
            <w:vAlign w:val="center"/>
          </w:tcPr>
          <w:p w14:paraId="548CEB7E" w14:textId="77777777" w:rsidR="00D72DAA" w:rsidRPr="00C76853" w:rsidRDefault="00D72DAA" w:rsidP="00D72DAA">
            <w:pPr>
              <w:spacing w:after="0"/>
              <w:jc w:val="center"/>
              <w:rPr>
                <w:rFonts w:cs="Calibri"/>
                <w:b/>
                <w:sz w:val="20"/>
                <w:szCs w:val="20"/>
              </w:rPr>
            </w:pPr>
            <w:r w:rsidRPr="00C76853">
              <w:rPr>
                <w:rFonts w:cs="Calibri"/>
                <w:b/>
                <w:sz w:val="20"/>
                <w:szCs w:val="20"/>
              </w:rPr>
              <w:t>Cumulative</w:t>
            </w:r>
          </w:p>
        </w:tc>
        <w:tc>
          <w:tcPr>
            <w:tcW w:w="1385" w:type="dxa"/>
            <w:shd w:val="clear" w:color="auto" w:fill="D9D9D9"/>
            <w:vAlign w:val="center"/>
          </w:tcPr>
          <w:p w14:paraId="3D331D9C" w14:textId="77777777" w:rsidR="00D72DAA" w:rsidRPr="00C76853" w:rsidRDefault="00D72DAA" w:rsidP="00D72DAA">
            <w:pPr>
              <w:spacing w:after="0"/>
              <w:jc w:val="center"/>
              <w:rPr>
                <w:rFonts w:cs="Calibri"/>
                <w:b/>
                <w:sz w:val="20"/>
                <w:szCs w:val="20"/>
              </w:rPr>
            </w:pPr>
            <w:r w:rsidRPr="00C76853">
              <w:rPr>
                <w:rFonts w:cs="Calibri"/>
                <w:b/>
                <w:sz w:val="20"/>
                <w:szCs w:val="20"/>
              </w:rPr>
              <w:t>Annual 2019</w:t>
            </w:r>
          </w:p>
        </w:tc>
        <w:tc>
          <w:tcPr>
            <w:tcW w:w="1395" w:type="dxa"/>
            <w:shd w:val="clear" w:color="auto" w:fill="D9D9D9"/>
            <w:vAlign w:val="center"/>
          </w:tcPr>
          <w:p w14:paraId="6D03C588" w14:textId="77777777" w:rsidR="00D72DAA" w:rsidRPr="00C76853" w:rsidRDefault="00D72DAA" w:rsidP="00D72DAA">
            <w:pPr>
              <w:spacing w:after="0"/>
              <w:jc w:val="center"/>
              <w:rPr>
                <w:rFonts w:cs="Calibri"/>
                <w:b/>
                <w:sz w:val="20"/>
                <w:szCs w:val="20"/>
              </w:rPr>
            </w:pPr>
            <w:r w:rsidRPr="00C76853">
              <w:rPr>
                <w:rFonts w:cs="Calibri"/>
                <w:b/>
                <w:sz w:val="20"/>
                <w:szCs w:val="20"/>
              </w:rPr>
              <w:t>Semi Annual 2019 (2)</w:t>
            </w:r>
          </w:p>
        </w:tc>
        <w:tc>
          <w:tcPr>
            <w:tcW w:w="1307" w:type="dxa"/>
            <w:shd w:val="clear" w:color="auto" w:fill="D9D9D9"/>
            <w:vAlign w:val="center"/>
          </w:tcPr>
          <w:p w14:paraId="44BDE6C5" w14:textId="77777777" w:rsidR="00D72DAA" w:rsidRPr="00C76853" w:rsidRDefault="00D72DAA" w:rsidP="00D72DAA">
            <w:pPr>
              <w:spacing w:after="0"/>
              <w:jc w:val="center"/>
              <w:rPr>
                <w:rFonts w:cs="Calibri"/>
                <w:b/>
                <w:sz w:val="20"/>
                <w:szCs w:val="20"/>
              </w:rPr>
            </w:pPr>
            <w:r w:rsidRPr="00C76853">
              <w:rPr>
                <w:rFonts w:cs="Calibri"/>
                <w:b/>
                <w:sz w:val="20"/>
                <w:szCs w:val="20"/>
              </w:rPr>
              <w:t>Cumulative</w:t>
            </w:r>
          </w:p>
        </w:tc>
        <w:tc>
          <w:tcPr>
            <w:tcW w:w="1245" w:type="dxa"/>
            <w:shd w:val="clear" w:color="auto" w:fill="D9D9D9"/>
            <w:vAlign w:val="center"/>
          </w:tcPr>
          <w:p w14:paraId="444AF0DA" w14:textId="77777777" w:rsidR="00D72DAA" w:rsidRPr="00C76853" w:rsidRDefault="00D72DAA" w:rsidP="00D72DAA">
            <w:pPr>
              <w:spacing w:after="0"/>
              <w:jc w:val="center"/>
              <w:rPr>
                <w:rFonts w:cs="Calibri"/>
                <w:b/>
                <w:sz w:val="20"/>
                <w:szCs w:val="20"/>
              </w:rPr>
            </w:pPr>
            <w:r w:rsidRPr="00C76853">
              <w:rPr>
                <w:rFonts w:cs="Calibri"/>
                <w:b/>
                <w:sz w:val="20"/>
                <w:szCs w:val="20"/>
              </w:rPr>
              <w:t>Annual 2019</w:t>
            </w:r>
          </w:p>
        </w:tc>
      </w:tr>
      <w:tr w:rsidR="00D72DAA" w:rsidRPr="00C76853" w14:paraId="5EA0BE66" w14:textId="77777777" w:rsidTr="00D72DAA">
        <w:tc>
          <w:tcPr>
            <w:tcW w:w="851" w:type="dxa"/>
            <w:shd w:val="clear" w:color="auto" w:fill="auto"/>
          </w:tcPr>
          <w:p w14:paraId="3F2DC280" w14:textId="77777777" w:rsidR="00D72DAA" w:rsidRPr="00C76853" w:rsidRDefault="00D72DAA" w:rsidP="00D72DAA">
            <w:pPr>
              <w:spacing w:after="0"/>
              <w:rPr>
                <w:rFonts w:cs="Calibri"/>
                <w:b/>
                <w:sz w:val="20"/>
                <w:szCs w:val="20"/>
              </w:rPr>
            </w:pPr>
            <w:r w:rsidRPr="00C76853">
              <w:rPr>
                <w:rFonts w:cs="Calibri"/>
                <w:b/>
                <w:sz w:val="20"/>
                <w:szCs w:val="20"/>
              </w:rPr>
              <w:t>UNDP</w:t>
            </w:r>
          </w:p>
        </w:tc>
        <w:tc>
          <w:tcPr>
            <w:tcW w:w="1505" w:type="dxa"/>
            <w:shd w:val="clear" w:color="auto" w:fill="auto"/>
          </w:tcPr>
          <w:p w14:paraId="598B87F5" w14:textId="77777777" w:rsidR="00D72DAA" w:rsidRPr="00C76853" w:rsidRDefault="00D72DAA" w:rsidP="00D72DAA">
            <w:pPr>
              <w:spacing w:after="0"/>
              <w:jc w:val="center"/>
              <w:rPr>
                <w:rFonts w:cs="Calibri"/>
                <w:bCs/>
                <w:sz w:val="20"/>
                <w:szCs w:val="20"/>
              </w:rPr>
            </w:pPr>
            <w:r w:rsidRPr="00C76853">
              <w:rPr>
                <w:rFonts w:cs="Calibri"/>
                <w:bCs/>
                <w:sz w:val="20"/>
                <w:szCs w:val="20"/>
              </w:rPr>
              <w:t>647,094.53</w:t>
            </w:r>
          </w:p>
        </w:tc>
        <w:tc>
          <w:tcPr>
            <w:tcW w:w="1385" w:type="dxa"/>
            <w:shd w:val="clear" w:color="auto" w:fill="auto"/>
          </w:tcPr>
          <w:p w14:paraId="58EBAB94" w14:textId="77777777" w:rsidR="00D72DAA" w:rsidRPr="00C76853" w:rsidRDefault="00D72DAA" w:rsidP="00D72DAA">
            <w:pPr>
              <w:spacing w:after="0"/>
              <w:jc w:val="center"/>
              <w:rPr>
                <w:rFonts w:cs="Calibri"/>
                <w:bCs/>
                <w:sz w:val="20"/>
                <w:szCs w:val="20"/>
              </w:rPr>
            </w:pPr>
            <w:r w:rsidRPr="00C76853">
              <w:rPr>
                <w:rFonts w:cs="Calibri"/>
                <w:bCs/>
                <w:sz w:val="20"/>
                <w:szCs w:val="20"/>
              </w:rPr>
              <w:t>1,279,046.15</w:t>
            </w:r>
          </w:p>
        </w:tc>
        <w:tc>
          <w:tcPr>
            <w:tcW w:w="1385" w:type="dxa"/>
          </w:tcPr>
          <w:p w14:paraId="642223FB" w14:textId="77777777" w:rsidR="00D72DAA" w:rsidRPr="00C76853" w:rsidRDefault="00D72DAA" w:rsidP="00D72DAA">
            <w:pPr>
              <w:spacing w:after="0"/>
              <w:jc w:val="center"/>
              <w:rPr>
                <w:rFonts w:cs="Calibri"/>
                <w:bCs/>
                <w:sz w:val="20"/>
                <w:szCs w:val="20"/>
              </w:rPr>
            </w:pPr>
            <w:r w:rsidRPr="00C76853">
              <w:rPr>
                <w:rFonts w:cs="Calibri"/>
                <w:bCs/>
                <w:sz w:val="20"/>
                <w:szCs w:val="20"/>
              </w:rPr>
              <w:t>1,057,547.46</w:t>
            </w:r>
          </w:p>
        </w:tc>
        <w:tc>
          <w:tcPr>
            <w:tcW w:w="1395" w:type="dxa"/>
            <w:shd w:val="clear" w:color="auto" w:fill="auto"/>
          </w:tcPr>
          <w:p w14:paraId="0CCB3E83" w14:textId="77777777" w:rsidR="00D72DAA" w:rsidRPr="00C76853" w:rsidRDefault="00D72DAA" w:rsidP="00D72DAA">
            <w:pPr>
              <w:spacing w:after="0"/>
              <w:jc w:val="center"/>
              <w:rPr>
                <w:rFonts w:cs="Calibri"/>
                <w:bCs/>
                <w:sz w:val="20"/>
                <w:szCs w:val="20"/>
              </w:rPr>
            </w:pPr>
            <w:r w:rsidRPr="00C76853">
              <w:rPr>
                <w:rFonts w:cs="Calibri"/>
                <w:bCs/>
                <w:sz w:val="20"/>
                <w:szCs w:val="20"/>
              </w:rPr>
              <w:t>186,447.72</w:t>
            </w:r>
          </w:p>
        </w:tc>
        <w:tc>
          <w:tcPr>
            <w:tcW w:w="1307" w:type="dxa"/>
            <w:shd w:val="clear" w:color="auto" w:fill="auto"/>
          </w:tcPr>
          <w:p w14:paraId="6C29D166" w14:textId="77777777" w:rsidR="00D72DAA" w:rsidRPr="00C76853" w:rsidRDefault="00D72DAA" w:rsidP="00D72DAA">
            <w:pPr>
              <w:spacing w:after="0"/>
              <w:jc w:val="center"/>
              <w:rPr>
                <w:rFonts w:cs="Calibri"/>
                <w:bCs/>
                <w:sz w:val="20"/>
                <w:szCs w:val="20"/>
              </w:rPr>
            </w:pPr>
            <w:r w:rsidRPr="00C76853">
              <w:rPr>
                <w:rFonts w:cs="Calibri"/>
                <w:bCs/>
                <w:sz w:val="20"/>
                <w:szCs w:val="20"/>
              </w:rPr>
              <w:t>264,794.79</w:t>
            </w:r>
          </w:p>
        </w:tc>
        <w:tc>
          <w:tcPr>
            <w:tcW w:w="1245" w:type="dxa"/>
          </w:tcPr>
          <w:p w14:paraId="1B531D89" w14:textId="77777777" w:rsidR="00D72DAA" w:rsidRPr="00C76853" w:rsidRDefault="00D72DAA" w:rsidP="00D72DAA">
            <w:pPr>
              <w:spacing w:after="0"/>
              <w:jc w:val="center"/>
              <w:rPr>
                <w:rFonts w:cs="Calibri"/>
                <w:bCs/>
                <w:sz w:val="20"/>
                <w:szCs w:val="20"/>
              </w:rPr>
            </w:pPr>
            <w:r w:rsidRPr="00C76853">
              <w:rPr>
                <w:rFonts w:cs="Calibri"/>
                <w:bCs/>
                <w:sz w:val="20"/>
                <w:szCs w:val="20"/>
              </w:rPr>
              <w:t>264,794.79</w:t>
            </w:r>
          </w:p>
        </w:tc>
      </w:tr>
    </w:tbl>
    <w:p w14:paraId="57B540A5" w14:textId="77777777" w:rsidR="007D4633" w:rsidRPr="00C76853" w:rsidRDefault="007D4633" w:rsidP="008E1F0F">
      <w:pPr>
        <w:rPr>
          <w:rFonts w:cs="Calibri"/>
          <w:b/>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973"/>
        <w:gridCol w:w="919"/>
        <w:gridCol w:w="2381"/>
      </w:tblGrid>
      <w:tr w:rsidR="00EE19D8" w:rsidRPr="00C76853" w14:paraId="08A0A405" w14:textId="77777777" w:rsidTr="00EE19D8">
        <w:trPr>
          <w:trHeight w:val="611"/>
        </w:trPr>
        <w:tc>
          <w:tcPr>
            <w:tcW w:w="10320" w:type="dxa"/>
            <w:gridSpan w:val="4"/>
            <w:shd w:val="clear" w:color="auto" w:fill="auto"/>
          </w:tcPr>
          <w:p w14:paraId="5F7DE1DE" w14:textId="77777777" w:rsidR="00EE19D8" w:rsidRPr="00C76853" w:rsidRDefault="00EE19D8" w:rsidP="00EE19D8">
            <w:pPr>
              <w:spacing w:before="120" w:after="120"/>
              <w:jc w:val="center"/>
              <w:rPr>
                <w:rFonts w:cs="Calibri"/>
                <w:b/>
                <w:bCs/>
              </w:rPr>
            </w:pPr>
            <w:r w:rsidRPr="00C76853">
              <w:rPr>
                <w:rFonts w:cs="Calibri"/>
                <w:b/>
                <w:bCs/>
              </w:rPr>
              <w:lastRenderedPageBreak/>
              <w:t>ANNUAL HIGHLIGHTS</w:t>
            </w:r>
          </w:p>
          <w:p w14:paraId="7B4ED903" w14:textId="77777777" w:rsidR="00EE19D8" w:rsidRPr="00C76853" w:rsidRDefault="00EF7793" w:rsidP="00B14F70">
            <w:pPr>
              <w:numPr>
                <w:ilvl w:val="0"/>
                <w:numId w:val="10"/>
              </w:numPr>
              <w:spacing w:before="120" w:after="0"/>
              <w:jc w:val="both"/>
              <w:rPr>
                <w:rFonts w:cs="Calibri"/>
              </w:rPr>
            </w:pPr>
            <w:r w:rsidRPr="00C76853">
              <w:rPr>
                <w:rFonts w:cs="Calibri"/>
              </w:rPr>
              <w:t>Consultations</w:t>
            </w:r>
            <w:r w:rsidR="00C1506E" w:rsidRPr="00C76853">
              <w:rPr>
                <w:rFonts w:cs="Calibri"/>
              </w:rPr>
              <w:t xml:space="preserve"> held with </w:t>
            </w:r>
            <w:r w:rsidR="00E54C3A" w:rsidRPr="00C76853">
              <w:rPr>
                <w:rFonts w:cs="Calibri"/>
              </w:rPr>
              <w:t>353</w:t>
            </w:r>
            <w:r w:rsidR="00C1506E" w:rsidRPr="00C76853">
              <w:rPr>
                <w:rFonts w:cs="Calibri"/>
              </w:rPr>
              <w:t xml:space="preserve"> traditional elders in 4 Federal Member States on their role in a potential peace process, creating a public demand for peace talks and socializing the idea. </w:t>
            </w:r>
          </w:p>
          <w:p w14:paraId="1AE8405A" w14:textId="77777777" w:rsidR="00EE19D8" w:rsidRPr="00C76853" w:rsidRDefault="00E54C3A" w:rsidP="00B14F70">
            <w:pPr>
              <w:numPr>
                <w:ilvl w:val="0"/>
                <w:numId w:val="10"/>
              </w:numPr>
              <w:spacing w:before="120" w:after="0"/>
              <w:jc w:val="both"/>
              <w:rPr>
                <w:rFonts w:cs="Calibri"/>
              </w:rPr>
            </w:pPr>
            <w:r w:rsidRPr="00C76853">
              <w:rPr>
                <w:rFonts w:cs="Calibri"/>
              </w:rPr>
              <w:t>150</w:t>
            </w:r>
            <w:r w:rsidR="00C1506E" w:rsidRPr="00C76853">
              <w:rPr>
                <w:rFonts w:cs="Calibri"/>
              </w:rPr>
              <w:t xml:space="preserve"> </w:t>
            </w:r>
            <w:r w:rsidR="00EF7793" w:rsidRPr="00C76853">
              <w:rPr>
                <w:rFonts w:cs="Calibri"/>
              </w:rPr>
              <w:t xml:space="preserve">Religious Leaders </w:t>
            </w:r>
            <w:r w:rsidR="00C1506E" w:rsidRPr="00C76853">
              <w:rPr>
                <w:rFonts w:cs="Calibri"/>
              </w:rPr>
              <w:t xml:space="preserve">engaged in the establishment of local networks of like-minded religious actors to promote Islam as a religion of tolerance and peace. </w:t>
            </w:r>
          </w:p>
          <w:p w14:paraId="5AF984B3" w14:textId="77777777" w:rsidR="00EE19D8" w:rsidRPr="00C76853" w:rsidRDefault="009E4D74" w:rsidP="00B14F70">
            <w:pPr>
              <w:numPr>
                <w:ilvl w:val="0"/>
                <w:numId w:val="10"/>
              </w:numPr>
              <w:spacing w:before="120" w:after="0"/>
              <w:jc w:val="both"/>
              <w:rPr>
                <w:rFonts w:cs="Calibri"/>
              </w:rPr>
            </w:pPr>
            <w:r w:rsidRPr="00C76853">
              <w:rPr>
                <w:rFonts w:cs="Calibri"/>
              </w:rPr>
              <w:t>13</w:t>
            </w:r>
            <w:r w:rsidR="00C1506E" w:rsidRPr="00C76853">
              <w:rPr>
                <w:rFonts w:cs="Calibri"/>
              </w:rPr>
              <w:t xml:space="preserve"> </w:t>
            </w:r>
            <w:r w:rsidR="00EF7793" w:rsidRPr="00C76853">
              <w:rPr>
                <w:rFonts w:cs="Calibri"/>
              </w:rPr>
              <w:t>PCVE Platforms</w:t>
            </w:r>
            <w:r w:rsidR="00C1506E" w:rsidRPr="00C76853">
              <w:rPr>
                <w:rFonts w:cs="Calibri"/>
              </w:rPr>
              <w:t xml:space="preserve"> held in</w:t>
            </w:r>
            <w:r w:rsidRPr="00C76853">
              <w:rPr>
                <w:rFonts w:cs="Calibri"/>
              </w:rPr>
              <w:t xml:space="preserve"> 11 different</w:t>
            </w:r>
            <w:r w:rsidR="00C1506E" w:rsidRPr="00C76853">
              <w:rPr>
                <w:rFonts w:cs="Calibri"/>
              </w:rPr>
              <w:t xml:space="preserve"> locations in 4 Federal Member States and the </w:t>
            </w:r>
            <w:proofErr w:type="spellStart"/>
            <w:r w:rsidR="00C1506E" w:rsidRPr="00C76853">
              <w:rPr>
                <w:rFonts w:cs="Calibri"/>
              </w:rPr>
              <w:t>Benadir</w:t>
            </w:r>
            <w:proofErr w:type="spellEnd"/>
            <w:r w:rsidR="00C1506E" w:rsidRPr="00C76853">
              <w:rPr>
                <w:rFonts w:cs="Calibri"/>
              </w:rPr>
              <w:t xml:space="preserve"> Region, identifying </w:t>
            </w:r>
            <w:r w:rsidR="00924DC4" w:rsidRPr="00C76853">
              <w:rPr>
                <w:rFonts w:cs="Calibri"/>
              </w:rPr>
              <w:t>39 community grievances as</w:t>
            </w:r>
            <w:r w:rsidR="00C1506E" w:rsidRPr="00C76853">
              <w:rPr>
                <w:rFonts w:cs="Calibri"/>
              </w:rPr>
              <w:t xml:space="preserve"> root causes for violent extremism and </w:t>
            </w:r>
            <w:r w:rsidR="00296562" w:rsidRPr="00C76853">
              <w:rPr>
                <w:rFonts w:cs="Calibri"/>
              </w:rPr>
              <w:t xml:space="preserve">taking steps to address them. </w:t>
            </w:r>
          </w:p>
          <w:p w14:paraId="3164B639" w14:textId="77777777" w:rsidR="00A56E91" w:rsidRPr="00C76853" w:rsidRDefault="00EF7793" w:rsidP="00B14F70">
            <w:pPr>
              <w:numPr>
                <w:ilvl w:val="0"/>
                <w:numId w:val="10"/>
              </w:numPr>
              <w:spacing w:before="120" w:after="0"/>
              <w:jc w:val="both"/>
              <w:rPr>
                <w:rFonts w:cs="Calibri"/>
              </w:rPr>
            </w:pPr>
            <w:r w:rsidRPr="00C76853">
              <w:rPr>
                <w:rFonts w:cs="Calibri"/>
              </w:rPr>
              <w:t xml:space="preserve">PCVE Communications Strategy </w:t>
            </w:r>
            <w:r w:rsidR="00E54C3A" w:rsidRPr="00C76853">
              <w:rPr>
                <w:rFonts w:cs="Calibri"/>
              </w:rPr>
              <w:t>finalized</w:t>
            </w:r>
            <w:r w:rsidR="00296562" w:rsidRPr="00C76853">
              <w:rPr>
                <w:rFonts w:cs="Calibri"/>
              </w:rPr>
              <w:t xml:space="preserve"> and PCVE Communications</w:t>
            </w:r>
            <w:r w:rsidRPr="00C76853">
              <w:rPr>
                <w:rFonts w:cs="Calibri"/>
              </w:rPr>
              <w:t xml:space="preserve"> Task Force </w:t>
            </w:r>
            <w:r w:rsidR="00296562" w:rsidRPr="00C76853">
              <w:rPr>
                <w:rFonts w:cs="Calibri"/>
              </w:rPr>
              <w:t xml:space="preserve">established, coordinating and harmonizing PCVE related communications products amongst FGS line ministries and FMS actors. </w:t>
            </w:r>
          </w:p>
          <w:p w14:paraId="7FAF7175" w14:textId="77777777" w:rsidR="00EE19D8" w:rsidRPr="00C76853" w:rsidRDefault="00296562" w:rsidP="00B14F70">
            <w:pPr>
              <w:numPr>
                <w:ilvl w:val="0"/>
                <w:numId w:val="10"/>
              </w:numPr>
              <w:spacing w:before="120" w:after="0"/>
              <w:jc w:val="both"/>
              <w:rPr>
                <w:rFonts w:cs="Calibri"/>
                <w:color w:val="0070C0"/>
              </w:rPr>
            </w:pPr>
            <w:r w:rsidRPr="00C76853">
              <w:rPr>
                <w:rFonts w:cs="Calibri"/>
              </w:rPr>
              <w:t xml:space="preserve">CAS </w:t>
            </w:r>
            <w:r w:rsidR="00EF7793" w:rsidRPr="00C76853">
              <w:rPr>
                <w:rFonts w:cs="Calibri"/>
              </w:rPr>
              <w:t xml:space="preserve">Strand 4 </w:t>
            </w:r>
            <w:r w:rsidRPr="00C76853">
              <w:rPr>
                <w:rFonts w:cs="Calibri"/>
              </w:rPr>
              <w:t>evolved from a co</w:t>
            </w:r>
            <w:r w:rsidR="00EF7793" w:rsidRPr="00C76853">
              <w:rPr>
                <w:rFonts w:cs="Calibri"/>
              </w:rPr>
              <w:t xml:space="preserve">ordination </w:t>
            </w:r>
            <w:r w:rsidRPr="00C76853">
              <w:rPr>
                <w:rFonts w:cs="Calibri"/>
              </w:rPr>
              <w:t>platform to a</w:t>
            </w:r>
            <w:r w:rsidR="00EF7793" w:rsidRPr="00C76853">
              <w:rPr>
                <w:rFonts w:cs="Calibri"/>
              </w:rPr>
              <w:t xml:space="preserve"> </w:t>
            </w:r>
            <w:r w:rsidRPr="00C76853">
              <w:rPr>
                <w:rFonts w:cs="Calibri"/>
              </w:rPr>
              <w:t>forum of content-based exchange and collaboration between line ministries.</w:t>
            </w:r>
            <w:r w:rsidRPr="00C76853">
              <w:rPr>
                <w:rFonts w:cs="Calibri"/>
                <w:color w:val="0070C0"/>
              </w:rPr>
              <w:t xml:space="preserve"> </w:t>
            </w:r>
          </w:p>
        </w:tc>
      </w:tr>
      <w:tr w:rsidR="009B3E79" w:rsidRPr="00C76853" w14:paraId="524188DF" w14:textId="77777777" w:rsidTr="00EE19D8">
        <w:trPr>
          <w:trHeight w:val="611"/>
        </w:trPr>
        <w:tc>
          <w:tcPr>
            <w:tcW w:w="10320" w:type="dxa"/>
            <w:gridSpan w:val="4"/>
            <w:shd w:val="clear" w:color="auto" w:fill="auto"/>
          </w:tcPr>
          <w:p w14:paraId="15C119E1" w14:textId="77777777" w:rsidR="009B3E79" w:rsidRPr="00C76853" w:rsidRDefault="009B3E79" w:rsidP="009B3E79">
            <w:pPr>
              <w:spacing w:before="120" w:after="120"/>
              <w:jc w:val="center"/>
              <w:rPr>
                <w:rFonts w:cs="Calibri"/>
                <w:b/>
                <w:bCs/>
              </w:rPr>
            </w:pPr>
            <w:bookmarkStart w:id="0" w:name="_Hlk515527561"/>
            <w:r w:rsidRPr="00C76853">
              <w:rPr>
                <w:rFonts w:cs="Calibri"/>
                <w:b/>
                <w:bCs/>
              </w:rPr>
              <w:t>HIGHLIGHTS OF KEY ACHIEVEMENTS</w:t>
            </w:r>
          </w:p>
          <w:bookmarkEnd w:id="0"/>
          <w:p w14:paraId="2C0A79D9" w14:textId="77777777" w:rsidR="00B41C29" w:rsidRPr="00C76853" w:rsidRDefault="00B41C29" w:rsidP="00212A8E">
            <w:pPr>
              <w:spacing w:before="120" w:after="120"/>
              <w:rPr>
                <w:rFonts w:cs="Calibri"/>
              </w:rPr>
            </w:pPr>
            <w:r w:rsidRPr="00C76853">
              <w:rPr>
                <w:rFonts w:cs="Calibri"/>
              </w:rPr>
              <w:t xml:space="preserve">Consultations held with 353 traditional elders in 4 Federal Member States on their role in a potential peace process, creating a public demand for peace talks and socializing the idea. </w:t>
            </w:r>
          </w:p>
          <w:p w14:paraId="28F13AA6" w14:textId="77777777" w:rsidR="002E4325" w:rsidRPr="00C76853" w:rsidRDefault="00D46B92" w:rsidP="00226EED">
            <w:pPr>
              <w:spacing w:before="120" w:after="0"/>
              <w:jc w:val="both"/>
              <w:rPr>
                <w:rFonts w:cs="Calibri"/>
              </w:rPr>
            </w:pPr>
            <w:r w:rsidRPr="00C76853">
              <w:rPr>
                <w:rFonts w:cs="Calibri"/>
              </w:rPr>
              <w:t xml:space="preserve">Traditional elders play a crucial role in Somalia’s clan-based electoral system and </w:t>
            </w:r>
            <w:r w:rsidR="001B1F43" w:rsidRPr="00C76853">
              <w:rPr>
                <w:rFonts w:cs="Calibri"/>
              </w:rPr>
              <w:t xml:space="preserve">might </w:t>
            </w:r>
            <w:r w:rsidR="00B41C29" w:rsidRPr="00C76853">
              <w:rPr>
                <w:rFonts w:cs="Calibri"/>
              </w:rPr>
              <w:t>still</w:t>
            </w:r>
            <w:r w:rsidR="001B1F43" w:rsidRPr="00C76853">
              <w:rPr>
                <w:rFonts w:cs="Calibri"/>
              </w:rPr>
              <w:t xml:space="preserve"> have a significant say in the next election</w:t>
            </w:r>
            <w:r w:rsidR="00B41C29" w:rsidRPr="00C76853">
              <w:rPr>
                <w:rFonts w:cs="Calibri"/>
              </w:rPr>
              <w:t>s</w:t>
            </w:r>
            <w:r w:rsidR="001B1F43" w:rsidRPr="00C76853">
              <w:rPr>
                <w:rFonts w:cs="Calibri"/>
              </w:rPr>
              <w:t xml:space="preserve"> 2021. </w:t>
            </w:r>
            <w:r w:rsidR="00FF745C" w:rsidRPr="00C76853">
              <w:rPr>
                <w:rFonts w:cs="Calibri"/>
              </w:rPr>
              <w:t xml:space="preserve">Al-Shabaab, </w:t>
            </w:r>
            <w:proofErr w:type="gramStart"/>
            <w:r w:rsidR="00FF745C" w:rsidRPr="00C76853">
              <w:rPr>
                <w:rFonts w:cs="Calibri"/>
              </w:rPr>
              <w:t>in an attempt to</w:t>
            </w:r>
            <w:proofErr w:type="gramEnd"/>
            <w:r w:rsidR="00FF745C" w:rsidRPr="00C76853">
              <w:rPr>
                <w:rFonts w:cs="Calibri"/>
              </w:rPr>
              <w:t xml:space="preserve"> influence the electoral system towards the group’s benefit, in 2019 reached out systematically to the elders to </w:t>
            </w:r>
            <w:r w:rsidR="004423BA" w:rsidRPr="00C76853">
              <w:rPr>
                <w:rFonts w:cs="Calibri"/>
              </w:rPr>
              <w:t>re-</w:t>
            </w:r>
            <w:r w:rsidR="00FF745C" w:rsidRPr="00C76853">
              <w:rPr>
                <w:rFonts w:cs="Calibri"/>
              </w:rPr>
              <w:t xml:space="preserve">negotiate their allegiances. </w:t>
            </w:r>
            <w:r w:rsidR="00B41C29" w:rsidRPr="00C76853">
              <w:rPr>
                <w:rFonts w:cs="Calibri"/>
              </w:rPr>
              <w:t xml:space="preserve">Aiming </w:t>
            </w:r>
            <w:r w:rsidR="003D118E" w:rsidRPr="00C76853">
              <w:rPr>
                <w:rFonts w:cs="Calibri"/>
              </w:rPr>
              <w:t xml:space="preserve">to address this emerging challenge, the OPM PCVE Coordination Unit together with the FMS PCVE Focal Points decided to launch nationwide consultations with Somalia’s traditional elders to counter </w:t>
            </w:r>
            <w:r w:rsidR="00B41C29" w:rsidRPr="00C76853">
              <w:rPr>
                <w:rFonts w:cs="Calibri"/>
              </w:rPr>
              <w:t>al-</w:t>
            </w:r>
            <w:r w:rsidR="003D118E" w:rsidRPr="00C76853">
              <w:rPr>
                <w:rFonts w:cs="Calibri"/>
              </w:rPr>
              <w:t xml:space="preserve">Shabaab’s strategy. </w:t>
            </w:r>
            <w:r w:rsidR="001E438A" w:rsidRPr="00C76853">
              <w:rPr>
                <w:rFonts w:cs="Calibri"/>
              </w:rPr>
              <w:t xml:space="preserve">The consultations focused on </w:t>
            </w:r>
            <w:r w:rsidR="001A1730" w:rsidRPr="00C76853">
              <w:rPr>
                <w:rFonts w:cs="Calibri"/>
              </w:rPr>
              <w:t xml:space="preserve">reestablishing a trust relationship between traditional elders and government representatives, as well as receiving feedback on the potential role of traditional elders in a potential peace process, aiming at creating a public demand for peace as well as socializing the idea of </w:t>
            </w:r>
            <w:r w:rsidR="001D1D9B" w:rsidRPr="00C76853">
              <w:rPr>
                <w:rFonts w:cs="Calibri"/>
              </w:rPr>
              <w:t>bridging the gap between government and al-Shabaab</w:t>
            </w:r>
            <w:r w:rsidR="000A0CAA" w:rsidRPr="00C76853">
              <w:rPr>
                <w:rFonts w:cs="Calibri"/>
              </w:rPr>
              <w:t xml:space="preserve"> for potential</w:t>
            </w:r>
            <w:r w:rsidR="00B126DD" w:rsidRPr="00C76853">
              <w:rPr>
                <w:rFonts w:cs="Calibri"/>
              </w:rPr>
              <w:t xml:space="preserve"> peace</w:t>
            </w:r>
            <w:r w:rsidR="000A0CAA" w:rsidRPr="00C76853">
              <w:rPr>
                <w:rFonts w:cs="Calibri"/>
              </w:rPr>
              <w:t xml:space="preserve"> talks</w:t>
            </w:r>
            <w:r w:rsidR="00B126DD" w:rsidRPr="00C76853">
              <w:rPr>
                <w:rFonts w:cs="Calibri"/>
              </w:rPr>
              <w:t xml:space="preserve"> in the future</w:t>
            </w:r>
            <w:r w:rsidR="001D1D9B" w:rsidRPr="00C76853">
              <w:rPr>
                <w:rFonts w:cs="Calibri"/>
              </w:rPr>
              <w:t xml:space="preserve">. </w:t>
            </w:r>
          </w:p>
          <w:p w14:paraId="4963AA5A" w14:textId="77777777" w:rsidR="00F54CCF" w:rsidRPr="00C76853" w:rsidRDefault="00F54CCF" w:rsidP="008879A5">
            <w:pPr>
              <w:numPr>
                <w:ilvl w:val="0"/>
                <w:numId w:val="11"/>
              </w:numPr>
              <w:spacing w:before="120" w:after="0"/>
              <w:rPr>
                <w:rFonts w:cs="Calibri"/>
              </w:rPr>
            </w:pPr>
            <w:r w:rsidRPr="00C76853">
              <w:rPr>
                <w:rFonts w:cs="Calibri"/>
              </w:rPr>
              <w:t xml:space="preserve">150 Religious Leaders engaged in the establishment of local networks of like-minded religious actors to promote Islam as a religion of tolerance and peace. </w:t>
            </w:r>
          </w:p>
          <w:p w14:paraId="0F8B1371" w14:textId="77777777" w:rsidR="002E4325" w:rsidRPr="00C76853" w:rsidRDefault="003B4448" w:rsidP="002E4325">
            <w:pPr>
              <w:spacing w:before="120" w:after="0"/>
              <w:rPr>
                <w:rFonts w:cs="Calibri"/>
              </w:rPr>
            </w:pPr>
            <w:r w:rsidRPr="00C76853">
              <w:rPr>
                <w:rFonts w:cs="Calibri"/>
              </w:rPr>
              <w:t xml:space="preserve">Religious leaders and actors have successfully been engaged </w:t>
            </w:r>
            <w:r w:rsidR="00122DA5" w:rsidRPr="00C76853">
              <w:rPr>
                <w:rFonts w:cs="Calibri"/>
              </w:rPr>
              <w:t xml:space="preserve">in developing a manual on religious counter-narratives, addressing the misuse of a distorted version of Islam for political purposes by al-Shabaab. </w:t>
            </w:r>
            <w:r w:rsidR="00B705BC" w:rsidRPr="00C76853">
              <w:rPr>
                <w:rFonts w:cs="Calibri"/>
              </w:rPr>
              <w:t xml:space="preserve">Furthermore, mosques and madrassas in one district of </w:t>
            </w:r>
            <w:proofErr w:type="spellStart"/>
            <w:r w:rsidR="00B705BC" w:rsidRPr="00C76853">
              <w:rPr>
                <w:rFonts w:cs="Calibri"/>
              </w:rPr>
              <w:t>HirShabelle</w:t>
            </w:r>
            <w:proofErr w:type="spellEnd"/>
            <w:r w:rsidR="00B705BC" w:rsidRPr="00C76853">
              <w:rPr>
                <w:rFonts w:cs="Calibri"/>
              </w:rPr>
              <w:t xml:space="preserve"> have been registered and a committee of religious leaders has been formed with the mandate to identify and address extremist views amongst religious actors </w:t>
            </w:r>
            <w:r w:rsidR="004A3877" w:rsidRPr="00C76853">
              <w:rPr>
                <w:rFonts w:cs="Calibri"/>
              </w:rPr>
              <w:t xml:space="preserve">through dialogue. </w:t>
            </w:r>
          </w:p>
          <w:p w14:paraId="65759A3C" w14:textId="77777777" w:rsidR="009503E1" w:rsidRPr="00C76853" w:rsidRDefault="009503E1" w:rsidP="008879A5">
            <w:pPr>
              <w:numPr>
                <w:ilvl w:val="0"/>
                <w:numId w:val="11"/>
              </w:numPr>
              <w:spacing w:before="120" w:after="0"/>
              <w:rPr>
                <w:rFonts w:cs="Calibri"/>
              </w:rPr>
            </w:pPr>
            <w:r w:rsidRPr="00C76853">
              <w:rPr>
                <w:rFonts w:cs="Calibri"/>
              </w:rPr>
              <w:t xml:space="preserve">13 PCVE Platforms held in 11 different locations in 4 Federal Member States and the </w:t>
            </w:r>
            <w:proofErr w:type="spellStart"/>
            <w:r w:rsidRPr="00C76853">
              <w:rPr>
                <w:rFonts w:cs="Calibri"/>
              </w:rPr>
              <w:t>Benadir</w:t>
            </w:r>
            <w:proofErr w:type="spellEnd"/>
            <w:r w:rsidRPr="00C76853">
              <w:rPr>
                <w:rFonts w:cs="Calibri"/>
              </w:rPr>
              <w:t xml:space="preserve"> Region, identifying 39 community grievances as root causes for violent extremism and taking steps to address them. </w:t>
            </w:r>
          </w:p>
          <w:p w14:paraId="6BAAD4DF" w14:textId="77777777" w:rsidR="0079371A" w:rsidRPr="00C76853" w:rsidRDefault="00CD28FC" w:rsidP="008879A5">
            <w:pPr>
              <w:spacing w:before="120" w:after="0"/>
              <w:jc w:val="both"/>
              <w:rPr>
                <w:rFonts w:cs="Calibri"/>
              </w:rPr>
            </w:pPr>
            <w:r w:rsidRPr="00C76853">
              <w:rPr>
                <w:rFonts w:cs="Calibri"/>
                <w:bCs/>
              </w:rPr>
              <w:t xml:space="preserve">13 </w:t>
            </w:r>
            <w:r w:rsidR="001305E0" w:rsidRPr="00C76853">
              <w:rPr>
                <w:rFonts w:cs="Calibri"/>
                <w:bCs/>
              </w:rPr>
              <w:t xml:space="preserve">PCVE Platform meetings were organized in </w:t>
            </w:r>
            <w:r w:rsidRPr="00C76853">
              <w:rPr>
                <w:rFonts w:cs="Calibri"/>
                <w:bCs/>
              </w:rPr>
              <w:t xml:space="preserve">11 </w:t>
            </w:r>
            <w:r w:rsidR="001305E0" w:rsidRPr="00C76853">
              <w:rPr>
                <w:rFonts w:cs="Calibri"/>
                <w:bCs/>
              </w:rPr>
              <w:t xml:space="preserve">selected at-risk locations in </w:t>
            </w:r>
            <w:r w:rsidR="004159F3" w:rsidRPr="00C76853">
              <w:rPr>
                <w:rFonts w:cs="Calibri"/>
                <w:bCs/>
              </w:rPr>
              <w:t>4</w:t>
            </w:r>
            <w:r w:rsidR="001305E0" w:rsidRPr="00C76853">
              <w:rPr>
                <w:rFonts w:cs="Calibri"/>
                <w:bCs/>
              </w:rPr>
              <w:t xml:space="preserve"> FMS, as identified by the PCVE focal points in the states. Following structured guidelines of engagement with communities, the Platform meetings produced lists of </w:t>
            </w:r>
            <w:r w:rsidR="004159F3" w:rsidRPr="00C76853">
              <w:rPr>
                <w:rFonts w:cs="Calibri"/>
                <w:bCs/>
              </w:rPr>
              <w:t xml:space="preserve">a total of 39 </w:t>
            </w:r>
            <w:r w:rsidR="001305E0" w:rsidRPr="00C76853">
              <w:rPr>
                <w:rFonts w:cs="Calibri"/>
                <w:bCs/>
              </w:rPr>
              <w:t xml:space="preserve">community </w:t>
            </w:r>
            <w:r w:rsidR="004159F3" w:rsidRPr="00C76853">
              <w:rPr>
                <w:rFonts w:cs="Calibri"/>
                <w:bCs/>
              </w:rPr>
              <w:t xml:space="preserve">grievances as identified as drivers and root causes for violent </w:t>
            </w:r>
            <w:r w:rsidR="004159F3" w:rsidRPr="00C76853">
              <w:rPr>
                <w:rFonts w:cs="Calibri"/>
                <w:bCs/>
              </w:rPr>
              <w:lastRenderedPageBreak/>
              <w:t xml:space="preserve">extremism. </w:t>
            </w:r>
            <w:r w:rsidR="001305E0" w:rsidRPr="00C76853">
              <w:rPr>
                <w:rFonts w:cs="Calibri"/>
                <w:bCs/>
              </w:rPr>
              <w:t>The PCVE focal points subsequently reported directly to the respective PCVE Committees in the FMS, bringing to the attention</w:t>
            </w:r>
            <w:r w:rsidR="005F35BC" w:rsidRPr="00C76853">
              <w:rPr>
                <w:rFonts w:cs="Calibri"/>
                <w:bCs/>
              </w:rPr>
              <w:t xml:space="preserve"> of respective line ministries</w:t>
            </w:r>
            <w:r w:rsidR="001305E0" w:rsidRPr="00C76853">
              <w:rPr>
                <w:rFonts w:cs="Calibri"/>
                <w:bCs/>
              </w:rPr>
              <w:t xml:space="preserve"> any PCVE-related challenges identified and prioritized by communities for further action. The </w:t>
            </w:r>
            <w:r w:rsidR="005F35BC" w:rsidRPr="00C76853">
              <w:rPr>
                <w:rFonts w:cs="Calibri"/>
                <w:bCs/>
              </w:rPr>
              <w:t>focal points</w:t>
            </w:r>
            <w:r w:rsidR="001305E0" w:rsidRPr="00C76853">
              <w:rPr>
                <w:rFonts w:cs="Calibri"/>
                <w:bCs/>
              </w:rPr>
              <w:t xml:space="preserve"> further shared these lists of priorities with the O</w:t>
            </w:r>
            <w:r w:rsidR="005F35BC" w:rsidRPr="00C76853">
              <w:rPr>
                <w:rFonts w:cs="Calibri"/>
                <w:bCs/>
              </w:rPr>
              <w:t>ffice of the Prime Minister</w:t>
            </w:r>
            <w:r w:rsidR="001305E0" w:rsidRPr="00C76853">
              <w:rPr>
                <w:rFonts w:cs="Calibri"/>
                <w:bCs/>
              </w:rPr>
              <w:t xml:space="preserve"> for knowledge sharing, trend identification and federal follow-up action where appropriate.  </w:t>
            </w:r>
          </w:p>
          <w:p w14:paraId="13B5707E" w14:textId="77777777" w:rsidR="008879A5" w:rsidRPr="00C76853" w:rsidRDefault="008879A5" w:rsidP="008879A5">
            <w:pPr>
              <w:numPr>
                <w:ilvl w:val="0"/>
                <w:numId w:val="11"/>
              </w:numPr>
              <w:spacing w:before="120" w:after="0"/>
              <w:jc w:val="both"/>
              <w:rPr>
                <w:rFonts w:cs="Calibri"/>
              </w:rPr>
            </w:pPr>
            <w:r w:rsidRPr="00C76853">
              <w:rPr>
                <w:rFonts w:cs="Calibri"/>
              </w:rPr>
              <w:t xml:space="preserve">PCVE Communications Strategy finalized and PCVE Communications Task Force established, coordinating and harmonizing PCVE related communications products amongst FGS line ministries and FMS actors. </w:t>
            </w:r>
          </w:p>
          <w:p w14:paraId="32A94074" w14:textId="77777777" w:rsidR="001305E0" w:rsidRPr="00C76853" w:rsidRDefault="00AC04B0" w:rsidP="001305E0">
            <w:pPr>
              <w:spacing w:before="120" w:after="0"/>
              <w:rPr>
                <w:rFonts w:cs="Calibri"/>
              </w:rPr>
            </w:pPr>
            <w:r w:rsidRPr="00C76853">
              <w:rPr>
                <w:rFonts w:cs="Calibri"/>
              </w:rPr>
              <w:t>The OPM PCVE Coordination unit held consultations with all relevant federal line ministries to finalize the PCVE Communications Strategy. A PCVE Communications Task Force was established</w:t>
            </w:r>
            <w:r w:rsidR="008C4684" w:rsidRPr="00C76853">
              <w:rPr>
                <w:rFonts w:cs="Calibri"/>
              </w:rPr>
              <w:t xml:space="preserve"> with terms of reference developed, detailing out responsibilities of different government actors to </w:t>
            </w:r>
            <w:r w:rsidR="00AA1DB7" w:rsidRPr="00C76853">
              <w:rPr>
                <w:rFonts w:cs="Calibri"/>
              </w:rPr>
              <w:t>harmonize PCVE related messaging, and respond to</w:t>
            </w:r>
            <w:r w:rsidR="00733C22" w:rsidRPr="00C76853">
              <w:rPr>
                <w:rFonts w:cs="Calibri"/>
              </w:rPr>
              <w:t xml:space="preserve"> al-Shabaab propaganda in a coordinated, structured and swift approach. </w:t>
            </w:r>
          </w:p>
          <w:p w14:paraId="221A8233" w14:textId="77777777" w:rsidR="0060788F" w:rsidRPr="00C76853" w:rsidRDefault="0060788F" w:rsidP="008879A5">
            <w:pPr>
              <w:numPr>
                <w:ilvl w:val="0"/>
                <w:numId w:val="11"/>
              </w:numPr>
              <w:spacing w:before="120" w:after="0"/>
              <w:rPr>
                <w:rFonts w:cs="Calibri"/>
              </w:rPr>
            </w:pPr>
            <w:r w:rsidRPr="00C76853">
              <w:rPr>
                <w:rFonts w:cs="Calibri"/>
              </w:rPr>
              <w:t>CAS Strand 4 evolved from a coordination platform to a forum of content-based exchange and collaboration between line ministries.</w:t>
            </w:r>
          </w:p>
          <w:p w14:paraId="6E01B31E" w14:textId="77777777" w:rsidR="0079371A" w:rsidRPr="00C76853" w:rsidRDefault="0079371A" w:rsidP="00BD5284">
            <w:pPr>
              <w:spacing w:before="120" w:after="0"/>
              <w:jc w:val="both"/>
              <w:rPr>
                <w:rFonts w:cs="Calibri"/>
              </w:rPr>
            </w:pPr>
            <w:r w:rsidRPr="00C76853">
              <w:rPr>
                <w:rFonts w:cs="Calibri"/>
              </w:rPr>
              <w:t xml:space="preserve">Over the course of 2019, the CAS Strand 4 platform evolved from a sporadic information sharing forum to a platform showcasing engagement and collaboration of different actors. The meeting regularly engaged PCVE actors from Federal Government line ministries, Federal Member states focal points, and civil society representatives. It shifted from </w:t>
            </w:r>
            <w:r w:rsidR="008A0648" w:rsidRPr="00C76853">
              <w:rPr>
                <w:rFonts w:cs="Calibri"/>
              </w:rPr>
              <w:t xml:space="preserve">actors sharing updates towards thematic areas and joint reporting by various stakeholders on collaborative efforts to mainstream PCVE into their respective work. </w:t>
            </w:r>
          </w:p>
        </w:tc>
      </w:tr>
      <w:tr w:rsidR="00175BE9" w:rsidRPr="00C76853" w14:paraId="1EB00680" w14:textId="77777777" w:rsidTr="00EE19D8">
        <w:trPr>
          <w:trHeight w:val="611"/>
        </w:trPr>
        <w:tc>
          <w:tcPr>
            <w:tcW w:w="10320" w:type="dxa"/>
            <w:gridSpan w:val="4"/>
            <w:shd w:val="clear" w:color="auto" w:fill="auto"/>
          </w:tcPr>
          <w:p w14:paraId="372CC055" w14:textId="77777777" w:rsidR="00175BE9" w:rsidRPr="00C76853" w:rsidRDefault="00175BE9" w:rsidP="00175BE9">
            <w:pPr>
              <w:spacing w:before="120" w:after="120"/>
              <w:jc w:val="center"/>
              <w:rPr>
                <w:rFonts w:cs="Calibri"/>
                <w:b/>
                <w:bCs/>
              </w:rPr>
            </w:pPr>
            <w:r w:rsidRPr="00C76853">
              <w:rPr>
                <w:rFonts w:cs="Calibri"/>
                <w:b/>
                <w:bCs/>
              </w:rPr>
              <w:lastRenderedPageBreak/>
              <w:t>SITUATION UPDATE</w:t>
            </w:r>
          </w:p>
          <w:p w14:paraId="4ADB573E" w14:textId="77777777" w:rsidR="005005B4" w:rsidRPr="00C76853" w:rsidRDefault="005005B4" w:rsidP="005005B4">
            <w:pPr>
              <w:pStyle w:val="BodyText"/>
              <w:spacing w:after="0" w:line="240" w:lineRule="auto"/>
              <w:jc w:val="both"/>
              <w:rPr>
                <w:rFonts w:cs="Calibri"/>
                <w:color w:val="000000"/>
              </w:rPr>
            </w:pPr>
            <w:r w:rsidRPr="00C76853">
              <w:rPr>
                <w:rFonts w:cs="Calibri"/>
                <w:color w:val="000000"/>
              </w:rPr>
              <w:t xml:space="preserve">Somalia continues to face ongoing threats of violent extremism from Al-Shabaab (AS) and the Islamic State (IS). Large parts of Somalia remain under the control of AS which has a network of an estimated 6-7,000 fighters spread throughout the country, particularly in southern and central Somalia, where it de facto governs, provides and justice and enforces taxation of local communities and business owners as well as toll collections at checkpoints along many of the main supply routes. AS operates within a clear and well-organized framework and structure, with well-functioning operational, ideological and administrative units. It continues to carry out regular attacks targeting Somali security forces, government entities, AMISOM and civilians, using mainly improvised explosive devices and complex attack tactics as well as targeted assassinations. The spread of IS-affiliated elements to Somalia – estimated at 200-400 active supporters based on a single </w:t>
            </w:r>
            <w:r w:rsidRPr="00C76853">
              <w:rPr>
                <w:rFonts w:cs="Calibri"/>
                <w:color w:val="000000"/>
                <w:lang w:val="en-US"/>
              </w:rPr>
              <w:t xml:space="preserve">sub-clan </w:t>
            </w:r>
            <w:r w:rsidRPr="00C76853">
              <w:rPr>
                <w:rFonts w:cs="Calibri"/>
                <w:color w:val="000000"/>
              </w:rPr>
              <w:t xml:space="preserve">for now – has further complicated the already complex security landscape. AS and the IS are now in competition over extortion and business networks and revenue streams which has resulted in an increase in armed conflict between the two groups. </w:t>
            </w:r>
          </w:p>
          <w:p w14:paraId="5BAEC19C" w14:textId="77777777" w:rsidR="005005B4" w:rsidRPr="00C76853" w:rsidRDefault="005005B4" w:rsidP="005005B4">
            <w:pPr>
              <w:spacing w:after="0" w:line="240" w:lineRule="auto"/>
              <w:jc w:val="both"/>
              <w:rPr>
                <w:rFonts w:eastAsia="Times New Roman" w:cs="Calibri"/>
                <w:color w:val="000000"/>
              </w:rPr>
            </w:pPr>
            <w:r w:rsidRPr="00C76853">
              <w:rPr>
                <w:rFonts w:eastAsia="Times New Roman" w:cs="Calibri"/>
                <w:color w:val="000000"/>
              </w:rPr>
              <w:t xml:space="preserve">During the reporting period, the overall security situation in Somalia, especially in the South-Central regions, remained unstable. General trends suggest that AS is increasing its attack capacity regarding the use of explosive devices. A recent decrease in combat effectiveness has been attributed to internal struggles over leadership within the organization. The attack against the commercial complex in Nairobi (January 2019) is said to be masterminded and conducted by AS. The group further continues to use its counter FGS messaging through their media outlets and from direct visits to settlements by senior AS leaders, and children receiving radicalization training. Such activities reached a highlight recently during the Eid festivities in Lower Shabelle </w:t>
            </w:r>
            <w:proofErr w:type="gramStart"/>
            <w:r w:rsidRPr="00C76853">
              <w:rPr>
                <w:rFonts w:eastAsia="Times New Roman" w:cs="Calibri"/>
                <w:color w:val="000000"/>
              </w:rPr>
              <w:t>where AS</w:t>
            </w:r>
            <w:proofErr w:type="gramEnd"/>
            <w:r w:rsidRPr="00C76853">
              <w:rPr>
                <w:rFonts w:eastAsia="Times New Roman" w:cs="Calibri"/>
                <w:color w:val="000000"/>
              </w:rPr>
              <w:t xml:space="preserve"> organized a PR campaign targeting primarily the local youth in an Eid celebration event. </w:t>
            </w:r>
            <w:r w:rsidR="00753FB8" w:rsidRPr="00C76853">
              <w:rPr>
                <w:rFonts w:eastAsia="Times New Roman" w:cs="Calibri"/>
                <w:color w:val="000000"/>
              </w:rPr>
              <w:t xml:space="preserve">Several severe attacks took place in </w:t>
            </w:r>
            <w:proofErr w:type="spellStart"/>
            <w:r w:rsidR="00753FB8" w:rsidRPr="00C76853">
              <w:rPr>
                <w:rFonts w:eastAsia="Times New Roman" w:cs="Calibri"/>
                <w:color w:val="000000"/>
              </w:rPr>
              <w:t>Mogadisu</w:t>
            </w:r>
            <w:proofErr w:type="spellEnd"/>
            <w:r w:rsidR="00753FB8" w:rsidRPr="00C76853">
              <w:rPr>
                <w:rFonts w:eastAsia="Times New Roman" w:cs="Calibri"/>
                <w:color w:val="000000"/>
              </w:rPr>
              <w:t xml:space="preserve"> in the months of November and December 2019. On 28 December, a suicide truck bomber killed at least 85 people at the Ex-Control </w:t>
            </w:r>
            <w:proofErr w:type="spellStart"/>
            <w:r w:rsidR="00753FB8" w:rsidRPr="00C76853">
              <w:rPr>
                <w:rFonts w:eastAsia="Times New Roman" w:cs="Calibri"/>
                <w:color w:val="000000"/>
              </w:rPr>
              <w:t>Afgoye</w:t>
            </w:r>
            <w:proofErr w:type="spellEnd"/>
            <w:r w:rsidR="00753FB8" w:rsidRPr="00C76853">
              <w:rPr>
                <w:rFonts w:eastAsia="Times New Roman" w:cs="Calibri"/>
                <w:color w:val="000000"/>
              </w:rPr>
              <w:t xml:space="preserve"> police checkpoint in town, constituting the deadliest attack </w:t>
            </w:r>
            <w:r w:rsidR="00860275" w:rsidRPr="00C76853">
              <w:rPr>
                <w:rFonts w:eastAsia="Times New Roman" w:cs="Calibri"/>
                <w:color w:val="000000"/>
              </w:rPr>
              <w:t xml:space="preserve">by al-Shabaab since the 14 October 2017 bombing. </w:t>
            </w:r>
          </w:p>
          <w:p w14:paraId="5A466093" w14:textId="77777777" w:rsidR="00484507" w:rsidRPr="00C76853" w:rsidRDefault="00484507" w:rsidP="005005B4">
            <w:pPr>
              <w:spacing w:after="0" w:line="240" w:lineRule="auto"/>
              <w:jc w:val="both"/>
              <w:rPr>
                <w:rFonts w:eastAsia="Times New Roman" w:cs="Calibri"/>
                <w:color w:val="000000"/>
              </w:rPr>
            </w:pPr>
            <w:r w:rsidRPr="00C76853">
              <w:rPr>
                <w:rFonts w:eastAsia="Times New Roman" w:cs="Calibri"/>
                <w:color w:val="000000"/>
              </w:rPr>
              <w:lastRenderedPageBreak/>
              <w:t xml:space="preserve">In revising the national PCVE strategy and action plan, and plans to establish the </w:t>
            </w:r>
            <w:proofErr w:type="spellStart"/>
            <w:r w:rsidRPr="00C76853">
              <w:rPr>
                <w:rFonts w:eastAsia="Times New Roman" w:cs="Calibri"/>
                <w:color w:val="000000"/>
              </w:rPr>
              <w:t>Risaala</w:t>
            </w:r>
            <w:proofErr w:type="spellEnd"/>
            <w:r w:rsidRPr="00C76853">
              <w:rPr>
                <w:rFonts w:eastAsia="Times New Roman" w:cs="Calibri"/>
                <w:color w:val="000000"/>
              </w:rPr>
              <w:t xml:space="preserve"> Centre for PCVE, the FGS has reiterated that the prevention and countering of violent extremism is a national priority. There is a consensus that the fight against violent extremist groups will not be won by hard security measures only but requires the complementary soft-power approach addressing root causes and drivers of violent extremism. </w:t>
            </w:r>
            <w:r w:rsidR="00A80FCB" w:rsidRPr="00C76853">
              <w:rPr>
                <w:rFonts w:eastAsia="Times New Roman" w:cs="Calibri"/>
                <w:color w:val="000000"/>
              </w:rPr>
              <w:t xml:space="preserve">An explicit focus of the government’s PCVE coordination structure is on exploring avenues towards peace </w:t>
            </w:r>
            <w:r w:rsidR="001855FB" w:rsidRPr="00C76853">
              <w:rPr>
                <w:rFonts w:eastAsia="Times New Roman" w:cs="Calibri"/>
                <w:color w:val="000000"/>
              </w:rPr>
              <w:t>negotiations</w:t>
            </w:r>
            <w:r w:rsidR="00A80FCB" w:rsidRPr="00C76853">
              <w:rPr>
                <w:rFonts w:eastAsia="Times New Roman" w:cs="Calibri"/>
                <w:color w:val="000000"/>
              </w:rPr>
              <w:t xml:space="preserve"> with al-Shabaab, </w:t>
            </w:r>
            <w:r w:rsidR="001855FB" w:rsidRPr="00C76853">
              <w:rPr>
                <w:rFonts w:eastAsia="Times New Roman" w:cs="Calibri"/>
                <w:color w:val="000000"/>
              </w:rPr>
              <w:t xml:space="preserve">socializing the idea of talks whilst creating a public demand </w:t>
            </w:r>
            <w:r w:rsidR="006B1FC8" w:rsidRPr="00C76853">
              <w:rPr>
                <w:rFonts w:eastAsia="Times New Roman" w:cs="Calibri"/>
                <w:color w:val="000000"/>
              </w:rPr>
              <w:t xml:space="preserve">and learning from existing local peace arrangements between clans and the group. </w:t>
            </w:r>
            <w:r w:rsidR="00B75F29" w:rsidRPr="00C76853">
              <w:rPr>
                <w:rFonts w:eastAsia="Times New Roman" w:cs="Calibri"/>
                <w:color w:val="000000"/>
              </w:rPr>
              <w:t>Various consultations with key stakeholders have resulted in a broad-based understanding that the demand for peace negotiations at community level exist</w:t>
            </w:r>
            <w:r w:rsidR="005D54C7" w:rsidRPr="00C76853">
              <w:rPr>
                <w:rFonts w:eastAsia="Times New Roman" w:cs="Calibri"/>
                <w:color w:val="000000"/>
              </w:rPr>
              <w:t>s, and that key groups such as elders and religious leaders are ready to contribute to such endeavor and bridge between the government and al-Shabaab for potential dialogue</w:t>
            </w:r>
            <w:r w:rsidR="009B16FE" w:rsidRPr="00C76853">
              <w:rPr>
                <w:rFonts w:eastAsia="Times New Roman" w:cs="Calibri"/>
                <w:color w:val="000000"/>
              </w:rPr>
              <w:t>.</w:t>
            </w:r>
            <w:r w:rsidR="005D54C7" w:rsidRPr="00C76853">
              <w:rPr>
                <w:rFonts w:eastAsia="Times New Roman" w:cs="Calibri"/>
                <w:color w:val="000000"/>
              </w:rPr>
              <w:t xml:space="preserve"> </w:t>
            </w:r>
          </w:p>
          <w:p w14:paraId="58F3DE9D" w14:textId="77777777" w:rsidR="005005B4" w:rsidRPr="00C76853" w:rsidRDefault="00727195" w:rsidP="00360DC6">
            <w:pPr>
              <w:spacing w:after="0" w:line="240" w:lineRule="auto"/>
              <w:jc w:val="both"/>
              <w:rPr>
                <w:rFonts w:eastAsia="Times New Roman" w:cs="Calibri"/>
                <w:color w:val="000000"/>
              </w:rPr>
            </w:pPr>
            <w:r w:rsidRPr="00C76853">
              <w:rPr>
                <w:rFonts w:eastAsia="Times New Roman" w:cs="Calibri"/>
                <w:color w:val="000000"/>
              </w:rPr>
              <w:t>In its attempt to influence traditional elders and delegates to subtly ensure protection of interests of al-Shabaab at the political level, the group has shown a shift from a violent extremist organization towards one that prioritizes business interests and operates along the lines of an organized criminal group</w:t>
            </w:r>
            <w:r w:rsidR="00431F1F" w:rsidRPr="00C76853">
              <w:rPr>
                <w:rFonts w:eastAsia="Times New Roman" w:cs="Calibri"/>
                <w:color w:val="000000"/>
              </w:rPr>
              <w:t xml:space="preserve">, applying mafia-like structures. </w:t>
            </w:r>
            <w:r w:rsidR="00BC140A" w:rsidRPr="00C76853">
              <w:rPr>
                <w:rFonts w:eastAsia="Times New Roman" w:cs="Calibri"/>
                <w:color w:val="000000"/>
              </w:rPr>
              <w:t xml:space="preserve">The keen interest al-Shabaab has taken in the upcoming elections can be seen as a window to identify some of the group’s political interests which can be </w:t>
            </w:r>
            <w:r w:rsidR="0068467F" w:rsidRPr="00C76853">
              <w:rPr>
                <w:rFonts w:eastAsia="Times New Roman" w:cs="Calibri"/>
                <w:color w:val="000000"/>
              </w:rPr>
              <w:t xml:space="preserve">of relevance </w:t>
            </w:r>
            <w:r w:rsidR="00AC01DC" w:rsidRPr="00C76853">
              <w:rPr>
                <w:rFonts w:eastAsia="Times New Roman" w:cs="Calibri"/>
                <w:color w:val="000000"/>
              </w:rPr>
              <w:t xml:space="preserve">for a long-term vision of peace talks and a political settlement. </w:t>
            </w:r>
          </w:p>
        </w:tc>
      </w:tr>
      <w:tr w:rsidR="00F81551" w:rsidRPr="00C76853" w14:paraId="03D0D12A" w14:textId="77777777" w:rsidTr="00EE19D8">
        <w:trPr>
          <w:trHeight w:val="611"/>
        </w:trPr>
        <w:tc>
          <w:tcPr>
            <w:tcW w:w="10320" w:type="dxa"/>
            <w:gridSpan w:val="4"/>
            <w:shd w:val="clear" w:color="auto" w:fill="auto"/>
          </w:tcPr>
          <w:p w14:paraId="61F631B1" w14:textId="77777777" w:rsidR="00AA07C1" w:rsidRPr="00C76853" w:rsidRDefault="00AA07C1" w:rsidP="00AA07C1">
            <w:pPr>
              <w:spacing w:before="120" w:after="120"/>
              <w:jc w:val="center"/>
              <w:outlineLvl w:val="0"/>
              <w:rPr>
                <w:rFonts w:cs="Calibri"/>
                <w:b/>
                <w:color w:val="FF0000"/>
                <w:spacing w:val="-6"/>
                <w:sz w:val="20"/>
                <w:szCs w:val="20"/>
              </w:rPr>
            </w:pPr>
            <w:r w:rsidRPr="00C76853">
              <w:rPr>
                <w:rFonts w:cs="Calibri"/>
                <w:b/>
                <w:spacing w:val="-6"/>
                <w:sz w:val="20"/>
                <w:szCs w:val="20"/>
              </w:rPr>
              <w:lastRenderedPageBreak/>
              <w:t>QUARTERLY</w:t>
            </w:r>
            <w:r w:rsidR="00423951" w:rsidRPr="00C76853">
              <w:rPr>
                <w:rFonts w:cs="Calibri"/>
                <w:b/>
                <w:spacing w:val="-6"/>
                <w:sz w:val="20"/>
                <w:szCs w:val="20"/>
              </w:rPr>
              <w:t xml:space="preserve"> &amp; ANNUAL</w:t>
            </w:r>
            <w:r w:rsidRPr="00C76853">
              <w:rPr>
                <w:rFonts w:cs="Calibri"/>
                <w:b/>
                <w:spacing w:val="-6"/>
                <w:sz w:val="20"/>
                <w:szCs w:val="20"/>
              </w:rPr>
              <w:t xml:space="preserve"> PROGRESS REPORT RESULTS MATRIX</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2228"/>
              <w:gridCol w:w="2951"/>
              <w:gridCol w:w="2664"/>
              <w:gridCol w:w="2251"/>
            </w:tblGrid>
            <w:tr w:rsidR="00672B93" w:rsidRPr="00C76853" w14:paraId="4A9B9A4F" w14:textId="77777777" w:rsidTr="00FF5C9F">
              <w:tc>
                <w:tcPr>
                  <w:tcW w:w="10094" w:type="dxa"/>
                  <w:gridSpan w:val="4"/>
                  <w:shd w:val="clear" w:color="auto" w:fill="DEEAF6"/>
                </w:tcPr>
                <w:p w14:paraId="3CDD414C" w14:textId="77777777" w:rsidR="00672B93" w:rsidRPr="00C76853" w:rsidRDefault="00672B93" w:rsidP="00672B93">
                  <w:pPr>
                    <w:spacing w:after="0" w:line="240" w:lineRule="auto"/>
                    <w:jc w:val="center"/>
                    <w:rPr>
                      <w:rFonts w:cs="Calibri"/>
                      <w:b/>
                      <w:color w:val="000000"/>
                      <w:sz w:val="20"/>
                      <w:szCs w:val="20"/>
                    </w:rPr>
                  </w:pPr>
                </w:p>
                <w:p w14:paraId="0F1ECCF7" w14:textId="77777777" w:rsidR="00672B93" w:rsidRPr="00C76853" w:rsidRDefault="00672B93" w:rsidP="00672B93">
                  <w:pPr>
                    <w:spacing w:after="0" w:line="240" w:lineRule="auto"/>
                    <w:jc w:val="center"/>
                    <w:rPr>
                      <w:rFonts w:cs="Calibri"/>
                      <w:b/>
                      <w:color w:val="000000"/>
                      <w:sz w:val="20"/>
                      <w:szCs w:val="20"/>
                    </w:rPr>
                  </w:pPr>
                  <w:r w:rsidRPr="00C76853">
                    <w:rPr>
                      <w:rFonts w:cs="Calibri"/>
                      <w:b/>
                      <w:color w:val="000000"/>
                      <w:sz w:val="20"/>
                      <w:szCs w:val="20"/>
                    </w:rPr>
                    <w:t>OUTCOME STATEMENT</w:t>
                  </w:r>
                </w:p>
                <w:p w14:paraId="2BA9D6BB" w14:textId="77777777" w:rsidR="00672B93" w:rsidRPr="00C76853" w:rsidRDefault="00672B93" w:rsidP="00672B93">
                  <w:pPr>
                    <w:spacing w:after="0" w:line="240" w:lineRule="auto"/>
                    <w:jc w:val="center"/>
                    <w:rPr>
                      <w:rFonts w:cs="Calibri"/>
                      <w:b/>
                      <w:color w:val="000000"/>
                      <w:sz w:val="20"/>
                      <w:szCs w:val="20"/>
                    </w:rPr>
                  </w:pPr>
                </w:p>
                <w:p w14:paraId="2D9F83D9" w14:textId="77777777" w:rsidR="00672B93" w:rsidRPr="00C76853" w:rsidRDefault="00672B93" w:rsidP="00672B93">
                  <w:pPr>
                    <w:spacing w:after="0" w:line="240" w:lineRule="auto"/>
                    <w:jc w:val="center"/>
                    <w:rPr>
                      <w:rFonts w:cs="Calibri"/>
                      <w:b/>
                      <w:color w:val="000000"/>
                      <w:sz w:val="20"/>
                      <w:szCs w:val="20"/>
                    </w:rPr>
                  </w:pPr>
                  <w:r w:rsidRPr="00C76853">
                    <w:rPr>
                      <w:rFonts w:cs="Calibri"/>
                      <w:b/>
                      <w:color w:val="000000"/>
                      <w:sz w:val="20"/>
                      <w:szCs w:val="20"/>
                    </w:rPr>
                    <w:t xml:space="preserve">PCVE Coordination by national authorities is functional at federal and FMS levels, and </w:t>
                  </w:r>
                </w:p>
                <w:p w14:paraId="5B91F359" w14:textId="77777777" w:rsidR="00672B93" w:rsidRPr="00C76853" w:rsidRDefault="00672B93" w:rsidP="00672B93">
                  <w:pPr>
                    <w:spacing w:after="0" w:line="240" w:lineRule="auto"/>
                    <w:jc w:val="center"/>
                    <w:rPr>
                      <w:rFonts w:cs="Calibri"/>
                      <w:color w:val="000000"/>
                      <w:sz w:val="20"/>
                      <w:szCs w:val="20"/>
                    </w:rPr>
                  </w:pPr>
                  <w:r w:rsidRPr="00C76853">
                    <w:rPr>
                      <w:rFonts w:cs="Calibri"/>
                      <w:b/>
                      <w:color w:val="000000"/>
                      <w:sz w:val="20"/>
                      <w:szCs w:val="20"/>
                    </w:rPr>
                    <w:t>consultation mechanisms are established</w:t>
                  </w:r>
                </w:p>
                <w:p w14:paraId="09317D2B" w14:textId="77777777" w:rsidR="00672B93" w:rsidRPr="00C76853" w:rsidRDefault="00672B93" w:rsidP="00672B93">
                  <w:pPr>
                    <w:spacing w:after="0" w:line="240" w:lineRule="auto"/>
                    <w:jc w:val="center"/>
                    <w:rPr>
                      <w:rFonts w:cs="Calibri"/>
                      <w:color w:val="000000"/>
                      <w:sz w:val="20"/>
                      <w:szCs w:val="20"/>
                    </w:rPr>
                  </w:pPr>
                </w:p>
              </w:tc>
            </w:tr>
            <w:tr w:rsidR="00672B93" w:rsidRPr="00C76853" w14:paraId="7F888153" w14:textId="77777777" w:rsidTr="00FF5C9F">
              <w:tc>
                <w:tcPr>
                  <w:tcW w:w="10094" w:type="dxa"/>
                  <w:gridSpan w:val="4"/>
                  <w:shd w:val="clear" w:color="auto" w:fill="DEEAF6"/>
                </w:tcPr>
                <w:p w14:paraId="4E7BB1AC" w14:textId="77777777" w:rsidR="00672B93" w:rsidRPr="00C76853" w:rsidRDefault="00672B93" w:rsidP="00672B93">
                  <w:pPr>
                    <w:spacing w:after="0" w:line="240" w:lineRule="auto"/>
                    <w:rPr>
                      <w:rFonts w:cs="Calibri"/>
                      <w:sz w:val="20"/>
                      <w:szCs w:val="20"/>
                    </w:rPr>
                  </w:pPr>
                </w:p>
                <w:p w14:paraId="7A5BFFAD" w14:textId="77777777" w:rsidR="00672B93" w:rsidRPr="00C76853" w:rsidRDefault="00672B93" w:rsidP="00672B93">
                  <w:pPr>
                    <w:spacing w:after="0" w:line="240" w:lineRule="auto"/>
                    <w:rPr>
                      <w:rFonts w:cs="Calibri"/>
                      <w:sz w:val="20"/>
                      <w:szCs w:val="20"/>
                    </w:rPr>
                  </w:pPr>
                  <w:r w:rsidRPr="00C76853">
                    <w:rPr>
                      <w:rFonts w:cs="Calibri"/>
                      <w:b/>
                      <w:color w:val="000000"/>
                      <w:sz w:val="20"/>
                      <w:szCs w:val="20"/>
                    </w:rPr>
                    <w:t xml:space="preserve">Output 1: OPM Coordination Office and PCVE focal points in FMS are staffed and capacitated to coordinate on PCVE and commence implementation of priority issues from their respective PCVE </w:t>
                  </w:r>
                  <w:r w:rsidRPr="00C76853">
                    <w:rPr>
                      <w:rStyle w:val="A8"/>
                      <w:rFonts w:cs="Calibri"/>
                      <w:b/>
                      <w:color w:val="000000"/>
                      <w:sz w:val="20"/>
                      <w:szCs w:val="20"/>
                    </w:rPr>
                    <w:t xml:space="preserve">action plans </w:t>
                  </w:r>
                </w:p>
                <w:p w14:paraId="366C9B24" w14:textId="77777777" w:rsidR="00672B93" w:rsidRPr="00C76853" w:rsidRDefault="00672B93" w:rsidP="00672B93">
                  <w:pPr>
                    <w:spacing w:after="0" w:line="240" w:lineRule="auto"/>
                    <w:rPr>
                      <w:rFonts w:cs="Calibri"/>
                      <w:sz w:val="20"/>
                      <w:szCs w:val="20"/>
                    </w:rPr>
                  </w:pPr>
                </w:p>
              </w:tc>
            </w:tr>
            <w:tr w:rsidR="007559BB" w:rsidRPr="00C76853" w14:paraId="5A3268FC" w14:textId="77777777" w:rsidTr="00F73F17">
              <w:tc>
                <w:tcPr>
                  <w:tcW w:w="2228" w:type="dxa"/>
                  <w:vMerge w:val="restart"/>
                  <w:shd w:val="clear" w:color="auto" w:fill="DEEAF6"/>
                </w:tcPr>
                <w:p w14:paraId="32D657C5" w14:textId="77777777" w:rsidR="00672B93" w:rsidRPr="00C76853" w:rsidRDefault="00672B93" w:rsidP="00672B93">
                  <w:pPr>
                    <w:spacing w:after="0"/>
                    <w:jc w:val="center"/>
                    <w:rPr>
                      <w:rFonts w:cs="Calibri"/>
                      <w:b/>
                      <w:sz w:val="20"/>
                      <w:szCs w:val="20"/>
                      <w:lang w:eastAsia="fr-CA"/>
                    </w:rPr>
                  </w:pPr>
                </w:p>
                <w:p w14:paraId="63F1FBE7" w14:textId="77777777" w:rsidR="00672B93" w:rsidRPr="00C76853" w:rsidRDefault="00672B93" w:rsidP="00672B93">
                  <w:pPr>
                    <w:spacing w:after="0"/>
                    <w:jc w:val="center"/>
                    <w:rPr>
                      <w:rFonts w:cs="Calibri"/>
                      <w:b/>
                      <w:sz w:val="20"/>
                      <w:szCs w:val="20"/>
                      <w:lang w:eastAsia="fr-CA"/>
                    </w:rPr>
                  </w:pPr>
                  <w:r w:rsidRPr="00C76853">
                    <w:rPr>
                      <w:rFonts w:cs="Calibri"/>
                      <w:b/>
                      <w:sz w:val="20"/>
                      <w:szCs w:val="20"/>
                      <w:lang w:eastAsia="fr-CA"/>
                    </w:rPr>
                    <w:t>INDICATOR</w:t>
                  </w:r>
                </w:p>
              </w:tc>
              <w:tc>
                <w:tcPr>
                  <w:tcW w:w="2951" w:type="dxa"/>
                  <w:vMerge w:val="restart"/>
                  <w:shd w:val="clear" w:color="auto" w:fill="DEEAF6"/>
                </w:tcPr>
                <w:p w14:paraId="5559B6DE" w14:textId="77777777" w:rsidR="00672B93" w:rsidRPr="00C76853" w:rsidRDefault="00672B93" w:rsidP="00672B93">
                  <w:pPr>
                    <w:spacing w:after="0"/>
                    <w:jc w:val="center"/>
                    <w:rPr>
                      <w:rFonts w:cs="Calibri"/>
                      <w:b/>
                      <w:sz w:val="20"/>
                      <w:szCs w:val="20"/>
                      <w:lang w:eastAsia="fr-CA"/>
                    </w:rPr>
                  </w:pPr>
                </w:p>
                <w:p w14:paraId="6DC93657" w14:textId="77777777" w:rsidR="00672B93" w:rsidRPr="00C76853" w:rsidRDefault="00672B93" w:rsidP="00672B93">
                  <w:pPr>
                    <w:spacing w:after="0"/>
                    <w:jc w:val="center"/>
                    <w:rPr>
                      <w:rFonts w:cs="Calibri"/>
                      <w:b/>
                      <w:sz w:val="20"/>
                      <w:szCs w:val="20"/>
                      <w:lang w:eastAsia="fr-CA"/>
                    </w:rPr>
                  </w:pPr>
                  <w:r w:rsidRPr="00C76853">
                    <w:rPr>
                      <w:rFonts w:cs="Calibri"/>
                      <w:b/>
                      <w:sz w:val="20"/>
                      <w:szCs w:val="20"/>
                      <w:lang w:eastAsia="fr-CA"/>
                    </w:rPr>
                    <w:t>TARGET</w:t>
                  </w:r>
                </w:p>
              </w:tc>
              <w:tc>
                <w:tcPr>
                  <w:tcW w:w="4915" w:type="dxa"/>
                  <w:gridSpan w:val="2"/>
                  <w:shd w:val="clear" w:color="auto" w:fill="DEEAF6"/>
                </w:tcPr>
                <w:p w14:paraId="5B36A3AF" w14:textId="77777777" w:rsidR="00672B93" w:rsidRPr="00C76853" w:rsidRDefault="00672B93" w:rsidP="00672B93">
                  <w:pPr>
                    <w:spacing w:after="0"/>
                    <w:jc w:val="both"/>
                    <w:rPr>
                      <w:rStyle w:val="A8"/>
                      <w:rFonts w:cs="Calibri"/>
                      <w:sz w:val="20"/>
                      <w:szCs w:val="20"/>
                    </w:rPr>
                  </w:pPr>
                  <w:r w:rsidRPr="00C76853">
                    <w:rPr>
                      <w:rFonts w:cs="Calibri"/>
                      <w:b/>
                      <w:sz w:val="20"/>
                      <w:szCs w:val="20"/>
                      <w:lang w:eastAsia="fr-CA"/>
                    </w:rPr>
                    <w:t>PROGRESS ON OUTPUT INDICATOR</w:t>
                  </w:r>
                  <w:r w:rsidRPr="00C76853">
                    <w:rPr>
                      <w:rStyle w:val="FootnoteReference"/>
                      <w:rFonts w:cs="Calibri"/>
                      <w:b/>
                      <w:sz w:val="20"/>
                      <w:szCs w:val="20"/>
                      <w:lang w:eastAsia="fr-CA"/>
                    </w:rPr>
                    <w:footnoteReference w:id="2"/>
                  </w:r>
                </w:p>
              </w:tc>
            </w:tr>
            <w:tr w:rsidR="00F02348" w:rsidRPr="00C76853" w14:paraId="2D97530B" w14:textId="77777777" w:rsidTr="00F73F17">
              <w:tc>
                <w:tcPr>
                  <w:tcW w:w="2228" w:type="dxa"/>
                  <w:vMerge/>
                  <w:shd w:val="clear" w:color="auto" w:fill="DEEAF6"/>
                </w:tcPr>
                <w:p w14:paraId="5AF2616A" w14:textId="77777777" w:rsidR="00672B93" w:rsidRPr="00C76853" w:rsidRDefault="00672B93" w:rsidP="00672B93">
                  <w:pPr>
                    <w:spacing w:after="0"/>
                    <w:jc w:val="center"/>
                    <w:rPr>
                      <w:rStyle w:val="A8"/>
                      <w:rFonts w:cs="Calibri"/>
                      <w:sz w:val="20"/>
                      <w:szCs w:val="20"/>
                    </w:rPr>
                  </w:pPr>
                </w:p>
              </w:tc>
              <w:tc>
                <w:tcPr>
                  <w:tcW w:w="2951" w:type="dxa"/>
                  <w:vMerge/>
                  <w:shd w:val="clear" w:color="auto" w:fill="DEEAF6"/>
                </w:tcPr>
                <w:p w14:paraId="1F8FFF7E" w14:textId="77777777" w:rsidR="00672B93" w:rsidRPr="00C76853" w:rsidRDefault="00672B93" w:rsidP="00672B93">
                  <w:pPr>
                    <w:spacing w:after="0"/>
                    <w:jc w:val="center"/>
                    <w:rPr>
                      <w:rStyle w:val="A8"/>
                      <w:rFonts w:cs="Calibri"/>
                      <w:sz w:val="20"/>
                      <w:szCs w:val="20"/>
                    </w:rPr>
                  </w:pPr>
                </w:p>
              </w:tc>
              <w:tc>
                <w:tcPr>
                  <w:tcW w:w="2664" w:type="dxa"/>
                  <w:shd w:val="clear" w:color="auto" w:fill="DEEAF6"/>
                </w:tcPr>
                <w:p w14:paraId="72495265" w14:textId="77777777" w:rsidR="00672B93" w:rsidRPr="00C76853" w:rsidRDefault="00672B93" w:rsidP="00672B93">
                  <w:pPr>
                    <w:spacing w:after="0"/>
                    <w:jc w:val="center"/>
                    <w:rPr>
                      <w:rStyle w:val="A8"/>
                      <w:rFonts w:cs="Calibri"/>
                      <w:sz w:val="20"/>
                      <w:szCs w:val="20"/>
                    </w:rPr>
                  </w:pPr>
                  <w:r w:rsidRPr="00C76853">
                    <w:rPr>
                      <w:rFonts w:cs="Calibri"/>
                      <w:b/>
                      <w:sz w:val="20"/>
                      <w:szCs w:val="20"/>
                      <w:lang w:eastAsia="fr-CA"/>
                    </w:rPr>
                    <w:t>Reporting Period (2019)</w:t>
                  </w:r>
                </w:p>
              </w:tc>
              <w:tc>
                <w:tcPr>
                  <w:tcW w:w="2251" w:type="dxa"/>
                  <w:shd w:val="clear" w:color="auto" w:fill="DEEAF6"/>
                </w:tcPr>
                <w:p w14:paraId="01EAF3CB" w14:textId="77777777" w:rsidR="00672B93" w:rsidRPr="00C76853" w:rsidRDefault="00672B93" w:rsidP="00672B93">
                  <w:pPr>
                    <w:spacing w:after="0"/>
                    <w:jc w:val="center"/>
                    <w:rPr>
                      <w:rStyle w:val="A8"/>
                      <w:rFonts w:cs="Calibri"/>
                      <w:sz w:val="20"/>
                      <w:szCs w:val="20"/>
                    </w:rPr>
                  </w:pPr>
                  <w:r w:rsidRPr="00C76853">
                    <w:rPr>
                      <w:rFonts w:cs="Calibri"/>
                      <w:b/>
                      <w:sz w:val="20"/>
                      <w:szCs w:val="20"/>
                      <w:lang w:eastAsia="fr-CA"/>
                    </w:rPr>
                    <w:t>CUMULATIVE</w:t>
                  </w:r>
                </w:p>
              </w:tc>
            </w:tr>
            <w:tr w:rsidR="00F02348" w:rsidRPr="00C76853" w14:paraId="0BDBEADA" w14:textId="77777777" w:rsidTr="00F73F17">
              <w:tc>
                <w:tcPr>
                  <w:tcW w:w="2228" w:type="dxa"/>
                  <w:shd w:val="clear" w:color="auto" w:fill="DEEAF6"/>
                </w:tcPr>
                <w:p w14:paraId="21598B7E"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No. </w:t>
                  </w:r>
                  <w:bookmarkStart w:id="1" w:name="_Hlk159789"/>
                  <w:r w:rsidRPr="00C76853">
                    <w:rPr>
                      <w:rStyle w:val="A8"/>
                      <w:rFonts w:cs="Calibri"/>
                      <w:color w:val="auto"/>
                      <w:sz w:val="20"/>
                      <w:szCs w:val="20"/>
                    </w:rPr>
                    <w:t>of qualified &amp; experienced persons for PCVE in Somalia identified</w:t>
                  </w:r>
                  <w:bookmarkEnd w:id="1"/>
                  <w:r w:rsidRPr="00C76853">
                    <w:rPr>
                      <w:rStyle w:val="A8"/>
                      <w:rFonts w:cs="Calibri"/>
                      <w:color w:val="auto"/>
                      <w:sz w:val="20"/>
                      <w:szCs w:val="20"/>
                    </w:rPr>
                    <w:t>, and their capacity further developed; regular CAS Strand 4 meetings held</w:t>
                  </w:r>
                </w:p>
              </w:tc>
              <w:tc>
                <w:tcPr>
                  <w:tcW w:w="2951" w:type="dxa"/>
                  <w:shd w:val="clear" w:color="auto" w:fill="DEEAF6"/>
                </w:tcPr>
                <w:p w14:paraId="034917A0"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Support provided to 6 Strand 4 meetings </w:t>
                  </w:r>
                </w:p>
                <w:p w14:paraId="261C071B"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6 OPM and 6 FMS focal points</w:t>
                  </w:r>
                </w:p>
              </w:tc>
              <w:tc>
                <w:tcPr>
                  <w:tcW w:w="2664" w:type="dxa"/>
                  <w:shd w:val="clear" w:color="auto" w:fill="DEEAF6"/>
                </w:tcPr>
                <w:p w14:paraId="1C495035" w14:textId="77777777" w:rsidR="00672B93" w:rsidRPr="00C76853" w:rsidRDefault="00672B93" w:rsidP="00672B93">
                  <w:pPr>
                    <w:snapToGrid w:val="0"/>
                    <w:spacing w:after="0" w:line="240" w:lineRule="auto"/>
                    <w:jc w:val="both"/>
                    <w:rPr>
                      <w:rStyle w:val="A8"/>
                      <w:rFonts w:cs="Calibri"/>
                      <w:color w:val="auto"/>
                      <w:sz w:val="20"/>
                      <w:szCs w:val="20"/>
                    </w:rPr>
                  </w:pPr>
                  <w:r w:rsidRPr="00C76853">
                    <w:rPr>
                      <w:rStyle w:val="A8"/>
                      <w:rFonts w:cs="Calibri"/>
                      <w:color w:val="auto"/>
                      <w:sz w:val="20"/>
                      <w:szCs w:val="20"/>
                    </w:rPr>
                    <w:t xml:space="preserve">6 OPM and 6 FMS focal point identified and appointed by federal and respective state governments. </w:t>
                  </w:r>
                  <w:r w:rsidR="007127DD" w:rsidRPr="00C76853">
                    <w:rPr>
                      <w:rStyle w:val="A8"/>
                      <w:rFonts w:cs="Calibri"/>
                      <w:color w:val="auto"/>
                      <w:sz w:val="20"/>
                      <w:szCs w:val="20"/>
                    </w:rPr>
                    <w:t>4</w:t>
                  </w:r>
                  <w:r w:rsidRPr="00C76853">
                    <w:rPr>
                      <w:rStyle w:val="A8"/>
                      <w:rFonts w:cs="Calibri"/>
                      <w:color w:val="auto"/>
                      <w:sz w:val="20"/>
                      <w:szCs w:val="20"/>
                    </w:rPr>
                    <w:t xml:space="preserve"> technical preparatory meeting and </w:t>
                  </w:r>
                  <w:r w:rsidR="007127DD" w:rsidRPr="00C76853">
                    <w:rPr>
                      <w:rStyle w:val="A8"/>
                      <w:rFonts w:cs="Calibri"/>
                      <w:color w:val="auto"/>
                      <w:sz w:val="20"/>
                      <w:szCs w:val="20"/>
                    </w:rPr>
                    <w:t>4</w:t>
                  </w:r>
                  <w:r w:rsidRPr="00C76853">
                    <w:rPr>
                      <w:rStyle w:val="A8"/>
                      <w:rFonts w:cs="Calibri"/>
                      <w:color w:val="auto"/>
                      <w:sz w:val="20"/>
                      <w:szCs w:val="20"/>
                    </w:rPr>
                    <w:t xml:space="preserve"> strand 4 meeting held.</w:t>
                  </w:r>
                </w:p>
              </w:tc>
              <w:tc>
                <w:tcPr>
                  <w:tcW w:w="2251" w:type="dxa"/>
                  <w:shd w:val="clear" w:color="auto" w:fill="DEEAF6"/>
                </w:tcPr>
                <w:p w14:paraId="4396D0FA" w14:textId="77777777" w:rsidR="00672B93" w:rsidRPr="00C76853" w:rsidRDefault="00672B93" w:rsidP="00672B93">
                  <w:pPr>
                    <w:snapToGrid w:val="0"/>
                    <w:spacing w:after="0" w:line="240" w:lineRule="auto"/>
                    <w:jc w:val="both"/>
                    <w:rPr>
                      <w:rFonts w:cs="Calibri"/>
                      <w:sz w:val="20"/>
                      <w:szCs w:val="20"/>
                    </w:rPr>
                  </w:pPr>
                  <w:r w:rsidRPr="00C76853">
                    <w:rPr>
                      <w:rStyle w:val="A8"/>
                      <w:rFonts w:cs="Calibri"/>
                      <w:color w:val="auto"/>
                      <w:sz w:val="20"/>
                      <w:szCs w:val="20"/>
                    </w:rPr>
                    <w:t xml:space="preserve">6 OPM and 6 FMS focal point identified and appointed by federal and respective state governments. </w:t>
                  </w:r>
                  <w:r w:rsidR="005A6537" w:rsidRPr="00C76853">
                    <w:rPr>
                      <w:rStyle w:val="A8"/>
                      <w:rFonts w:cs="Calibri"/>
                      <w:color w:val="auto"/>
                      <w:sz w:val="20"/>
                      <w:szCs w:val="20"/>
                    </w:rPr>
                    <w:t>4</w:t>
                  </w:r>
                  <w:r w:rsidRPr="00C76853">
                    <w:rPr>
                      <w:rStyle w:val="A8"/>
                      <w:rFonts w:cs="Calibri"/>
                      <w:color w:val="auto"/>
                      <w:sz w:val="20"/>
                      <w:szCs w:val="20"/>
                    </w:rPr>
                    <w:t xml:space="preserve"> technical preparatory meeting and </w:t>
                  </w:r>
                  <w:r w:rsidR="005A6537" w:rsidRPr="00C76853">
                    <w:rPr>
                      <w:rStyle w:val="A8"/>
                      <w:rFonts w:cs="Calibri"/>
                      <w:color w:val="auto"/>
                      <w:sz w:val="20"/>
                      <w:szCs w:val="20"/>
                    </w:rPr>
                    <w:t>4</w:t>
                  </w:r>
                  <w:r w:rsidRPr="00C76853">
                    <w:rPr>
                      <w:rStyle w:val="A8"/>
                      <w:rFonts w:cs="Calibri"/>
                      <w:color w:val="auto"/>
                      <w:sz w:val="20"/>
                      <w:szCs w:val="20"/>
                    </w:rPr>
                    <w:t xml:space="preserve"> strand 4 meeting held. </w:t>
                  </w:r>
                </w:p>
              </w:tc>
            </w:tr>
            <w:tr w:rsidR="00F02348" w:rsidRPr="00C76853" w14:paraId="631898BC" w14:textId="77777777" w:rsidTr="00F73F17">
              <w:tc>
                <w:tcPr>
                  <w:tcW w:w="2228" w:type="dxa"/>
                  <w:shd w:val="clear" w:color="auto" w:fill="DEEAF6"/>
                </w:tcPr>
                <w:p w14:paraId="0ECD737B"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Preparation of institutional development and capacity building plan </w:t>
                  </w:r>
                </w:p>
              </w:tc>
              <w:tc>
                <w:tcPr>
                  <w:tcW w:w="2951" w:type="dxa"/>
                  <w:shd w:val="clear" w:color="auto" w:fill="DEEAF6"/>
                </w:tcPr>
                <w:p w14:paraId="7AD3F7B1"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Institutional development and capacity building plan prepared</w:t>
                  </w:r>
                </w:p>
              </w:tc>
              <w:tc>
                <w:tcPr>
                  <w:tcW w:w="2664" w:type="dxa"/>
                  <w:shd w:val="clear" w:color="auto" w:fill="DEEAF6"/>
                </w:tcPr>
                <w:p w14:paraId="30D2427A" w14:textId="77777777" w:rsidR="00672B93" w:rsidRPr="00C76853" w:rsidRDefault="00672B93" w:rsidP="00672B93">
                  <w:pPr>
                    <w:snapToGrid w:val="0"/>
                    <w:spacing w:after="0" w:line="240" w:lineRule="auto"/>
                    <w:jc w:val="both"/>
                    <w:rPr>
                      <w:rStyle w:val="A8"/>
                      <w:rFonts w:cs="Calibri"/>
                      <w:color w:val="auto"/>
                      <w:sz w:val="20"/>
                      <w:szCs w:val="20"/>
                    </w:rPr>
                  </w:pPr>
                  <w:r w:rsidRPr="00C76853">
                    <w:rPr>
                      <w:rStyle w:val="A8"/>
                      <w:rFonts w:cs="Calibri"/>
                      <w:color w:val="auto"/>
                      <w:sz w:val="20"/>
                      <w:szCs w:val="20"/>
                    </w:rPr>
                    <w:t xml:space="preserve">Regular needs assessments conducted by PCVE Technical Specialist. Based on findings, </w:t>
                  </w:r>
                  <w:r w:rsidR="00184E46" w:rsidRPr="00C76853">
                    <w:rPr>
                      <w:rStyle w:val="A8"/>
                      <w:rFonts w:cs="Calibri"/>
                      <w:color w:val="auto"/>
                      <w:sz w:val="20"/>
                      <w:szCs w:val="20"/>
                    </w:rPr>
                    <w:t>20</w:t>
                  </w:r>
                  <w:r w:rsidRPr="00C76853">
                    <w:rPr>
                      <w:rStyle w:val="A8"/>
                      <w:rFonts w:cs="Calibri"/>
                      <w:color w:val="auto"/>
                      <w:sz w:val="20"/>
                      <w:szCs w:val="20"/>
                    </w:rPr>
                    <w:t xml:space="preserve"> capacity building trainings provided to FMS and OPM PCVE staff.  </w:t>
                  </w:r>
                </w:p>
              </w:tc>
              <w:tc>
                <w:tcPr>
                  <w:tcW w:w="2251" w:type="dxa"/>
                  <w:shd w:val="clear" w:color="auto" w:fill="DEEAF6"/>
                </w:tcPr>
                <w:p w14:paraId="0D4D21DB" w14:textId="77777777" w:rsidR="00672B93" w:rsidRPr="00C76853" w:rsidRDefault="00672B93" w:rsidP="00672B93">
                  <w:pPr>
                    <w:snapToGrid w:val="0"/>
                    <w:spacing w:after="0" w:line="240" w:lineRule="auto"/>
                    <w:ind w:right="36"/>
                    <w:jc w:val="both"/>
                    <w:rPr>
                      <w:rFonts w:cs="Calibri"/>
                      <w:sz w:val="20"/>
                      <w:szCs w:val="20"/>
                    </w:rPr>
                  </w:pPr>
                  <w:r w:rsidRPr="00C76853">
                    <w:rPr>
                      <w:rStyle w:val="A8"/>
                      <w:rFonts w:cs="Calibri"/>
                      <w:color w:val="auto"/>
                      <w:sz w:val="20"/>
                      <w:szCs w:val="20"/>
                    </w:rPr>
                    <w:t xml:space="preserve">Regular needs assessments conducted by PCVE Technical Specialist. Based on findings, </w:t>
                  </w:r>
                  <w:r w:rsidR="00184E46" w:rsidRPr="00C76853">
                    <w:rPr>
                      <w:rStyle w:val="A8"/>
                      <w:rFonts w:cs="Calibri"/>
                      <w:color w:val="auto"/>
                      <w:sz w:val="20"/>
                      <w:szCs w:val="20"/>
                    </w:rPr>
                    <w:t>20</w:t>
                  </w:r>
                  <w:r w:rsidRPr="00C76853">
                    <w:rPr>
                      <w:rStyle w:val="A8"/>
                      <w:rFonts w:cs="Calibri"/>
                      <w:color w:val="auto"/>
                      <w:sz w:val="20"/>
                      <w:szCs w:val="20"/>
                    </w:rPr>
                    <w:t xml:space="preserve"> capacity building trainings provided to FMS and OPM PCVE staff.  </w:t>
                  </w:r>
                </w:p>
              </w:tc>
            </w:tr>
            <w:tr w:rsidR="00F02348" w:rsidRPr="00C76853" w14:paraId="76B503EE" w14:textId="77777777" w:rsidTr="00F73F17">
              <w:tc>
                <w:tcPr>
                  <w:tcW w:w="2228" w:type="dxa"/>
                  <w:shd w:val="clear" w:color="auto" w:fill="DEEAF6"/>
                </w:tcPr>
                <w:p w14:paraId="41A85DC1"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lastRenderedPageBreak/>
                    <w:t xml:space="preserve">1 research work undertaken on PCVE in Somalia </w:t>
                  </w:r>
                </w:p>
              </w:tc>
              <w:tc>
                <w:tcPr>
                  <w:tcW w:w="2951" w:type="dxa"/>
                  <w:shd w:val="clear" w:color="auto" w:fill="DEEAF6"/>
                </w:tcPr>
                <w:p w14:paraId="73219FCF"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1 research work undertaken </w:t>
                  </w:r>
                </w:p>
              </w:tc>
              <w:tc>
                <w:tcPr>
                  <w:tcW w:w="2664" w:type="dxa"/>
                  <w:shd w:val="clear" w:color="auto" w:fill="DEEAF6"/>
                </w:tcPr>
                <w:p w14:paraId="6BFCBB36" w14:textId="77777777" w:rsidR="00672B93" w:rsidRPr="00C76853" w:rsidRDefault="00672B93" w:rsidP="00672B93">
                  <w:pPr>
                    <w:snapToGrid w:val="0"/>
                    <w:spacing w:after="0" w:line="240" w:lineRule="auto"/>
                    <w:jc w:val="both"/>
                    <w:rPr>
                      <w:rStyle w:val="A8"/>
                      <w:rFonts w:cs="Calibri"/>
                      <w:color w:val="auto"/>
                      <w:sz w:val="20"/>
                      <w:szCs w:val="20"/>
                    </w:rPr>
                  </w:pPr>
                  <w:r w:rsidRPr="00C76853">
                    <w:rPr>
                      <w:rStyle w:val="A8"/>
                      <w:rFonts w:cs="Calibri"/>
                      <w:color w:val="auto"/>
                      <w:sz w:val="20"/>
                      <w:szCs w:val="20"/>
                    </w:rPr>
                    <w:t>PCVE action plan priorities selected by PCVE focal points in the FMS, based on this selection, 6 research projects developed; locations and target groups selected</w:t>
                  </w:r>
                  <w:r w:rsidR="00AA6879" w:rsidRPr="00C76853">
                    <w:rPr>
                      <w:rStyle w:val="A8"/>
                      <w:rFonts w:cs="Calibri"/>
                      <w:color w:val="auto"/>
                      <w:sz w:val="20"/>
                      <w:szCs w:val="20"/>
                    </w:rPr>
                    <w:t xml:space="preserve">, baseline data </w:t>
                  </w:r>
                  <w:proofErr w:type="gramStart"/>
                  <w:r w:rsidR="00AA6879" w:rsidRPr="00C76853">
                    <w:rPr>
                      <w:rStyle w:val="A8"/>
                      <w:rFonts w:cs="Calibri"/>
                      <w:color w:val="auto"/>
                      <w:sz w:val="20"/>
                      <w:szCs w:val="20"/>
                    </w:rPr>
                    <w:t>collected</w:t>
                  </w:r>
                  <w:proofErr w:type="gramEnd"/>
                  <w:r w:rsidR="00AA6879" w:rsidRPr="00C76853">
                    <w:rPr>
                      <w:rStyle w:val="A8"/>
                      <w:rFonts w:cs="Calibri"/>
                      <w:color w:val="auto"/>
                      <w:sz w:val="20"/>
                      <w:szCs w:val="20"/>
                    </w:rPr>
                    <w:t xml:space="preserve"> and intervention commenced.</w:t>
                  </w:r>
                </w:p>
              </w:tc>
              <w:tc>
                <w:tcPr>
                  <w:tcW w:w="2251" w:type="dxa"/>
                  <w:shd w:val="clear" w:color="auto" w:fill="DEEAF6"/>
                </w:tcPr>
                <w:p w14:paraId="59A6FFED" w14:textId="77777777" w:rsidR="00672B93" w:rsidRPr="00C76853" w:rsidRDefault="00672B93" w:rsidP="00672B93">
                  <w:pPr>
                    <w:snapToGrid w:val="0"/>
                    <w:spacing w:after="0" w:line="240" w:lineRule="auto"/>
                    <w:jc w:val="both"/>
                    <w:rPr>
                      <w:rFonts w:cs="Calibri"/>
                      <w:sz w:val="20"/>
                      <w:szCs w:val="20"/>
                    </w:rPr>
                  </w:pPr>
                  <w:r w:rsidRPr="00C76853">
                    <w:rPr>
                      <w:rStyle w:val="A8"/>
                      <w:rFonts w:cs="Calibri"/>
                      <w:color w:val="auto"/>
                      <w:sz w:val="20"/>
                      <w:szCs w:val="20"/>
                    </w:rPr>
                    <w:t>PCVE action plan priorities selected by PCVE focal points in the FMS, based on this selection, 6 research projects developed; locations and target groups selected</w:t>
                  </w:r>
                  <w:r w:rsidR="00AA6879" w:rsidRPr="00C76853">
                    <w:rPr>
                      <w:rStyle w:val="A8"/>
                      <w:rFonts w:cs="Calibri"/>
                      <w:color w:val="auto"/>
                      <w:sz w:val="20"/>
                      <w:szCs w:val="20"/>
                    </w:rPr>
                    <w:t xml:space="preserve">, baseline data </w:t>
                  </w:r>
                  <w:proofErr w:type="gramStart"/>
                  <w:r w:rsidR="00AA6879" w:rsidRPr="00C76853">
                    <w:rPr>
                      <w:rStyle w:val="A8"/>
                      <w:rFonts w:cs="Calibri"/>
                      <w:color w:val="auto"/>
                      <w:sz w:val="20"/>
                      <w:szCs w:val="20"/>
                    </w:rPr>
                    <w:t>collected</w:t>
                  </w:r>
                  <w:proofErr w:type="gramEnd"/>
                  <w:r w:rsidR="00AA6879" w:rsidRPr="00C76853">
                    <w:rPr>
                      <w:rStyle w:val="A8"/>
                      <w:rFonts w:cs="Calibri"/>
                      <w:color w:val="auto"/>
                      <w:sz w:val="20"/>
                      <w:szCs w:val="20"/>
                    </w:rPr>
                    <w:t xml:space="preserve"> and intervention commenced. </w:t>
                  </w:r>
                </w:p>
              </w:tc>
            </w:tr>
            <w:tr w:rsidR="00672B93" w:rsidRPr="00C76853" w14:paraId="49B40516" w14:textId="77777777" w:rsidTr="00BD08F7">
              <w:tc>
                <w:tcPr>
                  <w:tcW w:w="10094" w:type="dxa"/>
                  <w:gridSpan w:val="4"/>
                  <w:shd w:val="clear" w:color="auto" w:fill="DEEAF6"/>
                </w:tcPr>
                <w:p w14:paraId="1964C3B0" w14:textId="77777777" w:rsidR="00672B93" w:rsidRPr="00C76853" w:rsidRDefault="00672B93" w:rsidP="00672B93">
                  <w:pPr>
                    <w:spacing w:after="0"/>
                    <w:jc w:val="both"/>
                    <w:rPr>
                      <w:rStyle w:val="A8"/>
                      <w:rFonts w:cs="Calibri"/>
                      <w:sz w:val="20"/>
                      <w:szCs w:val="20"/>
                    </w:rPr>
                  </w:pPr>
                  <w:r w:rsidRPr="00C76853">
                    <w:rPr>
                      <w:rFonts w:cs="Calibri"/>
                      <w:sz w:val="20"/>
                      <w:szCs w:val="20"/>
                      <w:lang w:eastAsia="fr-CA"/>
                    </w:rPr>
                    <w:t>UNDP ONLY: sources of evidence (as per current QPR)</w:t>
                  </w:r>
                </w:p>
              </w:tc>
            </w:tr>
            <w:tr w:rsidR="00672B93" w:rsidRPr="00C76853" w14:paraId="5972D499" w14:textId="77777777" w:rsidTr="00FF5C9F">
              <w:tc>
                <w:tcPr>
                  <w:tcW w:w="10094" w:type="dxa"/>
                  <w:gridSpan w:val="4"/>
                  <w:shd w:val="clear" w:color="auto" w:fill="DEEAF6"/>
                </w:tcPr>
                <w:p w14:paraId="1A340824" w14:textId="77777777" w:rsidR="00672B93" w:rsidRPr="00C76853" w:rsidRDefault="00672B93" w:rsidP="00672B93">
                  <w:pPr>
                    <w:spacing w:after="0"/>
                    <w:jc w:val="both"/>
                    <w:rPr>
                      <w:rStyle w:val="A8"/>
                      <w:rFonts w:cs="Calibri"/>
                      <w:sz w:val="20"/>
                      <w:szCs w:val="20"/>
                    </w:rPr>
                  </w:pPr>
                </w:p>
                <w:p w14:paraId="59291D2D" w14:textId="77777777" w:rsidR="005672CB" w:rsidRPr="00C76853" w:rsidRDefault="005672CB" w:rsidP="005672CB">
                  <w:pPr>
                    <w:spacing w:after="0" w:line="240" w:lineRule="auto"/>
                    <w:rPr>
                      <w:rFonts w:cs="Calibri"/>
                      <w:b/>
                      <w:color w:val="000000"/>
                      <w:sz w:val="20"/>
                      <w:szCs w:val="20"/>
                    </w:rPr>
                  </w:pPr>
                  <w:r w:rsidRPr="00C76853">
                    <w:rPr>
                      <w:rFonts w:cs="Calibri"/>
                      <w:b/>
                      <w:color w:val="000000"/>
                      <w:sz w:val="20"/>
                      <w:szCs w:val="20"/>
                    </w:rPr>
                    <w:t>Output 2: Stakeholder consultations and research undertaken to inform development of phase 2 PCVE support</w:t>
                  </w:r>
                </w:p>
                <w:p w14:paraId="195127DC" w14:textId="77777777" w:rsidR="005672CB" w:rsidRPr="00C76853" w:rsidRDefault="005672CB" w:rsidP="00672B93">
                  <w:pPr>
                    <w:spacing w:after="0"/>
                    <w:jc w:val="both"/>
                    <w:rPr>
                      <w:rStyle w:val="A8"/>
                      <w:rFonts w:cs="Calibri"/>
                      <w:sz w:val="20"/>
                      <w:szCs w:val="20"/>
                    </w:rPr>
                  </w:pPr>
                </w:p>
              </w:tc>
            </w:tr>
            <w:tr w:rsidR="00F02348" w:rsidRPr="00C76853" w14:paraId="6D654070" w14:textId="77777777" w:rsidTr="00F73F17">
              <w:tc>
                <w:tcPr>
                  <w:tcW w:w="2228" w:type="dxa"/>
                  <w:shd w:val="clear" w:color="auto" w:fill="DEEAF6"/>
                </w:tcPr>
                <w:p w14:paraId="2552DBD5"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Number of trainings, workshops and consultations provided on PCVE to strategic groups to expand to the communities at FMS </w:t>
                  </w:r>
                </w:p>
              </w:tc>
              <w:tc>
                <w:tcPr>
                  <w:tcW w:w="2951" w:type="dxa"/>
                  <w:shd w:val="clear" w:color="auto" w:fill="DEEAF6"/>
                </w:tcPr>
                <w:p w14:paraId="76C84395"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More than 400 people identified from FMS and communities to become PCVE advocates </w:t>
                  </w:r>
                </w:p>
              </w:tc>
              <w:tc>
                <w:tcPr>
                  <w:tcW w:w="2664" w:type="dxa"/>
                  <w:shd w:val="clear" w:color="auto" w:fill="DEEAF6"/>
                </w:tcPr>
                <w:p w14:paraId="7BD596B9" w14:textId="77777777" w:rsidR="00672B93" w:rsidRPr="00C76853" w:rsidRDefault="00672B93" w:rsidP="00672B93">
                  <w:pPr>
                    <w:snapToGrid w:val="0"/>
                    <w:spacing w:after="0" w:line="240" w:lineRule="auto"/>
                    <w:jc w:val="both"/>
                    <w:rPr>
                      <w:rStyle w:val="A8"/>
                      <w:rFonts w:cs="Calibri"/>
                      <w:color w:val="auto"/>
                      <w:sz w:val="20"/>
                      <w:szCs w:val="20"/>
                    </w:rPr>
                  </w:pPr>
                  <w:r w:rsidRPr="00C76853">
                    <w:rPr>
                      <w:rStyle w:val="A8"/>
                      <w:rFonts w:cs="Calibri"/>
                      <w:color w:val="auto"/>
                      <w:sz w:val="20"/>
                      <w:szCs w:val="20"/>
                    </w:rPr>
                    <w:t>4 PCVE consultations held for 198 participants from local state authorities, civil society and community representatives in 4 FMS: Jubaland, Galmudug, South West State and Hirshabelle.</w:t>
                  </w:r>
                </w:p>
                <w:p w14:paraId="4C04311D" w14:textId="77777777" w:rsidR="00672B93" w:rsidRPr="00C76853" w:rsidRDefault="00672B93" w:rsidP="00672B93">
                  <w:pPr>
                    <w:snapToGrid w:val="0"/>
                    <w:spacing w:after="0" w:line="240" w:lineRule="auto"/>
                    <w:jc w:val="both"/>
                    <w:rPr>
                      <w:rStyle w:val="A8"/>
                      <w:rFonts w:cs="Calibri"/>
                      <w:color w:val="auto"/>
                      <w:sz w:val="20"/>
                      <w:szCs w:val="20"/>
                    </w:rPr>
                  </w:pPr>
                </w:p>
                <w:p w14:paraId="57DD13C1" w14:textId="77777777" w:rsidR="00672B93" w:rsidRPr="00C76853" w:rsidRDefault="00672B93" w:rsidP="00672B93">
                  <w:pPr>
                    <w:snapToGrid w:val="0"/>
                    <w:spacing w:after="0" w:line="240" w:lineRule="auto"/>
                    <w:jc w:val="both"/>
                    <w:rPr>
                      <w:rStyle w:val="A8"/>
                      <w:rFonts w:cs="Calibri"/>
                      <w:color w:val="auto"/>
                      <w:sz w:val="20"/>
                      <w:szCs w:val="20"/>
                    </w:rPr>
                  </w:pPr>
                  <w:r w:rsidRPr="00C76853">
                    <w:rPr>
                      <w:rStyle w:val="A8"/>
                      <w:rFonts w:cs="Calibri"/>
                      <w:color w:val="auto"/>
                      <w:sz w:val="20"/>
                      <w:szCs w:val="20"/>
                    </w:rPr>
                    <w:t>4 PCVE committee meetings for 54 participants from line ministries and civil society held in 4 FMS: Puntland, Galmudug, South West State and Hirshabelle.</w:t>
                  </w:r>
                </w:p>
              </w:tc>
              <w:tc>
                <w:tcPr>
                  <w:tcW w:w="2251" w:type="dxa"/>
                  <w:shd w:val="clear" w:color="auto" w:fill="DEEAF6"/>
                </w:tcPr>
                <w:p w14:paraId="574BB45E" w14:textId="77777777" w:rsidR="00672B93" w:rsidRPr="00C76853" w:rsidRDefault="00672B93" w:rsidP="00672B93">
                  <w:pPr>
                    <w:snapToGrid w:val="0"/>
                    <w:spacing w:after="0" w:line="240" w:lineRule="auto"/>
                    <w:jc w:val="both"/>
                    <w:rPr>
                      <w:rStyle w:val="A8"/>
                      <w:rFonts w:cs="Calibri"/>
                      <w:color w:val="auto"/>
                      <w:sz w:val="20"/>
                      <w:szCs w:val="20"/>
                    </w:rPr>
                  </w:pPr>
                  <w:bookmarkStart w:id="2" w:name="_Hlk13558248"/>
                  <w:r w:rsidRPr="00C76853">
                    <w:rPr>
                      <w:rStyle w:val="A8"/>
                      <w:rFonts w:cs="Calibri"/>
                      <w:color w:val="auto"/>
                      <w:sz w:val="20"/>
                      <w:szCs w:val="20"/>
                    </w:rPr>
                    <w:t>4 PCVE consultations held for 198 participants from local state authorities, civil society and community representatives in 4 FMS: Jubaland, Galmudug, South West State and Hirshabelle.</w:t>
                  </w:r>
                </w:p>
                <w:p w14:paraId="0E537183" w14:textId="77777777" w:rsidR="00672B93" w:rsidRPr="00C76853" w:rsidRDefault="00672B93" w:rsidP="00672B93">
                  <w:pPr>
                    <w:snapToGrid w:val="0"/>
                    <w:spacing w:after="0" w:line="240" w:lineRule="auto"/>
                    <w:jc w:val="both"/>
                    <w:rPr>
                      <w:rStyle w:val="A8"/>
                      <w:rFonts w:cs="Calibri"/>
                      <w:color w:val="auto"/>
                      <w:sz w:val="20"/>
                      <w:szCs w:val="20"/>
                    </w:rPr>
                  </w:pPr>
                </w:p>
                <w:p w14:paraId="32366FA1" w14:textId="77777777" w:rsidR="00672B93" w:rsidRPr="00C76853" w:rsidRDefault="00672B93" w:rsidP="00672B93">
                  <w:pPr>
                    <w:snapToGrid w:val="0"/>
                    <w:spacing w:after="0" w:line="240" w:lineRule="auto"/>
                    <w:jc w:val="both"/>
                    <w:rPr>
                      <w:rFonts w:cs="Calibri"/>
                      <w:sz w:val="20"/>
                      <w:szCs w:val="20"/>
                    </w:rPr>
                  </w:pPr>
                  <w:r w:rsidRPr="00C76853">
                    <w:rPr>
                      <w:rStyle w:val="A8"/>
                      <w:rFonts w:cs="Calibri"/>
                      <w:color w:val="auto"/>
                      <w:sz w:val="20"/>
                      <w:szCs w:val="20"/>
                    </w:rPr>
                    <w:t>4 PCVE committee meetings for 54 participants from line ministries and civil society held in 4 FMS: Puntland, Galmudug, South West State and Hirshabelle.</w:t>
                  </w:r>
                  <w:bookmarkEnd w:id="2"/>
                </w:p>
              </w:tc>
            </w:tr>
            <w:tr w:rsidR="00F02348" w:rsidRPr="00C76853" w14:paraId="33B0BCD4" w14:textId="77777777" w:rsidTr="00F73F17">
              <w:tc>
                <w:tcPr>
                  <w:tcW w:w="2228" w:type="dxa"/>
                  <w:shd w:val="clear" w:color="auto" w:fill="DEEAF6"/>
                </w:tcPr>
                <w:p w14:paraId="6065F76E"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Number of elders and religious leaders consulted/sensitized </w:t>
                  </w:r>
                </w:p>
              </w:tc>
              <w:tc>
                <w:tcPr>
                  <w:tcW w:w="2951" w:type="dxa"/>
                  <w:shd w:val="clear" w:color="auto" w:fill="DEEAF6"/>
                </w:tcPr>
                <w:p w14:paraId="42D222C8"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100 elders / religious leaders consulted/sensitized</w:t>
                  </w:r>
                </w:p>
              </w:tc>
              <w:tc>
                <w:tcPr>
                  <w:tcW w:w="2664" w:type="dxa"/>
                  <w:shd w:val="clear" w:color="auto" w:fill="DEEAF6"/>
                </w:tcPr>
                <w:p w14:paraId="128D3B1C" w14:textId="77777777" w:rsidR="00201938" w:rsidRPr="00C76853" w:rsidRDefault="00672B93" w:rsidP="00201938">
                  <w:pPr>
                    <w:snapToGrid w:val="0"/>
                    <w:spacing w:after="0" w:line="240" w:lineRule="auto"/>
                    <w:jc w:val="both"/>
                    <w:rPr>
                      <w:rStyle w:val="A8"/>
                      <w:rFonts w:cs="Calibri"/>
                      <w:color w:val="auto"/>
                      <w:sz w:val="20"/>
                      <w:szCs w:val="20"/>
                    </w:rPr>
                  </w:pPr>
                  <w:r w:rsidRPr="00C76853">
                    <w:rPr>
                      <w:rStyle w:val="A8"/>
                      <w:rFonts w:cs="Calibri"/>
                      <w:color w:val="auto"/>
                      <w:sz w:val="20"/>
                      <w:szCs w:val="20"/>
                    </w:rPr>
                    <w:t>International Religious leaders conference organized in Mogadishu with 404 participants.</w:t>
                  </w:r>
                </w:p>
                <w:p w14:paraId="4F215C97" w14:textId="77777777" w:rsidR="00201938" w:rsidRPr="00C76853" w:rsidRDefault="00201938" w:rsidP="00201938">
                  <w:pPr>
                    <w:snapToGrid w:val="0"/>
                    <w:spacing w:after="0" w:line="240" w:lineRule="auto"/>
                    <w:jc w:val="both"/>
                    <w:rPr>
                      <w:rFonts w:cs="Calibri"/>
                      <w:sz w:val="20"/>
                      <w:szCs w:val="20"/>
                    </w:rPr>
                  </w:pPr>
                </w:p>
                <w:p w14:paraId="4DE9E844" w14:textId="77777777" w:rsidR="00201938" w:rsidRPr="00C76853" w:rsidRDefault="00201938" w:rsidP="00201938">
                  <w:pPr>
                    <w:snapToGrid w:val="0"/>
                    <w:spacing w:after="0" w:line="240" w:lineRule="auto"/>
                    <w:jc w:val="both"/>
                    <w:rPr>
                      <w:rFonts w:cs="Calibri"/>
                      <w:sz w:val="20"/>
                      <w:szCs w:val="20"/>
                    </w:rPr>
                  </w:pPr>
                  <w:r w:rsidRPr="00C76853">
                    <w:rPr>
                      <w:rFonts w:cs="Calibri"/>
                      <w:sz w:val="20"/>
                      <w:szCs w:val="20"/>
                    </w:rPr>
                    <w:t>150 Religious Leaders engaged in the establishment of local networks of like-minded religious actors to promote Islam as a religion of tolerance and peace</w:t>
                  </w:r>
                  <w:r w:rsidR="00907FFB" w:rsidRPr="00C76853">
                    <w:rPr>
                      <w:rFonts w:cs="Calibri"/>
                      <w:sz w:val="20"/>
                      <w:szCs w:val="20"/>
                    </w:rPr>
                    <w:t xml:space="preserve"> in </w:t>
                  </w:r>
                  <w:proofErr w:type="spellStart"/>
                  <w:r w:rsidR="00907FFB" w:rsidRPr="00C76853">
                    <w:rPr>
                      <w:rFonts w:cs="Calibri"/>
                      <w:sz w:val="20"/>
                      <w:szCs w:val="20"/>
                    </w:rPr>
                    <w:t>HirShabelle</w:t>
                  </w:r>
                  <w:proofErr w:type="spellEnd"/>
                  <w:r w:rsidR="00907FFB" w:rsidRPr="00C76853">
                    <w:rPr>
                      <w:rFonts w:cs="Calibri"/>
                      <w:sz w:val="20"/>
                      <w:szCs w:val="20"/>
                    </w:rPr>
                    <w:t xml:space="preserve"> State</w:t>
                  </w:r>
                  <w:r w:rsidRPr="00C76853">
                    <w:rPr>
                      <w:rFonts w:cs="Calibri"/>
                      <w:sz w:val="20"/>
                      <w:szCs w:val="20"/>
                    </w:rPr>
                    <w:t xml:space="preserve">. </w:t>
                  </w:r>
                </w:p>
                <w:p w14:paraId="2180699F" w14:textId="77777777" w:rsidR="00201938" w:rsidRPr="00C76853" w:rsidRDefault="00201938" w:rsidP="00672B93">
                  <w:pPr>
                    <w:snapToGrid w:val="0"/>
                    <w:spacing w:after="0" w:line="240" w:lineRule="auto"/>
                    <w:jc w:val="both"/>
                    <w:rPr>
                      <w:rStyle w:val="A8"/>
                      <w:rFonts w:cs="Calibri"/>
                      <w:color w:val="auto"/>
                      <w:sz w:val="20"/>
                      <w:szCs w:val="20"/>
                    </w:rPr>
                  </w:pPr>
                </w:p>
              </w:tc>
              <w:tc>
                <w:tcPr>
                  <w:tcW w:w="2251" w:type="dxa"/>
                  <w:shd w:val="clear" w:color="auto" w:fill="DEEAF6"/>
                </w:tcPr>
                <w:p w14:paraId="5660C856" w14:textId="77777777" w:rsidR="00672B93" w:rsidRPr="00C76853" w:rsidRDefault="00672B93" w:rsidP="00672B93">
                  <w:pPr>
                    <w:snapToGrid w:val="0"/>
                    <w:spacing w:after="0" w:line="240" w:lineRule="auto"/>
                    <w:jc w:val="both"/>
                    <w:rPr>
                      <w:rStyle w:val="A8"/>
                      <w:rFonts w:cs="Calibri"/>
                      <w:color w:val="000000"/>
                      <w:sz w:val="20"/>
                      <w:szCs w:val="20"/>
                    </w:rPr>
                  </w:pPr>
                  <w:bookmarkStart w:id="3" w:name="_Hlk13558321"/>
                  <w:r w:rsidRPr="00C76853">
                    <w:rPr>
                      <w:rStyle w:val="A8"/>
                      <w:rFonts w:cs="Calibri"/>
                      <w:color w:val="000000"/>
                      <w:sz w:val="20"/>
                      <w:szCs w:val="20"/>
                    </w:rPr>
                    <w:t xml:space="preserve">International Religious leaders conference organized in Mogadishu with 404 participants. </w:t>
                  </w:r>
                  <w:bookmarkEnd w:id="3"/>
                </w:p>
                <w:p w14:paraId="59F26155" w14:textId="77777777" w:rsidR="00201938" w:rsidRPr="00C76853" w:rsidRDefault="00201938" w:rsidP="00201938">
                  <w:pPr>
                    <w:spacing w:before="120" w:after="0"/>
                    <w:jc w:val="both"/>
                    <w:rPr>
                      <w:rFonts w:cs="Calibri"/>
                      <w:sz w:val="20"/>
                      <w:szCs w:val="20"/>
                    </w:rPr>
                  </w:pPr>
                  <w:r w:rsidRPr="00C76853">
                    <w:rPr>
                      <w:rFonts w:cs="Calibri"/>
                      <w:sz w:val="20"/>
                      <w:szCs w:val="20"/>
                    </w:rPr>
                    <w:t>150 Religious Leaders engaged in the establishment of local networks of like-minded religious actors to promote Islam as a religion of tolerance and peace</w:t>
                  </w:r>
                  <w:r w:rsidR="00907FFB" w:rsidRPr="00C76853">
                    <w:rPr>
                      <w:rFonts w:cs="Calibri"/>
                      <w:sz w:val="20"/>
                      <w:szCs w:val="20"/>
                    </w:rPr>
                    <w:t xml:space="preserve"> in </w:t>
                  </w:r>
                  <w:proofErr w:type="spellStart"/>
                  <w:r w:rsidR="00907FFB" w:rsidRPr="00C76853">
                    <w:rPr>
                      <w:rFonts w:cs="Calibri"/>
                      <w:sz w:val="20"/>
                      <w:szCs w:val="20"/>
                    </w:rPr>
                    <w:t>HirShabelle</w:t>
                  </w:r>
                  <w:proofErr w:type="spellEnd"/>
                  <w:r w:rsidR="00907FFB" w:rsidRPr="00C76853">
                    <w:rPr>
                      <w:rFonts w:cs="Calibri"/>
                      <w:sz w:val="20"/>
                      <w:szCs w:val="20"/>
                    </w:rPr>
                    <w:t xml:space="preserve"> state</w:t>
                  </w:r>
                  <w:r w:rsidRPr="00C76853">
                    <w:rPr>
                      <w:rFonts w:cs="Calibri"/>
                      <w:sz w:val="20"/>
                      <w:szCs w:val="20"/>
                    </w:rPr>
                    <w:t xml:space="preserve">. </w:t>
                  </w:r>
                </w:p>
                <w:p w14:paraId="428CEEC4" w14:textId="77777777" w:rsidR="00201938" w:rsidRPr="00C76853" w:rsidRDefault="00201938" w:rsidP="00672B93">
                  <w:pPr>
                    <w:snapToGrid w:val="0"/>
                    <w:spacing w:after="0" w:line="240" w:lineRule="auto"/>
                    <w:jc w:val="both"/>
                    <w:rPr>
                      <w:rFonts w:cs="Calibri"/>
                      <w:sz w:val="20"/>
                      <w:szCs w:val="20"/>
                    </w:rPr>
                  </w:pPr>
                </w:p>
              </w:tc>
            </w:tr>
            <w:tr w:rsidR="00F02348" w:rsidRPr="00C76853" w14:paraId="71EE2CBD" w14:textId="77777777" w:rsidTr="00F73F17">
              <w:tc>
                <w:tcPr>
                  <w:tcW w:w="2228" w:type="dxa"/>
                  <w:shd w:val="clear" w:color="auto" w:fill="DEEAF6"/>
                </w:tcPr>
                <w:p w14:paraId="1E48F2E0"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Number of PCVE </w:t>
                  </w:r>
                  <w:r w:rsidRPr="00C76853">
                    <w:rPr>
                      <w:rStyle w:val="A8"/>
                      <w:rFonts w:cs="Calibri"/>
                      <w:color w:val="auto"/>
                      <w:sz w:val="20"/>
                      <w:szCs w:val="20"/>
                    </w:rPr>
                    <w:lastRenderedPageBreak/>
                    <w:t xml:space="preserve">dialogue platforms established in FMS </w:t>
                  </w:r>
                </w:p>
              </w:tc>
              <w:tc>
                <w:tcPr>
                  <w:tcW w:w="2951" w:type="dxa"/>
                  <w:shd w:val="clear" w:color="auto" w:fill="DEEAF6"/>
                </w:tcPr>
                <w:p w14:paraId="6F9A3764"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lastRenderedPageBreak/>
                    <w:t xml:space="preserve">6 workshops undertaken on </w:t>
                  </w:r>
                  <w:r w:rsidRPr="00C76853">
                    <w:rPr>
                      <w:rStyle w:val="A8"/>
                      <w:rFonts w:cs="Calibri"/>
                      <w:color w:val="auto"/>
                      <w:sz w:val="20"/>
                      <w:szCs w:val="20"/>
                    </w:rPr>
                    <w:lastRenderedPageBreak/>
                    <w:t xml:space="preserve">PCVE in FMS </w:t>
                  </w:r>
                </w:p>
              </w:tc>
              <w:tc>
                <w:tcPr>
                  <w:tcW w:w="2664" w:type="dxa"/>
                  <w:shd w:val="clear" w:color="auto" w:fill="DEEAF6"/>
                </w:tcPr>
                <w:p w14:paraId="0A4BE421" w14:textId="77777777" w:rsidR="00D675F1" w:rsidRPr="00C76853" w:rsidRDefault="00672B93" w:rsidP="00D675F1">
                  <w:pPr>
                    <w:snapToGrid w:val="0"/>
                    <w:spacing w:after="0" w:line="240" w:lineRule="auto"/>
                    <w:jc w:val="both"/>
                    <w:rPr>
                      <w:rFonts w:cs="Calibri"/>
                      <w:sz w:val="20"/>
                      <w:szCs w:val="20"/>
                    </w:rPr>
                  </w:pPr>
                  <w:r w:rsidRPr="00C76853">
                    <w:rPr>
                      <w:rFonts w:cs="Calibri"/>
                      <w:sz w:val="20"/>
                      <w:szCs w:val="20"/>
                    </w:rPr>
                    <w:lastRenderedPageBreak/>
                    <w:t xml:space="preserve">PCVE Committee &amp; Platform </w:t>
                  </w:r>
                  <w:proofErr w:type="spellStart"/>
                  <w:r w:rsidRPr="00C76853">
                    <w:rPr>
                      <w:rFonts w:cs="Calibri"/>
                      <w:sz w:val="20"/>
                      <w:szCs w:val="20"/>
                    </w:rPr>
                    <w:lastRenderedPageBreak/>
                    <w:t>ToRs</w:t>
                  </w:r>
                  <w:proofErr w:type="spellEnd"/>
                  <w:r w:rsidRPr="00C76853">
                    <w:rPr>
                      <w:rFonts w:cs="Calibri"/>
                      <w:sz w:val="20"/>
                      <w:szCs w:val="20"/>
                    </w:rPr>
                    <w:t xml:space="preserve"> developed and adopted; community engagement guidelines developed; </w:t>
                  </w:r>
                  <w:r w:rsidR="00D675F1" w:rsidRPr="00C76853">
                    <w:rPr>
                      <w:rFonts w:cs="Calibri"/>
                      <w:sz w:val="20"/>
                      <w:szCs w:val="20"/>
                    </w:rPr>
                    <w:t>1</w:t>
                  </w:r>
                  <w:r w:rsidR="001B65C4" w:rsidRPr="00C76853">
                    <w:rPr>
                      <w:rFonts w:cs="Calibri"/>
                      <w:sz w:val="20"/>
                      <w:szCs w:val="20"/>
                    </w:rPr>
                    <w:t>3</w:t>
                  </w:r>
                  <w:r w:rsidRPr="00C76853">
                    <w:rPr>
                      <w:rFonts w:cs="Calibri"/>
                      <w:sz w:val="20"/>
                      <w:szCs w:val="20"/>
                    </w:rPr>
                    <w:t xml:space="preserve"> PCVE Platform meetings held in</w:t>
                  </w:r>
                  <w:r w:rsidR="001B65C4" w:rsidRPr="00C76853">
                    <w:rPr>
                      <w:rFonts w:cs="Calibri"/>
                      <w:sz w:val="20"/>
                      <w:szCs w:val="20"/>
                    </w:rPr>
                    <w:t xml:space="preserve"> 11 hot spot locations:</w:t>
                  </w:r>
                  <w:r w:rsidRPr="00C76853">
                    <w:rPr>
                      <w:rFonts w:cs="Calibri"/>
                      <w:sz w:val="20"/>
                      <w:szCs w:val="20"/>
                    </w:rPr>
                    <w:t xml:space="preserve"> </w:t>
                  </w:r>
                  <w:proofErr w:type="spellStart"/>
                  <w:r w:rsidRPr="00C76853">
                    <w:rPr>
                      <w:rFonts w:cs="Calibri"/>
                      <w:sz w:val="20"/>
                      <w:szCs w:val="20"/>
                    </w:rPr>
                    <w:t>Jowhar</w:t>
                  </w:r>
                  <w:proofErr w:type="spellEnd"/>
                  <w:r w:rsidRPr="00C76853">
                    <w:rPr>
                      <w:rFonts w:cs="Calibri"/>
                      <w:sz w:val="20"/>
                      <w:szCs w:val="20"/>
                    </w:rPr>
                    <w:t xml:space="preserve">, </w:t>
                  </w:r>
                  <w:proofErr w:type="spellStart"/>
                  <w:r w:rsidRPr="00C76853">
                    <w:rPr>
                      <w:rFonts w:cs="Calibri"/>
                      <w:sz w:val="20"/>
                      <w:szCs w:val="20"/>
                    </w:rPr>
                    <w:t>Balc'ad</w:t>
                  </w:r>
                  <w:proofErr w:type="spellEnd"/>
                  <w:r w:rsidRPr="00C76853">
                    <w:rPr>
                      <w:rFonts w:cs="Calibri"/>
                      <w:sz w:val="20"/>
                      <w:szCs w:val="20"/>
                    </w:rPr>
                    <w:t>, Baidoa,</w:t>
                  </w:r>
                  <w:r w:rsidR="00D675F1" w:rsidRPr="00C76853">
                    <w:rPr>
                      <w:rFonts w:cs="Calibri"/>
                      <w:sz w:val="20"/>
                      <w:szCs w:val="20"/>
                    </w:rPr>
                    <w:t xml:space="preserve"> </w:t>
                  </w:r>
                  <w:proofErr w:type="spellStart"/>
                  <w:r w:rsidR="00D675F1" w:rsidRPr="00C76853">
                    <w:rPr>
                      <w:rFonts w:cs="Calibri"/>
                      <w:sz w:val="20"/>
                      <w:szCs w:val="20"/>
                    </w:rPr>
                    <w:t>Hudur</w:t>
                  </w:r>
                  <w:proofErr w:type="spellEnd"/>
                  <w:r w:rsidR="00D675F1" w:rsidRPr="00C76853">
                    <w:rPr>
                      <w:rFonts w:cs="Calibri"/>
                      <w:sz w:val="20"/>
                      <w:szCs w:val="20"/>
                    </w:rPr>
                    <w:t>,</w:t>
                  </w:r>
                  <w:r w:rsidRPr="00C76853">
                    <w:rPr>
                      <w:rFonts w:cs="Calibri"/>
                      <w:sz w:val="20"/>
                      <w:szCs w:val="20"/>
                    </w:rPr>
                    <w:t xml:space="preserve"> </w:t>
                  </w:r>
                  <w:proofErr w:type="spellStart"/>
                  <w:r w:rsidRPr="00C76853">
                    <w:rPr>
                      <w:rFonts w:cs="Calibri"/>
                      <w:sz w:val="20"/>
                      <w:szCs w:val="20"/>
                    </w:rPr>
                    <w:t>Dhusamareb</w:t>
                  </w:r>
                  <w:proofErr w:type="spellEnd"/>
                  <w:r w:rsidRPr="00C76853">
                    <w:rPr>
                      <w:rFonts w:cs="Calibri"/>
                      <w:sz w:val="20"/>
                      <w:szCs w:val="20"/>
                    </w:rPr>
                    <w:t>,</w:t>
                  </w:r>
                  <w:r w:rsidR="00D675F1" w:rsidRPr="00C76853">
                    <w:rPr>
                      <w:rFonts w:cs="Calibri"/>
                      <w:sz w:val="20"/>
                      <w:szCs w:val="20"/>
                    </w:rPr>
                    <w:t xml:space="preserve"> </w:t>
                  </w:r>
                  <w:proofErr w:type="spellStart"/>
                  <w:r w:rsidR="00D675F1" w:rsidRPr="00C76853">
                    <w:rPr>
                      <w:rFonts w:cs="Calibri"/>
                      <w:sz w:val="20"/>
                      <w:szCs w:val="20"/>
                    </w:rPr>
                    <w:t>Cadaado</w:t>
                  </w:r>
                  <w:proofErr w:type="spellEnd"/>
                  <w:r w:rsidR="00D675F1" w:rsidRPr="00C76853">
                    <w:rPr>
                      <w:rFonts w:cs="Calibri"/>
                      <w:sz w:val="20"/>
                      <w:szCs w:val="20"/>
                    </w:rPr>
                    <w:t xml:space="preserve">, </w:t>
                  </w:r>
                  <w:proofErr w:type="spellStart"/>
                  <w:r w:rsidR="00D675F1" w:rsidRPr="00C76853">
                    <w:rPr>
                      <w:rFonts w:cs="Calibri"/>
                      <w:sz w:val="20"/>
                      <w:szCs w:val="20"/>
                    </w:rPr>
                    <w:t>Guriel</w:t>
                  </w:r>
                  <w:proofErr w:type="spellEnd"/>
                  <w:r w:rsidR="00D675F1" w:rsidRPr="00C76853">
                    <w:rPr>
                      <w:rFonts w:cs="Calibri"/>
                      <w:sz w:val="20"/>
                      <w:szCs w:val="20"/>
                    </w:rPr>
                    <w:t>,</w:t>
                  </w:r>
                  <w:r w:rsidRPr="00C76853">
                    <w:rPr>
                      <w:rFonts w:cs="Calibri"/>
                      <w:sz w:val="20"/>
                      <w:szCs w:val="20"/>
                    </w:rPr>
                    <w:t xml:space="preserve"> </w:t>
                  </w:r>
                  <w:proofErr w:type="spellStart"/>
                  <w:r w:rsidR="00D675F1" w:rsidRPr="00C76853">
                    <w:rPr>
                      <w:rFonts w:cs="Calibri"/>
                      <w:sz w:val="20"/>
                      <w:szCs w:val="20"/>
                    </w:rPr>
                    <w:t>Ceel</w:t>
                  </w:r>
                  <w:proofErr w:type="spellEnd"/>
                  <w:r w:rsidR="00D675F1" w:rsidRPr="00C76853">
                    <w:rPr>
                      <w:rFonts w:cs="Calibri"/>
                      <w:sz w:val="20"/>
                      <w:szCs w:val="20"/>
                    </w:rPr>
                    <w:t xml:space="preserve"> </w:t>
                  </w:r>
                  <w:proofErr w:type="spellStart"/>
                  <w:r w:rsidR="00D675F1" w:rsidRPr="00C76853">
                    <w:rPr>
                      <w:rFonts w:cs="Calibri"/>
                      <w:sz w:val="20"/>
                      <w:szCs w:val="20"/>
                    </w:rPr>
                    <w:t>Daahir</w:t>
                  </w:r>
                  <w:proofErr w:type="spellEnd"/>
                  <w:r w:rsidR="00D675F1" w:rsidRPr="00C76853">
                    <w:rPr>
                      <w:rFonts w:cs="Calibri"/>
                      <w:sz w:val="20"/>
                      <w:szCs w:val="20"/>
                    </w:rPr>
                    <w:t xml:space="preserve">, </w:t>
                  </w:r>
                  <w:proofErr w:type="spellStart"/>
                  <w:r w:rsidR="00D675F1" w:rsidRPr="00C76853">
                    <w:rPr>
                      <w:rFonts w:cs="Calibri"/>
                      <w:sz w:val="20"/>
                      <w:szCs w:val="20"/>
                    </w:rPr>
                    <w:t>Tasjiic</w:t>
                  </w:r>
                  <w:proofErr w:type="spellEnd"/>
                  <w:r w:rsidR="00D675F1" w:rsidRPr="00C76853">
                    <w:rPr>
                      <w:rFonts w:cs="Calibri"/>
                      <w:sz w:val="20"/>
                      <w:szCs w:val="20"/>
                    </w:rPr>
                    <w:t xml:space="preserve">, </w:t>
                  </w:r>
                  <w:proofErr w:type="spellStart"/>
                  <w:r w:rsidR="00D675F1" w:rsidRPr="00C76853">
                    <w:rPr>
                      <w:rFonts w:cs="Calibri"/>
                      <w:sz w:val="20"/>
                      <w:szCs w:val="20"/>
                    </w:rPr>
                    <w:t>Mogadisu</w:t>
                  </w:r>
                  <w:proofErr w:type="spellEnd"/>
                  <w:r w:rsidR="00D675F1" w:rsidRPr="00C76853">
                    <w:rPr>
                      <w:rFonts w:cs="Calibri"/>
                      <w:sz w:val="20"/>
                      <w:szCs w:val="20"/>
                    </w:rPr>
                    <w:t xml:space="preserve">, </w:t>
                  </w:r>
                  <w:proofErr w:type="spellStart"/>
                  <w:r w:rsidR="00D675F1" w:rsidRPr="00C76853">
                    <w:rPr>
                      <w:rFonts w:cs="Calibri"/>
                      <w:sz w:val="20"/>
                      <w:szCs w:val="20"/>
                    </w:rPr>
                    <w:t>Daynile</w:t>
                  </w:r>
                  <w:proofErr w:type="spellEnd"/>
                  <w:r w:rsidR="00D675F1" w:rsidRPr="00C76853">
                    <w:rPr>
                      <w:rFonts w:cs="Calibri"/>
                      <w:sz w:val="20"/>
                      <w:szCs w:val="20"/>
                    </w:rPr>
                    <w:t xml:space="preserve"> District. 39 community grievances as root causes for violent extremism and taking steps to address them. </w:t>
                  </w:r>
                </w:p>
                <w:p w14:paraId="1C7B6F93" w14:textId="77777777" w:rsidR="00D675F1" w:rsidRPr="00C76853" w:rsidRDefault="00D675F1" w:rsidP="00672B93">
                  <w:pPr>
                    <w:snapToGrid w:val="0"/>
                    <w:spacing w:after="0" w:line="240" w:lineRule="auto"/>
                    <w:jc w:val="both"/>
                    <w:rPr>
                      <w:rFonts w:cs="Calibri"/>
                      <w:sz w:val="20"/>
                      <w:szCs w:val="20"/>
                    </w:rPr>
                  </w:pPr>
                </w:p>
              </w:tc>
              <w:tc>
                <w:tcPr>
                  <w:tcW w:w="2251" w:type="dxa"/>
                  <w:shd w:val="clear" w:color="auto" w:fill="DEEAF6"/>
                </w:tcPr>
                <w:p w14:paraId="46742CF9" w14:textId="77777777" w:rsidR="00672B93" w:rsidRPr="00C76853" w:rsidRDefault="00672B93" w:rsidP="00672B93">
                  <w:pPr>
                    <w:snapToGrid w:val="0"/>
                    <w:spacing w:after="0" w:line="240" w:lineRule="auto"/>
                    <w:jc w:val="both"/>
                    <w:rPr>
                      <w:rFonts w:cs="Calibri"/>
                      <w:sz w:val="20"/>
                      <w:szCs w:val="20"/>
                    </w:rPr>
                  </w:pPr>
                  <w:r w:rsidRPr="00C76853">
                    <w:rPr>
                      <w:rFonts w:cs="Calibri"/>
                      <w:color w:val="000000"/>
                      <w:sz w:val="20"/>
                      <w:szCs w:val="20"/>
                    </w:rPr>
                    <w:lastRenderedPageBreak/>
                    <w:t xml:space="preserve">PCVE Committee &amp; </w:t>
                  </w:r>
                  <w:r w:rsidRPr="00C76853">
                    <w:rPr>
                      <w:rFonts w:cs="Calibri"/>
                      <w:color w:val="000000"/>
                      <w:sz w:val="20"/>
                      <w:szCs w:val="20"/>
                    </w:rPr>
                    <w:lastRenderedPageBreak/>
                    <w:t xml:space="preserve">Platform </w:t>
                  </w:r>
                  <w:proofErr w:type="spellStart"/>
                  <w:r w:rsidRPr="00C76853">
                    <w:rPr>
                      <w:rFonts w:cs="Calibri"/>
                      <w:color w:val="000000"/>
                      <w:sz w:val="20"/>
                      <w:szCs w:val="20"/>
                    </w:rPr>
                    <w:t>ToRs</w:t>
                  </w:r>
                  <w:proofErr w:type="spellEnd"/>
                  <w:r w:rsidRPr="00C76853">
                    <w:rPr>
                      <w:rFonts w:cs="Calibri"/>
                      <w:color w:val="000000"/>
                      <w:sz w:val="20"/>
                      <w:szCs w:val="20"/>
                    </w:rPr>
                    <w:t xml:space="preserve"> developed and adopted; community engagement guidelines developed; </w:t>
                  </w:r>
                  <w:r w:rsidR="00D675F1" w:rsidRPr="00C76853">
                    <w:rPr>
                      <w:rFonts w:cs="Calibri"/>
                      <w:color w:val="000000"/>
                      <w:sz w:val="20"/>
                      <w:szCs w:val="20"/>
                    </w:rPr>
                    <w:t xml:space="preserve">13 PCVE Platform meetings </w:t>
                  </w:r>
                  <w:r w:rsidR="001B65C4" w:rsidRPr="00C76853">
                    <w:rPr>
                      <w:rFonts w:cs="Calibri"/>
                      <w:color w:val="000000"/>
                      <w:sz w:val="20"/>
                      <w:szCs w:val="20"/>
                    </w:rPr>
                    <w:t xml:space="preserve">were </w:t>
                  </w:r>
                  <w:r w:rsidR="00D675F1" w:rsidRPr="00C76853">
                    <w:rPr>
                      <w:rFonts w:cs="Calibri"/>
                      <w:color w:val="000000"/>
                      <w:sz w:val="20"/>
                      <w:szCs w:val="20"/>
                    </w:rPr>
                    <w:t>held in</w:t>
                  </w:r>
                  <w:r w:rsidR="001B65C4" w:rsidRPr="00C76853">
                    <w:rPr>
                      <w:rFonts w:cs="Calibri"/>
                      <w:color w:val="000000"/>
                      <w:sz w:val="20"/>
                      <w:szCs w:val="20"/>
                    </w:rPr>
                    <w:t xml:space="preserve"> 11 hot spot locations:</w:t>
                  </w:r>
                  <w:r w:rsidR="00D675F1" w:rsidRPr="00C76853">
                    <w:rPr>
                      <w:rFonts w:cs="Calibri"/>
                      <w:color w:val="000000"/>
                      <w:sz w:val="20"/>
                      <w:szCs w:val="20"/>
                    </w:rPr>
                    <w:t xml:space="preserve"> </w:t>
                  </w:r>
                  <w:proofErr w:type="spellStart"/>
                  <w:r w:rsidR="00D675F1" w:rsidRPr="00C76853">
                    <w:rPr>
                      <w:rFonts w:cs="Calibri"/>
                      <w:color w:val="000000"/>
                      <w:sz w:val="20"/>
                      <w:szCs w:val="20"/>
                    </w:rPr>
                    <w:t>Jowhar</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Balc'ad</w:t>
                  </w:r>
                  <w:proofErr w:type="spellEnd"/>
                  <w:r w:rsidR="00D675F1" w:rsidRPr="00C76853">
                    <w:rPr>
                      <w:rFonts w:cs="Calibri"/>
                      <w:color w:val="000000"/>
                      <w:sz w:val="20"/>
                      <w:szCs w:val="20"/>
                    </w:rPr>
                    <w:t xml:space="preserve">, Baidoa, </w:t>
                  </w:r>
                  <w:proofErr w:type="spellStart"/>
                  <w:r w:rsidR="00D675F1" w:rsidRPr="00C76853">
                    <w:rPr>
                      <w:rFonts w:cs="Calibri"/>
                      <w:color w:val="000000"/>
                      <w:sz w:val="20"/>
                      <w:szCs w:val="20"/>
                    </w:rPr>
                    <w:t>Hudur</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Dhusamareb</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Cadaado</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Guriel</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Ceel</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Daahir</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Tasjiic</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Mogadisu</w:t>
                  </w:r>
                  <w:proofErr w:type="spellEnd"/>
                  <w:r w:rsidR="00D675F1" w:rsidRPr="00C76853">
                    <w:rPr>
                      <w:rFonts w:cs="Calibri"/>
                      <w:color w:val="000000"/>
                      <w:sz w:val="20"/>
                      <w:szCs w:val="20"/>
                    </w:rPr>
                    <w:t xml:space="preserve">, </w:t>
                  </w:r>
                  <w:proofErr w:type="spellStart"/>
                  <w:r w:rsidR="00D675F1" w:rsidRPr="00C76853">
                    <w:rPr>
                      <w:rFonts w:cs="Calibri"/>
                      <w:color w:val="000000"/>
                      <w:sz w:val="20"/>
                      <w:szCs w:val="20"/>
                    </w:rPr>
                    <w:t>Daynile</w:t>
                  </w:r>
                  <w:proofErr w:type="spellEnd"/>
                  <w:r w:rsidR="00D675F1" w:rsidRPr="00C76853">
                    <w:rPr>
                      <w:rFonts w:cs="Calibri"/>
                      <w:color w:val="000000"/>
                      <w:sz w:val="20"/>
                      <w:szCs w:val="20"/>
                    </w:rPr>
                    <w:t xml:space="preserve"> District. </w:t>
                  </w:r>
                  <w:r w:rsidR="00D675F1" w:rsidRPr="00C76853">
                    <w:rPr>
                      <w:rFonts w:cs="Calibri"/>
                      <w:sz w:val="20"/>
                      <w:szCs w:val="20"/>
                    </w:rPr>
                    <w:t xml:space="preserve">39 community grievances as root causes for violent extremism and taking steps to address </w:t>
                  </w:r>
                  <w:proofErr w:type="spellStart"/>
                  <w:r w:rsidR="00D675F1" w:rsidRPr="00C76853">
                    <w:rPr>
                      <w:rFonts w:cs="Calibri"/>
                      <w:sz w:val="20"/>
                      <w:szCs w:val="20"/>
                    </w:rPr>
                    <w:t>them.</w:t>
                  </w:r>
                  <w:r w:rsidR="00731C73" w:rsidRPr="00C76853">
                    <w:rPr>
                      <w:rFonts w:cs="Calibri"/>
                      <w:sz w:val="20"/>
                      <w:szCs w:val="20"/>
                    </w:rPr>
                    <w:t>s</w:t>
                  </w:r>
                  <w:proofErr w:type="spellEnd"/>
                </w:p>
              </w:tc>
            </w:tr>
            <w:tr w:rsidR="007559BB" w:rsidRPr="00C76853" w14:paraId="60F7B351" w14:textId="77777777" w:rsidTr="00F73F17">
              <w:tc>
                <w:tcPr>
                  <w:tcW w:w="2228" w:type="dxa"/>
                  <w:shd w:val="clear" w:color="auto" w:fill="DEEAF6"/>
                </w:tcPr>
                <w:p w14:paraId="59373828"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lastRenderedPageBreak/>
                    <w:t xml:space="preserve">Research work undertaken on PCVE in Somalia </w:t>
                  </w:r>
                </w:p>
              </w:tc>
              <w:tc>
                <w:tcPr>
                  <w:tcW w:w="2951" w:type="dxa"/>
                  <w:shd w:val="clear" w:color="auto" w:fill="DEEAF6"/>
                </w:tcPr>
                <w:p w14:paraId="36724D25"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2 research studies completed </w:t>
                  </w:r>
                </w:p>
              </w:tc>
              <w:tc>
                <w:tcPr>
                  <w:tcW w:w="2664" w:type="dxa"/>
                  <w:shd w:val="clear" w:color="auto" w:fill="DEEAF6"/>
                </w:tcPr>
                <w:p w14:paraId="5A064C85" w14:textId="77777777" w:rsidR="00672B93" w:rsidRPr="00C76853" w:rsidRDefault="00672B93" w:rsidP="00672B93">
                  <w:pPr>
                    <w:snapToGrid w:val="0"/>
                    <w:spacing w:after="0" w:line="240" w:lineRule="auto"/>
                    <w:jc w:val="both"/>
                    <w:rPr>
                      <w:rStyle w:val="A8"/>
                      <w:rFonts w:cs="Calibri"/>
                      <w:color w:val="000000"/>
                      <w:sz w:val="20"/>
                      <w:szCs w:val="20"/>
                    </w:rPr>
                  </w:pPr>
                  <w:r w:rsidRPr="00C76853">
                    <w:rPr>
                      <w:rStyle w:val="A8"/>
                      <w:rFonts w:cs="Calibri"/>
                      <w:color w:val="000000"/>
                      <w:sz w:val="20"/>
                      <w:szCs w:val="20"/>
                    </w:rPr>
                    <w:t>M&amp;E tools for measuring PCVE programming impact on degree of violent extremist actions, attitudes and social networks developed. Research</w:t>
                  </w:r>
                  <w:r w:rsidR="00731C73" w:rsidRPr="00C76853">
                    <w:rPr>
                      <w:rStyle w:val="A8"/>
                      <w:rFonts w:cs="Calibri"/>
                      <w:color w:val="000000"/>
                      <w:sz w:val="20"/>
                      <w:szCs w:val="20"/>
                    </w:rPr>
                    <w:t xml:space="preserve"> </w:t>
                  </w:r>
                  <w:r w:rsidRPr="00C76853">
                    <w:rPr>
                      <w:rStyle w:val="A8"/>
                      <w:rFonts w:cs="Calibri"/>
                      <w:color w:val="000000"/>
                      <w:sz w:val="20"/>
                      <w:szCs w:val="20"/>
                    </w:rPr>
                    <w:t>projects commenced</w:t>
                  </w:r>
                  <w:r w:rsidR="00731C73" w:rsidRPr="00C76853">
                    <w:rPr>
                      <w:rStyle w:val="A8"/>
                      <w:rFonts w:cs="Calibri"/>
                      <w:color w:val="000000"/>
                      <w:sz w:val="20"/>
                      <w:szCs w:val="20"/>
                    </w:rPr>
                    <w:t>.</w:t>
                  </w:r>
                </w:p>
              </w:tc>
              <w:tc>
                <w:tcPr>
                  <w:tcW w:w="2251" w:type="dxa"/>
                  <w:shd w:val="clear" w:color="auto" w:fill="DEEAF6"/>
                </w:tcPr>
                <w:p w14:paraId="3EB2807B" w14:textId="77777777" w:rsidR="00672B93" w:rsidRPr="00C76853" w:rsidRDefault="00672B93" w:rsidP="00672B93">
                  <w:pPr>
                    <w:snapToGrid w:val="0"/>
                    <w:spacing w:after="0" w:line="240" w:lineRule="auto"/>
                    <w:jc w:val="both"/>
                    <w:rPr>
                      <w:rFonts w:cs="Calibri"/>
                      <w:sz w:val="20"/>
                      <w:szCs w:val="20"/>
                    </w:rPr>
                  </w:pPr>
                  <w:r w:rsidRPr="00C76853">
                    <w:rPr>
                      <w:rStyle w:val="A8"/>
                      <w:rFonts w:cs="Calibri"/>
                      <w:color w:val="000000"/>
                      <w:sz w:val="20"/>
                      <w:szCs w:val="20"/>
                    </w:rPr>
                    <w:t xml:space="preserve">M&amp;E tools for measuring PCVE programming impact on degree of violent extremist actions, attitudes and social networks developed. Research projects </w:t>
                  </w:r>
                  <w:proofErr w:type="spellStart"/>
                  <w:r w:rsidRPr="00C76853">
                    <w:rPr>
                      <w:rStyle w:val="A8"/>
                      <w:rFonts w:cs="Calibri"/>
                      <w:color w:val="000000"/>
                      <w:sz w:val="20"/>
                      <w:szCs w:val="20"/>
                    </w:rPr>
                    <w:t>commenced</w:t>
                  </w:r>
                  <w:r w:rsidR="00731C73" w:rsidRPr="00C76853">
                    <w:rPr>
                      <w:rStyle w:val="A8"/>
                      <w:rFonts w:cs="Calibri"/>
                      <w:color w:val="000000"/>
                      <w:sz w:val="20"/>
                      <w:szCs w:val="20"/>
                    </w:rPr>
                    <w:t>.s</w:t>
                  </w:r>
                  <w:proofErr w:type="spellEnd"/>
                </w:p>
              </w:tc>
            </w:tr>
            <w:tr w:rsidR="007559BB" w:rsidRPr="00C76853" w14:paraId="620B0A89" w14:textId="77777777" w:rsidTr="00F73F17">
              <w:tc>
                <w:tcPr>
                  <w:tcW w:w="2228" w:type="dxa"/>
                  <w:shd w:val="clear" w:color="auto" w:fill="DEEAF6"/>
                </w:tcPr>
                <w:p w14:paraId="19A712F4"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Number of communications products/strategies produced and disseminated </w:t>
                  </w:r>
                </w:p>
              </w:tc>
              <w:tc>
                <w:tcPr>
                  <w:tcW w:w="2951" w:type="dxa"/>
                  <w:shd w:val="clear" w:color="auto" w:fill="DEEAF6"/>
                </w:tcPr>
                <w:p w14:paraId="398EDD07" w14:textId="77777777" w:rsidR="00672B93" w:rsidRPr="00C76853" w:rsidRDefault="00672B93" w:rsidP="00672B93">
                  <w:pPr>
                    <w:spacing w:after="0" w:line="240" w:lineRule="auto"/>
                    <w:rPr>
                      <w:rStyle w:val="A8"/>
                      <w:rFonts w:cs="Calibri"/>
                      <w:color w:val="auto"/>
                      <w:sz w:val="20"/>
                      <w:szCs w:val="20"/>
                    </w:rPr>
                  </w:pPr>
                  <w:r w:rsidRPr="00C76853">
                    <w:rPr>
                      <w:rStyle w:val="A8"/>
                      <w:rFonts w:cs="Calibri"/>
                      <w:color w:val="auto"/>
                      <w:sz w:val="20"/>
                      <w:szCs w:val="20"/>
                    </w:rPr>
                    <w:t xml:space="preserve">1communications/advocacy strategy produced </w:t>
                  </w:r>
                </w:p>
              </w:tc>
              <w:tc>
                <w:tcPr>
                  <w:tcW w:w="2664" w:type="dxa"/>
                  <w:shd w:val="clear" w:color="auto" w:fill="DEEAF6"/>
                </w:tcPr>
                <w:p w14:paraId="38C22CD6" w14:textId="77777777" w:rsidR="00672B93" w:rsidRPr="00C76853" w:rsidRDefault="00672B93" w:rsidP="00672B93">
                  <w:pPr>
                    <w:snapToGrid w:val="0"/>
                    <w:spacing w:after="0" w:line="240" w:lineRule="auto"/>
                    <w:jc w:val="both"/>
                    <w:rPr>
                      <w:rStyle w:val="A8"/>
                      <w:rFonts w:cs="Calibri"/>
                      <w:color w:val="000000"/>
                      <w:sz w:val="20"/>
                      <w:szCs w:val="20"/>
                    </w:rPr>
                  </w:pPr>
                  <w:r w:rsidRPr="00C76853">
                    <w:rPr>
                      <w:rStyle w:val="A8"/>
                      <w:rFonts w:cs="Calibri"/>
                      <w:color w:val="000000"/>
                      <w:sz w:val="20"/>
                      <w:szCs w:val="20"/>
                    </w:rPr>
                    <w:t>1 Communications Strategy developed by the OPM PCVE Coordination Unit</w:t>
                  </w:r>
                  <w:r w:rsidR="00872E20" w:rsidRPr="00C76853">
                    <w:rPr>
                      <w:rStyle w:val="A8"/>
                      <w:rFonts w:cs="Calibri"/>
                      <w:color w:val="000000"/>
                      <w:sz w:val="20"/>
                      <w:szCs w:val="20"/>
                    </w:rPr>
                    <w:t xml:space="preserve"> in consultation with FMS and key line ministries</w:t>
                  </w:r>
                  <w:r w:rsidRPr="00C76853">
                    <w:rPr>
                      <w:rStyle w:val="A8"/>
                      <w:rFonts w:cs="Calibri"/>
                      <w:color w:val="000000"/>
                      <w:sz w:val="20"/>
                      <w:szCs w:val="20"/>
                    </w:rPr>
                    <w:t>.</w:t>
                  </w:r>
                </w:p>
              </w:tc>
              <w:tc>
                <w:tcPr>
                  <w:tcW w:w="2251" w:type="dxa"/>
                  <w:shd w:val="clear" w:color="auto" w:fill="DEEAF6"/>
                </w:tcPr>
                <w:p w14:paraId="0C3ED8AD" w14:textId="77777777" w:rsidR="00672B93" w:rsidRPr="00C76853" w:rsidRDefault="00672B93" w:rsidP="00672B93">
                  <w:pPr>
                    <w:snapToGrid w:val="0"/>
                    <w:spacing w:after="0" w:line="240" w:lineRule="auto"/>
                    <w:jc w:val="both"/>
                    <w:rPr>
                      <w:rFonts w:cs="Calibri"/>
                      <w:sz w:val="20"/>
                      <w:szCs w:val="20"/>
                    </w:rPr>
                  </w:pPr>
                  <w:r w:rsidRPr="00C76853">
                    <w:rPr>
                      <w:rStyle w:val="A8"/>
                      <w:rFonts w:cs="Calibri"/>
                      <w:color w:val="000000"/>
                      <w:sz w:val="20"/>
                      <w:szCs w:val="20"/>
                    </w:rPr>
                    <w:t>1 Communications Strategy developed by the OPM PCVE Coordination Unit</w:t>
                  </w:r>
                  <w:r w:rsidR="00872E20" w:rsidRPr="00C76853">
                    <w:rPr>
                      <w:rStyle w:val="A8"/>
                      <w:rFonts w:cs="Calibri"/>
                      <w:color w:val="000000"/>
                      <w:sz w:val="20"/>
                      <w:szCs w:val="20"/>
                    </w:rPr>
                    <w:t xml:space="preserve"> in consultation with FMS and key line ministries.</w:t>
                  </w:r>
                </w:p>
              </w:tc>
            </w:tr>
          </w:tbl>
          <w:p w14:paraId="5CA0119E" w14:textId="77777777" w:rsidR="00F81551" w:rsidRPr="00C76853" w:rsidRDefault="00F81551" w:rsidP="005E23C6">
            <w:pPr>
              <w:jc w:val="both"/>
              <w:rPr>
                <w:rStyle w:val="A8"/>
                <w:rFonts w:cs="Calibri"/>
                <w:sz w:val="20"/>
                <w:szCs w:val="20"/>
              </w:rPr>
            </w:pPr>
          </w:p>
        </w:tc>
      </w:tr>
      <w:tr w:rsidR="00175BE9" w:rsidRPr="00C76853" w14:paraId="7E2383BE" w14:textId="77777777" w:rsidTr="00EE19D8">
        <w:trPr>
          <w:trHeight w:val="611"/>
        </w:trPr>
        <w:tc>
          <w:tcPr>
            <w:tcW w:w="10320" w:type="dxa"/>
            <w:gridSpan w:val="4"/>
            <w:shd w:val="clear" w:color="auto" w:fill="auto"/>
          </w:tcPr>
          <w:p w14:paraId="7CF4E7E9" w14:textId="77777777" w:rsidR="00AF72B0" w:rsidRPr="00C76853" w:rsidRDefault="00AF72B0" w:rsidP="00AF72B0">
            <w:pPr>
              <w:spacing w:before="120" w:after="120"/>
              <w:jc w:val="center"/>
              <w:rPr>
                <w:rFonts w:cs="Calibri"/>
                <w:b/>
                <w:bCs/>
              </w:rPr>
            </w:pPr>
            <w:r w:rsidRPr="00C76853">
              <w:rPr>
                <w:rFonts w:cs="Calibri"/>
                <w:b/>
                <w:bCs/>
              </w:rPr>
              <w:lastRenderedPageBreak/>
              <w:t>NARRATIVE</w:t>
            </w:r>
          </w:p>
          <w:p w14:paraId="5A71C390" w14:textId="77777777" w:rsidR="00131474" w:rsidRPr="00C76853" w:rsidRDefault="00AF72B0" w:rsidP="0044678F">
            <w:pPr>
              <w:tabs>
                <w:tab w:val="left" w:pos="885"/>
              </w:tabs>
              <w:spacing w:before="120" w:after="0"/>
              <w:rPr>
                <w:rFonts w:cs="Calibri"/>
                <w:color w:val="000000"/>
                <w:shd w:val="clear" w:color="auto" w:fill="FFFFFF"/>
              </w:rPr>
            </w:pPr>
            <w:r w:rsidRPr="00C76853">
              <w:rPr>
                <w:rFonts w:cs="Calibri"/>
                <w:i/>
                <w:color w:val="0070C0"/>
                <w:lang w:eastAsia="fr-CA"/>
              </w:rPr>
              <w:t xml:space="preserve"> </w:t>
            </w:r>
            <w:r w:rsidR="00131474" w:rsidRPr="00C76853">
              <w:rPr>
                <w:rFonts w:cs="Calibri"/>
                <w:b/>
                <w:color w:val="000000"/>
              </w:rPr>
              <w:t>Output 1: OPM Coordination Office and PCVE focal points in FMS are staffed and capacitated to coordinate on PCVE and commence implementation of priority issues from their respective PCVE action plans</w:t>
            </w:r>
          </w:p>
          <w:p w14:paraId="59685722" w14:textId="77777777" w:rsidR="00131474" w:rsidRPr="00C76853" w:rsidRDefault="00131474" w:rsidP="00131474">
            <w:pPr>
              <w:pStyle w:val="BodyText"/>
              <w:tabs>
                <w:tab w:val="left" w:pos="885"/>
              </w:tabs>
              <w:spacing w:after="0" w:line="240" w:lineRule="auto"/>
              <w:jc w:val="both"/>
              <w:rPr>
                <w:rFonts w:cs="Calibri"/>
                <w:color w:val="000000"/>
                <w:shd w:val="clear" w:color="auto" w:fill="FFFFFF"/>
              </w:rPr>
            </w:pPr>
          </w:p>
          <w:p w14:paraId="12E39BCE" w14:textId="77777777" w:rsidR="00131474" w:rsidRPr="00C76853" w:rsidRDefault="00131474" w:rsidP="00131474">
            <w:pPr>
              <w:pStyle w:val="BodyText"/>
              <w:tabs>
                <w:tab w:val="left" w:pos="885"/>
              </w:tabs>
              <w:spacing w:after="0" w:line="240" w:lineRule="auto"/>
              <w:jc w:val="both"/>
              <w:rPr>
                <w:rFonts w:cs="Calibri"/>
                <w:color w:val="000000"/>
                <w:shd w:val="clear" w:color="auto" w:fill="FFFFFF"/>
              </w:rPr>
            </w:pPr>
            <w:r w:rsidRPr="00C76853">
              <w:rPr>
                <w:rFonts w:cs="Calibri"/>
                <w:b/>
                <w:bCs/>
                <w:color w:val="000000"/>
                <w:u w:val="single"/>
                <w:shd w:val="clear" w:color="auto" w:fill="FFFFFF"/>
              </w:rPr>
              <w:t>Institutional Capacity Building:</w:t>
            </w:r>
          </w:p>
          <w:p w14:paraId="40DCE941" w14:textId="77777777" w:rsidR="00131474" w:rsidRPr="00C76853" w:rsidRDefault="00131474" w:rsidP="00131474">
            <w:pPr>
              <w:pStyle w:val="BodyText"/>
              <w:tabs>
                <w:tab w:val="left" w:pos="885"/>
              </w:tabs>
              <w:spacing w:after="0" w:line="240" w:lineRule="auto"/>
              <w:jc w:val="both"/>
              <w:rPr>
                <w:rFonts w:cs="Calibri"/>
                <w:color w:val="000000"/>
                <w:shd w:val="clear" w:color="auto" w:fill="FFFFFF"/>
              </w:rPr>
            </w:pPr>
          </w:p>
          <w:p w14:paraId="75ED3E06" w14:textId="77777777" w:rsidR="00131474" w:rsidRPr="00C76853" w:rsidRDefault="00131474" w:rsidP="00131474">
            <w:pPr>
              <w:pStyle w:val="BodyText"/>
              <w:jc w:val="both"/>
              <w:rPr>
                <w:rFonts w:cs="Calibri"/>
                <w:color w:val="000000"/>
                <w:shd w:val="clear" w:color="auto" w:fill="FFFFFF"/>
              </w:rPr>
            </w:pPr>
            <w:r w:rsidRPr="00C76853">
              <w:rPr>
                <w:rFonts w:cs="Calibri"/>
                <w:color w:val="000000"/>
                <w:shd w:val="clear" w:color="auto" w:fill="FFFFFF"/>
              </w:rPr>
              <w:t xml:space="preserve">The project continued to support the staffing budget of PCVE at national and FMS level for key positions identified, carrying forward the incentive for qualified staff to work on PCVE, and reducing the turnover of government personnel. The Office of the Prime Minister’s PCVE Coordination Unit (OPM-PCVE-CU) was supported in establishing and positioning itself strategically as the custodian of the national PCVE strategy and action plan, the national knowledge hub on PCVE, and the coordination entity on PCVE amongst federal ministries as well as between FGS and FMS. The OPM-PCVE-CU took ownership of these responsibilities by starting to map and coordinate planned and ongoing PCVE-related and PCVE-specific activities of relevant ministries. The OPM-PCVE-CU further made sure to include a PCVE component into the Security and Justice Road Map and requested respective federal ministries to submit their workplans, including PCVE milestones and </w:t>
            </w:r>
            <w:r w:rsidRPr="00C76853">
              <w:rPr>
                <w:rFonts w:cs="Calibri"/>
                <w:color w:val="000000"/>
                <w:shd w:val="clear" w:color="auto" w:fill="FFFFFF"/>
              </w:rPr>
              <w:lastRenderedPageBreak/>
              <w:t xml:space="preserve">activities, contributing to the PCVE-related road map goals. The OPM-PCVE-CU through the PCVE-FMS-FP was further in the lead of coordinating the replication of the Security and Justice Road Map developed in South West and Hirshabelle states, ensuring that these documents equally reflected PCVE. </w:t>
            </w:r>
          </w:p>
          <w:p w14:paraId="29715D19" w14:textId="77777777" w:rsidR="00131474" w:rsidRPr="00C76853" w:rsidRDefault="00131474" w:rsidP="00131474">
            <w:pPr>
              <w:pStyle w:val="BodyText"/>
              <w:jc w:val="both"/>
              <w:rPr>
                <w:rFonts w:cs="Calibri"/>
                <w:color w:val="000000"/>
                <w:shd w:val="clear" w:color="auto" w:fill="FFFFFF"/>
              </w:rPr>
            </w:pPr>
            <w:r w:rsidRPr="00C76853">
              <w:rPr>
                <w:rFonts w:cs="Calibri"/>
                <w:color w:val="000000"/>
                <w:shd w:val="clear" w:color="auto" w:fill="FFFFFF"/>
              </w:rPr>
              <w:t xml:space="preserve">The PCVE FMS-FP and PCVE </w:t>
            </w:r>
            <w:proofErr w:type="spellStart"/>
            <w:r w:rsidRPr="00C76853">
              <w:rPr>
                <w:rFonts w:cs="Calibri"/>
                <w:color w:val="000000"/>
                <w:shd w:val="clear" w:color="auto" w:fill="FFFFFF"/>
              </w:rPr>
              <w:t>Benadir</w:t>
            </w:r>
            <w:proofErr w:type="spellEnd"/>
            <w:r w:rsidRPr="00C76853">
              <w:rPr>
                <w:rFonts w:cs="Calibri"/>
                <w:color w:val="000000"/>
                <w:shd w:val="clear" w:color="auto" w:fill="FFFFFF"/>
              </w:rPr>
              <w:t xml:space="preserve"> region FP were supported in fulfilling their roles as lead PCVE experts in their respective states more proactively, by working closely with the OPM-PCVE-CU as well as coordinating amongst all relevant state line ministries on PCVE. In their monthly reports, the PCVE- FMS-FP provided regular situational analyses. The PCVE- FMS-FP further invested into identifying civil society organizations working on PCVE-specific and PCVE-relevant topics in their respective states, and were guided towards developing necessary local networks. </w:t>
            </w:r>
          </w:p>
          <w:p w14:paraId="7D0D57BA" w14:textId="77777777" w:rsidR="00131474" w:rsidRPr="00C76853" w:rsidRDefault="00131474" w:rsidP="00131474">
            <w:pPr>
              <w:tabs>
                <w:tab w:val="left" w:pos="885"/>
              </w:tabs>
              <w:spacing w:after="0" w:line="240" w:lineRule="auto"/>
              <w:jc w:val="both"/>
              <w:rPr>
                <w:rFonts w:cs="Calibri"/>
                <w:shd w:val="clear" w:color="auto" w:fill="FFFFFF"/>
              </w:rPr>
            </w:pPr>
            <w:r w:rsidRPr="00C76853">
              <w:rPr>
                <w:rFonts w:cs="Calibri"/>
                <w:b/>
                <w:bCs/>
                <w:u w:val="single"/>
                <w:shd w:val="clear" w:color="auto" w:fill="FFFFFF"/>
              </w:rPr>
              <w:t>Individual Capacity Building:</w:t>
            </w:r>
          </w:p>
          <w:p w14:paraId="03EB7E00" w14:textId="77777777" w:rsidR="00131474" w:rsidRPr="00C76853" w:rsidRDefault="00131474" w:rsidP="00131474">
            <w:pPr>
              <w:tabs>
                <w:tab w:val="left" w:pos="885"/>
              </w:tabs>
              <w:spacing w:after="0" w:line="240" w:lineRule="auto"/>
              <w:jc w:val="both"/>
              <w:rPr>
                <w:rFonts w:cs="Calibri"/>
                <w:shd w:val="clear" w:color="auto" w:fill="FFFFFF"/>
              </w:rPr>
            </w:pPr>
          </w:p>
          <w:p w14:paraId="7C4D6A30" w14:textId="77777777" w:rsidR="00131474" w:rsidRPr="00C76853" w:rsidRDefault="00131474" w:rsidP="00131474">
            <w:pPr>
              <w:spacing w:after="0" w:line="240" w:lineRule="auto"/>
              <w:jc w:val="both"/>
              <w:rPr>
                <w:rFonts w:cs="Calibri"/>
                <w:shd w:val="clear" w:color="auto" w:fill="FFFFFF"/>
              </w:rPr>
            </w:pPr>
            <w:r w:rsidRPr="00C76853">
              <w:rPr>
                <w:rFonts w:cs="Calibri"/>
                <w:shd w:val="clear" w:color="auto" w:fill="FFFFFF"/>
              </w:rPr>
              <w:t xml:space="preserve">All PCVE-FMS-FP and PCVE counterpart in FGS and FMS underwent a series of trainings, technical mentoring and needs-based capacity building support. These actions included trainings on designing, programming, monitoring and evaluating PCVE interventions, on report-writing, improved coordination and information sharing, on PCVE research methodologies, linkages between PCVE and human rights, on technical input towards developing training material and on delivering trainings on PCVE for Rule of Law and Security Sector institutions, as well as on launching PCVE outreach material, including the development and dissemination of counter-narratives. The trainings resulted in an increase in staffs’ ability to design PCVE programming interventions as well as research tools to measure programming impact. These further resulted in an increased capacity of the PCVE-FMS-FP to coordinate PCVE, including responding to various requests from state counterparts both at FGS and FMS level to provide information and training on PCVE. This included various meetings with government line departments in which FMS focal points informed colleagues about PCVE, as well as specific requests to provide PCVE input to overall training for prison management staff in Puntland. </w:t>
            </w:r>
          </w:p>
          <w:p w14:paraId="40EFA960" w14:textId="77777777" w:rsidR="00131474" w:rsidRPr="00C76853" w:rsidRDefault="00131474" w:rsidP="00131474">
            <w:pPr>
              <w:spacing w:after="0" w:line="240" w:lineRule="auto"/>
              <w:jc w:val="both"/>
              <w:rPr>
                <w:rFonts w:cs="Calibri"/>
                <w:shd w:val="clear" w:color="auto" w:fill="FFFFFF"/>
              </w:rPr>
            </w:pPr>
          </w:p>
          <w:p w14:paraId="45419E1E" w14:textId="77777777" w:rsidR="00131474" w:rsidRPr="00C76853" w:rsidRDefault="00131474" w:rsidP="00131474">
            <w:pPr>
              <w:spacing w:after="0" w:line="240" w:lineRule="auto"/>
              <w:jc w:val="both"/>
              <w:rPr>
                <w:rFonts w:cs="Calibri"/>
                <w:shd w:val="clear" w:color="auto" w:fill="FFFFFF"/>
              </w:rPr>
            </w:pPr>
            <w:r w:rsidRPr="00C76853">
              <w:rPr>
                <w:rFonts w:cs="Calibri"/>
                <w:b/>
                <w:bCs/>
                <w:u w:val="single"/>
                <w:shd w:val="clear" w:color="auto" w:fill="FFFFFF"/>
              </w:rPr>
              <w:t xml:space="preserve">Coordination Achievements: </w:t>
            </w:r>
          </w:p>
          <w:p w14:paraId="015BC15D" w14:textId="77777777" w:rsidR="00131474" w:rsidRPr="00C76853" w:rsidRDefault="00131474" w:rsidP="00131474">
            <w:pPr>
              <w:spacing w:after="0" w:line="240" w:lineRule="auto"/>
              <w:jc w:val="both"/>
              <w:rPr>
                <w:rFonts w:cs="Calibri"/>
                <w:shd w:val="clear" w:color="auto" w:fill="FFFFFF"/>
              </w:rPr>
            </w:pPr>
          </w:p>
          <w:p w14:paraId="3815C5CE" w14:textId="77777777" w:rsidR="00131474" w:rsidRPr="00C76853" w:rsidRDefault="00131474" w:rsidP="00131474">
            <w:pPr>
              <w:spacing w:after="0" w:line="240" w:lineRule="auto"/>
              <w:jc w:val="both"/>
              <w:rPr>
                <w:rFonts w:cs="Calibri"/>
                <w:shd w:val="clear" w:color="auto" w:fill="FFFFFF"/>
              </w:rPr>
            </w:pPr>
            <w:r w:rsidRPr="00C76853">
              <w:rPr>
                <w:rFonts w:cs="Calibri"/>
                <w:shd w:val="clear" w:color="auto" w:fill="FFFFFF"/>
              </w:rPr>
              <w:t xml:space="preserve">The overall institutional and individual capacity building support on PCVE to improve coordination structures resulted in tangible improvements of the overall performance of both federal and state governments to coordinate on PCVE: </w:t>
            </w:r>
          </w:p>
          <w:p w14:paraId="36525272" w14:textId="77777777" w:rsidR="00131474" w:rsidRPr="00C76853" w:rsidRDefault="00131474" w:rsidP="00131474">
            <w:pPr>
              <w:spacing w:after="0" w:line="240" w:lineRule="auto"/>
              <w:jc w:val="both"/>
              <w:rPr>
                <w:rFonts w:cs="Calibri"/>
                <w:shd w:val="clear" w:color="auto" w:fill="FFFFFF"/>
              </w:rPr>
            </w:pPr>
          </w:p>
          <w:p w14:paraId="0F319FDB" w14:textId="77777777" w:rsidR="00131474" w:rsidRPr="00C76853" w:rsidRDefault="00131474" w:rsidP="00131474">
            <w:pPr>
              <w:spacing w:after="0" w:line="240" w:lineRule="auto"/>
              <w:jc w:val="both"/>
              <w:rPr>
                <w:rFonts w:cs="Calibri"/>
                <w:shd w:val="clear" w:color="auto" w:fill="FFFFFF"/>
              </w:rPr>
            </w:pPr>
            <w:r w:rsidRPr="00C76853">
              <w:rPr>
                <w:rFonts w:cs="Calibri"/>
                <w:b/>
                <w:bCs/>
                <w:color w:val="000000"/>
                <w:shd w:val="clear" w:color="auto" w:fill="FFFFFF"/>
              </w:rPr>
              <w:t>&gt; Establishment of PCVE coordination mechanisms at FGS level:</w:t>
            </w:r>
            <w:r w:rsidRPr="00C76853">
              <w:rPr>
                <w:rFonts w:cs="Calibri"/>
                <w:color w:val="000000"/>
                <w:shd w:val="clear" w:color="auto" w:fill="FFFFFF"/>
              </w:rPr>
              <w:t xml:space="preserve"> The OPM PCVE Coordination Unit organized inter-ministerial coordination meetings on PCVE at the federal government level. With the input of the OPM, the FGS Security and Justice Road Map was developed and adopted with a significant focus on PCVE. All relevant federal Ministries were subsequently requested to nominate PCVE focal points and submit their PCVE work plans (milestones and activities) to the OPM Coordination Unit. The inter-ministerial coordination meetings on PCVE subsequently served as a forum for the PCVE Coordination Unit to request updates from the relevant federal ministries on progress made against the PCVE activities and milestones of all ministries to realize the PCVE objectives of the National Security and Justice Road Map. </w:t>
            </w:r>
          </w:p>
          <w:p w14:paraId="7DCE5020" w14:textId="77777777" w:rsidR="00131474" w:rsidRPr="00C76853" w:rsidRDefault="00131474" w:rsidP="00131474">
            <w:pPr>
              <w:spacing w:after="0" w:line="240" w:lineRule="auto"/>
              <w:jc w:val="both"/>
              <w:rPr>
                <w:rFonts w:cs="Calibri"/>
                <w:shd w:val="clear" w:color="auto" w:fill="FFFFFF"/>
              </w:rPr>
            </w:pPr>
          </w:p>
          <w:p w14:paraId="6EE4C4F9" w14:textId="77777777" w:rsidR="00131474" w:rsidRPr="00C76853" w:rsidRDefault="00131474" w:rsidP="00131474">
            <w:pPr>
              <w:spacing w:after="0" w:line="240" w:lineRule="auto"/>
              <w:jc w:val="both"/>
              <w:rPr>
                <w:rFonts w:cs="Calibri"/>
                <w:color w:val="000000"/>
              </w:rPr>
            </w:pPr>
            <w:r w:rsidRPr="00C76853">
              <w:rPr>
                <w:rFonts w:cs="Calibri"/>
                <w:b/>
                <w:bCs/>
                <w:color w:val="000000"/>
              </w:rPr>
              <w:t>&gt; Establishment of PCVE coordination at FMS level:</w:t>
            </w:r>
            <w:r w:rsidRPr="00C76853">
              <w:rPr>
                <w:rFonts w:cs="Calibri"/>
                <w:color w:val="000000"/>
              </w:rPr>
              <w:t xml:space="preserve"> Under the leadership of the PCVE Focal Points in the FMS, the federal coordination structure was mirrored at state level. All FMS focal points requested state line ministries to nominate ministerial counterparts responsible for PCVE. The PCVE Coordination Unit of the OPM and the PCVE focal points of the FMS and the </w:t>
            </w:r>
            <w:proofErr w:type="spellStart"/>
            <w:r w:rsidRPr="00C76853">
              <w:rPr>
                <w:rFonts w:cs="Calibri"/>
                <w:color w:val="000000"/>
              </w:rPr>
              <w:t>Benadir</w:t>
            </w:r>
            <w:proofErr w:type="spellEnd"/>
            <w:r w:rsidRPr="00C76853">
              <w:rPr>
                <w:rFonts w:cs="Calibri"/>
                <w:color w:val="000000"/>
              </w:rPr>
              <w:t xml:space="preserve"> region jointly developed and adopted the Terms of Reference of the PCVE Committees and Platforms. Subsequently, PCVE Committees for inter-ministerial </w:t>
            </w:r>
            <w:r w:rsidRPr="00C76853">
              <w:rPr>
                <w:rFonts w:cs="Calibri"/>
                <w:color w:val="000000"/>
              </w:rPr>
              <w:lastRenderedPageBreak/>
              <w:t xml:space="preserve">coordination were established, serving as a forum for the focal points to provide strategic guidance on PCVE, and improve government responsiveness to challenges related to violent extremism, as identified at community level across the respective states. All PCVE focal points convened these meetings, informing line ministries about PCVE and the platform outreach to communities. As a next step, the PCVE experts further developed a discussion guide structuring the engagement between government and community representatives. These guidelines allowed for PCVE platform interactions to follow a structured communication approach in order to manage community expectations, help communities identify issues related to PCVE, assist communities to prioritize the most important challenges first, and for the government representatives to have a mutually agreed-upon response if a community is of the opinion that certain challenges related to local grievances and basic service delivery could potentially be better addressed by violent extremist groups than by the government itself. Subsequently, </w:t>
            </w:r>
            <w:r w:rsidR="001B65C4" w:rsidRPr="00C76853">
              <w:rPr>
                <w:rFonts w:cs="Calibri"/>
                <w:color w:val="000000"/>
              </w:rPr>
              <w:t>13</w:t>
            </w:r>
            <w:r w:rsidRPr="00C76853">
              <w:rPr>
                <w:rFonts w:cs="Calibri"/>
                <w:color w:val="000000"/>
              </w:rPr>
              <w:t xml:space="preserve"> PCVE Platform meetings were organized in </w:t>
            </w:r>
            <w:r w:rsidR="001B65C4" w:rsidRPr="00C76853">
              <w:rPr>
                <w:rFonts w:cs="Calibri"/>
                <w:color w:val="000000"/>
              </w:rPr>
              <w:t xml:space="preserve">11 </w:t>
            </w:r>
            <w:r w:rsidRPr="00C76853">
              <w:rPr>
                <w:rFonts w:cs="Calibri"/>
                <w:color w:val="000000"/>
              </w:rPr>
              <w:t>selected at-risk locations in the FMS</w:t>
            </w:r>
            <w:r w:rsidR="001B65C4" w:rsidRPr="00C76853">
              <w:rPr>
                <w:rFonts w:cs="Calibri"/>
                <w:color w:val="000000"/>
              </w:rPr>
              <w:t xml:space="preserve"> (</w:t>
            </w:r>
            <w:proofErr w:type="spellStart"/>
            <w:r w:rsidR="001B65C4" w:rsidRPr="00C76853">
              <w:rPr>
                <w:rFonts w:cs="Calibri"/>
                <w:color w:val="000000"/>
              </w:rPr>
              <w:t>Jowhar</w:t>
            </w:r>
            <w:proofErr w:type="spellEnd"/>
            <w:r w:rsidR="001B65C4" w:rsidRPr="00C76853">
              <w:rPr>
                <w:rFonts w:cs="Calibri"/>
                <w:color w:val="000000"/>
              </w:rPr>
              <w:t xml:space="preserve">, </w:t>
            </w:r>
            <w:proofErr w:type="spellStart"/>
            <w:r w:rsidR="001B65C4" w:rsidRPr="00C76853">
              <w:rPr>
                <w:rFonts w:cs="Calibri"/>
                <w:color w:val="000000"/>
              </w:rPr>
              <w:t>Balc'ad</w:t>
            </w:r>
            <w:proofErr w:type="spellEnd"/>
            <w:r w:rsidR="001B65C4" w:rsidRPr="00C76853">
              <w:rPr>
                <w:rFonts w:cs="Calibri"/>
                <w:color w:val="000000"/>
              </w:rPr>
              <w:t xml:space="preserve">, Baidoa, </w:t>
            </w:r>
            <w:proofErr w:type="spellStart"/>
            <w:r w:rsidR="001B65C4" w:rsidRPr="00C76853">
              <w:rPr>
                <w:rFonts w:cs="Calibri"/>
                <w:color w:val="000000"/>
              </w:rPr>
              <w:t>Hudur</w:t>
            </w:r>
            <w:proofErr w:type="spellEnd"/>
            <w:r w:rsidR="001B65C4" w:rsidRPr="00C76853">
              <w:rPr>
                <w:rFonts w:cs="Calibri"/>
                <w:color w:val="000000"/>
              </w:rPr>
              <w:t xml:space="preserve">, </w:t>
            </w:r>
            <w:proofErr w:type="spellStart"/>
            <w:r w:rsidR="001B65C4" w:rsidRPr="00C76853">
              <w:rPr>
                <w:rFonts w:cs="Calibri"/>
                <w:color w:val="000000"/>
              </w:rPr>
              <w:t>Dhusamareb</w:t>
            </w:r>
            <w:proofErr w:type="spellEnd"/>
            <w:r w:rsidR="001B65C4" w:rsidRPr="00C76853">
              <w:rPr>
                <w:rFonts w:cs="Calibri"/>
                <w:color w:val="000000"/>
              </w:rPr>
              <w:t xml:space="preserve">, </w:t>
            </w:r>
            <w:proofErr w:type="spellStart"/>
            <w:r w:rsidR="001B65C4" w:rsidRPr="00C76853">
              <w:rPr>
                <w:rFonts w:cs="Calibri"/>
                <w:color w:val="000000"/>
              </w:rPr>
              <w:t>Cadaado</w:t>
            </w:r>
            <w:proofErr w:type="spellEnd"/>
            <w:r w:rsidR="001B65C4" w:rsidRPr="00C76853">
              <w:rPr>
                <w:rFonts w:cs="Calibri"/>
                <w:color w:val="000000"/>
              </w:rPr>
              <w:t xml:space="preserve">, </w:t>
            </w:r>
            <w:proofErr w:type="spellStart"/>
            <w:r w:rsidR="001B65C4" w:rsidRPr="00C76853">
              <w:rPr>
                <w:rFonts w:cs="Calibri"/>
                <w:color w:val="000000"/>
              </w:rPr>
              <w:t>Guriel</w:t>
            </w:r>
            <w:proofErr w:type="spellEnd"/>
            <w:r w:rsidR="001B65C4" w:rsidRPr="00C76853">
              <w:rPr>
                <w:rFonts w:cs="Calibri"/>
                <w:color w:val="000000"/>
              </w:rPr>
              <w:t xml:space="preserve">, </w:t>
            </w:r>
            <w:proofErr w:type="spellStart"/>
            <w:r w:rsidR="001B65C4" w:rsidRPr="00C76853">
              <w:rPr>
                <w:rFonts w:cs="Calibri"/>
                <w:color w:val="000000"/>
              </w:rPr>
              <w:t>Ceel</w:t>
            </w:r>
            <w:proofErr w:type="spellEnd"/>
            <w:r w:rsidR="001B65C4" w:rsidRPr="00C76853">
              <w:rPr>
                <w:rFonts w:cs="Calibri"/>
                <w:color w:val="000000"/>
              </w:rPr>
              <w:t xml:space="preserve"> </w:t>
            </w:r>
            <w:proofErr w:type="spellStart"/>
            <w:r w:rsidR="001B65C4" w:rsidRPr="00C76853">
              <w:rPr>
                <w:rFonts w:cs="Calibri"/>
                <w:color w:val="000000"/>
              </w:rPr>
              <w:t>Daahir</w:t>
            </w:r>
            <w:proofErr w:type="spellEnd"/>
            <w:r w:rsidR="001B65C4" w:rsidRPr="00C76853">
              <w:rPr>
                <w:rFonts w:cs="Calibri"/>
                <w:color w:val="000000"/>
              </w:rPr>
              <w:t xml:space="preserve">, </w:t>
            </w:r>
            <w:proofErr w:type="spellStart"/>
            <w:r w:rsidR="001B65C4" w:rsidRPr="00C76853">
              <w:rPr>
                <w:rFonts w:cs="Calibri"/>
                <w:color w:val="000000"/>
              </w:rPr>
              <w:t>Tasjiic</w:t>
            </w:r>
            <w:proofErr w:type="spellEnd"/>
            <w:r w:rsidR="001B65C4" w:rsidRPr="00C76853">
              <w:rPr>
                <w:rFonts w:cs="Calibri"/>
                <w:color w:val="000000"/>
              </w:rPr>
              <w:t xml:space="preserve">, </w:t>
            </w:r>
            <w:proofErr w:type="spellStart"/>
            <w:r w:rsidR="001B65C4" w:rsidRPr="00C76853">
              <w:rPr>
                <w:rFonts w:cs="Calibri"/>
                <w:color w:val="000000"/>
              </w:rPr>
              <w:t>Mogadisu</w:t>
            </w:r>
            <w:proofErr w:type="spellEnd"/>
            <w:r w:rsidR="001B65C4" w:rsidRPr="00C76853">
              <w:rPr>
                <w:rFonts w:cs="Calibri"/>
                <w:color w:val="000000"/>
              </w:rPr>
              <w:t xml:space="preserve">, </w:t>
            </w:r>
            <w:proofErr w:type="spellStart"/>
            <w:r w:rsidR="001B65C4" w:rsidRPr="00C76853">
              <w:rPr>
                <w:rFonts w:cs="Calibri"/>
                <w:color w:val="000000"/>
              </w:rPr>
              <w:t>Daynile</w:t>
            </w:r>
            <w:proofErr w:type="spellEnd"/>
            <w:r w:rsidR="001B65C4" w:rsidRPr="00C76853">
              <w:rPr>
                <w:rFonts w:cs="Calibri"/>
                <w:color w:val="000000"/>
              </w:rPr>
              <w:t xml:space="preserve"> District</w:t>
            </w:r>
            <w:r w:rsidRPr="00C76853">
              <w:rPr>
                <w:rFonts w:cs="Calibri"/>
                <w:color w:val="000000"/>
              </w:rPr>
              <w:t xml:space="preserve">). Following the structured guideline of engagement with communities, the Platform meetings produced lists of </w:t>
            </w:r>
            <w:r w:rsidR="00BE3802" w:rsidRPr="00C76853">
              <w:rPr>
                <w:rFonts w:cs="Calibri"/>
                <w:color w:val="000000"/>
              </w:rPr>
              <w:t xml:space="preserve">39 </w:t>
            </w:r>
            <w:r w:rsidRPr="00C76853">
              <w:rPr>
                <w:rFonts w:cs="Calibri"/>
                <w:color w:val="000000"/>
              </w:rPr>
              <w:t xml:space="preserve">community </w:t>
            </w:r>
            <w:r w:rsidR="00BE3802" w:rsidRPr="00C76853">
              <w:rPr>
                <w:rFonts w:cs="Calibri"/>
                <w:color w:val="000000"/>
              </w:rPr>
              <w:t>grievances / root causes</w:t>
            </w:r>
            <w:r w:rsidRPr="00C76853">
              <w:rPr>
                <w:rFonts w:cs="Calibri"/>
                <w:color w:val="000000"/>
              </w:rPr>
              <w:t xml:space="preserve"> </w:t>
            </w:r>
            <w:r w:rsidR="00BE3802" w:rsidRPr="00C76853">
              <w:rPr>
                <w:rFonts w:cs="Calibri"/>
                <w:color w:val="000000"/>
              </w:rPr>
              <w:t>and drivers for violent extremism</w:t>
            </w:r>
            <w:r w:rsidRPr="00C76853">
              <w:rPr>
                <w:rFonts w:cs="Calibri"/>
                <w:color w:val="000000"/>
              </w:rPr>
              <w:t xml:space="preserve">. The PCVE focal points subsequently reported directly to the respective PCVE Committees in the FMS, bringing to the Committees' attention any PCVE-related challenges identified and prioritized by communities for further action. The PCVE focal points further shared these lists of priorities with the PCVE Coordination Unit under the Office of the Prime Minister for federal follow-up action where appropriate.  </w:t>
            </w:r>
          </w:p>
          <w:p w14:paraId="59656D48" w14:textId="77777777" w:rsidR="00131474" w:rsidRPr="00C76853" w:rsidRDefault="00131474" w:rsidP="00131474">
            <w:pPr>
              <w:spacing w:after="0" w:line="240" w:lineRule="auto"/>
              <w:jc w:val="both"/>
              <w:rPr>
                <w:rFonts w:cs="Calibri"/>
                <w:color w:val="000000"/>
              </w:rPr>
            </w:pPr>
          </w:p>
          <w:p w14:paraId="231E417E" w14:textId="77777777" w:rsidR="00131474" w:rsidRPr="00C76853" w:rsidRDefault="00131474" w:rsidP="00131474">
            <w:pPr>
              <w:spacing w:after="0" w:line="240" w:lineRule="auto"/>
              <w:jc w:val="both"/>
              <w:rPr>
                <w:rFonts w:cs="Calibri"/>
                <w:shd w:val="clear" w:color="auto" w:fill="FFFFFF"/>
              </w:rPr>
            </w:pPr>
            <w:r w:rsidRPr="00C76853">
              <w:rPr>
                <w:rFonts w:cs="Calibri"/>
                <w:b/>
                <w:bCs/>
                <w:color w:val="000000"/>
                <w:shd w:val="clear" w:color="auto" w:fill="FFFFFF"/>
              </w:rPr>
              <w:t xml:space="preserve">&gt; Establishment of PCVE coordination mechanisms on PCVE between FGS and FMS: </w:t>
            </w:r>
            <w:r w:rsidRPr="00C76853">
              <w:rPr>
                <w:rFonts w:cs="Calibri"/>
                <w:bCs/>
                <w:color w:val="000000"/>
                <w:shd w:val="clear" w:color="auto" w:fill="FFFFFF"/>
              </w:rPr>
              <w:t>One</w:t>
            </w:r>
            <w:r w:rsidRPr="00C76853">
              <w:rPr>
                <w:rFonts w:cs="Calibri"/>
                <w:color w:val="000000"/>
                <w:shd w:val="clear" w:color="auto" w:fill="FFFFFF"/>
              </w:rPr>
              <w:t xml:space="preserve"> government co-led CAS Strand 4 meeting was organized during the reporting period, establishing the Strand 4 as a successful coordination platform with attendance and content-driven input from the FMS focal points. Under the leadership of the OPM PCVE Coordinator, two FMS (Hirshabelle and South-West) developed state</w:t>
            </w:r>
            <w:r w:rsidRPr="00C76853">
              <w:rPr>
                <w:rFonts w:cs="Calibri"/>
                <w:shd w:val="clear" w:color="auto" w:fill="FFFFFF"/>
              </w:rPr>
              <w:t xml:space="preserve"> Security and Justice Road Maps mirroring the national road map's PCVE focus. PCVE consultations with civil society and community representatives in the FMS were attended by staff from the OPM. Equally, the OPM participated in different PCVE platform meetings organized at FMS level. OPM staff also attended all capacity building trainings and mentoring sessions organized to target specific capacity building needs of the PCVE focal points from the states. In turn, the PCVE focal points from the states were invited to participate in the international religious leaders’ conference organized by the OPM in Mogadishu, as well as the subsequent OIC conference on countering violent extremism and religion in Somalia. </w:t>
            </w:r>
          </w:p>
          <w:p w14:paraId="5AC34C8C" w14:textId="77777777" w:rsidR="00131474" w:rsidRPr="00C76853" w:rsidRDefault="00131474" w:rsidP="00131474">
            <w:pPr>
              <w:pStyle w:val="BodyText"/>
              <w:spacing w:after="0" w:line="240" w:lineRule="auto"/>
              <w:jc w:val="both"/>
              <w:rPr>
                <w:rFonts w:cs="Calibri"/>
                <w:shd w:val="clear" w:color="auto" w:fill="FFFFFF"/>
              </w:rPr>
            </w:pPr>
          </w:p>
          <w:p w14:paraId="115C8588" w14:textId="77777777" w:rsidR="00131474" w:rsidRPr="00C76853" w:rsidRDefault="00131474" w:rsidP="00131474">
            <w:pPr>
              <w:spacing w:after="0" w:line="240" w:lineRule="auto"/>
              <w:jc w:val="both"/>
              <w:rPr>
                <w:rFonts w:cs="Calibri"/>
                <w:shd w:val="clear" w:color="auto" w:fill="FFFFFF"/>
              </w:rPr>
            </w:pPr>
            <w:r w:rsidRPr="00C76853">
              <w:rPr>
                <w:rFonts w:cs="Calibri"/>
                <w:b/>
                <w:color w:val="000000"/>
                <w:shd w:val="clear" w:color="auto" w:fill="FFFFFF"/>
              </w:rPr>
              <w:t>Output 2: Stakeholder consultations and research undertaken to inform development of phase 2 PCVE support</w:t>
            </w:r>
          </w:p>
          <w:p w14:paraId="257B70C0" w14:textId="77777777" w:rsidR="00131474" w:rsidRPr="00C76853" w:rsidRDefault="00131474" w:rsidP="00131474">
            <w:pPr>
              <w:pStyle w:val="BodyText"/>
              <w:spacing w:after="0" w:line="240" w:lineRule="auto"/>
              <w:jc w:val="both"/>
              <w:rPr>
                <w:rFonts w:cs="Calibri"/>
                <w:shd w:val="clear" w:color="auto" w:fill="FFFFFF"/>
              </w:rPr>
            </w:pPr>
          </w:p>
          <w:p w14:paraId="0BA12E06" w14:textId="77777777" w:rsidR="00131474" w:rsidRPr="00C76853" w:rsidRDefault="00131474" w:rsidP="00131474">
            <w:pPr>
              <w:pStyle w:val="BodyText"/>
              <w:tabs>
                <w:tab w:val="left" w:pos="885"/>
              </w:tabs>
              <w:spacing w:after="0" w:line="240" w:lineRule="auto"/>
              <w:jc w:val="both"/>
              <w:rPr>
                <w:rFonts w:cs="Calibri"/>
                <w:color w:val="000000"/>
              </w:rPr>
            </w:pPr>
            <w:r w:rsidRPr="00C76853">
              <w:rPr>
                <w:rFonts w:cs="Calibri"/>
                <w:b/>
                <w:bCs/>
                <w:color w:val="000000"/>
                <w:u w:val="single"/>
              </w:rPr>
              <w:t xml:space="preserve">Stakeholders Consultations: </w:t>
            </w:r>
          </w:p>
          <w:p w14:paraId="416F5F77" w14:textId="77777777" w:rsidR="00131474" w:rsidRPr="00C76853" w:rsidRDefault="00131474" w:rsidP="00131474">
            <w:pPr>
              <w:tabs>
                <w:tab w:val="left" w:pos="885"/>
              </w:tabs>
              <w:spacing w:after="0" w:line="240" w:lineRule="auto"/>
              <w:jc w:val="both"/>
              <w:rPr>
                <w:rFonts w:cs="Calibri"/>
                <w:color w:val="000000"/>
              </w:rPr>
            </w:pPr>
          </w:p>
          <w:p w14:paraId="68AE366A" w14:textId="77777777" w:rsidR="00131474" w:rsidRPr="00C76853" w:rsidRDefault="00131474" w:rsidP="00131474">
            <w:pPr>
              <w:tabs>
                <w:tab w:val="left" w:pos="885"/>
              </w:tabs>
              <w:spacing w:after="0" w:line="240" w:lineRule="auto"/>
              <w:jc w:val="both"/>
              <w:rPr>
                <w:rFonts w:cs="Calibri"/>
                <w:color w:val="000000"/>
              </w:rPr>
            </w:pPr>
            <w:r w:rsidRPr="00C76853">
              <w:rPr>
                <w:rFonts w:cs="Calibri"/>
                <w:color w:val="000000"/>
              </w:rPr>
              <w:t xml:space="preserve">The OPM PCVE Coordination Unit, in close collaboration with the Federal Ministry for Religious Affairs, organized an international religious leaders conference on PCVE in Mogadishu in 2019. The Consultation with religious leaders and actors in Mogadishu was attended by 404 participants and resulted in the issuance of a communique as well as the recording of numerous statements of religious leaders demanding and explaining a correct interpretation of Islam as a religion of tolerance and peace. Both the president and the prime minister attended the conference, and the president in his speech encouraged religious leaders to play a role as mediators between Al-Shabaab and the population in the overall forgiveness and reconciliation process, which was widely reported and commented on in the media. The statements of the religious leaders were recorded and are currently developed into counter-narrative clips to be used by the OPM for wider dissemination. The overall positioning and feedback of religious leaders and actors on PCVE informed and fed into the revision of the </w:t>
            </w:r>
            <w:r w:rsidRPr="00C76853">
              <w:rPr>
                <w:rFonts w:cs="Calibri"/>
                <w:color w:val="000000"/>
              </w:rPr>
              <w:lastRenderedPageBreak/>
              <w:t xml:space="preserve">national PCVE strategy. </w:t>
            </w:r>
          </w:p>
          <w:p w14:paraId="7E6A66B5" w14:textId="77777777" w:rsidR="00131474" w:rsidRPr="00C76853" w:rsidRDefault="00131474" w:rsidP="00131474">
            <w:pPr>
              <w:tabs>
                <w:tab w:val="left" w:pos="885"/>
              </w:tabs>
              <w:spacing w:after="0" w:line="240" w:lineRule="auto"/>
              <w:jc w:val="both"/>
              <w:rPr>
                <w:rFonts w:cs="Calibri"/>
                <w:color w:val="000000"/>
              </w:rPr>
            </w:pPr>
          </w:p>
          <w:p w14:paraId="52F324AA" w14:textId="77777777" w:rsidR="00131474" w:rsidRPr="00C76853" w:rsidRDefault="00131474" w:rsidP="00131474">
            <w:pPr>
              <w:tabs>
                <w:tab w:val="left" w:pos="885"/>
              </w:tabs>
              <w:spacing w:after="0" w:line="240" w:lineRule="auto"/>
              <w:jc w:val="both"/>
              <w:rPr>
                <w:rFonts w:cs="Calibri"/>
                <w:color w:val="000000"/>
              </w:rPr>
            </w:pPr>
            <w:r w:rsidRPr="00C76853">
              <w:rPr>
                <w:rFonts w:cs="Calibri"/>
                <w:color w:val="000000"/>
              </w:rPr>
              <w:t xml:space="preserve">As per their mandate to establish coordination structures and networks on PCVE in the FMS, the PCVE focal points organized four consultative meetings with state-level government counterparts, civil society and community representatives, including youth, religious leaders, traditional elders and minority clan representatives, to talk about PCVE. Meetings under the leadership of the respective state PCVE focal points, and with attendance of OPM PCVE Coordination staff, took place in </w:t>
            </w:r>
            <w:proofErr w:type="spellStart"/>
            <w:r w:rsidRPr="00C76853">
              <w:rPr>
                <w:rFonts w:cs="Calibri"/>
                <w:color w:val="000000"/>
              </w:rPr>
              <w:t>Jowhar</w:t>
            </w:r>
            <w:proofErr w:type="spellEnd"/>
            <w:r w:rsidRPr="00C76853">
              <w:rPr>
                <w:rFonts w:cs="Calibri"/>
                <w:color w:val="000000"/>
              </w:rPr>
              <w:t xml:space="preserve">, Kismayo, Baidoa and </w:t>
            </w:r>
            <w:proofErr w:type="spellStart"/>
            <w:r w:rsidRPr="00C76853">
              <w:rPr>
                <w:rFonts w:cs="Calibri"/>
                <w:color w:val="000000"/>
              </w:rPr>
              <w:t>Dusamareb</w:t>
            </w:r>
            <w:proofErr w:type="spellEnd"/>
            <w:r w:rsidRPr="00C76853">
              <w:rPr>
                <w:rFonts w:cs="Calibri"/>
                <w:color w:val="000000"/>
              </w:rPr>
              <w:t xml:space="preserve"> and reached a total of 198 participants. In the meetings, the PCVE focal points informed participants about the overall PCVE agenda, the government mandate and capacities to work on it, as well as the plans to implement small action projects on PCVE in selected at-risk areas. The consultations not only increased knowledge of the participants on PCVE aims, objectives and approaches, but also provided dedicated feedback sessions in which participants informed the PCVE focal points about violent extremism-related challenges they face in their day to day life, and how government support to tackle them could look like. Lastly, these sessions were used to develop further the PCVE questionnaire to measure the degree of violent extremist actions, attitudes and networks which the PCVE experts developed in order to measure the programming impact of their small action research pilots. </w:t>
            </w:r>
          </w:p>
          <w:p w14:paraId="54D271C9" w14:textId="77777777" w:rsidR="003072F3" w:rsidRPr="00C76853" w:rsidRDefault="003072F3" w:rsidP="00131474">
            <w:pPr>
              <w:tabs>
                <w:tab w:val="left" w:pos="885"/>
              </w:tabs>
              <w:spacing w:after="0" w:line="240" w:lineRule="auto"/>
              <w:jc w:val="both"/>
              <w:rPr>
                <w:rFonts w:cs="Calibri"/>
                <w:color w:val="000000"/>
              </w:rPr>
            </w:pPr>
          </w:p>
          <w:p w14:paraId="286418AB" w14:textId="77777777" w:rsidR="003072F3" w:rsidRPr="00C76853" w:rsidRDefault="003072F3" w:rsidP="003072F3">
            <w:pPr>
              <w:spacing w:before="120" w:after="0"/>
              <w:jc w:val="both"/>
              <w:rPr>
                <w:rFonts w:cs="Calibri"/>
              </w:rPr>
            </w:pPr>
            <w:r w:rsidRPr="00C76853">
              <w:rPr>
                <w:rFonts w:cs="Calibri"/>
              </w:rPr>
              <w:t>Aiming to address this emerging challenge</w:t>
            </w:r>
            <w:r w:rsidR="00CB1B4E" w:rsidRPr="00C76853">
              <w:rPr>
                <w:rFonts w:cs="Calibri"/>
              </w:rPr>
              <w:t xml:space="preserve"> of al-Shabaab trying to influence traditional elders across the country through a so-called call for repentance</w:t>
            </w:r>
            <w:r w:rsidRPr="00C76853">
              <w:rPr>
                <w:rFonts w:cs="Calibri"/>
              </w:rPr>
              <w:t xml:space="preserve">, the OPM PCVE Coordination Unit together with the FMS PCVE Focal Points decided to launch nationwide consultations with Somalia’s traditional elders to counter al-Shabaab’s strategy. The consultations focused on reestablishing a trust relationship between traditional elders and government representatives, as well as receiving feedback on the potential role of traditional elders in a potential peace process, aiming at creating a public demand for peace as well as socializing the idea of bridging the gap between government and al-Shabaab for potential peace talks in the future. </w:t>
            </w:r>
            <w:r w:rsidR="00361FFE" w:rsidRPr="00C76853">
              <w:rPr>
                <w:rFonts w:cs="Calibri"/>
              </w:rPr>
              <w:t xml:space="preserve">353 traditional elders participated in the consultations, amongst which were also those who attended al-Shabaab’s call for repentance. </w:t>
            </w:r>
            <w:r w:rsidR="00A71C43" w:rsidRPr="00C76853">
              <w:rPr>
                <w:rFonts w:cs="Calibri"/>
              </w:rPr>
              <w:t xml:space="preserve">The consultations resulted in detailed reports and will be the basis for the OPM PCVE unit to develop guidelines for the government on how to further engage with the elders to counter their radicalization and </w:t>
            </w:r>
            <w:r w:rsidR="005D2E27" w:rsidRPr="00C76853">
              <w:rPr>
                <w:rFonts w:cs="Calibri"/>
              </w:rPr>
              <w:t>ideological as well as political alliances with al-Shabaab in light of the upcoming elections 2021.</w:t>
            </w:r>
          </w:p>
          <w:p w14:paraId="23131A23" w14:textId="77777777" w:rsidR="00131474" w:rsidRPr="00C76853" w:rsidRDefault="00131474" w:rsidP="00131474">
            <w:pPr>
              <w:pStyle w:val="BodyText"/>
              <w:spacing w:after="0" w:line="240" w:lineRule="auto"/>
              <w:jc w:val="both"/>
              <w:rPr>
                <w:rFonts w:cs="Calibri"/>
                <w:shd w:val="clear" w:color="auto" w:fill="FFFFFF"/>
              </w:rPr>
            </w:pPr>
          </w:p>
          <w:p w14:paraId="2EDE652B" w14:textId="77777777" w:rsidR="00131474" w:rsidRPr="00C76853" w:rsidRDefault="00131474" w:rsidP="00131474">
            <w:pPr>
              <w:pStyle w:val="BodyText"/>
              <w:spacing w:after="0" w:line="240" w:lineRule="auto"/>
              <w:jc w:val="both"/>
              <w:rPr>
                <w:rFonts w:cs="Calibri"/>
                <w:shd w:val="clear" w:color="auto" w:fill="FFFFFF"/>
              </w:rPr>
            </w:pPr>
            <w:r w:rsidRPr="00C76853">
              <w:rPr>
                <w:rFonts w:cs="Calibri"/>
                <w:b/>
                <w:bCs/>
                <w:u w:val="single"/>
              </w:rPr>
              <w:t>PCVE Committees and Platforms</w:t>
            </w:r>
          </w:p>
          <w:p w14:paraId="24DBDBCB" w14:textId="77777777" w:rsidR="00131474" w:rsidRPr="00C76853" w:rsidRDefault="00131474" w:rsidP="00131474">
            <w:pPr>
              <w:pStyle w:val="BodyText"/>
              <w:spacing w:after="0" w:line="240" w:lineRule="auto"/>
              <w:jc w:val="both"/>
              <w:rPr>
                <w:rFonts w:cs="Calibri"/>
                <w:shd w:val="clear" w:color="auto" w:fill="FFFFFF"/>
              </w:rPr>
            </w:pPr>
          </w:p>
          <w:p w14:paraId="218BC4ED" w14:textId="77777777" w:rsidR="00131474" w:rsidRPr="00C76853" w:rsidRDefault="00131474" w:rsidP="00131474">
            <w:pPr>
              <w:pStyle w:val="BodyText"/>
              <w:spacing w:after="0" w:line="240" w:lineRule="auto"/>
              <w:jc w:val="both"/>
              <w:rPr>
                <w:rFonts w:cs="Calibri"/>
              </w:rPr>
            </w:pPr>
            <w:r w:rsidRPr="00C76853">
              <w:rPr>
                <w:rFonts w:cs="Calibri"/>
                <w:shd w:val="clear" w:color="auto" w:fill="FFFFFF"/>
              </w:rPr>
              <w:t xml:space="preserve">A two-tiered PCVE coordination structure was developed in the FMS and the </w:t>
            </w:r>
            <w:proofErr w:type="spellStart"/>
            <w:r w:rsidRPr="00C76853">
              <w:rPr>
                <w:rFonts w:cs="Calibri"/>
                <w:shd w:val="clear" w:color="auto" w:fill="FFFFFF"/>
              </w:rPr>
              <w:t>Benadir</w:t>
            </w:r>
            <w:proofErr w:type="spellEnd"/>
            <w:r w:rsidRPr="00C76853">
              <w:rPr>
                <w:rFonts w:cs="Calibri"/>
                <w:shd w:val="clear" w:color="auto" w:fill="FFFFFF"/>
              </w:rPr>
              <w:t xml:space="preserve"> region, establishing PCVE Platforms and PCVE Committees. T</w:t>
            </w:r>
            <w:r w:rsidRPr="00C76853">
              <w:rPr>
                <w:rFonts w:cs="Calibri"/>
              </w:rPr>
              <w:t xml:space="preserve">he objective of the PCVE platforms is to offer a forum for exchange on community concerns, conditions and grievances that either contribute to the development of an environment conducive to radicalization or pose actual motivations for communities and/or individuals to sympathize with and support violent extremist groups. The PCVE platforms offer civil society and community representatives a forum to raise these issues with government representatives. The government subsequently, through district, regional and federal level coordination structures, such as PCVE Committee meetings at state capital level, aims to address these challenges with community-based solutions, prioritizing issues identified by communities as most pressing. </w:t>
            </w:r>
          </w:p>
          <w:p w14:paraId="0A0E8B32" w14:textId="77777777" w:rsidR="00131474" w:rsidRPr="00C76853" w:rsidRDefault="00131474" w:rsidP="00131474">
            <w:pPr>
              <w:pStyle w:val="BodyText"/>
              <w:spacing w:after="0" w:line="240" w:lineRule="auto"/>
              <w:jc w:val="both"/>
              <w:rPr>
                <w:rFonts w:cs="Calibri"/>
              </w:rPr>
            </w:pPr>
          </w:p>
          <w:p w14:paraId="6AFEC17F" w14:textId="77777777" w:rsidR="00131474" w:rsidRPr="00C76853" w:rsidRDefault="00131474" w:rsidP="00131474">
            <w:pPr>
              <w:spacing w:after="0" w:line="240" w:lineRule="auto"/>
              <w:jc w:val="both"/>
              <w:rPr>
                <w:rFonts w:cs="Calibri"/>
                <w:color w:val="000000"/>
              </w:rPr>
            </w:pPr>
            <w:r w:rsidRPr="00C76853">
              <w:rPr>
                <w:rFonts w:cs="Calibri"/>
              </w:rPr>
              <w:t xml:space="preserve">The PCVE Unit of the OPM together with the PCVE focal points of the FMS and the </w:t>
            </w:r>
            <w:proofErr w:type="spellStart"/>
            <w:r w:rsidRPr="00C76853">
              <w:rPr>
                <w:rFonts w:cs="Calibri"/>
              </w:rPr>
              <w:t>Benadir</w:t>
            </w:r>
            <w:proofErr w:type="spellEnd"/>
            <w:r w:rsidRPr="00C76853">
              <w:rPr>
                <w:rFonts w:cs="Calibri"/>
              </w:rPr>
              <w:t xml:space="preserve"> region developed and adopted the Terms of Reference of the PCVE Committees and Platforms. The PCVE experts further developed a discussion guide structuring the engagement between government and community representatives. These </w:t>
            </w:r>
            <w:r w:rsidRPr="00C76853">
              <w:rPr>
                <w:rFonts w:cs="Calibri"/>
                <w:color w:val="000000"/>
              </w:rPr>
              <w:lastRenderedPageBreak/>
              <w:t>guidelines allowed for the PCVE platform interactions to follow a structured communication approach in order to manage community expectations, help communities identify issues related to PCVE, help communities to prioritize the most important challenges first, and for the government representatives to have an agreed-upon response if a community is of the opinion that certain challenges related to local grievances and basic service delivery could potentially be better addressed by violent extremist groups than by the government itself.</w:t>
            </w:r>
          </w:p>
          <w:p w14:paraId="4A521827" w14:textId="77777777" w:rsidR="00131474" w:rsidRPr="00C76853" w:rsidRDefault="00131474" w:rsidP="00131474">
            <w:pPr>
              <w:spacing w:after="0" w:line="240" w:lineRule="auto"/>
              <w:jc w:val="both"/>
              <w:rPr>
                <w:rFonts w:cs="Calibri"/>
                <w:color w:val="000000"/>
              </w:rPr>
            </w:pPr>
            <w:r w:rsidRPr="00C76853">
              <w:rPr>
                <w:rFonts w:cs="Calibri"/>
                <w:color w:val="000000"/>
              </w:rPr>
              <w:t xml:space="preserve"> </w:t>
            </w:r>
          </w:p>
          <w:p w14:paraId="4A75631D" w14:textId="77777777" w:rsidR="00131474" w:rsidRPr="00C76853" w:rsidRDefault="00131474" w:rsidP="00131474">
            <w:pPr>
              <w:spacing w:after="0" w:line="240" w:lineRule="auto"/>
              <w:jc w:val="both"/>
              <w:rPr>
                <w:rFonts w:cs="Calibri"/>
                <w:color w:val="000000"/>
              </w:rPr>
            </w:pPr>
            <w:r w:rsidRPr="00C76853">
              <w:rPr>
                <w:rFonts w:cs="Calibri"/>
                <w:color w:val="000000"/>
              </w:rPr>
              <w:t>As a first step, PCVE Committees with representatives of the respective state line ministries were established in all FMS. The PCVE focal points convened these meetings informing line ministries about PCVE and the platform outreach to communities. Subsequently, PCVE Platform meetings were organized in selected locations (</w:t>
            </w:r>
            <w:r w:rsidRPr="00C76853">
              <w:rPr>
                <w:rStyle w:val="A8"/>
                <w:rFonts w:cs="Calibri"/>
                <w:color w:val="000000"/>
                <w:sz w:val="22"/>
                <w:szCs w:val="22"/>
              </w:rPr>
              <w:t>Puntland, Galmudug, South West State</w:t>
            </w:r>
            <w:r w:rsidR="00A22891" w:rsidRPr="00C76853">
              <w:rPr>
                <w:rStyle w:val="A8"/>
                <w:rFonts w:cs="Calibri"/>
                <w:color w:val="000000"/>
                <w:sz w:val="22"/>
                <w:szCs w:val="22"/>
              </w:rPr>
              <w:t xml:space="preserve">, </w:t>
            </w:r>
            <w:r w:rsidRPr="00C76853">
              <w:rPr>
                <w:rStyle w:val="A8"/>
                <w:rFonts w:cs="Calibri"/>
                <w:color w:val="000000"/>
                <w:sz w:val="22"/>
                <w:szCs w:val="22"/>
              </w:rPr>
              <w:t>Hirshabelle</w:t>
            </w:r>
            <w:r w:rsidR="00A22891" w:rsidRPr="00C76853">
              <w:rPr>
                <w:rStyle w:val="A8"/>
                <w:rFonts w:cs="Calibri"/>
                <w:color w:val="000000"/>
                <w:sz w:val="22"/>
                <w:szCs w:val="22"/>
              </w:rPr>
              <w:t xml:space="preserve"> and BRA</w:t>
            </w:r>
            <w:r w:rsidRPr="00C76853">
              <w:rPr>
                <w:rStyle w:val="A8"/>
                <w:rFonts w:cs="Calibri"/>
                <w:color w:val="000000"/>
                <w:sz w:val="22"/>
                <w:szCs w:val="22"/>
              </w:rPr>
              <w:t>)</w:t>
            </w:r>
            <w:r w:rsidR="00024B98" w:rsidRPr="00C76853">
              <w:rPr>
                <w:rStyle w:val="A8"/>
                <w:rFonts w:cs="Calibri"/>
                <w:color w:val="000000"/>
                <w:sz w:val="22"/>
                <w:szCs w:val="22"/>
              </w:rPr>
              <w:t xml:space="preserve">. </w:t>
            </w:r>
            <w:r w:rsidRPr="00C76853">
              <w:rPr>
                <w:rFonts w:cs="Calibri"/>
                <w:color w:val="000000"/>
              </w:rPr>
              <w:t>F</w:t>
            </w:r>
            <w:r w:rsidRPr="00C76853">
              <w:rPr>
                <w:rFonts w:cs="Calibri"/>
              </w:rPr>
              <w:t xml:space="preserve">ollowing the structured guideline of engagement with communities, the PCVE Platform meetings produced lists of </w:t>
            </w:r>
            <w:r w:rsidR="00ED5416" w:rsidRPr="00C76853">
              <w:rPr>
                <w:rFonts w:cs="Calibri"/>
              </w:rPr>
              <w:t xml:space="preserve">39 </w:t>
            </w:r>
            <w:r w:rsidRPr="00C76853">
              <w:rPr>
                <w:rFonts w:cs="Calibri"/>
              </w:rPr>
              <w:t xml:space="preserve">community priorities summarizing the PCVE-related challenges. The PCVE focal point subsequently reported directly to the respective PCVE Committee in the FMS, bringing to Committees' attention PCVE-related challenges identified and prioritized by communities for further action. The PCVE focal points further shared these lists of priorities with the PCVE Coordination Unit under the Office of the Prime Minister. </w:t>
            </w:r>
            <w:r w:rsidR="00725F7C" w:rsidRPr="00C76853">
              <w:rPr>
                <w:rFonts w:cs="Calibri"/>
              </w:rPr>
              <w:t>The government took steps to address these root causes identified</w:t>
            </w:r>
            <w:r w:rsidR="00DB4FC3" w:rsidRPr="00C76853">
              <w:rPr>
                <w:rFonts w:cs="Calibri"/>
              </w:rPr>
              <w:t xml:space="preserve">. Some of them were within the mandate of the PCVE structures and could be addressed directly by the FMS focal points on the ground. Others required the involvement and sensitization of relevant local and state authorities mandated to respond. </w:t>
            </w:r>
            <w:r w:rsidR="00A77307" w:rsidRPr="00C76853">
              <w:rPr>
                <w:rFonts w:cs="Calibri"/>
              </w:rPr>
              <w:t xml:space="preserve">Some of the challenges raised were too broad and encompassing to develop a quick solution and will require continuous engagement with the respective communities. </w:t>
            </w:r>
          </w:p>
          <w:p w14:paraId="14682C4D" w14:textId="77777777" w:rsidR="00131474" w:rsidRPr="00C76853" w:rsidRDefault="00131474" w:rsidP="00131474">
            <w:pPr>
              <w:spacing w:after="0" w:line="240" w:lineRule="auto"/>
              <w:jc w:val="both"/>
              <w:rPr>
                <w:rFonts w:cs="Calibri"/>
                <w:color w:val="000000"/>
              </w:rPr>
            </w:pPr>
          </w:p>
          <w:p w14:paraId="7B783480" w14:textId="77777777" w:rsidR="00131474" w:rsidRPr="00C76853" w:rsidRDefault="00131474" w:rsidP="00131474">
            <w:pPr>
              <w:tabs>
                <w:tab w:val="left" w:pos="885"/>
              </w:tabs>
              <w:spacing w:after="0" w:line="240" w:lineRule="auto"/>
              <w:jc w:val="both"/>
              <w:rPr>
                <w:rFonts w:cs="Calibri"/>
                <w:color w:val="000000"/>
              </w:rPr>
            </w:pPr>
            <w:r w:rsidRPr="00C76853">
              <w:rPr>
                <w:rFonts w:cs="Calibri"/>
                <w:color w:val="000000"/>
              </w:rPr>
              <w:t xml:space="preserve">The experience of PCVE platform implementation showed that knowledge of the PCVE push and pull factors at community level is limited to non-existent. Through interventions by the government focal points, however, local experiences with the challenge of violent extremism can be easily linked to a more systematic approach of identifying and clustering challenges related to violent extremism. Having understood the concept of PCVE, community members are both willing and able to provide detailed information about motivations and triggering factors for local support to violent extremist groups. The PCVE focal points were able to address some of the challenges identified through relatively simple measures within the government mandate and capacity. Others do require a lengthier thought process that might entail continued dialogue between government and community representatives to develop and test solutions. In most circumstances, both community and government representatives do require additional support to come up with locally owned solutions, as well as capacity building and resources to be able to realize them. Once the exchange between government and at-risk communities is started, it has proven to be of utmost importance to guarantee its continuation on a regular basis, showcasing government responsiveness towards local grievances, establishing and strengthening a trust-based relationship. </w:t>
            </w:r>
          </w:p>
          <w:p w14:paraId="4D830AFC" w14:textId="77777777" w:rsidR="00131474" w:rsidRPr="00C76853" w:rsidRDefault="00131474" w:rsidP="00131474">
            <w:pPr>
              <w:tabs>
                <w:tab w:val="left" w:pos="885"/>
              </w:tabs>
              <w:spacing w:after="0" w:line="240" w:lineRule="auto"/>
              <w:jc w:val="both"/>
              <w:rPr>
                <w:rFonts w:cs="Calibri"/>
                <w:color w:val="000000"/>
              </w:rPr>
            </w:pPr>
          </w:p>
          <w:p w14:paraId="37494262" w14:textId="77777777" w:rsidR="00131474" w:rsidRPr="00C76853" w:rsidRDefault="00131474" w:rsidP="00131474">
            <w:pPr>
              <w:tabs>
                <w:tab w:val="left" w:pos="885"/>
              </w:tabs>
              <w:spacing w:after="0" w:line="240" w:lineRule="auto"/>
              <w:jc w:val="both"/>
              <w:rPr>
                <w:rFonts w:cs="Calibri"/>
              </w:rPr>
            </w:pPr>
            <w:r w:rsidRPr="00C76853">
              <w:rPr>
                <w:rFonts w:cs="Calibri"/>
                <w:b/>
                <w:bCs/>
                <w:color w:val="000000"/>
                <w:u w:val="single"/>
              </w:rPr>
              <w:t>PCVE Research</w:t>
            </w:r>
          </w:p>
          <w:p w14:paraId="10848578" w14:textId="77777777" w:rsidR="00131474" w:rsidRPr="00C76853" w:rsidRDefault="00131474" w:rsidP="00131474">
            <w:pPr>
              <w:spacing w:after="0" w:line="240" w:lineRule="auto"/>
              <w:jc w:val="both"/>
              <w:rPr>
                <w:rFonts w:cs="Calibri"/>
              </w:rPr>
            </w:pPr>
          </w:p>
          <w:p w14:paraId="4700F43B" w14:textId="77777777" w:rsidR="00131474" w:rsidRPr="00C76853" w:rsidRDefault="00131474" w:rsidP="00131474">
            <w:pPr>
              <w:spacing w:after="0" w:line="240" w:lineRule="auto"/>
              <w:jc w:val="both"/>
              <w:rPr>
                <w:rFonts w:cs="Calibri"/>
              </w:rPr>
            </w:pPr>
            <w:r w:rsidRPr="00C76853">
              <w:rPr>
                <w:rFonts w:cs="Calibri"/>
              </w:rPr>
              <w:t xml:space="preserve">The project supported the OPM PCVE Coordination Unit in collaboration with the PCVE Focal Point for the </w:t>
            </w:r>
            <w:proofErr w:type="spellStart"/>
            <w:r w:rsidRPr="00C76853">
              <w:rPr>
                <w:rFonts w:cs="Calibri"/>
              </w:rPr>
              <w:t>Benadir</w:t>
            </w:r>
            <w:proofErr w:type="spellEnd"/>
            <w:r w:rsidRPr="00C76853">
              <w:rPr>
                <w:rFonts w:cs="Calibri"/>
              </w:rPr>
              <w:t xml:space="preserve"> Regional Administration in developing and commencing the implementation of a set of small action research pilot interventions. The PCVE experts received guidance on how to select project locations and target groups, and how to design PCVE projects with a community-based research approach to test the effectiveness of those interventions. Six Small Scale Action Research Projects in all FMS and the </w:t>
            </w:r>
            <w:proofErr w:type="spellStart"/>
            <w:r w:rsidRPr="00C76853">
              <w:rPr>
                <w:rFonts w:cs="Calibri"/>
              </w:rPr>
              <w:t>Benadir</w:t>
            </w:r>
            <w:proofErr w:type="spellEnd"/>
            <w:r w:rsidRPr="00C76853">
              <w:rPr>
                <w:rFonts w:cs="Calibri"/>
              </w:rPr>
              <w:t xml:space="preserve"> Region were developed: </w:t>
            </w:r>
          </w:p>
          <w:p w14:paraId="0AA658A6" w14:textId="77777777" w:rsidR="00131474" w:rsidRPr="00C76853" w:rsidRDefault="00131474" w:rsidP="00131474">
            <w:pPr>
              <w:spacing w:after="0" w:line="240" w:lineRule="auto"/>
              <w:jc w:val="both"/>
              <w:rPr>
                <w:rFonts w:cs="Calibri"/>
              </w:rPr>
            </w:pPr>
          </w:p>
          <w:p w14:paraId="2AA38A49" w14:textId="77777777" w:rsidR="00131474" w:rsidRPr="00C76853" w:rsidRDefault="00131474" w:rsidP="00131474">
            <w:pPr>
              <w:numPr>
                <w:ilvl w:val="0"/>
                <w:numId w:val="12"/>
              </w:numPr>
              <w:suppressAutoHyphens/>
              <w:spacing w:after="0" w:line="240" w:lineRule="auto"/>
              <w:jc w:val="both"/>
              <w:rPr>
                <w:rFonts w:cs="Calibri"/>
              </w:rPr>
            </w:pPr>
            <w:r w:rsidRPr="00C76853">
              <w:rPr>
                <w:rFonts w:cs="Calibri"/>
              </w:rPr>
              <w:t xml:space="preserve">For Puntland, the pilot to be implemented in the outskirts of </w:t>
            </w:r>
            <w:proofErr w:type="spellStart"/>
            <w:r w:rsidRPr="00C76853">
              <w:rPr>
                <w:rFonts w:cs="Calibri"/>
                <w:iCs/>
              </w:rPr>
              <w:t>Bosasso</w:t>
            </w:r>
            <w:proofErr w:type="spellEnd"/>
            <w:r w:rsidRPr="00C76853">
              <w:rPr>
                <w:rFonts w:cs="Calibri"/>
                <w:iCs/>
              </w:rPr>
              <w:t xml:space="preserve"> under the influence of AS and IS </w:t>
            </w:r>
            <w:r w:rsidRPr="00C76853">
              <w:rPr>
                <w:rFonts w:cs="Calibri"/>
                <w:iCs/>
              </w:rPr>
              <w:lastRenderedPageBreak/>
              <w:t>focuses on</w:t>
            </w:r>
            <w:r w:rsidRPr="00C76853">
              <w:rPr>
                <w:rFonts w:cs="Calibri"/>
              </w:rPr>
              <w:t xml:space="preserve"> community outreach and government responsiveness to local grievances. </w:t>
            </w:r>
          </w:p>
          <w:p w14:paraId="5EFCCBEA" w14:textId="77777777" w:rsidR="00131474" w:rsidRPr="00C76853" w:rsidRDefault="00131474" w:rsidP="00131474">
            <w:pPr>
              <w:numPr>
                <w:ilvl w:val="0"/>
                <w:numId w:val="12"/>
              </w:numPr>
              <w:suppressAutoHyphens/>
              <w:spacing w:after="0" w:line="240" w:lineRule="auto"/>
              <w:jc w:val="both"/>
              <w:rPr>
                <w:rFonts w:cs="Calibri"/>
              </w:rPr>
            </w:pPr>
            <w:r w:rsidRPr="00C76853">
              <w:rPr>
                <w:rFonts w:cs="Calibri"/>
              </w:rPr>
              <w:t xml:space="preserve">For </w:t>
            </w:r>
            <w:r w:rsidRPr="00C76853">
              <w:rPr>
                <w:rFonts w:cs="Calibri"/>
                <w:iCs/>
              </w:rPr>
              <w:t xml:space="preserve">Hirshabelle, the pilot to be located in </w:t>
            </w:r>
            <w:proofErr w:type="spellStart"/>
            <w:r w:rsidRPr="00C76853">
              <w:rPr>
                <w:rFonts w:cs="Calibri"/>
                <w:iCs/>
              </w:rPr>
              <w:t>Jowhar</w:t>
            </w:r>
            <w:proofErr w:type="spellEnd"/>
            <w:r w:rsidRPr="00C76853">
              <w:rPr>
                <w:rFonts w:cs="Calibri"/>
                <w:iCs/>
              </w:rPr>
              <w:t xml:space="preserve"> focuses on</w:t>
            </w:r>
            <w:r w:rsidRPr="00C76853">
              <w:rPr>
                <w:rFonts w:cs="Calibri"/>
                <w:i/>
                <w:iCs/>
              </w:rPr>
              <w:t xml:space="preserve"> </w:t>
            </w:r>
            <w:r w:rsidRPr="00C76853">
              <w:rPr>
                <w:rFonts w:cs="Calibri"/>
                <w:iCs/>
              </w:rPr>
              <w:t>t</w:t>
            </w:r>
            <w:r w:rsidRPr="00C76853">
              <w:rPr>
                <w:rFonts w:cs="Calibri"/>
              </w:rPr>
              <w:t xml:space="preserve">eaching the correct interpretation of Islam to students of a madrassa known for radical </w:t>
            </w:r>
            <w:proofErr w:type="spellStart"/>
            <w:r w:rsidRPr="00C76853">
              <w:rPr>
                <w:rFonts w:cs="Calibri"/>
              </w:rPr>
              <w:t>preachings</w:t>
            </w:r>
            <w:proofErr w:type="spellEnd"/>
            <w:r w:rsidRPr="00C76853">
              <w:rPr>
                <w:rFonts w:cs="Calibri"/>
              </w:rPr>
              <w:t xml:space="preserve">. </w:t>
            </w:r>
          </w:p>
          <w:p w14:paraId="2327AF18" w14:textId="77777777" w:rsidR="00131474" w:rsidRPr="00C76853" w:rsidRDefault="00131474" w:rsidP="00131474">
            <w:pPr>
              <w:numPr>
                <w:ilvl w:val="0"/>
                <w:numId w:val="12"/>
              </w:numPr>
              <w:suppressAutoHyphens/>
              <w:spacing w:after="0" w:line="240" w:lineRule="auto"/>
              <w:jc w:val="both"/>
              <w:rPr>
                <w:rFonts w:cs="Calibri"/>
              </w:rPr>
            </w:pPr>
            <w:r w:rsidRPr="00C76853">
              <w:rPr>
                <w:rFonts w:cs="Calibri"/>
              </w:rPr>
              <w:t xml:space="preserve">In </w:t>
            </w:r>
            <w:r w:rsidRPr="00C76853">
              <w:rPr>
                <w:rFonts w:cs="Calibri"/>
                <w:iCs/>
              </w:rPr>
              <w:t>South-West, the pilot to be implemented in Baidoa focuses on p</w:t>
            </w:r>
            <w:r w:rsidRPr="00C76853">
              <w:rPr>
                <w:rFonts w:cs="Calibri"/>
              </w:rPr>
              <w:t xml:space="preserve">eace education for high school students prone to radicalization. </w:t>
            </w:r>
          </w:p>
          <w:p w14:paraId="4474F273" w14:textId="77777777" w:rsidR="00131474" w:rsidRPr="00C76853" w:rsidRDefault="00131474" w:rsidP="00131474">
            <w:pPr>
              <w:numPr>
                <w:ilvl w:val="0"/>
                <w:numId w:val="12"/>
              </w:numPr>
              <w:suppressAutoHyphens/>
              <w:spacing w:after="0" w:line="240" w:lineRule="auto"/>
              <w:jc w:val="both"/>
              <w:rPr>
                <w:rFonts w:cs="Calibri"/>
              </w:rPr>
            </w:pPr>
            <w:r w:rsidRPr="00C76853">
              <w:rPr>
                <w:rFonts w:cs="Calibri"/>
              </w:rPr>
              <w:t xml:space="preserve">In </w:t>
            </w:r>
            <w:r w:rsidRPr="00C76853">
              <w:rPr>
                <w:rFonts w:cs="Calibri"/>
                <w:iCs/>
              </w:rPr>
              <w:t xml:space="preserve">Galmudug, the pilot to be implemented in </w:t>
            </w:r>
            <w:proofErr w:type="spellStart"/>
            <w:r w:rsidRPr="00C76853">
              <w:rPr>
                <w:rFonts w:cs="Calibri"/>
                <w:iCs/>
              </w:rPr>
              <w:t>Caadado</w:t>
            </w:r>
            <w:proofErr w:type="spellEnd"/>
            <w:r w:rsidRPr="00C76853">
              <w:rPr>
                <w:rFonts w:cs="Calibri"/>
                <w:iCs/>
              </w:rPr>
              <w:t xml:space="preserve"> focuses on</w:t>
            </w:r>
            <w:r w:rsidRPr="00C76853">
              <w:rPr>
                <w:rFonts w:cs="Calibri"/>
                <w:i/>
                <w:iCs/>
              </w:rPr>
              <w:t xml:space="preserve"> </w:t>
            </w:r>
            <w:r w:rsidRPr="00C76853">
              <w:rPr>
                <w:rFonts w:cs="Calibri"/>
                <w:iCs/>
              </w:rPr>
              <w:t>te</w:t>
            </w:r>
            <w:r w:rsidRPr="00C76853">
              <w:rPr>
                <w:rFonts w:cs="Calibri"/>
              </w:rPr>
              <w:t xml:space="preserve">aching inter-clan harmony and tolerance to children sent away by their clans from AS-held areas to protect them from forced recruitment. </w:t>
            </w:r>
          </w:p>
          <w:p w14:paraId="55861199" w14:textId="77777777" w:rsidR="00131474" w:rsidRPr="00C76853" w:rsidRDefault="00131474" w:rsidP="00131474">
            <w:pPr>
              <w:numPr>
                <w:ilvl w:val="0"/>
                <w:numId w:val="12"/>
              </w:numPr>
              <w:suppressAutoHyphens/>
              <w:spacing w:after="0" w:line="240" w:lineRule="auto"/>
              <w:jc w:val="both"/>
              <w:rPr>
                <w:rFonts w:cs="Calibri"/>
              </w:rPr>
            </w:pPr>
            <w:r w:rsidRPr="00C76853">
              <w:rPr>
                <w:rFonts w:cs="Calibri"/>
              </w:rPr>
              <w:t xml:space="preserve">In the </w:t>
            </w:r>
            <w:proofErr w:type="spellStart"/>
            <w:r w:rsidRPr="00C76853">
              <w:rPr>
                <w:rFonts w:cs="Calibri"/>
              </w:rPr>
              <w:t>Benadir</w:t>
            </w:r>
            <w:proofErr w:type="spellEnd"/>
            <w:r w:rsidRPr="00C76853">
              <w:rPr>
                <w:rFonts w:cs="Calibri"/>
              </w:rPr>
              <w:t xml:space="preserve"> region, the pilot focuses on developing, launching and analyzing the impact of different counter-narratives through radio and social media. This research aims to analyze the degree to which different counter-narratives impact public opinion and receive positive responses. To this end, the government identified different messengers and developed varying messages to prevent and counter violent extremism, including stories of defectors/survivors, and victims of terror attacks, messages of women, religious leaders and youth representatives, as well as a clip produced by a group of comedians. Many of these messages developed out of the broad consultative process with key stakeholders undertaken in the course of the project, including the women's consultations and the religious leaders’ conference. </w:t>
            </w:r>
          </w:p>
          <w:p w14:paraId="135E0309" w14:textId="77777777" w:rsidR="00131474" w:rsidRPr="00C76853" w:rsidRDefault="00131474" w:rsidP="00131474">
            <w:pPr>
              <w:spacing w:after="0" w:line="240" w:lineRule="auto"/>
              <w:ind w:left="360"/>
              <w:jc w:val="both"/>
              <w:rPr>
                <w:rFonts w:cs="Calibri"/>
              </w:rPr>
            </w:pPr>
          </w:p>
          <w:p w14:paraId="18A72BB1" w14:textId="77777777" w:rsidR="00131474" w:rsidRPr="00C76853" w:rsidRDefault="00131474" w:rsidP="00131474">
            <w:pPr>
              <w:spacing w:after="0" w:line="240" w:lineRule="auto"/>
              <w:jc w:val="both"/>
              <w:rPr>
                <w:rFonts w:cs="Calibri"/>
              </w:rPr>
            </w:pPr>
            <w:r w:rsidRPr="00C76853">
              <w:rPr>
                <w:rFonts w:cs="Calibri"/>
              </w:rPr>
              <w:t>The projects are designed in a way that they will be accompanied by a qualitative analysis of the impact of these interventions on the degree of radical attitudes, beliefs and actions of the respective target groups. For this purpose, the PCVE focal points and OPM staff developed a dedicated questionnaire to measure the degree of violent extremism of the target groups to collect comparative data over the project intervention period. The findings and knowledge products developed throughout the different interventions will be shared with concerned line ministries for further distribution and project replication. For example, the South West State focal point developed, through various consultative sessions with key stakeholders, a peace education curriculum which, after testing its impact, will be shared with the ministries of education at state and federal level. The PCVE focal point for Hirshabelle developed a manual on religious counter-narratives and the correct interpretation of Islam in response to the verses and hadiths typically used by violent extremist groups. Once the manual has been tested, as part of the intervention with madrassa students, it will be shared with the ministries of religious affairs at state and federal level for replication and expansion.</w:t>
            </w:r>
          </w:p>
          <w:p w14:paraId="6043DA59" w14:textId="77777777" w:rsidR="00917CD7" w:rsidRPr="00C76853" w:rsidRDefault="00917CD7" w:rsidP="00131474">
            <w:pPr>
              <w:spacing w:after="0" w:line="240" w:lineRule="auto"/>
              <w:jc w:val="both"/>
              <w:rPr>
                <w:rFonts w:cs="Calibri"/>
              </w:rPr>
            </w:pPr>
          </w:p>
          <w:p w14:paraId="261C7940" w14:textId="77777777" w:rsidR="00917CD7" w:rsidRPr="00C76853" w:rsidRDefault="00917CD7" w:rsidP="00131474">
            <w:pPr>
              <w:spacing w:after="0" w:line="240" w:lineRule="auto"/>
              <w:jc w:val="both"/>
              <w:rPr>
                <w:rFonts w:cs="Calibri"/>
              </w:rPr>
            </w:pPr>
            <w:r w:rsidRPr="00C76853">
              <w:rPr>
                <w:rFonts w:cs="Calibri"/>
              </w:rPr>
              <w:t xml:space="preserve">In addition, it was decided to include measuring the impact of PCVE platforms on the degree of violent extremism – measured inter alia through the level of trust between local communities and government authorities – into the scope of the research. </w:t>
            </w:r>
            <w:r w:rsidR="0018198A" w:rsidRPr="00C76853">
              <w:rPr>
                <w:rFonts w:cs="Calibri"/>
              </w:rPr>
              <w:t xml:space="preserve">Several platform locations were selected to be included into the research design. </w:t>
            </w:r>
          </w:p>
          <w:p w14:paraId="2D645BD3" w14:textId="77777777" w:rsidR="009B3E79" w:rsidRPr="00C76853" w:rsidRDefault="009B3E79" w:rsidP="00333991">
            <w:pPr>
              <w:tabs>
                <w:tab w:val="left" w:pos="885"/>
              </w:tabs>
              <w:spacing w:before="120" w:after="0"/>
              <w:rPr>
                <w:rFonts w:cs="Calibri"/>
                <w:i/>
                <w:color w:val="0070C0"/>
                <w:lang w:eastAsia="fr-CA"/>
              </w:rPr>
            </w:pPr>
          </w:p>
        </w:tc>
      </w:tr>
      <w:tr w:rsidR="00F81551" w:rsidRPr="00C76853" w14:paraId="7EABA6EB" w14:textId="77777777" w:rsidTr="00EE19D8">
        <w:trPr>
          <w:trHeight w:val="611"/>
        </w:trPr>
        <w:tc>
          <w:tcPr>
            <w:tcW w:w="10320" w:type="dxa"/>
            <w:gridSpan w:val="4"/>
            <w:shd w:val="clear" w:color="auto" w:fill="auto"/>
          </w:tcPr>
          <w:p w14:paraId="338204EA" w14:textId="77777777" w:rsidR="00F81551" w:rsidRPr="00C76853" w:rsidRDefault="00D66196" w:rsidP="00474992">
            <w:pPr>
              <w:jc w:val="both"/>
              <w:rPr>
                <w:rFonts w:cs="Calibri"/>
                <w:i/>
                <w:lang w:eastAsia="fr-CA"/>
              </w:rPr>
            </w:pPr>
            <w:r w:rsidRPr="00C76853">
              <w:rPr>
                <w:rFonts w:cs="Calibri"/>
                <w:b/>
                <w:bCs/>
              </w:rPr>
              <w:lastRenderedPageBreak/>
              <w:t xml:space="preserve">Other </w:t>
            </w:r>
            <w:r w:rsidR="00F81551" w:rsidRPr="00C76853">
              <w:rPr>
                <w:rFonts w:cs="Calibri"/>
                <w:b/>
                <w:bCs/>
              </w:rPr>
              <w:t>Key Achievements</w:t>
            </w:r>
            <w:r w:rsidR="00F81551" w:rsidRPr="00C76853">
              <w:rPr>
                <w:rFonts w:cs="Calibri"/>
                <w:bCs/>
              </w:rPr>
              <w:t xml:space="preserve"> </w:t>
            </w:r>
            <w:r w:rsidR="00AF72B0" w:rsidRPr="00C76853">
              <w:rPr>
                <w:rFonts w:cs="Calibri"/>
                <w:i/>
                <w:lang w:eastAsia="fr-CA"/>
              </w:rPr>
              <w:t>&lt;bullet points on additional achievements arising out of your interventions; maximum 2 bullet points per PUNO&gt;</w:t>
            </w:r>
          </w:p>
          <w:p w14:paraId="1E034646" w14:textId="77777777" w:rsidR="0016732A" w:rsidRPr="00C76853" w:rsidRDefault="0016732A" w:rsidP="00474992">
            <w:pPr>
              <w:jc w:val="both"/>
              <w:rPr>
                <w:rFonts w:cs="Calibri"/>
                <w:bCs/>
              </w:rPr>
            </w:pPr>
            <w:r w:rsidRPr="00C76853">
              <w:rPr>
                <w:rFonts w:cs="Calibri"/>
                <w:bCs/>
              </w:rPr>
              <w:t>n/a</w:t>
            </w:r>
          </w:p>
        </w:tc>
      </w:tr>
      <w:tr w:rsidR="00F81551" w:rsidRPr="00C76853" w14:paraId="5AAAB8FA" w14:textId="77777777" w:rsidTr="00EE19D8">
        <w:trPr>
          <w:trHeight w:val="368"/>
        </w:trPr>
        <w:tc>
          <w:tcPr>
            <w:tcW w:w="10320" w:type="dxa"/>
            <w:gridSpan w:val="4"/>
            <w:tcBorders>
              <w:bottom w:val="single" w:sz="4" w:space="0" w:color="auto"/>
            </w:tcBorders>
            <w:shd w:val="clear" w:color="auto" w:fill="auto"/>
          </w:tcPr>
          <w:p w14:paraId="1A2F8E1E" w14:textId="77777777" w:rsidR="00F81551" w:rsidRPr="00C76853" w:rsidRDefault="00F06CEA" w:rsidP="005F4A78">
            <w:pPr>
              <w:jc w:val="both"/>
              <w:rPr>
                <w:rFonts w:cs="Calibri"/>
                <w:lang w:eastAsia="fr-CA"/>
              </w:rPr>
            </w:pPr>
            <w:r w:rsidRPr="00C76853">
              <w:rPr>
                <w:rFonts w:cs="Calibri"/>
                <w:b/>
                <w:bCs/>
              </w:rPr>
              <w:t xml:space="preserve">Challenges (incl: </w:t>
            </w:r>
            <w:r w:rsidR="00F81551" w:rsidRPr="00C76853">
              <w:rPr>
                <w:rFonts w:cs="Calibri"/>
                <w:b/>
                <w:bCs/>
              </w:rPr>
              <w:t xml:space="preserve">Delays </w:t>
            </w:r>
            <w:r w:rsidR="000F0429" w:rsidRPr="00C76853">
              <w:rPr>
                <w:rFonts w:cs="Calibri"/>
                <w:b/>
                <w:bCs/>
              </w:rPr>
              <w:t>or</w:t>
            </w:r>
            <w:r w:rsidR="00F81551" w:rsidRPr="00C76853">
              <w:rPr>
                <w:rFonts w:cs="Calibri"/>
                <w:b/>
                <w:bCs/>
              </w:rPr>
              <w:t xml:space="preserve"> Deviation</w:t>
            </w:r>
            <w:r w:rsidR="000F0429" w:rsidRPr="00C76853">
              <w:rPr>
                <w:rFonts w:cs="Calibri"/>
                <w:b/>
                <w:bCs/>
              </w:rPr>
              <w:t>s</w:t>
            </w:r>
            <w:r w:rsidRPr="00C76853">
              <w:rPr>
                <w:rFonts w:cs="Calibri"/>
                <w:b/>
                <w:bCs/>
              </w:rPr>
              <w:t>) and Lessons Learnt:</w:t>
            </w:r>
            <w:r w:rsidR="00F81551" w:rsidRPr="00C76853">
              <w:rPr>
                <w:rFonts w:cs="Calibri"/>
                <w:b/>
                <w:bCs/>
              </w:rPr>
              <w:t xml:space="preserve"> </w:t>
            </w:r>
            <w:r w:rsidR="00AF72B0" w:rsidRPr="00C76853">
              <w:rPr>
                <w:rFonts w:cs="Calibri"/>
                <w:lang w:eastAsia="fr-CA"/>
              </w:rPr>
              <w:t>&lt;</w:t>
            </w:r>
            <w:r w:rsidR="00F81551" w:rsidRPr="00C76853">
              <w:rPr>
                <w:rFonts w:cs="Calibri"/>
                <w:i/>
                <w:lang w:eastAsia="fr-CA"/>
              </w:rPr>
              <w:t xml:space="preserve">if any, briefly describe </w:t>
            </w:r>
            <w:r w:rsidR="000F0429" w:rsidRPr="00C76853">
              <w:rPr>
                <w:rFonts w:cs="Calibri"/>
                <w:i/>
                <w:lang w:eastAsia="fr-CA"/>
              </w:rPr>
              <w:t xml:space="preserve">the </w:t>
            </w:r>
            <w:r w:rsidR="00F81551" w:rsidRPr="00C76853">
              <w:rPr>
                <w:rFonts w:cs="Calibri"/>
                <w:i/>
                <w:lang w:eastAsia="fr-CA"/>
              </w:rPr>
              <w:t>delays or changes in focus, approach</w:t>
            </w:r>
            <w:r w:rsidR="000F0429" w:rsidRPr="00C76853">
              <w:rPr>
                <w:rFonts w:cs="Calibri"/>
                <w:i/>
                <w:lang w:eastAsia="fr-CA"/>
              </w:rPr>
              <w:t xml:space="preserve"> or</w:t>
            </w:r>
            <w:r w:rsidR="00F81551" w:rsidRPr="00C76853">
              <w:rPr>
                <w:rFonts w:cs="Calibri"/>
                <w:i/>
                <w:lang w:eastAsia="fr-CA"/>
              </w:rPr>
              <w:t xml:space="preserve"> targets</w:t>
            </w:r>
            <w:r w:rsidR="000F0429" w:rsidRPr="00C76853">
              <w:rPr>
                <w:rFonts w:cs="Calibri"/>
                <w:i/>
                <w:lang w:eastAsia="fr-CA"/>
              </w:rPr>
              <w:t>,</w:t>
            </w:r>
            <w:r w:rsidR="00F81551" w:rsidRPr="00C76853">
              <w:rPr>
                <w:rFonts w:cs="Calibri"/>
                <w:i/>
                <w:lang w:eastAsia="fr-CA"/>
              </w:rPr>
              <w:t xml:space="preserve"> and provide </w:t>
            </w:r>
            <w:r w:rsidR="000F0429" w:rsidRPr="00C76853">
              <w:rPr>
                <w:rFonts w:cs="Calibri"/>
                <w:i/>
                <w:lang w:eastAsia="fr-CA"/>
              </w:rPr>
              <w:t xml:space="preserve">a </w:t>
            </w:r>
            <w:r w:rsidR="00F81551" w:rsidRPr="00C76853">
              <w:rPr>
                <w:rFonts w:cs="Calibri"/>
                <w:i/>
                <w:lang w:eastAsia="fr-CA"/>
              </w:rPr>
              <w:t xml:space="preserve">short justification for </w:t>
            </w:r>
            <w:r w:rsidR="000F0429" w:rsidRPr="00C76853">
              <w:rPr>
                <w:rFonts w:cs="Calibri"/>
                <w:i/>
                <w:lang w:eastAsia="fr-CA"/>
              </w:rPr>
              <w:t xml:space="preserve">the </w:t>
            </w:r>
            <w:r w:rsidR="00F81551" w:rsidRPr="00C76853">
              <w:rPr>
                <w:rFonts w:cs="Calibri"/>
                <w:i/>
                <w:lang w:eastAsia="fr-CA"/>
              </w:rPr>
              <w:t>change</w:t>
            </w:r>
            <w:r w:rsidR="000F0429" w:rsidRPr="00C76853">
              <w:rPr>
                <w:rFonts w:cs="Calibri"/>
                <w:i/>
                <w:lang w:eastAsia="fr-CA"/>
              </w:rPr>
              <w:t xml:space="preserve"> (</w:t>
            </w:r>
            <w:r w:rsidR="00F81551" w:rsidRPr="00C76853">
              <w:rPr>
                <w:rFonts w:cs="Calibri"/>
                <w:i/>
                <w:lang w:eastAsia="fr-CA"/>
              </w:rPr>
              <w:t>1-2 paragraphs</w:t>
            </w:r>
            <w:r w:rsidR="00F81551" w:rsidRPr="00C76853">
              <w:rPr>
                <w:rFonts w:cs="Calibri"/>
                <w:lang w:eastAsia="fr-CA"/>
              </w:rPr>
              <w:t>)</w:t>
            </w:r>
            <w:r w:rsidR="00AF72B0" w:rsidRPr="00C76853">
              <w:rPr>
                <w:rFonts w:cs="Calibri"/>
                <w:lang w:eastAsia="fr-CA"/>
              </w:rPr>
              <w:t>&gt;</w:t>
            </w:r>
          </w:p>
          <w:p w14:paraId="2D6BDB68" w14:textId="77777777" w:rsidR="007669C1" w:rsidRPr="00C76853" w:rsidRDefault="007669C1" w:rsidP="007669C1">
            <w:pPr>
              <w:spacing w:after="0" w:line="240" w:lineRule="auto"/>
              <w:jc w:val="both"/>
              <w:rPr>
                <w:rFonts w:cs="Calibri"/>
              </w:rPr>
            </w:pPr>
            <w:r w:rsidRPr="00C76853">
              <w:rPr>
                <w:rFonts w:cs="Calibri"/>
              </w:rPr>
              <w:t xml:space="preserve">The PCVE focal point for Jubaland was nominated to become the new Auditor General in early 2019. Due to the </w:t>
            </w:r>
            <w:r w:rsidRPr="00C76853">
              <w:rPr>
                <w:rFonts w:cs="Calibri"/>
              </w:rPr>
              <w:lastRenderedPageBreak/>
              <w:t>current political tensions between FGS and the state of Jubaland, the nomination of a new PCVE-FMS-FP in Jubaland on</w:t>
            </w:r>
            <w:r w:rsidR="0044678F" w:rsidRPr="00C76853">
              <w:rPr>
                <w:rFonts w:cs="Calibri"/>
              </w:rPr>
              <w:t>l</w:t>
            </w:r>
            <w:r w:rsidRPr="00C76853">
              <w:rPr>
                <w:rFonts w:cs="Calibri"/>
              </w:rPr>
              <w:t xml:space="preserve">y materialized in November 2019, despite efforts by the OPM-PCVE- Coordinator to speed up the nomination process. </w:t>
            </w:r>
          </w:p>
          <w:p w14:paraId="1DCCFBB3" w14:textId="77777777" w:rsidR="007669C1" w:rsidRPr="00C76853" w:rsidRDefault="007669C1" w:rsidP="000D4BB2">
            <w:pPr>
              <w:spacing w:after="0" w:line="240" w:lineRule="auto"/>
              <w:jc w:val="both"/>
              <w:rPr>
                <w:rFonts w:cs="Calibri"/>
              </w:rPr>
            </w:pPr>
            <w:r w:rsidRPr="00C76853">
              <w:rPr>
                <w:rFonts w:cs="Calibri"/>
              </w:rPr>
              <w:t xml:space="preserve">Due to the internal political tensions in Galmudug, project staff were so far unable to visit the project site for the small action research in </w:t>
            </w:r>
            <w:r w:rsidR="001A1A04" w:rsidRPr="00C76853">
              <w:rPr>
                <w:rFonts w:cs="Calibri"/>
              </w:rPr>
              <w:t xml:space="preserve">the state, </w:t>
            </w:r>
            <w:r w:rsidR="00C5055E" w:rsidRPr="00C76853">
              <w:rPr>
                <w:rFonts w:cs="Calibri"/>
              </w:rPr>
              <w:t>having to rely</w:t>
            </w:r>
            <w:r w:rsidR="001A1A04" w:rsidRPr="00C76853">
              <w:rPr>
                <w:rFonts w:cs="Calibri"/>
              </w:rPr>
              <w:t xml:space="preserve"> solely on the reporting provided by the focal point</w:t>
            </w:r>
            <w:r w:rsidRPr="00C76853">
              <w:rPr>
                <w:rFonts w:cs="Calibri"/>
              </w:rPr>
              <w:t>.</w:t>
            </w:r>
            <w:r w:rsidR="003832AA" w:rsidRPr="00C76853">
              <w:rPr>
                <w:rFonts w:cs="Calibri"/>
              </w:rPr>
              <w:t xml:space="preserve"> </w:t>
            </w:r>
          </w:p>
          <w:p w14:paraId="5BE0D07A" w14:textId="77777777" w:rsidR="007F5A6B" w:rsidRPr="00C76853" w:rsidRDefault="007F5A6B" w:rsidP="000D4BB2">
            <w:pPr>
              <w:spacing w:after="0" w:line="240" w:lineRule="auto"/>
              <w:jc w:val="both"/>
              <w:rPr>
                <w:rFonts w:cs="Calibri"/>
              </w:rPr>
            </w:pPr>
          </w:p>
        </w:tc>
      </w:tr>
      <w:tr w:rsidR="007216B9" w:rsidRPr="00C76853" w14:paraId="6573A951" w14:textId="77777777" w:rsidTr="00EE19D8">
        <w:trPr>
          <w:trHeight w:val="485"/>
        </w:trPr>
        <w:tc>
          <w:tcPr>
            <w:tcW w:w="10320" w:type="dxa"/>
            <w:gridSpan w:val="4"/>
            <w:tcBorders>
              <w:bottom w:val="single" w:sz="4" w:space="0" w:color="auto"/>
            </w:tcBorders>
            <w:shd w:val="clear" w:color="auto" w:fill="auto"/>
          </w:tcPr>
          <w:p w14:paraId="628734CC" w14:textId="77777777" w:rsidR="007216B9" w:rsidRPr="00C76853" w:rsidRDefault="007216B9" w:rsidP="00A30D0F">
            <w:pPr>
              <w:jc w:val="both"/>
              <w:rPr>
                <w:rFonts w:cs="Calibri"/>
                <w:i/>
                <w:lang w:eastAsia="fr-CA"/>
              </w:rPr>
            </w:pPr>
            <w:r w:rsidRPr="00C76853">
              <w:rPr>
                <w:rFonts w:cs="Calibri"/>
                <w:b/>
                <w:bCs/>
              </w:rPr>
              <w:lastRenderedPageBreak/>
              <w:t>Peacebuilding impact</w:t>
            </w:r>
            <w:r w:rsidRPr="00C76853">
              <w:rPr>
                <w:rFonts w:cs="Calibri"/>
              </w:rPr>
              <w:t xml:space="preserve"> </w:t>
            </w:r>
            <w:r w:rsidRPr="00C76853">
              <w:rPr>
                <w:rFonts w:cs="Calibri"/>
                <w:i/>
                <w:lang w:eastAsia="fr-CA"/>
              </w:rPr>
              <w:t>(</w:t>
            </w:r>
            <w:r w:rsidRPr="00C76853">
              <w:rPr>
                <w:rFonts w:cs="Calibri"/>
                <w:b/>
                <w:i/>
                <w:lang w:eastAsia="fr-CA"/>
              </w:rPr>
              <w:t>for Joint Programmes receiving PBF funding only</w:t>
            </w:r>
            <w:r w:rsidRPr="00C76853">
              <w:rPr>
                <w:rFonts w:cs="Calibri"/>
                <w:i/>
                <w:lang w:eastAsia="fr-CA"/>
              </w:rPr>
              <w:t xml:space="preserve"> –</w:t>
            </w:r>
          </w:p>
          <w:p w14:paraId="7801581D" w14:textId="77777777" w:rsidR="0044678F" w:rsidRPr="00C76853" w:rsidRDefault="0044678F" w:rsidP="00A30D0F">
            <w:pPr>
              <w:jc w:val="both"/>
              <w:rPr>
                <w:rFonts w:cs="Calibri"/>
                <w:lang w:eastAsia="fr-CA"/>
              </w:rPr>
            </w:pPr>
            <w:r w:rsidRPr="00C76853">
              <w:rPr>
                <w:rFonts w:cs="Calibri"/>
                <w:i/>
                <w:lang w:eastAsia="fr-CA"/>
              </w:rPr>
              <w:t xml:space="preserve">The project does not receive PBF funds, but the project has a substantial  Peace Building impact. </w:t>
            </w:r>
          </w:p>
          <w:p w14:paraId="669E40DA" w14:textId="77777777" w:rsidR="00890BF3" w:rsidRPr="00C76853" w:rsidRDefault="00890BF3" w:rsidP="007F5A6B">
            <w:pPr>
              <w:spacing w:after="0" w:line="240" w:lineRule="auto"/>
              <w:jc w:val="both"/>
              <w:rPr>
                <w:rFonts w:cs="Calibri"/>
                <w:bCs/>
              </w:rPr>
            </w:pPr>
            <w:r w:rsidRPr="00C76853">
              <w:rPr>
                <w:rFonts w:cs="Calibri"/>
                <w:bCs/>
              </w:rPr>
              <w:t xml:space="preserve">All small action research pilots apply a theory of change accompanied by a set of tools designed to measure specifically the programming impact on the evolution of violent extremist beliefs (and activities) of target groups. Taking into account the challenges of measuring the impact of PCVE programming, the project has – with the input of key stakeholders and the PCVE-FMS-FP – developed a methodology to collect and analyze qualitative data on violent extremism and de/radicalization, assessing related actions, attitudes and social networks with questions tailored to the context and history of Somalia, which will be applied both before and after the pilot interventions. This will allow the project to directly assess the programming impact on violent extremism, being directly linked to stability, community resilience, and human security, and to the broader peacebuilding efforts in Somalia. Testing existing theories about root causes and how to address them is not only supporting the government in fulfilling its responsibilities towards its citizens but is at the same time also part of the whole capacity building endeavor for the OPM-PCVE-CU and the PCVE-FMS-FP. It will help the coordination structure to build a knowledge base and expertise on what kind of interventions work for the Somali context, and in systematically sharing these insights and this expertise with key line ministries both at federal and regional level in a coordinated manner. A crucial part of this capacity and coordination work is the establishment of linkages between the PCVE knowledge hub and the ongoing rule of law and security sector reform efforts by guiding PCVE interventions, such as specific trainings on human rights and PCVE, towards police, corrections, military and intelligence institutions and personnel. Systematically linking PCVE interventions with SSR and </w:t>
            </w:r>
            <w:proofErr w:type="spellStart"/>
            <w:r w:rsidRPr="00C76853">
              <w:rPr>
                <w:rFonts w:cs="Calibri"/>
                <w:bCs/>
              </w:rPr>
              <w:t>RoL</w:t>
            </w:r>
            <w:proofErr w:type="spellEnd"/>
            <w:r w:rsidRPr="00C76853">
              <w:rPr>
                <w:rFonts w:cs="Calibri"/>
                <w:bCs/>
              </w:rPr>
              <w:t xml:space="preserve"> contributes to the overall peacebuilding and stabilization efforts. </w:t>
            </w:r>
          </w:p>
          <w:p w14:paraId="602ACFD3" w14:textId="77777777" w:rsidR="007F5A6B" w:rsidRPr="00C76853" w:rsidRDefault="007F5A6B" w:rsidP="007F5A6B">
            <w:pPr>
              <w:spacing w:after="0" w:line="240" w:lineRule="auto"/>
              <w:jc w:val="both"/>
              <w:rPr>
                <w:rFonts w:cs="Calibri"/>
                <w:bCs/>
              </w:rPr>
            </w:pPr>
          </w:p>
        </w:tc>
      </w:tr>
      <w:tr w:rsidR="00E57AEE" w:rsidRPr="00C76853" w14:paraId="109EEF2F" w14:textId="77777777" w:rsidTr="00EE19D8">
        <w:trPr>
          <w:trHeight w:val="485"/>
        </w:trPr>
        <w:tc>
          <w:tcPr>
            <w:tcW w:w="10320" w:type="dxa"/>
            <w:gridSpan w:val="4"/>
            <w:tcBorders>
              <w:bottom w:val="single" w:sz="4" w:space="0" w:color="auto"/>
            </w:tcBorders>
            <w:shd w:val="clear" w:color="auto" w:fill="auto"/>
          </w:tcPr>
          <w:p w14:paraId="21337633" w14:textId="77777777" w:rsidR="00E57AEE" w:rsidRPr="00C76853" w:rsidRDefault="00E57AEE" w:rsidP="00610EC0">
            <w:pPr>
              <w:jc w:val="both"/>
              <w:rPr>
                <w:rFonts w:cs="Calibri"/>
                <w:lang w:eastAsia="fr-CA"/>
              </w:rPr>
            </w:pPr>
            <w:r w:rsidRPr="00C76853">
              <w:rPr>
                <w:rFonts w:cs="Calibri"/>
                <w:b/>
                <w:bCs/>
              </w:rPr>
              <w:t xml:space="preserve">Catalytic effects </w:t>
            </w:r>
            <w:r w:rsidRPr="00C76853">
              <w:rPr>
                <w:rFonts w:cs="Calibri"/>
                <w:i/>
                <w:lang w:eastAsia="fr-CA"/>
              </w:rPr>
              <w:t>(</w:t>
            </w:r>
            <w:r w:rsidRPr="00C76853">
              <w:rPr>
                <w:rFonts w:cs="Calibri"/>
                <w:b/>
                <w:i/>
                <w:lang w:eastAsia="fr-CA"/>
              </w:rPr>
              <w:t>for Joint Programmes receiving PBF funding only</w:t>
            </w:r>
            <w:r w:rsidRPr="00C76853">
              <w:rPr>
                <w:rFonts w:cs="Calibri"/>
                <w:i/>
                <w:lang w:eastAsia="fr-CA"/>
              </w:rPr>
              <w:t xml:space="preserve"> - Were there catalytic effects from the project during </w:t>
            </w:r>
            <w:r w:rsidR="00610EC0" w:rsidRPr="00C76853">
              <w:rPr>
                <w:rFonts w:cs="Calibri"/>
                <w:i/>
                <w:lang w:eastAsia="fr-CA"/>
              </w:rPr>
              <w:t>201</w:t>
            </w:r>
            <w:r w:rsidR="003A2BA5" w:rsidRPr="00C76853">
              <w:rPr>
                <w:rFonts w:cs="Calibri"/>
                <w:i/>
                <w:lang w:eastAsia="fr-CA"/>
              </w:rPr>
              <w:t>9</w:t>
            </w:r>
            <w:r w:rsidRPr="00C76853">
              <w:rPr>
                <w:rFonts w:cs="Calibri"/>
                <w:i/>
                <w:lang w:eastAsia="fr-CA"/>
              </w:rPr>
              <w:t xml:space="preserve">, including additional funding commitments or unleashing/unblocking of any peace relevant processes?) For additional information on reporting on catalytic effects, please refer to PBF Guidance note 5.2 ‘How to Programme Catalytic Effects’. </w:t>
            </w:r>
            <w:hyperlink r:id="rId12" w:history="1">
              <w:r w:rsidRPr="00C76853">
                <w:rPr>
                  <w:rStyle w:val="Hyperlink"/>
                  <w:rFonts w:cs="Calibri"/>
                  <w:i/>
                  <w:color w:val="auto"/>
                  <w:lang w:eastAsia="fr-CA"/>
                </w:rPr>
                <w:t>Link</w:t>
              </w:r>
            </w:hyperlink>
            <w:r w:rsidRPr="00C76853">
              <w:rPr>
                <w:rFonts w:cs="Calibri"/>
                <w:i/>
                <w:lang w:eastAsia="fr-CA"/>
              </w:rPr>
              <w:t xml:space="preserve"> </w:t>
            </w:r>
            <w:r w:rsidR="008F56A3" w:rsidRPr="00C76853">
              <w:rPr>
                <w:rFonts w:cs="Calibri"/>
                <w:i/>
                <w:lang w:eastAsia="fr-CA"/>
              </w:rPr>
              <w:t xml:space="preserve"> (1-2 paragraphs</w:t>
            </w:r>
            <w:r w:rsidR="008F56A3" w:rsidRPr="00C76853">
              <w:rPr>
                <w:rFonts w:cs="Calibri"/>
                <w:lang w:eastAsia="fr-CA"/>
              </w:rPr>
              <w:t>)</w:t>
            </w:r>
          </w:p>
          <w:p w14:paraId="4E4A39F9" w14:textId="77777777" w:rsidR="001D5EB8" w:rsidRPr="00C76853" w:rsidRDefault="001D5EB8" w:rsidP="00610EC0">
            <w:pPr>
              <w:jc w:val="both"/>
              <w:rPr>
                <w:rFonts w:cs="Calibri"/>
                <w:i/>
                <w:lang w:eastAsia="fr-CA"/>
              </w:rPr>
            </w:pPr>
            <w:r w:rsidRPr="00C76853">
              <w:rPr>
                <w:rFonts w:cs="Calibri"/>
                <w:lang w:eastAsia="fr-CA"/>
              </w:rPr>
              <w:t>n/a</w:t>
            </w:r>
          </w:p>
        </w:tc>
      </w:tr>
      <w:tr w:rsidR="00312B10" w:rsidRPr="00C76853" w14:paraId="72C3E687" w14:textId="77777777" w:rsidTr="00EE19D8">
        <w:trPr>
          <w:trHeight w:val="389"/>
        </w:trPr>
        <w:tc>
          <w:tcPr>
            <w:tcW w:w="10320" w:type="dxa"/>
            <w:gridSpan w:val="4"/>
            <w:tcBorders>
              <w:bottom w:val="nil"/>
            </w:tcBorders>
            <w:shd w:val="clear" w:color="auto" w:fill="auto"/>
            <w:vAlign w:val="center"/>
          </w:tcPr>
          <w:p w14:paraId="3C4A9CDD" w14:textId="77777777" w:rsidR="00312B10" w:rsidRPr="00C76853" w:rsidRDefault="00312B10" w:rsidP="008733A4">
            <w:pPr>
              <w:spacing w:after="0"/>
              <w:jc w:val="both"/>
              <w:rPr>
                <w:rFonts w:cs="Calibri"/>
                <w:b/>
                <w:bCs/>
              </w:rPr>
            </w:pPr>
            <w:r w:rsidRPr="00C76853">
              <w:rPr>
                <w:rFonts w:cs="Calibri"/>
                <w:b/>
                <w:bCs/>
              </w:rPr>
              <w:t>Gender</w:t>
            </w:r>
            <w:r w:rsidR="0045776B" w:rsidRPr="00C76853">
              <w:rPr>
                <w:rFonts w:cs="Calibri"/>
                <w:b/>
                <w:bCs/>
              </w:rPr>
              <w:t xml:space="preserve"> </w:t>
            </w:r>
          </w:p>
          <w:p w14:paraId="1570AC5F" w14:textId="77777777" w:rsidR="0045776B" w:rsidRPr="00C76853" w:rsidRDefault="0045776B" w:rsidP="008733A4">
            <w:pPr>
              <w:spacing w:after="0"/>
              <w:jc w:val="both"/>
              <w:rPr>
                <w:rFonts w:cs="Calibri"/>
                <w:i/>
                <w:lang w:eastAsia="fr-CA"/>
              </w:rPr>
            </w:pPr>
            <w:r w:rsidRPr="00C76853">
              <w:rPr>
                <w:rFonts w:cs="Calibri"/>
                <w:b/>
                <w:i/>
                <w:lang w:eastAsia="fr-CA"/>
              </w:rPr>
              <w:t>(For ALL Joint Programmes)</w:t>
            </w:r>
            <w:r w:rsidRPr="00C76853">
              <w:rPr>
                <w:rFonts w:cs="Calibri"/>
                <w:i/>
                <w:lang w:eastAsia="fr-CA"/>
              </w:rPr>
              <w:t xml:space="preserve"> Narrative on activities undertaken </w:t>
            </w:r>
            <w:r w:rsidR="00F76995" w:rsidRPr="00C76853">
              <w:rPr>
                <w:rFonts w:cs="Calibri"/>
                <w:i/>
                <w:lang w:eastAsia="fr-CA"/>
              </w:rPr>
              <w:t xml:space="preserve">and </w:t>
            </w:r>
            <w:r w:rsidR="00F76995" w:rsidRPr="00C76853">
              <w:rPr>
                <w:rFonts w:cs="Calibri"/>
                <w:b/>
                <w:i/>
                <w:lang w:eastAsia="fr-CA"/>
              </w:rPr>
              <w:t>impacts</w:t>
            </w:r>
            <w:r w:rsidR="00F76995" w:rsidRPr="00C76853">
              <w:rPr>
                <w:rFonts w:cs="Calibri"/>
                <w:i/>
                <w:lang w:eastAsia="fr-CA"/>
              </w:rPr>
              <w:t xml:space="preserve"> achieved </w:t>
            </w:r>
            <w:r w:rsidRPr="00C76853">
              <w:rPr>
                <w:rFonts w:cs="Calibri"/>
                <w:i/>
                <w:lang w:eastAsia="fr-CA"/>
              </w:rPr>
              <w:t>during the reporting period</w:t>
            </w:r>
            <w:r w:rsidR="00610EC0" w:rsidRPr="00C76853">
              <w:rPr>
                <w:rFonts w:cs="Calibri"/>
                <w:i/>
                <w:lang w:eastAsia="fr-CA"/>
              </w:rPr>
              <w:t xml:space="preserve"> (201</w:t>
            </w:r>
            <w:r w:rsidR="003A2BA5" w:rsidRPr="00C76853">
              <w:rPr>
                <w:rFonts w:cs="Calibri"/>
                <w:i/>
                <w:lang w:eastAsia="fr-CA"/>
              </w:rPr>
              <w:t>9</w:t>
            </w:r>
            <w:r w:rsidR="00610EC0" w:rsidRPr="00C76853">
              <w:rPr>
                <w:rFonts w:cs="Calibri"/>
                <w:i/>
                <w:lang w:eastAsia="fr-CA"/>
              </w:rPr>
              <w:t>)</w:t>
            </w:r>
            <w:r w:rsidRPr="00C76853">
              <w:rPr>
                <w:rFonts w:cs="Calibri"/>
                <w:i/>
                <w:lang w:eastAsia="fr-CA"/>
              </w:rPr>
              <w:t xml:space="preserve"> in which the Joint Programme </w:t>
            </w:r>
            <w:r w:rsidR="00A57088" w:rsidRPr="00C76853">
              <w:rPr>
                <w:rFonts w:cs="Calibri"/>
                <w:i/>
                <w:lang w:eastAsia="fr-CA"/>
              </w:rPr>
              <w:t xml:space="preserve">directly </w:t>
            </w:r>
            <w:r w:rsidRPr="00C76853">
              <w:rPr>
                <w:rFonts w:cs="Calibri"/>
                <w:i/>
                <w:lang w:eastAsia="fr-CA"/>
              </w:rPr>
              <w:t xml:space="preserve">contributed to promoting Gender Equality </w:t>
            </w:r>
            <w:r w:rsidR="00A57088" w:rsidRPr="00C76853">
              <w:rPr>
                <w:rFonts w:cs="Calibri"/>
                <w:i/>
                <w:lang w:eastAsia="fr-CA"/>
              </w:rPr>
              <w:t>&amp;</w:t>
            </w:r>
            <w:r w:rsidRPr="00C76853">
              <w:rPr>
                <w:rFonts w:cs="Calibri"/>
                <w:i/>
                <w:lang w:eastAsia="fr-CA"/>
              </w:rPr>
              <w:t xml:space="preserve"> Women’s Empowerment. One paragraph per PUNO.</w:t>
            </w:r>
          </w:p>
          <w:p w14:paraId="1E916313" w14:textId="77777777" w:rsidR="0045776B" w:rsidRPr="00C76853" w:rsidRDefault="0045776B" w:rsidP="008733A4">
            <w:pPr>
              <w:spacing w:after="0"/>
              <w:jc w:val="both"/>
              <w:rPr>
                <w:rFonts w:cs="Calibri"/>
                <w:b/>
                <w:bCs/>
              </w:rPr>
            </w:pPr>
          </w:p>
          <w:p w14:paraId="4A9289F9" w14:textId="77777777" w:rsidR="008733A4" w:rsidRPr="00C76853" w:rsidRDefault="008733A4" w:rsidP="008733A4">
            <w:pPr>
              <w:spacing w:after="0"/>
              <w:jc w:val="both"/>
              <w:rPr>
                <w:rFonts w:cs="Calibri"/>
                <w:b/>
                <w:bCs/>
              </w:rPr>
            </w:pPr>
            <w:r w:rsidRPr="00C76853">
              <w:rPr>
                <w:rFonts w:cs="Calibri"/>
              </w:rPr>
              <w:t xml:space="preserve">Under its output 2, tailored to specifically gather inputs and feedback from key stakeholders on the prevention and countering of violent extremism in Somalia, the project acknowledges the crucial role women play in PCVE, peacebuilding and reconciliation. The key stakeholders’ consultative process focused specifically on women, using a community-based approach gathering women for consultations in all FMS lasted, leading to a joint Peace </w:t>
            </w:r>
            <w:r w:rsidRPr="00C76853">
              <w:rPr>
                <w:rFonts w:cs="Calibri"/>
              </w:rPr>
              <w:lastRenderedPageBreak/>
              <w:t xml:space="preserve">Forum held in the capital Mogadishu. This consultative process proactively included and empowered women across Somalia to raise their voices and ensure their roles and responsibilities in the peace process are taken into account at the highest political decision-making levels. The project activity was undertaken in close collaboration and jointly with the senior gender advisors to the UN,. Findings from these consultations informed the revision of the national PCVE strategy to become more gender sensitive, responsive and actionable with inputs from the grassroots level. Furthermore, statements from the women on countering and preventing violent extremism were used as counter-narratives by the OPM-PCVE-CU and the </w:t>
            </w:r>
            <w:proofErr w:type="spellStart"/>
            <w:r w:rsidRPr="00C76853">
              <w:rPr>
                <w:rFonts w:cs="Calibri"/>
              </w:rPr>
              <w:t>Benadir</w:t>
            </w:r>
            <w:proofErr w:type="spellEnd"/>
            <w:r w:rsidRPr="00C76853">
              <w:rPr>
                <w:rFonts w:cs="Calibri"/>
              </w:rPr>
              <w:t xml:space="preserve"> PCVE FP. In all PCVE consultations with community and civil society representatives, women were invited and participated actively. The network of women activated through the country-wide consultative process was also tapped into to attend PCVE coordination meetings at FMS capital level, and to participate in PCVE platform meetings in at risk-areas.</w:t>
            </w:r>
          </w:p>
        </w:tc>
      </w:tr>
      <w:tr w:rsidR="00F516E3" w:rsidRPr="00C76853" w14:paraId="3DD63B77" w14:textId="77777777" w:rsidTr="00EE19D8">
        <w:trPr>
          <w:trHeight w:val="90"/>
        </w:trPr>
        <w:tc>
          <w:tcPr>
            <w:tcW w:w="3047" w:type="dxa"/>
            <w:vMerge w:val="restart"/>
            <w:tcBorders>
              <w:top w:val="single" w:sz="4" w:space="0" w:color="auto"/>
            </w:tcBorders>
            <w:shd w:val="clear" w:color="auto" w:fill="DEEAF6"/>
            <w:vAlign w:val="center"/>
          </w:tcPr>
          <w:p w14:paraId="606FB769" w14:textId="77777777" w:rsidR="00F516E3" w:rsidRPr="00C76853" w:rsidRDefault="00F516E3" w:rsidP="00737237">
            <w:pPr>
              <w:spacing w:after="0"/>
              <w:rPr>
                <w:rFonts w:cs="Calibri"/>
                <w:b/>
                <w:bCs/>
              </w:rPr>
            </w:pPr>
            <w:r w:rsidRPr="00C76853">
              <w:rPr>
                <w:rFonts w:cs="Calibri"/>
              </w:rPr>
              <w:lastRenderedPageBreak/>
              <w:t>Proportion of gender spe</w:t>
            </w:r>
            <w:r w:rsidR="00610EC0" w:rsidRPr="00C76853">
              <w:rPr>
                <w:rFonts w:cs="Calibri"/>
              </w:rPr>
              <w:t>cific outputs in Joint Programme</w:t>
            </w:r>
            <w:r w:rsidR="0045776B" w:rsidRPr="00C76853">
              <w:rPr>
                <w:rStyle w:val="FootnoteReference"/>
                <w:rFonts w:cs="Calibri"/>
              </w:rPr>
              <w:footnoteReference w:id="3"/>
            </w:r>
          </w:p>
        </w:tc>
        <w:tc>
          <w:tcPr>
            <w:tcW w:w="3973" w:type="dxa"/>
            <w:tcBorders>
              <w:top w:val="single" w:sz="4" w:space="0" w:color="auto"/>
              <w:bottom w:val="single" w:sz="4" w:space="0" w:color="auto"/>
            </w:tcBorders>
            <w:shd w:val="clear" w:color="auto" w:fill="DEEAF6"/>
            <w:vAlign w:val="center"/>
          </w:tcPr>
          <w:p w14:paraId="38DC266A" w14:textId="77777777" w:rsidR="00F516E3" w:rsidRPr="00C76853" w:rsidRDefault="00F516E3" w:rsidP="007D154C">
            <w:pPr>
              <w:spacing w:after="0"/>
              <w:jc w:val="center"/>
              <w:rPr>
                <w:rFonts w:cs="Calibri"/>
                <w:b/>
                <w:bCs/>
              </w:rPr>
            </w:pPr>
            <w:r w:rsidRPr="00C76853">
              <w:rPr>
                <w:rFonts w:cs="Calibri"/>
                <w:b/>
                <w:bCs/>
              </w:rPr>
              <w:t>Total no. of Outputs</w:t>
            </w:r>
          </w:p>
        </w:tc>
        <w:tc>
          <w:tcPr>
            <w:tcW w:w="3300" w:type="dxa"/>
            <w:gridSpan w:val="2"/>
            <w:tcBorders>
              <w:top w:val="single" w:sz="4" w:space="0" w:color="auto"/>
              <w:bottom w:val="single" w:sz="4" w:space="0" w:color="auto"/>
            </w:tcBorders>
            <w:shd w:val="clear" w:color="auto" w:fill="DEEAF6"/>
            <w:vAlign w:val="center"/>
          </w:tcPr>
          <w:p w14:paraId="70BA803B" w14:textId="77777777" w:rsidR="00F516E3" w:rsidRPr="00C76853" w:rsidRDefault="00F516E3" w:rsidP="007D154C">
            <w:pPr>
              <w:spacing w:after="0"/>
              <w:jc w:val="center"/>
              <w:rPr>
                <w:rFonts w:cs="Calibri"/>
                <w:b/>
                <w:bCs/>
              </w:rPr>
            </w:pPr>
            <w:r w:rsidRPr="00C76853">
              <w:rPr>
                <w:rFonts w:cs="Calibri"/>
                <w:b/>
                <w:bCs/>
              </w:rPr>
              <w:t>Total no. of gender specific Outputs</w:t>
            </w:r>
          </w:p>
        </w:tc>
      </w:tr>
      <w:tr w:rsidR="00817168" w:rsidRPr="00C76853" w14:paraId="2E846D3C" w14:textId="77777777" w:rsidTr="00EE19D8">
        <w:trPr>
          <w:trHeight w:val="441"/>
        </w:trPr>
        <w:tc>
          <w:tcPr>
            <w:tcW w:w="3047" w:type="dxa"/>
            <w:vMerge/>
            <w:tcBorders>
              <w:bottom w:val="single" w:sz="4" w:space="0" w:color="auto"/>
            </w:tcBorders>
            <w:shd w:val="clear" w:color="auto" w:fill="DEEAF6"/>
            <w:vAlign w:val="center"/>
          </w:tcPr>
          <w:p w14:paraId="5EB40A96" w14:textId="77777777" w:rsidR="00817168" w:rsidRPr="00C76853" w:rsidRDefault="00817168" w:rsidP="00817168">
            <w:pPr>
              <w:spacing w:after="0"/>
              <w:rPr>
                <w:rFonts w:cs="Calibri"/>
                <w:b/>
                <w:bCs/>
              </w:rPr>
            </w:pPr>
          </w:p>
        </w:tc>
        <w:tc>
          <w:tcPr>
            <w:tcW w:w="3973" w:type="dxa"/>
            <w:tcBorders>
              <w:top w:val="nil"/>
              <w:bottom w:val="single" w:sz="4" w:space="0" w:color="auto"/>
            </w:tcBorders>
            <w:shd w:val="clear" w:color="auto" w:fill="auto"/>
            <w:vAlign w:val="center"/>
          </w:tcPr>
          <w:p w14:paraId="3C070BD6" w14:textId="77777777" w:rsidR="00817168" w:rsidRPr="00C76853" w:rsidRDefault="00817168" w:rsidP="00817168">
            <w:pPr>
              <w:spacing w:after="0" w:line="240" w:lineRule="auto"/>
              <w:jc w:val="center"/>
              <w:rPr>
                <w:rFonts w:cs="Calibri"/>
              </w:rPr>
            </w:pPr>
            <w:r w:rsidRPr="00C76853">
              <w:rPr>
                <w:rFonts w:cs="Calibri"/>
              </w:rPr>
              <w:t>2</w:t>
            </w:r>
          </w:p>
        </w:tc>
        <w:tc>
          <w:tcPr>
            <w:tcW w:w="3300" w:type="dxa"/>
            <w:gridSpan w:val="2"/>
            <w:tcBorders>
              <w:top w:val="nil"/>
              <w:bottom w:val="single" w:sz="4" w:space="0" w:color="auto"/>
            </w:tcBorders>
            <w:shd w:val="clear" w:color="auto" w:fill="auto"/>
            <w:vAlign w:val="center"/>
          </w:tcPr>
          <w:p w14:paraId="755DE76E" w14:textId="77777777" w:rsidR="00817168" w:rsidRPr="00C76853" w:rsidRDefault="00817168" w:rsidP="00817168">
            <w:pPr>
              <w:spacing w:after="0" w:line="240" w:lineRule="auto"/>
              <w:jc w:val="center"/>
              <w:rPr>
                <w:rFonts w:cs="Calibri"/>
              </w:rPr>
            </w:pPr>
            <w:r w:rsidRPr="00C76853">
              <w:rPr>
                <w:rFonts w:cs="Calibri"/>
              </w:rPr>
              <w:t>1</w:t>
            </w:r>
          </w:p>
        </w:tc>
      </w:tr>
      <w:tr w:rsidR="00F516E3" w:rsidRPr="00C76853" w14:paraId="631292E0" w14:textId="77777777" w:rsidTr="00EE19D8">
        <w:trPr>
          <w:trHeight w:val="87"/>
        </w:trPr>
        <w:tc>
          <w:tcPr>
            <w:tcW w:w="3047" w:type="dxa"/>
            <w:vMerge w:val="restart"/>
            <w:tcBorders>
              <w:top w:val="nil"/>
            </w:tcBorders>
            <w:shd w:val="clear" w:color="auto" w:fill="DEEAF6"/>
            <w:vAlign w:val="center"/>
          </w:tcPr>
          <w:p w14:paraId="295F5D75" w14:textId="77777777" w:rsidR="00F516E3" w:rsidRPr="00C76853" w:rsidRDefault="00F516E3" w:rsidP="0045776B">
            <w:pPr>
              <w:spacing w:after="0"/>
              <w:rPr>
                <w:rFonts w:cs="Calibri"/>
                <w:b/>
                <w:bCs/>
              </w:rPr>
            </w:pPr>
            <w:r w:rsidRPr="00C76853">
              <w:rPr>
                <w:rFonts w:cs="Calibri"/>
              </w:rPr>
              <w:t>Proportion of Joint Programme staff with responsibility for gender issues</w:t>
            </w:r>
            <w:r w:rsidR="00610EC0" w:rsidRPr="00C76853">
              <w:rPr>
                <w:rFonts w:cs="Calibri"/>
              </w:rPr>
              <w:t xml:space="preserve"> </w:t>
            </w:r>
            <w:r w:rsidR="00610EC0" w:rsidRPr="00C76853">
              <w:rPr>
                <w:rFonts w:cs="Calibri"/>
                <w:i/>
              </w:rPr>
              <w:t>(as of end of 201</w:t>
            </w:r>
            <w:r w:rsidR="003A2BA5" w:rsidRPr="00C76853">
              <w:rPr>
                <w:rFonts w:cs="Calibri"/>
                <w:i/>
              </w:rPr>
              <w:t>9</w:t>
            </w:r>
            <w:r w:rsidR="00610EC0" w:rsidRPr="00C76853">
              <w:rPr>
                <w:rFonts w:cs="Calibri"/>
                <w:i/>
              </w:rPr>
              <w:t>)</w:t>
            </w:r>
            <w:r w:rsidR="0045776B" w:rsidRPr="00C76853">
              <w:rPr>
                <w:rStyle w:val="FootnoteReference"/>
                <w:rFonts w:cs="Calibri"/>
              </w:rPr>
              <w:footnoteReference w:id="4"/>
            </w:r>
          </w:p>
        </w:tc>
        <w:tc>
          <w:tcPr>
            <w:tcW w:w="3973" w:type="dxa"/>
            <w:tcBorders>
              <w:top w:val="nil"/>
              <w:bottom w:val="single" w:sz="4" w:space="0" w:color="auto"/>
            </w:tcBorders>
            <w:shd w:val="clear" w:color="auto" w:fill="DEEAF6"/>
            <w:vAlign w:val="center"/>
          </w:tcPr>
          <w:p w14:paraId="4A910FFE" w14:textId="77777777" w:rsidR="00F516E3" w:rsidRPr="00C76853" w:rsidRDefault="00F516E3" w:rsidP="007D154C">
            <w:pPr>
              <w:spacing w:after="0"/>
              <w:jc w:val="center"/>
              <w:rPr>
                <w:rFonts w:cs="Calibri"/>
                <w:b/>
                <w:bCs/>
              </w:rPr>
            </w:pPr>
            <w:r w:rsidRPr="00C76853">
              <w:rPr>
                <w:rFonts w:cs="Calibri"/>
                <w:b/>
                <w:bCs/>
              </w:rPr>
              <w:t>Total no. of Staff</w:t>
            </w:r>
          </w:p>
        </w:tc>
        <w:tc>
          <w:tcPr>
            <w:tcW w:w="3300" w:type="dxa"/>
            <w:gridSpan w:val="2"/>
            <w:tcBorders>
              <w:top w:val="nil"/>
              <w:bottom w:val="single" w:sz="4" w:space="0" w:color="auto"/>
            </w:tcBorders>
            <w:shd w:val="clear" w:color="auto" w:fill="DEEAF6"/>
            <w:vAlign w:val="center"/>
          </w:tcPr>
          <w:p w14:paraId="3A1F6FD8" w14:textId="77777777" w:rsidR="00F516E3" w:rsidRPr="00C76853" w:rsidRDefault="00F516E3" w:rsidP="0045776B">
            <w:pPr>
              <w:spacing w:after="0"/>
              <w:jc w:val="center"/>
              <w:rPr>
                <w:rFonts w:cs="Calibri"/>
                <w:b/>
                <w:bCs/>
              </w:rPr>
            </w:pPr>
            <w:r w:rsidRPr="00C76853">
              <w:rPr>
                <w:rFonts w:cs="Calibri"/>
                <w:b/>
                <w:bCs/>
              </w:rPr>
              <w:t xml:space="preserve">Total no. of staff with responsibility for gender issues </w:t>
            </w:r>
          </w:p>
        </w:tc>
      </w:tr>
      <w:tr w:rsidR="00817168" w:rsidRPr="00C76853" w14:paraId="0F59CB77" w14:textId="77777777" w:rsidTr="00EE19D8">
        <w:trPr>
          <w:trHeight w:val="469"/>
        </w:trPr>
        <w:tc>
          <w:tcPr>
            <w:tcW w:w="3047" w:type="dxa"/>
            <w:vMerge/>
            <w:tcBorders>
              <w:bottom w:val="single" w:sz="4" w:space="0" w:color="auto"/>
            </w:tcBorders>
            <w:shd w:val="clear" w:color="auto" w:fill="DEEAF6"/>
            <w:vAlign w:val="center"/>
          </w:tcPr>
          <w:p w14:paraId="5A997A4F" w14:textId="77777777" w:rsidR="00817168" w:rsidRPr="00C76853" w:rsidRDefault="00817168" w:rsidP="00817168">
            <w:pPr>
              <w:spacing w:after="0"/>
              <w:rPr>
                <w:rFonts w:cs="Calibri"/>
                <w:b/>
                <w:bCs/>
              </w:rPr>
            </w:pPr>
          </w:p>
        </w:tc>
        <w:tc>
          <w:tcPr>
            <w:tcW w:w="3973" w:type="dxa"/>
            <w:tcBorders>
              <w:top w:val="nil"/>
              <w:bottom w:val="single" w:sz="4" w:space="0" w:color="auto"/>
            </w:tcBorders>
            <w:shd w:val="clear" w:color="auto" w:fill="auto"/>
            <w:vAlign w:val="center"/>
          </w:tcPr>
          <w:p w14:paraId="4CF607DC" w14:textId="77777777" w:rsidR="00817168" w:rsidRPr="00C76853" w:rsidRDefault="0044678F" w:rsidP="00817168">
            <w:pPr>
              <w:spacing w:after="0" w:line="240" w:lineRule="auto"/>
              <w:jc w:val="center"/>
              <w:rPr>
                <w:rFonts w:cs="Calibri"/>
              </w:rPr>
            </w:pPr>
            <w:r w:rsidRPr="00C76853">
              <w:rPr>
                <w:rFonts w:cs="Calibri"/>
              </w:rPr>
              <w:t>3</w:t>
            </w:r>
          </w:p>
        </w:tc>
        <w:tc>
          <w:tcPr>
            <w:tcW w:w="3300" w:type="dxa"/>
            <w:gridSpan w:val="2"/>
            <w:tcBorders>
              <w:top w:val="nil"/>
              <w:bottom w:val="single" w:sz="4" w:space="0" w:color="auto"/>
            </w:tcBorders>
            <w:shd w:val="clear" w:color="auto" w:fill="auto"/>
            <w:vAlign w:val="center"/>
          </w:tcPr>
          <w:p w14:paraId="159850A0" w14:textId="77777777" w:rsidR="00817168" w:rsidRPr="00C76853" w:rsidRDefault="0044678F" w:rsidP="00817168">
            <w:pPr>
              <w:spacing w:after="0" w:line="240" w:lineRule="auto"/>
              <w:jc w:val="center"/>
              <w:rPr>
                <w:rFonts w:cs="Calibri"/>
              </w:rPr>
            </w:pPr>
            <w:r w:rsidRPr="00C76853">
              <w:rPr>
                <w:rFonts w:cs="Calibri"/>
              </w:rPr>
              <w:t>3</w:t>
            </w:r>
          </w:p>
        </w:tc>
      </w:tr>
      <w:tr w:rsidR="00EE19D8" w:rsidRPr="00C76853" w14:paraId="48B26690" w14:textId="77777777" w:rsidTr="00EE19D8">
        <w:trPr>
          <w:trHeight w:val="485"/>
        </w:trPr>
        <w:tc>
          <w:tcPr>
            <w:tcW w:w="10320" w:type="dxa"/>
            <w:gridSpan w:val="4"/>
            <w:tcBorders>
              <w:top w:val="single" w:sz="4" w:space="0" w:color="auto"/>
              <w:left w:val="single" w:sz="4" w:space="0" w:color="auto"/>
              <w:bottom w:val="single" w:sz="4" w:space="0" w:color="auto"/>
              <w:right w:val="single" w:sz="4" w:space="0" w:color="auto"/>
            </w:tcBorders>
            <w:shd w:val="clear" w:color="auto" w:fill="auto"/>
          </w:tcPr>
          <w:p w14:paraId="02DF56B2" w14:textId="77777777" w:rsidR="00EE19D8" w:rsidRPr="00C76853" w:rsidRDefault="00EE19D8" w:rsidP="00EE19D8">
            <w:pPr>
              <w:jc w:val="both"/>
              <w:rPr>
                <w:rFonts w:cs="Calibri"/>
                <w:b/>
                <w:bCs/>
              </w:rPr>
            </w:pPr>
            <w:r w:rsidRPr="00C76853">
              <w:rPr>
                <w:rFonts w:cs="Calibri"/>
                <w:b/>
                <w:bCs/>
              </w:rPr>
              <w:t>Human Rights</w:t>
            </w:r>
          </w:p>
          <w:p w14:paraId="4D0DA28F" w14:textId="77777777" w:rsidR="0014645F" w:rsidRPr="00C76853" w:rsidRDefault="0014645F" w:rsidP="0014645F">
            <w:pPr>
              <w:pStyle w:val="NormalWeb"/>
              <w:spacing w:before="0" w:after="0"/>
              <w:jc w:val="both"/>
              <w:rPr>
                <w:rFonts w:ascii="Calibri" w:hAnsi="Calibri" w:cs="Calibri"/>
                <w:sz w:val="22"/>
                <w:szCs w:val="22"/>
                <w:lang w:val="en-GB"/>
              </w:rPr>
            </w:pPr>
            <w:r w:rsidRPr="00C76853">
              <w:rPr>
                <w:rFonts w:ascii="Calibri" w:hAnsi="Calibri" w:cs="Calibri"/>
                <w:sz w:val="22"/>
                <w:szCs w:val="22"/>
                <w:lang w:val="en-GB"/>
              </w:rPr>
              <w:t>The project applies a human-rights based approach throughout all activities by ensuring they include those members of society who are most marginalized, giving voice to the most excluded, using UN’s convening power to bring them together to ensure they are heard and that their rights are respected and promoted by State Institutions and service providers. It also capacitates the latest mentioned, state counterparts, to strengthen their ability to understand and meet their human rights obligations and remain accountable towards society. The project specifically includes activities to empower civil society. It strengthens human rights as a key component to successful PCVE approaches in trainings and workshops. By applying a bottom-up approach to policy development, commencing at the lowest tiers of governance, the project aims to include the voices of marginalized communities. As particularly related Human rights abuses perpetrated by duty bearers grievances of the population that are systematically being used by violent extremist groups to mobilize support. Therefore</w:t>
            </w:r>
            <w:r w:rsidR="00BB4DA9" w:rsidRPr="00C76853">
              <w:rPr>
                <w:rFonts w:ascii="Calibri" w:hAnsi="Calibri" w:cs="Calibri"/>
                <w:sz w:val="22"/>
                <w:szCs w:val="22"/>
                <w:lang w:val="en-GB"/>
              </w:rPr>
              <w:t>,</w:t>
            </w:r>
            <w:r w:rsidRPr="00C76853">
              <w:rPr>
                <w:rFonts w:ascii="Calibri" w:hAnsi="Calibri" w:cs="Calibri"/>
                <w:sz w:val="22"/>
                <w:szCs w:val="22"/>
                <w:lang w:val="en-GB"/>
              </w:rPr>
              <w:t xml:space="preserve"> the project includes a dedicated capacity building component for state institutions to make duty bearers more responsive to existing concerns.</w:t>
            </w:r>
          </w:p>
          <w:p w14:paraId="1F223520" w14:textId="77777777" w:rsidR="0014645F" w:rsidRPr="00C76853" w:rsidRDefault="0014645F" w:rsidP="0014645F">
            <w:pPr>
              <w:pStyle w:val="NormalWeb"/>
              <w:spacing w:before="0" w:after="0"/>
              <w:jc w:val="both"/>
              <w:rPr>
                <w:rFonts w:ascii="Calibri" w:hAnsi="Calibri" w:cs="Calibri"/>
                <w:sz w:val="22"/>
                <w:szCs w:val="22"/>
                <w:lang w:val="en-GB"/>
              </w:rPr>
            </w:pPr>
          </w:p>
          <w:p w14:paraId="7E5CC9B0" w14:textId="77777777" w:rsidR="0014645F" w:rsidRPr="00C76853" w:rsidRDefault="0014645F" w:rsidP="0014645F">
            <w:pPr>
              <w:jc w:val="both"/>
              <w:rPr>
                <w:rFonts w:cs="Calibri"/>
                <w:b/>
                <w:bCs/>
              </w:rPr>
            </w:pPr>
            <w:r w:rsidRPr="00C76853">
              <w:rPr>
                <w:rFonts w:eastAsia="Times New Roman" w:cs="Calibri"/>
              </w:rPr>
              <w:t xml:space="preserve">Specifically, the project ensured the active participation of minority clan members in PCVE consultations and platform meetings at the local level. The guidelines for PCVE-FMS-FP to engage with communities encompass a dedicated section on how exclusion in itself constitutes a root cause for radicalization, and how PCVE-FMS-FP can prevent similar mechanisms when engaging with communities into prioritizing grievances that require government responses. The project coordinates closely with the UNSOM human rights section and included questions on marginalization and exclusion as triggering factors for violent extremism into the research on the </w:t>
            </w:r>
            <w:r w:rsidRPr="00C76853">
              <w:rPr>
                <w:rFonts w:eastAsia="Times New Roman" w:cs="Calibri"/>
              </w:rPr>
              <w:lastRenderedPageBreak/>
              <w:t>degree of violent extremism in target communities. When developing their pilot projects, the PCVE-FMS-FP received a dedicated training session on the human rights-based approach to programming, and specifically on the do no harm principle, with a specific view on the risk of stigmatization when labelling community members “at risk” for radicalization. Lastly, PCVE has proven to be an entry point for the development of training to state security providers on the relationship between human rights abuses and the triggering of people to join Al-Shabaab.</w:t>
            </w:r>
          </w:p>
        </w:tc>
      </w:tr>
      <w:tr w:rsidR="00EE19D8" w:rsidRPr="00C76853" w14:paraId="48901D16" w14:textId="77777777" w:rsidTr="00EE19D8">
        <w:trPr>
          <w:trHeight w:val="240"/>
        </w:trPr>
        <w:tc>
          <w:tcPr>
            <w:tcW w:w="7939" w:type="dxa"/>
            <w:gridSpan w:val="3"/>
            <w:vMerge w:val="restart"/>
            <w:shd w:val="clear" w:color="auto" w:fill="DEEAF6"/>
          </w:tcPr>
          <w:p w14:paraId="7F158570" w14:textId="77777777" w:rsidR="00EE19D8" w:rsidRPr="00C76853" w:rsidRDefault="00EE19D8" w:rsidP="00636073">
            <w:pPr>
              <w:spacing w:after="0"/>
              <w:jc w:val="both"/>
              <w:rPr>
                <w:rFonts w:cs="Calibri"/>
              </w:rPr>
            </w:pPr>
            <w:r w:rsidRPr="00C76853">
              <w:rPr>
                <w:rFonts w:cs="Calibri"/>
              </w:rPr>
              <w:lastRenderedPageBreak/>
              <w:t xml:space="preserve">Has the Joint Programme included a protection risk assessment in its context analysis, including on gender issues, and taken measures to mitigate these risks to ensure they are not </w:t>
            </w:r>
            <w:r w:rsidR="009B3E79" w:rsidRPr="00C76853">
              <w:rPr>
                <w:rFonts w:cs="Calibri"/>
              </w:rPr>
              <w:t>exacerbated,</w:t>
            </w:r>
            <w:r w:rsidRPr="00C76853">
              <w:rPr>
                <w:rFonts w:cs="Calibri"/>
              </w:rPr>
              <w:t xml:space="preserve"> or new risks created?</w:t>
            </w:r>
          </w:p>
        </w:tc>
        <w:tc>
          <w:tcPr>
            <w:tcW w:w="2381" w:type="dxa"/>
            <w:tcBorders>
              <w:bottom w:val="single" w:sz="4" w:space="0" w:color="auto"/>
            </w:tcBorders>
            <w:shd w:val="clear" w:color="auto" w:fill="DEEAF6"/>
          </w:tcPr>
          <w:p w14:paraId="77AD25CD" w14:textId="77777777" w:rsidR="00EE19D8" w:rsidRPr="00C76853" w:rsidRDefault="00EE19D8" w:rsidP="00636073">
            <w:pPr>
              <w:spacing w:after="0"/>
              <w:jc w:val="center"/>
              <w:rPr>
                <w:rFonts w:cs="Calibri"/>
                <w:b/>
                <w:bCs/>
              </w:rPr>
            </w:pPr>
            <w:r w:rsidRPr="00C76853">
              <w:rPr>
                <w:rFonts w:cs="Calibri"/>
                <w:b/>
                <w:bCs/>
              </w:rPr>
              <w:t>Result (Yes/No)</w:t>
            </w:r>
          </w:p>
        </w:tc>
      </w:tr>
      <w:tr w:rsidR="00EE19D8" w:rsidRPr="00C76853" w14:paraId="1B55FBCF" w14:textId="77777777" w:rsidTr="00EE19D8">
        <w:trPr>
          <w:trHeight w:val="240"/>
        </w:trPr>
        <w:tc>
          <w:tcPr>
            <w:tcW w:w="7939" w:type="dxa"/>
            <w:gridSpan w:val="3"/>
            <w:vMerge/>
            <w:tcBorders>
              <w:bottom w:val="single" w:sz="4" w:space="0" w:color="auto"/>
            </w:tcBorders>
            <w:shd w:val="clear" w:color="auto" w:fill="DEEAF6"/>
          </w:tcPr>
          <w:p w14:paraId="5BB8B952" w14:textId="77777777" w:rsidR="00EE19D8" w:rsidRPr="00C76853" w:rsidRDefault="00EE19D8" w:rsidP="00636073">
            <w:pPr>
              <w:jc w:val="both"/>
              <w:rPr>
                <w:rFonts w:cs="Calibri"/>
                <w:b/>
                <w:bCs/>
              </w:rPr>
            </w:pPr>
          </w:p>
        </w:tc>
        <w:tc>
          <w:tcPr>
            <w:tcW w:w="2381" w:type="dxa"/>
            <w:tcBorders>
              <w:bottom w:val="single" w:sz="4" w:space="0" w:color="auto"/>
            </w:tcBorders>
            <w:shd w:val="clear" w:color="auto" w:fill="auto"/>
            <w:vAlign w:val="center"/>
          </w:tcPr>
          <w:p w14:paraId="58AA60F2" w14:textId="77777777" w:rsidR="00EE19D8" w:rsidRPr="00C76853" w:rsidRDefault="00F30F7D" w:rsidP="00636073">
            <w:pPr>
              <w:spacing w:after="0"/>
              <w:jc w:val="center"/>
              <w:rPr>
                <w:rFonts w:cs="Calibri"/>
                <w:b/>
                <w:bCs/>
              </w:rPr>
            </w:pPr>
            <w:r w:rsidRPr="00C76853">
              <w:rPr>
                <w:rFonts w:cs="Calibri"/>
                <w:i/>
                <w:lang w:eastAsia="fr-CA"/>
              </w:rPr>
              <w:t>Yes</w:t>
            </w:r>
          </w:p>
        </w:tc>
      </w:tr>
      <w:tr w:rsidR="00EE19D8" w:rsidRPr="00C76853" w14:paraId="696CD318" w14:textId="77777777" w:rsidTr="00EE19D8">
        <w:trPr>
          <w:trHeight w:val="240"/>
        </w:trPr>
        <w:tc>
          <w:tcPr>
            <w:tcW w:w="7939" w:type="dxa"/>
            <w:gridSpan w:val="3"/>
            <w:vMerge w:val="restart"/>
            <w:shd w:val="clear" w:color="auto" w:fill="DEEAF6"/>
          </w:tcPr>
          <w:p w14:paraId="4CA9EA26" w14:textId="77777777" w:rsidR="00EE19D8" w:rsidRPr="00C76853" w:rsidRDefault="00EE19D8" w:rsidP="00636073">
            <w:pPr>
              <w:spacing w:after="0"/>
              <w:rPr>
                <w:rFonts w:cs="Calibri"/>
                <w:bCs/>
              </w:rPr>
            </w:pPr>
            <w:r w:rsidRPr="00C76853">
              <w:rPr>
                <w:rFonts w:cs="Calibri"/>
                <w:bCs/>
              </w:rPr>
              <w:t>No. of Joint Programme outputs specifically designed to address specific protection concerns.</w:t>
            </w:r>
          </w:p>
        </w:tc>
        <w:tc>
          <w:tcPr>
            <w:tcW w:w="2381" w:type="dxa"/>
            <w:tcBorders>
              <w:bottom w:val="single" w:sz="4" w:space="0" w:color="auto"/>
            </w:tcBorders>
            <w:shd w:val="clear" w:color="auto" w:fill="DEEAF6"/>
            <w:vAlign w:val="center"/>
          </w:tcPr>
          <w:p w14:paraId="2D888541" w14:textId="77777777" w:rsidR="00EE19D8" w:rsidRPr="00C76853" w:rsidRDefault="00EE19D8" w:rsidP="00636073">
            <w:pPr>
              <w:spacing w:after="0"/>
              <w:jc w:val="center"/>
              <w:rPr>
                <w:rFonts w:cs="Calibri"/>
                <w:b/>
                <w:bCs/>
              </w:rPr>
            </w:pPr>
            <w:r w:rsidRPr="00C76853">
              <w:rPr>
                <w:rFonts w:cs="Calibri"/>
                <w:b/>
                <w:bCs/>
              </w:rPr>
              <w:t>Result (No.)</w:t>
            </w:r>
          </w:p>
        </w:tc>
      </w:tr>
      <w:tr w:rsidR="00EE19D8" w:rsidRPr="00C76853" w14:paraId="568F1C14" w14:textId="77777777" w:rsidTr="00EE19D8">
        <w:trPr>
          <w:trHeight w:val="507"/>
        </w:trPr>
        <w:tc>
          <w:tcPr>
            <w:tcW w:w="7939" w:type="dxa"/>
            <w:gridSpan w:val="3"/>
            <w:vMerge/>
            <w:tcBorders>
              <w:bottom w:val="single" w:sz="4" w:space="0" w:color="auto"/>
            </w:tcBorders>
            <w:shd w:val="clear" w:color="auto" w:fill="DEEAF6"/>
          </w:tcPr>
          <w:p w14:paraId="0EEB40AC" w14:textId="77777777" w:rsidR="00EE19D8" w:rsidRPr="00C76853" w:rsidRDefault="00EE19D8" w:rsidP="00636073">
            <w:pPr>
              <w:jc w:val="both"/>
              <w:rPr>
                <w:rFonts w:cs="Calibri"/>
                <w:b/>
                <w:bCs/>
              </w:rPr>
            </w:pPr>
          </w:p>
        </w:tc>
        <w:tc>
          <w:tcPr>
            <w:tcW w:w="2381" w:type="dxa"/>
            <w:tcBorders>
              <w:bottom w:val="single" w:sz="4" w:space="0" w:color="auto"/>
            </w:tcBorders>
            <w:shd w:val="clear" w:color="auto" w:fill="auto"/>
            <w:vAlign w:val="center"/>
          </w:tcPr>
          <w:p w14:paraId="721CD11C" w14:textId="77777777" w:rsidR="00EE19D8" w:rsidRPr="00C76853" w:rsidRDefault="00D72DAA" w:rsidP="00636073">
            <w:pPr>
              <w:spacing w:after="0"/>
              <w:jc w:val="center"/>
              <w:rPr>
                <w:rFonts w:cs="Calibri"/>
                <w:b/>
                <w:bCs/>
              </w:rPr>
            </w:pPr>
            <w:r>
              <w:rPr>
                <w:rFonts w:cs="Calibri"/>
                <w:i/>
                <w:lang w:eastAsia="fr-CA"/>
              </w:rPr>
              <w:t>0</w:t>
            </w:r>
          </w:p>
        </w:tc>
      </w:tr>
      <w:tr w:rsidR="00EE19D8" w:rsidRPr="00C76853" w14:paraId="10C47973" w14:textId="77777777" w:rsidTr="00EE19D8">
        <w:trPr>
          <w:trHeight w:val="240"/>
        </w:trPr>
        <w:tc>
          <w:tcPr>
            <w:tcW w:w="7939" w:type="dxa"/>
            <w:gridSpan w:val="3"/>
            <w:vMerge w:val="restart"/>
            <w:shd w:val="clear" w:color="auto" w:fill="DEEAF6"/>
          </w:tcPr>
          <w:p w14:paraId="4B34FD50" w14:textId="77777777" w:rsidR="00EE19D8" w:rsidRPr="00C76853" w:rsidRDefault="00EE19D8" w:rsidP="00636073">
            <w:pPr>
              <w:spacing w:after="0"/>
              <w:rPr>
                <w:rFonts w:cs="Calibri"/>
                <w:bCs/>
              </w:rPr>
            </w:pPr>
            <w:r w:rsidRPr="00C76853">
              <w:rPr>
                <w:rFonts w:cs="Calibri"/>
                <w:bCs/>
              </w:rPr>
              <w:t>No. of Joint Programme outputs designed to build capacity of duty bearers to fulfil their human rights obligations towards rights holders.</w:t>
            </w:r>
          </w:p>
        </w:tc>
        <w:tc>
          <w:tcPr>
            <w:tcW w:w="2381" w:type="dxa"/>
            <w:tcBorders>
              <w:bottom w:val="single" w:sz="4" w:space="0" w:color="auto"/>
            </w:tcBorders>
            <w:shd w:val="clear" w:color="auto" w:fill="DEEAF6"/>
          </w:tcPr>
          <w:p w14:paraId="4AE6BBEE" w14:textId="77777777" w:rsidR="00EE19D8" w:rsidRPr="00C76853" w:rsidRDefault="00EE19D8" w:rsidP="00636073">
            <w:pPr>
              <w:spacing w:after="0"/>
              <w:jc w:val="center"/>
              <w:rPr>
                <w:rFonts w:cs="Calibri"/>
                <w:b/>
                <w:bCs/>
              </w:rPr>
            </w:pPr>
            <w:r w:rsidRPr="00C76853">
              <w:rPr>
                <w:rFonts w:cs="Calibri"/>
                <w:b/>
                <w:bCs/>
              </w:rPr>
              <w:t>Result (Number)</w:t>
            </w:r>
          </w:p>
        </w:tc>
      </w:tr>
      <w:tr w:rsidR="00EE19D8" w:rsidRPr="00C76853" w14:paraId="570054BB" w14:textId="77777777" w:rsidTr="00EE19D8">
        <w:trPr>
          <w:trHeight w:val="545"/>
        </w:trPr>
        <w:tc>
          <w:tcPr>
            <w:tcW w:w="7939" w:type="dxa"/>
            <w:gridSpan w:val="3"/>
            <w:vMerge/>
            <w:tcBorders>
              <w:bottom w:val="single" w:sz="4" w:space="0" w:color="auto"/>
            </w:tcBorders>
            <w:shd w:val="clear" w:color="auto" w:fill="auto"/>
          </w:tcPr>
          <w:p w14:paraId="5C73D80A" w14:textId="77777777" w:rsidR="00EE19D8" w:rsidRPr="00C76853" w:rsidRDefault="00EE19D8" w:rsidP="00636073">
            <w:pPr>
              <w:jc w:val="both"/>
              <w:rPr>
                <w:rFonts w:cs="Calibri"/>
                <w:b/>
                <w:bCs/>
              </w:rPr>
            </w:pPr>
          </w:p>
        </w:tc>
        <w:tc>
          <w:tcPr>
            <w:tcW w:w="2381" w:type="dxa"/>
            <w:tcBorders>
              <w:bottom w:val="single" w:sz="4" w:space="0" w:color="auto"/>
            </w:tcBorders>
            <w:shd w:val="clear" w:color="auto" w:fill="auto"/>
            <w:vAlign w:val="center"/>
          </w:tcPr>
          <w:p w14:paraId="6333D85D" w14:textId="77777777" w:rsidR="00EE19D8" w:rsidRPr="00C76853" w:rsidRDefault="00D72DAA" w:rsidP="00636073">
            <w:pPr>
              <w:spacing w:after="0"/>
              <w:jc w:val="center"/>
              <w:rPr>
                <w:rFonts w:cs="Calibri"/>
                <w:b/>
                <w:bCs/>
              </w:rPr>
            </w:pPr>
            <w:r>
              <w:rPr>
                <w:rFonts w:cs="Calibri"/>
                <w:i/>
                <w:lang w:eastAsia="fr-CA"/>
              </w:rPr>
              <w:t>2</w:t>
            </w:r>
          </w:p>
        </w:tc>
      </w:tr>
      <w:tr w:rsidR="00EE19D8" w:rsidRPr="00C76853" w14:paraId="43FEAD9E" w14:textId="77777777" w:rsidTr="00EE19D8">
        <w:trPr>
          <w:trHeight w:val="431"/>
        </w:trPr>
        <w:tc>
          <w:tcPr>
            <w:tcW w:w="10320" w:type="dxa"/>
            <w:gridSpan w:val="4"/>
            <w:shd w:val="clear" w:color="auto" w:fill="DEEAF6"/>
            <w:vAlign w:val="bottom"/>
          </w:tcPr>
          <w:p w14:paraId="42BF67D2" w14:textId="77777777" w:rsidR="00EE19D8" w:rsidRPr="00C76853" w:rsidRDefault="00EE19D8" w:rsidP="00636073">
            <w:pPr>
              <w:spacing w:after="0"/>
              <w:rPr>
                <w:rFonts w:cs="Calibri"/>
                <w:b/>
                <w:bCs/>
              </w:rPr>
            </w:pPr>
            <w:r w:rsidRPr="00C76853">
              <w:rPr>
                <w:rFonts w:cs="Calibri"/>
                <w:b/>
                <w:bCs/>
              </w:rPr>
              <w:t>Other</w:t>
            </w:r>
          </w:p>
        </w:tc>
      </w:tr>
      <w:tr w:rsidR="00EE19D8" w:rsidRPr="00C76853" w14:paraId="7166DB45" w14:textId="77777777" w:rsidTr="00EE19D8">
        <w:trPr>
          <w:trHeight w:val="32"/>
        </w:trPr>
        <w:tc>
          <w:tcPr>
            <w:tcW w:w="7939" w:type="dxa"/>
            <w:gridSpan w:val="3"/>
            <w:vMerge w:val="restart"/>
            <w:shd w:val="clear" w:color="auto" w:fill="DEEAF6"/>
          </w:tcPr>
          <w:p w14:paraId="1C57676F" w14:textId="77777777" w:rsidR="00EE19D8" w:rsidRPr="00C76853" w:rsidRDefault="00EE19D8" w:rsidP="00636073">
            <w:pPr>
              <w:rPr>
                <w:rFonts w:cs="Calibri"/>
                <w:b/>
                <w:bCs/>
              </w:rPr>
            </w:pPr>
            <w:r w:rsidRPr="00C76853">
              <w:rPr>
                <w:rFonts w:cs="Calibri"/>
                <w:bCs/>
              </w:rPr>
              <w:t>Does the Joint Programmes have a national cost-sharing component (i.e. funds and/or other resources provided by the FGS and/or FMS (including in-kind contributions)? (if ‘Yes’, describe below).</w:t>
            </w:r>
          </w:p>
        </w:tc>
        <w:tc>
          <w:tcPr>
            <w:tcW w:w="2381" w:type="dxa"/>
            <w:tcBorders>
              <w:bottom w:val="single" w:sz="4" w:space="0" w:color="auto"/>
            </w:tcBorders>
            <w:shd w:val="clear" w:color="auto" w:fill="DEEAF6"/>
          </w:tcPr>
          <w:p w14:paraId="6027C96A" w14:textId="77777777" w:rsidR="00EE19D8" w:rsidRPr="00C76853" w:rsidRDefault="00EE19D8" w:rsidP="00636073">
            <w:pPr>
              <w:spacing w:after="0"/>
              <w:jc w:val="center"/>
              <w:rPr>
                <w:rFonts w:cs="Calibri"/>
                <w:b/>
                <w:bCs/>
              </w:rPr>
            </w:pPr>
            <w:r w:rsidRPr="00C76853">
              <w:rPr>
                <w:rFonts w:cs="Calibri"/>
                <w:b/>
                <w:bCs/>
              </w:rPr>
              <w:t>Results (Yes/No)</w:t>
            </w:r>
          </w:p>
        </w:tc>
      </w:tr>
      <w:tr w:rsidR="00EE19D8" w:rsidRPr="00C76853" w14:paraId="51BBF07F" w14:textId="77777777" w:rsidTr="00EE19D8">
        <w:trPr>
          <w:trHeight w:val="455"/>
        </w:trPr>
        <w:tc>
          <w:tcPr>
            <w:tcW w:w="7939" w:type="dxa"/>
            <w:gridSpan w:val="3"/>
            <w:vMerge/>
            <w:tcBorders>
              <w:bottom w:val="single" w:sz="4" w:space="0" w:color="auto"/>
            </w:tcBorders>
            <w:shd w:val="clear" w:color="auto" w:fill="DEEAF6"/>
          </w:tcPr>
          <w:p w14:paraId="11F6D843" w14:textId="77777777" w:rsidR="00EE19D8" w:rsidRPr="00C76853" w:rsidRDefault="00EE19D8" w:rsidP="00636073">
            <w:pPr>
              <w:rPr>
                <w:rFonts w:cs="Calibri"/>
                <w:b/>
                <w:bCs/>
              </w:rPr>
            </w:pPr>
          </w:p>
        </w:tc>
        <w:tc>
          <w:tcPr>
            <w:tcW w:w="2381" w:type="dxa"/>
            <w:tcBorders>
              <w:bottom w:val="single" w:sz="4" w:space="0" w:color="auto"/>
            </w:tcBorders>
            <w:shd w:val="clear" w:color="auto" w:fill="auto"/>
            <w:vAlign w:val="center"/>
          </w:tcPr>
          <w:p w14:paraId="45D32EEC" w14:textId="77777777" w:rsidR="00EE19D8" w:rsidRPr="00C76853" w:rsidRDefault="00B908CE" w:rsidP="00636073">
            <w:pPr>
              <w:spacing w:after="0"/>
              <w:jc w:val="center"/>
              <w:rPr>
                <w:rFonts w:cs="Calibri"/>
                <w:b/>
                <w:bCs/>
              </w:rPr>
            </w:pPr>
            <w:r w:rsidRPr="00C76853">
              <w:rPr>
                <w:rFonts w:cs="Calibri"/>
                <w:i/>
                <w:lang w:eastAsia="fr-CA"/>
              </w:rPr>
              <w:t>No</w:t>
            </w:r>
          </w:p>
        </w:tc>
      </w:tr>
      <w:tr w:rsidR="00EE19D8" w:rsidRPr="00C76853" w14:paraId="753CEF60" w14:textId="77777777" w:rsidTr="00EE19D8">
        <w:trPr>
          <w:trHeight w:val="32"/>
        </w:trPr>
        <w:tc>
          <w:tcPr>
            <w:tcW w:w="7939" w:type="dxa"/>
            <w:gridSpan w:val="3"/>
            <w:vMerge w:val="restart"/>
            <w:shd w:val="clear" w:color="auto" w:fill="DEEAF6"/>
          </w:tcPr>
          <w:p w14:paraId="32060D08" w14:textId="77777777" w:rsidR="00EE19D8" w:rsidRPr="00C76853" w:rsidRDefault="00EE19D8" w:rsidP="00636073">
            <w:pPr>
              <w:rPr>
                <w:rFonts w:cs="Calibri"/>
                <w:b/>
                <w:bCs/>
              </w:rPr>
            </w:pPr>
            <w:r w:rsidRPr="00C76853">
              <w:rPr>
                <w:rFonts w:cs="Calibri"/>
                <w:bCs/>
              </w:rPr>
              <w:t>Have FMS(s) been engaged in one or more of the following: design, planning, implementation, coordination and/or monitoring of the Joint Programme.</w:t>
            </w:r>
          </w:p>
        </w:tc>
        <w:tc>
          <w:tcPr>
            <w:tcW w:w="2381" w:type="dxa"/>
            <w:tcBorders>
              <w:bottom w:val="single" w:sz="4" w:space="0" w:color="auto"/>
            </w:tcBorders>
            <w:shd w:val="clear" w:color="auto" w:fill="DEEAF6"/>
          </w:tcPr>
          <w:p w14:paraId="2D2EBE07" w14:textId="77777777" w:rsidR="00EE19D8" w:rsidRPr="00C76853" w:rsidRDefault="00EE19D8" w:rsidP="00636073">
            <w:pPr>
              <w:spacing w:after="0"/>
              <w:jc w:val="center"/>
              <w:rPr>
                <w:rFonts w:cs="Calibri"/>
                <w:b/>
                <w:bCs/>
              </w:rPr>
            </w:pPr>
            <w:r w:rsidRPr="00C76853">
              <w:rPr>
                <w:rFonts w:cs="Calibri"/>
                <w:b/>
                <w:bCs/>
              </w:rPr>
              <w:t>Results (Yes/No)</w:t>
            </w:r>
          </w:p>
        </w:tc>
      </w:tr>
      <w:tr w:rsidR="00EE19D8" w:rsidRPr="00C76853" w14:paraId="29C2B15E" w14:textId="77777777" w:rsidTr="00EE19D8">
        <w:trPr>
          <w:trHeight w:val="32"/>
        </w:trPr>
        <w:tc>
          <w:tcPr>
            <w:tcW w:w="7939" w:type="dxa"/>
            <w:gridSpan w:val="3"/>
            <w:vMerge/>
            <w:tcBorders>
              <w:bottom w:val="single" w:sz="4" w:space="0" w:color="auto"/>
            </w:tcBorders>
            <w:shd w:val="clear" w:color="auto" w:fill="DEEAF6"/>
          </w:tcPr>
          <w:p w14:paraId="3DB8381A" w14:textId="77777777" w:rsidR="00EE19D8" w:rsidRPr="00C76853" w:rsidRDefault="00EE19D8" w:rsidP="00636073">
            <w:pPr>
              <w:rPr>
                <w:rFonts w:cs="Calibri"/>
                <w:b/>
                <w:bCs/>
              </w:rPr>
            </w:pPr>
          </w:p>
        </w:tc>
        <w:tc>
          <w:tcPr>
            <w:tcW w:w="2381" w:type="dxa"/>
            <w:tcBorders>
              <w:bottom w:val="single" w:sz="4" w:space="0" w:color="auto"/>
            </w:tcBorders>
            <w:shd w:val="clear" w:color="auto" w:fill="auto"/>
            <w:vAlign w:val="center"/>
          </w:tcPr>
          <w:p w14:paraId="5F4D0B98" w14:textId="77777777" w:rsidR="00EE19D8" w:rsidRPr="00C76853" w:rsidRDefault="00B908CE" w:rsidP="00636073">
            <w:pPr>
              <w:spacing w:after="0"/>
              <w:jc w:val="center"/>
              <w:rPr>
                <w:rFonts w:cs="Calibri"/>
                <w:b/>
                <w:bCs/>
              </w:rPr>
            </w:pPr>
            <w:r w:rsidRPr="00C76853">
              <w:rPr>
                <w:rFonts w:cs="Calibri"/>
                <w:i/>
                <w:lang w:eastAsia="fr-CA"/>
              </w:rPr>
              <w:t>Yes</w:t>
            </w:r>
          </w:p>
        </w:tc>
      </w:tr>
      <w:tr w:rsidR="00EE19D8" w:rsidRPr="00C76853" w14:paraId="4E3F72BB" w14:textId="77777777" w:rsidTr="00EE19D8">
        <w:trPr>
          <w:trHeight w:val="485"/>
        </w:trPr>
        <w:tc>
          <w:tcPr>
            <w:tcW w:w="10320" w:type="dxa"/>
            <w:gridSpan w:val="4"/>
            <w:tcBorders>
              <w:bottom w:val="single" w:sz="4" w:space="0" w:color="auto"/>
            </w:tcBorders>
            <w:shd w:val="clear" w:color="auto" w:fill="auto"/>
          </w:tcPr>
          <w:p w14:paraId="2D1B3340" w14:textId="77777777" w:rsidR="00EE19D8" w:rsidRPr="00C76853" w:rsidRDefault="00EE19D8" w:rsidP="00737237">
            <w:pPr>
              <w:jc w:val="both"/>
              <w:rPr>
                <w:rFonts w:cs="Calibri"/>
                <w:b/>
                <w:bCs/>
              </w:rPr>
            </w:pPr>
            <w:r w:rsidRPr="00C76853">
              <w:rPr>
                <w:rFonts w:cs="Calibri"/>
                <w:b/>
                <w:bCs/>
              </w:rPr>
              <w:t>Describe nature of cost sharing:</w:t>
            </w:r>
          </w:p>
          <w:p w14:paraId="0789D866" w14:textId="77777777" w:rsidR="001F10C4" w:rsidRPr="00C76853" w:rsidRDefault="001F10C4" w:rsidP="00737237">
            <w:pPr>
              <w:jc w:val="both"/>
              <w:rPr>
                <w:rFonts w:cs="Calibri"/>
                <w:bCs/>
              </w:rPr>
            </w:pPr>
            <w:r w:rsidRPr="00C76853">
              <w:rPr>
                <w:rFonts w:cs="Calibri"/>
                <w:bCs/>
              </w:rPr>
              <w:t>A government cost-sharing contribution has been agreed upon for the continuation of the project in 2020.</w:t>
            </w:r>
          </w:p>
        </w:tc>
      </w:tr>
      <w:tr w:rsidR="00737237" w:rsidRPr="00C76853" w14:paraId="42B63619" w14:textId="77777777" w:rsidTr="00EE19D8">
        <w:trPr>
          <w:trHeight w:val="485"/>
        </w:trPr>
        <w:tc>
          <w:tcPr>
            <w:tcW w:w="10320" w:type="dxa"/>
            <w:gridSpan w:val="4"/>
            <w:tcBorders>
              <w:bottom w:val="single" w:sz="4" w:space="0" w:color="auto"/>
            </w:tcBorders>
            <w:shd w:val="clear" w:color="auto" w:fill="auto"/>
          </w:tcPr>
          <w:p w14:paraId="73215A2E" w14:textId="77777777" w:rsidR="00737237" w:rsidRPr="00C76853" w:rsidRDefault="00737237" w:rsidP="00737237">
            <w:pPr>
              <w:jc w:val="both"/>
              <w:rPr>
                <w:rFonts w:cs="Calibri"/>
                <w:lang w:eastAsia="fr-CA"/>
              </w:rPr>
            </w:pPr>
            <w:r w:rsidRPr="00C76853">
              <w:rPr>
                <w:rFonts w:cs="Calibri"/>
                <w:b/>
                <w:bCs/>
              </w:rPr>
              <w:t xml:space="preserve">Communications &amp; Visibility </w:t>
            </w:r>
            <w:r w:rsidRPr="00C76853">
              <w:rPr>
                <w:rFonts w:cs="Calibri"/>
                <w:i/>
                <w:lang w:eastAsia="fr-CA"/>
              </w:rPr>
              <w:t>– Highlight communication activities/products (press releases/conferences, media missions, pictures/videos, social media, website, brochures/newsletters, banners) and donor visibility (in addition to any visibility measures on the mentioned communication activities/products, visibility on training curricula, equipment and office facilities). If applicable, provide additional explanation on limitations to communication and visibility measures, e.g. security risks or no opportunities for communication and visibility.</w:t>
            </w:r>
            <w:r w:rsidR="008F56A3" w:rsidRPr="00C76853">
              <w:rPr>
                <w:rFonts w:cs="Calibri"/>
                <w:i/>
                <w:lang w:eastAsia="fr-CA"/>
              </w:rPr>
              <w:t xml:space="preserve"> (1-2 paragraphs</w:t>
            </w:r>
            <w:r w:rsidR="008F56A3" w:rsidRPr="00C76853">
              <w:rPr>
                <w:rFonts w:cs="Calibri"/>
                <w:lang w:eastAsia="fr-CA"/>
              </w:rPr>
              <w:t>)</w:t>
            </w:r>
          </w:p>
          <w:p w14:paraId="618D8647" w14:textId="77777777" w:rsidR="003A1303" w:rsidRPr="00C76853" w:rsidRDefault="003A1303" w:rsidP="003A1303">
            <w:pPr>
              <w:spacing w:after="0" w:line="240" w:lineRule="auto"/>
              <w:jc w:val="both"/>
              <w:rPr>
                <w:rFonts w:cs="Calibri"/>
              </w:rPr>
            </w:pPr>
            <w:r w:rsidRPr="00C76853">
              <w:rPr>
                <w:rFonts w:cs="Calibri"/>
              </w:rPr>
              <w:t xml:space="preserve">PCVE programming is a highly sensitive </w:t>
            </w:r>
            <w:proofErr w:type="spellStart"/>
            <w:r w:rsidRPr="00C76853">
              <w:rPr>
                <w:rFonts w:cs="Calibri"/>
              </w:rPr>
              <w:t>endeavour</w:t>
            </w:r>
            <w:proofErr w:type="spellEnd"/>
            <w:r w:rsidRPr="00C76853">
              <w:rPr>
                <w:rFonts w:cs="Calibri"/>
              </w:rPr>
              <w:t xml:space="preserve"> and any communication and visibility of activities in Somalia needs to undergo a dedicated analysis of the related risks, not only for UN staff members and partners implementing the activities but most importantly for people participating and attending events. Nevertheless, programme activities have been actively shared through the communications department of the OPM-PCVE-CU, as well as through the UNDP and UNSOM communications channels. Particularly, the religious leaders’ conference held in Mogadishu was covered widely in the local media and across social media platforms in addition to the UN outreach channels. The FMS level consultations with traditional elders were also covered widely in the media, including state TV. </w:t>
            </w:r>
          </w:p>
          <w:p w14:paraId="0D653D78" w14:textId="77777777" w:rsidR="003A1303" w:rsidRPr="00C76853" w:rsidRDefault="003A1303" w:rsidP="003A1303">
            <w:pPr>
              <w:spacing w:after="0" w:line="240" w:lineRule="auto"/>
              <w:jc w:val="both"/>
              <w:rPr>
                <w:rFonts w:cs="Calibri"/>
              </w:rPr>
            </w:pPr>
          </w:p>
          <w:p w14:paraId="7FF3D8BE" w14:textId="77777777" w:rsidR="003A1303" w:rsidRPr="00C76853" w:rsidRDefault="003A1303" w:rsidP="003A1303">
            <w:pPr>
              <w:spacing w:after="0" w:line="240" w:lineRule="auto"/>
              <w:jc w:val="both"/>
              <w:rPr>
                <w:rFonts w:cs="Calibri"/>
              </w:rPr>
            </w:pPr>
            <w:r w:rsidRPr="00C76853">
              <w:rPr>
                <w:rFonts w:cs="Calibri"/>
              </w:rPr>
              <w:t xml:space="preserve">Furthermore, the OPM-PCVE-CU and the PCVE FP for the </w:t>
            </w:r>
            <w:proofErr w:type="spellStart"/>
            <w:r w:rsidRPr="00C76853">
              <w:rPr>
                <w:rFonts w:cs="Calibri"/>
              </w:rPr>
              <w:t>Benadir</w:t>
            </w:r>
            <w:proofErr w:type="spellEnd"/>
            <w:r w:rsidRPr="00C76853">
              <w:rPr>
                <w:rFonts w:cs="Calibri"/>
              </w:rPr>
              <w:t xml:space="preserve"> region are currently jointly developing a set of outreach messages countering arguments and narratives violent extremist groups use to radicalize and recruit </w:t>
            </w:r>
            <w:r w:rsidRPr="00C76853">
              <w:rPr>
                <w:rFonts w:cs="Calibri"/>
              </w:rPr>
              <w:lastRenderedPageBreak/>
              <w:t xml:space="preserve">people, that will be distributed widely through radio channels and social media platforms. </w:t>
            </w:r>
          </w:p>
          <w:p w14:paraId="48CEDB0C" w14:textId="77777777" w:rsidR="003A1303" w:rsidRPr="00C76853" w:rsidRDefault="003A1303" w:rsidP="003A1303">
            <w:pPr>
              <w:spacing w:after="0" w:line="240" w:lineRule="auto"/>
              <w:jc w:val="both"/>
              <w:rPr>
                <w:rFonts w:cs="Calibri"/>
              </w:rPr>
            </w:pPr>
          </w:p>
        </w:tc>
      </w:tr>
      <w:tr w:rsidR="00737237" w:rsidRPr="00C76853" w14:paraId="568962BE" w14:textId="77777777" w:rsidTr="00EE19D8">
        <w:trPr>
          <w:trHeight w:val="485"/>
        </w:trPr>
        <w:tc>
          <w:tcPr>
            <w:tcW w:w="10320" w:type="dxa"/>
            <w:gridSpan w:val="4"/>
            <w:tcBorders>
              <w:bottom w:val="single" w:sz="4" w:space="0" w:color="auto"/>
            </w:tcBorders>
            <w:shd w:val="clear" w:color="auto" w:fill="auto"/>
          </w:tcPr>
          <w:p w14:paraId="634635A5" w14:textId="77777777" w:rsidR="00737237" w:rsidRPr="00C76853" w:rsidRDefault="00737237" w:rsidP="00737237">
            <w:pPr>
              <w:jc w:val="both"/>
              <w:rPr>
                <w:rFonts w:cs="Calibri"/>
                <w:i/>
                <w:lang w:eastAsia="fr-CA"/>
              </w:rPr>
            </w:pPr>
            <w:r w:rsidRPr="00C76853">
              <w:rPr>
                <w:rFonts w:cs="Calibri"/>
                <w:b/>
                <w:bCs/>
              </w:rPr>
              <w:lastRenderedPageBreak/>
              <w:t xml:space="preserve">Looking ahead </w:t>
            </w:r>
          </w:p>
          <w:p w14:paraId="1784EF9C" w14:textId="77777777" w:rsidR="00C1611C" w:rsidRPr="00C76853" w:rsidRDefault="002B00CA" w:rsidP="00737237">
            <w:pPr>
              <w:jc w:val="both"/>
              <w:rPr>
                <w:rFonts w:cs="Calibri"/>
                <w:bCs/>
              </w:rPr>
            </w:pPr>
            <w:r w:rsidRPr="00C76853">
              <w:rPr>
                <w:rFonts w:cs="Calibri"/>
                <w:bCs/>
              </w:rPr>
              <w:t xml:space="preserve">The project will focus on expanding the PCVE platform structures into the newly recovered areas, with the possibility to apply a flexible funding mechanism in order to address VE-related grievances identified by communities. </w:t>
            </w:r>
          </w:p>
          <w:p w14:paraId="61E8E007" w14:textId="77777777" w:rsidR="008D553D" w:rsidRPr="00C76853" w:rsidRDefault="008D553D" w:rsidP="00737237">
            <w:pPr>
              <w:jc w:val="both"/>
              <w:rPr>
                <w:rFonts w:cs="Calibri"/>
                <w:bCs/>
              </w:rPr>
            </w:pPr>
            <w:r w:rsidRPr="00C76853">
              <w:rPr>
                <w:rFonts w:cs="Calibri"/>
                <w:bCs/>
              </w:rPr>
              <w:t xml:space="preserve">The project will further focus on continuing to work with the traditional elders in order to counter the challenges of al-Shabaab influencing the 2021 elections. </w:t>
            </w:r>
          </w:p>
          <w:p w14:paraId="3DE75AC3" w14:textId="77777777" w:rsidR="0066601F" w:rsidRPr="00C76853" w:rsidRDefault="0066601F" w:rsidP="00737237">
            <w:pPr>
              <w:jc w:val="both"/>
              <w:rPr>
                <w:rFonts w:cs="Calibri"/>
                <w:bCs/>
              </w:rPr>
            </w:pPr>
            <w:r w:rsidRPr="00C76853">
              <w:rPr>
                <w:rFonts w:cs="Calibri"/>
                <w:bCs/>
              </w:rPr>
              <w:t xml:space="preserve">Emphasis will be placed on continuing to work with religious leaders, establishing local networks of like-minded religious actors to promote Islam as a religion of tolerance and peace, foster inter-faith dialogue, </w:t>
            </w:r>
            <w:r w:rsidR="00A0153A" w:rsidRPr="00C76853">
              <w:rPr>
                <w:rFonts w:cs="Calibri"/>
                <w:bCs/>
              </w:rPr>
              <w:t xml:space="preserve">and develop concrete steps to address and counter radical views.  </w:t>
            </w:r>
          </w:p>
          <w:p w14:paraId="6F91CC18" w14:textId="77777777" w:rsidR="002A6BFA" w:rsidRPr="00C76853" w:rsidRDefault="002A6BFA" w:rsidP="00737237">
            <w:pPr>
              <w:jc w:val="both"/>
              <w:rPr>
                <w:rFonts w:cs="Calibri"/>
                <w:bCs/>
              </w:rPr>
            </w:pPr>
            <w:r w:rsidRPr="00C76853">
              <w:rPr>
                <w:rFonts w:cs="Calibri"/>
                <w:bCs/>
              </w:rPr>
              <w:t xml:space="preserve">The overall vision for PCVE in Somalia has been narrowed down through </w:t>
            </w:r>
            <w:r w:rsidR="00C871FB" w:rsidRPr="00C76853">
              <w:rPr>
                <w:rFonts w:cs="Calibri"/>
                <w:bCs/>
              </w:rPr>
              <w:t>stakeholders’</w:t>
            </w:r>
            <w:r w:rsidRPr="00C76853">
              <w:rPr>
                <w:rFonts w:cs="Calibri"/>
                <w:bCs/>
              </w:rPr>
              <w:t xml:space="preserve"> consultations to </w:t>
            </w:r>
            <w:r w:rsidR="00FF6C45" w:rsidRPr="00C76853">
              <w:rPr>
                <w:rFonts w:cs="Calibri"/>
                <w:bCs/>
              </w:rPr>
              <w:t>strengthen the creation of an environment conducive to peace talks between al-Shabaab and the government. Emphasis will therefore be placed on socializing the idea of peace talks, creating a public demand for it, engaging communities in understanding forgiveness, healing and transitional justice mechanisms feasible for the context of Somalia, as well as learning from</w:t>
            </w:r>
            <w:r w:rsidR="00614FF0" w:rsidRPr="00C76853">
              <w:rPr>
                <w:rFonts w:cs="Calibri"/>
                <w:bCs/>
              </w:rPr>
              <w:t xml:space="preserve"> existing local peace arrangements between clans and the group. </w:t>
            </w:r>
          </w:p>
          <w:p w14:paraId="474FAC14" w14:textId="77777777" w:rsidR="00D955EB" w:rsidRPr="00C76853" w:rsidRDefault="00D955EB" w:rsidP="00737237">
            <w:pPr>
              <w:jc w:val="both"/>
              <w:rPr>
                <w:rFonts w:cs="Calibri"/>
                <w:b/>
                <w:bCs/>
              </w:rPr>
            </w:pPr>
            <w:r w:rsidRPr="00C76853">
              <w:rPr>
                <w:rFonts w:cs="Calibri"/>
                <w:bCs/>
              </w:rPr>
              <w:t xml:space="preserve">The PCVE Coordination structure will be supported by UNOCT in collaboration with UNSOM and UNDP to </w:t>
            </w:r>
            <w:r w:rsidR="00B3098D" w:rsidRPr="00C76853">
              <w:rPr>
                <w:rFonts w:cs="Calibri"/>
                <w:bCs/>
              </w:rPr>
              <w:t xml:space="preserve">further </w:t>
            </w:r>
            <w:r w:rsidRPr="00C76853">
              <w:rPr>
                <w:rFonts w:cs="Calibri"/>
                <w:bCs/>
              </w:rPr>
              <w:t xml:space="preserve">revise the </w:t>
            </w:r>
            <w:r w:rsidR="00B3098D" w:rsidRPr="00C76853">
              <w:rPr>
                <w:rFonts w:cs="Calibri"/>
                <w:bCs/>
              </w:rPr>
              <w:t xml:space="preserve">National PCVE Strategy, aiming to capture the coordination structures as they have emerged, highlight </w:t>
            </w:r>
            <w:r w:rsidR="009D26BF" w:rsidRPr="00C76853">
              <w:rPr>
                <w:rFonts w:cs="Calibri"/>
                <w:bCs/>
              </w:rPr>
              <w:t xml:space="preserve">a clearer vision for inter-ministerial collaboration and PCVE mainstreaming into the work of state actors, as well as </w:t>
            </w:r>
            <w:r w:rsidR="009C4352" w:rsidRPr="00C76853">
              <w:rPr>
                <w:rFonts w:cs="Calibri"/>
                <w:bCs/>
              </w:rPr>
              <w:t>factor in the results of the key stakeholders</w:t>
            </w:r>
            <w:r w:rsidR="00C871FB" w:rsidRPr="00C76853">
              <w:rPr>
                <w:rFonts w:cs="Calibri"/>
                <w:bCs/>
              </w:rPr>
              <w:t>’</w:t>
            </w:r>
            <w:r w:rsidR="009C4352" w:rsidRPr="00C76853">
              <w:rPr>
                <w:rFonts w:cs="Calibri"/>
                <w:bCs/>
              </w:rPr>
              <w:t xml:space="preserve"> consultations held so far to make the strategy more </w:t>
            </w:r>
            <w:r w:rsidR="005D54E4" w:rsidRPr="00C76853">
              <w:rPr>
                <w:rFonts w:cs="Calibri"/>
                <w:bCs/>
              </w:rPr>
              <w:t>actionable.</w:t>
            </w:r>
            <w:r w:rsidR="005D54E4" w:rsidRPr="00C76853">
              <w:rPr>
                <w:rFonts w:cs="Calibri"/>
                <w:b/>
                <w:bCs/>
              </w:rPr>
              <w:t xml:space="preserve"> </w:t>
            </w:r>
          </w:p>
        </w:tc>
      </w:tr>
    </w:tbl>
    <w:p w14:paraId="6F9DE6F1" w14:textId="77777777" w:rsidR="00DE3C56" w:rsidRPr="00C76853" w:rsidRDefault="00DE3C56" w:rsidP="00F81551">
      <w:pPr>
        <w:rPr>
          <w:rFonts w:cs="Calibri"/>
          <w:sz w:val="21"/>
          <w:szCs w:val="21"/>
        </w:rPr>
        <w:sectPr w:rsidR="00DE3C56" w:rsidRPr="00C76853" w:rsidSect="00D25E39">
          <w:headerReference w:type="default" r:id="rId13"/>
          <w:footerReference w:type="default" r:id="rId14"/>
          <w:pgSz w:w="12240" w:h="15840"/>
          <w:pgMar w:top="1218" w:right="1440" w:bottom="1276" w:left="1440" w:header="568" w:footer="544" w:gutter="0"/>
          <w:cols w:space="720"/>
          <w:docGrid w:linePitch="360"/>
        </w:sectPr>
      </w:pPr>
    </w:p>
    <w:p w14:paraId="17B1962D" w14:textId="77777777" w:rsidR="00DE3C56" w:rsidRPr="00C76853" w:rsidRDefault="00AF72B0" w:rsidP="00DE3C56">
      <w:pPr>
        <w:pStyle w:val="Heading1"/>
        <w:rPr>
          <w:rFonts w:ascii="Calibri" w:hAnsi="Calibri" w:cs="Calibri"/>
          <w:sz w:val="24"/>
          <w:szCs w:val="24"/>
        </w:rPr>
      </w:pPr>
      <w:r w:rsidRPr="00C76853">
        <w:rPr>
          <w:rFonts w:ascii="Calibri" w:hAnsi="Calibri" w:cs="Calibri"/>
          <w:sz w:val="24"/>
          <w:szCs w:val="24"/>
        </w:rPr>
        <w:lastRenderedPageBreak/>
        <w:t>ANNEX 1.</w:t>
      </w:r>
      <w:r w:rsidRPr="00C76853">
        <w:rPr>
          <w:rFonts w:ascii="Calibri" w:hAnsi="Calibri" w:cs="Calibri"/>
          <w:sz w:val="24"/>
          <w:szCs w:val="24"/>
        </w:rPr>
        <w:tab/>
      </w:r>
      <w:r w:rsidR="003603B8" w:rsidRPr="00C76853">
        <w:rPr>
          <w:rFonts w:ascii="Calibri" w:hAnsi="Calibri" w:cs="Calibri"/>
          <w:sz w:val="24"/>
          <w:szCs w:val="24"/>
        </w:rPr>
        <w:t>RISK MANAGEMENT</w:t>
      </w:r>
    </w:p>
    <w:p w14:paraId="12DB021C" w14:textId="77777777" w:rsidR="00DE3C56" w:rsidRPr="00C76853" w:rsidRDefault="00DE3C56" w:rsidP="00DE3C56">
      <w:pPr>
        <w:autoSpaceDE w:val="0"/>
        <w:autoSpaceDN w:val="0"/>
        <w:adjustRightInd w:val="0"/>
        <w:spacing w:after="0" w:line="240" w:lineRule="auto"/>
        <w:rPr>
          <w:rFonts w:cs="Calibri"/>
          <w:i/>
          <w:color w:val="0070C0"/>
        </w:rPr>
      </w:pPr>
      <w:r w:rsidRPr="00C76853">
        <w:rPr>
          <w:rFonts w:cs="Calibri"/>
          <w:i/>
          <w:color w:val="0070C0"/>
        </w:rPr>
        <w:t xml:space="preserve">This section can be used to update or use the risk logs developed during the project development stage and provide any mitigation measures being undertaken by the project. </w:t>
      </w:r>
      <w:r w:rsidR="00E26B0C" w:rsidRPr="00C76853">
        <w:rPr>
          <w:rFonts w:cs="Calibri"/>
          <w:i/>
          <w:color w:val="0070C0"/>
        </w:rPr>
        <w:t xml:space="preserve">(State whether the risk is from the ProDoc or is new, whether the Joint Programme was exposed during the reporting period </w:t>
      </w:r>
      <w:r w:rsidR="00610EC0" w:rsidRPr="00C76853">
        <w:rPr>
          <w:rFonts w:cs="Calibri"/>
          <w:i/>
          <w:color w:val="0070C0"/>
        </w:rPr>
        <w:t>(201</w:t>
      </w:r>
      <w:r w:rsidR="003A2BA5" w:rsidRPr="00C76853">
        <w:rPr>
          <w:rFonts w:cs="Calibri"/>
          <w:i/>
          <w:color w:val="0070C0"/>
        </w:rPr>
        <w:t>9</w:t>
      </w:r>
      <w:r w:rsidR="00610EC0" w:rsidRPr="00C76853">
        <w:rPr>
          <w:rFonts w:cs="Calibri"/>
          <w:i/>
          <w:color w:val="0070C0"/>
        </w:rPr>
        <w:t xml:space="preserve">) </w:t>
      </w:r>
      <w:r w:rsidR="00E26B0C" w:rsidRPr="00C76853">
        <w:rPr>
          <w:rFonts w:cs="Calibri"/>
          <w:i/>
          <w:color w:val="0070C0"/>
        </w:rPr>
        <w:t xml:space="preserve">and what specific mitigation measures were applied. </w:t>
      </w:r>
    </w:p>
    <w:p w14:paraId="76ECA3C4" w14:textId="77777777" w:rsidR="00DE3C56" w:rsidRPr="00C76853" w:rsidRDefault="00DE3C56" w:rsidP="00DE3C56">
      <w:pPr>
        <w:autoSpaceDE w:val="0"/>
        <w:autoSpaceDN w:val="0"/>
        <w:adjustRightInd w:val="0"/>
        <w:spacing w:after="0" w:line="240" w:lineRule="auto"/>
        <w:rPr>
          <w:rFonts w:cs="Calibri"/>
        </w:rPr>
      </w:pPr>
    </w:p>
    <w:tbl>
      <w:tblPr>
        <w:tblW w:w="14310" w:type="dxa"/>
        <w:jc w:val="righ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17"/>
        <w:gridCol w:w="6046"/>
        <w:gridCol w:w="6047"/>
      </w:tblGrid>
      <w:tr w:rsidR="00DE3C56" w:rsidRPr="00C76853" w14:paraId="1E55FE5B" w14:textId="77777777" w:rsidTr="000B73F3">
        <w:trPr>
          <w:jc w:val="right"/>
        </w:trPr>
        <w:tc>
          <w:tcPr>
            <w:tcW w:w="2217" w:type="dxa"/>
            <w:shd w:val="clear" w:color="auto" w:fill="5B9BD5"/>
          </w:tcPr>
          <w:p w14:paraId="6F538DDC" w14:textId="77777777" w:rsidR="00DE3C56" w:rsidRPr="00C76853" w:rsidRDefault="00DE3C56" w:rsidP="00E06EF8">
            <w:pPr>
              <w:spacing w:after="0" w:line="240" w:lineRule="auto"/>
              <w:jc w:val="center"/>
              <w:rPr>
                <w:rFonts w:cs="Calibri"/>
                <w:b/>
                <w:color w:val="FFFFFF"/>
              </w:rPr>
            </w:pPr>
            <w:r w:rsidRPr="00C76853">
              <w:rPr>
                <w:rFonts w:cs="Calibri"/>
                <w:b/>
                <w:color w:val="FFFFFF"/>
              </w:rPr>
              <w:t xml:space="preserve">Type of Risk </w:t>
            </w:r>
            <w:r w:rsidRPr="00C76853">
              <w:rPr>
                <w:rStyle w:val="FootnoteReference"/>
                <w:rFonts w:cs="Calibri"/>
                <w:b/>
                <w:color w:val="FFFFFF"/>
              </w:rPr>
              <w:footnoteReference w:id="5"/>
            </w:r>
          </w:p>
        </w:tc>
        <w:tc>
          <w:tcPr>
            <w:tcW w:w="6046" w:type="dxa"/>
            <w:shd w:val="clear" w:color="auto" w:fill="5B9BD5"/>
          </w:tcPr>
          <w:p w14:paraId="73763445" w14:textId="77777777" w:rsidR="00DE3C56" w:rsidRPr="00C76853" w:rsidRDefault="00DE3C56" w:rsidP="00E06EF8">
            <w:pPr>
              <w:spacing w:after="0" w:line="240" w:lineRule="auto"/>
              <w:jc w:val="center"/>
              <w:rPr>
                <w:rFonts w:cs="Calibri"/>
                <w:b/>
                <w:color w:val="FFFFFF"/>
              </w:rPr>
            </w:pPr>
            <w:r w:rsidRPr="00C76853">
              <w:rPr>
                <w:rFonts w:cs="Calibri"/>
                <w:b/>
                <w:color w:val="FFFFFF"/>
              </w:rPr>
              <w:t xml:space="preserve">Description of Risk  </w:t>
            </w:r>
          </w:p>
        </w:tc>
        <w:tc>
          <w:tcPr>
            <w:tcW w:w="6047" w:type="dxa"/>
            <w:shd w:val="clear" w:color="auto" w:fill="5B9BD5"/>
          </w:tcPr>
          <w:p w14:paraId="18C024F1" w14:textId="77777777" w:rsidR="00DE3C56" w:rsidRPr="00C76853" w:rsidRDefault="00DE3C56" w:rsidP="00E06EF8">
            <w:pPr>
              <w:spacing w:after="0" w:line="240" w:lineRule="auto"/>
              <w:jc w:val="center"/>
              <w:rPr>
                <w:rFonts w:cs="Calibri"/>
                <w:b/>
                <w:color w:val="FFFFFF"/>
              </w:rPr>
            </w:pPr>
            <w:r w:rsidRPr="00C76853">
              <w:rPr>
                <w:rFonts w:cs="Calibri"/>
                <w:b/>
                <w:color w:val="FFFFFF"/>
              </w:rPr>
              <w:t>Mitigating Measures</w:t>
            </w:r>
          </w:p>
        </w:tc>
      </w:tr>
      <w:tr w:rsidR="00892962" w:rsidRPr="00C76853" w14:paraId="00567523" w14:textId="77777777" w:rsidTr="000B73F3">
        <w:trPr>
          <w:jc w:val="right"/>
        </w:trPr>
        <w:tc>
          <w:tcPr>
            <w:tcW w:w="2217" w:type="dxa"/>
            <w:shd w:val="clear" w:color="auto" w:fill="auto"/>
          </w:tcPr>
          <w:p w14:paraId="640BA380" w14:textId="77777777" w:rsidR="00892962" w:rsidRPr="00C76853" w:rsidRDefault="00892962" w:rsidP="00892962">
            <w:pPr>
              <w:spacing w:after="0" w:line="240" w:lineRule="auto"/>
              <w:rPr>
                <w:rFonts w:cs="Calibri"/>
              </w:rPr>
            </w:pPr>
            <w:r w:rsidRPr="00C76853">
              <w:rPr>
                <w:rFonts w:cs="Calibri"/>
              </w:rPr>
              <w:t>Risk of Increased internal political divisions</w:t>
            </w:r>
          </w:p>
        </w:tc>
        <w:tc>
          <w:tcPr>
            <w:tcW w:w="6046" w:type="dxa"/>
            <w:shd w:val="clear" w:color="auto" w:fill="auto"/>
          </w:tcPr>
          <w:p w14:paraId="2D8C596A" w14:textId="77777777" w:rsidR="00892962" w:rsidRPr="00C76853" w:rsidRDefault="00892962" w:rsidP="00892962">
            <w:pPr>
              <w:snapToGrid w:val="0"/>
              <w:spacing w:after="0" w:line="240" w:lineRule="auto"/>
              <w:rPr>
                <w:rFonts w:cs="Calibri"/>
              </w:rPr>
            </w:pPr>
            <w:r w:rsidRPr="00C76853">
              <w:rPr>
                <w:rFonts w:cs="Calibri"/>
              </w:rPr>
              <w:t>An increase in internal political divisions will have detrimental effect on all activities and interventions under the project. Internal political divisions are likely to further deepen the communication gap between the FMS and FGS</w:t>
            </w:r>
          </w:p>
        </w:tc>
        <w:tc>
          <w:tcPr>
            <w:tcW w:w="6047" w:type="dxa"/>
            <w:shd w:val="clear" w:color="auto" w:fill="auto"/>
          </w:tcPr>
          <w:p w14:paraId="7C4F1145" w14:textId="77777777" w:rsidR="00892962" w:rsidRPr="00C76853" w:rsidRDefault="00892962" w:rsidP="00892962">
            <w:pPr>
              <w:snapToGrid w:val="0"/>
              <w:spacing w:after="0" w:line="240" w:lineRule="auto"/>
              <w:rPr>
                <w:rFonts w:cs="Calibri"/>
              </w:rPr>
            </w:pPr>
            <w:r w:rsidRPr="00C76853">
              <w:rPr>
                <w:rFonts w:cs="Calibri"/>
              </w:rPr>
              <w:t xml:space="preserve">The project will work to create preconditions for building strong relationships at the technical levels with all </w:t>
            </w:r>
            <w:proofErr w:type="spellStart"/>
            <w:r w:rsidRPr="00C76853">
              <w:rPr>
                <w:rFonts w:cs="Calibri"/>
              </w:rPr>
              <w:t>local,FMS</w:t>
            </w:r>
            <w:proofErr w:type="spellEnd"/>
            <w:r w:rsidRPr="00C76853">
              <w:rPr>
                <w:rFonts w:cs="Calibri"/>
              </w:rPr>
              <w:t xml:space="preserve"> and FGS partners, with a focus to support a harmonized approach to the development of the security architecture in the country.</w:t>
            </w:r>
          </w:p>
        </w:tc>
      </w:tr>
      <w:tr w:rsidR="00892962" w:rsidRPr="00C76853" w14:paraId="23D79CEB" w14:textId="77777777" w:rsidTr="000B73F3">
        <w:trPr>
          <w:jc w:val="right"/>
        </w:trPr>
        <w:tc>
          <w:tcPr>
            <w:tcW w:w="2217" w:type="dxa"/>
            <w:shd w:val="clear" w:color="auto" w:fill="auto"/>
          </w:tcPr>
          <w:p w14:paraId="0FD876F1" w14:textId="77777777" w:rsidR="00892962" w:rsidRPr="00C76853" w:rsidRDefault="00892962" w:rsidP="00892962">
            <w:pPr>
              <w:spacing w:after="0" w:line="240" w:lineRule="auto"/>
              <w:rPr>
                <w:rFonts w:cs="Calibri"/>
              </w:rPr>
            </w:pPr>
            <w:r w:rsidRPr="00C76853">
              <w:rPr>
                <w:rFonts w:cs="Calibri"/>
              </w:rPr>
              <w:t>Lack of Inclusiveness of all groups in the dialogue platforms</w:t>
            </w:r>
          </w:p>
        </w:tc>
        <w:tc>
          <w:tcPr>
            <w:tcW w:w="6046" w:type="dxa"/>
            <w:shd w:val="clear" w:color="auto" w:fill="auto"/>
          </w:tcPr>
          <w:p w14:paraId="7E57AA01" w14:textId="77777777" w:rsidR="00892962" w:rsidRPr="00C76853" w:rsidRDefault="00892962" w:rsidP="00892962">
            <w:pPr>
              <w:snapToGrid w:val="0"/>
              <w:spacing w:after="0" w:line="240" w:lineRule="auto"/>
              <w:rPr>
                <w:rFonts w:cs="Calibri"/>
              </w:rPr>
            </w:pPr>
            <w:r w:rsidRPr="00C76853">
              <w:rPr>
                <w:rFonts w:cs="Calibri"/>
              </w:rPr>
              <w:t>Inclusiveness of all groups especially women would be important for this project. Lack of inclusiveness is likely leading to actions taken and policy framework developed being based on a “false” baseline undermining a whole of society approach.</w:t>
            </w:r>
          </w:p>
        </w:tc>
        <w:tc>
          <w:tcPr>
            <w:tcW w:w="6047" w:type="dxa"/>
            <w:shd w:val="clear" w:color="auto" w:fill="auto"/>
          </w:tcPr>
          <w:p w14:paraId="0421E840" w14:textId="77777777" w:rsidR="00892962" w:rsidRPr="00C76853" w:rsidRDefault="00892962" w:rsidP="00892962">
            <w:pPr>
              <w:snapToGrid w:val="0"/>
              <w:spacing w:after="0" w:line="240" w:lineRule="auto"/>
              <w:rPr>
                <w:rFonts w:cs="Calibri"/>
              </w:rPr>
            </w:pPr>
            <w:r w:rsidRPr="00C76853">
              <w:rPr>
                <w:rFonts w:cs="Calibri"/>
              </w:rPr>
              <w:t xml:space="preserve">Ensure coordination with </w:t>
            </w:r>
            <w:proofErr w:type="spellStart"/>
            <w:r w:rsidRPr="00C76853">
              <w:rPr>
                <w:rFonts w:cs="Calibri"/>
              </w:rPr>
              <w:t>MoWHRD</w:t>
            </w:r>
            <w:proofErr w:type="spellEnd"/>
            <w:r w:rsidRPr="00C76853">
              <w:rPr>
                <w:rFonts w:cs="Calibri"/>
              </w:rPr>
              <w:t xml:space="preserve"> and </w:t>
            </w:r>
            <w:proofErr w:type="spellStart"/>
            <w:r w:rsidRPr="00C76853">
              <w:rPr>
                <w:rFonts w:cs="Calibri"/>
              </w:rPr>
              <w:t>MoIFA</w:t>
            </w:r>
            <w:proofErr w:type="spellEnd"/>
            <w:r w:rsidRPr="00C76853">
              <w:rPr>
                <w:rFonts w:cs="Calibri"/>
              </w:rPr>
              <w:t xml:space="preserve"> to ensure all groups especially women’s participation is ensured. Relevant groups are identified in the project and women’s groups are included in the discussions on PCVE at the FMS. SNWO, specifically aiming at capturing women’s perspective on PCVE, to inform the national policy framework and action plans.  </w:t>
            </w:r>
          </w:p>
        </w:tc>
      </w:tr>
      <w:tr w:rsidR="00892962" w:rsidRPr="00C76853" w14:paraId="466EEE7A"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21ABA9A8" w14:textId="77777777" w:rsidR="00892962" w:rsidRPr="00C76853" w:rsidRDefault="00892962" w:rsidP="00892962">
            <w:pPr>
              <w:snapToGrid w:val="0"/>
              <w:spacing w:after="0" w:line="240" w:lineRule="auto"/>
              <w:rPr>
                <w:rFonts w:cs="Calibri"/>
              </w:rPr>
            </w:pPr>
            <w:r w:rsidRPr="00C76853">
              <w:rPr>
                <w:rFonts w:cs="Calibri"/>
              </w:rPr>
              <w:t>Limited engagement with FMS</w:t>
            </w:r>
          </w:p>
          <w:p w14:paraId="5198540B" w14:textId="77777777" w:rsidR="00892962" w:rsidRPr="00C76853" w:rsidRDefault="00892962" w:rsidP="00892962">
            <w:pPr>
              <w:spacing w:after="0" w:line="240" w:lineRule="auto"/>
              <w:rPr>
                <w:rFonts w:cs="Calibri"/>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5BDD04CF" w14:textId="77777777" w:rsidR="00892962" w:rsidRPr="00C76853" w:rsidRDefault="00892962" w:rsidP="00892962">
            <w:pPr>
              <w:snapToGrid w:val="0"/>
              <w:spacing w:after="0" w:line="240" w:lineRule="auto"/>
              <w:rPr>
                <w:rFonts w:cs="Calibri"/>
              </w:rPr>
            </w:pPr>
            <w:r w:rsidRPr="00C76853">
              <w:rPr>
                <w:rFonts w:cs="Calibri"/>
              </w:rPr>
              <w:t>A limited engagement with FMS may undermine the overall objective of the project</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490E58BC" w14:textId="77777777" w:rsidR="00892962" w:rsidRPr="00C76853" w:rsidRDefault="00892962" w:rsidP="00892962">
            <w:pPr>
              <w:snapToGrid w:val="0"/>
              <w:spacing w:after="0" w:line="240" w:lineRule="auto"/>
              <w:rPr>
                <w:rFonts w:cs="Calibri"/>
              </w:rPr>
            </w:pPr>
            <w:r w:rsidRPr="00C76853">
              <w:rPr>
                <w:rFonts w:cs="Calibri"/>
              </w:rPr>
              <w:t>Ensure that the project activities are well coordinated with other programme interventions especially on rule of law. Coordination meetings to be well recorded.</w:t>
            </w:r>
          </w:p>
        </w:tc>
      </w:tr>
      <w:tr w:rsidR="00892962" w:rsidRPr="00C76853" w14:paraId="2B646975"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28BF916B" w14:textId="77777777" w:rsidR="00892962" w:rsidRPr="00C76853" w:rsidRDefault="00892962" w:rsidP="00892962">
            <w:pPr>
              <w:snapToGrid w:val="0"/>
              <w:spacing w:after="0" w:line="240" w:lineRule="auto"/>
              <w:rPr>
                <w:rFonts w:cs="Calibri"/>
              </w:rPr>
            </w:pPr>
            <w:r w:rsidRPr="00C76853">
              <w:rPr>
                <w:rFonts w:cs="Calibri"/>
              </w:rPr>
              <w:t xml:space="preserve">Evidence based research may not be completed during the timeframe of the project, due to lack of skilled interviewers and willingness of respondents to answer sensitive </w:t>
            </w:r>
            <w:r w:rsidRPr="00C76853">
              <w:rPr>
                <w:rFonts w:cs="Calibri"/>
              </w:rPr>
              <w:lastRenderedPageBreak/>
              <w:t>questions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583A7A34" w14:textId="77777777" w:rsidR="00892962" w:rsidRPr="00C76853" w:rsidRDefault="00892962" w:rsidP="00892962">
            <w:pPr>
              <w:snapToGrid w:val="0"/>
              <w:spacing w:after="0" w:line="240" w:lineRule="auto"/>
              <w:rPr>
                <w:rFonts w:cs="Calibri"/>
              </w:rPr>
            </w:pPr>
            <w:r w:rsidRPr="00C76853">
              <w:rPr>
                <w:rFonts w:cs="Calibri"/>
              </w:rPr>
              <w:lastRenderedPageBreak/>
              <w:t xml:space="preserve">Lack of evidence-based research to inform policy development and action plans will likely lead to actions taken and policy framework developed not leading to the intended aim of reducing drivers and push-factors for radicalization and recruitment to violent extremist </w:t>
            </w:r>
            <w:proofErr w:type="spellStart"/>
            <w:r w:rsidRPr="00C76853">
              <w:rPr>
                <w:rFonts w:cs="Calibri"/>
              </w:rPr>
              <w:t>organisations</w:t>
            </w:r>
            <w:proofErr w:type="spellEnd"/>
            <w:r w:rsidRPr="00C76853">
              <w:rPr>
                <w:rFonts w:cs="Calibri"/>
              </w:rPr>
              <w:t>.</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566F0FE8" w14:textId="77777777" w:rsidR="00892962" w:rsidRPr="00C76853" w:rsidRDefault="00892962" w:rsidP="00892962">
            <w:pPr>
              <w:numPr>
                <w:ilvl w:val="0"/>
                <w:numId w:val="16"/>
              </w:numPr>
              <w:suppressAutoHyphens/>
              <w:snapToGrid w:val="0"/>
              <w:spacing w:after="0" w:line="240" w:lineRule="auto"/>
              <w:rPr>
                <w:rFonts w:cs="Calibri"/>
              </w:rPr>
            </w:pPr>
            <w:r w:rsidRPr="00C76853">
              <w:rPr>
                <w:rFonts w:cs="Calibri"/>
              </w:rPr>
              <w:t>Ensure coordination with all PCVE focal points from all member states through the PCVE Unit at OPM.</w:t>
            </w:r>
          </w:p>
          <w:p w14:paraId="7DC20A26" w14:textId="77777777" w:rsidR="00892962" w:rsidRPr="00C76853" w:rsidRDefault="00892962" w:rsidP="00892962">
            <w:pPr>
              <w:numPr>
                <w:ilvl w:val="0"/>
                <w:numId w:val="16"/>
              </w:numPr>
              <w:suppressAutoHyphens/>
              <w:snapToGrid w:val="0"/>
              <w:spacing w:after="0" w:line="240" w:lineRule="auto"/>
              <w:rPr>
                <w:rFonts w:cs="Calibri"/>
              </w:rPr>
            </w:pPr>
            <w:r w:rsidRPr="00C76853">
              <w:rPr>
                <w:rFonts w:cs="Calibri"/>
              </w:rPr>
              <w:t>Develop clear TORs on the skills required for interviewers and provide briefing/training to them prior to starting the research</w:t>
            </w:r>
          </w:p>
          <w:p w14:paraId="180C4FF7" w14:textId="77777777" w:rsidR="00892962" w:rsidRPr="00C76853" w:rsidRDefault="00892962" w:rsidP="00892962">
            <w:pPr>
              <w:numPr>
                <w:ilvl w:val="0"/>
                <w:numId w:val="16"/>
              </w:numPr>
              <w:suppressAutoHyphens/>
              <w:snapToGrid w:val="0"/>
              <w:spacing w:after="0" w:line="240" w:lineRule="auto"/>
              <w:rPr>
                <w:rFonts w:cs="Calibri"/>
              </w:rPr>
            </w:pPr>
            <w:r w:rsidRPr="00C76853">
              <w:rPr>
                <w:rFonts w:cs="Calibri"/>
              </w:rPr>
              <w:t>Ensure confidentiality of sensitive information with clear indication on the purpose and how the information is managed.</w:t>
            </w:r>
          </w:p>
        </w:tc>
      </w:tr>
      <w:tr w:rsidR="00892962" w:rsidRPr="00C76853" w14:paraId="79B54DFC"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462E8638" w14:textId="77777777" w:rsidR="00892962" w:rsidRPr="00C76853" w:rsidRDefault="00892962" w:rsidP="00892962">
            <w:pPr>
              <w:snapToGrid w:val="0"/>
              <w:spacing w:after="0" w:line="240" w:lineRule="auto"/>
              <w:rPr>
                <w:rFonts w:cs="Calibri"/>
              </w:rPr>
            </w:pPr>
            <w:r w:rsidRPr="00C76853">
              <w:rPr>
                <w:rFonts w:cs="Calibri"/>
              </w:rPr>
              <w:t>Varying level of commitment of Federal Government and FMS to coordinate with stakeholders and engage in PCVE activities</w:t>
            </w:r>
          </w:p>
          <w:p w14:paraId="01DFEE96" w14:textId="77777777" w:rsidR="00892962" w:rsidRPr="00C76853" w:rsidRDefault="00892962" w:rsidP="00892962">
            <w:pPr>
              <w:spacing w:after="0" w:line="240" w:lineRule="auto"/>
              <w:rPr>
                <w:rFonts w:cs="Calibri"/>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06D0949D" w14:textId="77777777" w:rsidR="00892962" w:rsidRPr="00C76853" w:rsidRDefault="00892962" w:rsidP="00892962">
            <w:pPr>
              <w:snapToGrid w:val="0"/>
              <w:spacing w:after="0" w:line="240" w:lineRule="auto"/>
              <w:rPr>
                <w:rFonts w:cs="Calibri"/>
              </w:rPr>
            </w:pPr>
            <w:r w:rsidRPr="00C76853">
              <w:rPr>
                <w:rFonts w:cs="Calibri"/>
              </w:rPr>
              <w:t>Variance in commitment to PCVE objectives can be caused due to political dynamics, capacity of the PCVE experts, resulting to unequal levels of implementation among states</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0AE1ED49" w14:textId="77777777" w:rsidR="00892962" w:rsidRPr="00C76853" w:rsidRDefault="00892962" w:rsidP="00892962">
            <w:pPr>
              <w:numPr>
                <w:ilvl w:val="0"/>
                <w:numId w:val="17"/>
              </w:numPr>
              <w:suppressAutoHyphens/>
              <w:snapToGrid w:val="0"/>
              <w:spacing w:after="0" w:line="240" w:lineRule="auto"/>
              <w:rPr>
                <w:rFonts w:cs="Calibri"/>
              </w:rPr>
            </w:pPr>
            <w:r w:rsidRPr="00C76853">
              <w:rPr>
                <w:rFonts w:cs="Calibri"/>
              </w:rPr>
              <w:t>Ensure national ownership and leadership in undertaking PCVE related activities</w:t>
            </w:r>
          </w:p>
          <w:p w14:paraId="1858AE01" w14:textId="77777777" w:rsidR="00892962" w:rsidRPr="00C76853" w:rsidRDefault="00892962" w:rsidP="00892962">
            <w:pPr>
              <w:numPr>
                <w:ilvl w:val="0"/>
                <w:numId w:val="17"/>
              </w:numPr>
              <w:suppressAutoHyphens/>
              <w:snapToGrid w:val="0"/>
              <w:spacing w:after="0" w:line="240" w:lineRule="auto"/>
              <w:rPr>
                <w:rFonts w:cs="Calibri"/>
              </w:rPr>
            </w:pPr>
            <w:r w:rsidRPr="00C76853">
              <w:rPr>
                <w:rFonts w:cs="Calibri"/>
              </w:rPr>
              <w:t xml:space="preserve">Set up and monitor coordinating mechanisms with all the related groups (youth, elders, communities and state authorities)  </w:t>
            </w:r>
          </w:p>
          <w:p w14:paraId="1D181231" w14:textId="77777777" w:rsidR="00892962" w:rsidRPr="00C76853" w:rsidRDefault="00892962" w:rsidP="00892962">
            <w:pPr>
              <w:numPr>
                <w:ilvl w:val="0"/>
                <w:numId w:val="17"/>
              </w:numPr>
              <w:suppressAutoHyphens/>
              <w:snapToGrid w:val="0"/>
              <w:spacing w:after="0" w:line="240" w:lineRule="auto"/>
              <w:rPr>
                <w:rFonts w:cs="Calibri"/>
              </w:rPr>
            </w:pPr>
            <w:r w:rsidRPr="00C76853">
              <w:rPr>
                <w:rFonts w:cs="Calibri"/>
              </w:rPr>
              <w:t xml:space="preserve"> Constant ongoing engagement and encouragement to address challenges encountered at different states;</w:t>
            </w:r>
          </w:p>
          <w:p w14:paraId="3F7EACBB" w14:textId="77777777" w:rsidR="00892962" w:rsidRPr="00C76853" w:rsidRDefault="00892962" w:rsidP="00892962">
            <w:pPr>
              <w:numPr>
                <w:ilvl w:val="0"/>
                <w:numId w:val="17"/>
              </w:numPr>
              <w:suppressAutoHyphens/>
              <w:snapToGrid w:val="0"/>
              <w:spacing w:after="0" w:line="240" w:lineRule="auto"/>
              <w:rPr>
                <w:rFonts w:cs="Calibri"/>
              </w:rPr>
            </w:pPr>
            <w:r w:rsidRPr="00C76853">
              <w:rPr>
                <w:rFonts w:cs="Calibri"/>
              </w:rPr>
              <w:t>Support capacity development and results-based approach.</w:t>
            </w:r>
          </w:p>
        </w:tc>
      </w:tr>
      <w:tr w:rsidR="00892962" w:rsidRPr="00C76853" w14:paraId="45559B8D"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3B7DA466" w14:textId="77777777" w:rsidR="00892962" w:rsidRPr="00C76853" w:rsidRDefault="00892962" w:rsidP="00892962">
            <w:pPr>
              <w:snapToGrid w:val="0"/>
              <w:spacing w:after="0" w:line="240" w:lineRule="auto"/>
              <w:rPr>
                <w:rFonts w:cs="Calibri"/>
              </w:rPr>
            </w:pPr>
            <w:r w:rsidRPr="00C76853">
              <w:rPr>
                <w:rFonts w:cs="Calibri"/>
              </w:rPr>
              <w:t>Lack of donor commitment to support implementation of a full-fledged project on PCVE</w:t>
            </w:r>
          </w:p>
          <w:p w14:paraId="5E18AD9A" w14:textId="77777777" w:rsidR="00892962" w:rsidRPr="00C76853" w:rsidRDefault="00892962" w:rsidP="00892962">
            <w:pPr>
              <w:spacing w:after="0" w:line="240" w:lineRule="auto"/>
              <w:rPr>
                <w:rFonts w:cs="Calibri"/>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73C8D0E6" w14:textId="77777777" w:rsidR="00892962" w:rsidRPr="00C76853" w:rsidRDefault="00892962" w:rsidP="00892962">
            <w:pPr>
              <w:snapToGrid w:val="0"/>
              <w:spacing w:after="0" w:line="240" w:lineRule="auto"/>
              <w:rPr>
                <w:rFonts w:cs="Calibri"/>
              </w:rPr>
            </w:pPr>
            <w:r w:rsidRPr="00C76853">
              <w:rPr>
                <w:rFonts w:cs="Calibri"/>
              </w:rPr>
              <w:t>There may be a possibility that the project may not be fully funded, leading to partial implementation of the programme objectives.</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7A02ED3B" w14:textId="77777777" w:rsidR="00892962" w:rsidRPr="00C76853" w:rsidRDefault="00892962" w:rsidP="00892962">
            <w:pPr>
              <w:numPr>
                <w:ilvl w:val="0"/>
                <w:numId w:val="18"/>
              </w:numPr>
              <w:suppressAutoHyphens/>
              <w:snapToGrid w:val="0"/>
              <w:spacing w:after="0" w:line="240" w:lineRule="auto"/>
              <w:rPr>
                <w:rFonts w:cs="Calibri"/>
              </w:rPr>
            </w:pPr>
            <w:r w:rsidRPr="00C76853">
              <w:rPr>
                <w:rFonts w:cs="Calibri"/>
              </w:rPr>
              <w:t>Resource mobilization strategy to be developed;</w:t>
            </w:r>
          </w:p>
          <w:p w14:paraId="5D53DD01" w14:textId="77777777" w:rsidR="00892962" w:rsidRPr="00C76853" w:rsidRDefault="00892962" w:rsidP="00892962">
            <w:pPr>
              <w:numPr>
                <w:ilvl w:val="0"/>
                <w:numId w:val="18"/>
              </w:numPr>
              <w:suppressAutoHyphens/>
              <w:snapToGrid w:val="0"/>
              <w:spacing w:after="0" w:line="240" w:lineRule="auto"/>
              <w:rPr>
                <w:rFonts w:cs="Calibri"/>
              </w:rPr>
            </w:pPr>
            <w:r w:rsidRPr="00C76853">
              <w:rPr>
                <w:rFonts w:cs="Calibri"/>
              </w:rPr>
              <w:t>Regular engagement with bilateral and multilateral stakeholders;</w:t>
            </w:r>
          </w:p>
          <w:p w14:paraId="755250D8" w14:textId="77777777" w:rsidR="00892962" w:rsidRPr="00C76853" w:rsidRDefault="00892962" w:rsidP="00892962">
            <w:pPr>
              <w:numPr>
                <w:ilvl w:val="0"/>
                <w:numId w:val="18"/>
              </w:numPr>
              <w:suppressAutoHyphens/>
              <w:snapToGrid w:val="0"/>
              <w:spacing w:after="0" w:line="240" w:lineRule="auto"/>
              <w:rPr>
                <w:rFonts w:cs="Calibri"/>
              </w:rPr>
            </w:pPr>
            <w:r w:rsidRPr="00C76853">
              <w:rPr>
                <w:rFonts w:cs="Calibri"/>
              </w:rPr>
              <w:t xml:space="preserve"> Ensure successful delivery of the results under </w:t>
            </w:r>
            <w:r w:rsidR="00DF4077" w:rsidRPr="00C76853">
              <w:rPr>
                <w:rFonts w:cs="Calibri"/>
              </w:rPr>
              <w:t>Project</w:t>
            </w:r>
            <w:r w:rsidRPr="00C76853">
              <w:rPr>
                <w:rFonts w:cs="Calibri"/>
              </w:rPr>
              <w:t>, visibility and reporting on results</w:t>
            </w:r>
          </w:p>
          <w:p w14:paraId="71F4545E" w14:textId="77777777" w:rsidR="00892962" w:rsidRPr="00C76853" w:rsidRDefault="00892962" w:rsidP="00892962">
            <w:pPr>
              <w:numPr>
                <w:ilvl w:val="0"/>
                <w:numId w:val="18"/>
              </w:numPr>
              <w:suppressAutoHyphens/>
              <w:snapToGrid w:val="0"/>
              <w:spacing w:after="0" w:line="240" w:lineRule="auto"/>
              <w:rPr>
                <w:rFonts w:cs="Calibri"/>
              </w:rPr>
            </w:pPr>
            <w:r w:rsidRPr="00C76853">
              <w:rPr>
                <w:rFonts w:cs="Calibri"/>
              </w:rPr>
              <w:t>Regular engagement with government stakeholders, pillar working group and other development partners.</w:t>
            </w:r>
          </w:p>
        </w:tc>
      </w:tr>
    </w:tbl>
    <w:p w14:paraId="003D3E61" w14:textId="77777777" w:rsidR="00DE3C56" w:rsidRPr="00C76853" w:rsidRDefault="00DE3C56" w:rsidP="00DE3C56">
      <w:pPr>
        <w:autoSpaceDE w:val="0"/>
        <w:autoSpaceDN w:val="0"/>
        <w:adjustRightInd w:val="0"/>
        <w:spacing w:after="0" w:line="240" w:lineRule="auto"/>
        <w:rPr>
          <w:rFonts w:cs="Calibri"/>
        </w:rPr>
      </w:pPr>
    </w:p>
    <w:p w14:paraId="488EADA9" w14:textId="77777777" w:rsidR="00DE3C56" w:rsidRPr="00C76853" w:rsidRDefault="00DE3C56" w:rsidP="00DE3C56">
      <w:pPr>
        <w:tabs>
          <w:tab w:val="left" w:pos="2728"/>
        </w:tabs>
        <w:rPr>
          <w:rFonts w:cs="Calibri"/>
          <w:b/>
          <w:smallCaps/>
          <w:color w:val="365F91"/>
          <w:spacing w:val="5"/>
          <w:sz w:val="32"/>
          <w:szCs w:val="32"/>
        </w:rPr>
      </w:pPr>
    </w:p>
    <w:p w14:paraId="24A8FC7F" w14:textId="77777777" w:rsidR="00DE3C56" w:rsidRPr="00C76853" w:rsidRDefault="00DE3C56" w:rsidP="00DE3C56">
      <w:pPr>
        <w:pStyle w:val="Heading1"/>
        <w:rPr>
          <w:rFonts w:ascii="Calibri" w:hAnsi="Calibri" w:cs="Calibri"/>
          <w:b w:val="0"/>
          <w:sz w:val="22"/>
          <w:szCs w:val="22"/>
        </w:rPr>
      </w:pPr>
      <w:r w:rsidRPr="00C76853">
        <w:rPr>
          <w:rFonts w:ascii="Calibri" w:hAnsi="Calibri" w:cs="Calibri"/>
          <w:b w:val="0"/>
          <w:smallCaps/>
          <w:color w:val="365F91"/>
        </w:rPr>
        <w:br w:type="page"/>
      </w:r>
      <w:r w:rsidRPr="00C76853">
        <w:rPr>
          <w:rFonts w:ascii="Calibri" w:hAnsi="Calibri" w:cs="Calibri"/>
          <w:sz w:val="24"/>
          <w:szCs w:val="24"/>
        </w:rPr>
        <w:lastRenderedPageBreak/>
        <w:t xml:space="preserve"> </w:t>
      </w:r>
      <w:r w:rsidR="00AF72B0" w:rsidRPr="00C76853">
        <w:rPr>
          <w:rFonts w:ascii="Calibri" w:hAnsi="Calibri" w:cs="Calibri"/>
          <w:sz w:val="24"/>
          <w:szCs w:val="24"/>
        </w:rPr>
        <w:t>ANNEX 2.</w:t>
      </w:r>
      <w:r w:rsidR="00AF72B0" w:rsidRPr="00C76853">
        <w:rPr>
          <w:rFonts w:ascii="Calibri" w:hAnsi="Calibri" w:cs="Calibri"/>
          <w:b w:val="0"/>
          <w:color w:val="4472C4"/>
        </w:rPr>
        <w:tab/>
      </w:r>
      <w:r w:rsidR="00474992" w:rsidRPr="00C76853">
        <w:rPr>
          <w:rFonts w:ascii="Calibri" w:hAnsi="Calibri" w:cs="Calibri"/>
          <w:sz w:val="24"/>
          <w:szCs w:val="24"/>
        </w:rPr>
        <w:t>MONITORING AND OVERSIGHT ACTIVITIES</w:t>
      </w:r>
      <w:r w:rsidR="00AF72B0" w:rsidRPr="00C76853">
        <w:rPr>
          <w:rFonts w:ascii="Calibri" w:hAnsi="Calibri" w:cs="Calibri"/>
          <w:sz w:val="24"/>
          <w:szCs w:val="24"/>
        </w:rPr>
        <w:t xml:space="preserve"> </w:t>
      </w:r>
      <w:r w:rsidR="00AF72B0" w:rsidRPr="00C76853">
        <w:rPr>
          <w:rFonts w:ascii="Calibri" w:hAnsi="Calibri" w:cs="Calibri"/>
          <w:b w:val="0"/>
          <w:color w:val="0070C0"/>
          <w:sz w:val="22"/>
          <w:szCs w:val="22"/>
        </w:rPr>
        <w:t>&lt;list here the monitoring and oversight activities undertaken during reporting period</w:t>
      </w:r>
      <w:r w:rsidR="00610EC0" w:rsidRPr="00C76853">
        <w:rPr>
          <w:rFonts w:ascii="Calibri" w:hAnsi="Calibri" w:cs="Calibri"/>
          <w:b w:val="0"/>
          <w:color w:val="0070C0"/>
          <w:sz w:val="22"/>
          <w:szCs w:val="22"/>
        </w:rPr>
        <w:t xml:space="preserve"> (201</w:t>
      </w:r>
      <w:r w:rsidR="003A2BA5" w:rsidRPr="00C76853">
        <w:rPr>
          <w:rFonts w:ascii="Calibri" w:hAnsi="Calibri" w:cs="Calibri"/>
          <w:b w:val="0"/>
          <w:color w:val="0070C0"/>
          <w:sz w:val="22"/>
          <w:szCs w:val="22"/>
        </w:rPr>
        <w:t>9</w:t>
      </w:r>
      <w:r w:rsidR="00610EC0" w:rsidRPr="00C76853">
        <w:rPr>
          <w:rFonts w:ascii="Calibri" w:hAnsi="Calibri" w:cs="Calibri"/>
          <w:b w:val="0"/>
          <w:color w:val="0070C0"/>
          <w:sz w:val="22"/>
          <w:szCs w:val="22"/>
        </w:rPr>
        <w:t>)</w:t>
      </w:r>
      <w:r w:rsidR="00AF72B0" w:rsidRPr="00C76853">
        <w:rPr>
          <w:rFonts w:ascii="Calibri" w:hAnsi="Calibri" w:cs="Calibri"/>
          <w:b w:val="0"/>
          <w:color w:val="0070C0"/>
          <w:sz w:val="22"/>
          <w:szCs w:val="22"/>
        </w:rPr>
        <w:t>. Precise and specific, the table should not exceed one page&gt;</w:t>
      </w:r>
    </w:p>
    <w:p w14:paraId="01EB5CAC" w14:textId="77777777" w:rsidR="00DE3C56" w:rsidRPr="00C76853" w:rsidRDefault="00DE3C56" w:rsidP="00DE3C56">
      <w:pPr>
        <w:tabs>
          <w:tab w:val="left" w:pos="2293"/>
        </w:tabs>
        <w:autoSpaceDE w:val="0"/>
        <w:autoSpaceDN w:val="0"/>
        <w:adjustRightInd w:val="0"/>
        <w:spacing w:after="0" w:line="240" w:lineRule="auto"/>
        <w:rPr>
          <w:rFonts w:cs="Calibri"/>
        </w:rPr>
      </w:pPr>
      <w:r w:rsidRPr="00C76853">
        <w:rPr>
          <w:rFonts w:cs="Calibri"/>
        </w:rPr>
        <w:tab/>
      </w:r>
    </w:p>
    <w:tbl>
      <w:tblPr>
        <w:tblW w:w="14310"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880"/>
        <w:gridCol w:w="1530"/>
        <w:gridCol w:w="4950"/>
        <w:gridCol w:w="4950"/>
      </w:tblGrid>
      <w:tr w:rsidR="00DE3C56" w:rsidRPr="00C76853" w14:paraId="2D2AFA7F" w14:textId="77777777" w:rsidTr="0016201A">
        <w:trPr>
          <w:jc w:val="center"/>
        </w:trPr>
        <w:tc>
          <w:tcPr>
            <w:tcW w:w="2880" w:type="dxa"/>
            <w:shd w:val="clear" w:color="auto" w:fill="5B9BD5"/>
          </w:tcPr>
          <w:p w14:paraId="3D4EDF5E" w14:textId="77777777" w:rsidR="00DE3C56" w:rsidRPr="00C76853" w:rsidRDefault="00DE3C56" w:rsidP="00E06EF8">
            <w:pPr>
              <w:spacing w:after="0" w:line="240" w:lineRule="auto"/>
              <w:jc w:val="center"/>
              <w:rPr>
                <w:rFonts w:cs="Calibri"/>
                <w:b/>
                <w:color w:val="FFFFFF"/>
              </w:rPr>
            </w:pPr>
            <w:r w:rsidRPr="00C76853">
              <w:rPr>
                <w:rFonts w:cs="Calibri"/>
                <w:b/>
                <w:color w:val="FFFFFF"/>
              </w:rPr>
              <w:t xml:space="preserve">Monitoring Activity </w:t>
            </w:r>
          </w:p>
        </w:tc>
        <w:tc>
          <w:tcPr>
            <w:tcW w:w="1530" w:type="dxa"/>
            <w:shd w:val="clear" w:color="auto" w:fill="5B9BD5"/>
          </w:tcPr>
          <w:p w14:paraId="15DBEB6D" w14:textId="77777777" w:rsidR="00DE3C56" w:rsidRPr="00C76853" w:rsidRDefault="00DE3C56" w:rsidP="00E06EF8">
            <w:pPr>
              <w:spacing w:after="0" w:line="240" w:lineRule="auto"/>
              <w:jc w:val="center"/>
              <w:rPr>
                <w:rFonts w:cs="Calibri"/>
                <w:b/>
                <w:color w:val="FFFFFF"/>
              </w:rPr>
            </w:pPr>
            <w:r w:rsidRPr="00C76853">
              <w:rPr>
                <w:rFonts w:cs="Calibri"/>
                <w:b/>
                <w:color w:val="FFFFFF"/>
              </w:rPr>
              <w:t xml:space="preserve">Date </w:t>
            </w:r>
          </w:p>
        </w:tc>
        <w:tc>
          <w:tcPr>
            <w:tcW w:w="4950" w:type="dxa"/>
            <w:shd w:val="clear" w:color="auto" w:fill="5B9BD5"/>
          </w:tcPr>
          <w:p w14:paraId="30E369A6" w14:textId="77777777" w:rsidR="00DE3C56" w:rsidRPr="00C76853" w:rsidRDefault="00DE3C56" w:rsidP="00E06EF8">
            <w:pPr>
              <w:spacing w:after="0" w:line="240" w:lineRule="auto"/>
              <w:jc w:val="center"/>
              <w:rPr>
                <w:rFonts w:cs="Calibri"/>
                <w:b/>
                <w:color w:val="FFFFFF"/>
              </w:rPr>
            </w:pPr>
            <w:r w:rsidRPr="00C76853">
              <w:rPr>
                <w:rFonts w:cs="Calibri"/>
                <w:b/>
                <w:color w:val="FFFFFF"/>
              </w:rPr>
              <w:t>Description &amp; Comments</w:t>
            </w:r>
          </w:p>
        </w:tc>
        <w:tc>
          <w:tcPr>
            <w:tcW w:w="4950" w:type="dxa"/>
            <w:shd w:val="clear" w:color="auto" w:fill="5B9BD5"/>
          </w:tcPr>
          <w:p w14:paraId="1F58CFDC" w14:textId="77777777" w:rsidR="00DE3C56" w:rsidRPr="00C76853" w:rsidRDefault="00DE3C56" w:rsidP="00E06EF8">
            <w:pPr>
              <w:spacing w:after="0" w:line="240" w:lineRule="auto"/>
              <w:jc w:val="center"/>
              <w:rPr>
                <w:rFonts w:cs="Calibri"/>
                <w:b/>
                <w:color w:val="FFFFFF"/>
              </w:rPr>
            </w:pPr>
            <w:r w:rsidRPr="00C76853">
              <w:rPr>
                <w:rFonts w:cs="Calibri"/>
                <w:b/>
                <w:color w:val="FFFFFF"/>
              </w:rPr>
              <w:t>Key Findings / Recommendations</w:t>
            </w:r>
          </w:p>
        </w:tc>
      </w:tr>
      <w:tr w:rsidR="00374CDA" w:rsidRPr="00C76853" w14:paraId="08191A22"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64D8B03A" w14:textId="77777777" w:rsidR="00374CDA" w:rsidRPr="00C76853" w:rsidRDefault="00374CDA" w:rsidP="00374CDA">
            <w:pPr>
              <w:spacing w:after="0" w:line="240" w:lineRule="auto"/>
              <w:rPr>
                <w:rFonts w:cs="Calibri"/>
              </w:rPr>
            </w:pPr>
            <w:r w:rsidRPr="00C76853">
              <w:rPr>
                <w:rFonts w:cs="Calibri"/>
              </w:rPr>
              <w:t xml:space="preserve">Meeting with PCVE focal points </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67ED95F5" w14:textId="77777777" w:rsidR="00374CDA" w:rsidRPr="00C76853" w:rsidRDefault="00374CDA" w:rsidP="00374CDA">
            <w:pPr>
              <w:snapToGrid w:val="0"/>
              <w:spacing w:after="0" w:line="240" w:lineRule="auto"/>
              <w:rPr>
                <w:rFonts w:cs="Calibri"/>
              </w:rPr>
            </w:pPr>
            <w:r w:rsidRPr="00C76853">
              <w:rPr>
                <w:rFonts w:cs="Calibri"/>
              </w:rPr>
              <w:t>30 Jan 2019</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209EBFA2" w14:textId="77777777" w:rsidR="00374CDA" w:rsidRPr="00C76853" w:rsidRDefault="00374CDA" w:rsidP="00374CDA">
            <w:pPr>
              <w:spacing w:after="0" w:line="240" w:lineRule="auto"/>
              <w:rPr>
                <w:rFonts w:cs="Calibri"/>
              </w:rPr>
            </w:pPr>
            <w:r w:rsidRPr="00C76853">
              <w:rPr>
                <w:rFonts w:cs="Calibri"/>
              </w:rPr>
              <w:t xml:space="preserve">Meeting on measuring PCVE programming in Somalia </w:t>
            </w:r>
          </w:p>
        </w:tc>
        <w:tc>
          <w:tcPr>
            <w:tcW w:w="4950" w:type="dxa"/>
            <w:tcBorders>
              <w:top w:val="single" w:sz="4" w:space="0" w:color="4472C4"/>
              <w:left w:val="single" w:sz="4" w:space="0" w:color="4472C4"/>
              <w:bottom w:val="single" w:sz="4" w:space="0" w:color="4472C4"/>
              <w:right w:val="single" w:sz="4" w:space="0" w:color="4472C4"/>
            </w:tcBorders>
          </w:tcPr>
          <w:p w14:paraId="052A6559" w14:textId="77777777" w:rsidR="00374CDA" w:rsidRPr="00C76853" w:rsidRDefault="00374CDA" w:rsidP="00374CDA">
            <w:pPr>
              <w:numPr>
                <w:ilvl w:val="0"/>
                <w:numId w:val="19"/>
              </w:numPr>
              <w:suppressAutoHyphens/>
              <w:snapToGrid w:val="0"/>
              <w:spacing w:after="0" w:line="240" w:lineRule="auto"/>
              <w:rPr>
                <w:rFonts w:cs="Calibri"/>
              </w:rPr>
            </w:pPr>
            <w:r w:rsidRPr="00C76853">
              <w:rPr>
                <w:rFonts w:cs="Calibri"/>
              </w:rPr>
              <w:t xml:space="preserve">5 small action research </w:t>
            </w:r>
            <w:proofErr w:type="spellStart"/>
            <w:r w:rsidRPr="00C76853">
              <w:rPr>
                <w:rFonts w:cs="Calibri"/>
              </w:rPr>
              <w:t>projeject</w:t>
            </w:r>
            <w:proofErr w:type="spellEnd"/>
            <w:r w:rsidRPr="00C76853">
              <w:rPr>
                <w:rFonts w:cs="Calibri"/>
              </w:rPr>
              <w:t xml:space="preserve"> identified for submission to Task Force </w:t>
            </w:r>
          </w:p>
          <w:p w14:paraId="467EC359" w14:textId="77777777" w:rsidR="00374CDA" w:rsidRPr="00C76853" w:rsidRDefault="00374CDA" w:rsidP="00374CDA">
            <w:pPr>
              <w:numPr>
                <w:ilvl w:val="0"/>
                <w:numId w:val="19"/>
              </w:numPr>
              <w:suppressAutoHyphens/>
              <w:snapToGrid w:val="0"/>
              <w:spacing w:after="0" w:line="240" w:lineRule="auto"/>
              <w:rPr>
                <w:rFonts w:cs="Calibri"/>
              </w:rPr>
            </w:pPr>
            <w:r w:rsidRPr="00C76853">
              <w:rPr>
                <w:rFonts w:cs="Calibri"/>
              </w:rPr>
              <w:t xml:space="preserve">Reporting writing format for PCVE regional focal points  </w:t>
            </w:r>
          </w:p>
        </w:tc>
      </w:tr>
      <w:tr w:rsidR="00374CDA" w:rsidRPr="00C76853" w14:paraId="6E0259A4"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460C33F0" w14:textId="77777777" w:rsidR="00374CDA" w:rsidRPr="00C76853" w:rsidRDefault="00374CDA" w:rsidP="00374CDA">
            <w:pPr>
              <w:spacing w:after="0" w:line="240" w:lineRule="auto"/>
              <w:rPr>
                <w:rFonts w:cs="Calibri"/>
              </w:rPr>
            </w:pPr>
            <w:r w:rsidRPr="00C76853">
              <w:rPr>
                <w:rFonts w:cs="Calibri"/>
              </w:rPr>
              <w:t xml:space="preserve">Stakeholder reviews </w:t>
            </w:r>
          </w:p>
          <w:p w14:paraId="5D3150C2" w14:textId="77777777" w:rsidR="00374CDA" w:rsidRPr="00C76853" w:rsidRDefault="00374CDA" w:rsidP="00374CDA">
            <w:pPr>
              <w:spacing w:after="0" w:line="240" w:lineRule="auto"/>
              <w:rPr>
                <w:rFonts w:cs="Calibri"/>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47F402C2" w14:textId="77777777" w:rsidR="00374CDA" w:rsidRPr="00C76853" w:rsidRDefault="00374CDA" w:rsidP="00374CDA">
            <w:pPr>
              <w:snapToGrid w:val="0"/>
              <w:spacing w:after="0" w:line="240" w:lineRule="auto"/>
              <w:rPr>
                <w:rFonts w:cs="Calibri"/>
              </w:rPr>
            </w:pPr>
            <w:r w:rsidRPr="00C76853">
              <w:rPr>
                <w:rFonts w:cs="Calibri"/>
              </w:rPr>
              <w:t>13 Feb 2019</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771AB5F9" w14:textId="77777777" w:rsidR="00374CDA" w:rsidRPr="00C76853" w:rsidRDefault="00374CDA" w:rsidP="00374CDA">
            <w:pPr>
              <w:spacing w:after="0" w:line="240" w:lineRule="auto"/>
              <w:rPr>
                <w:rFonts w:cs="Calibri"/>
              </w:rPr>
            </w:pPr>
            <w:r w:rsidRPr="00C76853">
              <w:rPr>
                <w:rFonts w:cs="Calibri"/>
              </w:rPr>
              <w:t>Two stakeholder reviews were undertaken through a Task Force during the reporting period.</w:t>
            </w:r>
          </w:p>
        </w:tc>
        <w:tc>
          <w:tcPr>
            <w:tcW w:w="4950" w:type="dxa"/>
            <w:tcBorders>
              <w:top w:val="single" w:sz="4" w:space="0" w:color="4472C4"/>
              <w:left w:val="single" w:sz="4" w:space="0" w:color="4472C4"/>
              <w:bottom w:val="single" w:sz="4" w:space="0" w:color="4472C4"/>
              <w:right w:val="single" w:sz="4" w:space="0" w:color="4472C4"/>
            </w:tcBorders>
          </w:tcPr>
          <w:p w14:paraId="56C40811" w14:textId="77777777" w:rsidR="00374CDA" w:rsidRPr="00C76853" w:rsidRDefault="00374CDA" w:rsidP="00374CDA">
            <w:pPr>
              <w:snapToGrid w:val="0"/>
              <w:spacing w:after="0" w:line="240" w:lineRule="auto"/>
              <w:rPr>
                <w:rFonts w:cs="Calibri"/>
              </w:rPr>
            </w:pPr>
            <w:r w:rsidRPr="00C76853">
              <w:rPr>
                <w:rFonts w:cs="Calibri"/>
              </w:rPr>
              <w:t>13</w:t>
            </w:r>
            <w:r w:rsidRPr="00C76853">
              <w:rPr>
                <w:rFonts w:cs="Calibri"/>
                <w:vertAlign w:val="superscript"/>
              </w:rPr>
              <w:t>th</w:t>
            </w:r>
            <w:r w:rsidRPr="00C76853">
              <w:rPr>
                <w:rFonts w:cs="Calibri"/>
              </w:rPr>
              <w:t xml:space="preserve"> February Task Force meeting identified the following:</w:t>
            </w:r>
          </w:p>
          <w:p w14:paraId="397662B2" w14:textId="77777777" w:rsidR="00374CDA" w:rsidRPr="00C76853" w:rsidRDefault="00374CDA" w:rsidP="00374CDA">
            <w:pPr>
              <w:pStyle w:val="ListParagraph"/>
              <w:numPr>
                <w:ilvl w:val="0"/>
                <w:numId w:val="20"/>
              </w:numPr>
              <w:jc w:val="both"/>
              <w:rPr>
                <w:rFonts w:cs="Calibri"/>
                <w:color w:val="000000"/>
                <w:sz w:val="22"/>
                <w:szCs w:val="22"/>
              </w:rPr>
            </w:pPr>
            <w:r w:rsidRPr="00C76853">
              <w:rPr>
                <w:rFonts w:cs="Calibri"/>
                <w:color w:val="000000"/>
                <w:sz w:val="22"/>
                <w:szCs w:val="22"/>
              </w:rPr>
              <w:t xml:space="preserve">To add a column for indicators/timeframe in the TOR of the Task force. The TOR should then be circulated virtually to all participants. </w:t>
            </w:r>
          </w:p>
          <w:p w14:paraId="0DB51D6F" w14:textId="77777777" w:rsidR="00374CDA" w:rsidRPr="00C76853" w:rsidRDefault="00374CDA" w:rsidP="00374CDA">
            <w:pPr>
              <w:pStyle w:val="ListParagraph"/>
              <w:numPr>
                <w:ilvl w:val="0"/>
                <w:numId w:val="20"/>
              </w:numPr>
              <w:jc w:val="both"/>
              <w:rPr>
                <w:rFonts w:cs="Calibri"/>
                <w:color w:val="000000"/>
                <w:sz w:val="22"/>
                <w:szCs w:val="22"/>
              </w:rPr>
            </w:pPr>
            <w:r w:rsidRPr="00C76853">
              <w:rPr>
                <w:rFonts w:cs="Calibri"/>
                <w:color w:val="000000"/>
                <w:sz w:val="22"/>
                <w:szCs w:val="22"/>
              </w:rPr>
              <w:t>Annual work plan has been approved by Sweden and Netherlands and implementation of the work plan should commence.</w:t>
            </w:r>
          </w:p>
          <w:p w14:paraId="7836EBD6" w14:textId="77777777" w:rsidR="00374CDA" w:rsidRPr="00C76853" w:rsidRDefault="00374CDA" w:rsidP="00374CDA">
            <w:pPr>
              <w:snapToGrid w:val="0"/>
              <w:spacing w:after="0" w:line="240" w:lineRule="auto"/>
              <w:rPr>
                <w:rFonts w:cs="Calibri"/>
              </w:rPr>
            </w:pPr>
          </w:p>
        </w:tc>
      </w:tr>
      <w:tr w:rsidR="00756EF1" w:rsidRPr="00C76853" w14:paraId="3463AF3C"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6B35CDCE" w14:textId="77777777" w:rsidR="00756EF1" w:rsidRPr="00C76853" w:rsidRDefault="00756EF1" w:rsidP="00756EF1">
            <w:pPr>
              <w:spacing w:after="0" w:line="240" w:lineRule="auto"/>
              <w:rPr>
                <w:rFonts w:cs="Calibri"/>
              </w:rPr>
            </w:pPr>
            <w:r w:rsidRPr="00C76853">
              <w:rPr>
                <w:rFonts w:cs="Calibri"/>
              </w:rPr>
              <w:t xml:space="preserve">Audit </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0A2540F7" w14:textId="77777777" w:rsidR="00756EF1" w:rsidRPr="00C76853" w:rsidRDefault="00756EF1" w:rsidP="00756EF1">
            <w:pPr>
              <w:snapToGrid w:val="0"/>
              <w:spacing w:after="0" w:line="240" w:lineRule="auto"/>
              <w:rPr>
                <w:rFonts w:cs="Calibri"/>
              </w:rPr>
            </w:pPr>
            <w:r w:rsidRPr="00C76853">
              <w:rPr>
                <w:rFonts w:cs="Calibri"/>
              </w:rPr>
              <w:t>July 2019</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239F136" w14:textId="77777777" w:rsidR="00756EF1" w:rsidRPr="00C76853" w:rsidRDefault="00756EF1" w:rsidP="00756EF1">
            <w:pPr>
              <w:spacing w:after="0" w:line="240" w:lineRule="auto"/>
              <w:rPr>
                <w:rFonts w:cs="Calibri"/>
              </w:rPr>
            </w:pPr>
            <w:r w:rsidRPr="00C76853">
              <w:rPr>
                <w:rFonts w:cs="Calibri"/>
              </w:rPr>
              <w:t xml:space="preserve">UNDP Audit </w:t>
            </w:r>
          </w:p>
        </w:tc>
        <w:tc>
          <w:tcPr>
            <w:tcW w:w="4950" w:type="dxa"/>
            <w:tcBorders>
              <w:top w:val="single" w:sz="4" w:space="0" w:color="4472C4"/>
              <w:left w:val="single" w:sz="4" w:space="0" w:color="4472C4"/>
              <w:bottom w:val="single" w:sz="4" w:space="0" w:color="4472C4"/>
              <w:right w:val="single" w:sz="4" w:space="0" w:color="4472C4"/>
            </w:tcBorders>
          </w:tcPr>
          <w:p w14:paraId="13E78846" w14:textId="77777777" w:rsidR="00756EF1" w:rsidRPr="00C76853" w:rsidRDefault="00756EF1" w:rsidP="00756EF1">
            <w:pPr>
              <w:snapToGrid w:val="0"/>
              <w:spacing w:after="0" w:line="240" w:lineRule="auto"/>
              <w:rPr>
                <w:rFonts w:cs="Calibri"/>
              </w:rPr>
            </w:pPr>
            <w:r w:rsidRPr="00C76853">
              <w:rPr>
                <w:rFonts w:cs="Calibri"/>
              </w:rPr>
              <w:t>Detailed feedback sessions with FMS focal points and OPM PCVE unit</w:t>
            </w:r>
          </w:p>
        </w:tc>
      </w:tr>
      <w:tr w:rsidR="00756EF1" w:rsidRPr="00C76853" w14:paraId="0CDE0FAC"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6F466769" w14:textId="77777777" w:rsidR="00756EF1" w:rsidRPr="00C76853" w:rsidRDefault="00756EF1" w:rsidP="00756EF1">
            <w:pPr>
              <w:spacing w:after="0" w:line="240" w:lineRule="auto"/>
              <w:rPr>
                <w:rFonts w:cs="Calibri"/>
              </w:rPr>
            </w:pPr>
            <w:r w:rsidRPr="00C76853">
              <w:rPr>
                <w:rFonts w:cs="Calibri"/>
              </w:rPr>
              <w:t xml:space="preserve">Project Steering Committee </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7AFA2672" w14:textId="77777777" w:rsidR="00756EF1" w:rsidRPr="00C76853" w:rsidRDefault="00756EF1" w:rsidP="00756EF1">
            <w:pPr>
              <w:snapToGrid w:val="0"/>
              <w:spacing w:after="0" w:line="240" w:lineRule="auto"/>
              <w:rPr>
                <w:rFonts w:cs="Calibri"/>
              </w:rPr>
            </w:pPr>
            <w:r w:rsidRPr="00C76853">
              <w:rPr>
                <w:rFonts w:cs="Calibri"/>
              </w:rPr>
              <w:t>28 August 2019</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69A1D4A1" w14:textId="77777777" w:rsidR="00756EF1" w:rsidRPr="00C76853" w:rsidRDefault="00756EF1" w:rsidP="00756EF1">
            <w:pPr>
              <w:spacing w:after="0" w:line="240" w:lineRule="auto"/>
              <w:rPr>
                <w:rFonts w:cs="Calibri"/>
              </w:rPr>
            </w:pPr>
            <w:r w:rsidRPr="00C76853">
              <w:rPr>
                <w:rFonts w:cs="Calibri"/>
              </w:rPr>
              <w:t xml:space="preserve">PSC meeting </w:t>
            </w:r>
          </w:p>
        </w:tc>
        <w:tc>
          <w:tcPr>
            <w:tcW w:w="4950" w:type="dxa"/>
            <w:tcBorders>
              <w:top w:val="single" w:sz="4" w:space="0" w:color="4472C4"/>
              <w:left w:val="single" w:sz="4" w:space="0" w:color="4472C4"/>
              <w:bottom w:val="single" w:sz="4" w:space="0" w:color="4472C4"/>
              <w:right w:val="single" w:sz="4" w:space="0" w:color="4472C4"/>
            </w:tcBorders>
          </w:tcPr>
          <w:p w14:paraId="00671004" w14:textId="77777777" w:rsidR="00756EF1" w:rsidRPr="00C76853" w:rsidRDefault="00756EF1" w:rsidP="00756EF1">
            <w:pPr>
              <w:snapToGrid w:val="0"/>
              <w:spacing w:after="0" w:line="240" w:lineRule="auto"/>
              <w:rPr>
                <w:rFonts w:cs="Calibri"/>
              </w:rPr>
            </w:pPr>
            <w:r w:rsidRPr="00C76853">
              <w:rPr>
                <w:rFonts w:cs="Calibri"/>
              </w:rPr>
              <w:t>Project review and key decision making</w:t>
            </w:r>
          </w:p>
        </w:tc>
      </w:tr>
      <w:tr w:rsidR="00756EF1" w:rsidRPr="00C76853" w14:paraId="6CC37818"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3E0BDF06" w14:textId="77777777" w:rsidR="00756EF1" w:rsidRPr="00C76853" w:rsidRDefault="00756EF1" w:rsidP="00756EF1">
            <w:pPr>
              <w:spacing w:after="0" w:line="240" w:lineRule="auto"/>
              <w:rPr>
                <w:rFonts w:cs="Calibri"/>
              </w:rPr>
            </w:pPr>
            <w:r w:rsidRPr="00C76853">
              <w:rPr>
                <w:rFonts w:cs="Calibri"/>
              </w:rPr>
              <w:t xml:space="preserve">Cross-Strand Coordination Meeting </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6877D178" w14:textId="77777777" w:rsidR="00756EF1" w:rsidRPr="00C76853" w:rsidRDefault="00756EF1" w:rsidP="00756EF1">
            <w:pPr>
              <w:snapToGrid w:val="0"/>
              <w:spacing w:after="0" w:line="240" w:lineRule="auto"/>
              <w:rPr>
                <w:rFonts w:cs="Calibri"/>
              </w:rPr>
            </w:pPr>
            <w:r w:rsidRPr="00C76853">
              <w:rPr>
                <w:rFonts w:cs="Calibri"/>
              </w:rPr>
              <w:t>21 October 2019</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7ABD384" w14:textId="77777777" w:rsidR="00756EF1" w:rsidRPr="00C76853" w:rsidRDefault="00756EF1" w:rsidP="00756EF1">
            <w:pPr>
              <w:spacing w:after="0" w:line="240" w:lineRule="auto"/>
              <w:rPr>
                <w:rFonts w:cs="Calibri"/>
              </w:rPr>
            </w:pPr>
            <w:r w:rsidRPr="00C76853">
              <w:rPr>
                <w:rFonts w:cs="Calibri"/>
              </w:rPr>
              <w:t>Strand 2c, 3 and 4</w:t>
            </w:r>
          </w:p>
        </w:tc>
        <w:tc>
          <w:tcPr>
            <w:tcW w:w="4950" w:type="dxa"/>
            <w:tcBorders>
              <w:top w:val="single" w:sz="4" w:space="0" w:color="4472C4"/>
              <w:left w:val="single" w:sz="4" w:space="0" w:color="4472C4"/>
              <w:bottom w:val="single" w:sz="4" w:space="0" w:color="4472C4"/>
              <w:right w:val="single" w:sz="4" w:space="0" w:color="4472C4"/>
            </w:tcBorders>
          </w:tcPr>
          <w:p w14:paraId="75DE5082" w14:textId="77777777" w:rsidR="00756EF1" w:rsidRPr="00C76853" w:rsidRDefault="00756EF1" w:rsidP="00756EF1">
            <w:pPr>
              <w:snapToGrid w:val="0"/>
              <w:spacing w:after="0" w:line="240" w:lineRule="auto"/>
              <w:rPr>
                <w:rFonts w:cs="Calibri"/>
              </w:rPr>
            </w:pPr>
            <w:r w:rsidRPr="00C76853">
              <w:rPr>
                <w:rFonts w:cs="Calibri"/>
              </w:rPr>
              <w:t>Review collaboration and coordination mechanisms; develop steps for improved working together</w:t>
            </w:r>
          </w:p>
        </w:tc>
      </w:tr>
      <w:tr w:rsidR="00756EF1" w:rsidRPr="00C76853" w14:paraId="6E6A8B8C"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21E32E13" w14:textId="77777777" w:rsidR="00756EF1" w:rsidRPr="00C76853" w:rsidRDefault="00756EF1" w:rsidP="00756EF1">
            <w:pPr>
              <w:spacing w:after="0" w:line="240" w:lineRule="auto"/>
              <w:rPr>
                <w:rFonts w:cs="Calibri"/>
              </w:rPr>
            </w:pPr>
            <w:r w:rsidRPr="00C76853">
              <w:rPr>
                <w:rFonts w:cs="Calibri"/>
              </w:rPr>
              <w:t>Project Steering Committee</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236B6466" w14:textId="77777777" w:rsidR="00756EF1" w:rsidRPr="00C76853" w:rsidRDefault="00756EF1" w:rsidP="00756EF1">
            <w:pPr>
              <w:snapToGrid w:val="0"/>
              <w:spacing w:after="0" w:line="240" w:lineRule="auto"/>
              <w:rPr>
                <w:rFonts w:cs="Calibri"/>
              </w:rPr>
            </w:pPr>
            <w:r w:rsidRPr="00C76853">
              <w:rPr>
                <w:rFonts w:cs="Calibri"/>
              </w:rPr>
              <w:t>19 November 2019</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69F75A32" w14:textId="77777777" w:rsidR="00756EF1" w:rsidRPr="00C76853" w:rsidRDefault="00756EF1" w:rsidP="00756EF1">
            <w:pPr>
              <w:spacing w:after="0" w:line="240" w:lineRule="auto"/>
              <w:rPr>
                <w:rFonts w:cs="Calibri"/>
              </w:rPr>
            </w:pPr>
            <w:r w:rsidRPr="00C76853">
              <w:rPr>
                <w:rFonts w:cs="Calibri"/>
              </w:rPr>
              <w:t xml:space="preserve">PSC meeting </w:t>
            </w:r>
          </w:p>
        </w:tc>
        <w:tc>
          <w:tcPr>
            <w:tcW w:w="4950" w:type="dxa"/>
            <w:tcBorders>
              <w:top w:val="single" w:sz="4" w:space="0" w:color="4472C4"/>
              <w:left w:val="single" w:sz="4" w:space="0" w:color="4472C4"/>
              <w:bottom w:val="single" w:sz="4" w:space="0" w:color="4472C4"/>
              <w:right w:val="single" w:sz="4" w:space="0" w:color="4472C4"/>
            </w:tcBorders>
          </w:tcPr>
          <w:p w14:paraId="514C1265" w14:textId="77777777" w:rsidR="00756EF1" w:rsidRPr="00C76853" w:rsidRDefault="00756EF1" w:rsidP="00756EF1">
            <w:pPr>
              <w:snapToGrid w:val="0"/>
              <w:spacing w:after="0" w:line="240" w:lineRule="auto"/>
              <w:rPr>
                <w:rFonts w:cs="Calibri"/>
              </w:rPr>
            </w:pPr>
            <w:r w:rsidRPr="00C76853">
              <w:rPr>
                <w:rFonts w:cs="Calibri"/>
              </w:rPr>
              <w:t xml:space="preserve">Project review, key decision making, sustainability plan </w:t>
            </w:r>
          </w:p>
        </w:tc>
      </w:tr>
      <w:tr w:rsidR="00756EF1" w:rsidRPr="00C76853" w14:paraId="3F4633D8"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0878786B" w14:textId="77777777" w:rsidR="00756EF1" w:rsidRPr="00C76853" w:rsidRDefault="00756EF1" w:rsidP="00756EF1">
            <w:pPr>
              <w:spacing w:after="0" w:line="240" w:lineRule="auto"/>
              <w:rPr>
                <w:rFonts w:cs="Calibri"/>
              </w:rPr>
            </w:pPr>
            <w:r w:rsidRPr="00C76853">
              <w:rPr>
                <w:rFonts w:cs="Calibri"/>
              </w:rPr>
              <w:t>PCVE Platform – Review Meeting</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10B04C68" w14:textId="77777777" w:rsidR="00756EF1" w:rsidRPr="00C76853" w:rsidRDefault="00756EF1" w:rsidP="00756EF1">
            <w:pPr>
              <w:snapToGrid w:val="0"/>
              <w:spacing w:after="0" w:line="240" w:lineRule="auto"/>
              <w:rPr>
                <w:rFonts w:cs="Calibri"/>
              </w:rPr>
            </w:pPr>
            <w:r w:rsidRPr="00C76853">
              <w:rPr>
                <w:rFonts w:cs="Calibri"/>
              </w:rPr>
              <w:t xml:space="preserve">Dec 2019 </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66FF9B6" w14:textId="77777777" w:rsidR="00756EF1" w:rsidRPr="00C76853" w:rsidRDefault="00756EF1" w:rsidP="00756EF1">
            <w:pPr>
              <w:spacing w:after="0" w:line="240" w:lineRule="auto"/>
              <w:rPr>
                <w:rFonts w:cs="Calibri"/>
              </w:rPr>
            </w:pPr>
            <w:r w:rsidRPr="00C76853">
              <w:rPr>
                <w:rFonts w:cs="Calibri"/>
              </w:rPr>
              <w:t>FMS Focal Points and OPM</w:t>
            </w:r>
          </w:p>
        </w:tc>
        <w:tc>
          <w:tcPr>
            <w:tcW w:w="4950" w:type="dxa"/>
            <w:tcBorders>
              <w:top w:val="single" w:sz="4" w:space="0" w:color="4472C4"/>
              <w:left w:val="single" w:sz="4" w:space="0" w:color="4472C4"/>
              <w:bottom w:val="single" w:sz="4" w:space="0" w:color="4472C4"/>
              <w:right w:val="single" w:sz="4" w:space="0" w:color="4472C4"/>
            </w:tcBorders>
          </w:tcPr>
          <w:p w14:paraId="20CBA358" w14:textId="77777777" w:rsidR="00756EF1" w:rsidRPr="00C76853" w:rsidRDefault="00756EF1" w:rsidP="00756EF1">
            <w:pPr>
              <w:snapToGrid w:val="0"/>
              <w:spacing w:after="0" w:line="240" w:lineRule="auto"/>
              <w:rPr>
                <w:rFonts w:cs="Calibri"/>
              </w:rPr>
            </w:pPr>
            <w:r w:rsidRPr="00C76853">
              <w:rPr>
                <w:rFonts w:cs="Calibri"/>
              </w:rPr>
              <w:t>Review of results from the platform meetings, and strategy revision to improve addressing grievances</w:t>
            </w:r>
          </w:p>
        </w:tc>
      </w:tr>
      <w:tr w:rsidR="00756EF1" w:rsidRPr="00C76853" w14:paraId="3B073A20"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033FCD40" w14:textId="77777777" w:rsidR="00756EF1" w:rsidRPr="00C76853" w:rsidRDefault="00756EF1" w:rsidP="00756EF1">
            <w:pPr>
              <w:spacing w:after="0" w:line="240" w:lineRule="auto"/>
              <w:rPr>
                <w:rFonts w:cs="Calibri"/>
              </w:rPr>
            </w:pPr>
            <w:r w:rsidRPr="00C76853">
              <w:rPr>
                <w:rFonts w:cs="Calibri"/>
              </w:rPr>
              <w:t xml:space="preserve">Field Monitoring Visits </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41B1B351" w14:textId="77777777" w:rsidR="00756EF1" w:rsidRPr="00C76853" w:rsidRDefault="00756EF1" w:rsidP="00756EF1">
            <w:pPr>
              <w:snapToGrid w:val="0"/>
              <w:spacing w:after="0" w:line="240" w:lineRule="auto"/>
              <w:rPr>
                <w:rFonts w:cs="Calibri"/>
              </w:rPr>
            </w:pPr>
            <w:r w:rsidRPr="00C76853">
              <w:rPr>
                <w:rFonts w:cs="Calibri"/>
              </w:rPr>
              <w:t xml:space="preserve">2019 - continuous </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9390491" w14:textId="77777777" w:rsidR="00756EF1" w:rsidRPr="00C76853" w:rsidRDefault="00756EF1" w:rsidP="00756EF1">
            <w:pPr>
              <w:spacing w:after="0" w:line="240" w:lineRule="auto"/>
              <w:rPr>
                <w:rFonts w:cs="Calibri"/>
              </w:rPr>
            </w:pPr>
            <w:r w:rsidRPr="00C76853">
              <w:rPr>
                <w:rFonts w:cs="Calibri"/>
              </w:rPr>
              <w:t xml:space="preserve">Various field trips by OPM M&amp;E and UNDP Technical Specialist </w:t>
            </w:r>
          </w:p>
        </w:tc>
        <w:tc>
          <w:tcPr>
            <w:tcW w:w="4950" w:type="dxa"/>
            <w:tcBorders>
              <w:top w:val="single" w:sz="4" w:space="0" w:color="4472C4"/>
              <w:left w:val="single" w:sz="4" w:space="0" w:color="4472C4"/>
              <w:bottom w:val="single" w:sz="4" w:space="0" w:color="4472C4"/>
              <w:right w:val="single" w:sz="4" w:space="0" w:color="4472C4"/>
            </w:tcBorders>
          </w:tcPr>
          <w:p w14:paraId="7B710CDB" w14:textId="77777777" w:rsidR="00756EF1" w:rsidRPr="00C76853" w:rsidRDefault="00756EF1" w:rsidP="00756EF1">
            <w:pPr>
              <w:snapToGrid w:val="0"/>
              <w:spacing w:after="0" w:line="240" w:lineRule="auto"/>
              <w:rPr>
                <w:rFonts w:cs="Calibri"/>
              </w:rPr>
            </w:pPr>
            <w:r w:rsidRPr="00C76853">
              <w:rPr>
                <w:rFonts w:cs="Calibri"/>
              </w:rPr>
              <w:t xml:space="preserve">Project oversight and monitoring progress on the ground; interviews with key stakeholders / beneficiaries </w:t>
            </w:r>
          </w:p>
        </w:tc>
      </w:tr>
    </w:tbl>
    <w:p w14:paraId="1F4DAE2D" w14:textId="77777777" w:rsidR="00474992" w:rsidRPr="00C76853" w:rsidRDefault="00474992" w:rsidP="00AF72B0">
      <w:pPr>
        <w:rPr>
          <w:rFonts w:cs="Calibri"/>
          <w:color w:val="0070C0"/>
        </w:rPr>
      </w:pPr>
      <w:r w:rsidRPr="00C76853">
        <w:rPr>
          <w:rFonts w:cs="Calibri"/>
          <w:b/>
          <w:sz w:val="24"/>
          <w:szCs w:val="24"/>
        </w:rPr>
        <w:lastRenderedPageBreak/>
        <w:t>ANNEX</w:t>
      </w:r>
      <w:r w:rsidR="00AF72B0" w:rsidRPr="00C76853">
        <w:rPr>
          <w:rFonts w:cs="Calibri"/>
          <w:b/>
          <w:sz w:val="24"/>
          <w:szCs w:val="24"/>
        </w:rPr>
        <w:t xml:space="preserve"> 3.</w:t>
      </w:r>
      <w:r w:rsidR="00AF72B0" w:rsidRPr="00C76853">
        <w:rPr>
          <w:rFonts w:cs="Calibri"/>
          <w:b/>
          <w:sz w:val="24"/>
          <w:szCs w:val="24"/>
        </w:rPr>
        <w:tab/>
      </w:r>
      <w:r w:rsidR="00DE3C56" w:rsidRPr="00C76853">
        <w:rPr>
          <w:rFonts w:cs="Calibri"/>
          <w:b/>
          <w:sz w:val="24"/>
          <w:szCs w:val="24"/>
        </w:rPr>
        <w:t>TRAINING DATA</w:t>
      </w:r>
      <w:r w:rsidR="00AF72B0" w:rsidRPr="00C76853">
        <w:rPr>
          <w:rFonts w:cs="Calibri"/>
          <w:b/>
          <w:sz w:val="24"/>
          <w:szCs w:val="24"/>
        </w:rPr>
        <w:t xml:space="preserve"> </w:t>
      </w:r>
      <w:r w:rsidR="00AF72B0" w:rsidRPr="00C76853">
        <w:rPr>
          <w:rFonts w:cs="Calibri"/>
          <w:color w:val="0070C0"/>
        </w:rPr>
        <w:t xml:space="preserve">&lt;list here details of training activities undertaken during the </w:t>
      </w:r>
      <w:r w:rsidR="00E309F1" w:rsidRPr="00C76853">
        <w:rPr>
          <w:rFonts w:cs="Calibri"/>
          <w:color w:val="0070C0"/>
        </w:rPr>
        <w:t>reporting period (201</w:t>
      </w:r>
      <w:r w:rsidR="003A2BA5" w:rsidRPr="00C76853">
        <w:rPr>
          <w:rFonts w:cs="Calibri"/>
          <w:color w:val="0070C0"/>
        </w:rPr>
        <w:t>9</w:t>
      </w:r>
      <w:r w:rsidR="00E309F1" w:rsidRPr="00C76853">
        <w:rPr>
          <w:rFonts w:cs="Calibri"/>
          <w:color w:val="0070C0"/>
        </w:rPr>
        <w:t>)</w:t>
      </w:r>
      <w:r w:rsidR="00AF72B0" w:rsidRPr="00C76853">
        <w:rPr>
          <w:rFonts w:cs="Calibri"/>
          <w:color w:val="0070C0"/>
        </w:rPr>
        <w:t>; should not exceed one page&gt;</w:t>
      </w:r>
    </w:p>
    <w:tbl>
      <w:tblPr>
        <w:tblW w:w="5251" w:type="pct"/>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521"/>
        <w:gridCol w:w="1349"/>
        <w:gridCol w:w="1355"/>
        <w:gridCol w:w="1204"/>
        <w:gridCol w:w="677"/>
        <w:gridCol w:w="566"/>
        <w:gridCol w:w="851"/>
        <w:gridCol w:w="4252"/>
        <w:gridCol w:w="1585"/>
        <w:gridCol w:w="1870"/>
      </w:tblGrid>
      <w:tr w:rsidR="00C20AAC" w:rsidRPr="00C76853" w14:paraId="0A87C31C" w14:textId="77777777" w:rsidTr="00BA1C55">
        <w:trPr>
          <w:trHeight w:val="502"/>
          <w:tblHeader/>
        </w:trPr>
        <w:tc>
          <w:tcPr>
            <w:tcW w:w="18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21FB1F1" w14:textId="77777777" w:rsidR="00C20AAC" w:rsidRPr="00C76853" w:rsidRDefault="00C20AAC" w:rsidP="00E06EF8">
            <w:pPr>
              <w:spacing w:after="0" w:line="240" w:lineRule="auto"/>
              <w:jc w:val="center"/>
              <w:rPr>
                <w:rFonts w:cs="Calibri"/>
                <w:b/>
                <w:bCs/>
                <w:color w:val="FFFFFF"/>
              </w:rPr>
            </w:pPr>
          </w:p>
          <w:p w14:paraId="14FA29DE" w14:textId="77777777" w:rsidR="00C20AAC" w:rsidRPr="00C76853" w:rsidRDefault="00C20AAC" w:rsidP="00DE3C56">
            <w:pPr>
              <w:spacing w:after="0" w:line="240" w:lineRule="auto"/>
              <w:rPr>
                <w:rFonts w:cs="Calibri"/>
                <w:b/>
                <w:bCs/>
                <w:color w:val="FFFFFF"/>
              </w:rPr>
            </w:pPr>
            <w:r w:rsidRPr="00C76853">
              <w:rPr>
                <w:rFonts w:cs="Calibri"/>
                <w:b/>
                <w:bCs/>
                <w:color w:val="FFFFFF"/>
              </w:rPr>
              <w:t>#</w:t>
            </w:r>
          </w:p>
        </w:tc>
        <w:tc>
          <w:tcPr>
            <w:tcW w:w="950"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5C24EFC8"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Target Group</w:t>
            </w:r>
          </w:p>
        </w:tc>
        <w:tc>
          <w:tcPr>
            <w:tcW w:w="42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00FBD1A"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Dates</w:t>
            </w:r>
          </w:p>
        </w:tc>
        <w:tc>
          <w:tcPr>
            <w:tcW w:w="736" w:type="pct"/>
            <w:gridSpan w:val="3"/>
            <w:vMerge w:val="restart"/>
            <w:tcBorders>
              <w:top w:val="single" w:sz="4" w:space="0" w:color="FFFFFF"/>
              <w:left w:val="single" w:sz="4" w:space="0" w:color="FFFFFF"/>
              <w:right w:val="single" w:sz="4" w:space="0" w:color="FFFFFF"/>
            </w:tcBorders>
            <w:shd w:val="clear" w:color="auto" w:fill="5B9BD5"/>
            <w:vAlign w:val="center"/>
          </w:tcPr>
          <w:p w14:paraId="46D64212"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 of participants</w:t>
            </w:r>
          </w:p>
        </w:tc>
        <w:tc>
          <w:tcPr>
            <w:tcW w:w="149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24B18C26"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Title of the training</w:t>
            </w:r>
          </w:p>
        </w:tc>
        <w:tc>
          <w:tcPr>
            <w:tcW w:w="5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A5A5EF4"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Location of training</w:t>
            </w:r>
          </w:p>
        </w:tc>
        <w:tc>
          <w:tcPr>
            <w:tcW w:w="6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7F9859E"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Training provider</w:t>
            </w:r>
          </w:p>
        </w:tc>
      </w:tr>
      <w:tr w:rsidR="00C20AAC" w:rsidRPr="00C76853" w14:paraId="1F7C0A9E" w14:textId="77777777" w:rsidTr="00BA1C55">
        <w:trPr>
          <w:trHeight w:val="269"/>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1554D24E" w14:textId="77777777" w:rsidR="00C20AAC" w:rsidRPr="00C76853" w:rsidRDefault="00C20AAC" w:rsidP="00E06EF8">
            <w:pPr>
              <w:spacing w:after="0" w:line="240" w:lineRule="auto"/>
              <w:jc w:val="center"/>
              <w:rPr>
                <w:rFonts w:cs="Calibri"/>
                <w:b/>
                <w:bCs/>
                <w:color w:val="FFFFFF"/>
              </w:rPr>
            </w:pPr>
          </w:p>
        </w:tc>
        <w:tc>
          <w:tcPr>
            <w:tcW w:w="47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214B899"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Ministry. District or UN staff</w:t>
            </w:r>
          </w:p>
        </w:tc>
        <w:tc>
          <w:tcPr>
            <w:tcW w:w="475"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FFAC39D"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Others</w:t>
            </w: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22F2597" w14:textId="77777777" w:rsidR="00C20AAC" w:rsidRPr="00C76853" w:rsidRDefault="00C20AAC" w:rsidP="00E06EF8">
            <w:pPr>
              <w:spacing w:after="0" w:line="240" w:lineRule="auto"/>
              <w:jc w:val="center"/>
              <w:rPr>
                <w:rFonts w:cs="Calibri"/>
                <w:b/>
                <w:bCs/>
                <w:color w:val="FFFFFF"/>
              </w:rPr>
            </w:pPr>
          </w:p>
        </w:tc>
        <w:tc>
          <w:tcPr>
            <w:tcW w:w="736" w:type="pct"/>
            <w:gridSpan w:val="3"/>
            <w:vMerge/>
            <w:tcBorders>
              <w:left w:val="single" w:sz="4" w:space="0" w:color="FFFFFF"/>
              <w:bottom w:val="single" w:sz="4" w:space="0" w:color="FFFFFF"/>
              <w:right w:val="single" w:sz="4" w:space="0" w:color="FFFFFF"/>
            </w:tcBorders>
            <w:shd w:val="clear" w:color="auto" w:fill="5B9BD5"/>
            <w:vAlign w:val="center"/>
          </w:tcPr>
          <w:p w14:paraId="15C1FD9B" w14:textId="77777777" w:rsidR="00C20AAC" w:rsidRPr="00C76853" w:rsidRDefault="00C20AAC" w:rsidP="00E06EF8">
            <w:pPr>
              <w:spacing w:after="0" w:line="240" w:lineRule="auto"/>
              <w:jc w:val="center"/>
              <w:rPr>
                <w:rFonts w:cs="Calibri"/>
                <w:b/>
                <w:bCs/>
                <w:color w:val="FFFFFF"/>
              </w:rPr>
            </w:pP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E2ADE94" w14:textId="77777777" w:rsidR="00C20AAC" w:rsidRPr="00C76853" w:rsidRDefault="00C20AAC" w:rsidP="00E06EF8">
            <w:pPr>
              <w:spacing w:after="0" w:line="240" w:lineRule="auto"/>
              <w:jc w:val="center"/>
              <w:rPr>
                <w:rFonts w:cs="Calibri"/>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5DA9A13D" w14:textId="77777777" w:rsidR="00C20AAC" w:rsidRPr="00C76853" w:rsidRDefault="00C20AAC" w:rsidP="00E06EF8">
            <w:pPr>
              <w:spacing w:after="0" w:line="240" w:lineRule="auto"/>
              <w:jc w:val="center"/>
              <w:rPr>
                <w:rFonts w:cs="Calibri"/>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F9B9A52" w14:textId="77777777" w:rsidR="00C20AAC" w:rsidRPr="00C76853" w:rsidRDefault="00C20AAC" w:rsidP="00E06EF8">
            <w:pPr>
              <w:spacing w:after="0" w:line="240" w:lineRule="auto"/>
              <w:jc w:val="center"/>
              <w:rPr>
                <w:rFonts w:cs="Calibri"/>
                <w:b/>
                <w:bCs/>
                <w:color w:val="FFFFFF"/>
              </w:rPr>
            </w:pPr>
          </w:p>
        </w:tc>
      </w:tr>
      <w:tr w:rsidR="00C20AAC" w:rsidRPr="00C76853" w14:paraId="0D50C002" w14:textId="77777777" w:rsidTr="00BA1C55">
        <w:trPr>
          <w:trHeight w:val="385"/>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74B0062B" w14:textId="77777777" w:rsidR="00C20AAC" w:rsidRPr="00C76853" w:rsidRDefault="00C20AAC" w:rsidP="00E06EF8">
            <w:pPr>
              <w:spacing w:after="0" w:line="240" w:lineRule="auto"/>
              <w:jc w:val="center"/>
              <w:rPr>
                <w:rFonts w:cs="Calibri"/>
                <w:b/>
                <w:bCs/>
                <w:color w:val="FFFFFF"/>
              </w:rPr>
            </w:pPr>
          </w:p>
        </w:tc>
        <w:tc>
          <w:tcPr>
            <w:tcW w:w="47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FE9975C" w14:textId="77777777" w:rsidR="00C20AAC" w:rsidRPr="00C76853" w:rsidRDefault="00C20AAC" w:rsidP="00E06EF8">
            <w:pPr>
              <w:spacing w:after="0" w:line="240" w:lineRule="auto"/>
              <w:jc w:val="center"/>
              <w:rPr>
                <w:rFonts w:cs="Calibri"/>
                <w:b/>
                <w:bCs/>
                <w:color w:val="FFFFFF"/>
              </w:rPr>
            </w:pPr>
          </w:p>
        </w:tc>
        <w:tc>
          <w:tcPr>
            <w:tcW w:w="475"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5F606216" w14:textId="77777777" w:rsidR="00C20AAC" w:rsidRPr="00C76853" w:rsidRDefault="00C20AAC" w:rsidP="00E06EF8">
            <w:pPr>
              <w:spacing w:after="0" w:line="240" w:lineRule="auto"/>
              <w:jc w:val="center"/>
              <w:rPr>
                <w:rFonts w:cs="Calibri"/>
                <w:b/>
                <w:bCs/>
                <w:color w:val="FFFFFF"/>
              </w:rPr>
            </w:pP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F9FD2A4" w14:textId="77777777" w:rsidR="00C20AAC" w:rsidRPr="00C76853" w:rsidRDefault="00C20AAC" w:rsidP="00E06EF8">
            <w:pPr>
              <w:spacing w:after="0" w:line="240" w:lineRule="auto"/>
              <w:jc w:val="center"/>
              <w:rPr>
                <w:rFonts w:cs="Calibri"/>
                <w:b/>
                <w:bCs/>
                <w:color w:val="FFFFFF"/>
              </w:rPr>
            </w:pPr>
          </w:p>
        </w:tc>
        <w:tc>
          <w:tcPr>
            <w:tcW w:w="23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01609F98"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M</w:t>
            </w:r>
          </w:p>
        </w:tc>
        <w:tc>
          <w:tcPr>
            <w:tcW w:w="1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72D73EAA" w14:textId="77777777" w:rsidR="00C20AAC" w:rsidRPr="00C76853" w:rsidRDefault="00C20AAC" w:rsidP="00E06EF8">
            <w:pPr>
              <w:spacing w:after="0" w:line="240" w:lineRule="auto"/>
              <w:jc w:val="center"/>
              <w:rPr>
                <w:rFonts w:cs="Calibri"/>
                <w:b/>
                <w:bCs/>
                <w:color w:val="FFFFFF"/>
              </w:rPr>
            </w:pPr>
            <w:r w:rsidRPr="00C76853">
              <w:rPr>
                <w:rFonts w:cs="Calibri"/>
                <w:b/>
                <w:bCs/>
                <w:color w:val="FFFFFF"/>
              </w:rPr>
              <w:t>F</w:t>
            </w:r>
          </w:p>
        </w:tc>
        <w:tc>
          <w:tcPr>
            <w:tcW w:w="2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468C05A8" w14:textId="77777777" w:rsidR="00C20AAC" w:rsidRPr="00C76853" w:rsidRDefault="00C20AAC" w:rsidP="00C20AAC">
            <w:pPr>
              <w:spacing w:after="0" w:line="240" w:lineRule="auto"/>
              <w:jc w:val="center"/>
              <w:rPr>
                <w:rFonts w:cs="Calibri"/>
                <w:b/>
                <w:bCs/>
                <w:color w:val="FFFFFF"/>
              </w:rPr>
            </w:pPr>
            <w:r w:rsidRPr="00C76853">
              <w:rPr>
                <w:rFonts w:cs="Calibri"/>
                <w:b/>
                <w:bCs/>
                <w:color w:val="FFFFFF"/>
              </w:rPr>
              <w:t>Total</w:t>
            </w: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4C1D3D4" w14:textId="77777777" w:rsidR="00C20AAC" w:rsidRPr="00C76853" w:rsidRDefault="00C20AAC" w:rsidP="00E06EF8">
            <w:pPr>
              <w:spacing w:after="0" w:line="240" w:lineRule="auto"/>
              <w:jc w:val="center"/>
              <w:rPr>
                <w:rFonts w:cs="Calibri"/>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AE81EAB" w14:textId="77777777" w:rsidR="00C20AAC" w:rsidRPr="00C76853" w:rsidRDefault="00C20AAC" w:rsidP="00E06EF8">
            <w:pPr>
              <w:spacing w:after="0" w:line="240" w:lineRule="auto"/>
              <w:jc w:val="center"/>
              <w:rPr>
                <w:rFonts w:cs="Calibri"/>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55ED57DE" w14:textId="77777777" w:rsidR="00C20AAC" w:rsidRPr="00C76853" w:rsidRDefault="00C20AAC" w:rsidP="00E06EF8">
            <w:pPr>
              <w:spacing w:after="0" w:line="240" w:lineRule="auto"/>
              <w:jc w:val="center"/>
              <w:rPr>
                <w:rFonts w:cs="Calibri"/>
                <w:b/>
                <w:bCs/>
                <w:color w:val="FFFFFF"/>
              </w:rPr>
            </w:pPr>
          </w:p>
        </w:tc>
      </w:tr>
      <w:tr w:rsidR="00C20AAC" w:rsidRPr="00C76853" w14:paraId="34887C05" w14:textId="77777777" w:rsidTr="00BA1C55">
        <w:trPr>
          <w:trHeight w:val="236"/>
        </w:trPr>
        <w:tc>
          <w:tcPr>
            <w:tcW w:w="183" w:type="pct"/>
            <w:tcBorders>
              <w:top w:val="single" w:sz="4" w:space="0" w:color="FFFFFF"/>
            </w:tcBorders>
            <w:vAlign w:val="center"/>
          </w:tcPr>
          <w:p w14:paraId="6DE2D6D4"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tcBorders>
              <w:top w:val="single" w:sz="4" w:space="0" w:color="FFFFFF"/>
            </w:tcBorders>
            <w:vAlign w:val="center"/>
          </w:tcPr>
          <w:p w14:paraId="32587582" w14:textId="77777777" w:rsidR="00C20AAC" w:rsidRPr="00C76853" w:rsidRDefault="00C20AAC" w:rsidP="00E06EF8">
            <w:pPr>
              <w:spacing w:after="0" w:line="240" w:lineRule="auto"/>
              <w:jc w:val="center"/>
              <w:rPr>
                <w:rFonts w:cs="Calibri"/>
                <w:color w:val="000000"/>
              </w:rPr>
            </w:pPr>
          </w:p>
        </w:tc>
        <w:tc>
          <w:tcPr>
            <w:tcW w:w="475" w:type="pct"/>
            <w:tcBorders>
              <w:top w:val="single" w:sz="4" w:space="0" w:color="FFFFFF"/>
            </w:tcBorders>
            <w:noWrap/>
          </w:tcPr>
          <w:p w14:paraId="06A0C4B0" w14:textId="77777777" w:rsidR="00C20AAC" w:rsidRPr="00C76853" w:rsidRDefault="00C20AAC" w:rsidP="00E06EF8">
            <w:pPr>
              <w:spacing w:after="0" w:line="240" w:lineRule="auto"/>
              <w:jc w:val="center"/>
              <w:rPr>
                <w:rFonts w:cs="Calibri"/>
                <w:color w:val="000000"/>
              </w:rPr>
            </w:pPr>
          </w:p>
        </w:tc>
        <w:tc>
          <w:tcPr>
            <w:tcW w:w="423" w:type="pct"/>
            <w:tcBorders>
              <w:top w:val="single" w:sz="4" w:space="0" w:color="FFFFFF"/>
            </w:tcBorders>
          </w:tcPr>
          <w:p w14:paraId="60A639D9" w14:textId="77777777" w:rsidR="00C20AAC" w:rsidRPr="00C76853" w:rsidRDefault="00C20AAC" w:rsidP="00E06EF8">
            <w:pPr>
              <w:spacing w:after="0" w:line="240" w:lineRule="auto"/>
              <w:rPr>
                <w:rFonts w:cs="Calibri"/>
                <w:color w:val="000000"/>
              </w:rPr>
            </w:pPr>
          </w:p>
        </w:tc>
        <w:tc>
          <w:tcPr>
            <w:tcW w:w="238" w:type="pct"/>
            <w:tcBorders>
              <w:top w:val="single" w:sz="4" w:space="0" w:color="FFFFFF"/>
            </w:tcBorders>
            <w:vAlign w:val="center"/>
          </w:tcPr>
          <w:p w14:paraId="64063696" w14:textId="77777777" w:rsidR="00C20AAC" w:rsidRPr="00C76853" w:rsidRDefault="00C20AAC" w:rsidP="00C20AAC">
            <w:pPr>
              <w:spacing w:after="0" w:line="240" w:lineRule="auto"/>
              <w:jc w:val="center"/>
              <w:rPr>
                <w:rFonts w:cs="Calibri"/>
                <w:color w:val="000000"/>
              </w:rPr>
            </w:pPr>
          </w:p>
        </w:tc>
        <w:tc>
          <w:tcPr>
            <w:tcW w:w="199" w:type="pct"/>
            <w:tcBorders>
              <w:top w:val="single" w:sz="4" w:space="0" w:color="FFFFFF"/>
            </w:tcBorders>
            <w:vAlign w:val="center"/>
          </w:tcPr>
          <w:p w14:paraId="5D6902E4" w14:textId="77777777" w:rsidR="00C20AAC" w:rsidRPr="00C76853" w:rsidRDefault="00C20AAC" w:rsidP="00C20AAC">
            <w:pPr>
              <w:spacing w:after="0" w:line="240" w:lineRule="auto"/>
              <w:jc w:val="center"/>
              <w:rPr>
                <w:rFonts w:cs="Calibri"/>
                <w:color w:val="000000"/>
              </w:rPr>
            </w:pPr>
          </w:p>
        </w:tc>
        <w:tc>
          <w:tcPr>
            <w:tcW w:w="299" w:type="pct"/>
            <w:tcBorders>
              <w:top w:val="single" w:sz="4" w:space="0" w:color="FFFFFF"/>
            </w:tcBorders>
            <w:vAlign w:val="center"/>
          </w:tcPr>
          <w:p w14:paraId="20A0BBF9" w14:textId="77777777" w:rsidR="00C20AAC" w:rsidRPr="00C76853" w:rsidRDefault="00C20AAC" w:rsidP="00C20AAC">
            <w:pPr>
              <w:spacing w:after="0" w:line="240" w:lineRule="auto"/>
              <w:jc w:val="center"/>
              <w:rPr>
                <w:rFonts w:cs="Calibri"/>
                <w:color w:val="000000"/>
              </w:rPr>
            </w:pPr>
          </w:p>
        </w:tc>
        <w:tc>
          <w:tcPr>
            <w:tcW w:w="1494" w:type="pct"/>
            <w:tcBorders>
              <w:top w:val="single" w:sz="4" w:space="0" w:color="FFFFFF"/>
            </w:tcBorders>
          </w:tcPr>
          <w:p w14:paraId="5157FC73" w14:textId="77777777" w:rsidR="00C20AAC" w:rsidRPr="00C76853" w:rsidRDefault="00C20AAC" w:rsidP="00E06EF8">
            <w:pPr>
              <w:spacing w:after="0" w:line="240" w:lineRule="auto"/>
              <w:rPr>
                <w:rFonts w:cs="Calibri"/>
                <w:color w:val="000000"/>
              </w:rPr>
            </w:pPr>
          </w:p>
        </w:tc>
        <w:tc>
          <w:tcPr>
            <w:tcW w:w="557" w:type="pct"/>
            <w:tcBorders>
              <w:top w:val="single" w:sz="4" w:space="0" w:color="FFFFFF"/>
            </w:tcBorders>
          </w:tcPr>
          <w:p w14:paraId="377C9C13" w14:textId="77777777" w:rsidR="00C20AAC" w:rsidRPr="00C76853" w:rsidRDefault="00C20AAC" w:rsidP="00E06EF8">
            <w:pPr>
              <w:spacing w:after="0" w:line="240" w:lineRule="auto"/>
              <w:jc w:val="center"/>
              <w:rPr>
                <w:rFonts w:cs="Calibri"/>
                <w:color w:val="000000"/>
              </w:rPr>
            </w:pPr>
          </w:p>
        </w:tc>
        <w:tc>
          <w:tcPr>
            <w:tcW w:w="657" w:type="pct"/>
            <w:tcBorders>
              <w:top w:val="single" w:sz="4" w:space="0" w:color="FFFFFF"/>
            </w:tcBorders>
          </w:tcPr>
          <w:p w14:paraId="427C45A4" w14:textId="77777777" w:rsidR="00C20AAC" w:rsidRPr="00C76853" w:rsidRDefault="00C20AAC" w:rsidP="00E06EF8">
            <w:pPr>
              <w:spacing w:after="0" w:line="240" w:lineRule="auto"/>
              <w:jc w:val="center"/>
              <w:rPr>
                <w:rFonts w:cs="Calibri"/>
                <w:color w:val="000000"/>
              </w:rPr>
            </w:pPr>
          </w:p>
        </w:tc>
      </w:tr>
      <w:tr w:rsidR="00C20AAC" w:rsidRPr="00C76853" w14:paraId="00D0C263" w14:textId="77777777" w:rsidTr="00BA1C55">
        <w:trPr>
          <w:trHeight w:val="236"/>
        </w:trPr>
        <w:tc>
          <w:tcPr>
            <w:tcW w:w="183" w:type="pct"/>
            <w:vAlign w:val="center"/>
          </w:tcPr>
          <w:p w14:paraId="730AA4AE"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7A5C9162" w14:textId="77777777" w:rsidR="00C20AAC" w:rsidRPr="00C76853" w:rsidRDefault="00C20AAC" w:rsidP="00E06EF8">
            <w:pPr>
              <w:spacing w:after="0" w:line="240" w:lineRule="auto"/>
              <w:jc w:val="center"/>
              <w:rPr>
                <w:rFonts w:cs="Calibri"/>
                <w:color w:val="000000"/>
              </w:rPr>
            </w:pPr>
          </w:p>
        </w:tc>
        <w:tc>
          <w:tcPr>
            <w:tcW w:w="475" w:type="pct"/>
            <w:noWrap/>
          </w:tcPr>
          <w:p w14:paraId="4C424547" w14:textId="77777777" w:rsidR="00C20AAC" w:rsidRPr="00C76853" w:rsidRDefault="00C20AAC" w:rsidP="00E06EF8">
            <w:pPr>
              <w:spacing w:after="0" w:line="240" w:lineRule="auto"/>
              <w:jc w:val="center"/>
              <w:rPr>
                <w:rFonts w:cs="Calibri"/>
                <w:color w:val="000000"/>
              </w:rPr>
            </w:pPr>
          </w:p>
        </w:tc>
        <w:tc>
          <w:tcPr>
            <w:tcW w:w="423" w:type="pct"/>
          </w:tcPr>
          <w:p w14:paraId="25688531" w14:textId="77777777" w:rsidR="00C20AAC" w:rsidRPr="00C76853" w:rsidRDefault="00C20AAC" w:rsidP="00E06EF8">
            <w:pPr>
              <w:spacing w:after="0" w:line="240" w:lineRule="auto"/>
              <w:jc w:val="center"/>
              <w:rPr>
                <w:rFonts w:cs="Calibri"/>
                <w:color w:val="000000"/>
              </w:rPr>
            </w:pPr>
          </w:p>
        </w:tc>
        <w:tc>
          <w:tcPr>
            <w:tcW w:w="238" w:type="pct"/>
            <w:vAlign w:val="center"/>
          </w:tcPr>
          <w:p w14:paraId="35CA7ED2" w14:textId="77777777" w:rsidR="00C20AAC" w:rsidRPr="00C76853" w:rsidRDefault="00C20AAC" w:rsidP="00C20AAC">
            <w:pPr>
              <w:spacing w:after="0" w:line="240" w:lineRule="auto"/>
              <w:jc w:val="center"/>
              <w:rPr>
                <w:rFonts w:cs="Calibri"/>
                <w:color w:val="000000"/>
              </w:rPr>
            </w:pPr>
          </w:p>
        </w:tc>
        <w:tc>
          <w:tcPr>
            <w:tcW w:w="199" w:type="pct"/>
            <w:vAlign w:val="center"/>
          </w:tcPr>
          <w:p w14:paraId="347005D9" w14:textId="77777777" w:rsidR="00C20AAC" w:rsidRPr="00C76853" w:rsidRDefault="00C20AAC" w:rsidP="00C20AAC">
            <w:pPr>
              <w:spacing w:after="0" w:line="240" w:lineRule="auto"/>
              <w:jc w:val="center"/>
              <w:rPr>
                <w:rFonts w:cs="Calibri"/>
                <w:color w:val="000000"/>
              </w:rPr>
            </w:pPr>
          </w:p>
        </w:tc>
        <w:tc>
          <w:tcPr>
            <w:tcW w:w="299" w:type="pct"/>
            <w:vAlign w:val="center"/>
          </w:tcPr>
          <w:p w14:paraId="489D1B37" w14:textId="77777777" w:rsidR="00C20AAC" w:rsidRPr="00C76853" w:rsidRDefault="00C20AAC" w:rsidP="00C20AAC">
            <w:pPr>
              <w:spacing w:after="0" w:line="240" w:lineRule="auto"/>
              <w:jc w:val="center"/>
              <w:rPr>
                <w:rFonts w:cs="Calibri"/>
                <w:color w:val="000000"/>
              </w:rPr>
            </w:pPr>
          </w:p>
        </w:tc>
        <w:tc>
          <w:tcPr>
            <w:tcW w:w="1494" w:type="pct"/>
          </w:tcPr>
          <w:p w14:paraId="4E29EE76" w14:textId="77777777" w:rsidR="00C20AAC" w:rsidRPr="00C76853" w:rsidRDefault="00C20AAC" w:rsidP="00E06EF8">
            <w:pPr>
              <w:spacing w:after="0" w:line="240" w:lineRule="auto"/>
              <w:rPr>
                <w:rFonts w:cs="Calibri"/>
                <w:color w:val="000000"/>
              </w:rPr>
            </w:pPr>
          </w:p>
        </w:tc>
        <w:tc>
          <w:tcPr>
            <w:tcW w:w="557" w:type="pct"/>
          </w:tcPr>
          <w:p w14:paraId="39AE0AC5" w14:textId="77777777" w:rsidR="00C20AAC" w:rsidRPr="00C76853" w:rsidRDefault="00C20AAC" w:rsidP="00E06EF8">
            <w:pPr>
              <w:spacing w:after="0" w:line="240" w:lineRule="auto"/>
              <w:jc w:val="center"/>
              <w:rPr>
                <w:rFonts w:cs="Calibri"/>
                <w:color w:val="000000"/>
              </w:rPr>
            </w:pPr>
          </w:p>
        </w:tc>
        <w:tc>
          <w:tcPr>
            <w:tcW w:w="657" w:type="pct"/>
          </w:tcPr>
          <w:p w14:paraId="64E0029A" w14:textId="77777777" w:rsidR="00C20AAC" w:rsidRPr="00C76853" w:rsidRDefault="00C20AAC" w:rsidP="00E06EF8">
            <w:pPr>
              <w:spacing w:after="0" w:line="240" w:lineRule="auto"/>
              <w:jc w:val="center"/>
              <w:rPr>
                <w:rFonts w:cs="Calibri"/>
                <w:color w:val="000000"/>
              </w:rPr>
            </w:pPr>
          </w:p>
        </w:tc>
      </w:tr>
      <w:tr w:rsidR="00C20AAC" w:rsidRPr="00C76853" w14:paraId="1468B2FE" w14:textId="77777777" w:rsidTr="00BA1C55">
        <w:trPr>
          <w:trHeight w:val="236"/>
        </w:trPr>
        <w:tc>
          <w:tcPr>
            <w:tcW w:w="183" w:type="pct"/>
            <w:vAlign w:val="center"/>
          </w:tcPr>
          <w:p w14:paraId="63BE0DC7"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tcPr>
          <w:p w14:paraId="0D2385E1" w14:textId="77777777" w:rsidR="00C20AAC" w:rsidRPr="00C76853" w:rsidRDefault="00C20AAC" w:rsidP="00E06EF8">
            <w:pPr>
              <w:spacing w:after="0" w:line="240" w:lineRule="auto"/>
              <w:jc w:val="center"/>
              <w:rPr>
                <w:rFonts w:cs="Calibri"/>
                <w:color w:val="000000"/>
              </w:rPr>
            </w:pPr>
          </w:p>
        </w:tc>
        <w:tc>
          <w:tcPr>
            <w:tcW w:w="475" w:type="pct"/>
            <w:noWrap/>
          </w:tcPr>
          <w:p w14:paraId="26D3CDF9" w14:textId="77777777" w:rsidR="00C20AAC" w:rsidRPr="00C76853" w:rsidRDefault="00C20AAC" w:rsidP="00E06EF8">
            <w:pPr>
              <w:spacing w:after="0" w:line="240" w:lineRule="auto"/>
              <w:jc w:val="center"/>
              <w:rPr>
                <w:rFonts w:cs="Calibri"/>
                <w:color w:val="000000"/>
              </w:rPr>
            </w:pPr>
          </w:p>
        </w:tc>
        <w:tc>
          <w:tcPr>
            <w:tcW w:w="423" w:type="pct"/>
          </w:tcPr>
          <w:p w14:paraId="26919D01" w14:textId="77777777" w:rsidR="00C20AAC" w:rsidRPr="00C76853" w:rsidRDefault="00C20AAC" w:rsidP="00E06EF8">
            <w:pPr>
              <w:spacing w:after="0" w:line="240" w:lineRule="auto"/>
              <w:jc w:val="center"/>
              <w:rPr>
                <w:rFonts w:cs="Calibri"/>
                <w:color w:val="000000"/>
              </w:rPr>
            </w:pPr>
          </w:p>
        </w:tc>
        <w:tc>
          <w:tcPr>
            <w:tcW w:w="238" w:type="pct"/>
            <w:vAlign w:val="center"/>
          </w:tcPr>
          <w:p w14:paraId="3B40F725" w14:textId="77777777" w:rsidR="00C20AAC" w:rsidRPr="00C76853" w:rsidRDefault="00C20AAC" w:rsidP="00C20AAC">
            <w:pPr>
              <w:spacing w:after="0" w:line="240" w:lineRule="auto"/>
              <w:jc w:val="center"/>
              <w:rPr>
                <w:rFonts w:cs="Calibri"/>
                <w:color w:val="000000"/>
              </w:rPr>
            </w:pPr>
          </w:p>
        </w:tc>
        <w:tc>
          <w:tcPr>
            <w:tcW w:w="199" w:type="pct"/>
            <w:vAlign w:val="center"/>
          </w:tcPr>
          <w:p w14:paraId="465620BB" w14:textId="77777777" w:rsidR="00C20AAC" w:rsidRPr="00C76853" w:rsidRDefault="00C20AAC" w:rsidP="00C20AAC">
            <w:pPr>
              <w:spacing w:after="0" w:line="240" w:lineRule="auto"/>
              <w:jc w:val="center"/>
              <w:rPr>
                <w:rFonts w:cs="Calibri"/>
                <w:color w:val="000000"/>
              </w:rPr>
            </w:pPr>
          </w:p>
        </w:tc>
        <w:tc>
          <w:tcPr>
            <w:tcW w:w="299" w:type="pct"/>
            <w:vAlign w:val="center"/>
          </w:tcPr>
          <w:p w14:paraId="71327B0D" w14:textId="77777777" w:rsidR="00C20AAC" w:rsidRPr="00C76853" w:rsidRDefault="00C20AAC" w:rsidP="00C20AAC">
            <w:pPr>
              <w:spacing w:after="0" w:line="240" w:lineRule="auto"/>
              <w:jc w:val="center"/>
              <w:rPr>
                <w:rFonts w:cs="Calibri"/>
                <w:color w:val="000000"/>
              </w:rPr>
            </w:pPr>
          </w:p>
        </w:tc>
        <w:tc>
          <w:tcPr>
            <w:tcW w:w="1494" w:type="pct"/>
          </w:tcPr>
          <w:p w14:paraId="38A788C0" w14:textId="77777777" w:rsidR="00C20AAC" w:rsidRPr="00C76853" w:rsidRDefault="00C20AAC" w:rsidP="00E06EF8">
            <w:pPr>
              <w:spacing w:after="0" w:line="240" w:lineRule="auto"/>
              <w:rPr>
                <w:rFonts w:cs="Calibri"/>
                <w:color w:val="000000"/>
              </w:rPr>
            </w:pPr>
          </w:p>
        </w:tc>
        <w:tc>
          <w:tcPr>
            <w:tcW w:w="557" w:type="pct"/>
          </w:tcPr>
          <w:p w14:paraId="0E35FE4D" w14:textId="77777777" w:rsidR="00C20AAC" w:rsidRPr="00C76853" w:rsidRDefault="00C20AAC" w:rsidP="00E06EF8">
            <w:pPr>
              <w:spacing w:after="0" w:line="240" w:lineRule="auto"/>
              <w:jc w:val="center"/>
              <w:rPr>
                <w:rFonts w:cs="Calibri"/>
                <w:color w:val="000000"/>
              </w:rPr>
            </w:pPr>
          </w:p>
        </w:tc>
        <w:tc>
          <w:tcPr>
            <w:tcW w:w="657" w:type="pct"/>
          </w:tcPr>
          <w:p w14:paraId="48698D90" w14:textId="77777777" w:rsidR="00C20AAC" w:rsidRPr="00C76853" w:rsidRDefault="00C20AAC" w:rsidP="00E06EF8">
            <w:pPr>
              <w:spacing w:after="0" w:line="240" w:lineRule="auto"/>
              <w:jc w:val="center"/>
              <w:rPr>
                <w:rFonts w:cs="Calibri"/>
                <w:color w:val="000000"/>
              </w:rPr>
            </w:pPr>
          </w:p>
        </w:tc>
      </w:tr>
      <w:tr w:rsidR="00C20AAC" w:rsidRPr="00C76853" w14:paraId="2EB76AE1" w14:textId="77777777" w:rsidTr="00BA1C55">
        <w:trPr>
          <w:trHeight w:val="236"/>
        </w:trPr>
        <w:tc>
          <w:tcPr>
            <w:tcW w:w="183" w:type="pct"/>
            <w:vAlign w:val="center"/>
          </w:tcPr>
          <w:p w14:paraId="0FA78069"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27F5F039" w14:textId="77777777" w:rsidR="00C20AAC" w:rsidRPr="00C76853" w:rsidRDefault="00C20AAC" w:rsidP="00E06EF8">
            <w:pPr>
              <w:spacing w:after="0" w:line="240" w:lineRule="auto"/>
              <w:jc w:val="center"/>
              <w:rPr>
                <w:rFonts w:cs="Calibri"/>
                <w:color w:val="000000"/>
              </w:rPr>
            </w:pPr>
          </w:p>
        </w:tc>
        <w:tc>
          <w:tcPr>
            <w:tcW w:w="475" w:type="pct"/>
            <w:noWrap/>
          </w:tcPr>
          <w:p w14:paraId="210D7767" w14:textId="77777777" w:rsidR="00C20AAC" w:rsidRPr="00C76853" w:rsidRDefault="00C20AAC" w:rsidP="00E06EF8">
            <w:pPr>
              <w:spacing w:after="0" w:line="240" w:lineRule="auto"/>
              <w:jc w:val="center"/>
              <w:rPr>
                <w:rFonts w:cs="Calibri"/>
                <w:color w:val="000000"/>
              </w:rPr>
            </w:pPr>
          </w:p>
        </w:tc>
        <w:tc>
          <w:tcPr>
            <w:tcW w:w="423" w:type="pct"/>
          </w:tcPr>
          <w:p w14:paraId="1CAA62D7" w14:textId="77777777" w:rsidR="00C20AAC" w:rsidRPr="00C76853" w:rsidRDefault="00C20AAC" w:rsidP="00E06EF8">
            <w:pPr>
              <w:spacing w:after="0" w:line="240" w:lineRule="auto"/>
              <w:jc w:val="center"/>
              <w:rPr>
                <w:rFonts w:cs="Calibri"/>
                <w:color w:val="000000"/>
              </w:rPr>
            </w:pPr>
          </w:p>
        </w:tc>
        <w:tc>
          <w:tcPr>
            <w:tcW w:w="238" w:type="pct"/>
            <w:vAlign w:val="center"/>
          </w:tcPr>
          <w:p w14:paraId="4F9EA354" w14:textId="77777777" w:rsidR="00C20AAC" w:rsidRPr="00C76853" w:rsidRDefault="00C20AAC" w:rsidP="00C20AAC">
            <w:pPr>
              <w:spacing w:after="0" w:line="240" w:lineRule="auto"/>
              <w:jc w:val="center"/>
              <w:rPr>
                <w:rFonts w:cs="Calibri"/>
                <w:color w:val="000000"/>
              </w:rPr>
            </w:pPr>
          </w:p>
        </w:tc>
        <w:tc>
          <w:tcPr>
            <w:tcW w:w="199" w:type="pct"/>
            <w:vAlign w:val="center"/>
          </w:tcPr>
          <w:p w14:paraId="13ECA376" w14:textId="77777777" w:rsidR="00C20AAC" w:rsidRPr="00C76853" w:rsidRDefault="00C20AAC" w:rsidP="00C20AAC">
            <w:pPr>
              <w:spacing w:after="0" w:line="240" w:lineRule="auto"/>
              <w:jc w:val="center"/>
              <w:rPr>
                <w:rFonts w:cs="Calibri"/>
                <w:color w:val="000000"/>
              </w:rPr>
            </w:pPr>
          </w:p>
        </w:tc>
        <w:tc>
          <w:tcPr>
            <w:tcW w:w="299" w:type="pct"/>
            <w:vAlign w:val="center"/>
          </w:tcPr>
          <w:p w14:paraId="7847A674" w14:textId="77777777" w:rsidR="00C20AAC" w:rsidRPr="00C76853" w:rsidRDefault="00C20AAC" w:rsidP="00C20AAC">
            <w:pPr>
              <w:spacing w:after="0" w:line="240" w:lineRule="auto"/>
              <w:jc w:val="center"/>
              <w:rPr>
                <w:rFonts w:cs="Calibri"/>
                <w:color w:val="000000"/>
              </w:rPr>
            </w:pPr>
          </w:p>
        </w:tc>
        <w:tc>
          <w:tcPr>
            <w:tcW w:w="1494" w:type="pct"/>
          </w:tcPr>
          <w:p w14:paraId="6FC9A002" w14:textId="77777777" w:rsidR="00C20AAC" w:rsidRPr="00C76853" w:rsidRDefault="00C20AAC" w:rsidP="00E06EF8">
            <w:pPr>
              <w:spacing w:after="0" w:line="240" w:lineRule="auto"/>
              <w:rPr>
                <w:rFonts w:cs="Calibri"/>
                <w:color w:val="000000"/>
              </w:rPr>
            </w:pPr>
          </w:p>
        </w:tc>
        <w:tc>
          <w:tcPr>
            <w:tcW w:w="557" w:type="pct"/>
          </w:tcPr>
          <w:p w14:paraId="250C4DE9" w14:textId="77777777" w:rsidR="00C20AAC" w:rsidRPr="00C76853" w:rsidRDefault="00C20AAC" w:rsidP="00E06EF8">
            <w:pPr>
              <w:spacing w:after="0" w:line="240" w:lineRule="auto"/>
              <w:jc w:val="center"/>
              <w:rPr>
                <w:rFonts w:cs="Calibri"/>
                <w:color w:val="000000"/>
              </w:rPr>
            </w:pPr>
          </w:p>
        </w:tc>
        <w:tc>
          <w:tcPr>
            <w:tcW w:w="657" w:type="pct"/>
          </w:tcPr>
          <w:p w14:paraId="6415ADBF" w14:textId="77777777" w:rsidR="00C20AAC" w:rsidRPr="00C76853" w:rsidRDefault="00C20AAC" w:rsidP="00E06EF8">
            <w:pPr>
              <w:spacing w:after="0" w:line="240" w:lineRule="auto"/>
              <w:jc w:val="center"/>
              <w:rPr>
                <w:rFonts w:cs="Calibri"/>
                <w:color w:val="000000"/>
              </w:rPr>
            </w:pPr>
          </w:p>
        </w:tc>
      </w:tr>
      <w:tr w:rsidR="00C20AAC" w:rsidRPr="00C76853" w14:paraId="0704251E" w14:textId="77777777" w:rsidTr="00BA1C55">
        <w:trPr>
          <w:trHeight w:val="236"/>
        </w:trPr>
        <w:tc>
          <w:tcPr>
            <w:tcW w:w="183" w:type="pct"/>
            <w:vAlign w:val="center"/>
          </w:tcPr>
          <w:p w14:paraId="4D8C0232"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0F3D0472"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32E03972" w14:textId="77777777" w:rsidR="00C20AAC" w:rsidRPr="00C76853" w:rsidRDefault="00C20AAC" w:rsidP="00E06EF8">
            <w:pPr>
              <w:spacing w:after="0" w:line="240" w:lineRule="auto"/>
              <w:jc w:val="center"/>
              <w:rPr>
                <w:rFonts w:cs="Calibri"/>
                <w:color w:val="000000"/>
              </w:rPr>
            </w:pPr>
          </w:p>
        </w:tc>
        <w:tc>
          <w:tcPr>
            <w:tcW w:w="423" w:type="pct"/>
            <w:vAlign w:val="center"/>
          </w:tcPr>
          <w:p w14:paraId="5F088E73" w14:textId="77777777" w:rsidR="00C20AAC" w:rsidRPr="00C76853" w:rsidRDefault="00C20AAC" w:rsidP="00E06EF8">
            <w:pPr>
              <w:spacing w:after="0" w:line="240" w:lineRule="auto"/>
              <w:rPr>
                <w:rFonts w:cs="Calibri"/>
                <w:color w:val="000000"/>
              </w:rPr>
            </w:pPr>
          </w:p>
        </w:tc>
        <w:tc>
          <w:tcPr>
            <w:tcW w:w="238" w:type="pct"/>
            <w:vAlign w:val="center"/>
          </w:tcPr>
          <w:p w14:paraId="664DA8EB" w14:textId="77777777" w:rsidR="00C20AAC" w:rsidRPr="00C76853" w:rsidRDefault="00C20AAC" w:rsidP="00C20AAC">
            <w:pPr>
              <w:spacing w:after="0" w:line="240" w:lineRule="auto"/>
              <w:jc w:val="center"/>
              <w:rPr>
                <w:rFonts w:cs="Calibri"/>
                <w:color w:val="000000"/>
              </w:rPr>
            </w:pPr>
          </w:p>
        </w:tc>
        <w:tc>
          <w:tcPr>
            <w:tcW w:w="199" w:type="pct"/>
            <w:vAlign w:val="center"/>
          </w:tcPr>
          <w:p w14:paraId="4C5622BA" w14:textId="77777777" w:rsidR="00C20AAC" w:rsidRPr="00C76853" w:rsidRDefault="00C20AAC" w:rsidP="00C20AAC">
            <w:pPr>
              <w:spacing w:after="0" w:line="240" w:lineRule="auto"/>
              <w:jc w:val="center"/>
              <w:rPr>
                <w:rFonts w:cs="Calibri"/>
                <w:color w:val="000000"/>
              </w:rPr>
            </w:pPr>
          </w:p>
        </w:tc>
        <w:tc>
          <w:tcPr>
            <w:tcW w:w="299" w:type="pct"/>
            <w:vAlign w:val="center"/>
          </w:tcPr>
          <w:p w14:paraId="1F7F0DDE" w14:textId="77777777" w:rsidR="00C20AAC" w:rsidRPr="00C76853" w:rsidRDefault="00C20AAC" w:rsidP="00C20AAC">
            <w:pPr>
              <w:spacing w:after="0" w:line="240" w:lineRule="auto"/>
              <w:jc w:val="center"/>
              <w:rPr>
                <w:rFonts w:cs="Calibri"/>
                <w:color w:val="000000"/>
              </w:rPr>
            </w:pPr>
          </w:p>
        </w:tc>
        <w:tc>
          <w:tcPr>
            <w:tcW w:w="1494" w:type="pct"/>
            <w:vAlign w:val="center"/>
          </w:tcPr>
          <w:p w14:paraId="6843BE62" w14:textId="77777777" w:rsidR="00C20AAC" w:rsidRPr="00C76853" w:rsidRDefault="00C20AAC" w:rsidP="00E06EF8">
            <w:pPr>
              <w:spacing w:after="0" w:line="240" w:lineRule="auto"/>
              <w:rPr>
                <w:rFonts w:cs="Calibri"/>
                <w:color w:val="000000"/>
              </w:rPr>
            </w:pPr>
          </w:p>
        </w:tc>
        <w:tc>
          <w:tcPr>
            <w:tcW w:w="557" w:type="pct"/>
            <w:vAlign w:val="center"/>
          </w:tcPr>
          <w:p w14:paraId="09EBB369" w14:textId="77777777" w:rsidR="00C20AAC" w:rsidRPr="00C76853" w:rsidRDefault="00C20AAC" w:rsidP="00E06EF8">
            <w:pPr>
              <w:spacing w:after="0" w:line="240" w:lineRule="auto"/>
              <w:jc w:val="center"/>
              <w:rPr>
                <w:rFonts w:cs="Calibri"/>
                <w:color w:val="000000"/>
              </w:rPr>
            </w:pPr>
          </w:p>
        </w:tc>
        <w:tc>
          <w:tcPr>
            <w:tcW w:w="657" w:type="pct"/>
            <w:vAlign w:val="center"/>
          </w:tcPr>
          <w:p w14:paraId="324E75A6" w14:textId="77777777" w:rsidR="00C20AAC" w:rsidRPr="00C76853" w:rsidRDefault="00C20AAC" w:rsidP="00E06EF8">
            <w:pPr>
              <w:spacing w:after="0" w:line="240" w:lineRule="auto"/>
              <w:jc w:val="center"/>
              <w:rPr>
                <w:rFonts w:cs="Calibri"/>
                <w:color w:val="000000"/>
              </w:rPr>
            </w:pPr>
          </w:p>
        </w:tc>
      </w:tr>
      <w:tr w:rsidR="00C20AAC" w:rsidRPr="00C76853" w14:paraId="1EB25F3B" w14:textId="77777777" w:rsidTr="00BA1C55">
        <w:trPr>
          <w:trHeight w:val="236"/>
        </w:trPr>
        <w:tc>
          <w:tcPr>
            <w:tcW w:w="183" w:type="pct"/>
            <w:vAlign w:val="center"/>
          </w:tcPr>
          <w:p w14:paraId="4510B223"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2C8EB212"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79522FB5" w14:textId="77777777" w:rsidR="00C20AAC" w:rsidRPr="00C76853" w:rsidRDefault="00C20AAC" w:rsidP="00E06EF8">
            <w:pPr>
              <w:spacing w:after="0" w:line="240" w:lineRule="auto"/>
              <w:jc w:val="center"/>
              <w:rPr>
                <w:rFonts w:cs="Calibri"/>
                <w:color w:val="000000"/>
              </w:rPr>
            </w:pPr>
          </w:p>
        </w:tc>
        <w:tc>
          <w:tcPr>
            <w:tcW w:w="423" w:type="pct"/>
            <w:vAlign w:val="center"/>
          </w:tcPr>
          <w:p w14:paraId="60FD246B" w14:textId="77777777" w:rsidR="00C20AAC" w:rsidRPr="00C76853" w:rsidRDefault="00C20AAC" w:rsidP="00E06EF8">
            <w:pPr>
              <w:spacing w:after="0" w:line="240" w:lineRule="auto"/>
              <w:rPr>
                <w:rFonts w:cs="Calibri"/>
                <w:color w:val="000000"/>
              </w:rPr>
            </w:pPr>
          </w:p>
        </w:tc>
        <w:tc>
          <w:tcPr>
            <w:tcW w:w="238" w:type="pct"/>
            <w:vAlign w:val="center"/>
          </w:tcPr>
          <w:p w14:paraId="6A6B0BD6" w14:textId="77777777" w:rsidR="00C20AAC" w:rsidRPr="00C76853" w:rsidRDefault="00C20AAC" w:rsidP="00C20AAC">
            <w:pPr>
              <w:spacing w:after="0" w:line="240" w:lineRule="auto"/>
              <w:jc w:val="center"/>
              <w:rPr>
                <w:rFonts w:cs="Calibri"/>
                <w:color w:val="000000"/>
              </w:rPr>
            </w:pPr>
          </w:p>
        </w:tc>
        <w:tc>
          <w:tcPr>
            <w:tcW w:w="199" w:type="pct"/>
            <w:vAlign w:val="center"/>
          </w:tcPr>
          <w:p w14:paraId="27B21152" w14:textId="77777777" w:rsidR="00C20AAC" w:rsidRPr="00C76853" w:rsidRDefault="00C20AAC" w:rsidP="00C20AAC">
            <w:pPr>
              <w:spacing w:after="0" w:line="240" w:lineRule="auto"/>
              <w:jc w:val="center"/>
              <w:rPr>
                <w:rFonts w:cs="Calibri"/>
                <w:color w:val="000000"/>
              </w:rPr>
            </w:pPr>
          </w:p>
        </w:tc>
        <w:tc>
          <w:tcPr>
            <w:tcW w:w="299" w:type="pct"/>
            <w:vAlign w:val="center"/>
          </w:tcPr>
          <w:p w14:paraId="754F44F0" w14:textId="77777777" w:rsidR="00C20AAC" w:rsidRPr="00C76853" w:rsidRDefault="00C20AAC" w:rsidP="00C20AAC">
            <w:pPr>
              <w:spacing w:after="0" w:line="240" w:lineRule="auto"/>
              <w:jc w:val="center"/>
              <w:rPr>
                <w:rFonts w:cs="Calibri"/>
                <w:color w:val="000000"/>
              </w:rPr>
            </w:pPr>
          </w:p>
        </w:tc>
        <w:tc>
          <w:tcPr>
            <w:tcW w:w="1494" w:type="pct"/>
            <w:vAlign w:val="center"/>
          </w:tcPr>
          <w:p w14:paraId="7D149655" w14:textId="77777777" w:rsidR="00C20AAC" w:rsidRPr="00C76853" w:rsidRDefault="00C20AAC" w:rsidP="00E06EF8">
            <w:pPr>
              <w:spacing w:after="0" w:line="240" w:lineRule="auto"/>
              <w:jc w:val="center"/>
              <w:rPr>
                <w:rFonts w:cs="Calibri"/>
                <w:color w:val="000000"/>
              </w:rPr>
            </w:pPr>
          </w:p>
        </w:tc>
        <w:tc>
          <w:tcPr>
            <w:tcW w:w="557" w:type="pct"/>
            <w:vAlign w:val="center"/>
          </w:tcPr>
          <w:p w14:paraId="19D8317E" w14:textId="77777777" w:rsidR="00C20AAC" w:rsidRPr="00C76853" w:rsidRDefault="00C20AAC" w:rsidP="00E06EF8">
            <w:pPr>
              <w:spacing w:after="0" w:line="240" w:lineRule="auto"/>
              <w:jc w:val="center"/>
              <w:rPr>
                <w:rFonts w:cs="Calibri"/>
                <w:color w:val="000000"/>
              </w:rPr>
            </w:pPr>
          </w:p>
        </w:tc>
        <w:tc>
          <w:tcPr>
            <w:tcW w:w="657" w:type="pct"/>
            <w:vAlign w:val="center"/>
          </w:tcPr>
          <w:p w14:paraId="15EF76EF" w14:textId="77777777" w:rsidR="00C20AAC" w:rsidRPr="00C76853" w:rsidRDefault="00C20AAC" w:rsidP="00E06EF8">
            <w:pPr>
              <w:spacing w:after="0" w:line="240" w:lineRule="auto"/>
              <w:jc w:val="center"/>
              <w:rPr>
                <w:rFonts w:cs="Calibri"/>
                <w:color w:val="000000"/>
              </w:rPr>
            </w:pPr>
          </w:p>
        </w:tc>
      </w:tr>
      <w:tr w:rsidR="00C20AAC" w:rsidRPr="00C76853" w14:paraId="2E77A979" w14:textId="77777777" w:rsidTr="00BA1C55">
        <w:trPr>
          <w:trHeight w:val="236"/>
        </w:trPr>
        <w:tc>
          <w:tcPr>
            <w:tcW w:w="183" w:type="pct"/>
            <w:vAlign w:val="center"/>
          </w:tcPr>
          <w:p w14:paraId="3BFC1AF3"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51A29ED0"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66B376CA" w14:textId="77777777" w:rsidR="00C20AAC" w:rsidRPr="00C76853" w:rsidRDefault="00C20AAC" w:rsidP="00E06EF8">
            <w:pPr>
              <w:spacing w:after="0" w:line="240" w:lineRule="auto"/>
              <w:jc w:val="center"/>
              <w:rPr>
                <w:rFonts w:cs="Calibri"/>
                <w:color w:val="000000"/>
              </w:rPr>
            </w:pPr>
          </w:p>
        </w:tc>
        <w:tc>
          <w:tcPr>
            <w:tcW w:w="423" w:type="pct"/>
            <w:vAlign w:val="center"/>
          </w:tcPr>
          <w:p w14:paraId="0DE10C70" w14:textId="77777777" w:rsidR="00C20AAC" w:rsidRPr="00C76853" w:rsidRDefault="00C20AAC" w:rsidP="00E06EF8">
            <w:pPr>
              <w:spacing w:after="0" w:line="240" w:lineRule="auto"/>
              <w:rPr>
                <w:rFonts w:cs="Calibri"/>
                <w:color w:val="000000"/>
              </w:rPr>
            </w:pPr>
          </w:p>
        </w:tc>
        <w:tc>
          <w:tcPr>
            <w:tcW w:w="238" w:type="pct"/>
            <w:vAlign w:val="center"/>
          </w:tcPr>
          <w:p w14:paraId="0DA6CB21" w14:textId="77777777" w:rsidR="00C20AAC" w:rsidRPr="00C76853" w:rsidRDefault="00C20AAC" w:rsidP="00C20AAC">
            <w:pPr>
              <w:spacing w:after="0" w:line="240" w:lineRule="auto"/>
              <w:jc w:val="center"/>
              <w:rPr>
                <w:rFonts w:cs="Calibri"/>
                <w:color w:val="000000"/>
              </w:rPr>
            </w:pPr>
          </w:p>
        </w:tc>
        <w:tc>
          <w:tcPr>
            <w:tcW w:w="199" w:type="pct"/>
            <w:vAlign w:val="center"/>
          </w:tcPr>
          <w:p w14:paraId="52CB6B6E" w14:textId="77777777" w:rsidR="00C20AAC" w:rsidRPr="00C76853" w:rsidRDefault="00C20AAC" w:rsidP="00C20AAC">
            <w:pPr>
              <w:spacing w:after="0" w:line="240" w:lineRule="auto"/>
              <w:jc w:val="center"/>
              <w:rPr>
                <w:rFonts w:cs="Calibri"/>
                <w:color w:val="000000"/>
              </w:rPr>
            </w:pPr>
          </w:p>
        </w:tc>
        <w:tc>
          <w:tcPr>
            <w:tcW w:w="299" w:type="pct"/>
            <w:vAlign w:val="center"/>
          </w:tcPr>
          <w:p w14:paraId="60E54EE0" w14:textId="77777777" w:rsidR="00C20AAC" w:rsidRPr="00C76853" w:rsidRDefault="00C20AAC" w:rsidP="00C20AAC">
            <w:pPr>
              <w:spacing w:after="0" w:line="240" w:lineRule="auto"/>
              <w:jc w:val="center"/>
              <w:rPr>
                <w:rFonts w:cs="Calibri"/>
                <w:color w:val="000000"/>
              </w:rPr>
            </w:pPr>
          </w:p>
        </w:tc>
        <w:tc>
          <w:tcPr>
            <w:tcW w:w="1494" w:type="pct"/>
            <w:vAlign w:val="center"/>
          </w:tcPr>
          <w:p w14:paraId="580FC123" w14:textId="77777777" w:rsidR="00C20AAC" w:rsidRPr="00C76853" w:rsidRDefault="00C20AAC" w:rsidP="00E06EF8">
            <w:pPr>
              <w:spacing w:after="0" w:line="240" w:lineRule="auto"/>
              <w:jc w:val="center"/>
              <w:rPr>
                <w:rFonts w:cs="Calibri"/>
                <w:color w:val="000000"/>
              </w:rPr>
            </w:pPr>
          </w:p>
        </w:tc>
        <w:tc>
          <w:tcPr>
            <w:tcW w:w="557" w:type="pct"/>
            <w:vAlign w:val="center"/>
          </w:tcPr>
          <w:p w14:paraId="6F714CC7" w14:textId="77777777" w:rsidR="00C20AAC" w:rsidRPr="00C76853" w:rsidRDefault="00C20AAC" w:rsidP="00E06EF8">
            <w:pPr>
              <w:spacing w:after="0" w:line="240" w:lineRule="auto"/>
              <w:jc w:val="center"/>
              <w:rPr>
                <w:rFonts w:cs="Calibri"/>
                <w:color w:val="000000"/>
              </w:rPr>
            </w:pPr>
          </w:p>
        </w:tc>
        <w:tc>
          <w:tcPr>
            <w:tcW w:w="657" w:type="pct"/>
            <w:vAlign w:val="center"/>
          </w:tcPr>
          <w:p w14:paraId="689B722A" w14:textId="77777777" w:rsidR="00C20AAC" w:rsidRPr="00C76853" w:rsidRDefault="00C20AAC" w:rsidP="00E06EF8">
            <w:pPr>
              <w:spacing w:after="0" w:line="240" w:lineRule="auto"/>
              <w:jc w:val="center"/>
              <w:rPr>
                <w:rFonts w:cs="Calibri"/>
                <w:color w:val="000000"/>
              </w:rPr>
            </w:pPr>
          </w:p>
        </w:tc>
      </w:tr>
      <w:tr w:rsidR="00C20AAC" w:rsidRPr="00C76853" w14:paraId="43799CA4" w14:textId="77777777" w:rsidTr="00BA1C55">
        <w:trPr>
          <w:trHeight w:val="236"/>
        </w:trPr>
        <w:tc>
          <w:tcPr>
            <w:tcW w:w="183" w:type="pct"/>
            <w:vAlign w:val="center"/>
          </w:tcPr>
          <w:p w14:paraId="3FAD563B"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77D1F603"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4CD7D676" w14:textId="77777777" w:rsidR="00C20AAC" w:rsidRPr="00C76853" w:rsidRDefault="00C20AAC" w:rsidP="00E06EF8">
            <w:pPr>
              <w:spacing w:after="0" w:line="240" w:lineRule="auto"/>
              <w:jc w:val="center"/>
              <w:rPr>
                <w:rFonts w:cs="Calibri"/>
                <w:color w:val="000000"/>
              </w:rPr>
            </w:pPr>
          </w:p>
        </w:tc>
        <w:tc>
          <w:tcPr>
            <w:tcW w:w="423" w:type="pct"/>
            <w:vAlign w:val="center"/>
          </w:tcPr>
          <w:p w14:paraId="0F4B52FF" w14:textId="77777777" w:rsidR="00C20AAC" w:rsidRPr="00C76853" w:rsidRDefault="00C20AAC" w:rsidP="00E06EF8">
            <w:pPr>
              <w:spacing w:after="0" w:line="240" w:lineRule="auto"/>
              <w:rPr>
                <w:rFonts w:cs="Calibri"/>
                <w:color w:val="000000"/>
              </w:rPr>
            </w:pPr>
          </w:p>
        </w:tc>
        <w:tc>
          <w:tcPr>
            <w:tcW w:w="238" w:type="pct"/>
            <w:vAlign w:val="center"/>
          </w:tcPr>
          <w:p w14:paraId="57BBCA37" w14:textId="77777777" w:rsidR="00C20AAC" w:rsidRPr="00C76853" w:rsidRDefault="00C20AAC" w:rsidP="00C20AAC">
            <w:pPr>
              <w:spacing w:after="0" w:line="240" w:lineRule="auto"/>
              <w:jc w:val="center"/>
              <w:rPr>
                <w:rFonts w:cs="Calibri"/>
                <w:color w:val="000000"/>
              </w:rPr>
            </w:pPr>
          </w:p>
        </w:tc>
        <w:tc>
          <w:tcPr>
            <w:tcW w:w="199" w:type="pct"/>
            <w:vAlign w:val="center"/>
          </w:tcPr>
          <w:p w14:paraId="5A49880E" w14:textId="77777777" w:rsidR="00C20AAC" w:rsidRPr="00C76853" w:rsidRDefault="00C20AAC" w:rsidP="00C20AAC">
            <w:pPr>
              <w:spacing w:after="0" w:line="240" w:lineRule="auto"/>
              <w:jc w:val="center"/>
              <w:rPr>
                <w:rFonts w:cs="Calibri"/>
                <w:color w:val="000000"/>
              </w:rPr>
            </w:pPr>
          </w:p>
        </w:tc>
        <w:tc>
          <w:tcPr>
            <w:tcW w:w="299" w:type="pct"/>
            <w:vAlign w:val="center"/>
          </w:tcPr>
          <w:p w14:paraId="51F56663" w14:textId="77777777" w:rsidR="00C20AAC" w:rsidRPr="00C76853" w:rsidRDefault="00C20AAC" w:rsidP="00C20AAC">
            <w:pPr>
              <w:spacing w:after="0" w:line="240" w:lineRule="auto"/>
              <w:jc w:val="center"/>
              <w:rPr>
                <w:rFonts w:cs="Calibri"/>
                <w:color w:val="000000"/>
              </w:rPr>
            </w:pPr>
          </w:p>
        </w:tc>
        <w:tc>
          <w:tcPr>
            <w:tcW w:w="1494" w:type="pct"/>
            <w:vAlign w:val="center"/>
          </w:tcPr>
          <w:p w14:paraId="4E65D3FB" w14:textId="77777777" w:rsidR="00C20AAC" w:rsidRPr="00C76853" w:rsidRDefault="00C20AAC" w:rsidP="00E06EF8">
            <w:pPr>
              <w:spacing w:after="0" w:line="240" w:lineRule="auto"/>
              <w:jc w:val="center"/>
              <w:rPr>
                <w:rFonts w:cs="Calibri"/>
                <w:color w:val="000000"/>
              </w:rPr>
            </w:pPr>
          </w:p>
        </w:tc>
        <w:tc>
          <w:tcPr>
            <w:tcW w:w="557" w:type="pct"/>
            <w:vAlign w:val="center"/>
          </w:tcPr>
          <w:p w14:paraId="3382333A" w14:textId="77777777" w:rsidR="00C20AAC" w:rsidRPr="00C76853" w:rsidRDefault="00C20AAC" w:rsidP="00E06EF8">
            <w:pPr>
              <w:spacing w:after="0" w:line="240" w:lineRule="auto"/>
              <w:jc w:val="center"/>
              <w:rPr>
                <w:rFonts w:cs="Calibri"/>
                <w:color w:val="000000"/>
              </w:rPr>
            </w:pPr>
          </w:p>
        </w:tc>
        <w:tc>
          <w:tcPr>
            <w:tcW w:w="657" w:type="pct"/>
            <w:vAlign w:val="center"/>
          </w:tcPr>
          <w:p w14:paraId="24F41941" w14:textId="77777777" w:rsidR="00C20AAC" w:rsidRPr="00C76853" w:rsidRDefault="00C20AAC" w:rsidP="00E06EF8">
            <w:pPr>
              <w:spacing w:after="0" w:line="240" w:lineRule="auto"/>
              <w:jc w:val="center"/>
              <w:rPr>
                <w:rFonts w:cs="Calibri"/>
                <w:color w:val="000000"/>
              </w:rPr>
            </w:pPr>
          </w:p>
        </w:tc>
      </w:tr>
      <w:tr w:rsidR="00C20AAC" w:rsidRPr="00C76853" w14:paraId="4322360B" w14:textId="77777777" w:rsidTr="00BA1C55">
        <w:trPr>
          <w:trHeight w:val="236"/>
        </w:trPr>
        <w:tc>
          <w:tcPr>
            <w:tcW w:w="183" w:type="pct"/>
            <w:vAlign w:val="center"/>
          </w:tcPr>
          <w:p w14:paraId="2B7B2B1A"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2F315106"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11FE1F16" w14:textId="77777777" w:rsidR="00C20AAC" w:rsidRPr="00C76853" w:rsidRDefault="00C20AAC" w:rsidP="00E06EF8">
            <w:pPr>
              <w:spacing w:after="0" w:line="240" w:lineRule="auto"/>
              <w:jc w:val="center"/>
              <w:rPr>
                <w:rFonts w:cs="Calibri"/>
                <w:color w:val="000000"/>
              </w:rPr>
            </w:pPr>
          </w:p>
        </w:tc>
        <w:tc>
          <w:tcPr>
            <w:tcW w:w="423" w:type="pct"/>
            <w:vAlign w:val="center"/>
          </w:tcPr>
          <w:p w14:paraId="5CFB428B" w14:textId="77777777" w:rsidR="00C20AAC" w:rsidRPr="00C76853" w:rsidRDefault="00C20AAC" w:rsidP="00E06EF8">
            <w:pPr>
              <w:spacing w:after="0" w:line="240" w:lineRule="auto"/>
              <w:rPr>
                <w:rFonts w:cs="Calibri"/>
                <w:color w:val="000000"/>
              </w:rPr>
            </w:pPr>
          </w:p>
        </w:tc>
        <w:tc>
          <w:tcPr>
            <w:tcW w:w="238" w:type="pct"/>
            <w:vAlign w:val="center"/>
          </w:tcPr>
          <w:p w14:paraId="2E34A723" w14:textId="77777777" w:rsidR="00C20AAC" w:rsidRPr="00C76853" w:rsidRDefault="00C20AAC" w:rsidP="00C20AAC">
            <w:pPr>
              <w:spacing w:after="0" w:line="240" w:lineRule="auto"/>
              <w:jc w:val="center"/>
              <w:rPr>
                <w:rFonts w:cs="Calibri"/>
                <w:color w:val="000000"/>
              </w:rPr>
            </w:pPr>
          </w:p>
        </w:tc>
        <w:tc>
          <w:tcPr>
            <w:tcW w:w="199" w:type="pct"/>
            <w:vAlign w:val="center"/>
          </w:tcPr>
          <w:p w14:paraId="34FCBEFC" w14:textId="77777777" w:rsidR="00C20AAC" w:rsidRPr="00C76853" w:rsidRDefault="00C20AAC" w:rsidP="00C20AAC">
            <w:pPr>
              <w:spacing w:after="0" w:line="240" w:lineRule="auto"/>
              <w:jc w:val="center"/>
              <w:rPr>
                <w:rFonts w:cs="Calibri"/>
                <w:color w:val="000000"/>
              </w:rPr>
            </w:pPr>
          </w:p>
        </w:tc>
        <w:tc>
          <w:tcPr>
            <w:tcW w:w="299" w:type="pct"/>
            <w:vAlign w:val="center"/>
          </w:tcPr>
          <w:p w14:paraId="5F379825" w14:textId="77777777" w:rsidR="00C20AAC" w:rsidRPr="00C76853" w:rsidRDefault="00C20AAC" w:rsidP="00C20AAC">
            <w:pPr>
              <w:spacing w:after="0" w:line="240" w:lineRule="auto"/>
              <w:jc w:val="center"/>
              <w:rPr>
                <w:rFonts w:cs="Calibri"/>
                <w:color w:val="000000"/>
              </w:rPr>
            </w:pPr>
          </w:p>
        </w:tc>
        <w:tc>
          <w:tcPr>
            <w:tcW w:w="1494" w:type="pct"/>
            <w:vAlign w:val="center"/>
          </w:tcPr>
          <w:p w14:paraId="72D4B208" w14:textId="77777777" w:rsidR="00C20AAC" w:rsidRPr="00C76853" w:rsidRDefault="00C20AAC" w:rsidP="00E06EF8">
            <w:pPr>
              <w:spacing w:after="0" w:line="240" w:lineRule="auto"/>
              <w:jc w:val="center"/>
              <w:rPr>
                <w:rFonts w:cs="Calibri"/>
                <w:color w:val="000000"/>
              </w:rPr>
            </w:pPr>
          </w:p>
        </w:tc>
        <w:tc>
          <w:tcPr>
            <w:tcW w:w="557" w:type="pct"/>
            <w:vAlign w:val="center"/>
          </w:tcPr>
          <w:p w14:paraId="64BEE101" w14:textId="77777777" w:rsidR="00C20AAC" w:rsidRPr="00C76853" w:rsidRDefault="00C20AAC" w:rsidP="00E06EF8">
            <w:pPr>
              <w:spacing w:after="0" w:line="240" w:lineRule="auto"/>
              <w:jc w:val="center"/>
              <w:rPr>
                <w:rFonts w:cs="Calibri"/>
                <w:color w:val="000000"/>
              </w:rPr>
            </w:pPr>
          </w:p>
        </w:tc>
        <w:tc>
          <w:tcPr>
            <w:tcW w:w="657" w:type="pct"/>
            <w:vAlign w:val="center"/>
          </w:tcPr>
          <w:p w14:paraId="09CAC633" w14:textId="77777777" w:rsidR="00C20AAC" w:rsidRPr="00C76853" w:rsidRDefault="00C20AAC" w:rsidP="00E06EF8">
            <w:pPr>
              <w:spacing w:after="0" w:line="240" w:lineRule="auto"/>
              <w:jc w:val="center"/>
              <w:rPr>
                <w:rFonts w:cs="Calibri"/>
                <w:color w:val="000000"/>
              </w:rPr>
            </w:pPr>
          </w:p>
        </w:tc>
      </w:tr>
      <w:tr w:rsidR="00C20AAC" w:rsidRPr="00C76853" w14:paraId="607A5870" w14:textId="77777777" w:rsidTr="00BA1C55">
        <w:trPr>
          <w:trHeight w:val="236"/>
        </w:trPr>
        <w:tc>
          <w:tcPr>
            <w:tcW w:w="183" w:type="pct"/>
            <w:vAlign w:val="center"/>
          </w:tcPr>
          <w:p w14:paraId="12802196"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589525F2"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6CDDA66E" w14:textId="77777777" w:rsidR="00C20AAC" w:rsidRPr="00C76853" w:rsidRDefault="00C20AAC" w:rsidP="00E06EF8">
            <w:pPr>
              <w:spacing w:after="0" w:line="240" w:lineRule="auto"/>
              <w:jc w:val="center"/>
              <w:rPr>
                <w:rFonts w:cs="Calibri"/>
                <w:color w:val="000000"/>
              </w:rPr>
            </w:pPr>
          </w:p>
        </w:tc>
        <w:tc>
          <w:tcPr>
            <w:tcW w:w="423" w:type="pct"/>
            <w:vAlign w:val="center"/>
          </w:tcPr>
          <w:p w14:paraId="0E46AAEC" w14:textId="77777777" w:rsidR="00C20AAC" w:rsidRPr="00C76853" w:rsidRDefault="00C20AAC" w:rsidP="00E06EF8">
            <w:pPr>
              <w:spacing w:after="0" w:line="240" w:lineRule="auto"/>
              <w:rPr>
                <w:rFonts w:cs="Calibri"/>
                <w:color w:val="000000"/>
              </w:rPr>
            </w:pPr>
          </w:p>
        </w:tc>
        <w:tc>
          <w:tcPr>
            <w:tcW w:w="238" w:type="pct"/>
            <w:vAlign w:val="center"/>
          </w:tcPr>
          <w:p w14:paraId="4817D502" w14:textId="77777777" w:rsidR="00C20AAC" w:rsidRPr="00C76853" w:rsidRDefault="00C20AAC" w:rsidP="00C20AAC">
            <w:pPr>
              <w:spacing w:after="0" w:line="240" w:lineRule="auto"/>
              <w:jc w:val="center"/>
              <w:rPr>
                <w:rFonts w:cs="Calibri"/>
                <w:color w:val="000000"/>
              </w:rPr>
            </w:pPr>
          </w:p>
        </w:tc>
        <w:tc>
          <w:tcPr>
            <w:tcW w:w="199" w:type="pct"/>
            <w:vAlign w:val="center"/>
          </w:tcPr>
          <w:p w14:paraId="55538D2F" w14:textId="77777777" w:rsidR="00C20AAC" w:rsidRPr="00C76853" w:rsidRDefault="00C20AAC" w:rsidP="00C20AAC">
            <w:pPr>
              <w:spacing w:after="0" w:line="240" w:lineRule="auto"/>
              <w:jc w:val="center"/>
              <w:rPr>
                <w:rFonts w:cs="Calibri"/>
                <w:color w:val="000000"/>
              </w:rPr>
            </w:pPr>
          </w:p>
        </w:tc>
        <w:tc>
          <w:tcPr>
            <w:tcW w:w="299" w:type="pct"/>
            <w:vAlign w:val="center"/>
          </w:tcPr>
          <w:p w14:paraId="015C2DA7" w14:textId="77777777" w:rsidR="00C20AAC" w:rsidRPr="00C76853" w:rsidRDefault="00C20AAC" w:rsidP="00C20AAC">
            <w:pPr>
              <w:spacing w:after="0" w:line="240" w:lineRule="auto"/>
              <w:jc w:val="center"/>
              <w:rPr>
                <w:rFonts w:cs="Calibri"/>
                <w:color w:val="000000"/>
              </w:rPr>
            </w:pPr>
          </w:p>
        </w:tc>
        <w:tc>
          <w:tcPr>
            <w:tcW w:w="1494" w:type="pct"/>
            <w:vAlign w:val="center"/>
          </w:tcPr>
          <w:p w14:paraId="48501085" w14:textId="77777777" w:rsidR="00C20AAC" w:rsidRPr="00C76853" w:rsidRDefault="00C20AAC" w:rsidP="00E06EF8">
            <w:pPr>
              <w:spacing w:after="0" w:line="240" w:lineRule="auto"/>
              <w:jc w:val="center"/>
              <w:rPr>
                <w:rFonts w:cs="Calibri"/>
                <w:color w:val="000000"/>
              </w:rPr>
            </w:pPr>
          </w:p>
        </w:tc>
        <w:tc>
          <w:tcPr>
            <w:tcW w:w="557" w:type="pct"/>
            <w:vAlign w:val="center"/>
          </w:tcPr>
          <w:p w14:paraId="4296A8A4" w14:textId="77777777" w:rsidR="00C20AAC" w:rsidRPr="00C76853" w:rsidRDefault="00C20AAC" w:rsidP="00E06EF8">
            <w:pPr>
              <w:spacing w:after="0" w:line="240" w:lineRule="auto"/>
              <w:jc w:val="center"/>
              <w:rPr>
                <w:rFonts w:cs="Calibri"/>
                <w:color w:val="000000"/>
              </w:rPr>
            </w:pPr>
          </w:p>
        </w:tc>
        <w:tc>
          <w:tcPr>
            <w:tcW w:w="657" w:type="pct"/>
            <w:vAlign w:val="center"/>
          </w:tcPr>
          <w:p w14:paraId="28D07738" w14:textId="77777777" w:rsidR="00C20AAC" w:rsidRPr="00C76853" w:rsidRDefault="00C20AAC" w:rsidP="00E06EF8">
            <w:pPr>
              <w:spacing w:after="0" w:line="240" w:lineRule="auto"/>
              <w:jc w:val="center"/>
              <w:rPr>
                <w:rFonts w:cs="Calibri"/>
                <w:color w:val="000000"/>
              </w:rPr>
            </w:pPr>
          </w:p>
        </w:tc>
      </w:tr>
      <w:tr w:rsidR="00C20AAC" w:rsidRPr="00C76853" w14:paraId="1F751768" w14:textId="77777777" w:rsidTr="00BA1C55">
        <w:trPr>
          <w:trHeight w:val="236"/>
        </w:trPr>
        <w:tc>
          <w:tcPr>
            <w:tcW w:w="183" w:type="pct"/>
            <w:vAlign w:val="center"/>
          </w:tcPr>
          <w:p w14:paraId="509FAA43"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1853A38F"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5BB668E8" w14:textId="77777777" w:rsidR="00C20AAC" w:rsidRPr="00C76853" w:rsidRDefault="00C20AAC" w:rsidP="00E06EF8">
            <w:pPr>
              <w:spacing w:after="0" w:line="240" w:lineRule="auto"/>
              <w:jc w:val="center"/>
              <w:rPr>
                <w:rFonts w:cs="Calibri"/>
                <w:color w:val="000000"/>
              </w:rPr>
            </w:pPr>
          </w:p>
        </w:tc>
        <w:tc>
          <w:tcPr>
            <w:tcW w:w="423" w:type="pct"/>
            <w:vAlign w:val="center"/>
          </w:tcPr>
          <w:p w14:paraId="7FE382D0" w14:textId="77777777" w:rsidR="00C20AAC" w:rsidRPr="00C76853" w:rsidRDefault="00C20AAC" w:rsidP="00E06EF8">
            <w:pPr>
              <w:spacing w:after="0" w:line="240" w:lineRule="auto"/>
              <w:rPr>
                <w:rFonts w:cs="Calibri"/>
                <w:color w:val="000000"/>
              </w:rPr>
            </w:pPr>
          </w:p>
        </w:tc>
        <w:tc>
          <w:tcPr>
            <w:tcW w:w="238" w:type="pct"/>
            <w:vAlign w:val="center"/>
          </w:tcPr>
          <w:p w14:paraId="561E7367" w14:textId="77777777" w:rsidR="00C20AAC" w:rsidRPr="00C76853" w:rsidRDefault="00C20AAC" w:rsidP="00C20AAC">
            <w:pPr>
              <w:spacing w:after="0" w:line="240" w:lineRule="auto"/>
              <w:jc w:val="center"/>
              <w:rPr>
                <w:rFonts w:cs="Calibri"/>
                <w:color w:val="000000"/>
              </w:rPr>
            </w:pPr>
          </w:p>
        </w:tc>
        <w:tc>
          <w:tcPr>
            <w:tcW w:w="199" w:type="pct"/>
            <w:vAlign w:val="center"/>
          </w:tcPr>
          <w:p w14:paraId="693E0A69" w14:textId="77777777" w:rsidR="00C20AAC" w:rsidRPr="00C76853" w:rsidRDefault="00C20AAC" w:rsidP="00C20AAC">
            <w:pPr>
              <w:spacing w:after="0" w:line="240" w:lineRule="auto"/>
              <w:jc w:val="center"/>
              <w:rPr>
                <w:rFonts w:cs="Calibri"/>
                <w:color w:val="000000"/>
              </w:rPr>
            </w:pPr>
          </w:p>
        </w:tc>
        <w:tc>
          <w:tcPr>
            <w:tcW w:w="299" w:type="pct"/>
            <w:vAlign w:val="center"/>
          </w:tcPr>
          <w:p w14:paraId="0C224FBD" w14:textId="77777777" w:rsidR="00C20AAC" w:rsidRPr="00C76853" w:rsidRDefault="00C20AAC" w:rsidP="00C20AAC">
            <w:pPr>
              <w:spacing w:after="0" w:line="240" w:lineRule="auto"/>
              <w:jc w:val="center"/>
              <w:rPr>
                <w:rFonts w:cs="Calibri"/>
                <w:color w:val="000000"/>
              </w:rPr>
            </w:pPr>
          </w:p>
        </w:tc>
        <w:tc>
          <w:tcPr>
            <w:tcW w:w="1494" w:type="pct"/>
            <w:vAlign w:val="center"/>
          </w:tcPr>
          <w:p w14:paraId="1B59C73A" w14:textId="77777777" w:rsidR="00C20AAC" w:rsidRPr="00C76853" w:rsidRDefault="00C20AAC" w:rsidP="00E06EF8">
            <w:pPr>
              <w:spacing w:after="0" w:line="240" w:lineRule="auto"/>
              <w:jc w:val="center"/>
              <w:rPr>
                <w:rFonts w:cs="Calibri"/>
                <w:color w:val="000000"/>
              </w:rPr>
            </w:pPr>
          </w:p>
        </w:tc>
        <w:tc>
          <w:tcPr>
            <w:tcW w:w="557" w:type="pct"/>
            <w:vAlign w:val="center"/>
          </w:tcPr>
          <w:p w14:paraId="5E3CAD12" w14:textId="77777777" w:rsidR="00C20AAC" w:rsidRPr="00C76853" w:rsidRDefault="00C20AAC" w:rsidP="00E06EF8">
            <w:pPr>
              <w:spacing w:after="0" w:line="240" w:lineRule="auto"/>
              <w:jc w:val="center"/>
              <w:rPr>
                <w:rFonts w:cs="Calibri"/>
                <w:color w:val="000000"/>
              </w:rPr>
            </w:pPr>
          </w:p>
        </w:tc>
        <w:tc>
          <w:tcPr>
            <w:tcW w:w="657" w:type="pct"/>
            <w:vAlign w:val="center"/>
          </w:tcPr>
          <w:p w14:paraId="58C883CC" w14:textId="77777777" w:rsidR="00C20AAC" w:rsidRPr="00C76853" w:rsidRDefault="00C20AAC" w:rsidP="00E06EF8">
            <w:pPr>
              <w:spacing w:after="0" w:line="240" w:lineRule="auto"/>
              <w:jc w:val="center"/>
              <w:rPr>
                <w:rFonts w:cs="Calibri"/>
                <w:color w:val="000000"/>
              </w:rPr>
            </w:pPr>
          </w:p>
        </w:tc>
      </w:tr>
      <w:tr w:rsidR="00C20AAC" w:rsidRPr="00C76853" w14:paraId="0B0127E7" w14:textId="77777777" w:rsidTr="00BA1C55">
        <w:trPr>
          <w:trHeight w:val="236"/>
        </w:trPr>
        <w:tc>
          <w:tcPr>
            <w:tcW w:w="183" w:type="pct"/>
            <w:vAlign w:val="center"/>
          </w:tcPr>
          <w:p w14:paraId="6A0FB2A4"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774530D1"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346EA9B4" w14:textId="77777777" w:rsidR="00C20AAC" w:rsidRPr="00C76853" w:rsidRDefault="00C20AAC" w:rsidP="00E06EF8">
            <w:pPr>
              <w:spacing w:after="0" w:line="240" w:lineRule="auto"/>
              <w:jc w:val="center"/>
              <w:rPr>
                <w:rFonts w:cs="Calibri"/>
                <w:color w:val="000000"/>
              </w:rPr>
            </w:pPr>
          </w:p>
        </w:tc>
        <w:tc>
          <w:tcPr>
            <w:tcW w:w="423" w:type="pct"/>
            <w:vAlign w:val="center"/>
          </w:tcPr>
          <w:p w14:paraId="147127E6" w14:textId="77777777" w:rsidR="00C20AAC" w:rsidRPr="00C76853" w:rsidRDefault="00C20AAC" w:rsidP="00E06EF8">
            <w:pPr>
              <w:spacing w:after="0" w:line="240" w:lineRule="auto"/>
              <w:rPr>
                <w:rFonts w:cs="Calibri"/>
                <w:color w:val="000000"/>
              </w:rPr>
            </w:pPr>
          </w:p>
        </w:tc>
        <w:tc>
          <w:tcPr>
            <w:tcW w:w="238" w:type="pct"/>
            <w:vAlign w:val="center"/>
          </w:tcPr>
          <w:p w14:paraId="54145D4C" w14:textId="77777777" w:rsidR="00C20AAC" w:rsidRPr="00C76853" w:rsidRDefault="00C20AAC" w:rsidP="00C20AAC">
            <w:pPr>
              <w:spacing w:after="0" w:line="240" w:lineRule="auto"/>
              <w:jc w:val="center"/>
              <w:rPr>
                <w:rFonts w:cs="Calibri"/>
                <w:color w:val="000000"/>
              </w:rPr>
            </w:pPr>
          </w:p>
        </w:tc>
        <w:tc>
          <w:tcPr>
            <w:tcW w:w="199" w:type="pct"/>
            <w:vAlign w:val="center"/>
          </w:tcPr>
          <w:p w14:paraId="2C4C1609" w14:textId="77777777" w:rsidR="00C20AAC" w:rsidRPr="00C76853" w:rsidRDefault="00C20AAC" w:rsidP="00C20AAC">
            <w:pPr>
              <w:spacing w:after="0" w:line="240" w:lineRule="auto"/>
              <w:jc w:val="center"/>
              <w:rPr>
                <w:rFonts w:cs="Calibri"/>
                <w:color w:val="000000"/>
              </w:rPr>
            </w:pPr>
          </w:p>
        </w:tc>
        <w:tc>
          <w:tcPr>
            <w:tcW w:w="299" w:type="pct"/>
            <w:vAlign w:val="center"/>
          </w:tcPr>
          <w:p w14:paraId="7DF6208C" w14:textId="77777777" w:rsidR="00C20AAC" w:rsidRPr="00C76853" w:rsidRDefault="00C20AAC" w:rsidP="00C20AAC">
            <w:pPr>
              <w:spacing w:after="0" w:line="240" w:lineRule="auto"/>
              <w:jc w:val="center"/>
              <w:rPr>
                <w:rFonts w:cs="Calibri"/>
                <w:color w:val="000000"/>
              </w:rPr>
            </w:pPr>
          </w:p>
        </w:tc>
        <w:tc>
          <w:tcPr>
            <w:tcW w:w="1494" w:type="pct"/>
            <w:vAlign w:val="center"/>
          </w:tcPr>
          <w:p w14:paraId="664B8D6C" w14:textId="77777777" w:rsidR="00C20AAC" w:rsidRPr="00C76853" w:rsidRDefault="00C20AAC" w:rsidP="00E06EF8">
            <w:pPr>
              <w:spacing w:after="0" w:line="240" w:lineRule="auto"/>
              <w:jc w:val="center"/>
              <w:rPr>
                <w:rFonts w:cs="Calibri"/>
                <w:color w:val="000000"/>
              </w:rPr>
            </w:pPr>
          </w:p>
        </w:tc>
        <w:tc>
          <w:tcPr>
            <w:tcW w:w="557" w:type="pct"/>
            <w:vAlign w:val="center"/>
          </w:tcPr>
          <w:p w14:paraId="7B7D5E18" w14:textId="77777777" w:rsidR="00C20AAC" w:rsidRPr="00C76853" w:rsidRDefault="00C20AAC" w:rsidP="00E06EF8">
            <w:pPr>
              <w:spacing w:after="0" w:line="240" w:lineRule="auto"/>
              <w:jc w:val="center"/>
              <w:rPr>
                <w:rFonts w:cs="Calibri"/>
                <w:color w:val="000000"/>
              </w:rPr>
            </w:pPr>
          </w:p>
        </w:tc>
        <w:tc>
          <w:tcPr>
            <w:tcW w:w="657" w:type="pct"/>
            <w:vAlign w:val="center"/>
          </w:tcPr>
          <w:p w14:paraId="138FB436" w14:textId="77777777" w:rsidR="00C20AAC" w:rsidRPr="00C76853" w:rsidRDefault="00C20AAC" w:rsidP="00E06EF8">
            <w:pPr>
              <w:spacing w:after="0" w:line="240" w:lineRule="auto"/>
              <w:jc w:val="center"/>
              <w:rPr>
                <w:rFonts w:cs="Calibri"/>
                <w:color w:val="000000"/>
              </w:rPr>
            </w:pPr>
          </w:p>
        </w:tc>
      </w:tr>
      <w:tr w:rsidR="00C20AAC" w:rsidRPr="00C76853" w14:paraId="15D32B2E" w14:textId="77777777" w:rsidTr="00BA1C55">
        <w:trPr>
          <w:trHeight w:val="236"/>
        </w:trPr>
        <w:tc>
          <w:tcPr>
            <w:tcW w:w="183" w:type="pct"/>
            <w:vAlign w:val="center"/>
          </w:tcPr>
          <w:p w14:paraId="466489CE"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1A078937"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2E27D39B" w14:textId="77777777" w:rsidR="00C20AAC" w:rsidRPr="00C76853" w:rsidRDefault="00C20AAC" w:rsidP="00E06EF8">
            <w:pPr>
              <w:spacing w:after="0" w:line="240" w:lineRule="auto"/>
              <w:jc w:val="center"/>
              <w:rPr>
                <w:rFonts w:cs="Calibri"/>
                <w:color w:val="000000"/>
              </w:rPr>
            </w:pPr>
          </w:p>
        </w:tc>
        <w:tc>
          <w:tcPr>
            <w:tcW w:w="423" w:type="pct"/>
            <w:vAlign w:val="center"/>
          </w:tcPr>
          <w:p w14:paraId="48EDA5DE" w14:textId="77777777" w:rsidR="00C20AAC" w:rsidRPr="00C76853" w:rsidRDefault="00C20AAC" w:rsidP="00E06EF8">
            <w:pPr>
              <w:spacing w:after="0" w:line="240" w:lineRule="auto"/>
              <w:rPr>
                <w:rFonts w:cs="Calibri"/>
                <w:color w:val="000000"/>
              </w:rPr>
            </w:pPr>
          </w:p>
        </w:tc>
        <w:tc>
          <w:tcPr>
            <w:tcW w:w="238" w:type="pct"/>
            <w:vAlign w:val="center"/>
          </w:tcPr>
          <w:p w14:paraId="60011734" w14:textId="77777777" w:rsidR="00C20AAC" w:rsidRPr="00C76853" w:rsidRDefault="00C20AAC" w:rsidP="00C20AAC">
            <w:pPr>
              <w:spacing w:after="0" w:line="240" w:lineRule="auto"/>
              <w:jc w:val="center"/>
              <w:rPr>
                <w:rFonts w:cs="Calibri"/>
                <w:color w:val="000000"/>
              </w:rPr>
            </w:pPr>
          </w:p>
        </w:tc>
        <w:tc>
          <w:tcPr>
            <w:tcW w:w="199" w:type="pct"/>
            <w:vAlign w:val="center"/>
          </w:tcPr>
          <w:p w14:paraId="24E412C3" w14:textId="77777777" w:rsidR="00C20AAC" w:rsidRPr="00C76853" w:rsidRDefault="00C20AAC" w:rsidP="00C20AAC">
            <w:pPr>
              <w:spacing w:after="0" w:line="240" w:lineRule="auto"/>
              <w:jc w:val="center"/>
              <w:rPr>
                <w:rFonts w:cs="Calibri"/>
                <w:color w:val="000000"/>
              </w:rPr>
            </w:pPr>
          </w:p>
        </w:tc>
        <w:tc>
          <w:tcPr>
            <w:tcW w:w="299" w:type="pct"/>
            <w:vAlign w:val="center"/>
          </w:tcPr>
          <w:p w14:paraId="5CB099C1" w14:textId="77777777" w:rsidR="00C20AAC" w:rsidRPr="00C76853" w:rsidRDefault="00C20AAC" w:rsidP="00C20AAC">
            <w:pPr>
              <w:spacing w:after="0" w:line="240" w:lineRule="auto"/>
              <w:jc w:val="center"/>
              <w:rPr>
                <w:rFonts w:cs="Calibri"/>
                <w:color w:val="000000"/>
              </w:rPr>
            </w:pPr>
          </w:p>
        </w:tc>
        <w:tc>
          <w:tcPr>
            <w:tcW w:w="1494" w:type="pct"/>
            <w:vAlign w:val="center"/>
          </w:tcPr>
          <w:p w14:paraId="7E0775EC" w14:textId="77777777" w:rsidR="00C20AAC" w:rsidRPr="00C76853" w:rsidRDefault="00C20AAC" w:rsidP="00E06EF8">
            <w:pPr>
              <w:spacing w:after="0" w:line="240" w:lineRule="auto"/>
              <w:jc w:val="center"/>
              <w:rPr>
                <w:rFonts w:cs="Calibri"/>
                <w:color w:val="000000"/>
              </w:rPr>
            </w:pPr>
          </w:p>
        </w:tc>
        <w:tc>
          <w:tcPr>
            <w:tcW w:w="557" w:type="pct"/>
            <w:vAlign w:val="center"/>
          </w:tcPr>
          <w:p w14:paraId="7F43E5C0" w14:textId="77777777" w:rsidR="00C20AAC" w:rsidRPr="00C76853" w:rsidRDefault="00C20AAC" w:rsidP="00E06EF8">
            <w:pPr>
              <w:spacing w:after="0" w:line="240" w:lineRule="auto"/>
              <w:jc w:val="center"/>
              <w:rPr>
                <w:rFonts w:cs="Calibri"/>
                <w:color w:val="000000"/>
              </w:rPr>
            </w:pPr>
          </w:p>
        </w:tc>
        <w:tc>
          <w:tcPr>
            <w:tcW w:w="657" w:type="pct"/>
            <w:vAlign w:val="center"/>
          </w:tcPr>
          <w:p w14:paraId="6AD2033D" w14:textId="77777777" w:rsidR="00C20AAC" w:rsidRPr="00C76853" w:rsidRDefault="00C20AAC" w:rsidP="00E06EF8">
            <w:pPr>
              <w:spacing w:after="0" w:line="240" w:lineRule="auto"/>
              <w:jc w:val="center"/>
              <w:rPr>
                <w:rFonts w:cs="Calibri"/>
                <w:color w:val="000000"/>
              </w:rPr>
            </w:pPr>
          </w:p>
        </w:tc>
      </w:tr>
      <w:tr w:rsidR="00C20AAC" w:rsidRPr="00C76853" w14:paraId="0CAEE832" w14:textId="77777777" w:rsidTr="00BA1C55">
        <w:trPr>
          <w:trHeight w:val="236"/>
        </w:trPr>
        <w:tc>
          <w:tcPr>
            <w:tcW w:w="183" w:type="pct"/>
            <w:vAlign w:val="center"/>
          </w:tcPr>
          <w:p w14:paraId="612C4C77"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7B7E5961"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3937CA83" w14:textId="77777777" w:rsidR="00C20AAC" w:rsidRPr="00C76853" w:rsidRDefault="00C20AAC" w:rsidP="00E06EF8">
            <w:pPr>
              <w:spacing w:after="0" w:line="240" w:lineRule="auto"/>
              <w:jc w:val="center"/>
              <w:rPr>
                <w:rFonts w:cs="Calibri"/>
                <w:color w:val="000000"/>
              </w:rPr>
            </w:pPr>
          </w:p>
        </w:tc>
        <w:tc>
          <w:tcPr>
            <w:tcW w:w="423" w:type="pct"/>
            <w:vAlign w:val="center"/>
          </w:tcPr>
          <w:p w14:paraId="2C60C933" w14:textId="77777777" w:rsidR="00C20AAC" w:rsidRPr="00C76853" w:rsidRDefault="00C20AAC" w:rsidP="00E06EF8">
            <w:pPr>
              <w:spacing w:after="0" w:line="240" w:lineRule="auto"/>
              <w:rPr>
                <w:rFonts w:cs="Calibri"/>
                <w:color w:val="000000"/>
              </w:rPr>
            </w:pPr>
          </w:p>
        </w:tc>
        <w:tc>
          <w:tcPr>
            <w:tcW w:w="238" w:type="pct"/>
            <w:vAlign w:val="center"/>
          </w:tcPr>
          <w:p w14:paraId="1813798E" w14:textId="77777777" w:rsidR="00C20AAC" w:rsidRPr="00C76853" w:rsidRDefault="00C20AAC" w:rsidP="00C20AAC">
            <w:pPr>
              <w:spacing w:after="0" w:line="240" w:lineRule="auto"/>
              <w:jc w:val="center"/>
              <w:rPr>
                <w:rFonts w:cs="Calibri"/>
                <w:color w:val="000000"/>
              </w:rPr>
            </w:pPr>
          </w:p>
        </w:tc>
        <w:tc>
          <w:tcPr>
            <w:tcW w:w="199" w:type="pct"/>
            <w:vAlign w:val="center"/>
          </w:tcPr>
          <w:p w14:paraId="3E2AEFC3" w14:textId="77777777" w:rsidR="00C20AAC" w:rsidRPr="00C76853" w:rsidRDefault="00C20AAC" w:rsidP="00C20AAC">
            <w:pPr>
              <w:spacing w:after="0" w:line="240" w:lineRule="auto"/>
              <w:jc w:val="center"/>
              <w:rPr>
                <w:rFonts w:cs="Calibri"/>
                <w:color w:val="000000"/>
              </w:rPr>
            </w:pPr>
          </w:p>
        </w:tc>
        <w:tc>
          <w:tcPr>
            <w:tcW w:w="299" w:type="pct"/>
            <w:vAlign w:val="center"/>
          </w:tcPr>
          <w:p w14:paraId="103CE801" w14:textId="77777777" w:rsidR="00C20AAC" w:rsidRPr="00C76853" w:rsidRDefault="00C20AAC" w:rsidP="00C20AAC">
            <w:pPr>
              <w:spacing w:after="0" w:line="240" w:lineRule="auto"/>
              <w:jc w:val="center"/>
              <w:rPr>
                <w:rFonts w:cs="Calibri"/>
                <w:color w:val="000000"/>
              </w:rPr>
            </w:pPr>
          </w:p>
        </w:tc>
        <w:tc>
          <w:tcPr>
            <w:tcW w:w="1494" w:type="pct"/>
            <w:vAlign w:val="center"/>
          </w:tcPr>
          <w:p w14:paraId="0B9D31E1" w14:textId="77777777" w:rsidR="00C20AAC" w:rsidRPr="00C76853" w:rsidRDefault="00C20AAC" w:rsidP="00E06EF8">
            <w:pPr>
              <w:spacing w:after="0" w:line="240" w:lineRule="auto"/>
              <w:jc w:val="center"/>
              <w:rPr>
                <w:rFonts w:cs="Calibri"/>
                <w:color w:val="000000"/>
              </w:rPr>
            </w:pPr>
          </w:p>
        </w:tc>
        <w:tc>
          <w:tcPr>
            <w:tcW w:w="557" w:type="pct"/>
            <w:vAlign w:val="center"/>
          </w:tcPr>
          <w:p w14:paraId="288F2B1A" w14:textId="77777777" w:rsidR="00C20AAC" w:rsidRPr="00C76853" w:rsidRDefault="00C20AAC" w:rsidP="00E06EF8">
            <w:pPr>
              <w:spacing w:after="0" w:line="240" w:lineRule="auto"/>
              <w:jc w:val="center"/>
              <w:rPr>
                <w:rFonts w:cs="Calibri"/>
                <w:color w:val="000000"/>
              </w:rPr>
            </w:pPr>
          </w:p>
        </w:tc>
        <w:tc>
          <w:tcPr>
            <w:tcW w:w="657" w:type="pct"/>
            <w:vAlign w:val="center"/>
          </w:tcPr>
          <w:p w14:paraId="17755E4A" w14:textId="77777777" w:rsidR="00C20AAC" w:rsidRPr="00C76853" w:rsidRDefault="00C20AAC" w:rsidP="00E06EF8">
            <w:pPr>
              <w:spacing w:after="0" w:line="240" w:lineRule="auto"/>
              <w:jc w:val="center"/>
              <w:rPr>
                <w:rFonts w:cs="Calibri"/>
                <w:color w:val="000000"/>
              </w:rPr>
            </w:pPr>
          </w:p>
        </w:tc>
      </w:tr>
      <w:tr w:rsidR="00C20AAC" w:rsidRPr="00C76853" w14:paraId="1F35C511" w14:textId="77777777" w:rsidTr="00BA1C55">
        <w:trPr>
          <w:trHeight w:val="236"/>
        </w:trPr>
        <w:tc>
          <w:tcPr>
            <w:tcW w:w="183" w:type="pct"/>
            <w:vAlign w:val="center"/>
          </w:tcPr>
          <w:p w14:paraId="2D0E7931"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1F4C1B07"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45B5A74C" w14:textId="77777777" w:rsidR="00C20AAC" w:rsidRPr="00C76853" w:rsidRDefault="00C20AAC" w:rsidP="00E06EF8">
            <w:pPr>
              <w:spacing w:after="0" w:line="240" w:lineRule="auto"/>
              <w:jc w:val="center"/>
              <w:rPr>
                <w:rFonts w:cs="Calibri"/>
                <w:color w:val="000000"/>
              </w:rPr>
            </w:pPr>
          </w:p>
        </w:tc>
        <w:tc>
          <w:tcPr>
            <w:tcW w:w="423" w:type="pct"/>
            <w:vAlign w:val="center"/>
          </w:tcPr>
          <w:p w14:paraId="64DFDA96" w14:textId="77777777" w:rsidR="00C20AAC" w:rsidRPr="00C76853" w:rsidRDefault="00C20AAC" w:rsidP="00E06EF8">
            <w:pPr>
              <w:spacing w:after="0" w:line="240" w:lineRule="auto"/>
              <w:rPr>
                <w:rFonts w:cs="Calibri"/>
                <w:color w:val="000000"/>
              </w:rPr>
            </w:pPr>
          </w:p>
        </w:tc>
        <w:tc>
          <w:tcPr>
            <w:tcW w:w="238" w:type="pct"/>
            <w:vAlign w:val="center"/>
          </w:tcPr>
          <w:p w14:paraId="7AD18D5F" w14:textId="77777777" w:rsidR="00C20AAC" w:rsidRPr="00C76853" w:rsidRDefault="00C20AAC" w:rsidP="00C20AAC">
            <w:pPr>
              <w:spacing w:after="0" w:line="240" w:lineRule="auto"/>
              <w:jc w:val="center"/>
              <w:rPr>
                <w:rFonts w:cs="Calibri"/>
                <w:color w:val="000000"/>
              </w:rPr>
            </w:pPr>
          </w:p>
        </w:tc>
        <w:tc>
          <w:tcPr>
            <w:tcW w:w="199" w:type="pct"/>
            <w:vAlign w:val="center"/>
          </w:tcPr>
          <w:p w14:paraId="54297065" w14:textId="77777777" w:rsidR="00C20AAC" w:rsidRPr="00C76853" w:rsidRDefault="00C20AAC" w:rsidP="00C20AAC">
            <w:pPr>
              <w:spacing w:after="0" w:line="240" w:lineRule="auto"/>
              <w:jc w:val="center"/>
              <w:rPr>
                <w:rFonts w:cs="Calibri"/>
                <w:color w:val="000000"/>
              </w:rPr>
            </w:pPr>
          </w:p>
        </w:tc>
        <w:tc>
          <w:tcPr>
            <w:tcW w:w="299" w:type="pct"/>
            <w:vAlign w:val="center"/>
          </w:tcPr>
          <w:p w14:paraId="54C9A855" w14:textId="77777777" w:rsidR="00C20AAC" w:rsidRPr="00C76853" w:rsidRDefault="00C20AAC" w:rsidP="00C20AAC">
            <w:pPr>
              <w:spacing w:after="0" w:line="240" w:lineRule="auto"/>
              <w:jc w:val="center"/>
              <w:rPr>
                <w:rFonts w:cs="Calibri"/>
                <w:color w:val="000000"/>
              </w:rPr>
            </w:pPr>
          </w:p>
        </w:tc>
        <w:tc>
          <w:tcPr>
            <w:tcW w:w="1494" w:type="pct"/>
            <w:vAlign w:val="center"/>
          </w:tcPr>
          <w:p w14:paraId="574BB652" w14:textId="77777777" w:rsidR="00C20AAC" w:rsidRPr="00C76853" w:rsidRDefault="00C20AAC" w:rsidP="00E06EF8">
            <w:pPr>
              <w:spacing w:after="0" w:line="240" w:lineRule="auto"/>
              <w:jc w:val="center"/>
              <w:rPr>
                <w:rFonts w:cs="Calibri"/>
                <w:color w:val="000000"/>
              </w:rPr>
            </w:pPr>
          </w:p>
        </w:tc>
        <w:tc>
          <w:tcPr>
            <w:tcW w:w="557" w:type="pct"/>
            <w:vAlign w:val="center"/>
          </w:tcPr>
          <w:p w14:paraId="0E9E41C8" w14:textId="77777777" w:rsidR="00C20AAC" w:rsidRPr="00C76853" w:rsidRDefault="00C20AAC" w:rsidP="00E06EF8">
            <w:pPr>
              <w:spacing w:after="0" w:line="240" w:lineRule="auto"/>
              <w:jc w:val="center"/>
              <w:rPr>
                <w:rFonts w:cs="Calibri"/>
                <w:color w:val="000000"/>
              </w:rPr>
            </w:pPr>
          </w:p>
        </w:tc>
        <w:tc>
          <w:tcPr>
            <w:tcW w:w="657" w:type="pct"/>
            <w:vAlign w:val="center"/>
          </w:tcPr>
          <w:p w14:paraId="684E4EE6" w14:textId="77777777" w:rsidR="00C20AAC" w:rsidRPr="00C76853" w:rsidRDefault="00C20AAC" w:rsidP="00E06EF8">
            <w:pPr>
              <w:spacing w:after="0" w:line="240" w:lineRule="auto"/>
              <w:jc w:val="center"/>
              <w:rPr>
                <w:rFonts w:cs="Calibri"/>
                <w:color w:val="000000"/>
              </w:rPr>
            </w:pPr>
          </w:p>
        </w:tc>
      </w:tr>
      <w:tr w:rsidR="00C20AAC" w:rsidRPr="00C76853" w14:paraId="75EB2F9A" w14:textId="77777777" w:rsidTr="00BA1C55">
        <w:trPr>
          <w:trHeight w:val="236"/>
        </w:trPr>
        <w:tc>
          <w:tcPr>
            <w:tcW w:w="183" w:type="pct"/>
            <w:vAlign w:val="center"/>
          </w:tcPr>
          <w:p w14:paraId="6CD5EC26"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65D158E0"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2B4B78F2" w14:textId="77777777" w:rsidR="00C20AAC" w:rsidRPr="00C76853" w:rsidRDefault="00C20AAC" w:rsidP="00E06EF8">
            <w:pPr>
              <w:spacing w:after="0" w:line="240" w:lineRule="auto"/>
              <w:jc w:val="center"/>
              <w:rPr>
                <w:rFonts w:cs="Calibri"/>
                <w:color w:val="000000"/>
              </w:rPr>
            </w:pPr>
          </w:p>
        </w:tc>
        <w:tc>
          <w:tcPr>
            <w:tcW w:w="423" w:type="pct"/>
            <w:vAlign w:val="center"/>
          </w:tcPr>
          <w:p w14:paraId="096BA127" w14:textId="77777777" w:rsidR="00C20AAC" w:rsidRPr="00C76853" w:rsidRDefault="00C20AAC" w:rsidP="00E06EF8">
            <w:pPr>
              <w:spacing w:after="0" w:line="240" w:lineRule="auto"/>
              <w:rPr>
                <w:rFonts w:cs="Calibri"/>
                <w:color w:val="000000"/>
              </w:rPr>
            </w:pPr>
          </w:p>
        </w:tc>
        <w:tc>
          <w:tcPr>
            <w:tcW w:w="238" w:type="pct"/>
            <w:vAlign w:val="center"/>
          </w:tcPr>
          <w:p w14:paraId="0112025B" w14:textId="77777777" w:rsidR="00C20AAC" w:rsidRPr="00C76853" w:rsidRDefault="00C20AAC" w:rsidP="00C20AAC">
            <w:pPr>
              <w:spacing w:after="0" w:line="240" w:lineRule="auto"/>
              <w:jc w:val="center"/>
              <w:rPr>
                <w:rFonts w:cs="Calibri"/>
                <w:color w:val="000000"/>
              </w:rPr>
            </w:pPr>
          </w:p>
        </w:tc>
        <w:tc>
          <w:tcPr>
            <w:tcW w:w="199" w:type="pct"/>
            <w:vAlign w:val="center"/>
          </w:tcPr>
          <w:p w14:paraId="2AF0FE7A" w14:textId="77777777" w:rsidR="00C20AAC" w:rsidRPr="00C76853" w:rsidRDefault="00C20AAC" w:rsidP="00C20AAC">
            <w:pPr>
              <w:spacing w:after="0" w:line="240" w:lineRule="auto"/>
              <w:jc w:val="center"/>
              <w:rPr>
                <w:rFonts w:cs="Calibri"/>
                <w:color w:val="000000"/>
              </w:rPr>
            </w:pPr>
          </w:p>
        </w:tc>
        <w:tc>
          <w:tcPr>
            <w:tcW w:w="299" w:type="pct"/>
            <w:vAlign w:val="center"/>
          </w:tcPr>
          <w:p w14:paraId="7A5F689B" w14:textId="77777777" w:rsidR="00C20AAC" w:rsidRPr="00C76853" w:rsidRDefault="00C20AAC" w:rsidP="00C20AAC">
            <w:pPr>
              <w:spacing w:after="0" w:line="240" w:lineRule="auto"/>
              <w:jc w:val="center"/>
              <w:rPr>
                <w:rFonts w:cs="Calibri"/>
                <w:color w:val="000000"/>
              </w:rPr>
            </w:pPr>
          </w:p>
        </w:tc>
        <w:tc>
          <w:tcPr>
            <w:tcW w:w="1494" w:type="pct"/>
            <w:vAlign w:val="center"/>
          </w:tcPr>
          <w:p w14:paraId="393D094B" w14:textId="77777777" w:rsidR="00C20AAC" w:rsidRPr="00C76853" w:rsidRDefault="00C20AAC" w:rsidP="00E06EF8">
            <w:pPr>
              <w:spacing w:after="0" w:line="240" w:lineRule="auto"/>
              <w:jc w:val="center"/>
              <w:rPr>
                <w:rFonts w:cs="Calibri"/>
                <w:color w:val="000000"/>
              </w:rPr>
            </w:pPr>
          </w:p>
        </w:tc>
        <w:tc>
          <w:tcPr>
            <w:tcW w:w="557" w:type="pct"/>
            <w:vAlign w:val="center"/>
          </w:tcPr>
          <w:p w14:paraId="759A5198" w14:textId="77777777" w:rsidR="00C20AAC" w:rsidRPr="00C76853" w:rsidRDefault="00C20AAC" w:rsidP="00E06EF8">
            <w:pPr>
              <w:spacing w:after="0" w:line="240" w:lineRule="auto"/>
              <w:jc w:val="center"/>
              <w:rPr>
                <w:rFonts w:cs="Calibri"/>
                <w:color w:val="000000"/>
              </w:rPr>
            </w:pPr>
          </w:p>
        </w:tc>
        <w:tc>
          <w:tcPr>
            <w:tcW w:w="657" w:type="pct"/>
            <w:vAlign w:val="center"/>
          </w:tcPr>
          <w:p w14:paraId="3C391BC5" w14:textId="77777777" w:rsidR="00C20AAC" w:rsidRPr="00C76853" w:rsidRDefault="00C20AAC" w:rsidP="00E06EF8">
            <w:pPr>
              <w:spacing w:after="0" w:line="240" w:lineRule="auto"/>
              <w:jc w:val="center"/>
              <w:rPr>
                <w:rFonts w:cs="Calibri"/>
                <w:color w:val="000000"/>
              </w:rPr>
            </w:pPr>
          </w:p>
        </w:tc>
      </w:tr>
      <w:tr w:rsidR="00C20AAC" w:rsidRPr="00C76853" w14:paraId="7BF3B682" w14:textId="77777777" w:rsidTr="00BA1C55">
        <w:trPr>
          <w:trHeight w:val="236"/>
        </w:trPr>
        <w:tc>
          <w:tcPr>
            <w:tcW w:w="183" w:type="pct"/>
            <w:vAlign w:val="center"/>
          </w:tcPr>
          <w:p w14:paraId="5A8E1B62"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18BD62EF"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3489269E" w14:textId="77777777" w:rsidR="00C20AAC" w:rsidRPr="00C76853" w:rsidRDefault="00C20AAC" w:rsidP="00E06EF8">
            <w:pPr>
              <w:spacing w:after="0" w:line="240" w:lineRule="auto"/>
              <w:jc w:val="center"/>
              <w:rPr>
                <w:rFonts w:cs="Calibri"/>
                <w:color w:val="000000"/>
              </w:rPr>
            </w:pPr>
          </w:p>
        </w:tc>
        <w:tc>
          <w:tcPr>
            <w:tcW w:w="423" w:type="pct"/>
            <w:vAlign w:val="center"/>
          </w:tcPr>
          <w:p w14:paraId="0C9B534B" w14:textId="77777777" w:rsidR="00C20AAC" w:rsidRPr="00C76853" w:rsidRDefault="00C20AAC" w:rsidP="00E06EF8">
            <w:pPr>
              <w:spacing w:after="0" w:line="240" w:lineRule="auto"/>
              <w:rPr>
                <w:rFonts w:cs="Calibri"/>
                <w:color w:val="000000"/>
              </w:rPr>
            </w:pPr>
          </w:p>
        </w:tc>
        <w:tc>
          <w:tcPr>
            <w:tcW w:w="238" w:type="pct"/>
            <w:vAlign w:val="center"/>
          </w:tcPr>
          <w:p w14:paraId="3DD71A32" w14:textId="77777777" w:rsidR="00C20AAC" w:rsidRPr="00C76853" w:rsidRDefault="00C20AAC" w:rsidP="00C20AAC">
            <w:pPr>
              <w:spacing w:after="0" w:line="240" w:lineRule="auto"/>
              <w:jc w:val="center"/>
              <w:rPr>
                <w:rFonts w:cs="Calibri"/>
                <w:color w:val="000000"/>
              </w:rPr>
            </w:pPr>
          </w:p>
        </w:tc>
        <w:tc>
          <w:tcPr>
            <w:tcW w:w="199" w:type="pct"/>
            <w:vAlign w:val="center"/>
          </w:tcPr>
          <w:p w14:paraId="0014C19E" w14:textId="77777777" w:rsidR="00C20AAC" w:rsidRPr="00C76853" w:rsidRDefault="00C20AAC" w:rsidP="00C20AAC">
            <w:pPr>
              <w:spacing w:after="0" w:line="240" w:lineRule="auto"/>
              <w:jc w:val="center"/>
              <w:rPr>
                <w:rFonts w:cs="Calibri"/>
                <w:color w:val="000000"/>
              </w:rPr>
            </w:pPr>
          </w:p>
        </w:tc>
        <w:tc>
          <w:tcPr>
            <w:tcW w:w="299" w:type="pct"/>
            <w:vAlign w:val="center"/>
          </w:tcPr>
          <w:p w14:paraId="37546885" w14:textId="77777777" w:rsidR="00C20AAC" w:rsidRPr="00C76853" w:rsidRDefault="00C20AAC" w:rsidP="00C20AAC">
            <w:pPr>
              <w:spacing w:after="0" w:line="240" w:lineRule="auto"/>
              <w:jc w:val="center"/>
              <w:rPr>
                <w:rFonts w:cs="Calibri"/>
                <w:color w:val="000000"/>
              </w:rPr>
            </w:pPr>
          </w:p>
        </w:tc>
        <w:tc>
          <w:tcPr>
            <w:tcW w:w="1494" w:type="pct"/>
            <w:vAlign w:val="center"/>
          </w:tcPr>
          <w:p w14:paraId="3C3A90E8" w14:textId="77777777" w:rsidR="00C20AAC" w:rsidRPr="00C76853" w:rsidRDefault="00C20AAC" w:rsidP="00E06EF8">
            <w:pPr>
              <w:spacing w:after="0" w:line="240" w:lineRule="auto"/>
              <w:jc w:val="center"/>
              <w:rPr>
                <w:rFonts w:cs="Calibri"/>
                <w:color w:val="000000"/>
              </w:rPr>
            </w:pPr>
          </w:p>
        </w:tc>
        <w:tc>
          <w:tcPr>
            <w:tcW w:w="557" w:type="pct"/>
            <w:vAlign w:val="center"/>
          </w:tcPr>
          <w:p w14:paraId="2DD5EC8C" w14:textId="77777777" w:rsidR="00C20AAC" w:rsidRPr="00C76853" w:rsidRDefault="00C20AAC" w:rsidP="00E06EF8">
            <w:pPr>
              <w:spacing w:after="0" w:line="240" w:lineRule="auto"/>
              <w:jc w:val="center"/>
              <w:rPr>
                <w:rFonts w:cs="Calibri"/>
                <w:color w:val="000000"/>
              </w:rPr>
            </w:pPr>
          </w:p>
        </w:tc>
        <w:tc>
          <w:tcPr>
            <w:tcW w:w="657" w:type="pct"/>
            <w:vAlign w:val="center"/>
          </w:tcPr>
          <w:p w14:paraId="02E08FA7" w14:textId="77777777" w:rsidR="00C20AAC" w:rsidRPr="00C76853" w:rsidRDefault="00C20AAC" w:rsidP="00E06EF8">
            <w:pPr>
              <w:spacing w:after="0" w:line="240" w:lineRule="auto"/>
              <w:jc w:val="center"/>
              <w:rPr>
                <w:rFonts w:cs="Calibri"/>
                <w:color w:val="000000"/>
              </w:rPr>
            </w:pPr>
          </w:p>
        </w:tc>
      </w:tr>
      <w:tr w:rsidR="00C20AAC" w:rsidRPr="00C76853" w14:paraId="45DB4AAD" w14:textId="77777777" w:rsidTr="00BA1C55">
        <w:trPr>
          <w:trHeight w:val="236"/>
        </w:trPr>
        <w:tc>
          <w:tcPr>
            <w:tcW w:w="183" w:type="pct"/>
            <w:vAlign w:val="center"/>
          </w:tcPr>
          <w:p w14:paraId="4FAD85F3"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4EF89B43"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326926F7" w14:textId="77777777" w:rsidR="00C20AAC" w:rsidRPr="00C76853" w:rsidRDefault="00C20AAC" w:rsidP="00E06EF8">
            <w:pPr>
              <w:spacing w:after="0" w:line="240" w:lineRule="auto"/>
              <w:jc w:val="center"/>
              <w:rPr>
                <w:rFonts w:cs="Calibri"/>
                <w:color w:val="000000"/>
              </w:rPr>
            </w:pPr>
          </w:p>
        </w:tc>
        <w:tc>
          <w:tcPr>
            <w:tcW w:w="423" w:type="pct"/>
            <w:vAlign w:val="center"/>
          </w:tcPr>
          <w:p w14:paraId="0708B277" w14:textId="77777777" w:rsidR="00C20AAC" w:rsidRPr="00C76853" w:rsidRDefault="00C20AAC" w:rsidP="00E06EF8">
            <w:pPr>
              <w:spacing w:after="0" w:line="240" w:lineRule="auto"/>
              <w:rPr>
                <w:rFonts w:cs="Calibri"/>
                <w:color w:val="000000"/>
              </w:rPr>
            </w:pPr>
          </w:p>
        </w:tc>
        <w:tc>
          <w:tcPr>
            <w:tcW w:w="238" w:type="pct"/>
            <w:vAlign w:val="center"/>
          </w:tcPr>
          <w:p w14:paraId="73B345CF" w14:textId="77777777" w:rsidR="00C20AAC" w:rsidRPr="00C76853" w:rsidRDefault="00C20AAC" w:rsidP="00C20AAC">
            <w:pPr>
              <w:spacing w:after="0" w:line="240" w:lineRule="auto"/>
              <w:jc w:val="center"/>
              <w:rPr>
                <w:rFonts w:cs="Calibri"/>
                <w:color w:val="000000"/>
              </w:rPr>
            </w:pPr>
          </w:p>
        </w:tc>
        <w:tc>
          <w:tcPr>
            <w:tcW w:w="199" w:type="pct"/>
            <w:vAlign w:val="center"/>
          </w:tcPr>
          <w:p w14:paraId="3F8A1A73" w14:textId="77777777" w:rsidR="00C20AAC" w:rsidRPr="00C76853" w:rsidRDefault="00C20AAC" w:rsidP="00C20AAC">
            <w:pPr>
              <w:spacing w:after="0" w:line="240" w:lineRule="auto"/>
              <w:jc w:val="center"/>
              <w:rPr>
                <w:rFonts w:cs="Calibri"/>
                <w:color w:val="000000"/>
              </w:rPr>
            </w:pPr>
          </w:p>
        </w:tc>
        <w:tc>
          <w:tcPr>
            <w:tcW w:w="299" w:type="pct"/>
            <w:vAlign w:val="center"/>
          </w:tcPr>
          <w:p w14:paraId="3025782F" w14:textId="77777777" w:rsidR="00C20AAC" w:rsidRPr="00C76853" w:rsidRDefault="00C20AAC" w:rsidP="00C20AAC">
            <w:pPr>
              <w:spacing w:after="0" w:line="240" w:lineRule="auto"/>
              <w:jc w:val="center"/>
              <w:rPr>
                <w:rFonts w:cs="Calibri"/>
                <w:color w:val="000000"/>
              </w:rPr>
            </w:pPr>
          </w:p>
        </w:tc>
        <w:tc>
          <w:tcPr>
            <w:tcW w:w="1494" w:type="pct"/>
            <w:vAlign w:val="center"/>
          </w:tcPr>
          <w:p w14:paraId="288064B7" w14:textId="77777777" w:rsidR="00C20AAC" w:rsidRPr="00C76853" w:rsidRDefault="00C20AAC" w:rsidP="00E06EF8">
            <w:pPr>
              <w:spacing w:after="0" w:line="240" w:lineRule="auto"/>
              <w:jc w:val="center"/>
              <w:rPr>
                <w:rFonts w:cs="Calibri"/>
                <w:color w:val="000000"/>
              </w:rPr>
            </w:pPr>
          </w:p>
        </w:tc>
        <w:tc>
          <w:tcPr>
            <w:tcW w:w="557" w:type="pct"/>
            <w:vAlign w:val="center"/>
          </w:tcPr>
          <w:p w14:paraId="60A47873" w14:textId="77777777" w:rsidR="00C20AAC" w:rsidRPr="00C76853" w:rsidRDefault="00C20AAC" w:rsidP="00E06EF8">
            <w:pPr>
              <w:spacing w:after="0" w:line="240" w:lineRule="auto"/>
              <w:jc w:val="center"/>
              <w:rPr>
                <w:rFonts w:cs="Calibri"/>
                <w:color w:val="000000"/>
              </w:rPr>
            </w:pPr>
          </w:p>
        </w:tc>
        <w:tc>
          <w:tcPr>
            <w:tcW w:w="657" w:type="pct"/>
            <w:vAlign w:val="center"/>
          </w:tcPr>
          <w:p w14:paraId="20ADC7EB" w14:textId="77777777" w:rsidR="00C20AAC" w:rsidRPr="00C76853" w:rsidRDefault="00C20AAC" w:rsidP="00E06EF8">
            <w:pPr>
              <w:spacing w:after="0" w:line="240" w:lineRule="auto"/>
              <w:jc w:val="center"/>
              <w:rPr>
                <w:rFonts w:cs="Calibri"/>
                <w:color w:val="000000"/>
              </w:rPr>
            </w:pPr>
          </w:p>
        </w:tc>
      </w:tr>
      <w:tr w:rsidR="00C20AAC" w:rsidRPr="00C76853" w14:paraId="578F5ECE" w14:textId="77777777" w:rsidTr="00BA1C55">
        <w:trPr>
          <w:trHeight w:val="236"/>
        </w:trPr>
        <w:tc>
          <w:tcPr>
            <w:tcW w:w="183" w:type="pct"/>
            <w:vAlign w:val="center"/>
          </w:tcPr>
          <w:p w14:paraId="08CCB38E"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301106DC"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1840E936" w14:textId="77777777" w:rsidR="00C20AAC" w:rsidRPr="00C76853" w:rsidRDefault="00C20AAC" w:rsidP="00E06EF8">
            <w:pPr>
              <w:spacing w:after="0" w:line="240" w:lineRule="auto"/>
              <w:jc w:val="center"/>
              <w:rPr>
                <w:rFonts w:cs="Calibri"/>
                <w:color w:val="000000"/>
              </w:rPr>
            </w:pPr>
          </w:p>
        </w:tc>
        <w:tc>
          <w:tcPr>
            <w:tcW w:w="423" w:type="pct"/>
            <w:vAlign w:val="center"/>
          </w:tcPr>
          <w:p w14:paraId="0D3F7471" w14:textId="77777777" w:rsidR="00C20AAC" w:rsidRPr="00C76853" w:rsidRDefault="00C20AAC" w:rsidP="00E06EF8">
            <w:pPr>
              <w:spacing w:after="0" w:line="240" w:lineRule="auto"/>
              <w:rPr>
                <w:rFonts w:cs="Calibri"/>
                <w:color w:val="000000"/>
              </w:rPr>
            </w:pPr>
          </w:p>
        </w:tc>
        <w:tc>
          <w:tcPr>
            <w:tcW w:w="238" w:type="pct"/>
            <w:vAlign w:val="center"/>
          </w:tcPr>
          <w:p w14:paraId="5662D2E3" w14:textId="77777777" w:rsidR="00C20AAC" w:rsidRPr="00C76853" w:rsidRDefault="00C20AAC" w:rsidP="00C20AAC">
            <w:pPr>
              <w:spacing w:after="0" w:line="240" w:lineRule="auto"/>
              <w:jc w:val="center"/>
              <w:rPr>
                <w:rFonts w:cs="Calibri"/>
                <w:color w:val="000000"/>
              </w:rPr>
            </w:pPr>
          </w:p>
        </w:tc>
        <w:tc>
          <w:tcPr>
            <w:tcW w:w="199" w:type="pct"/>
            <w:vAlign w:val="center"/>
          </w:tcPr>
          <w:p w14:paraId="28414561" w14:textId="77777777" w:rsidR="00C20AAC" w:rsidRPr="00C76853" w:rsidRDefault="00C20AAC" w:rsidP="00C20AAC">
            <w:pPr>
              <w:spacing w:after="0" w:line="240" w:lineRule="auto"/>
              <w:jc w:val="center"/>
              <w:rPr>
                <w:rFonts w:cs="Calibri"/>
                <w:color w:val="000000"/>
              </w:rPr>
            </w:pPr>
          </w:p>
        </w:tc>
        <w:tc>
          <w:tcPr>
            <w:tcW w:w="299" w:type="pct"/>
            <w:vAlign w:val="center"/>
          </w:tcPr>
          <w:p w14:paraId="6B0F57D4" w14:textId="77777777" w:rsidR="00C20AAC" w:rsidRPr="00C76853" w:rsidRDefault="00C20AAC" w:rsidP="00C20AAC">
            <w:pPr>
              <w:spacing w:after="0" w:line="240" w:lineRule="auto"/>
              <w:jc w:val="center"/>
              <w:rPr>
                <w:rFonts w:cs="Calibri"/>
                <w:color w:val="000000"/>
              </w:rPr>
            </w:pPr>
          </w:p>
        </w:tc>
        <w:tc>
          <w:tcPr>
            <w:tcW w:w="1494" w:type="pct"/>
            <w:vAlign w:val="center"/>
          </w:tcPr>
          <w:p w14:paraId="46A945B1" w14:textId="77777777" w:rsidR="00C20AAC" w:rsidRPr="00C76853" w:rsidRDefault="00C20AAC" w:rsidP="00E06EF8">
            <w:pPr>
              <w:spacing w:after="0" w:line="240" w:lineRule="auto"/>
              <w:jc w:val="center"/>
              <w:rPr>
                <w:rFonts w:cs="Calibri"/>
                <w:color w:val="000000"/>
              </w:rPr>
            </w:pPr>
          </w:p>
        </w:tc>
        <w:tc>
          <w:tcPr>
            <w:tcW w:w="557" w:type="pct"/>
            <w:vAlign w:val="center"/>
          </w:tcPr>
          <w:p w14:paraId="66E383DF" w14:textId="77777777" w:rsidR="00C20AAC" w:rsidRPr="00C76853" w:rsidRDefault="00C20AAC" w:rsidP="00E06EF8">
            <w:pPr>
              <w:spacing w:after="0" w:line="240" w:lineRule="auto"/>
              <w:jc w:val="center"/>
              <w:rPr>
                <w:rFonts w:cs="Calibri"/>
                <w:color w:val="000000"/>
              </w:rPr>
            </w:pPr>
          </w:p>
        </w:tc>
        <w:tc>
          <w:tcPr>
            <w:tcW w:w="657" w:type="pct"/>
            <w:vAlign w:val="center"/>
          </w:tcPr>
          <w:p w14:paraId="4146E36B" w14:textId="77777777" w:rsidR="00C20AAC" w:rsidRPr="00C76853" w:rsidRDefault="00C20AAC" w:rsidP="00E06EF8">
            <w:pPr>
              <w:spacing w:after="0" w:line="240" w:lineRule="auto"/>
              <w:jc w:val="center"/>
              <w:rPr>
                <w:rFonts w:cs="Calibri"/>
                <w:color w:val="000000"/>
              </w:rPr>
            </w:pPr>
          </w:p>
        </w:tc>
      </w:tr>
      <w:tr w:rsidR="00C20AAC" w:rsidRPr="00C76853" w14:paraId="64A6863A" w14:textId="77777777" w:rsidTr="00BA1C55">
        <w:trPr>
          <w:trHeight w:val="236"/>
        </w:trPr>
        <w:tc>
          <w:tcPr>
            <w:tcW w:w="183" w:type="pct"/>
            <w:vAlign w:val="center"/>
          </w:tcPr>
          <w:p w14:paraId="3234E3FF" w14:textId="77777777" w:rsidR="00C20AAC" w:rsidRPr="00C76853" w:rsidRDefault="00C20AAC" w:rsidP="00E06EF8">
            <w:pPr>
              <w:pStyle w:val="ColorfulList-Accent11"/>
              <w:numPr>
                <w:ilvl w:val="0"/>
                <w:numId w:val="5"/>
              </w:numPr>
              <w:spacing w:after="0" w:line="240" w:lineRule="auto"/>
              <w:ind w:left="0" w:firstLine="0"/>
              <w:rPr>
                <w:rFonts w:cs="Calibri"/>
                <w:color w:val="000000"/>
              </w:rPr>
            </w:pPr>
          </w:p>
        </w:tc>
        <w:tc>
          <w:tcPr>
            <w:tcW w:w="474" w:type="pct"/>
            <w:vAlign w:val="center"/>
          </w:tcPr>
          <w:p w14:paraId="321B7B57" w14:textId="77777777" w:rsidR="00C20AAC" w:rsidRPr="00C76853" w:rsidRDefault="00C20AAC" w:rsidP="00E06EF8">
            <w:pPr>
              <w:spacing w:after="0" w:line="240" w:lineRule="auto"/>
              <w:jc w:val="center"/>
              <w:rPr>
                <w:rFonts w:cs="Calibri"/>
                <w:color w:val="000000"/>
              </w:rPr>
            </w:pPr>
          </w:p>
        </w:tc>
        <w:tc>
          <w:tcPr>
            <w:tcW w:w="475" w:type="pct"/>
            <w:noWrap/>
            <w:vAlign w:val="center"/>
          </w:tcPr>
          <w:p w14:paraId="635779F1" w14:textId="77777777" w:rsidR="00C20AAC" w:rsidRPr="00C76853" w:rsidRDefault="00C20AAC" w:rsidP="00E06EF8">
            <w:pPr>
              <w:spacing w:after="0" w:line="240" w:lineRule="auto"/>
              <w:jc w:val="center"/>
              <w:rPr>
                <w:rFonts w:cs="Calibri"/>
                <w:color w:val="000000"/>
              </w:rPr>
            </w:pPr>
          </w:p>
        </w:tc>
        <w:tc>
          <w:tcPr>
            <w:tcW w:w="423" w:type="pct"/>
            <w:vAlign w:val="center"/>
          </w:tcPr>
          <w:p w14:paraId="2DEDFB60" w14:textId="77777777" w:rsidR="00C20AAC" w:rsidRPr="00C76853" w:rsidRDefault="00C20AAC" w:rsidP="00E06EF8">
            <w:pPr>
              <w:spacing w:after="0" w:line="240" w:lineRule="auto"/>
              <w:rPr>
                <w:rFonts w:cs="Calibri"/>
                <w:color w:val="000000"/>
              </w:rPr>
            </w:pPr>
          </w:p>
        </w:tc>
        <w:tc>
          <w:tcPr>
            <w:tcW w:w="238" w:type="pct"/>
            <w:vAlign w:val="center"/>
          </w:tcPr>
          <w:p w14:paraId="1DD17023" w14:textId="77777777" w:rsidR="00C20AAC" w:rsidRPr="00C76853" w:rsidRDefault="00C20AAC" w:rsidP="00C20AAC">
            <w:pPr>
              <w:spacing w:after="0" w:line="240" w:lineRule="auto"/>
              <w:jc w:val="center"/>
              <w:rPr>
                <w:rFonts w:cs="Calibri"/>
                <w:color w:val="000000"/>
              </w:rPr>
            </w:pPr>
          </w:p>
        </w:tc>
        <w:tc>
          <w:tcPr>
            <w:tcW w:w="199" w:type="pct"/>
            <w:vAlign w:val="center"/>
          </w:tcPr>
          <w:p w14:paraId="06C7B587" w14:textId="77777777" w:rsidR="00C20AAC" w:rsidRPr="00C76853" w:rsidRDefault="00C20AAC" w:rsidP="00C20AAC">
            <w:pPr>
              <w:spacing w:after="0" w:line="240" w:lineRule="auto"/>
              <w:jc w:val="center"/>
              <w:rPr>
                <w:rFonts w:cs="Calibri"/>
                <w:color w:val="000000"/>
              </w:rPr>
            </w:pPr>
          </w:p>
        </w:tc>
        <w:tc>
          <w:tcPr>
            <w:tcW w:w="299" w:type="pct"/>
            <w:vAlign w:val="center"/>
          </w:tcPr>
          <w:p w14:paraId="368BA21C" w14:textId="77777777" w:rsidR="00C20AAC" w:rsidRPr="00C76853" w:rsidRDefault="00C20AAC" w:rsidP="00C20AAC">
            <w:pPr>
              <w:spacing w:after="0" w:line="240" w:lineRule="auto"/>
              <w:jc w:val="center"/>
              <w:rPr>
                <w:rFonts w:cs="Calibri"/>
                <w:color w:val="000000"/>
              </w:rPr>
            </w:pPr>
          </w:p>
        </w:tc>
        <w:tc>
          <w:tcPr>
            <w:tcW w:w="1494" w:type="pct"/>
            <w:vAlign w:val="center"/>
          </w:tcPr>
          <w:p w14:paraId="25D6CA24" w14:textId="77777777" w:rsidR="00C20AAC" w:rsidRPr="00C76853" w:rsidRDefault="00C20AAC" w:rsidP="00E06EF8">
            <w:pPr>
              <w:spacing w:after="0" w:line="240" w:lineRule="auto"/>
              <w:jc w:val="center"/>
              <w:rPr>
                <w:rFonts w:cs="Calibri"/>
                <w:color w:val="000000"/>
              </w:rPr>
            </w:pPr>
          </w:p>
        </w:tc>
        <w:tc>
          <w:tcPr>
            <w:tcW w:w="557" w:type="pct"/>
            <w:vAlign w:val="center"/>
          </w:tcPr>
          <w:p w14:paraId="3C1582DF" w14:textId="77777777" w:rsidR="00C20AAC" w:rsidRPr="00C76853" w:rsidRDefault="00C20AAC" w:rsidP="00E06EF8">
            <w:pPr>
              <w:spacing w:after="0" w:line="240" w:lineRule="auto"/>
              <w:jc w:val="center"/>
              <w:rPr>
                <w:rFonts w:cs="Calibri"/>
                <w:color w:val="000000"/>
              </w:rPr>
            </w:pPr>
          </w:p>
        </w:tc>
        <w:tc>
          <w:tcPr>
            <w:tcW w:w="657" w:type="pct"/>
            <w:vAlign w:val="center"/>
          </w:tcPr>
          <w:p w14:paraId="204A7CE8" w14:textId="77777777" w:rsidR="00C20AAC" w:rsidRPr="00C76853" w:rsidRDefault="00C20AAC" w:rsidP="00E06EF8">
            <w:pPr>
              <w:spacing w:after="0" w:line="240" w:lineRule="auto"/>
              <w:jc w:val="center"/>
              <w:rPr>
                <w:rFonts w:cs="Calibri"/>
                <w:color w:val="000000"/>
              </w:rPr>
            </w:pPr>
          </w:p>
        </w:tc>
      </w:tr>
      <w:tr w:rsidR="00DB2B20" w:rsidRPr="00C76853" w14:paraId="68CECD10" w14:textId="77777777" w:rsidTr="00BA1C55">
        <w:trPr>
          <w:trHeight w:val="236"/>
        </w:trPr>
        <w:tc>
          <w:tcPr>
            <w:tcW w:w="1556" w:type="pct"/>
            <w:gridSpan w:val="4"/>
            <w:vAlign w:val="center"/>
          </w:tcPr>
          <w:p w14:paraId="637856E1" w14:textId="77777777" w:rsidR="00DB2B20" w:rsidRPr="00C76853" w:rsidRDefault="00DB2B20" w:rsidP="00E06EF8">
            <w:pPr>
              <w:spacing w:after="0" w:line="240" w:lineRule="auto"/>
              <w:rPr>
                <w:rFonts w:cs="Calibri"/>
                <w:b/>
                <w:color w:val="000000"/>
              </w:rPr>
            </w:pPr>
            <w:r w:rsidRPr="00C76853">
              <w:rPr>
                <w:rFonts w:cs="Calibri"/>
                <w:b/>
                <w:color w:val="000000"/>
              </w:rPr>
              <w:t>Totals:</w:t>
            </w:r>
          </w:p>
        </w:tc>
        <w:tc>
          <w:tcPr>
            <w:tcW w:w="238" w:type="pct"/>
            <w:vAlign w:val="center"/>
          </w:tcPr>
          <w:p w14:paraId="1AA9E097" w14:textId="77777777" w:rsidR="00DB2B20" w:rsidRPr="00C76853" w:rsidRDefault="00DB2B20" w:rsidP="00C20AAC">
            <w:pPr>
              <w:spacing w:after="0" w:line="240" w:lineRule="auto"/>
              <w:jc w:val="center"/>
              <w:rPr>
                <w:rFonts w:cs="Calibri"/>
                <w:color w:val="000000"/>
              </w:rPr>
            </w:pPr>
          </w:p>
        </w:tc>
        <w:tc>
          <w:tcPr>
            <w:tcW w:w="199" w:type="pct"/>
            <w:vAlign w:val="center"/>
          </w:tcPr>
          <w:p w14:paraId="0219B516" w14:textId="77777777" w:rsidR="00DB2B20" w:rsidRPr="00C76853" w:rsidRDefault="00DB2B20" w:rsidP="00C20AAC">
            <w:pPr>
              <w:spacing w:after="0" w:line="240" w:lineRule="auto"/>
              <w:jc w:val="center"/>
              <w:rPr>
                <w:rFonts w:cs="Calibri"/>
                <w:color w:val="000000"/>
              </w:rPr>
            </w:pPr>
          </w:p>
        </w:tc>
        <w:tc>
          <w:tcPr>
            <w:tcW w:w="299" w:type="pct"/>
            <w:vAlign w:val="center"/>
          </w:tcPr>
          <w:p w14:paraId="2F44B142" w14:textId="77777777" w:rsidR="00DB2B20" w:rsidRPr="00C76853" w:rsidRDefault="00DB2B20" w:rsidP="00C20AAC">
            <w:pPr>
              <w:spacing w:after="0" w:line="240" w:lineRule="auto"/>
              <w:jc w:val="center"/>
              <w:rPr>
                <w:rFonts w:cs="Calibri"/>
                <w:color w:val="000000"/>
              </w:rPr>
            </w:pPr>
          </w:p>
        </w:tc>
        <w:tc>
          <w:tcPr>
            <w:tcW w:w="1494" w:type="pct"/>
            <w:vAlign w:val="center"/>
          </w:tcPr>
          <w:p w14:paraId="79510785" w14:textId="77777777" w:rsidR="00DB2B20" w:rsidRPr="00C76853" w:rsidRDefault="00DB2B20" w:rsidP="00E06EF8">
            <w:pPr>
              <w:spacing w:after="0" w:line="240" w:lineRule="auto"/>
              <w:jc w:val="center"/>
              <w:rPr>
                <w:rFonts w:cs="Calibri"/>
                <w:color w:val="000000"/>
              </w:rPr>
            </w:pPr>
          </w:p>
        </w:tc>
        <w:tc>
          <w:tcPr>
            <w:tcW w:w="557" w:type="pct"/>
            <w:vAlign w:val="center"/>
          </w:tcPr>
          <w:p w14:paraId="349A624B" w14:textId="77777777" w:rsidR="00DB2B20" w:rsidRPr="00C76853" w:rsidRDefault="00DB2B20" w:rsidP="00E06EF8">
            <w:pPr>
              <w:spacing w:after="0" w:line="240" w:lineRule="auto"/>
              <w:jc w:val="center"/>
              <w:rPr>
                <w:rFonts w:cs="Calibri"/>
                <w:color w:val="000000"/>
              </w:rPr>
            </w:pPr>
          </w:p>
        </w:tc>
        <w:tc>
          <w:tcPr>
            <w:tcW w:w="657" w:type="pct"/>
            <w:vAlign w:val="center"/>
          </w:tcPr>
          <w:p w14:paraId="21B99D28" w14:textId="77777777" w:rsidR="00DB2B20" w:rsidRPr="00C76853" w:rsidRDefault="00DB2B20" w:rsidP="00E06EF8">
            <w:pPr>
              <w:spacing w:after="0" w:line="240" w:lineRule="auto"/>
              <w:jc w:val="center"/>
              <w:rPr>
                <w:rFonts w:cs="Calibri"/>
                <w:color w:val="000000"/>
              </w:rPr>
            </w:pPr>
          </w:p>
        </w:tc>
      </w:tr>
    </w:tbl>
    <w:p w14:paraId="609DCE3B" w14:textId="77777777" w:rsidR="0074325D" w:rsidRPr="00C76853" w:rsidRDefault="0074325D" w:rsidP="00F81551">
      <w:pPr>
        <w:rPr>
          <w:rFonts w:cs="Calibri"/>
          <w:sz w:val="21"/>
          <w:szCs w:val="21"/>
        </w:rPr>
      </w:pPr>
    </w:p>
    <w:p w14:paraId="20FD8B19" w14:textId="77777777" w:rsidR="00212A8E" w:rsidRPr="00C76853" w:rsidRDefault="00212A8E">
      <w:pPr>
        <w:rPr>
          <w:rFonts w:cs="Calibri"/>
          <w:sz w:val="21"/>
          <w:szCs w:val="21"/>
        </w:rPr>
      </w:pPr>
    </w:p>
    <w:sectPr w:rsidR="00212A8E" w:rsidRPr="00C76853" w:rsidSect="00DE3C56">
      <w:pgSz w:w="15840" w:h="12240" w:orient="landscape"/>
      <w:pgMar w:top="1440" w:right="1224" w:bottom="1440" w:left="1282" w:header="56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7AFA" w14:textId="77777777" w:rsidR="000E754C" w:rsidRDefault="000E754C" w:rsidP="008D5653">
      <w:pPr>
        <w:spacing w:after="0" w:line="240" w:lineRule="auto"/>
      </w:pPr>
      <w:r>
        <w:separator/>
      </w:r>
    </w:p>
  </w:endnote>
  <w:endnote w:type="continuationSeparator" w:id="0">
    <w:p w14:paraId="7862276A" w14:textId="77777777" w:rsidR="000E754C" w:rsidRDefault="000E754C" w:rsidP="008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4536" w14:textId="77777777" w:rsidR="00991A8E" w:rsidRDefault="00991A8E">
    <w:pPr>
      <w:pStyle w:val="Footer"/>
    </w:pPr>
    <w:r>
      <w:fldChar w:fldCharType="begin"/>
    </w:r>
    <w:r>
      <w:instrText xml:space="preserve"> PAGE   \* MERGEFORMAT </w:instrText>
    </w:r>
    <w:r>
      <w:fldChar w:fldCharType="separate"/>
    </w:r>
    <w:r w:rsidR="000564FE">
      <w:rPr>
        <w:noProof/>
      </w:rPr>
      <w:t>6</w:t>
    </w:r>
    <w:r>
      <w:rPr>
        <w:noProof/>
      </w:rPr>
      <w:fldChar w:fldCharType="end"/>
    </w:r>
    <w:r w:rsidR="00AE488C">
      <w:rPr>
        <w:noProof/>
      </w:rPr>
      <w:tab/>
    </w:r>
    <w:r w:rsidR="00AE488C">
      <w:rPr>
        <w:noProof/>
      </w:rPr>
      <w:tab/>
      <w:t xml:space="preserve">Rev. </w:t>
    </w:r>
    <w:r w:rsidR="003A2BA5">
      <w:rPr>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9DF3" w14:textId="77777777" w:rsidR="000E754C" w:rsidRDefault="000E754C" w:rsidP="008D5653">
      <w:pPr>
        <w:spacing w:after="0" w:line="240" w:lineRule="auto"/>
      </w:pPr>
      <w:r>
        <w:separator/>
      </w:r>
    </w:p>
  </w:footnote>
  <w:footnote w:type="continuationSeparator" w:id="0">
    <w:p w14:paraId="3FBDC0C7" w14:textId="77777777" w:rsidR="000E754C" w:rsidRDefault="000E754C" w:rsidP="008D5653">
      <w:pPr>
        <w:spacing w:after="0" w:line="240" w:lineRule="auto"/>
      </w:pPr>
      <w:r>
        <w:continuationSeparator/>
      </w:r>
    </w:p>
  </w:footnote>
  <w:footnote w:id="1">
    <w:p w14:paraId="72B9FD99" w14:textId="77777777" w:rsidR="00D72DAA" w:rsidRPr="00175BE9" w:rsidRDefault="00D72DAA" w:rsidP="007D4633">
      <w:pPr>
        <w:pStyle w:val="FootnoteText"/>
        <w:rPr>
          <w:lang w:val="en-GB"/>
        </w:rPr>
      </w:pPr>
      <w:r>
        <w:rPr>
          <w:rStyle w:val="FootnoteReference"/>
        </w:rPr>
        <w:footnoteRef/>
      </w:r>
      <w:r>
        <w:t xml:space="preserve"> </w:t>
      </w:r>
      <w:r w:rsidRPr="00401ED8">
        <w:rPr>
          <w:b/>
          <w:u w:val="single"/>
        </w:rPr>
        <w:t>Uncertified expenditures</w:t>
      </w:r>
      <w:r w:rsidRPr="00175BE9">
        <w:t>. Certified annual expenditures can be found in the Annual Financial Report of MPTF Office (</w:t>
      </w:r>
      <w:hyperlink r:id="rId1" w:history="1">
        <w:r w:rsidRPr="00175BE9">
          <w:rPr>
            <w:rStyle w:val="Hyperlink"/>
            <w:color w:val="auto"/>
          </w:rPr>
          <w:t>http://mptf.undp.org/factsheet/fund/4SO00</w:t>
        </w:r>
      </w:hyperlink>
      <w:r w:rsidRPr="00175BE9">
        <w:t xml:space="preserve"> )</w:t>
      </w:r>
      <w:r>
        <w:t xml:space="preserve">       </w:t>
      </w:r>
    </w:p>
  </w:footnote>
  <w:footnote w:id="2">
    <w:p w14:paraId="6442BFB4" w14:textId="77777777" w:rsidR="00672B93" w:rsidRPr="00076559" w:rsidRDefault="00672B93">
      <w:pPr>
        <w:pStyle w:val="FootnoteText"/>
        <w:rPr>
          <w:lang w:val="en-GB"/>
        </w:rPr>
      </w:pPr>
      <w:r>
        <w:rPr>
          <w:rStyle w:val="FootnoteReference"/>
        </w:rPr>
        <w:footnoteRef/>
      </w:r>
      <w:r>
        <w:t xml:space="preserve"> </w:t>
      </w:r>
      <w:r w:rsidRPr="00076559">
        <w:t>Fill in only the numbers or yes/no; no explanations to be given here.</w:t>
      </w:r>
    </w:p>
  </w:footnote>
  <w:footnote w:id="3">
    <w:p w14:paraId="6FC15699" w14:textId="77777777" w:rsidR="0045776B" w:rsidRPr="0045776B" w:rsidRDefault="0045776B" w:rsidP="00A56E91">
      <w:pPr>
        <w:pStyle w:val="FootnoteText"/>
        <w:jc w:val="both"/>
        <w:rPr>
          <w:lang w:val="en-IE"/>
        </w:rPr>
      </w:pPr>
      <w:r>
        <w:rPr>
          <w:rStyle w:val="FootnoteReference"/>
        </w:rPr>
        <w:footnoteRef/>
      </w:r>
      <w:r>
        <w:t xml:space="preserve"> </w:t>
      </w:r>
      <w:r>
        <w:rPr>
          <w:lang w:val="en-IE"/>
        </w:rPr>
        <w:t xml:space="preserve">Gender </w:t>
      </w:r>
      <w:r w:rsidR="003603B8">
        <w:rPr>
          <w:lang w:val="en-IE"/>
        </w:rPr>
        <w:t xml:space="preserve">Specific Outputs are those that are specifically designed to </w:t>
      </w:r>
      <w:r>
        <w:rPr>
          <w:lang w:val="en-IE"/>
        </w:rPr>
        <w:t>directly and explicitly</w:t>
      </w:r>
      <w:r w:rsidRPr="0045776B">
        <w:rPr>
          <w:lang w:val="en-IE"/>
        </w:rPr>
        <w:t xml:space="preserve"> contribut</w:t>
      </w:r>
      <w:r>
        <w:rPr>
          <w:lang w:val="en-IE"/>
        </w:rPr>
        <w:t>e</w:t>
      </w:r>
      <w:r w:rsidRPr="0045776B">
        <w:rPr>
          <w:lang w:val="en-IE"/>
        </w:rPr>
        <w:t xml:space="preserve"> to </w:t>
      </w:r>
      <w:r>
        <w:rPr>
          <w:lang w:val="en-IE"/>
        </w:rPr>
        <w:t>the promotion of G</w:t>
      </w:r>
      <w:r w:rsidRPr="0045776B">
        <w:rPr>
          <w:lang w:val="en-IE"/>
        </w:rPr>
        <w:t xml:space="preserve">ender </w:t>
      </w:r>
      <w:r>
        <w:rPr>
          <w:lang w:val="en-IE"/>
        </w:rPr>
        <w:t>E</w:t>
      </w:r>
      <w:r w:rsidRPr="0045776B">
        <w:rPr>
          <w:lang w:val="en-IE"/>
        </w:rPr>
        <w:t>quality</w:t>
      </w:r>
      <w:r>
        <w:rPr>
          <w:lang w:val="en-IE"/>
        </w:rPr>
        <w:t xml:space="preserve"> and Women’s Empowerment</w:t>
      </w:r>
      <w:r w:rsidR="004C76D5">
        <w:rPr>
          <w:lang w:val="en-IE"/>
        </w:rPr>
        <w:t>.</w:t>
      </w:r>
    </w:p>
  </w:footnote>
  <w:footnote w:id="4">
    <w:p w14:paraId="67240F3C" w14:textId="77777777" w:rsidR="0045776B" w:rsidRPr="0045776B" w:rsidRDefault="0045776B" w:rsidP="00A56E91">
      <w:pPr>
        <w:pStyle w:val="FootnoteText"/>
        <w:jc w:val="both"/>
        <w:rPr>
          <w:lang w:val="en-IE"/>
        </w:rPr>
      </w:pPr>
      <w:r>
        <w:rPr>
          <w:rStyle w:val="FootnoteReference"/>
        </w:rPr>
        <w:footnoteRef/>
      </w:r>
      <w:r>
        <w:t xml:space="preserve"> </w:t>
      </w:r>
      <w:r w:rsidRPr="0045776B">
        <w:rPr>
          <w:lang w:val="en-IE"/>
        </w:rPr>
        <w:t xml:space="preserve">Staff members are those contracted to undertaken work </w:t>
      </w:r>
      <w:r>
        <w:rPr>
          <w:lang w:val="en-IE"/>
        </w:rPr>
        <w:t xml:space="preserve">for the Joint Programme including full time staff, consultants, advisors, interns, etc. </w:t>
      </w:r>
      <w:r w:rsidR="00333991">
        <w:rPr>
          <w:lang w:val="en-IE"/>
        </w:rPr>
        <w:t>Staff members</w:t>
      </w:r>
      <w:r>
        <w:rPr>
          <w:lang w:val="en-IE"/>
        </w:rPr>
        <w:t xml:space="preserve"> with responsibility for </w:t>
      </w:r>
      <w:r w:rsidR="00333991">
        <w:rPr>
          <w:lang w:val="en-IE"/>
        </w:rPr>
        <w:t>gender issues are those who have gender related activities included in their Terms of Reference.</w:t>
      </w:r>
    </w:p>
  </w:footnote>
  <w:footnote w:id="5">
    <w:p w14:paraId="6D69611D" w14:textId="77777777" w:rsidR="00DE3C56" w:rsidRDefault="00DE3C56" w:rsidP="00DE3C56">
      <w:pPr>
        <w:pStyle w:val="FootnoteText"/>
      </w:pPr>
      <w:r>
        <w:rPr>
          <w:rStyle w:val="FootnoteReference"/>
        </w:rPr>
        <w:footnoteRef/>
      </w:r>
      <w:r>
        <w:t xml:space="preserve"> </w:t>
      </w:r>
      <w:r w:rsidRPr="00474992">
        <w:rPr>
          <w:rFonts w:ascii="Times New Roman" w:hAnsi="Times New Roman"/>
        </w:rPr>
        <w:t>Environmental; Financial; Operational; Organizational;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6CDB" w14:textId="77777777" w:rsidR="009B587B" w:rsidRPr="000147C9" w:rsidRDefault="000E754C" w:rsidP="0016201A">
    <w:pPr>
      <w:pStyle w:val="Header"/>
      <w:tabs>
        <w:tab w:val="left" w:pos="2535"/>
      </w:tabs>
      <w:jc w:val="center"/>
      <w:rPr>
        <w:sz w:val="19"/>
        <w:szCs w:val="19"/>
      </w:rPr>
    </w:pPr>
    <w:r>
      <w:rPr>
        <w:noProof/>
      </w:rPr>
      <w:pict w14:anchorId="325B4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74.5pt;height:63pt;visibility:visible" filled="t" fillcolor="#36f">
          <v:imagedata r:id="rId1" o:title="" croptop="2371f" cropbottom="10749f" cropleft="7103f" cropright="11307f"/>
        </v:shape>
      </w:pict>
    </w:r>
  </w:p>
  <w:p w14:paraId="2ACF04B2" w14:textId="77777777" w:rsidR="00E123D8" w:rsidRPr="00E123D8" w:rsidRDefault="00806C82" w:rsidP="009C4D22">
    <w:pPr>
      <w:contextualSpacing/>
      <w:jc w:val="center"/>
      <w:rPr>
        <w:rFonts w:ascii="Times New Roman" w:hAnsi="Times New Roman"/>
        <w:b/>
        <w:bCs/>
        <w:sz w:val="21"/>
        <w:szCs w:val="21"/>
      </w:rPr>
    </w:pPr>
    <w:r>
      <w:rPr>
        <w:rFonts w:ascii="Times New Roman" w:hAnsi="Times New Roman"/>
        <w:b/>
        <w:bCs/>
        <w:sz w:val="21"/>
        <w:szCs w:val="21"/>
      </w:rPr>
      <w:t xml:space="preserve">SOMALIA </w:t>
    </w:r>
    <w:r w:rsidR="00E123D8" w:rsidRPr="00E123D8">
      <w:rPr>
        <w:rFonts w:ascii="Times New Roman" w:hAnsi="Times New Roman"/>
        <w:b/>
        <w:bCs/>
        <w:sz w:val="21"/>
        <w:szCs w:val="21"/>
      </w:rPr>
      <w:t xml:space="preserve">UN </w:t>
    </w:r>
    <w:r>
      <w:rPr>
        <w:rFonts w:ascii="Times New Roman" w:hAnsi="Times New Roman"/>
        <w:b/>
        <w:bCs/>
        <w:sz w:val="21"/>
        <w:szCs w:val="21"/>
      </w:rPr>
      <w:t>MPTF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50E9"/>
    <w:multiLevelType w:val="hybridMultilevel"/>
    <w:tmpl w:val="895E56E2"/>
    <w:lvl w:ilvl="0" w:tplc="95381F50">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15:restartNumberingAfterBreak="0">
    <w:nsid w:val="11052765"/>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A1758"/>
    <w:multiLevelType w:val="hybridMultilevel"/>
    <w:tmpl w:val="79C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76827"/>
    <w:multiLevelType w:val="hybridMultilevel"/>
    <w:tmpl w:val="1FD6DE52"/>
    <w:lvl w:ilvl="0" w:tplc="0E1CC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20B09"/>
    <w:multiLevelType w:val="hybridMultilevel"/>
    <w:tmpl w:val="2EE8CDCA"/>
    <w:lvl w:ilvl="0" w:tplc="B106D170">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4133"/>
    <w:multiLevelType w:val="hybridMultilevel"/>
    <w:tmpl w:val="078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5CEE"/>
    <w:multiLevelType w:val="hybridMultilevel"/>
    <w:tmpl w:val="CF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1359B"/>
    <w:multiLevelType w:val="hybridMultilevel"/>
    <w:tmpl w:val="6E4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C1C20"/>
    <w:multiLevelType w:val="hybridMultilevel"/>
    <w:tmpl w:val="460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87E51"/>
    <w:multiLevelType w:val="hybridMultilevel"/>
    <w:tmpl w:val="48D6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E1375"/>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C6A8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55B69"/>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F332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94DAF"/>
    <w:multiLevelType w:val="hybridMultilevel"/>
    <w:tmpl w:val="41B42038"/>
    <w:lvl w:ilvl="0" w:tplc="2BC6BF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12"/>
  </w:num>
  <w:num w:numId="6">
    <w:abstractNumId w:val="0"/>
  </w:num>
  <w:num w:numId="7">
    <w:abstractNumId w:val="19"/>
  </w:num>
  <w:num w:numId="8">
    <w:abstractNumId w:val="6"/>
  </w:num>
  <w:num w:numId="9">
    <w:abstractNumId w:val="7"/>
  </w:num>
  <w:num w:numId="10">
    <w:abstractNumId w:val="18"/>
  </w:num>
  <w:num w:numId="11">
    <w:abstractNumId w:val="15"/>
  </w:num>
  <w:num w:numId="12">
    <w:abstractNumId w:val="11"/>
  </w:num>
  <w:num w:numId="13">
    <w:abstractNumId w:val="16"/>
  </w:num>
  <w:num w:numId="14">
    <w:abstractNumId w:val="13"/>
  </w:num>
  <w:num w:numId="15">
    <w:abstractNumId w:val="3"/>
  </w:num>
  <w:num w:numId="16">
    <w:abstractNumId w:val="8"/>
  </w:num>
  <w:num w:numId="17">
    <w:abstractNumId w:val="10"/>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E" w:vendorID="64" w:dllVersion="4096" w:nlCheck="1" w:checkStyle="0"/>
  <w:proofState w:spelling="clean" w:grammar="clean"/>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9A8"/>
    <w:rsid w:val="000029F5"/>
    <w:rsid w:val="000125F6"/>
    <w:rsid w:val="000152B7"/>
    <w:rsid w:val="00015FBF"/>
    <w:rsid w:val="00024B98"/>
    <w:rsid w:val="00027BF3"/>
    <w:rsid w:val="00027F93"/>
    <w:rsid w:val="00046136"/>
    <w:rsid w:val="000564FE"/>
    <w:rsid w:val="0006331D"/>
    <w:rsid w:val="00065B9A"/>
    <w:rsid w:val="00065DF7"/>
    <w:rsid w:val="00076559"/>
    <w:rsid w:val="00083033"/>
    <w:rsid w:val="0009197E"/>
    <w:rsid w:val="00093CDA"/>
    <w:rsid w:val="000A0CAA"/>
    <w:rsid w:val="000A4AFB"/>
    <w:rsid w:val="000A4D94"/>
    <w:rsid w:val="000B101E"/>
    <w:rsid w:val="000B73F3"/>
    <w:rsid w:val="000C1CB0"/>
    <w:rsid w:val="000D2C2E"/>
    <w:rsid w:val="000D4BB2"/>
    <w:rsid w:val="000D6228"/>
    <w:rsid w:val="000E754C"/>
    <w:rsid w:val="000F0429"/>
    <w:rsid w:val="000F7445"/>
    <w:rsid w:val="00122DA5"/>
    <w:rsid w:val="00123E35"/>
    <w:rsid w:val="001305E0"/>
    <w:rsid w:val="00131474"/>
    <w:rsid w:val="00144359"/>
    <w:rsid w:val="00145CBC"/>
    <w:rsid w:val="0014645F"/>
    <w:rsid w:val="0015424D"/>
    <w:rsid w:val="0016201A"/>
    <w:rsid w:val="001629F7"/>
    <w:rsid w:val="0016732A"/>
    <w:rsid w:val="00175BE9"/>
    <w:rsid w:val="0018198A"/>
    <w:rsid w:val="0018318A"/>
    <w:rsid w:val="00184E46"/>
    <w:rsid w:val="001855FB"/>
    <w:rsid w:val="001A087F"/>
    <w:rsid w:val="001A1730"/>
    <w:rsid w:val="001A1A04"/>
    <w:rsid w:val="001B1F43"/>
    <w:rsid w:val="001B65C4"/>
    <w:rsid w:val="001C5DB1"/>
    <w:rsid w:val="001D1D9B"/>
    <w:rsid w:val="001D5EB8"/>
    <w:rsid w:val="001E2959"/>
    <w:rsid w:val="001E438A"/>
    <w:rsid w:val="001F10C4"/>
    <w:rsid w:val="001F6644"/>
    <w:rsid w:val="001F6FA7"/>
    <w:rsid w:val="002017A6"/>
    <w:rsid w:val="00201938"/>
    <w:rsid w:val="002068BC"/>
    <w:rsid w:val="002108F9"/>
    <w:rsid w:val="00212A8E"/>
    <w:rsid w:val="00226EED"/>
    <w:rsid w:val="00230F23"/>
    <w:rsid w:val="00252779"/>
    <w:rsid w:val="00255068"/>
    <w:rsid w:val="00264D4D"/>
    <w:rsid w:val="0027411F"/>
    <w:rsid w:val="00296562"/>
    <w:rsid w:val="00297FA8"/>
    <w:rsid w:val="002A6BFA"/>
    <w:rsid w:val="002B00CA"/>
    <w:rsid w:val="002B6E88"/>
    <w:rsid w:val="002C342E"/>
    <w:rsid w:val="002C68F0"/>
    <w:rsid w:val="002C7D63"/>
    <w:rsid w:val="002D090B"/>
    <w:rsid w:val="002E4325"/>
    <w:rsid w:val="00301AD5"/>
    <w:rsid w:val="0030393F"/>
    <w:rsid w:val="003072F3"/>
    <w:rsid w:val="003128D4"/>
    <w:rsid w:val="00312B10"/>
    <w:rsid w:val="00325517"/>
    <w:rsid w:val="00330BC1"/>
    <w:rsid w:val="003317AE"/>
    <w:rsid w:val="00333991"/>
    <w:rsid w:val="003358E9"/>
    <w:rsid w:val="00342FA7"/>
    <w:rsid w:val="003603B8"/>
    <w:rsid w:val="00360DC6"/>
    <w:rsid w:val="00361FFE"/>
    <w:rsid w:val="00374CDA"/>
    <w:rsid w:val="003832AA"/>
    <w:rsid w:val="003A04D1"/>
    <w:rsid w:val="003A1303"/>
    <w:rsid w:val="003A28BF"/>
    <w:rsid w:val="003A2BA5"/>
    <w:rsid w:val="003B4448"/>
    <w:rsid w:val="003B580C"/>
    <w:rsid w:val="003B6E65"/>
    <w:rsid w:val="003D0979"/>
    <w:rsid w:val="003D118E"/>
    <w:rsid w:val="003D1C35"/>
    <w:rsid w:val="003D6DAB"/>
    <w:rsid w:val="003E246F"/>
    <w:rsid w:val="003E2F2F"/>
    <w:rsid w:val="00401ED8"/>
    <w:rsid w:val="00411249"/>
    <w:rsid w:val="004159F3"/>
    <w:rsid w:val="00423951"/>
    <w:rsid w:val="00423B77"/>
    <w:rsid w:val="0043030F"/>
    <w:rsid w:val="00431F1F"/>
    <w:rsid w:val="00434EE5"/>
    <w:rsid w:val="00441EB6"/>
    <w:rsid w:val="004423BA"/>
    <w:rsid w:val="0044678F"/>
    <w:rsid w:val="0045776B"/>
    <w:rsid w:val="00474992"/>
    <w:rsid w:val="00475E9B"/>
    <w:rsid w:val="004816C2"/>
    <w:rsid w:val="0048321D"/>
    <w:rsid w:val="0048373D"/>
    <w:rsid w:val="00484507"/>
    <w:rsid w:val="0048531E"/>
    <w:rsid w:val="004A0294"/>
    <w:rsid w:val="004A0E00"/>
    <w:rsid w:val="004A3877"/>
    <w:rsid w:val="004B3CC5"/>
    <w:rsid w:val="004B439A"/>
    <w:rsid w:val="004B762F"/>
    <w:rsid w:val="004C7333"/>
    <w:rsid w:val="004C76D5"/>
    <w:rsid w:val="004D21E0"/>
    <w:rsid w:val="005005B4"/>
    <w:rsid w:val="00512D22"/>
    <w:rsid w:val="005250F3"/>
    <w:rsid w:val="00530CEC"/>
    <w:rsid w:val="00533AA9"/>
    <w:rsid w:val="00536061"/>
    <w:rsid w:val="00553608"/>
    <w:rsid w:val="00554EB8"/>
    <w:rsid w:val="005672CB"/>
    <w:rsid w:val="00571A57"/>
    <w:rsid w:val="00573CF4"/>
    <w:rsid w:val="00587C9F"/>
    <w:rsid w:val="00591186"/>
    <w:rsid w:val="00593763"/>
    <w:rsid w:val="005940FA"/>
    <w:rsid w:val="005A5F03"/>
    <w:rsid w:val="005A6537"/>
    <w:rsid w:val="005B0EF3"/>
    <w:rsid w:val="005B60A2"/>
    <w:rsid w:val="005B7124"/>
    <w:rsid w:val="005C0487"/>
    <w:rsid w:val="005C611F"/>
    <w:rsid w:val="005D2E27"/>
    <w:rsid w:val="005D54C7"/>
    <w:rsid w:val="005D54E4"/>
    <w:rsid w:val="005E23C6"/>
    <w:rsid w:val="005F35BC"/>
    <w:rsid w:val="005F4A78"/>
    <w:rsid w:val="00601762"/>
    <w:rsid w:val="0060788F"/>
    <w:rsid w:val="00610EC0"/>
    <w:rsid w:val="00614FF0"/>
    <w:rsid w:val="00616D8E"/>
    <w:rsid w:val="00636073"/>
    <w:rsid w:val="0064273B"/>
    <w:rsid w:val="00665847"/>
    <w:rsid w:val="0066601F"/>
    <w:rsid w:val="00666E3C"/>
    <w:rsid w:val="00672B93"/>
    <w:rsid w:val="0067669A"/>
    <w:rsid w:val="006816A3"/>
    <w:rsid w:val="00683CC3"/>
    <w:rsid w:val="0068467F"/>
    <w:rsid w:val="006A4A2A"/>
    <w:rsid w:val="006A4A30"/>
    <w:rsid w:val="006A657A"/>
    <w:rsid w:val="006A68DE"/>
    <w:rsid w:val="006B1FC8"/>
    <w:rsid w:val="006C18B4"/>
    <w:rsid w:val="006C307A"/>
    <w:rsid w:val="006C77BD"/>
    <w:rsid w:val="006D040D"/>
    <w:rsid w:val="006E16D6"/>
    <w:rsid w:val="006E2A2C"/>
    <w:rsid w:val="006E57DD"/>
    <w:rsid w:val="006F2D87"/>
    <w:rsid w:val="007067FA"/>
    <w:rsid w:val="007077EC"/>
    <w:rsid w:val="007127DD"/>
    <w:rsid w:val="00713E06"/>
    <w:rsid w:val="007142EA"/>
    <w:rsid w:val="0072151A"/>
    <w:rsid w:val="007216B9"/>
    <w:rsid w:val="00725F7C"/>
    <w:rsid w:val="00727195"/>
    <w:rsid w:val="00731C73"/>
    <w:rsid w:val="00733C22"/>
    <w:rsid w:val="00737237"/>
    <w:rsid w:val="00742DFD"/>
    <w:rsid w:val="0074325D"/>
    <w:rsid w:val="00751315"/>
    <w:rsid w:val="00753FB8"/>
    <w:rsid w:val="007559BB"/>
    <w:rsid w:val="00756868"/>
    <w:rsid w:val="00756EF1"/>
    <w:rsid w:val="007646EB"/>
    <w:rsid w:val="007669C1"/>
    <w:rsid w:val="00776292"/>
    <w:rsid w:val="00781539"/>
    <w:rsid w:val="007830D5"/>
    <w:rsid w:val="00791E2F"/>
    <w:rsid w:val="0079371A"/>
    <w:rsid w:val="007A7392"/>
    <w:rsid w:val="007C5F0D"/>
    <w:rsid w:val="007D095E"/>
    <w:rsid w:val="007D10BF"/>
    <w:rsid w:val="007D154C"/>
    <w:rsid w:val="007D4633"/>
    <w:rsid w:val="007E5B0F"/>
    <w:rsid w:val="007E6E19"/>
    <w:rsid w:val="007F4736"/>
    <w:rsid w:val="007F4918"/>
    <w:rsid w:val="007F5A6B"/>
    <w:rsid w:val="007F6C04"/>
    <w:rsid w:val="00806C82"/>
    <w:rsid w:val="00813683"/>
    <w:rsid w:val="00817168"/>
    <w:rsid w:val="008328B9"/>
    <w:rsid w:val="00833571"/>
    <w:rsid w:val="00833D2E"/>
    <w:rsid w:val="0084024C"/>
    <w:rsid w:val="00860275"/>
    <w:rsid w:val="00860BFF"/>
    <w:rsid w:val="00863387"/>
    <w:rsid w:val="008644F2"/>
    <w:rsid w:val="0086639A"/>
    <w:rsid w:val="00866F9C"/>
    <w:rsid w:val="00872E20"/>
    <w:rsid w:val="00872F8B"/>
    <w:rsid w:val="008733A4"/>
    <w:rsid w:val="00876A59"/>
    <w:rsid w:val="008821DA"/>
    <w:rsid w:val="008879A5"/>
    <w:rsid w:val="00890BF3"/>
    <w:rsid w:val="008916B3"/>
    <w:rsid w:val="00892962"/>
    <w:rsid w:val="008A0648"/>
    <w:rsid w:val="008A693A"/>
    <w:rsid w:val="008A7719"/>
    <w:rsid w:val="008C4684"/>
    <w:rsid w:val="008D553D"/>
    <w:rsid w:val="008D5653"/>
    <w:rsid w:val="008E1F0F"/>
    <w:rsid w:val="008E7EB5"/>
    <w:rsid w:val="008F334D"/>
    <w:rsid w:val="008F56A3"/>
    <w:rsid w:val="0090705D"/>
    <w:rsid w:val="00907FFB"/>
    <w:rsid w:val="00917CD7"/>
    <w:rsid w:val="00924DC4"/>
    <w:rsid w:val="00931C8F"/>
    <w:rsid w:val="00933386"/>
    <w:rsid w:val="009503E1"/>
    <w:rsid w:val="009701CC"/>
    <w:rsid w:val="00974277"/>
    <w:rsid w:val="009743EF"/>
    <w:rsid w:val="0098249B"/>
    <w:rsid w:val="00983FAA"/>
    <w:rsid w:val="00991A8E"/>
    <w:rsid w:val="009B16FE"/>
    <w:rsid w:val="009B287C"/>
    <w:rsid w:val="009B3E79"/>
    <w:rsid w:val="009B587B"/>
    <w:rsid w:val="009C265A"/>
    <w:rsid w:val="009C4352"/>
    <w:rsid w:val="009C4D22"/>
    <w:rsid w:val="009D0A32"/>
    <w:rsid w:val="009D26BF"/>
    <w:rsid w:val="009D3E75"/>
    <w:rsid w:val="009D7BE1"/>
    <w:rsid w:val="009E0601"/>
    <w:rsid w:val="009E1480"/>
    <w:rsid w:val="009E4D74"/>
    <w:rsid w:val="009F0C9F"/>
    <w:rsid w:val="009F439D"/>
    <w:rsid w:val="009F7A07"/>
    <w:rsid w:val="00A0153A"/>
    <w:rsid w:val="00A0439C"/>
    <w:rsid w:val="00A05756"/>
    <w:rsid w:val="00A22891"/>
    <w:rsid w:val="00A30D0F"/>
    <w:rsid w:val="00A37A64"/>
    <w:rsid w:val="00A40B56"/>
    <w:rsid w:val="00A422C7"/>
    <w:rsid w:val="00A43CAC"/>
    <w:rsid w:val="00A44A65"/>
    <w:rsid w:val="00A51B05"/>
    <w:rsid w:val="00A56339"/>
    <w:rsid w:val="00A56E91"/>
    <w:rsid w:val="00A57088"/>
    <w:rsid w:val="00A667B7"/>
    <w:rsid w:val="00A71C43"/>
    <w:rsid w:val="00A7461D"/>
    <w:rsid w:val="00A77081"/>
    <w:rsid w:val="00A77307"/>
    <w:rsid w:val="00A80FCB"/>
    <w:rsid w:val="00AA07C1"/>
    <w:rsid w:val="00AA1DB7"/>
    <w:rsid w:val="00AA6879"/>
    <w:rsid w:val="00AB17E2"/>
    <w:rsid w:val="00AB4131"/>
    <w:rsid w:val="00AC01DC"/>
    <w:rsid w:val="00AC04B0"/>
    <w:rsid w:val="00AC2B65"/>
    <w:rsid w:val="00AC3DDC"/>
    <w:rsid w:val="00AD1193"/>
    <w:rsid w:val="00AE488C"/>
    <w:rsid w:val="00AE6551"/>
    <w:rsid w:val="00AE7C72"/>
    <w:rsid w:val="00AF72B0"/>
    <w:rsid w:val="00B126DD"/>
    <w:rsid w:val="00B14F70"/>
    <w:rsid w:val="00B15967"/>
    <w:rsid w:val="00B163D7"/>
    <w:rsid w:val="00B249A8"/>
    <w:rsid w:val="00B27C3D"/>
    <w:rsid w:val="00B3098D"/>
    <w:rsid w:val="00B40FA3"/>
    <w:rsid w:val="00B41C29"/>
    <w:rsid w:val="00B44749"/>
    <w:rsid w:val="00B705BC"/>
    <w:rsid w:val="00B72452"/>
    <w:rsid w:val="00B73D52"/>
    <w:rsid w:val="00B75F29"/>
    <w:rsid w:val="00B774C4"/>
    <w:rsid w:val="00B837F5"/>
    <w:rsid w:val="00B908CE"/>
    <w:rsid w:val="00B91A05"/>
    <w:rsid w:val="00B929F2"/>
    <w:rsid w:val="00B96FE9"/>
    <w:rsid w:val="00BA1C55"/>
    <w:rsid w:val="00BB06EA"/>
    <w:rsid w:val="00BB174D"/>
    <w:rsid w:val="00BB4DA9"/>
    <w:rsid w:val="00BC140A"/>
    <w:rsid w:val="00BD002E"/>
    <w:rsid w:val="00BD08F7"/>
    <w:rsid w:val="00BD4389"/>
    <w:rsid w:val="00BD5284"/>
    <w:rsid w:val="00BE0F1B"/>
    <w:rsid w:val="00BE1017"/>
    <w:rsid w:val="00BE3802"/>
    <w:rsid w:val="00BF2543"/>
    <w:rsid w:val="00BF7DE8"/>
    <w:rsid w:val="00C11137"/>
    <w:rsid w:val="00C13614"/>
    <w:rsid w:val="00C1506E"/>
    <w:rsid w:val="00C1611C"/>
    <w:rsid w:val="00C20AAC"/>
    <w:rsid w:val="00C26F90"/>
    <w:rsid w:val="00C30333"/>
    <w:rsid w:val="00C33135"/>
    <w:rsid w:val="00C338B8"/>
    <w:rsid w:val="00C36C04"/>
    <w:rsid w:val="00C5055E"/>
    <w:rsid w:val="00C64D44"/>
    <w:rsid w:val="00C7543B"/>
    <w:rsid w:val="00C76853"/>
    <w:rsid w:val="00C8708C"/>
    <w:rsid w:val="00C871FB"/>
    <w:rsid w:val="00C95434"/>
    <w:rsid w:val="00C96F38"/>
    <w:rsid w:val="00CA2BBE"/>
    <w:rsid w:val="00CA468F"/>
    <w:rsid w:val="00CB1B4E"/>
    <w:rsid w:val="00CB245A"/>
    <w:rsid w:val="00CD28FC"/>
    <w:rsid w:val="00CF3803"/>
    <w:rsid w:val="00D01F36"/>
    <w:rsid w:val="00D25E39"/>
    <w:rsid w:val="00D3221F"/>
    <w:rsid w:val="00D46B92"/>
    <w:rsid w:val="00D47130"/>
    <w:rsid w:val="00D4797D"/>
    <w:rsid w:val="00D510F1"/>
    <w:rsid w:val="00D53F03"/>
    <w:rsid w:val="00D66196"/>
    <w:rsid w:val="00D675F1"/>
    <w:rsid w:val="00D72DAA"/>
    <w:rsid w:val="00D93B07"/>
    <w:rsid w:val="00D955EB"/>
    <w:rsid w:val="00DA046A"/>
    <w:rsid w:val="00DB2B20"/>
    <w:rsid w:val="00DB33A9"/>
    <w:rsid w:val="00DB3FBF"/>
    <w:rsid w:val="00DB4FC3"/>
    <w:rsid w:val="00DC4331"/>
    <w:rsid w:val="00DE3C56"/>
    <w:rsid w:val="00DE7BAB"/>
    <w:rsid w:val="00DF194C"/>
    <w:rsid w:val="00DF4077"/>
    <w:rsid w:val="00E06EF8"/>
    <w:rsid w:val="00E123D8"/>
    <w:rsid w:val="00E15452"/>
    <w:rsid w:val="00E20A63"/>
    <w:rsid w:val="00E26B0C"/>
    <w:rsid w:val="00E309F1"/>
    <w:rsid w:val="00E30FBC"/>
    <w:rsid w:val="00E33C8F"/>
    <w:rsid w:val="00E37113"/>
    <w:rsid w:val="00E41137"/>
    <w:rsid w:val="00E52F20"/>
    <w:rsid w:val="00E54C3A"/>
    <w:rsid w:val="00E57AEE"/>
    <w:rsid w:val="00E614A8"/>
    <w:rsid w:val="00E62126"/>
    <w:rsid w:val="00E71D55"/>
    <w:rsid w:val="00E73379"/>
    <w:rsid w:val="00E742E9"/>
    <w:rsid w:val="00E77A10"/>
    <w:rsid w:val="00E87C23"/>
    <w:rsid w:val="00E97784"/>
    <w:rsid w:val="00EA1DEC"/>
    <w:rsid w:val="00EA37E8"/>
    <w:rsid w:val="00EA6379"/>
    <w:rsid w:val="00EB1626"/>
    <w:rsid w:val="00EC28F6"/>
    <w:rsid w:val="00ED4FD5"/>
    <w:rsid w:val="00ED5416"/>
    <w:rsid w:val="00EE140E"/>
    <w:rsid w:val="00EE19D8"/>
    <w:rsid w:val="00EE66A7"/>
    <w:rsid w:val="00EF7793"/>
    <w:rsid w:val="00F02024"/>
    <w:rsid w:val="00F02348"/>
    <w:rsid w:val="00F06CEA"/>
    <w:rsid w:val="00F15E4A"/>
    <w:rsid w:val="00F23C13"/>
    <w:rsid w:val="00F30F7D"/>
    <w:rsid w:val="00F361C4"/>
    <w:rsid w:val="00F37944"/>
    <w:rsid w:val="00F41C6A"/>
    <w:rsid w:val="00F42824"/>
    <w:rsid w:val="00F516E3"/>
    <w:rsid w:val="00F53614"/>
    <w:rsid w:val="00F5419E"/>
    <w:rsid w:val="00F54CCF"/>
    <w:rsid w:val="00F63787"/>
    <w:rsid w:val="00F64C64"/>
    <w:rsid w:val="00F64F88"/>
    <w:rsid w:val="00F66E87"/>
    <w:rsid w:val="00F709CE"/>
    <w:rsid w:val="00F73F17"/>
    <w:rsid w:val="00F74F44"/>
    <w:rsid w:val="00F76995"/>
    <w:rsid w:val="00F81551"/>
    <w:rsid w:val="00F92823"/>
    <w:rsid w:val="00F96D85"/>
    <w:rsid w:val="00FD7460"/>
    <w:rsid w:val="00FE275A"/>
    <w:rsid w:val="00FE36EB"/>
    <w:rsid w:val="00FF1735"/>
    <w:rsid w:val="00FF2294"/>
    <w:rsid w:val="00FF57CD"/>
    <w:rsid w:val="00FF5C9F"/>
    <w:rsid w:val="00FF6C45"/>
    <w:rsid w:val="00FF745C"/>
    <w:rsid w:val="00FF7828"/>
    <w:rsid w:val="00FF7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7C56E"/>
  <w15:chartTrackingRefBased/>
  <w15:docId w15:val="{9A2AC5E4-ECAB-4704-A9D6-6358C36A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KE" w:eastAsia="en-K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A8"/>
    <w:pPr>
      <w:spacing w:after="160" w:line="259" w:lineRule="auto"/>
    </w:pPr>
    <w:rPr>
      <w:sz w:val="22"/>
      <w:szCs w:val="22"/>
      <w:lang w:val="en-US" w:eastAsia="en-US"/>
    </w:rPr>
  </w:style>
  <w:style w:type="paragraph" w:styleId="Heading1">
    <w:name w:val="heading 1"/>
    <w:basedOn w:val="Normal"/>
    <w:next w:val="Normal"/>
    <w:link w:val="Heading1Char"/>
    <w:qFormat/>
    <w:rsid w:val="00665847"/>
    <w:pPr>
      <w:keepNext/>
      <w:keepLines/>
      <w:spacing w:before="240" w:after="120" w:line="240" w:lineRule="auto"/>
      <w:jc w:val="both"/>
      <w:outlineLvl w:val="0"/>
    </w:pPr>
    <w:rPr>
      <w:rFonts w:ascii="Myriad Pro" w:eastAsia="Times New Roman" w:hAnsi="Myriad Pro"/>
      <w:b/>
      <w:bCs/>
      <w:sz w:val="28"/>
      <w:szCs w:val="28"/>
      <w:lang w:val="en-GB"/>
    </w:rPr>
  </w:style>
  <w:style w:type="paragraph" w:styleId="Heading2">
    <w:name w:val="heading 2"/>
    <w:basedOn w:val="Normal"/>
    <w:next w:val="Normal"/>
    <w:link w:val="Heading2Char"/>
    <w:qFormat/>
    <w:rsid w:val="00665847"/>
    <w:pPr>
      <w:keepNext/>
      <w:keepLines/>
      <w:spacing w:after="60" w:line="240" w:lineRule="auto"/>
      <w:jc w:val="both"/>
      <w:outlineLvl w:val="1"/>
    </w:pPr>
    <w:rPr>
      <w:rFonts w:ascii="Myriad Pro" w:eastAsia="Times New Roman" w:hAnsi="Myriad Pro"/>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line="240" w:lineRule="auto"/>
      <w:contextualSpacing/>
      <w:jc w:val="center"/>
    </w:pPr>
    <w:rPr>
      <w:rFonts w:ascii="Cambria" w:eastAsia="Times New Roman"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spacing w:after="0" w:line="240" w:lineRule="auto"/>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spacing w:after="0" w:line="240" w:lineRule="auto"/>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lang w:val="en-US" w:eastAsia="en-US"/>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iPriority w:val="99"/>
    <w:semiHidden/>
    <w:unhideWhenUsed/>
    <w:rsid w:val="00B249A8"/>
    <w:pPr>
      <w:spacing w:line="240" w:lineRule="auto"/>
    </w:pPr>
    <w:rPr>
      <w:sz w:val="20"/>
      <w:szCs w:val="20"/>
    </w:rPr>
  </w:style>
  <w:style w:type="character" w:customStyle="1" w:styleId="CommentTextChar">
    <w:name w:val="Comment Text Char"/>
    <w:link w:val="CommentText"/>
    <w:uiPriority w:val="99"/>
    <w:semiHidden/>
    <w:rsid w:val="00B249A8"/>
    <w:rPr>
      <w:sz w:val="20"/>
      <w:szCs w:val="20"/>
      <w:lang w:val="en-US"/>
    </w:rPr>
  </w:style>
  <w:style w:type="paragraph" w:styleId="BalloonText">
    <w:name w:val="Balloon Text"/>
    <w:basedOn w:val="Normal"/>
    <w:link w:val="BalloonTextChar"/>
    <w:uiPriority w:val="99"/>
    <w:semiHidden/>
    <w:unhideWhenUsed/>
    <w:rsid w:val="00B2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pPr>
      <w:spacing w:after="0" w:line="240" w:lineRule="auto"/>
    </w:pPr>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rfulList-Accent11">
    <w:name w:val="Colorful List - Accent 11"/>
    <w:aliases w:val="List Paragraph (numbered (a)),References,WB List Paragraph,Bullets"/>
    <w:basedOn w:val="Normal"/>
    <w:link w:val="ColorfulList-Accent1Char"/>
    <w:uiPriority w:val="34"/>
    <w:qFormat/>
    <w:rsid w:val="00FE275A"/>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paragraph" w:styleId="BodyText">
    <w:name w:val="Body Text"/>
    <w:basedOn w:val="Normal"/>
    <w:link w:val="BodyTextChar"/>
    <w:rsid w:val="005005B4"/>
    <w:pPr>
      <w:suppressAutoHyphens/>
      <w:spacing w:after="120" w:line="256" w:lineRule="auto"/>
    </w:pPr>
    <w:rPr>
      <w:lang w:val="en-GB" w:eastAsia="ar-SA"/>
    </w:rPr>
  </w:style>
  <w:style w:type="character" w:customStyle="1" w:styleId="BodyTextChar">
    <w:name w:val="Body Text Char"/>
    <w:link w:val="BodyText"/>
    <w:rsid w:val="005005B4"/>
    <w:rPr>
      <w:sz w:val="22"/>
      <w:szCs w:val="22"/>
      <w:lang w:eastAsia="ar-SA"/>
    </w:rPr>
  </w:style>
  <w:style w:type="paragraph" w:styleId="NormalWeb">
    <w:name w:val="Normal (Web)"/>
    <w:basedOn w:val="Normal"/>
    <w:rsid w:val="0014645F"/>
    <w:pPr>
      <w:suppressAutoHyphens/>
      <w:spacing w:before="280" w:after="280" w:line="240" w:lineRule="auto"/>
    </w:pPr>
    <w:rPr>
      <w:rFonts w:ascii="Times New Roman" w:eastAsia="Times New Roman" w:hAnsi="Times New Roman"/>
      <w:sz w:val="24"/>
      <w:szCs w:val="24"/>
      <w:lang w:eastAsia="ar-SA"/>
    </w:rPr>
  </w:style>
  <w:style w:type="paragraph" w:styleId="ListParagraph">
    <w:name w:val="List Paragraph"/>
    <w:basedOn w:val="Normal"/>
    <w:uiPriority w:val="34"/>
    <w:qFormat/>
    <w:rsid w:val="00374CDA"/>
    <w:pPr>
      <w:spacing w:after="0" w:line="240" w:lineRule="auto"/>
      <w:ind w:left="720"/>
      <w:contextualSpacing/>
    </w:pPr>
    <w:rPr>
      <w:rFonts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sa=t&amp;rct=j&amp;q=&amp;esrc=s&amp;source=web&amp;cd=1&amp;cad=rja&amp;uact=8&amp;ved=0ahUKEwi-g8DYlOjMAhUEph4KHfuvAAAQFggdMAA&amp;url=http%3A%2F%2Fwww.unpbf.org%2Fdocs%2FPART-V-Guidance-Note-5.2-How-to-program-for-catalytic-effects-FINAL-April-2014.doc&amp;usg=AFQjCNF6vkEHrhOQ7OCja_aME_Y7qazgW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el.mukerjee@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4S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77D87-7F54-48ED-8BFB-4210D939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654-7487-4408-affb-c7bc2a700840"/>
    <ds:schemaRef ds:uri="b676d75a-79dc-47ac-8889-c73a49a72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18BA8-825D-415C-A2D8-6ACC730A4213}">
  <ds:schemaRefs>
    <ds:schemaRef ds:uri="http://schemas.microsoft.com/office/2006/metadata/properties"/>
    <ds:schemaRef ds:uri="http://schemas.microsoft.com/office/infopath/2007/PartnerControls"/>
    <ds:schemaRef ds:uri="f1b4f654-7487-4408-affb-c7bc2a700840"/>
  </ds:schemaRefs>
</ds:datastoreItem>
</file>

<file path=customXml/itemProps3.xml><?xml version="1.0" encoding="utf-8"?>
<ds:datastoreItem xmlns:ds="http://schemas.openxmlformats.org/officeDocument/2006/customXml" ds:itemID="{9A1D618F-6CAD-4923-BD35-01AD04D1826A}">
  <ds:schemaRefs>
    <ds:schemaRef ds:uri="http://schemas.openxmlformats.org/officeDocument/2006/bibliography"/>
  </ds:schemaRefs>
</ds:datastoreItem>
</file>

<file path=customXml/itemProps4.xml><?xml version="1.0" encoding="utf-8"?>
<ds:datastoreItem xmlns:ds="http://schemas.openxmlformats.org/officeDocument/2006/customXml" ds:itemID="{8EA951F0-E0B3-4349-B7D6-23A456174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54593</CharactersWithSpaces>
  <SharedDoc>false</SharedDoc>
  <HLinks>
    <vt:vector size="18" baseType="variant">
      <vt:variant>
        <vt:i4>3670129</vt:i4>
      </vt:variant>
      <vt:variant>
        <vt:i4>3</vt:i4>
      </vt:variant>
      <vt:variant>
        <vt:i4>0</vt:i4>
      </vt:variant>
      <vt:variant>
        <vt:i4>5</vt:i4>
      </vt:variant>
      <vt:variant>
        <vt:lpwstr>https://www.google.com/url?sa=t&amp;rct=j&amp;q=&amp;esrc=s&amp;source=web&amp;cd=1&amp;cad=rja&amp;uact=8&amp;ved=0ahUKEwi-g8DYlOjMAhUEph4KHfuvAAAQFggdMAA&amp;url=http%3A%2F%2Fwww.unpbf.org%2Fdocs%2FPART-V-Guidance-Note-5.2-How-to-program-for-catalytic-effects-FINAL-April-2014.doc&amp;usg=AFQjCNF6vkEHrhOQ7OCja_aME_Y7qazgWQ</vt:lpwstr>
      </vt:variant>
      <vt:variant>
        <vt:lpwstr/>
      </vt:variant>
      <vt:variant>
        <vt:i4>2031721</vt:i4>
      </vt:variant>
      <vt:variant>
        <vt:i4>0</vt:i4>
      </vt:variant>
      <vt:variant>
        <vt:i4>0</vt:i4>
      </vt:variant>
      <vt:variant>
        <vt:i4>5</vt:i4>
      </vt:variant>
      <vt:variant>
        <vt:lpwstr>mailto:doel.mukerjee@undp.org</vt:lpwstr>
      </vt:variant>
      <vt:variant>
        <vt:lpwstr/>
      </vt:variant>
      <vt:variant>
        <vt:i4>589824</vt:i4>
      </vt:variant>
      <vt:variant>
        <vt:i4>0</vt:i4>
      </vt:variant>
      <vt:variant>
        <vt:i4>0</vt:i4>
      </vt:variant>
      <vt:variant>
        <vt:i4>5</vt:i4>
      </vt:variant>
      <vt:variant>
        <vt:lpwstr>http://mptf.undp.org/factsheet/fund/4SO00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 George</dc:creator>
  <cp:keywords/>
  <dc:description/>
  <cp:lastModifiedBy>Zacheaus Arabon</cp:lastModifiedBy>
  <cp:revision>2</cp:revision>
  <cp:lastPrinted>2015-07-02T10:02:00Z</cp:lastPrinted>
  <dcterms:created xsi:type="dcterms:W3CDTF">2022-05-05T07:39:00Z</dcterms:created>
  <dcterms:modified xsi:type="dcterms:W3CDTF">2022-05-05T07:39:00Z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