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5570BCE4" w:rsidR="000F43A8" w:rsidRPr="00136BFF" w:rsidRDefault="000F43A8" w:rsidP="000F43A8">
      <w:pPr>
        <w:jc w:val="center"/>
        <w:rPr>
          <w:b/>
          <w:bCs/>
          <w:caps/>
          <w:lang w:val="fr-FR"/>
        </w:rPr>
      </w:pPr>
      <w:r w:rsidRPr="00136BFF">
        <w:rPr>
          <w:b/>
          <w:bCs/>
          <w:caps/>
          <w:lang w:val="fr-FR"/>
        </w:rPr>
        <w:t>PAYS:</w:t>
      </w:r>
      <w:r w:rsidRPr="00136BFF">
        <w:rPr>
          <w:bCs/>
          <w:iCs/>
          <w:snapToGrid w:val="0"/>
          <w:szCs w:val="28"/>
          <w:lang w:val="fr-FR"/>
        </w:rPr>
        <w:t xml:space="preserve"> </w:t>
      </w:r>
      <w:r w:rsidR="009F60A6" w:rsidRPr="005858AF">
        <w:rPr>
          <w:bCs/>
          <w:iCs/>
          <w:snapToGrid w:val="0"/>
          <w:szCs w:val="28"/>
          <w:lang w:val="fr-FR"/>
        </w:rPr>
        <w:t>Guinee</w:t>
      </w:r>
    </w:p>
    <w:p w14:paraId="35B8BCCA" w14:textId="242C0E8E" w:rsidR="000F43A8" w:rsidRPr="009F60A6" w:rsidRDefault="000F43A8" w:rsidP="000F43A8">
      <w:pPr>
        <w:jc w:val="center"/>
        <w:rPr>
          <w:b/>
          <w:bCs/>
          <w:caps/>
          <w:sz w:val="22"/>
          <w:szCs w:val="22"/>
          <w:lang w:val="fr-FR"/>
        </w:rPr>
      </w:pPr>
      <w:r w:rsidRPr="001948EA">
        <w:rPr>
          <w:b/>
          <w:bCs/>
          <w:caps/>
          <w:sz w:val="22"/>
          <w:szCs w:val="22"/>
          <w:lang w:val="fr-FR"/>
        </w:rPr>
        <w:t xml:space="preserve">TYPE DE </w:t>
      </w:r>
      <w:r w:rsidR="003A0F00"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3A0F00">
        <w:rPr>
          <w:b/>
          <w:bCs/>
          <w:caps/>
          <w:sz w:val="22"/>
          <w:szCs w:val="22"/>
          <w:lang w:val="fr-FR"/>
        </w:rPr>
        <w:t xml:space="preserve"> </w:t>
      </w:r>
      <w:r w:rsidR="009F60A6" w:rsidRPr="009F60A6">
        <w:rPr>
          <w:b/>
          <w:sz w:val="22"/>
          <w:szCs w:val="22"/>
          <w:lang w:val="fr-FR"/>
        </w:rPr>
        <w:t>A</w:t>
      </w:r>
      <w:r w:rsidR="003A0F00">
        <w:rPr>
          <w:b/>
          <w:sz w:val="22"/>
          <w:szCs w:val="22"/>
          <w:lang w:val="fr-FR"/>
        </w:rPr>
        <w:t>NNUEL</w:t>
      </w:r>
    </w:p>
    <w:p w14:paraId="0B2F56D8" w14:textId="5B537D4F" w:rsidR="000554F8" w:rsidRPr="009F60A6" w:rsidRDefault="00500587" w:rsidP="000F43A8">
      <w:pPr>
        <w:jc w:val="center"/>
        <w:rPr>
          <w:bCs/>
          <w:iCs/>
          <w:snapToGrid w:val="0"/>
          <w:szCs w:val="28"/>
          <w:lang w:val="fr-FR"/>
        </w:rPr>
      </w:pPr>
      <w:r w:rsidRPr="009F60A6">
        <w:rPr>
          <w:b/>
          <w:bCs/>
          <w:caps/>
          <w:lang w:val="fr-FR"/>
        </w:rPr>
        <w:t>ANNEE</w:t>
      </w:r>
      <w:r w:rsidR="000F43A8" w:rsidRPr="009F60A6">
        <w:rPr>
          <w:b/>
          <w:bCs/>
          <w:caps/>
          <w:lang w:val="fr-FR"/>
        </w:rPr>
        <w:t xml:space="preserve"> DE RAPPORT: </w:t>
      </w:r>
      <w:r w:rsidR="003A0F00" w:rsidRPr="003A0F00">
        <w:rPr>
          <w:b/>
          <w:bCs/>
          <w:caps/>
          <w:lang w:val="fr-FR"/>
        </w:rPr>
        <w:t>NOVEMBRE 2020</w:t>
      </w:r>
      <w:r w:rsidR="009F60A6" w:rsidRPr="003A0F00">
        <w:rPr>
          <w:b/>
          <w:bCs/>
          <w:caps/>
          <w:lang w:val="fr-FR"/>
        </w:rPr>
        <w:t xml:space="preserve"> –</w:t>
      </w:r>
      <w:r w:rsidR="009F60A6" w:rsidRPr="009F60A6">
        <w:rPr>
          <w:b/>
          <w:bCs/>
          <w:caps/>
          <w:lang w:val="fr-FR"/>
        </w:rPr>
        <w:t xml:space="preserve"> </w:t>
      </w:r>
      <w:r w:rsidR="00023A14">
        <w:rPr>
          <w:b/>
          <w:bCs/>
          <w:caps/>
          <w:lang w:val="fr-FR"/>
        </w:rPr>
        <w:t>NOVEMBRE</w:t>
      </w:r>
      <w:r w:rsidR="009F60A6" w:rsidRPr="009F60A6">
        <w:rPr>
          <w:b/>
          <w:bCs/>
          <w:caps/>
          <w:lang w:val="fr-FR"/>
        </w:rPr>
        <w:t xml:space="preserve"> </w:t>
      </w:r>
      <w:r w:rsidR="009F60A6" w:rsidRPr="009F60A6">
        <w:rPr>
          <w:bCs/>
          <w:iCs/>
          <w:snapToGrid w:val="0"/>
          <w:szCs w:val="28"/>
          <w:lang w:val="fr-FR"/>
        </w:rPr>
        <w:t>2021</w:t>
      </w:r>
    </w:p>
    <w:p w14:paraId="32235E8F" w14:textId="77777777" w:rsidR="000F43A8" w:rsidRPr="009F60A6"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9F60A6" w:rsidRPr="009F60A6" w14:paraId="26E9F2DE" w14:textId="77777777" w:rsidTr="00F23D0F">
        <w:trPr>
          <w:trHeight w:val="422"/>
        </w:trPr>
        <w:tc>
          <w:tcPr>
            <w:tcW w:w="10080" w:type="dxa"/>
            <w:gridSpan w:val="2"/>
          </w:tcPr>
          <w:p w14:paraId="1E38FB87" w14:textId="77777777" w:rsidR="009F60A6" w:rsidRPr="007961D7" w:rsidRDefault="009F60A6" w:rsidP="009F60A6">
            <w:pPr>
              <w:pStyle w:val="Textedebulles"/>
              <w:numPr>
                <w:ilvl w:val="12"/>
                <w:numId w:val="0"/>
              </w:numPr>
              <w:tabs>
                <w:tab w:val="left" w:pos="-720"/>
                <w:tab w:val="left" w:pos="4500"/>
              </w:tabs>
              <w:suppressAutoHyphens/>
              <w:rPr>
                <w:rFonts w:ascii="Times New Roman" w:hAnsi="Times New Roman" w:cs="Times New Roman"/>
                <w:bCs/>
                <w:sz w:val="22"/>
                <w:szCs w:val="22"/>
                <w:lang w:val="fr-FR"/>
              </w:rPr>
            </w:pPr>
            <w:r w:rsidRPr="00136BFF">
              <w:rPr>
                <w:rFonts w:ascii="Times New Roman" w:hAnsi="Times New Roman" w:cs="Times New Roman"/>
                <w:b/>
                <w:sz w:val="24"/>
                <w:szCs w:val="24"/>
                <w:lang w:val="fr-FR"/>
              </w:rPr>
              <w:t>Titre du projet</w:t>
            </w:r>
            <w:r>
              <w:rPr>
                <w:rFonts w:ascii="Times New Roman" w:hAnsi="Times New Roman" w:cs="Times New Roman"/>
                <w:b/>
                <w:sz w:val="24"/>
                <w:szCs w:val="24"/>
                <w:lang w:val="fr-FR"/>
              </w:rPr>
              <w:t xml:space="preserve"> </w:t>
            </w:r>
            <w:r w:rsidRPr="007961D7">
              <w:rPr>
                <w:rFonts w:ascii="Times New Roman" w:hAnsi="Times New Roman" w:cs="Times New Roman"/>
                <w:bCs/>
                <w:sz w:val="22"/>
                <w:szCs w:val="22"/>
                <w:lang w:val="fr-FR"/>
              </w:rPr>
              <w:t xml:space="preserve">: </w:t>
            </w:r>
            <w:r w:rsidRPr="007961D7">
              <w:rPr>
                <w:rStyle w:val="normaltextrun"/>
                <w:bCs/>
                <w:color w:val="000000"/>
                <w:sz w:val="22"/>
                <w:szCs w:val="22"/>
                <w:shd w:val="clear" w:color="auto" w:fill="FFFFFF"/>
                <w:lang w:val="fr-FR"/>
              </w:rPr>
              <w:t>Prévention des conflits intercommunautaires en Guinée forestière par une économie mutualisée et l’amélioration de la gouvernance foncière </w:t>
            </w:r>
            <w:r w:rsidRPr="007961D7">
              <w:rPr>
                <w:rStyle w:val="eop"/>
                <w:bCs/>
                <w:color w:val="000000"/>
                <w:sz w:val="22"/>
                <w:szCs w:val="22"/>
                <w:shd w:val="clear" w:color="auto" w:fill="FFFFFF"/>
                <w:lang w:val="fr-FR"/>
              </w:rPr>
              <w:t> </w:t>
            </w:r>
          </w:p>
          <w:p w14:paraId="24C4A490" w14:textId="0B162311" w:rsidR="009F60A6" w:rsidRPr="009F60A6" w:rsidRDefault="009F60A6" w:rsidP="009F60A6">
            <w:pPr>
              <w:rPr>
                <w:b/>
              </w:rPr>
            </w:pPr>
            <w:r w:rsidRPr="00CC46FC">
              <w:rPr>
                <w:b/>
                <w:lang w:val="en-US"/>
              </w:rPr>
              <w:t xml:space="preserve">Numéro Projet / MPTF Gateway: </w:t>
            </w:r>
            <w:r>
              <w:rPr>
                <w:b/>
              </w:rPr>
              <w:fldChar w:fldCharType="begin">
                <w:ffData>
                  <w:name w:val="projtype"/>
                  <w:enabled/>
                  <w:calcOnExit w:val="0"/>
                  <w:ddList>
                    <w:listEntry w:val="PRF"/>
                    <w:listEntry w:val="Veuillez sélectionner"/>
                    <w:listEntry w:val="IRF"/>
                  </w:ddList>
                </w:ffData>
              </w:fldChar>
            </w:r>
            <w:bookmarkStart w:id="0" w:name="projtype"/>
            <w:r>
              <w:rPr>
                <w:b/>
              </w:rPr>
              <w:instrText xml:space="preserve"> FORMDROPDOWN </w:instrText>
            </w:r>
            <w:r w:rsidR="001301F5">
              <w:rPr>
                <w:b/>
              </w:rPr>
            </w:r>
            <w:r w:rsidR="001301F5">
              <w:rPr>
                <w:b/>
              </w:rPr>
              <w:fldChar w:fldCharType="separate"/>
            </w:r>
            <w:r>
              <w:rPr>
                <w:b/>
              </w:rPr>
              <w:fldChar w:fldCharType="end"/>
            </w:r>
            <w:bookmarkEnd w:id="0"/>
            <w:r w:rsidRPr="00CC46FC">
              <w:rPr>
                <w:b/>
                <w:lang w:val="en-US"/>
              </w:rPr>
              <w:t xml:space="preserve">   </w:t>
            </w:r>
            <w:r>
              <w:rPr>
                <w:b/>
              </w:rPr>
              <w:fldChar w:fldCharType="begin">
                <w:ffData>
                  <w:name w:val="Text39"/>
                  <w:enabled/>
                  <w:calcOnExit w:val="0"/>
                  <w:textInput>
                    <w:default w:val="00124727/PBF-GIN-A13"/>
                  </w:textInput>
                </w:ffData>
              </w:fldChar>
            </w:r>
            <w:bookmarkStart w:id="1" w:name="Text39"/>
            <w:r>
              <w:rPr>
                <w:b/>
              </w:rPr>
              <w:instrText xml:space="preserve"> FORMTEXT </w:instrText>
            </w:r>
            <w:r>
              <w:rPr>
                <w:b/>
              </w:rPr>
            </w:r>
            <w:r>
              <w:rPr>
                <w:b/>
              </w:rPr>
              <w:fldChar w:fldCharType="separate"/>
            </w:r>
            <w:r>
              <w:rPr>
                <w:b/>
                <w:noProof/>
              </w:rPr>
              <w:t>00124727/PBF-GIN-A13</w:t>
            </w:r>
            <w:r>
              <w:rPr>
                <w:b/>
              </w:rPr>
              <w:fldChar w:fldCharType="end"/>
            </w:r>
            <w:bookmarkEnd w:id="1"/>
          </w:p>
        </w:tc>
      </w:tr>
      <w:tr w:rsidR="009F60A6" w:rsidRPr="00023A14" w14:paraId="27B16979" w14:textId="77777777" w:rsidTr="00A43B9C">
        <w:trPr>
          <w:trHeight w:val="422"/>
        </w:trPr>
        <w:tc>
          <w:tcPr>
            <w:tcW w:w="4163" w:type="dxa"/>
          </w:tcPr>
          <w:p w14:paraId="7816FE38" w14:textId="77777777" w:rsidR="009F60A6" w:rsidRPr="0069221B" w:rsidRDefault="009F60A6" w:rsidP="009F60A6">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14:paraId="2523A6CD" w14:textId="77777777" w:rsidR="009F60A6" w:rsidRPr="0069221B" w:rsidRDefault="009F60A6" w:rsidP="009F60A6">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301F5">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9F60A6" w:rsidRDefault="009F60A6" w:rsidP="009F60A6">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301F5">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9F60A6" w:rsidRPr="0069221B" w:rsidRDefault="009F60A6" w:rsidP="009F60A6">
            <w:pPr>
              <w:tabs>
                <w:tab w:val="left" w:pos="0"/>
              </w:tabs>
              <w:suppressAutoHyphens/>
              <w:rPr>
                <w:b/>
                <w:lang w:val="fr-FR"/>
              </w:rPr>
            </w:pPr>
          </w:p>
          <w:p w14:paraId="57DFB016" w14:textId="77777777" w:rsidR="009F60A6" w:rsidRPr="0069221B" w:rsidRDefault="009F60A6" w:rsidP="009F60A6">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noProof/>
                <w:snapToGrid w:val="0"/>
                <w:szCs w:val="28"/>
              </w:rPr>
              <w:t> </w:t>
            </w:r>
            <w:r>
              <w:rPr>
                <w:bCs/>
                <w:iCs/>
                <w:snapToGrid w:val="0"/>
                <w:szCs w:val="28"/>
              </w:rPr>
              <w:fldChar w:fldCharType="end"/>
            </w:r>
          </w:p>
          <w:p w14:paraId="3B731EC0" w14:textId="77777777" w:rsidR="009F60A6" w:rsidRPr="00627A1C" w:rsidRDefault="009F60A6" w:rsidP="009F60A6">
            <w:pPr>
              <w:tabs>
                <w:tab w:val="left" w:pos="0"/>
              </w:tabs>
              <w:suppressAutoHyphens/>
              <w:jc w:val="both"/>
              <w:rPr>
                <w:b/>
              </w:rPr>
            </w:pPr>
          </w:p>
        </w:tc>
        <w:tc>
          <w:tcPr>
            <w:tcW w:w="5917" w:type="dxa"/>
          </w:tcPr>
          <w:p w14:paraId="4A6F6EA9" w14:textId="281CABDE" w:rsidR="009F60A6" w:rsidRPr="000F43A8" w:rsidRDefault="009F60A6" w:rsidP="009F60A6">
            <w:pPr>
              <w:rPr>
                <w:b/>
                <w:bCs/>
                <w:iCs/>
                <w:lang w:val="fr-FR"/>
              </w:rPr>
            </w:pPr>
            <w:r w:rsidRPr="000F43A8">
              <w:rPr>
                <w:b/>
                <w:bCs/>
                <w:iCs/>
                <w:lang w:val="fr-FR"/>
              </w:rPr>
              <w:t xml:space="preserve">Type et nom d’agence récipiendaire : </w:t>
            </w:r>
          </w:p>
          <w:p w14:paraId="73BA215E" w14:textId="77777777" w:rsidR="009F60A6" w:rsidRPr="003A0F00" w:rsidRDefault="009F60A6" w:rsidP="009F60A6">
            <w:pPr>
              <w:pStyle w:val="Textedebulles"/>
              <w:numPr>
                <w:ilvl w:val="12"/>
                <w:numId w:val="0"/>
              </w:numPr>
              <w:tabs>
                <w:tab w:val="left" w:pos="-720"/>
                <w:tab w:val="left" w:pos="4500"/>
              </w:tabs>
              <w:rPr>
                <w:rFonts w:ascii="Times New Roman" w:hAnsi="Times New Roman" w:cs="Times New Roman"/>
                <w:b/>
                <w:sz w:val="24"/>
                <w:szCs w:val="24"/>
                <w:lang w:val="fr-FR"/>
              </w:rPr>
            </w:pPr>
          </w:p>
          <w:p w14:paraId="169177A5" w14:textId="075219F3" w:rsidR="009F60A6" w:rsidRPr="00A7016B" w:rsidRDefault="009F60A6" w:rsidP="009F60A6">
            <w:pPr>
              <w:pStyle w:val="Textedebulles"/>
              <w:numPr>
                <w:ilvl w:val="12"/>
                <w:numId w:val="0"/>
              </w:numPr>
              <w:tabs>
                <w:tab w:val="left" w:pos="-720"/>
                <w:tab w:val="left" w:pos="4500"/>
              </w:tabs>
              <w:rPr>
                <w:rFonts w:ascii="Times New Roman" w:hAnsi="Times New Roman" w:cs="Times New Roman"/>
                <w:b/>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A7016B">
              <w:rPr>
                <w:rFonts w:ascii="Times New Roman" w:hAnsi="Times New Roman" w:cs="Times New Roman"/>
                <w:b/>
                <w:sz w:val="24"/>
                <w:szCs w:val="24"/>
                <w:lang w:val="fr-FR"/>
              </w:rPr>
              <w:instrText xml:space="preserve"> FORMDROPDOWN </w:instrText>
            </w:r>
            <w:r w:rsidR="001301F5">
              <w:rPr>
                <w:rFonts w:ascii="Times New Roman" w:hAnsi="Times New Roman" w:cs="Times New Roman"/>
                <w:b/>
                <w:sz w:val="24"/>
                <w:szCs w:val="24"/>
              </w:rPr>
            </w:r>
            <w:r w:rsidR="001301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A7016B">
              <w:rPr>
                <w:rFonts w:ascii="Times New Roman" w:hAnsi="Times New Roman" w:cs="Times New Roman"/>
                <w:b/>
                <w:sz w:val="24"/>
                <w:szCs w:val="24"/>
                <w:lang w:val="fr-FR"/>
              </w:rPr>
              <w:t xml:space="preserve">    </w:t>
            </w:r>
            <w:r w:rsidRPr="009F60A6">
              <w:rPr>
                <w:rFonts w:ascii="Times New Roman" w:hAnsi="Times New Roman" w:cs="Times New Roman"/>
                <w:bCs/>
                <w:sz w:val="24"/>
                <w:szCs w:val="24"/>
                <w:lang w:val="fr-FR"/>
              </w:rPr>
              <w:t>Programme Alimentaire Mondial (PAM) (Agence lead)</w:t>
            </w:r>
          </w:p>
          <w:p w14:paraId="65A7B36E" w14:textId="77777777" w:rsidR="009F60A6" w:rsidRPr="009F60A6" w:rsidRDefault="009F60A6" w:rsidP="009F60A6">
            <w:pPr>
              <w:pStyle w:val="Textedebulles"/>
              <w:numPr>
                <w:ilvl w:val="12"/>
                <w:numId w:val="0"/>
              </w:numPr>
              <w:tabs>
                <w:tab w:val="left" w:pos="-720"/>
                <w:tab w:val="left" w:pos="4500"/>
              </w:tabs>
              <w:rPr>
                <w:rFonts w:ascii="Times New Roman" w:hAnsi="Times New Roman" w:cs="Times New Roman"/>
                <w:bCs/>
                <w:sz w:val="24"/>
                <w:szCs w:val="24"/>
                <w:lang w:val="fr-FR"/>
              </w:rPr>
            </w:pPr>
            <w:r>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A7016B">
              <w:rPr>
                <w:rFonts w:ascii="Times New Roman" w:hAnsi="Times New Roman" w:cs="Times New Roman"/>
                <w:b/>
                <w:sz w:val="24"/>
                <w:szCs w:val="24"/>
                <w:lang w:val="fr-FR"/>
              </w:rPr>
              <w:instrText xml:space="preserve"> FORMDROPDOWN </w:instrText>
            </w:r>
            <w:r w:rsidR="001301F5">
              <w:rPr>
                <w:rFonts w:ascii="Times New Roman" w:hAnsi="Times New Roman" w:cs="Times New Roman"/>
                <w:b/>
                <w:sz w:val="24"/>
                <w:szCs w:val="24"/>
              </w:rPr>
            </w:r>
            <w:r w:rsidR="001301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A7016B">
              <w:rPr>
                <w:rFonts w:ascii="Times New Roman" w:hAnsi="Times New Roman" w:cs="Times New Roman"/>
                <w:b/>
                <w:sz w:val="24"/>
                <w:szCs w:val="24"/>
                <w:lang w:val="fr-FR"/>
              </w:rPr>
              <w:t xml:space="preserve">     </w:t>
            </w:r>
            <w:r w:rsidRPr="009F60A6">
              <w:rPr>
                <w:rFonts w:ascii="Times New Roman" w:hAnsi="Times New Roman" w:cs="Times New Roman"/>
                <w:bCs/>
                <w:sz w:val="24"/>
                <w:szCs w:val="24"/>
                <w:lang w:val="fr-FR"/>
              </w:rPr>
              <w:t>Organisation des Nations Unies pour l’Agriculture et l’Alimentation (FAO)</w:t>
            </w:r>
          </w:p>
          <w:p w14:paraId="0673E8AA" w14:textId="6EFA37DE" w:rsidR="009F60A6" w:rsidRPr="009F60A6" w:rsidRDefault="009F60A6" w:rsidP="009F60A6">
            <w:pPr>
              <w:pStyle w:val="Textedebulles"/>
              <w:numPr>
                <w:ilvl w:val="12"/>
                <w:numId w:val="0"/>
              </w:numPr>
              <w:tabs>
                <w:tab w:val="left" w:pos="-720"/>
                <w:tab w:val="left" w:pos="4500"/>
              </w:tabs>
              <w:rPr>
                <w:rFonts w:ascii="Times New Roman" w:hAnsi="Times New Roman" w:cs="Times New Roman"/>
                <w:bCs/>
                <w:sz w:val="24"/>
                <w:szCs w:val="24"/>
                <w:lang w:val="fr-FR"/>
              </w:rPr>
            </w:pPr>
            <w:r>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r w:rsidRPr="00A7016B">
              <w:rPr>
                <w:rFonts w:ascii="Times New Roman" w:hAnsi="Times New Roman" w:cs="Times New Roman"/>
                <w:b/>
                <w:sz w:val="24"/>
                <w:szCs w:val="24"/>
                <w:lang w:val="fr-FR"/>
              </w:rPr>
              <w:instrText xml:space="preserve"> FORMDROPDOWN </w:instrText>
            </w:r>
            <w:r w:rsidR="001301F5">
              <w:rPr>
                <w:rFonts w:ascii="Times New Roman" w:hAnsi="Times New Roman" w:cs="Times New Roman"/>
                <w:b/>
                <w:sz w:val="24"/>
                <w:szCs w:val="24"/>
              </w:rPr>
            </w:r>
            <w:r w:rsidR="001301F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Pr="00A7016B">
              <w:rPr>
                <w:rFonts w:ascii="Times New Roman" w:hAnsi="Times New Roman" w:cs="Times New Roman"/>
                <w:b/>
                <w:sz w:val="24"/>
                <w:szCs w:val="24"/>
                <w:lang w:val="fr-FR"/>
              </w:rPr>
              <w:t xml:space="preserve">     </w:t>
            </w:r>
            <w:r w:rsidRPr="009F60A6">
              <w:rPr>
                <w:rFonts w:ascii="Times New Roman" w:hAnsi="Times New Roman" w:cs="Times New Roman"/>
                <w:bCs/>
                <w:sz w:val="24"/>
                <w:szCs w:val="24"/>
                <w:lang w:val="fr-FR"/>
              </w:rPr>
              <w:t>Haut-Commissariat des Nations Unies aux droits de l’homme (HCDH)</w:t>
            </w:r>
          </w:p>
        </w:tc>
      </w:tr>
      <w:tr w:rsidR="009F60A6" w:rsidRPr="00FF7A06" w14:paraId="72CE853D" w14:textId="77777777" w:rsidTr="00F23D0F">
        <w:trPr>
          <w:trHeight w:val="368"/>
        </w:trPr>
        <w:tc>
          <w:tcPr>
            <w:tcW w:w="10080" w:type="dxa"/>
            <w:gridSpan w:val="2"/>
          </w:tcPr>
          <w:p w14:paraId="5C2804C5" w14:textId="4245DAE1" w:rsidR="009F60A6" w:rsidRPr="009F60A6" w:rsidRDefault="009F60A6" w:rsidP="009F60A6">
            <w:pPr>
              <w:rPr>
                <w:b/>
                <w:bCs/>
                <w:iCs/>
                <w:lang w:val="fr-FR"/>
              </w:rPr>
            </w:pPr>
            <w:r w:rsidRPr="000F43A8">
              <w:rPr>
                <w:b/>
                <w:bCs/>
                <w:iCs/>
                <w:lang w:val="fr-FR"/>
              </w:rPr>
              <w:t xml:space="preserve">Date du premier transfert de fonds: </w:t>
            </w:r>
            <w:r w:rsidRPr="003A0F00">
              <w:rPr>
                <w:bCs/>
                <w:iCs/>
                <w:snapToGrid w:val="0"/>
                <w:lang w:val="fr-FR"/>
              </w:rPr>
              <w:t>11 Novembre 2020</w:t>
            </w:r>
          </w:p>
          <w:p w14:paraId="064BF427" w14:textId="221FD057" w:rsidR="009F60A6" w:rsidRPr="000F43A8" w:rsidRDefault="009F60A6" w:rsidP="009F60A6">
            <w:pPr>
              <w:rPr>
                <w:bCs/>
                <w:iCs/>
                <w:snapToGrid w:val="0"/>
                <w:lang w:val="fr-FR"/>
              </w:rPr>
            </w:pPr>
            <w:r w:rsidRPr="000F43A8">
              <w:rPr>
                <w:b/>
                <w:bCs/>
                <w:iCs/>
                <w:lang w:val="fr-FR"/>
              </w:rPr>
              <w:t xml:space="preserve">Date de fin de projet: </w:t>
            </w:r>
            <w:r w:rsidRPr="009F60A6">
              <w:rPr>
                <w:bCs/>
                <w:iCs/>
                <w:snapToGrid w:val="0"/>
                <w:lang w:val="fr-FR"/>
              </w:rPr>
              <w:t>9 novembre 2022</w:t>
            </w:r>
            <w:r w:rsidRPr="000F43A8">
              <w:rPr>
                <w:bCs/>
                <w:iCs/>
                <w:snapToGrid w:val="0"/>
                <w:lang w:val="fr-FR"/>
              </w:rPr>
              <w:t xml:space="preserve">     </w:t>
            </w:r>
          </w:p>
          <w:p w14:paraId="2AE235F0" w14:textId="47813247" w:rsidR="009F60A6" w:rsidRPr="00BF4E1E" w:rsidRDefault="009F60A6" w:rsidP="009F60A6">
            <w:pPr>
              <w:rPr>
                <w:bCs/>
                <w:iCs/>
                <w:snapToGrid w:val="0"/>
                <w:lang w:val="fr-FR"/>
              </w:rPr>
            </w:pPr>
            <w:r w:rsidRPr="000F43A8">
              <w:rPr>
                <w:b/>
                <w:iCs/>
                <w:snapToGrid w:val="0"/>
                <w:lang w:val="fr-FR"/>
              </w:rPr>
              <w:t>Le projet est-il dans ces six derniers mois de mise en œuvre?</w:t>
            </w:r>
            <w:r w:rsidRPr="000F43A8">
              <w:rPr>
                <w:bCs/>
                <w:iCs/>
                <w:snapToGrid w:val="0"/>
                <w:lang w:val="fr-FR"/>
              </w:rPr>
              <w:t xml:space="preserve"> </w:t>
            </w:r>
            <w:r>
              <w:rPr>
                <w:bCs/>
                <w:iCs/>
                <w:snapToGrid w:val="0"/>
              </w:rPr>
              <w:t>Non</w:t>
            </w:r>
          </w:p>
          <w:p w14:paraId="433C13C0" w14:textId="77777777" w:rsidR="009F60A6" w:rsidRPr="000F43A8" w:rsidRDefault="009F60A6" w:rsidP="009F60A6">
            <w:pPr>
              <w:rPr>
                <w:b/>
                <w:bCs/>
                <w:iCs/>
                <w:lang w:val="fr-FR"/>
              </w:rPr>
            </w:pPr>
          </w:p>
        </w:tc>
      </w:tr>
      <w:tr w:rsidR="009F60A6" w:rsidRPr="00627A1C" w14:paraId="3A707F8C" w14:textId="77777777" w:rsidTr="00F23D0F">
        <w:trPr>
          <w:trHeight w:val="368"/>
        </w:trPr>
        <w:tc>
          <w:tcPr>
            <w:tcW w:w="10080" w:type="dxa"/>
            <w:gridSpan w:val="2"/>
          </w:tcPr>
          <w:p w14:paraId="77DA62DA" w14:textId="77777777" w:rsidR="009F60A6" w:rsidRPr="005D721B" w:rsidRDefault="009F60A6" w:rsidP="009F60A6">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14:paraId="100F4267" w14:textId="77777777" w:rsidR="009F60A6" w:rsidRPr="005D721B" w:rsidRDefault="009F60A6" w:rsidP="009F60A6">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301F5">
              <w:rPr>
                <w:lang w:val="fr-FR"/>
              </w:rPr>
            </w:r>
            <w:r w:rsidR="001301F5">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9F60A6" w:rsidRPr="005D721B" w:rsidRDefault="009F60A6" w:rsidP="009F60A6">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301F5">
              <w:rPr>
                <w:lang w:val="fr-FR"/>
              </w:rPr>
            </w:r>
            <w:r w:rsidR="001301F5">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9F60A6" w:rsidRPr="005D721B" w:rsidRDefault="009F60A6" w:rsidP="009F60A6">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301F5">
              <w:rPr>
                <w:lang w:val="fr-FR"/>
              </w:rPr>
            </w:r>
            <w:r w:rsidR="001301F5">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9F60A6" w:rsidRDefault="009F60A6" w:rsidP="009F60A6">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301F5">
              <w:rPr>
                <w:lang w:val="fr-FR"/>
              </w:rPr>
            </w:r>
            <w:r w:rsidR="001301F5">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9F60A6" w:rsidRPr="00627A1C" w:rsidRDefault="009F60A6" w:rsidP="009F60A6">
            <w:pPr>
              <w:rPr>
                <w:b/>
                <w:bCs/>
                <w:iCs/>
              </w:rPr>
            </w:pPr>
          </w:p>
        </w:tc>
      </w:tr>
      <w:tr w:rsidR="009F60A6" w:rsidRPr="00023A14" w14:paraId="65120CDF" w14:textId="77777777" w:rsidTr="00F23D0F">
        <w:trPr>
          <w:trHeight w:val="1124"/>
        </w:trPr>
        <w:tc>
          <w:tcPr>
            <w:tcW w:w="10080" w:type="dxa"/>
            <w:gridSpan w:val="2"/>
          </w:tcPr>
          <w:p w14:paraId="08D9EBF0" w14:textId="77777777" w:rsidR="009F60A6" w:rsidRPr="000F43A8" w:rsidRDefault="009F60A6" w:rsidP="009F60A6">
            <w:pPr>
              <w:rPr>
                <w:b/>
                <w:bCs/>
                <w:iCs/>
                <w:lang w:val="fr-FR"/>
              </w:rPr>
            </w:pPr>
            <w:r w:rsidRPr="000F43A8">
              <w:rPr>
                <w:b/>
                <w:bCs/>
                <w:iCs/>
                <w:lang w:val="fr-FR"/>
              </w:rPr>
              <w:t xml:space="preserve">Budget PBF total approuvé (par agence récipiendaire): </w:t>
            </w:r>
          </w:p>
          <w:p w14:paraId="61353E95" w14:textId="275BC5F7" w:rsidR="009F60A6" w:rsidRPr="009F60A6" w:rsidRDefault="009F60A6" w:rsidP="009F60A6">
            <w:pPr>
              <w:rPr>
                <w:b/>
                <w:iCs/>
                <w:snapToGrid w:val="0"/>
                <w:lang w:val="fr-FR"/>
              </w:rPr>
            </w:pPr>
            <w:bookmarkStart w:id="2"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  </w:t>
            </w:r>
            <w:bookmarkEnd w:id="2"/>
          </w:p>
          <w:p w14:paraId="51020B37" w14:textId="77777777" w:rsidR="009F60A6" w:rsidRPr="007C7B57" w:rsidRDefault="009F60A6" w:rsidP="009F60A6">
            <w:pPr>
              <w:rPr>
                <w:iCs/>
                <w:lang w:val="fr-FR"/>
              </w:rPr>
            </w:pPr>
            <w:r w:rsidRPr="006E4CA6">
              <w:rPr>
                <w:bCs/>
                <w:iCs/>
                <w:snapToGrid w:val="0"/>
                <w:lang w:val="fr-FR"/>
              </w:rPr>
              <w:t>WFP</w:t>
            </w:r>
            <w:r w:rsidRPr="007C7B57">
              <w:rPr>
                <w:bCs/>
                <w:iCs/>
                <w:snapToGrid w:val="0"/>
                <w:lang w:val="fr-FR"/>
              </w:rPr>
              <w:t xml:space="preserve">   </w:t>
            </w:r>
            <w:r w:rsidRPr="007C7B57">
              <w:rPr>
                <w:b/>
                <w:bCs/>
                <w:iCs/>
                <w:lang w:val="fr-FR"/>
              </w:rPr>
              <w:t xml:space="preserve">                                                     </w:t>
            </w:r>
            <w:r w:rsidRPr="007C7B57">
              <w:rPr>
                <w:iCs/>
                <w:lang w:val="fr-FR"/>
              </w:rPr>
              <w:t xml:space="preserve">$ </w:t>
            </w:r>
            <w:r w:rsidRPr="00DA7A52">
              <w:rPr>
                <w:bCs/>
                <w:iCs/>
                <w:snapToGrid w:val="0"/>
                <w:lang w:val="fr-FR"/>
              </w:rPr>
              <w:t>1,020,329.56</w:t>
            </w:r>
          </w:p>
          <w:p w14:paraId="56751505" w14:textId="77777777" w:rsidR="009F60A6" w:rsidRPr="007C7B57" w:rsidRDefault="009F60A6" w:rsidP="009F60A6">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E4CA6">
              <w:rPr>
                <w:rFonts w:ascii="Times New Roman" w:hAnsi="Times New Roman" w:cs="Times New Roman"/>
                <w:bCs/>
                <w:iCs/>
                <w:snapToGrid w:val="0"/>
                <w:sz w:val="24"/>
                <w:szCs w:val="24"/>
                <w:lang w:val="fr-FR"/>
              </w:rPr>
              <w:t>FA</w:t>
            </w:r>
            <w:r>
              <w:rPr>
                <w:rFonts w:ascii="Times New Roman" w:hAnsi="Times New Roman" w:cs="Times New Roman"/>
                <w:bCs/>
                <w:iCs/>
                <w:snapToGrid w:val="0"/>
                <w:sz w:val="24"/>
                <w:szCs w:val="24"/>
                <w:lang w:val="fr-FR"/>
              </w:rPr>
              <w:t>O</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Pr="00DA7A52">
              <w:rPr>
                <w:rFonts w:ascii="Times New Roman" w:hAnsi="Times New Roman" w:cs="Times New Roman"/>
                <w:bCs/>
                <w:iCs/>
                <w:snapToGrid w:val="0"/>
                <w:sz w:val="24"/>
                <w:szCs w:val="24"/>
                <w:lang w:val="fr-FR"/>
              </w:rPr>
              <w:t>614,980.36</w:t>
            </w:r>
          </w:p>
          <w:p w14:paraId="64B45687" w14:textId="77777777" w:rsidR="009F60A6" w:rsidRPr="00DA7A52" w:rsidRDefault="009F60A6" w:rsidP="009F60A6">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A7A52">
              <w:rPr>
                <w:rFonts w:ascii="Times New Roman" w:hAnsi="Times New Roman" w:cs="Times New Roman"/>
                <w:bCs/>
                <w:iCs/>
                <w:snapToGrid w:val="0"/>
                <w:sz w:val="24"/>
                <w:szCs w:val="24"/>
                <w:lang w:val="fr-FR"/>
              </w:rPr>
              <w:t>HCDH</w:t>
            </w:r>
            <w:r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A7A52">
              <w:rPr>
                <w:rFonts w:ascii="Times New Roman" w:hAnsi="Times New Roman" w:cs="Times New Roman"/>
                <w:bCs/>
                <w:iCs/>
                <w:snapToGrid w:val="0"/>
                <w:sz w:val="24"/>
                <w:szCs w:val="24"/>
                <w:lang w:val="fr-FR"/>
              </w:rPr>
              <w:t>460,100.00</w:t>
            </w:r>
          </w:p>
          <w:p w14:paraId="75686097" w14:textId="77777777" w:rsidR="009F60A6" w:rsidRPr="007C7B57" w:rsidRDefault="009F60A6" w:rsidP="009F60A6">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04E821B" w14:textId="77777777" w:rsidR="009F60A6" w:rsidRPr="007C7B57" w:rsidRDefault="009F60A6" w:rsidP="009F60A6">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Total</w:t>
            </w:r>
            <w:r>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 </w:t>
            </w:r>
            <w:r w:rsidRPr="00EF483D">
              <w:rPr>
                <w:rFonts w:ascii="Times New Roman" w:hAnsi="Times New Roman" w:cs="Times New Roman"/>
                <w:bCs/>
                <w:iCs/>
                <w:snapToGrid w:val="0"/>
                <w:sz w:val="24"/>
                <w:szCs w:val="24"/>
                <w:lang w:val="fr-FR"/>
              </w:rPr>
              <w:t>2,095,409.92</w:t>
            </w:r>
            <w:r w:rsidRPr="007C7B57">
              <w:rPr>
                <w:rFonts w:ascii="Times New Roman" w:hAnsi="Times New Roman" w:cs="Times New Roman"/>
                <w:bCs/>
                <w:iCs/>
                <w:snapToGrid w:val="0"/>
                <w:sz w:val="24"/>
                <w:szCs w:val="24"/>
                <w:lang w:val="fr-FR"/>
              </w:rPr>
              <w:t xml:space="preserve"> </w:t>
            </w:r>
          </w:p>
          <w:p w14:paraId="5324AF29" w14:textId="1CEC2FC7" w:rsidR="009F60A6" w:rsidRPr="006239EB" w:rsidRDefault="009F60A6" w:rsidP="009F60A6">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39EB">
              <w:rPr>
                <w:rFonts w:ascii="Times New Roman" w:hAnsi="Times New Roman" w:cs="Times New Roman"/>
                <w:bCs/>
                <w:iCs/>
                <w:snapToGrid w:val="0"/>
                <w:sz w:val="24"/>
                <w:szCs w:val="24"/>
                <w:lang w:val="fr-FR"/>
              </w:rPr>
              <w:t xml:space="preserve">Taux de mise en œuvre approximatif comme pourcentage du budget </w:t>
            </w:r>
            <w:r w:rsidRPr="006239EB">
              <w:rPr>
                <w:rFonts w:ascii="Times New Roman" w:hAnsi="Times New Roman" w:cs="Times New Roman"/>
                <w:b/>
                <w:iCs/>
                <w:snapToGrid w:val="0"/>
                <w:sz w:val="24"/>
                <w:szCs w:val="24"/>
                <w:lang w:val="fr-FR"/>
              </w:rPr>
              <w:t>TOTAL</w:t>
            </w:r>
            <w:r w:rsidRPr="006239EB">
              <w:rPr>
                <w:rFonts w:ascii="Times New Roman" w:hAnsi="Times New Roman" w:cs="Times New Roman"/>
                <w:bCs/>
                <w:iCs/>
                <w:snapToGrid w:val="0"/>
                <w:sz w:val="24"/>
                <w:szCs w:val="24"/>
                <w:lang w:val="fr-FR"/>
              </w:rPr>
              <w:t xml:space="preserve"> du projet:</w:t>
            </w:r>
            <w:r w:rsidR="00BF0B6D" w:rsidRPr="006239EB">
              <w:rPr>
                <w:rFonts w:ascii="Times New Roman" w:hAnsi="Times New Roman" w:cs="Times New Roman"/>
                <w:bCs/>
                <w:iCs/>
                <w:snapToGrid w:val="0"/>
                <w:sz w:val="24"/>
                <w:szCs w:val="24"/>
                <w:lang w:val="fr-FR"/>
              </w:rPr>
              <w:t xml:space="preserve"> 35%</w:t>
            </w:r>
            <w:r w:rsidRPr="006239EB">
              <w:rPr>
                <w:rFonts w:ascii="Times New Roman" w:hAnsi="Times New Roman" w:cs="Times New Roman"/>
                <w:bCs/>
                <w:iCs/>
                <w:snapToGrid w:val="0"/>
                <w:sz w:val="24"/>
                <w:szCs w:val="24"/>
                <w:lang w:val="fr-FR"/>
              </w:rPr>
              <w:t xml:space="preserve"> </w:t>
            </w:r>
            <w:r w:rsidRPr="006239EB">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3" w:name="Text51"/>
            <w:r w:rsidRPr="006239EB">
              <w:rPr>
                <w:rFonts w:ascii="Times New Roman" w:hAnsi="Times New Roman" w:cs="Times New Roman"/>
                <w:bCs/>
                <w:iCs/>
                <w:snapToGrid w:val="0"/>
                <w:sz w:val="24"/>
                <w:szCs w:val="24"/>
                <w:lang w:val="fr-FR"/>
              </w:rPr>
              <w:instrText xml:space="preserve"> FORMTEXT </w:instrText>
            </w:r>
            <w:r w:rsidRPr="006239EB">
              <w:rPr>
                <w:rFonts w:ascii="Times New Roman" w:hAnsi="Times New Roman" w:cs="Times New Roman"/>
                <w:bCs/>
                <w:iCs/>
                <w:snapToGrid w:val="0"/>
                <w:sz w:val="24"/>
                <w:szCs w:val="24"/>
              </w:rPr>
            </w:r>
            <w:r w:rsidRPr="006239EB">
              <w:rPr>
                <w:rFonts w:ascii="Times New Roman" w:hAnsi="Times New Roman" w:cs="Times New Roman"/>
                <w:bCs/>
                <w:iCs/>
                <w:snapToGrid w:val="0"/>
                <w:sz w:val="24"/>
                <w:szCs w:val="24"/>
              </w:rPr>
              <w:fldChar w:fldCharType="separate"/>
            </w:r>
            <w:r w:rsidRPr="006239EB">
              <w:rPr>
                <w:rFonts w:ascii="Times New Roman" w:hAnsi="Times New Roman" w:cs="Times New Roman"/>
                <w:bCs/>
                <w:iCs/>
                <w:noProof/>
                <w:snapToGrid w:val="0"/>
                <w:sz w:val="24"/>
                <w:szCs w:val="24"/>
              </w:rPr>
              <w:t> </w:t>
            </w:r>
            <w:r w:rsidRPr="006239EB">
              <w:rPr>
                <w:rFonts w:ascii="Times New Roman" w:hAnsi="Times New Roman" w:cs="Times New Roman"/>
                <w:bCs/>
                <w:iCs/>
                <w:noProof/>
                <w:snapToGrid w:val="0"/>
                <w:sz w:val="24"/>
                <w:szCs w:val="24"/>
              </w:rPr>
              <w:t> </w:t>
            </w:r>
            <w:r w:rsidRPr="006239EB">
              <w:rPr>
                <w:rFonts w:ascii="Times New Roman" w:hAnsi="Times New Roman" w:cs="Times New Roman"/>
                <w:bCs/>
                <w:iCs/>
                <w:noProof/>
                <w:snapToGrid w:val="0"/>
                <w:sz w:val="24"/>
                <w:szCs w:val="24"/>
              </w:rPr>
              <w:t> </w:t>
            </w:r>
            <w:r w:rsidRPr="006239EB">
              <w:rPr>
                <w:rFonts w:ascii="Times New Roman" w:hAnsi="Times New Roman" w:cs="Times New Roman"/>
                <w:bCs/>
                <w:iCs/>
                <w:noProof/>
                <w:snapToGrid w:val="0"/>
                <w:sz w:val="24"/>
                <w:szCs w:val="24"/>
              </w:rPr>
              <w:t> </w:t>
            </w:r>
            <w:r w:rsidRPr="006239EB">
              <w:rPr>
                <w:rFonts w:ascii="Times New Roman" w:hAnsi="Times New Roman" w:cs="Times New Roman"/>
                <w:bCs/>
                <w:iCs/>
                <w:noProof/>
                <w:snapToGrid w:val="0"/>
                <w:sz w:val="24"/>
                <w:szCs w:val="24"/>
              </w:rPr>
              <w:t> </w:t>
            </w:r>
            <w:r w:rsidRPr="006239EB">
              <w:rPr>
                <w:rFonts w:ascii="Times New Roman" w:hAnsi="Times New Roman" w:cs="Times New Roman"/>
                <w:bCs/>
                <w:iCs/>
                <w:snapToGrid w:val="0"/>
                <w:sz w:val="24"/>
                <w:szCs w:val="24"/>
              </w:rPr>
              <w:fldChar w:fldCharType="end"/>
            </w:r>
            <w:bookmarkEnd w:id="3"/>
          </w:p>
          <w:p w14:paraId="4160A5D1" w14:textId="77777777" w:rsidR="009F60A6" w:rsidRPr="00826923" w:rsidRDefault="009F60A6" w:rsidP="009F60A6">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6239EB">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9F60A6" w:rsidRPr="00BF4E1E" w:rsidRDefault="009F60A6" w:rsidP="009F60A6">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9F60A6" w:rsidRPr="000F43A8" w:rsidRDefault="009F60A6" w:rsidP="009F60A6">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Budgetisation sensible au genre:</w:t>
            </w:r>
          </w:p>
          <w:p w14:paraId="70C2EA9C" w14:textId="74BE3C8A" w:rsidR="009F60A6" w:rsidRPr="000F43A8" w:rsidRDefault="009F60A6" w:rsidP="009F60A6">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femmes</w:t>
            </w:r>
            <w:r w:rsidRPr="000F43A8">
              <w:rPr>
                <w:lang w:val="fr-FR"/>
              </w:rPr>
              <w:t xml:space="preserve">: </w:t>
            </w:r>
            <w:r w:rsidR="00D43A64">
              <w:rPr>
                <w:lang w:val="fr-FR"/>
              </w:rPr>
              <w:t xml:space="preserve">$ </w:t>
            </w:r>
            <w:r w:rsidR="00D43A64" w:rsidRPr="00A7016B">
              <w:rPr>
                <w:lang w:val="fr-FR"/>
              </w:rPr>
              <w:t>1,291,207.06</w:t>
            </w:r>
          </w:p>
          <w:p w14:paraId="00AF6414" w14:textId="120124AC" w:rsidR="009F60A6" w:rsidRPr="00D43A64" w:rsidRDefault="009F60A6" w:rsidP="009F60A6">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Pr="000F43A8">
              <w:rPr>
                <w:lang w:val="fr-FR"/>
              </w:rPr>
              <w:t xml:space="preserve">: </w:t>
            </w:r>
            <w:r w:rsidR="00D43A64" w:rsidRPr="00D43A64">
              <w:rPr>
                <w:lang w:val="fr-FR"/>
              </w:rPr>
              <w:t>1</w:t>
            </w:r>
            <w:r w:rsidR="00D43A64">
              <w:rPr>
                <w:lang w:val="fr-FR"/>
              </w:rPr>
              <w:t>2%</w:t>
            </w:r>
          </w:p>
          <w:p w14:paraId="639EFB0D" w14:textId="77777777" w:rsidR="009F60A6" w:rsidRPr="000F43A8" w:rsidRDefault="009F60A6" w:rsidP="009F60A6">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F60A6" w:rsidRPr="00023A14" w14:paraId="0DF7F010" w14:textId="77777777" w:rsidTr="00F23D0F">
        <w:trPr>
          <w:trHeight w:val="1124"/>
        </w:trPr>
        <w:tc>
          <w:tcPr>
            <w:tcW w:w="10080" w:type="dxa"/>
            <w:gridSpan w:val="2"/>
          </w:tcPr>
          <w:p w14:paraId="0084A294" w14:textId="7DAF16B1" w:rsidR="009F60A6" w:rsidRPr="00D43A64" w:rsidRDefault="009F60A6" w:rsidP="009F60A6">
            <w:pPr>
              <w:rPr>
                <w:b/>
                <w:bCs/>
                <w:iCs/>
                <w:lang w:val="fr-FR"/>
              </w:rPr>
            </w:pPr>
            <w:r w:rsidRPr="000F43A8">
              <w:rPr>
                <w:b/>
                <w:bCs/>
                <w:iCs/>
                <w:lang w:val="fr-FR"/>
              </w:rPr>
              <w:t xml:space="preserve">Marquer de genre du projet: </w:t>
            </w:r>
            <w:r w:rsidR="00D43A64" w:rsidRPr="00D43A64">
              <w:rPr>
                <w:b/>
                <w:bCs/>
                <w:iCs/>
                <w:lang w:val="fr-FR"/>
              </w:rPr>
              <w:t>G</w:t>
            </w:r>
            <w:r w:rsidR="00D43A64">
              <w:rPr>
                <w:b/>
                <w:bCs/>
                <w:iCs/>
                <w:lang w:val="fr-FR"/>
              </w:rPr>
              <w:t>M2</w:t>
            </w:r>
          </w:p>
          <w:p w14:paraId="7B5DB9E4" w14:textId="61214651" w:rsidR="009F60A6" w:rsidRPr="00D43A64" w:rsidRDefault="009F60A6" w:rsidP="009F60A6">
            <w:pPr>
              <w:rPr>
                <w:b/>
                <w:bCs/>
                <w:iCs/>
                <w:lang w:val="fr-FR"/>
              </w:rPr>
            </w:pPr>
            <w:r w:rsidRPr="000F43A8">
              <w:rPr>
                <w:b/>
                <w:bCs/>
                <w:iCs/>
                <w:lang w:val="fr-FR"/>
              </w:rPr>
              <w:t>Marquer de risque du projet:</w:t>
            </w:r>
            <w:r w:rsidR="00D43A64">
              <w:rPr>
                <w:b/>
                <w:bCs/>
                <w:iCs/>
                <w:lang w:val="fr-FR"/>
              </w:rPr>
              <w:t xml:space="preserve"> </w:t>
            </w:r>
            <w:r w:rsidR="00D43A64" w:rsidRPr="00D43A64">
              <w:rPr>
                <w:b/>
                <w:bCs/>
                <w:iCs/>
                <w:lang w:val="fr-FR"/>
              </w:rPr>
              <w:t>F</w:t>
            </w:r>
            <w:r w:rsidR="00D43A64">
              <w:rPr>
                <w:b/>
                <w:bCs/>
                <w:iCs/>
                <w:lang w:val="fr-FR"/>
              </w:rPr>
              <w:t>aible</w:t>
            </w:r>
          </w:p>
          <w:p w14:paraId="55B14D86" w14:textId="1916E55D" w:rsidR="009F60A6" w:rsidRPr="000F43A8" w:rsidRDefault="009F60A6" w:rsidP="009F60A6">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Pr="000F43A8">
              <w:rPr>
                <w:b/>
                <w:bCs/>
                <w:iCs/>
                <w:lang w:val="fr-FR"/>
              </w:rPr>
              <w:t>focus area</w:t>
            </w:r>
            <w:r>
              <w:rPr>
                <w:b/>
                <w:bCs/>
                <w:iCs/>
                <w:lang w:val="fr-FR"/>
              </w:rPr>
              <w:t> »)</w:t>
            </w:r>
            <w:r w:rsidRPr="000F43A8">
              <w:rPr>
                <w:b/>
                <w:bCs/>
                <w:iCs/>
                <w:lang w:val="fr-FR"/>
              </w:rPr>
              <w:t xml:space="preserve">: </w:t>
            </w:r>
            <w:r w:rsidR="00D43A64">
              <w:rPr>
                <w:b/>
                <w:bCs/>
                <w:iCs/>
                <w:lang w:val="fr-FR"/>
              </w:rPr>
              <w:t>3.2 accès équitable aux services sociaux</w:t>
            </w:r>
          </w:p>
        </w:tc>
      </w:tr>
      <w:tr w:rsidR="009F60A6" w:rsidRPr="00023A14" w14:paraId="27192C5C" w14:textId="77777777" w:rsidTr="00F23D0F">
        <w:trPr>
          <w:trHeight w:val="1124"/>
        </w:trPr>
        <w:tc>
          <w:tcPr>
            <w:tcW w:w="10080" w:type="dxa"/>
            <w:gridSpan w:val="2"/>
          </w:tcPr>
          <w:p w14:paraId="7BC15C3E" w14:textId="737E1DFB" w:rsidR="009F60A6" w:rsidRPr="00136BFF" w:rsidRDefault="009F60A6" w:rsidP="009F60A6">
            <w:pPr>
              <w:rPr>
                <w:b/>
                <w:bCs/>
                <w:sz w:val="22"/>
                <w:lang w:val="fr-FR"/>
              </w:rPr>
            </w:pPr>
            <w:r w:rsidRPr="00136BFF">
              <w:rPr>
                <w:b/>
                <w:bCs/>
                <w:sz w:val="22"/>
                <w:lang w:val="fr-FR"/>
              </w:rPr>
              <w:lastRenderedPageBreak/>
              <w:t>Préparation du rapport:</w:t>
            </w:r>
            <w:r w:rsidR="00BD5C5C">
              <w:rPr>
                <w:b/>
                <w:bCs/>
                <w:sz w:val="22"/>
                <w:lang w:val="fr-FR"/>
              </w:rPr>
              <w:t>22/10/2021</w:t>
            </w:r>
          </w:p>
          <w:p w14:paraId="43FCACD6" w14:textId="0C10C883" w:rsidR="009F60A6" w:rsidRPr="00826923" w:rsidRDefault="009F60A6" w:rsidP="009F60A6">
            <w:pPr>
              <w:rPr>
                <w:lang w:val="fr-FR"/>
              </w:rPr>
            </w:pPr>
            <w:r w:rsidRPr="00826923">
              <w:rPr>
                <w:lang w:val="fr-FR"/>
              </w:rPr>
              <w:t xml:space="preserve">Rapport préparé par: </w:t>
            </w:r>
            <w:r w:rsidR="000C13D5">
              <w:rPr>
                <w:lang w:val="fr-FR"/>
              </w:rPr>
              <w:t>Alexandre SAGNO</w:t>
            </w:r>
          </w:p>
          <w:p w14:paraId="4F7F6063" w14:textId="7AE8F113" w:rsidR="009F60A6" w:rsidRPr="00826923" w:rsidRDefault="009F60A6" w:rsidP="009F60A6">
            <w:pPr>
              <w:rPr>
                <w:lang w:val="fr-FR"/>
              </w:rPr>
            </w:pPr>
            <w:r w:rsidRPr="00826923">
              <w:rPr>
                <w:lang w:val="fr-FR"/>
              </w:rPr>
              <w:t xml:space="preserve">Rapport approuvé par: </w:t>
            </w:r>
            <w:r w:rsidR="000C13D5">
              <w:rPr>
                <w:lang w:val="fr-FR"/>
              </w:rPr>
              <w:t>Alseny BARRY</w:t>
            </w:r>
          </w:p>
          <w:p w14:paraId="64A19D37" w14:textId="2C51FF48" w:rsidR="009F60A6" w:rsidRPr="000F43A8" w:rsidRDefault="009F60A6" w:rsidP="009F60A6">
            <w:pPr>
              <w:rPr>
                <w:lang w:val="fr-FR"/>
              </w:rPr>
            </w:pPr>
            <w:r w:rsidRPr="00826923">
              <w:rPr>
                <w:lang w:val="fr-FR"/>
              </w:rPr>
              <w:t>Le Secrétariat PBF a-t-il revu le rapport</w:t>
            </w:r>
            <w:r w:rsidRPr="00136BFF">
              <w:rPr>
                <w:sz w:val="22"/>
                <w:lang w:val="fr-FR"/>
              </w:rPr>
              <w:t xml:space="preserve">: </w:t>
            </w:r>
            <w:r w:rsidR="00673DED">
              <w:fldChar w:fldCharType="begin">
                <w:ffData>
                  <w:name w:val="secretariatreview"/>
                  <w:enabled/>
                  <w:calcOnExit w:val="0"/>
                  <w:ddList>
                    <w:listEntry w:val="Oui"/>
                    <w:listEntry w:val="Veuillez sélectionner"/>
                    <w:listEntry w:val="Non"/>
                  </w:ddList>
                </w:ffData>
              </w:fldChar>
            </w:r>
            <w:r w:rsidR="00673DED" w:rsidRPr="001C730D">
              <w:rPr>
                <w:lang w:val="fr-FR"/>
              </w:rPr>
              <w:instrText xml:space="preserve"> </w:instrText>
            </w:r>
            <w:bookmarkStart w:id="4" w:name="secretariatreview"/>
            <w:r w:rsidR="00673DED" w:rsidRPr="001C730D">
              <w:rPr>
                <w:lang w:val="fr-FR"/>
              </w:rPr>
              <w:instrText xml:space="preserve">FORMDROPDOWN </w:instrText>
            </w:r>
            <w:r w:rsidR="001301F5">
              <w:fldChar w:fldCharType="separate"/>
            </w:r>
            <w:r w:rsidR="00673DED">
              <w:fldChar w:fldCharType="end"/>
            </w:r>
            <w:bookmarkEnd w:id="4"/>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NOTES POUR REMPLIR LE RAPPORT:</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731965F7" w14:textId="62272EEA" w:rsidR="004660A2" w:rsidRPr="001C730D" w:rsidRDefault="00F778A1" w:rsidP="007265E2">
      <w:pPr>
        <w:ind w:left="-810"/>
        <w:rPr>
          <w:b/>
          <w:bCs/>
          <w:lang w:val="fr-FR"/>
        </w:rPr>
      </w:pPr>
      <w:r w:rsidRPr="001C730D">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1C327C" w14:textId="77777777" w:rsidR="00BD5C5C" w:rsidRDefault="00BD5C5C" w:rsidP="00D93455">
      <w:pPr>
        <w:ind w:left="-810"/>
        <w:jc w:val="both"/>
        <w:rPr>
          <w:highlight w:val="lightGray"/>
          <w:lang w:val="fr-FR"/>
        </w:rPr>
      </w:pPr>
    </w:p>
    <w:p w14:paraId="48FB950F" w14:textId="212781C5" w:rsidR="001163E6" w:rsidRPr="006239EB" w:rsidRDefault="001C730D" w:rsidP="00D93455">
      <w:pPr>
        <w:ind w:left="-810"/>
        <w:jc w:val="both"/>
        <w:rPr>
          <w:lang w:val="fr-FR"/>
        </w:rPr>
      </w:pPr>
      <w:r w:rsidRPr="006239EB">
        <w:rPr>
          <w:lang w:val="fr-FR"/>
        </w:rPr>
        <w:t xml:space="preserve"> </w:t>
      </w:r>
      <w:r w:rsidR="002108F5" w:rsidRPr="006239EB">
        <w:rPr>
          <w:lang w:val="fr-FR"/>
        </w:rPr>
        <w:t>F</w:t>
      </w:r>
      <w:r w:rsidR="004660A2" w:rsidRPr="006239EB">
        <w:rPr>
          <w:lang w:val="fr-FR"/>
        </w:rPr>
        <w:t xml:space="preserve">ormation sur le concept champs écoles </w:t>
      </w:r>
      <w:r w:rsidR="00296218" w:rsidRPr="006239EB">
        <w:rPr>
          <w:lang w:val="fr-FR"/>
        </w:rPr>
        <w:t>paysan, distribution</w:t>
      </w:r>
      <w:r w:rsidR="004660A2" w:rsidRPr="006239EB">
        <w:rPr>
          <w:lang w:val="fr-FR"/>
        </w:rPr>
        <w:t xml:space="preserve"> d’intrants </w:t>
      </w:r>
      <w:r w:rsidR="00F01DE8" w:rsidRPr="006239EB">
        <w:rPr>
          <w:lang w:val="fr-FR"/>
        </w:rPr>
        <w:t xml:space="preserve">et outillages </w:t>
      </w:r>
      <w:r w:rsidR="0004226A" w:rsidRPr="006239EB">
        <w:rPr>
          <w:lang w:val="fr-FR"/>
        </w:rPr>
        <w:t>à</w:t>
      </w:r>
      <w:r w:rsidR="003E2FF3" w:rsidRPr="006239EB">
        <w:rPr>
          <w:lang w:val="fr-FR"/>
        </w:rPr>
        <w:t xml:space="preserve"> 12</w:t>
      </w:r>
      <w:r w:rsidR="00135923" w:rsidRPr="006239EB">
        <w:rPr>
          <w:lang w:val="fr-FR"/>
        </w:rPr>
        <w:t xml:space="preserve"> OPA</w:t>
      </w:r>
      <w:r w:rsidR="004660A2" w:rsidRPr="006239EB">
        <w:rPr>
          <w:lang w:val="fr-FR"/>
        </w:rPr>
        <w:t xml:space="preserve"> pour </w:t>
      </w:r>
      <w:r w:rsidR="003E2FF3" w:rsidRPr="006239EB">
        <w:rPr>
          <w:lang w:val="fr-FR"/>
        </w:rPr>
        <w:t>l’</w:t>
      </w:r>
      <w:r w:rsidRPr="006239EB">
        <w:rPr>
          <w:lang w:val="fr-FR"/>
        </w:rPr>
        <w:t>aménagement</w:t>
      </w:r>
      <w:r w:rsidR="003E2FF3" w:rsidRPr="006239EB">
        <w:rPr>
          <w:lang w:val="fr-FR"/>
        </w:rPr>
        <w:t xml:space="preserve">, la </w:t>
      </w:r>
      <w:r w:rsidRPr="006239EB">
        <w:rPr>
          <w:lang w:val="fr-FR"/>
        </w:rPr>
        <w:t>clôture</w:t>
      </w:r>
      <w:r w:rsidR="003E2FF3" w:rsidRPr="006239EB">
        <w:rPr>
          <w:lang w:val="fr-FR"/>
        </w:rPr>
        <w:t xml:space="preserve"> et </w:t>
      </w:r>
      <w:r w:rsidR="004660A2" w:rsidRPr="006239EB">
        <w:rPr>
          <w:lang w:val="fr-FR"/>
        </w:rPr>
        <w:t xml:space="preserve">la mise en valeur de 48 ha </w:t>
      </w:r>
      <w:r w:rsidR="003E2FF3" w:rsidRPr="006239EB">
        <w:rPr>
          <w:lang w:val="fr-FR"/>
        </w:rPr>
        <w:t xml:space="preserve">de bas fond </w:t>
      </w:r>
      <w:r w:rsidR="00F121C0" w:rsidRPr="006239EB">
        <w:rPr>
          <w:lang w:val="fr-FR"/>
        </w:rPr>
        <w:t>rizicole</w:t>
      </w:r>
      <w:r w:rsidR="004660A2" w:rsidRPr="006239EB">
        <w:rPr>
          <w:lang w:val="fr-FR"/>
        </w:rPr>
        <w:t xml:space="preserve"> dans 15 villages</w:t>
      </w:r>
      <w:r w:rsidR="00854FEF" w:rsidRPr="006239EB">
        <w:rPr>
          <w:lang w:val="fr-FR"/>
        </w:rPr>
        <w:t xml:space="preserve"> </w:t>
      </w:r>
      <w:r w:rsidR="00F71E6F" w:rsidRPr="006239EB">
        <w:rPr>
          <w:lang w:val="fr-FR"/>
        </w:rPr>
        <w:t>précédé</w:t>
      </w:r>
      <w:r w:rsidR="00E224A2" w:rsidRPr="006239EB">
        <w:rPr>
          <w:lang w:val="fr-FR"/>
        </w:rPr>
        <w:t xml:space="preserve"> des études techniques</w:t>
      </w:r>
      <w:r w:rsidR="00854FEF" w:rsidRPr="006239EB">
        <w:rPr>
          <w:lang w:val="fr-FR"/>
        </w:rPr>
        <w:t xml:space="preserve"> et</w:t>
      </w:r>
      <w:r w:rsidR="00E224A2" w:rsidRPr="006239EB">
        <w:rPr>
          <w:lang w:val="fr-FR"/>
        </w:rPr>
        <w:t xml:space="preserve"> d’impact environnementale</w:t>
      </w:r>
      <w:r w:rsidR="004660A2" w:rsidRPr="006239EB">
        <w:rPr>
          <w:lang w:val="fr-FR"/>
        </w:rPr>
        <w:t xml:space="preserve">.  4 magasins </w:t>
      </w:r>
      <w:r w:rsidR="002108F5" w:rsidRPr="006239EB">
        <w:rPr>
          <w:lang w:val="fr-FR"/>
        </w:rPr>
        <w:t>construits</w:t>
      </w:r>
      <w:r w:rsidR="004660A2" w:rsidRPr="006239EB">
        <w:rPr>
          <w:lang w:val="fr-FR"/>
        </w:rPr>
        <w:t xml:space="preserve"> </w:t>
      </w:r>
      <w:r w:rsidR="002108F5" w:rsidRPr="006239EB">
        <w:rPr>
          <w:lang w:val="fr-FR"/>
        </w:rPr>
        <w:t>et 20</w:t>
      </w:r>
      <w:r w:rsidR="004660A2" w:rsidRPr="006239EB">
        <w:rPr>
          <w:lang w:val="fr-FR"/>
        </w:rPr>
        <w:t xml:space="preserve">ha </w:t>
      </w:r>
      <w:r w:rsidR="006B1FE5" w:rsidRPr="006239EB">
        <w:rPr>
          <w:lang w:val="fr-FR"/>
        </w:rPr>
        <w:t xml:space="preserve">de forets </w:t>
      </w:r>
      <w:r w:rsidRPr="006239EB">
        <w:rPr>
          <w:lang w:val="fr-FR"/>
        </w:rPr>
        <w:t>communautaires</w:t>
      </w:r>
      <w:r w:rsidR="002108F5" w:rsidRPr="006239EB">
        <w:rPr>
          <w:lang w:val="fr-FR"/>
        </w:rPr>
        <w:t xml:space="preserve"> reboisés </w:t>
      </w:r>
      <w:r w:rsidRPr="006239EB">
        <w:rPr>
          <w:lang w:val="fr-FR"/>
        </w:rPr>
        <w:t>dans</w:t>
      </w:r>
      <w:r w:rsidR="00035736" w:rsidRPr="006239EB">
        <w:rPr>
          <w:lang w:val="fr-FR"/>
        </w:rPr>
        <w:t xml:space="preserve"> 4</w:t>
      </w:r>
      <w:r w:rsidR="004660A2" w:rsidRPr="006239EB">
        <w:rPr>
          <w:lang w:val="fr-FR"/>
        </w:rPr>
        <w:t xml:space="preserve"> préfecture</w:t>
      </w:r>
      <w:r w:rsidR="006B1FE5" w:rsidRPr="006239EB">
        <w:rPr>
          <w:lang w:val="fr-FR"/>
        </w:rPr>
        <w:t>s</w:t>
      </w:r>
      <w:r w:rsidR="004660A2" w:rsidRPr="006239EB">
        <w:rPr>
          <w:lang w:val="fr-FR"/>
        </w:rPr>
        <w:t xml:space="preserve"> </w:t>
      </w:r>
      <w:r w:rsidR="002108F5" w:rsidRPr="006239EB">
        <w:rPr>
          <w:lang w:val="fr-FR"/>
        </w:rPr>
        <w:t>avec</w:t>
      </w:r>
      <w:r w:rsidR="00F121C0" w:rsidRPr="006239EB">
        <w:rPr>
          <w:lang w:val="fr-FR"/>
        </w:rPr>
        <w:t xml:space="preserve"> 896 participants </w:t>
      </w:r>
      <w:r w:rsidR="00B23AAD" w:rsidRPr="006239EB">
        <w:rPr>
          <w:lang w:val="fr-FR"/>
        </w:rPr>
        <w:t>pour</w:t>
      </w:r>
      <w:r w:rsidR="00F121C0" w:rsidRPr="006239EB">
        <w:rPr>
          <w:lang w:val="fr-FR"/>
        </w:rPr>
        <w:t xml:space="preserve"> </w:t>
      </w:r>
      <w:r w:rsidR="00C41794" w:rsidRPr="006239EB">
        <w:rPr>
          <w:lang w:val="fr-FR"/>
        </w:rPr>
        <w:t xml:space="preserve">524 </w:t>
      </w:r>
      <w:r w:rsidR="00F121C0" w:rsidRPr="006239EB">
        <w:rPr>
          <w:lang w:val="fr-FR"/>
        </w:rPr>
        <w:t>femmes</w:t>
      </w:r>
      <w:r w:rsidRPr="006239EB">
        <w:rPr>
          <w:lang w:val="fr-FR"/>
        </w:rPr>
        <w:t xml:space="preserve"> </w:t>
      </w:r>
      <w:r w:rsidR="00B23AAD" w:rsidRPr="006239EB">
        <w:rPr>
          <w:lang w:val="fr-FR"/>
        </w:rPr>
        <w:t>dont certains</w:t>
      </w:r>
      <w:r w:rsidR="00E224A2" w:rsidRPr="006239EB">
        <w:rPr>
          <w:lang w:val="fr-FR"/>
        </w:rPr>
        <w:t xml:space="preserve"> ont </w:t>
      </w:r>
      <w:r w:rsidRPr="006239EB">
        <w:rPr>
          <w:lang w:val="fr-FR"/>
        </w:rPr>
        <w:t>été</w:t>
      </w:r>
      <w:r w:rsidR="0059710B" w:rsidRPr="006239EB">
        <w:rPr>
          <w:lang w:val="fr-FR"/>
        </w:rPr>
        <w:t xml:space="preserve"> </w:t>
      </w:r>
      <w:r w:rsidR="00F121C0" w:rsidRPr="006239EB">
        <w:rPr>
          <w:lang w:val="fr-FR"/>
        </w:rPr>
        <w:t>sensibilis</w:t>
      </w:r>
      <w:r w:rsidR="00E224A2" w:rsidRPr="006239EB">
        <w:rPr>
          <w:lang w:val="fr-FR"/>
        </w:rPr>
        <w:t>és</w:t>
      </w:r>
      <w:r w:rsidR="00F121C0" w:rsidRPr="006239EB">
        <w:rPr>
          <w:lang w:val="fr-FR"/>
        </w:rPr>
        <w:t xml:space="preserve"> sur l</w:t>
      </w:r>
      <w:r w:rsidR="0059710B" w:rsidRPr="006239EB">
        <w:rPr>
          <w:lang w:val="fr-FR"/>
        </w:rPr>
        <w:t>’</w:t>
      </w:r>
      <w:r w:rsidR="00F121C0" w:rsidRPr="006239EB">
        <w:rPr>
          <w:lang w:val="fr-FR"/>
        </w:rPr>
        <w:t>impact des conflits intercommunautaire</w:t>
      </w:r>
      <w:r w:rsidR="00E224A2" w:rsidRPr="006239EB">
        <w:rPr>
          <w:lang w:val="fr-FR"/>
        </w:rPr>
        <w:t>.</w:t>
      </w:r>
      <w:r w:rsidR="00F121C0" w:rsidRPr="006239EB">
        <w:rPr>
          <w:lang w:val="fr-FR"/>
        </w:rPr>
        <w:t xml:space="preserve"> </w:t>
      </w:r>
    </w:p>
    <w:p w14:paraId="741F38AB" w14:textId="77FFCAD0" w:rsidR="00B23AAD" w:rsidRDefault="002108F5" w:rsidP="00B23AAD">
      <w:pPr>
        <w:ind w:left="-810"/>
        <w:jc w:val="both"/>
        <w:rPr>
          <w:highlight w:val="lightGray"/>
          <w:lang w:val="fr-FR"/>
        </w:rPr>
      </w:pPr>
      <w:r w:rsidRPr="006239EB">
        <w:rPr>
          <w:lang w:val="fr-FR"/>
        </w:rPr>
        <w:t xml:space="preserve">Des </w:t>
      </w:r>
      <w:r w:rsidR="0001541D" w:rsidRPr="006239EB">
        <w:rPr>
          <w:lang w:val="fr-FR"/>
        </w:rPr>
        <w:t xml:space="preserve">instruments </w:t>
      </w:r>
      <w:r w:rsidR="004A3E3B" w:rsidRPr="006239EB">
        <w:rPr>
          <w:lang w:val="fr-FR"/>
        </w:rPr>
        <w:t xml:space="preserve">du </w:t>
      </w:r>
      <w:r w:rsidR="0001541D" w:rsidRPr="006239EB">
        <w:rPr>
          <w:lang w:val="fr-FR"/>
        </w:rPr>
        <w:t>cadre juridique et institutionnel</w:t>
      </w:r>
      <w:r w:rsidR="0001541D" w:rsidRPr="0001541D">
        <w:rPr>
          <w:lang w:val="fr-FR"/>
        </w:rPr>
        <w:t xml:space="preserve"> </w:t>
      </w:r>
      <w:r>
        <w:rPr>
          <w:lang w:val="fr-FR"/>
        </w:rPr>
        <w:t>sont</w:t>
      </w:r>
      <w:r w:rsidR="0001541D" w:rsidRPr="0001541D">
        <w:rPr>
          <w:lang w:val="fr-FR"/>
        </w:rPr>
        <w:t xml:space="preserve"> vulgarisés auprès de 78 </w:t>
      </w:r>
      <w:r w:rsidR="004A3E3B" w:rsidRPr="0001541D">
        <w:rPr>
          <w:lang w:val="fr-FR"/>
        </w:rPr>
        <w:t>autori</w:t>
      </w:r>
      <w:r>
        <w:rPr>
          <w:lang w:val="fr-FR"/>
        </w:rPr>
        <w:t>t</w:t>
      </w:r>
      <w:r w:rsidR="004A3E3B" w:rsidRPr="0001541D">
        <w:rPr>
          <w:lang w:val="fr-FR"/>
        </w:rPr>
        <w:t>és civilo-militaires et de la société civile dont</w:t>
      </w:r>
      <w:r w:rsidR="0001541D" w:rsidRPr="0001541D">
        <w:rPr>
          <w:lang w:val="fr-FR"/>
        </w:rPr>
        <w:t xml:space="preserve"> 4 </w:t>
      </w:r>
      <w:r w:rsidR="004A3E3B" w:rsidRPr="0001541D">
        <w:rPr>
          <w:lang w:val="fr-FR"/>
        </w:rPr>
        <w:t>femmes.</w:t>
      </w:r>
      <w:r w:rsidR="0001541D" w:rsidRPr="0001541D">
        <w:rPr>
          <w:lang w:val="fr-FR"/>
        </w:rPr>
        <w:t xml:space="preserve">  </w:t>
      </w:r>
      <w:r w:rsidR="004A3E3B">
        <w:rPr>
          <w:lang w:val="fr-FR"/>
        </w:rPr>
        <w:t>P</w:t>
      </w:r>
      <w:r w:rsidR="0001541D" w:rsidRPr="0001541D">
        <w:rPr>
          <w:lang w:val="fr-FR"/>
        </w:rPr>
        <w:t xml:space="preserve">rises de contacts auprès des acteurs sociaux, et des services techniques ont </w:t>
      </w:r>
      <w:r w:rsidR="004A3E3B">
        <w:rPr>
          <w:lang w:val="fr-FR"/>
        </w:rPr>
        <w:t>mis</w:t>
      </w:r>
      <w:r w:rsidR="0001541D" w:rsidRPr="0001541D">
        <w:rPr>
          <w:lang w:val="fr-FR"/>
        </w:rPr>
        <w:t xml:space="preserve"> en évidence, l’impact de la législation foncière et la nécessité de la revue du cadre juridique et institutionnel</w:t>
      </w:r>
      <w:r w:rsidR="0001541D">
        <w:rPr>
          <w:lang w:val="fr-FR"/>
        </w:rPr>
        <w:t xml:space="preserve"> relatif aux droits des femmes.</w:t>
      </w:r>
      <w:r w:rsidR="001163E6">
        <w:rPr>
          <w:highlight w:val="lightGray"/>
          <w:lang w:val="fr-FR"/>
        </w:rPr>
        <w:t xml:space="preserve"> </w:t>
      </w:r>
    </w:p>
    <w:p w14:paraId="24778B50" w14:textId="5715A31B" w:rsidR="00B23AAD" w:rsidRPr="006239EB" w:rsidRDefault="00B23AAD" w:rsidP="00B23AAD">
      <w:pPr>
        <w:ind w:left="-810"/>
        <w:jc w:val="both"/>
        <w:rPr>
          <w:lang w:val="fr-FR"/>
        </w:rPr>
      </w:pPr>
      <w:r w:rsidRPr="006239EB">
        <w:rPr>
          <w:lang w:val="fr-FR"/>
        </w:rPr>
        <w:t xml:space="preserve">Les activités préparatoires réalisées :   </w:t>
      </w:r>
    </w:p>
    <w:p w14:paraId="19284771" w14:textId="77777777" w:rsidR="00B23AAD" w:rsidRPr="006239EB" w:rsidRDefault="00B23AAD" w:rsidP="00B23AAD">
      <w:pPr>
        <w:pStyle w:val="Paragraphedeliste"/>
        <w:numPr>
          <w:ilvl w:val="0"/>
          <w:numId w:val="44"/>
        </w:numPr>
        <w:jc w:val="both"/>
        <w:rPr>
          <w:lang w:val="fr-FR"/>
        </w:rPr>
      </w:pPr>
      <w:r w:rsidRPr="006239EB">
        <w:rPr>
          <w:lang w:val="fr-FR"/>
        </w:rPr>
        <w:t>Mise en place de l’équipe de gestion du projet a tous les niveaux ;</w:t>
      </w:r>
    </w:p>
    <w:p w14:paraId="3F41E779" w14:textId="77777777" w:rsidR="00296218" w:rsidRPr="006239EB" w:rsidRDefault="00B23AAD" w:rsidP="00296218">
      <w:pPr>
        <w:pStyle w:val="Paragraphedeliste"/>
        <w:numPr>
          <w:ilvl w:val="0"/>
          <w:numId w:val="44"/>
        </w:numPr>
        <w:spacing w:after="240"/>
        <w:jc w:val="both"/>
        <w:rPr>
          <w:lang w:val="fr-FR"/>
        </w:rPr>
      </w:pPr>
      <w:r w:rsidRPr="006239EB">
        <w:rPr>
          <w:lang w:val="fr-FR"/>
        </w:rPr>
        <w:t xml:space="preserve">Tenue de la première réunion du Comité technique de </w:t>
      </w:r>
      <w:r w:rsidR="0001541D" w:rsidRPr="006239EB">
        <w:rPr>
          <w:lang w:val="fr-FR"/>
        </w:rPr>
        <w:t xml:space="preserve">pilotage </w:t>
      </w:r>
      <w:r w:rsidR="0094071D" w:rsidRPr="006239EB">
        <w:rPr>
          <w:lang w:val="fr-FR"/>
        </w:rPr>
        <w:t>et lancement officiel du projet a Koulé </w:t>
      </w:r>
      <w:r w:rsidR="0001541D" w:rsidRPr="006239EB">
        <w:rPr>
          <w:lang w:val="fr-FR"/>
        </w:rPr>
        <w:t>;</w:t>
      </w:r>
    </w:p>
    <w:p w14:paraId="20871250" w14:textId="0E6B239D" w:rsidR="00296218" w:rsidRPr="006239EB" w:rsidRDefault="00B23AAD" w:rsidP="00296218">
      <w:pPr>
        <w:pStyle w:val="Paragraphedeliste"/>
        <w:numPr>
          <w:ilvl w:val="0"/>
          <w:numId w:val="44"/>
        </w:numPr>
        <w:spacing w:after="240"/>
        <w:jc w:val="both"/>
        <w:rPr>
          <w:lang w:val="fr-FR"/>
        </w:rPr>
      </w:pPr>
      <w:r w:rsidRPr="006239EB">
        <w:rPr>
          <w:lang w:val="fr-FR"/>
        </w:rPr>
        <w:t xml:space="preserve"> </w:t>
      </w:r>
      <w:r w:rsidR="00296218" w:rsidRPr="006239EB">
        <w:rPr>
          <w:lang w:val="fr-FR"/>
        </w:rPr>
        <w:t>Le plan de travail annuel budgétisé finalisé et approuvé, suivi de l’élaboration des plans d’actions par agences ;</w:t>
      </w:r>
    </w:p>
    <w:p w14:paraId="78D65AE7" w14:textId="77777777" w:rsidR="00296218" w:rsidRPr="006239EB" w:rsidRDefault="00296218" w:rsidP="00296218">
      <w:pPr>
        <w:pStyle w:val="Paragraphedeliste"/>
        <w:numPr>
          <w:ilvl w:val="0"/>
          <w:numId w:val="44"/>
        </w:numPr>
        <w:jc w:val="both"/>
        <w:rPr>
          <w:lang w:val="fr-FR"/>
        </w:rPr>
      </w:pPr>
      <w:r w:rsidRPr="006239EB">
        <w:rPr>
          <w:lang w:val="fr-FR"/>
        </w:rPr>
        <w:t>Signature des contrats/protocoles d’accord agences, ONG partenaires et services techniques ;</w:t>
      </w:r>
    </w:p>
    <w:p w14:paraId="526A59EF" w14:textId="77777777" w:rsidR="00296218" w:rsidRPr="0046694D" w:rsidRDefault="00296218" w:rsidP="00296218">
      <w:pPr>
        <w:pStyle w:val="Paragraphedeliste"/>
        <w:numPr>
          <w:ilvl w:val="0"/>
          <w:numId w:val="44"/>
        </w:numPr>
        <w:spacing w:after="240"/>
        <w:jc w:val="both"/>
        <w:rPr>
          <w:lang w:val="fr-FR"/>
        </w:rPr>
      </w:pPr>
      <w:r w:rsidRPr="006239EB">
        <w:rPr>
          <w:lang w:val="fr-FR"/>
        </w:rPr>
        <w:t>L’enquête de référence</w:t>
      </w:r>
      <w:r w:rsidRPr="0046694D">
        <w:rPr>
          <w:lang w:val="fr-FR"/>
        </w:rPr>
        <w:t xml:space="preserve"> du projet </w:t>
      </w:r>
      <w:r>
        <w:rPr>
          <w:lang w:val="fr-FR"/>
        </w:rPr>
        <w:t xml:space="preserve">réalisée par </w:t>
      </w:r>
      <w:r w:rsidRPr="0046694D">
        <w:rPr>
          <w:lang w:val="fr-FR"/>
        </w:rPr>
        <w:t>un consultant local ;</w:t>
      </w:r>
    </w:p>
    <w:p w14:paraId="55091624" w14:textId="77777777" w:rsidR="00296218" w:rsidRPr="0046694D" w:rsidRDefault="00296218" w:rsidP="00296218">
      <w:pPr>
        <w:pStyle w:val="Paragraphedeliste"/>
        <w:numPr>
          <w:ilvl w:val="0"/>
          <w:numId w:val="44"/>
        </w:numPr>
        <w:spacing w:after="240"/>
        <w:jc w:val="both"/>
        <w:rPr>
          <w:lang w:val="fr-FR"/>
        </w:rPr>
      </w:pPr>
      <w:r>
        <w:rPr>
          <w:lang w:val="fr-FR"/>
        </w:rPr>
        <w:t>Des</w:t>
      </w:r>
      <w:r w:rsidRPr="0046694D">
        <w:rPr>
          <w:lang w:val="fr-FR"/>
        </w:rPr>
        <w:t xml:space="preserve"> missions conjointes d’identification et de validation des sites </w:t>
      </w:r>
      <w:r>
        <w:rPr>
          <w:lang w:val="fr-FR"/>
        </w:rPr>
        <w:t>rizicole</w:t>
      </w:r>
      <w:r w:rsidRPr="0046694D">
        <w:rPr>
          <w:lang w:val="fr-FR"/>
        </w:rPr>
        <w:t xml:space="preserve"> </w:t>
      </w:r>
      <w:r>
        <w:rPr>
          <w:lang w:val="fr-FR"/>
        </w:rPr>
        <w:t>effectuées</w:t>
      </w:r>
      <w:r w:rsidRPr="0046694D">
        <w:rPr>
          <w:lang w:val="fr-FR"/>
        </w:rPr>
        <w:t xml:space="preserve"> ;</w:t>
      </w:r>
    </w:p>
    <w:p w14:paraId="58A347A1" w14:textId="77777777" w:rsidR="00296218" w:rsidRPr="0046694D" w:rsidRDefault="00296218" w:rsidP="00296218">
      <w:pPr>
        <w:pStyle w:val="Paragraphedeliste"/>
        <w:numPr>
          <w:ilvl w:val="0"/>
          <w:numId w:val="44"/>
        </w:numPr>
        <w:spacing w:after="240"/>
        <w:jc w:val="both"/>
        <w:rPr>
          <w:lang w:val="fr-FR"/>
        </w:rPr>
      </w:pPr>
      <w:r w:rsidRPr="0046694D">
        <w:rPr>
          <w:lang w:val="fr-FR"/>
        </w:rPr>
        <w:t>Des titres de propriété pour les exploitants établis ;</w:t>
      </w:r>
    </w:p>
    <w:p w14:paraId="0AFFE28E" w14:textId="77777777" w:rsidR="00296218" w:rsidRPr="0046694D" w:rsidRDefault="00296218" w:rsidP="00296218">
      <w:pPr>
        <w:pStyle w:val="Paragraphedeliste"/>
        <w:numPr>
          <w:ilvl w:val="0"/>
          <w:numId w:val="44"/>
        </w:numPr>
        <w:spacing w:after="240"/>
        <w:jc w:val="both"/>
        <w:rPr>
          <w:lang w:val="fr-FR"/>
        </w:rPr>
      </w:pPr>
      <w:r w:rsidRPr="0046694D">
        <w:rPr>
          <w:lang w:val="fr-FR"/>
        </w:rPr>
        <w:t>La liste des organisations paysannes bénéficiaires des   d’actifs validé</w:t>
      </w:r>
      <w:r>
        <w:rPr>
          <w:lang w:val="fr-FR"/>
        </w:rPr>
        <w:t> ;</w:t>
      </w:r>
      <w:r w:rsidRPr="0046694D">
        <w:rPr>
          <w:lang w:val="fr-FR"/>
        </w:rPr>
        <w:t xml:space="preserve"> </w:t>
      </w:r>
    </w:p>
    <w:p w14:paraId="15A306C1" w14:textId="77777777" w:rsidR="00296218" w:rsidRDefault="00296218" w:rsidP="00296218">
      <w:pPr>
        <w:pStyle w:val="Paragraphedeliste"/>
        <w:numPr>
          <w:ilvl w:val="0"/>
          <w:numId w:val="44"/>
        </w:numPr>
        <w:spacing w:after="240"/>
        <w:jc w:val="both"/>
        <w:rPr>
          <w:lang w:val="fr-FR"/>
        </w:rPr>
      </w:pPr>
      <w:r w:rsidRPr="0046694D">
        <w:rPr>
          <w:lang w:val="fr-FR"/>
        </w:rPr>
        <w:t xml:space="preserve">Le consultant national juriste recruté pour la gouvernance foncière et la revue du cadre juridique et institutionnel ; </w:t>
      </w:r>
    </w:p>
    <w:p w14:paraId="2A46D130" w14:textId="77777777" w:rsidR="00296218" w:rsidRPr="006239EB" w:rsidRDefault="00296218" w:rsidP="00296218">
      <w:pPr>
        <w:pStyle w:val="Paragraphedeliste"/>
        <w:numPr>
          <w:ilvl w:val="0"/>
          <w:numId w:val="44"/>
        </w:numPr>
        <w:jc w:val="both"/>
        <w:rPr>
          <w:lang w:val="fr-FR"/>
        </w:rPr>
      </w:pPr>
      <w:r w:rsidRPr="006239EB">
        <w:rPr>
          <w:lang w:val="fr-FR"/>
        </w:rPr>
        <w:t>Recrutement en cours d’une ONG pour accompagner 100 femmes en difficultés d’accès au foncier</w:t>
      </w:r>
    </w:p>
    <w:p w14:paraId="5DB11C55" w14:textId="77777777" w:rsidR="00CD3DCD" w:rsidRDefault="00CD3DCD" w:rsidP="00CD3DCD">
      <w:pPr>
        <w:jc w:val="both"/>
        <w:rPr>
          <w:lang w:val="fr-FR"/>
        </w:rPr>
      </w:pPr>
    </w:p>
    <w:p w14:paraId="29F76E31" w14:textId="6BD17637" w:rsidR="00161D02" w:rsidRPr="001C730D" w:rsidRDefault="00F778A1" w:rsidP="00CD3DCD">
      <w:pPr>
        <w:jc w:val="both"/>
        <w:rPr>
          <w:b/>
          <w:bCs/>
          <w:lang w:val="fr-FR"/>
        </w:rPr>
      </w:pPr>
      <w:r w:rsidRPr="001C730D">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1C730D">
        <w:rPr>
          <w:b/>
          <w:bCs/>
          <w:lang w:val="fr-FR"/>
        </w:rPr>
        <w:t>(</w:t>
      </w:r>
      <w:r w:rsidRPr="001C730D">
        <w:rPr>
          <w:b/>
          <w:bCs/>
          <w:lang w:val="fr-FR"/>
        </w:rPr>
        <w:t>limite de 1000 caractères</w:t>
      </w:r>
      <w:r w:rsidR="00161D02" w:rsidRPr="001C730D">
        <w:rPr>
          <w:b/>
          <w:bCs/>
          <w:lang w:val="fr-FR"/>
        </w:rPr>
        <w:t xml:space="preserve">): </w:t>
      </w:r>
    </w:p>
    <w:p w14:paraId="5FA01CBA" w14:textId="77777777" w:rsidR="00A47CED" w:rsidRPr="006239EB" w:rsidRDefault="00A47CED" w:rsidP="00627A1C">
      <w:pPr>
        <w:ind w:left="-810"/>
        <w:rPr>
          <w:lang w:val="fr-FR"/>
        </w:rPr>
      </w:pPr>
    </w:p>
    <w:p w14:paraId="756748CB" w14:textId="3BB300BE" w:rsidR="00435CB4" w:rsidRPr="006239EB" w:rsidRDefault="00A4217F" w:rsidP="00435CB4">
      <w:pPr>
        <w:ind w:left="-810"/>
        <w:jc w:val="both"/>
        <w:rPr>
          <w:lang w:val="fr-FR"/>
        </w:rPr>
      </w:pPr>
      <w:r w:rsidRPr="006239EB">
        <w:rPr>
          <w:lang w:val="fr-FR"/>
        </w:rPr>
        <w:t xml:space="preserve">Pour les </w:t>
      </w:r>
      <w:r w:rsidR="006521E5" w:rsidRPr="006239EB">
        <w:rPr>
          <w:lang w:val="fr-FR"/>
        </w:rPr>
        <w:t>6 prochains mois</w:t>
      </w:r>
      <w:r w:rsidR="00435CB4" w:rsidRPr="006239EB">
        <w:rPr>
          <w:lang w:val="fr-FR"/>
        </w:rPr>
        <w:t> :</w:t>
      </w:r>
      <w:r w:rsidR="006521E5" w:rsidRPr="006239EB">
        <w:rPr>
          <w:lang w:val="fr-FR"/>
        </w:rPr>
        <w:t xml:space="preserve"> </w:t>
      </w:r>
    </w:p>
    <w:p w14:paraId="55764160" w14:textId="43ADCD3F" w:rsidR="00435CB4" w:rsidRPr="006239EB" w:rsidRDefault="00435CB4" w:rsidP="00435CB4">
      <w:pPr>
        <w:pStyle w:val="Paragraphedeliste"/>
        <w:numPr>
          <w:ilvl w:val="0"/>
          <w:numId w:val="44"/>
        </w:numPr>
        <w:jc w:val="both"/>
        <w:rPr>
          <w:lang w:val="fr-FR"/>
        </w:rPr>
      </w:pPr>
      <w:r w:rsidRPr="006239EB">
        <w:rPr>
          <w:lang w:val="fr-FR"/>
        </w:rPr>
        <w:lastRenderedPageBreak/>
        <w:t xml:space="preserve">Informer et sensibiliser </w:t>
      </w:r>
      <w:r w:rsidR="00A4217F" w:rsidRPr="006239EB">
        <w:rPr>
          <w:lang w:val="fr-FR"/>
        </w:rPr>
        <w:t xml:space="preserve">les </w:t>
      </w:r>
      <w:r w:rsidR="006521E5" w:rsidRPr="006239EB">
        <w:rPr>
          <w:lang w:val="fr-FR"/>
        </w:rPr>
        <w:t xml:space="preserve">acteurs d’appui au </w:t>
      </w:r>
      <w:r w:rsidR="009F45CC" w:rsidRPr="006239EB">
        <w:rPr>
          <w:lang w:val="fr-FR"/>
        </w:rPr>
        <w:t>développement local</w:t>
      </w:r>
      <w:r w:rsidR="008D7E30" w:rsidRPr="006239EB">
        <w:rPr>
          <w:lang w:val="fr-FR"/>
        </w:rPr>
        <w:t xml:space="preserve"> </w:t>
      </w:r>
      <w:r w:rsidR="00A4217F" w:rsidRPr="006239EB">
        <w:rPr>
          <w:lang w:val="fr-FR"/>
        </w:rPr>
        <w:t>sur le</w:t>
      </w:r>
      <w:r w:rsidR="006521E5" w:rsidRPr="006239EB">
        <w:rPr>
          <w:lang w:val="fr-FR"/>
        </w:rPr>
        <w:t xml:space="preserve"> foncier</w:t>
      </w:r>
      <w:r w:rsidR="00CD3DCD" w:rsidRPr="006239EB">
        <w:rPr>
          <w:lang w:val="fr-FR"/>
        </w:rPr>
        <w:t xml:space="preserve"> par l</w:t>
      </w:r>
      <w:r w:rsidR="00144A56" w:rsidRPr="006239EB">
        <w:rPr>
          <w:lang w:val="fr-FR"/>
        </w:rPr>
        <w:t>’o</w:t>
      </w:r>
      <w:r w:rsidR="008D7E30" w:rsidRPr="006239EB">
        <w:rPr>
          <w:lang w:val="fr-FR"/>
        </w:rPr>
        <w:t>rganis</w:t>
      </w:r>
      <w:r w:rsidR="00CD3DCD" w:rsidRPr="006239EB">
        <w:rPr>
          <w:lang w:val="fr-FR"/>
        </w:rPr>
        <w:t>ation de</w:t>
      </w:r>
      <w:r w:rsidR="008D7E30" w:rsidRPr="006239EB">
        <w:rPr>
          <w:lang w:val="fr-FR"/>
        </w:rPr>
        <w:t xml:space="preserve"> </w:t>
      </w:r>
      <w:r w:rsidR="00C41794" w:rsidRPr="006239EB">
        <w:rPr>
          <w:color w:val="000000" w:themeColor="text1"/>
          <w:lang w:val="fr-FR"/>
        </w:rPr>
        <w:t>4</w:t>
      </w:r>
      <w:r w:rsidR="00A4217F" w:rsidRPr="006239EB">
        <w:rPr>
          <w:lang w:val="fr-FR"/>
        </w:rPr>
        <w:t xml:space="preserve"> </w:t>
      </w:r>
      <w:r w:rsidR="006521E5" w:rsidRPr="006239EB">
        <w:rPr>
          <w:lang w:val="fr-FR"/>
        </w:rPr>
        <w:t>fora</w:t>
      </w:r>
      <w:r w:rsidR="00A4217F" w:rsidRPr="006239EB">
        <w:rPr>
          <w:lang w:val="fr-FR"/>
        </w:rPr>
        <w:t>s</w:t>
      </w:r>
      <w:r w:rsidR="006521E5" w:rsidRPr="006239EB">
        <w:rPr>
          <w:lang w:val="fr-FR"/>
        </w:rPr>
        <w:t xml:space="preserve"> </w:t>
      </w:r>
      <w:r w:rsidR="009F45CC" w:rsidRPr="006239EB">
        <w:rPr>
          <w:lang w:val="fr-FR"/>
        </w:rPr>
        <w:t xml:space="preserve">et </w:t>
      </w:r>
      <w:r w:rsidR="00144A56" w:rsidRPr="006239EB">
        <w:rPr>
          <w:lang w:val="fr-FR"/>
        </w:rPr>
        <w:t xml:space="preserve">la mise en place de </w:t>
      </w:r>
      <w:r w:rsidR="00114099" w:rsidRPr="006239EB">
        <w:rPr>
          <w:color w:val="000000" w:themeColor="text1"/>
          <w:lang w:val="fr-FR"/>
        </w:rPr>
        <w:t>57</w:t>
      </w:r>
      <w:r w:rsidR="007C20F7" w:rsidRPr="006239EB">
        <w:rPr>
          <w:lang w:val="fr-FR"/>
        </w:rPr>
        <w:t xml:space="preserve"> plateforme</w:t>
      </w:r>
      <w:r w:rsidR="003A0F00" w:rsidRPr="006239EB">
        <w:rPr>
          <w:lang w:val="fr-FR"/>
        </w:rPr>
        <w:t>s</w:t>
      </w:r>
      <w:r w:rsidR="007C20F7" w:rsidRPr="006239EB">
        <w:rPr>
          <w:lang w:val="fr-FR"/>
        </w:rPr>
        <w:t xml:space="preserve"> </w:t>
      </w:r>
      <w:r w:rsidR="003A0F00" w:rsidRPr="006239EB">
        <w:rPr>
          <w:lang w:val="fr-FR"/>
        </w:rPr>
        <w:t>multi acteurs</w:t>
      </w:r>
      <w:r w:rsidR="007C20F7" w:rsidRPr="006239EB">
        <w:rPr>
          <w:lang w:val="fr-FR"/>
        </w:rPr>
        <w:t xml:space="preserve"> </w:t>
      </w:r>
      <w:r w:rsidR="00A71306" w:rsidRPr="006239EB">
        <w:rPr>
          <w:lang w:val="fr-FR"/>
        </w:rPr>
        <w:t xml:space="preserve">locaux </w:t>
      </w:r>
      <w:r w:rsidR="007C20F7" w:rsidRPr="006239EB">
        <w:rPr>
          <w:lang w:val="fr-FR"/>
        </w:rPr>
        <w:t xml:space="preserve">de dialogue </w:t>
      </w:r>
      <w:r w:rsidR="00A4217F" w:rsidRPr="006239EB">
        <w:rPr>
          <w:lang w:val="fr-FR"/>
        </w:rPr>
        <w:t xml:space="preserve">sur </w:t>
      </w:r>
      <w:r w:rsidR="008D7E30" w:rsidRPr="006239EB">
        <w:rPr>
          <w:lang w:val="fr-FR"/>
        </w:rPr>
        <w:t>le foncier</w:t>
      </w:r>
      <w:r w:rsidR="0004226A" w:rsidRPr="006239EB">
        <w:rPr>
          <w:lang w:val="fr-FR"/>
        </w:rPr>
        <w:t>.</w:t>
      </w:r>
      <w:r w:rsidRPr="006239EB">
        <w:rPr>
          <w:lang w:val="fr-FR"/>
        </w:rPr>
        <w:t>;</w:t>
      </w:r>
    </w:p>
    <w:p w14:paraId="04DC5502" w14:textId="17537844" w:rsidR="003A0F00" w:rsidRPr="006239EB" w:rsidRDefault="00435CB4" w:rsidP="00435CB4">
      <w:pPr>
        <w:pStyle w:val="Paragraphedeliste"/>
        <w:numPr>
          <w:ilvl w:val="0"/>
          <w:numId w:val="44"/>
        </w:numPr>
        <w:jc w:val="both"/>
        <w:rPr>
          <w:lang w:val="fr-FR"/>
        </w:rPr>
      </w:pPr>
      <w:r w:rsidRPr="006239EB">
        <w:rPr>
          <w:lang w:val="fr-FR"/>
        </w:rPr>
        <w:t>Accompagner</w:t>
      </w:r>
      <w:r w:rsidR="002D577E" w:rsidRPr="006239EB">
        <w:rPr>
          <w:lang w:val="fr-FR"/>
        </w:rPr>
        <w:t xml:space="preserve"> </w:t>
      </w:r>
      <w:r w:rsidRPr="006239EB">
        <w:rPr>
          <w:lang w:val="fr-FR"/>
        </w:rPr>
        <w:t>100</w:t>
      </w:r>
      <w:r w:rsidR="002D577E" w:rsidRPr="006239EB">
        <w:rPr>
          <w:lang w:val="fr-FR"/>
        </w:rPr>
        <w:t xml:space="preserve"> </w:t>
      </w:r>
      <w:r w:rsidRPr="006239EB">
        <w:rPr>
          <w:lang w:val="fr-FR"/>
        </w:rPr>
        <w:t xml:space="preserve">femmes impliquées </w:t>
      </w:r>
      <w:r w:rsidR="009F45CC" w:rsidRPr="006239EB">
        <w:rPr>
          <w:lang w:val="fr-FR"/>
        </w:rPr>
        <w:t>dans</w:t>
      </w:r>
      <w:r w:rsidRPr="006239EB">
        <w:rPr>
          <w:lang w:val="fr-FR"/>
        </w:rPr>
        <w:t xml:space="preserve"> le foncier par une ong de parajuristes et </w:t>
      </w:r>
      <w:r w:rsidR="005442A8" w:rsidRPr="006239EB">
        <w:rPr>
          <w:lang w:val="fr-FR"/>
        </w:rPr>
        <w:t xml:space="preserve">les </w:t>
      </w:r>
      <w:r w:rsidRPr="006239EB">
        <w:rPr>
          <w:lang w:val="fr-FR"/>
        </w:rPr>
        <w:t>sensibiliser</w:t>
      </w:r>
      <w:r w:rsidR="009F45CC" w:rsidRPr="006239EB">
        <w:rPr>
          <w:lang w:val="fr-FR"/>
        </w:rPr>
        <w:t xml:space="preserve"> </w:t>
      </w:r>
      <w:r w:rsidR="005442A8" w:rsidRPr="006239EB">
        <w:rPr>
          <w:lang w:val="fr-FR"/>
        </w:rPr>
        <w:t xml:space="preserve">sur leurs droits </w:t>
      </w:r>
      <w:r w:rsidR="008D7E30" w:rsidRPr="006239EB">
        <w:rPr>
          <w:lang w:val="fr-FR"/>
        </w:rPr>
        <w:t>par</w:t>
      </w:r>
      <w:r w:rsidR="009F45CC" w:rsidRPr="006239EB">
        <w:rPr>
          <w:lang w:val="fr-FR"/>
        </w:rPr>
        <w:t xml:space="preserve"> des supports multimédias ;</w:t>
      </w:r>
    </w:p>
    <w:p w14:paraId="4F6C447C" w14:textId="06DC9A65" w:rsidR="009F45CC" w:rsidRPr="006239EB" w:rsidRDefault="003E12EF" w:rsidP="00435CB4">
      <w:pPr>
        <w:pStyle w:val="Paragraphedeliste"/>
        <w:numPr>
          <w:ilvl w:val="0"/>
          <w:numId w:val="44"/>
        </w:numPr>
        <w:jc w:val="both"/>
        <w:rPr>
          <w:lang w:val="fr-FR"/>
        </w:rPr>
      </w:pPr>
      <w:r w:rsidRPr="006239EB">
        <w:rPr>
          <w:lang w:val="fr-FR"/>
        </w:rPr>
        <w:t>Organiser d</w:t>
      </w:r>
      <w:r w:rsidR="008D7E30" w:rsidRPr="006239EB">
        <w:rPr>
          <w:lang w:val="fr-FR"/>
        </w:rPr>
        <w:t>es tables rondes</w:t>
      </w:r>
      <w:r w:rsidR="009F45CC" w:rsidRPr="006239EB">
        <w:rPr>
          <w:lang w:val="fr-FR"/>
        </w:rPr>
        <w:t xml:space="preserve"> </w:t>
      </w:r>
      <w:r w:rsidRPr="006239EB">
        <w:rPr>
          <w:lang w:val="fr-FR"/>
        </w:rPr>
        <w:t>communautaire conjoint</w:t>
      </w:r>
      <w:r w:rsidR="005442A8" w:rsidRPr="006239EB">
        <w:rPr>
          <w:lang w:val="fr-FR"/>
        </w:rPr>
        <w:t>es</w:t>
      </w:r>
      <w:r w:rsidR="009F45CC" w:rsidRPr="006239EB">
        <w:rPr>
          <w:lang w:val="fr-FR"/>
        </w:rPr>
        <w:t xml:space="preserve"> </w:t>
      </w:r>
      <w:r w:rsidR="005442A8" w:rsidRPr="006239EB">
        <w:rPr>
          <w:lang w:val="fr-FR"/>
        </w:rPr>
        <w:t xml:space="preserve">sur les mécanismes juridique et institutionnel du foncier </w:t>
      </w:r>
      <w:r w:rsidR="009F45CC" w:rsidRPr="006239EB">
        <w:rPr>
          <w:lang w:val="fr-FR"/>
        </w:rPr>
        <w:t xml:space="preserve">avec les acteurs sociaux </w:t>
      </w:r>
      <w:r w:rsidRPr="006239EB">
        <w:rPr>
          <w:lang w:val="fr-FR"/>
        </w:rPr>
        <w:t>et la mises en place ou renforcé</w:t>
      </w:r>
      <w:r w:rsidR="009F45CC" w:rsidRPr="006239EB">
        <w:rPr>
          <w:lang w:val="fr-FR"/>
        </w:rPr>
        <w:t xml:space="preserve"> </w:t>
      </w:r>
      <w:r w:rsidRPr="006239EB">
        <w:rPr>
          <w:lang w:val="fr-FR"/>
        </w:rPr>
        <w:t>l</w:t>
      </w:r>
      <w:r w:rsidR="009F45CC" w:rsidRPr="006239EB">
        <w:rPr>
          <w:lang w:val="fr-FR"/>
        </w:rPr>
        <w:t xml:space="preserve">es plateformes de dialogue multi </w:t>
      </w:r>
      <w:r w:rsidRPr="006239EB">
        <w:rPr>
          <w:lang w:val="fr-FR"/>
        </w:rPr>
        <w:t>acteurs.</w:t>
      </w:r>
    </w:p>
    <w:p w14:paraId="36D6014A" w14:textId="30721451" w:rsidR="007A4D27" w:rsidRPr="006239EB" w:rsidRDefault="009F45CC" w:rsidP="00435CB4">
      <w:pPr>
        <w:pStyle w:val="Paragraphedeliste"/>
        <w:numPr>
          <w:ilvl w:val="0"/>
          <w:numId w:val="44"/>
        </w:numPr>
        <w:jc w:val="both"/>
        <w:rPr>
          <w:lang w:val="fr-FR"/>
        </w:rPr>
      </w:pPr>
      <w:r w:rsidRPr="006239EB">
        <w:rPr>
          <w:lang w:val="fr-FR"/>
        </w:rPr>
        <w:t xml:space="preserve">Organiser des missions conjointes d’identification et de validation des </w:t>
      </w:r>
      <w:r w:rsidR="006239EB" w:rsidRPr="006239EB">
        <w:rPr>
          <w:lang w:val="fr-FR"/>
        </w:rPr>
        <w:t>sites maraicher</w:t>
      </w:r>
      <w:r w:rsidRPr="006239EB">
        <w:rPr>
          <w:lang w:val="fr-FR"/>
        </w:rPr>
        <w:t> ;</w:t>
      </w:r>
    </w:p>
    <w:p w14:paraId="66275B66" w14:textId="581BD3EE" w:rsidR="007A4D27" w:rsidRPr="006239EB" w:rsidRDefault="007A4D27" w:rsidP="00435CB4">
      <w:pPr>
        <w:pStyle w:val="Paragraphedeliste"/>
        <w:numPr>
          <w:ilvl w:val="0"/>
          <w:numId w:val="44"/>
        </w:numPr>
        <w:jc w:val="both"/>
        <w:rPr>
          <w:lang w:val="fr-FR"/>
        </w:rPr>
      </w:pPr>
      <w:r w:rsidRPr="006239EB">
        <w:rPr>
          <w:lang w:val="fr-FR"/>
        </w:rPr>
        <w:t xml:space="preserve">Renforcer les capacités </w:t>
      </w:r>
      <w:r w:rsidR="003E12EF" w:rsidRPr="006239EB">
        <w:rPr>
          <w:lang w:val="fr-FR"/>
        </w:rPr>
        <w:t xml:space="preserve">techniques </w:t>
      </w:r>
      <w:r w:rsidRPr="006239EB">
        <w:rPr>
          <w:lang w:val="fr-FR"/>
        </w:rPr>
        <w:t>des conseiller</w:t>
      </w:r>
      <w:r w:rsidR="008D7E30" w:rsidRPr="006239EB">
        <w:rPr>
          <w:lang w:val="fr-FR"/>
        </w:rPr>
        <w:t>s</w:t>
      </w:r>
      <w:r w:rsidRPr="006239EB">
        <w:rPr>
          <w:lang w:val="fr-FR"/>
        </w:rPr>
        <w:t xml:space="preserve"> agricole et </w:t>
      </w:r>
      <w:r w:rsidR="008D7E30" w:rsidRPr="006239EB">
        <w:rPr>
          <w:lang w:val="fr-FR"/>
        </w:rPr>
        <w:t>animateurs</w:t>
      </w:r>
      <w:r w:rsidR="003E12EF" w:rsidRPr="006239EB">
        <w:rPr>
          <w:lang w:val="fr-FR"/>
        </w:rPr>
        <w:t> ;</w:t>
      </w:r>
      <w:r w:rsidRPr="006239EB">
        <w:rPr>
          <w:lang w:val="fr-FR"/>
        </w:rPr>
        <w:t xml:space="preserve">  </w:t>
      </w:r>
    </w:p>
    <w:p w14:paraId="5B580B5F" w14:textId="3B23A1D8" w:rsidR="007A4D27" w:rsidRPr="006239EB" w:rsidRDefault="007A4D27" w:rsidP="00435CB4">
      <w:pPr>
        <w:pStyle w:val="Paragraphedeliste"/>
        <w:numPr>
          <w:ilvl w:val="0"/>
          <w:numId w:val="44"/>
        </w:numPr>
        <w:jc w:val="both"/>
        <w:rPr>
          <w:lang w:val="fr-FR"/>
        </w:rPr>
      </w:pPr>
      <w:r w:rsidRPr="006239EB">
        <w:rPr>
          <w:lang w:val="fr-FR"/>
        </w:rPr>
        <w:t xml:space="preserve">Réaliser 9 champs écoles paysans en maraichage ; </w:t>
      </w:r>
    </w:p>
    <w:p w14:paraId="7A986887" w14:textId="6E4CE4BA" w:rsidR="007A4D27" w:rsidRPr="006239EB" w:rsidRDefault="007A4D27" w:rsidP="00435CB4">
      <w:pPr>
        <w:pStyle w:val="Paragraphedeliste"/>
        <w:numPr>
          <w:ilvl w:val="0"/>
          <w:numId w:val="44"/>
        </w:numPr>
        <w:jc w:val="both"/>
        <w:rPr>
          <w:lang w:val="fr-FR"/>
        </w:rPr>
      </w:pPr>
      <w:r w:rsidRPr="006239EB">
        <w:rPr>
          <w:lang w:val="fr-FR"/>
        </w:rPr>
        <w:t xml:space="preserve">Distribuer des intrants </w:t>
      </w:r>
      <w:r w:rsidR="003E12EF" w:rsidRPr="006239EB">
        <w:rPr>
          <w:lang w:val="fr-FR"/>
        </w:rPr>
        <w:t xml:space="preserve">et </w:t>
      </w:r>
      <w:r w:rsidR="005442A8" w:rsidRPr="006239EB">
        <w:rPr>
          <w:lang w:val="fr-FR"/>
        </w:rPr>
        <w:t>outillages a</w:t>
      </w:r>
      <w:r w:rsidRPr="006239EB">
        <w:rPr>
          <w:lang w:val="fr-FR"/>
        </w:rPr>
        <w:t xml:space="preserve"> 9 OPA maraichers </w:t>
      </w:r>
      <w:r w:rsidR="00144A56" w:rsidRPr="006239EB">
        <w:rPr>
          <w:lang w:val="fr-FR"/>
        </w:rPr>
        <w:t>et renforcer</w:t>
      </w:r>
      <w:r w:rsidRPr="006239EB">
        <w:rPr>
          <w:lang w:val="fr-FR"/>
        </w:rPr>
        <w:t xml:space="preserve"> leurs </w:t>
      </w:r>
      <w:r w:rsidR="00144A56" w:rsidRPr="006239EB">
        <w:rPr>
          <w:lang w:val="fr-FR"/>
        </w:rPr>
        <w:t>capacités ;</w:t>
      </w:r>
      <w:r w:rsidRPr="006239EB">
        <w:rPr>
          <w:lang w:val="fr-FR"/>
        </w:rPr>
        <w:t> </w:t>
      </w:r>
    </w:p>
    <w:p w14:paraId="39ED9428" w14:textId="77777777" w:rsidR="007A4D27" w:rsidRPr="006239EB" w:rsidRDefault="007A4D27" w:rsidP="00435CB4">
      <w:pPr>
        <w:pStyle w:val="Paragraphedeliste"/>
        <w:numPr>
          <w:ilvl w:val="0"/>
          <w:numId w:val="44"/>
        </w:numPr>
        <w:jc w:val="both"/>
        <w:rPr>
          <w:lang w:val="fr-FR"/>
        </w:rPr>
      </w:pPr>
      <w:r w:rsidRPr="006239EB">
        <w:rPr>
          <w:lang w:val="fr-FR"/>
        </w:rPr>
        <w:t>Organiser des séances de démonstration culinaire et de sensibilisation sur les bonnes pratiques alimentaires et nutritionnelles ;</w:t>
      </w:r>
    </w:p>
    <w:p w14:paraId="50976162" w14:textId="56B06678" w:rsidR="008D7E30" w:rsidRPr="006239EB" w:rsidRDefault="007A4D27" w:rsidP="00435CB4">
      <w:pPr>
        <w:pStyle w:val="Paragraphedeliste"/>
        <w:numPr>
          <w:ilvl w:val="0"/>
          <w:numId w:val="44"/>
        </w:numPr>
        <w:jc w:val="both"/>
        <w:rPr>
          <w:lang w:val="fr-FR"/>
        </w:rPr>
      </w:pPr>
      <w:r w:rsidRPr="006239EB">
        <w:rPr>
          <w:lang w:val="fr-FR"/>
        </w:rPr>
        <w:t>Mise en relation de 09 OPA maraichères avec 10 COGEST des écoles à cantine ;</w:t>
      </w:r>
    </w:p>
    <w:p w14:paraId="20FA9EBD" w14:textId="797F219B" w:rsidR="00161D02" w:rsidRDefault="008D7E30" w:rsidP="00502B7D">
      <w:pPr>
        <w:jc w:val="both"/>
        <w:rPr>
          <w:lang w:val="fr-FR"/>
        </w:rPr>
      </w:pPr>
      <w:r w:rsidRPr="006239EB">
        <w:rPr>
          <w:lang w:val="fr-FR"/>
        </w:rPr>
        <w:t>Procéder aux transferts monétaires aux participants à la création d’actifs ;</w:t>
      </w:r>
      <w:r w:rsidR="009F45CC" w:rsidRPr="006239EB">
        <w:rPr>
          <w:lang w:val="fr-FR"/>
        </w:rPr>
        <w:t xml:space="preserve">   </w:t>
      </w:r>
    </w:p>
    <w:p w14:paraId="1D392049" w14:textId="77777777" w:rsidR="00502B7D" w:rsidRPr="003A0F00" w:rsidRDefault="00502B7D" w:rsidP="00502B7D">
      <w:pPr>
        <w:jc w:val="both"/>
        <w:rPr>
          <w:lang w:val="fr-FR"/>
        </w:rPr>
      </w:pPr>
    </w:p>
    <w:p w14:paraId="49A86CE3" w14:textId="77777777" w:rsidR="00F778A1" w:rsidRPr="001C730D" w:rsidRDefault="00F778A1" w:rsidP="001A1E86">
      <w:pPr>
        <w:ind w:left="-810" w:right="-154"/>
        <w:rPr>
          <w:b/>
          <w:bCs/>
          <w:lang w:val="fr-FR"/>
        </w:rPr>
      </w:pPr>
      <w:r w:rsidRPr="001C730D">
        <w:rPr>
          <w:b/>
          <w:bCs/>
          <w:lang w:val="fr-FR"/>
        </w:rPr>
        <w:t>POUR LES PROJETS DANS LES SIX DERNIERS MOIS DE MISE EN ŒUVRE :</w:t>
      </w:r>
    </w:p>
    <w:p w14:paraId="5D660B18" w14:textId="77777777" w:rsidR="008C782A" w:rsidRPr="001C730D" w:rsidRDefault="00476758" w:rsidP="001A1E86">
      <w:pPr>
        <w:ind w:left="-810" w:right="-154"/>
        <w:rPr>
          <w:b/>
          <w:bCs/>
        </w:rPr>
      </w:pPr>
      <w:r w:rsidRPr="001C730D">
        <w:rPr>
          <w:b/>
          <w:bCs/>
          <w:lang w:val="fr-FR"/>
        </w:rPr>
        <w:t>Résumez</w:t>
      </w:r>
      <w:r w:rsidR="00F778A1" w:rsidRPr="001C730D">
        <w:rPr>
          <w:b/>
          <w:bCs/>
          <w:lang w:val="fr-FR"/>
        </w:rPr>
        <w:t xml:space="preserve"> </w:t>
      </w:r>
      <w:r w:rsidRPr="001C730D">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1C730D">
        <w:rPr>
          <w:b/>
          <w:bCs/>
          <w:lang w:val="fr-FR"/>
        </w:rPr>
        <w:t xml:space="preserve"> </w:t>
      </w:r>
      <w:r w:rsidR="008C782A" w:rsidRPr="001C730D">
        <w:rPr>
          <w:b/>
          <w:bCs/>
        </w:rPr>
        <w:t>(limit</w:t>
      </w:r>
      <w:r w:rsidRPr="001C730D">
        <w:rPr>
          <w:b/>
          <w:bCs/>
        </w:rPr>
        <w:t xml:space="preserve">e de 1500 </w:t>
      </w:r>
      <w:r w:rsidRPr="001C730D">
        <w:rPr>
          <w:b/>
          <w:bCs/>
          <w:lang w:val="fr-FR"/>
        </w:rPr>
        <w:t>caractères</w:t>
      </w:r>
      <w:r w:rsidR="008C782A" w:rsidRPr="001C730D">
        <w:rPr>
          <w:b/>
          <w:bCs/>
        </w:rPr>
        <w:t xml:space="preserve">): </w:t>
      </w:r>
    </w:p>
    <w:p w14:paraId="2EC46E43" w14:textId="77777777" w:rsidR="00476758" w:rsidRPr="00627A1C" w:rsidRDefault="00BA5D85" w:rsidP="00476758">
      <w:pPr>
        <w:ind w:left="-810"/>
      </w:pPr>
      <w:r w:rsidRPr="00627A1C">
        <w:fldChar w:fldCharType="begin">
          <w:ffData>
            <w:name w:val=""/>
            <w:enabled/>
            <w:calcOnExit w:val="0"/>
            <w:textInput>
              <w:maxLength w:val="15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40C6D250" w14:textId="77777777" w:rsidR="00476758" w:rsidRDefault="00476758" w:rsidP="008C782A">
      <w:pPr>
        <w:ind w:left="-810"/>
      </w:pPr>
    </w:p>
    <w:p w14:paraId="267F15F7" w14:textId="77777777" w:rsidR="008C782A" w:rsidRPr="001C730D" w:rsidRDefault="00476758" w:rsidP="00476758">
      <w:pPr>
        <w:ind w:left="-810"/>
        <w:rPr>
          <w:b/>
          <w:bCs/>
          <w:lang w:val="fr-FR"/>
        </w:rPr>
      </w:pPr>
      <w:r w:rsidRPr="001C730D">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77777777" w:rsidR="00BA5D85" w:rsidRPr="00627A1C" w:rsidRDefault="001A3157" w:rsidP="001B6DFD">
      <w:pPr>
        <w:ind w:left="-810"/>
      </w:pPr>
      <w:r w:rsidRPr="00627A1C">
        <w:fldChar w:fldCharType="begin">
          <w:ffData>
            <w:name w:val=""/>
            <w:enabled/>
            <w:calcOnExit w:val="0"/>
            <w:textInput>
              <w:maxLength w:val="2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16208936" w14:textId="77777777" w:rsidR="007712FB" w:rsidRPr="00627A1C" w:rsidRDefault="007712FB" w:rsidP="0078600B">
      <w:pPr>
        <w:rPr>
          <w:b/>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track”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track with peacebuilding results”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DC62152" w:rsidR="005D15A3" w:rsidRPr="00615EA3" w:rsidRDefault="005D15A3" w:rsidP="005D15A3">
      <w:pPr>
        <w:ind w:left="-720"/>
        <w:rPr>
          <w:b/>
          <w:lang w:val="fr-FR"/>
        </w:rPr>
      </w:pPr>
      <w:r w:rsidRPr="00615EA3">
        <w:rPr>
          <w:b/>
          <w:u w:val="single"/>
          <w:lang w:val="fr-FR"/>
        </w:rPr>
        <w:lastRenderedPageBreak/>
        <w:t>Résultat 1:</w:t>
      </w:r>
      <w:r w:rsidRPr="00615EA3">
        <w:rPr>
          <w:b/>
          <w:lang w:val="fr-FR"/>
        </w:rPr>
        <w:t xml:space="preserve">  </w:t>
      </w:r>
      <w:r w:rsidR="00C60D9D" w:rsidRPr="004E6950">
        <w:rPr>
          <w:b/>
          <w:lang w:val="fr-FR"/>
        </w:rPr>
        <w:t>La cohabitation pacifique entre communautés est améliorée grâce au dialogue et aux relations économiques mutualisées et à une amélioration des mécanismes de gouvernance foncière</w:t>
      </w:r>
      <w:r w:rsidR="00C60D9D">
        <w:rPr>
          <w:b/>
          <w:lang w:val="fr-FR"/>
        </w:rPr>
        <w:t>.</w:t>
      </w:r>
    </w:p>
    <w:p w14:paraId="6A528501" w14:textId="77777777" w:rsidR="005D15A3" w:rsidRPr="00615EA3" w:rsidRDefault="005D15A3" w:rsidP="005D15A3">
      <w:pPr>
        <w:ind w:left="-720"/>
        <w:rPr>
          <w:b/>
          <w:lang w:val="fr-FR"/>
        </w:rPr>
      </w:pPr>
    </w:p>
    <w:p w14:paraId="7AC56A13" w14:textId="15304A5F"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5F208D">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5" w:name="Dropdown2"/>
      <w:r w:rsidR="005F208D" w:rsidRPr="005F208D">
        <w:rPr>
          <w:rFonts w:ascii="Arial Narrow" w:hAnsi="Arial Narrow"/>
          <w:b/>
          <w:sz w:val="22"/>
          <w:szCs w:val="22"/>
          <w:lang w:val="fr-FR"/>
        </w:rPr>
        <w:instrText xml:space="preserve"> FORMDROPDOWN </w:instrText>
      </w:r>
      <w:r w:rsidR="001301F5">
        <w:rPr>
          <w:rFonts w:ascii="Arial Narrow" w:hAnsi="Arial Narrow"/>
          <w:b/>
          <w:sz w:val="22"/>
          <w:szCs w:val="22"/>
        </w:rPr>
      </w:r>
      <w:r w:rsidR="001301F5">
        <w:rPr>
          <w:rFonts w:ascii="Arial Narrow" w:hAnsi="Arial Narrow"/>
          <w:b/>
          <w:sz w:val="22"/>
          <w:szCs w:val="22"/>
        </w:rPr>
        <w:fldChar w:fldCharType="separate"/>
      </w:r>
      <w:r w:rsidR="005F208D">
        <w:rPr>
          <w:rFonts w:ascii="Arial Narrow" w:hAnsi="Arial Narrow"/>
          <w:b/>
          <w:sz w:val="22"/>
          <w:szCs w:val="22"/>
        </w:rPr>
        <w:fldChar w:fldCharType="end"/>
      </w:r>
      <w:bookmarkEnd w:id="5"/>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003235DF" w:rsidRPr="005D15A3">
        <w:rPr>
          <w:b/>
          <w:lang w:val="fr-FR"/>
        </w:rPr>
        <w:t xml:space="preserve">: </w:t>
      </w:r>
      <w:r>
        <w:rPr>
          <w:rFonts w:ascii="inherit" w:hAnsi="inherit"/>
          <w:color w:val="212121"/>
          <w:lang w:val="fr-FR"/>
        </w:rPr>
        <w:t>(Limite de 3000 caractères)</w:t>
      </w:r>
    </w:p>
    <w:p w14:paraId="4FB509A0" w14:textId="77777777" w:rsidR="009978A7" w:rsidRDefault="009978A7" w:rsidP="00181F89">
      <w:pPr>
        <w:jc w:val="both"/>
        <w:rPr>
          <w:b/>
          <w:bCs/>
          <w:highlight w:val="lightGray"/>
          <w:lang w:val="fr-FR"/>
        </w:rPr>
      </w:pPr>
    </w:p>
    <w:p w14:paraId="05AEF9E1" w14:textId="523092C1" w:rsidR="00BE4FE4" w:rsidRPr="006239EB" w:rsidRDefault="00BE4FE4" w:rsidP="00BE4FE4">
      <w:pPr>
        <w:ind w:left="-810"/>
        <w:jc w:val="both"/>
        <w:rPr>
          <w:lang w:val="fr-FR"/>
        </w:rPr>
      </w:pPr>
      <w:r w:rsidRPr="006239EB">
        <w:rPr>
          <w:b/>
          <w:bCs/>
          <w:lang w:val="fr-FR"/>
        </w:rPr>
        <w:t>P</w:t>
      </w:r>
      <w:r w:rsidR="00C60D9D" w:rsidRPr="006239EB">
        <w:rPr>
          <w:b/>
          <w:bCs/>
          <w:lang w:val="fr-FR"/>
        </w:rPr>
        <w:t>roduit 1.1</w:t>
      </w:r>
      <w:r w:rsidR="008634AA" w:rsidRPr="006239EB">
        <w:rPr>
          <w:b/>
          <w:bCs/>
          <w:lang w:val="fr-FR"/>
        </w:rPr>
        <w:t> </w:t>
      </w:r>
      <w:r w:rsidR="008634AA" w:rsidRPr="006239EB">
        <w:rPr>
          <w:lang w:val="fr-FR"/>
        </w:rPr>
        <w:t>:</w:t>
      </w:r>
      <w:r w:rsidR="00C60D9D" w:rsidRPr="006239EB">
        <w:rPr>
          <w:lang w:val="fr-FR"/>
        </w:rPr>
        <w:t xml:space="preserve"> </w:t>
      </w:r>
      <w:r w:rsidR="00BE371F" w:rsidRPr="006239EB">
        <w:rPr>
          <w:lang w:val="fr-FR"/>
        </w:rPr>
        <w:t>L</w:t>
      </w:r>
      <w:r w:rsidR="00C60D9D" w:rsidRPr="006239EB">
        <w:rPr>
          <w:lang w:val="fr-FR"/>
        </w:rPr>
        <w:t>es espaces de dialogue</w:t>
      </w:r>
      <w:r w:rsidR="005108BC" w:rsidRPr="006239EB">
        <w:rPr>
          <w:lang w:val="fr-FR"/>
        </w:rPr>
        <w:t>s</w:t>
      </w:r>
      <w:r w:rsidR="00C60D9D" w:rsidRPr="006239EB">
        <w:rPr>
          <w:lang w:val="fr-FR"/>
        </w:rPr>
        <w:t xml:space="preserve"> </w:t>
      </w:r>
      <w:r w:rsidR="001D4868" w:rsidRPr="006239EB">
        <w:rPr>
          <w:lang w:val="fr-FR"/>
        </w:rPr>
        <w:t>intercommunautaires ont</w:t>
      </w:r>
      <w:r w:rsidR="005C52F9" w:rsidRPr="006239EB">
        <w:rPr>
          <w:lang w:val="fr-FR"/>
        </w:rPr>
        <w:t xml:space="preserve"> permis de prévenir les </w:t>
      </w:r>
      <w:r w:rsidRPr="006239EB">
        <w:rPr>
          <w:lang w:val="fr-FR"/>
        </w:rPr>
        <w:t>conflits et</w:t>
      </w:r>
      <w:r w:rsidR="005C52F9" w:rsidRPr="006239EB">
        <w:rPr>
          <w:lang w:val="fr-FR"/>
        </w:rPr>
        <w:t xml:space="preserve"> renforce</w:t>
      </w:r>
      <w:r w:rsidR="00040535" w:rsidRPr="006239EB">
        <w:rPr>
          <w:lang w:val="fr-FR"/>
        </w:rPr>
        <w:t>r</w:t>
      </w:r>
      <w:r w:rsidR="005C52F9" w:rsidRPr="006239EB">
        <w:rPr>
          <w:lang w:val="fr-FR"/>
        </w:rPr>
        <w:t xml:space="preserve"> la </w:t>
      </w:r>
      <w:r w:rsidR="00BE371F" w:rsidRPr="006239EB">
        <w:rPr>
          <w:lang w:val="fr-FR"/>
        </w:rPr>
        <w:t>cohésion</w:t>
      </w:r>
      <w:r w:rsidR="005C52F9" w:rsidRPr="006239EB">
        <w:rPr>
          <w:lang w:val="fr-FR"/>
        </w:rPr>
        <w:t xml:space="preserve"> sociale au sein des OPA </w:t>
      </w:r>
      <w:r w:rsidR="00AA2A04" w:rsidRPr="006239EB">
        <w:rPr>
          <w:lang w:val="fr-FR"/>
        </w:rPr>
        <w:t>avec une</w:t>
      </w:r>
      <w:r w:rsidR="00040535" w:rsidRPr="006239EB">
        <w:rPr>
          <w:lang w:val="fr-FR"/>
        </w:rPr>
        <w:t xml:space="preserve"> </w:t>
      </w:r>
      <w:r w:rsidR="005108BC" w:rsidRPr="006239EB">
        <w:rPr>
          <w:lang w:val="fr-FR"/>
        </w:rPr>
        <w:t>répercussion</w:t>
      </w:r>
      <w:r w:rsidRPr="006239EB">
        <w:rPr>
          <w:lang w:val="fr-FR"/>
        </w:rPr>
        <w:t xml:space="preserve"> sur</w:t>
      </w:r>
      <w:r w:rsidR="005C52F9" w:rsidRPr="006239EB">
        <w:rPr>
          <w:lang w:val="fr-FR"/>
        </w:rPr>
        <w:t xml:space="preserve"> </w:t>
      </w:r>
      <w:r w:rsidR="0040585A" w:rsidRPr="006239EB">
        <w:rPr>
          <w:lang w:val="fr-FR"/>
        </w:rPr>
        <w:t>elle</w:t>
      </w:r>
      <w:r w:rsidR="005F12EA" w:rsidRPr="006239EB">
        <w:rPr>
          <w:lang w:val="fr-FR"/>
        </w:rPr>
        <w:t>s</w:t>
      </w:r>
      <w:r w:rsidR="005C52F9" w:rsidRPr="006239EB">
        <w:rPr>
          <w:lang w:val="fr-FR"/>
        </w:rPr>
        <w:t xml:space="preserve">. </w:t>
      </w:r>
      <w:r w:rsidRPr="006239EB">
        <w:rPr>
          <w:lang w:val="fr-FR"/>
        </w:rPr>
        <w:t>D</w:t>
      </w:r>
      <w:r w:rsidR="00173864" w:rsidRPr="006239EB">
        <w:rPr>
          <w:lang w:val="fr-FR"/>
        </w:rPr>
        <w:t xml:space="preserve">es plans d’action </w:t>
      </w:r>
      <w:r w:rsidR="001D4868" w:rsidRPr="006239EB">
        <w:rPr>
          <w:lang w:val="fr-FR"/>
        </w:rPr>
        <w:t>communautaire</w:t>
      </w:r>
      <w:r w:rsidR="001D4868" w:rsidRPr="006239EB" w:rsidDel="005C52F9">
        <w:rPr>
          <w:lang w:val="fr-FR"/>
        </w:rPr>
        <w:t xml:space="preserve"> </w:t>
      </w:r>
      <w:r w:rsidR="001D4868" w:rsidRPr="006239EB">
        <w:rPr>
          <w:lang w:val="fr-FR"/>
        </w:rPr>
        <w:t>issus</w:t>
      </w:r>
      <w:r w:rsidR="00AA2A04" w:rsidRPr="006239EB">
        <w:rPr>
          <w:lang w:val="fr-FR"/>
        </w:rPr>
        <w:t xml:space="preserve"> des 24 sessions de </w:t>
      </w:r>
      <w:r w:rsidR="001D4868" w:rsidRPr="006239EB">
        <w:rPr>
          <w:lang w:val="fr-FR"/>
        </w:rPr>
        <w:t>planification participative</w:t>
      </w:r>
      <w:r w:rsidR="00AA2A04" w:rsidRPr="006239EB">
        <w:rPr>
          <w:lang w:val="fr-FR"/>
        </w:rPr>
        <w:t xml:space="preserve"> par l’approche basée sur les droits</w:t>
      </w:r>
      <w:r w:rsidR="00040535" w:rsidRPr="006239EB">
        <w:rPr>
          <w:lang w:val="fr-FR"/>
        </w:rPr>
        <w:t xml:space="preserve"> </w:t>
      </w:r>
      <w:r w:rsidR="00AA2A04" w:rsidRPr="006239EB">
        <w:rPr>
          <w:lang w:val="fr-FR"/>
        </w:rPr>
        <w:t>prenant en compte</w:t>
      </w:r>
      <w:r w:rsidRPr="006239EB">
        <w:rPr>
          <w:lang w:val="fr-FR"/>
        </w:rPr>
        <w:t xml:space="preserve"> les</w:t>
      </w:r>
      <w:r w:rsidR="00173864" w:rsidRPr="006239EB">
        <w:rPr>
          <w:lang w:val="fr-FR"/>
        </w:rPr>
        <w:t xml:space="preserve"> priorités de développement </w:t>
      </w:r>
      <w:r w:rsidR="0040585A" w:rsidRPr="006239EB">
        <w:rPr>
          <w:lang w:val="fr-FR"/>
        </w:rPr>
        <w:t>local pourront</w:t>
      </w:r>
      <w:r w:rsidR="00173864" w:rsidRPr="006239EB">
        <w:rPr>
          <w:lang w:val="fr-FR"/>
        </w:rPr>
        <w:t xml:space="preserve"> </w:t>
      </w:r>
      <w:r w:rsidR="00AA2A04" w:rsidRPr="006239EB">
        <w:rPr>
          <w:lang w:val="fr-FR"/>
        </w:rPr>
        <w:t xml:space="preserve">être </w:t>
      </w:r>
      <w:r w:rsidR="00040535" w:rsidRPr="006239EB">
        <w:rPr>
          <w:lang w:val="fr-FR"/>
        </w:rPr>
        <w:t>intégré</w:t>
      </w:r>
      <w:r w:rsidR="00EA2AB9" w:rsidRPr="006239EB">
        <w:rPr>
          <w:lang w:val="fr-FR"/>
        </w:rPr>
        <w:t>s</w:t>
      </w:r>
      <w:r w:rsidR="00173864" w:rsidRPr="006239EB">
        <w:rPr>
          <w:lang w:val="fr-FR"/>
        </w:rPr>
        <w:t xml:space="preserve"> dans le</w:t>
      </w:r>
      <w:r w:rsidR="00EA2AB9" w:rsidRPr="006239EB">
        <w:rPr>
          <w:lang w:val="fr-FR"/>
        </w:rPr>
        <w:t>s</w:t>
      </w:r>
      <w:r w:rsidR="00173864" w:rsidRPr="006239EB">
        <w:rPr>
          <w:lang w:val="fr-FR"/>
        </w:rPr>
        <w:t xml:space="preserve"> </w:t>
      </w:r>
      <w:r w:rsidR="0040585A" w:rsidRPr="006239EB">
        <w:rPr>
          <w:lang w:val="fr-FR"/>
        </w:rPr>
        <w:t>PDL.</w:t>
      </w:r>
      <w:r w:rsidRPr="006239EB">
        <w:rPr>
          <w:lang w:val="fr-FR"/>
        </w:rPr>
        <w:t xml:space="preserve"> Les</w:t>
      </w:r>
      <w:r w:rsidR="00C60D9D" w:rsidRPr="006239EB">
        <w:rPr>
          <w:lang w:val="fr-FR"/>
        </w:rPr>
        <w:t xml:space="preserve"> femmes rurales </w:t>
      </w:r>
      <w:r w:rsidR="00271B9A" w:rsidRPr="006239EB">
        <w:rPr>
          <w:lang w:val="fr-FR"/>
        </w:rPr>
        <w:t xml:space="preserve">ont été sensibilisées </w:t>
      </w:r>
      <w:r w:rsidR="00C60D9D" w:rsidRPr="006239EB">
        <w:rPr>
          <w:lang w:val="fr-FR"/>
        </w:rPr>
        <w:t xml:space="preserve">sur la prévention des </w:t>
      </w:r>
      <w:r w:rsidR="00271B9A" w:rsidRPr="006239EB">
        <w:rPr>
          <w:lang w:val="fr-FR"/>
        </w:rPr>
        <w:t xml:space="preserve">conflits, </w:t>
      </w:r>
      <w:r w:rsidR="00C60D9D" w:rsidRPr="006239EB">
        <w:rPr>
          <w:lang w:val="fr-FR"/>
        </w:rPr>
        <w:t xml:space="preserve">l’accès à la terre et </w:t>
      </w:r>
      <w:r w:rsidR="00271B9A" w:rsidRPr="006239EB">
        <w:rPr>
          <w:lang w:val="fr-FR"/>
        </w:rPr>
        <w:t xml:space="preserve">aux </w:t>
      </w:r>
      <w:r w:rsidR="00C60D9D" w:rsidRPr="006239EB">
        <w:rPr>
          <w:lang w:val="fr-FR"/>
        </w:rPr>
        <w:t xml:space="preserve">ressources </w:t>
      </w:r>
      <w:r w:rsidR="00271B9A" w:rsidRPr="006239EB">
        <w:rPr>
          <w:lang w:val="fr-FR"/>
        </w:rPr>
        <w:t xml:space="preserve">productives </w:t>
      </w:r>
      <w:r w:rsidR="00C60D9D" w:rsidRPr="006239EB">
        <w:rPr>
          <w:lang w:val="fr-FR"/>
        </w:rPr>
        <w:t>en</w:t>
      </w:r>
      <w:r w:rsidR="00181F89" w:rsidRPr="006239EB">
        <w:rPr>
          <w:lang w:val="fr-FR"/>
        </w:rPr>
        <w:t xml:space="preserve"> </w:t>
      </w:r>
      <w:r w:rsidR="00A432EF" w:rsidRPr="006239EB">
        <w:rPr>
          <w:lang w:val="fr-FR"/>
        </w:rPr>
        <w:t>s</w:t>
      </w:r>
      <w:r w:rsidR="00C60D9D" w:rsidRPr="006239EB">
        <w:rPr>
          <w:lang w:val="fr-FR"/>
        </w:rPr>
        <w:t>’accent</w:t>
      </w:r>
      <w:r w:rsidR="00A432EF" w:rsidRPr="006239EB">
        <w:rPr>
          <w:lang w:val="fr-FR"/>
        </w:rPr>
        <w:t>uant</w:t>
      </w:r>
      <w:r w:rsidR="00C60D9D" w:rsidRPr="006239EB">
        <w:rPr>
          <w:lang w:val="fr-FR"/>
        </w:rPr>
        <w:t xml:space="preserve"> sur la capitalisation des résultats des PCP. </w:t>
      </w:r>
    </w:p>
    <w:p w14:paraId="4CAF8A48" w14:textId="7C3486C3" w:rsidR="00BE4FE4" w:rsidRPr="006239EB" w:rsidRDefault="00BE4FE4" w:rsidP="00BE4FE4">
      <w:pPr>
        <w:ind w:left="-810"/>
        <w:jc w:val="both"/>
        <w:rPr>
          <w:lang w:val="fr-FR"/>
        </w:rPr>
      </w:pPr>
      <w:r w:rsidRPr="006239EB">
        <w:rPr>
          <w:lang w:val="fr-FR"/>
        </w:rPr>
        <w:t xml:space="preserve">Les défis et préoccupations basés sur les droits de l’homme relevés lors des Planification Communautaires participative </w:t>
      </w:r>
      <w:r w:rsidR="00A64F9E" w:rsidRPr="006239EB">
        <w:rPr>
          <w:lang w:val="fr-FR"/>
        </w:rPr>
        <w:t xml:space="preserve">ont </w:t>
      </w:r>
      <w:r w:rsidR="0040585A" w:rsidRPr="006239EB">
        <w:rPr>
          <w:lang w:val="fr-FR"/>
        </w:rPr>
        <w:t>permis de</w:t>
      </w:r>
      <w:r w:rsidRPr="006239EB">
        <w:rPr>
          <w:lang w:val="fr-FR"/>
        </w:rPr>
        <w:t xml:space="preserve"> relever </w:t>
      </w:r>
      <w:r w:rsidR="00A64F9E" w:rsidRPr="006239EB">
        <w:rPr>
          <w:lang w:val="fr-FR"/>
        </w:rPr>
        <w:t xml:space="preserve">à Koulé et Kokota </w:t>
      </w:r>
      <w:r w:rsidRPr="006239EB">
        <w:rPr>
          <w:lang w:val="fr-FR"/>
        </w:rPr>
        <w:t xml:space="preserve">les effets positifs de la cohésion sociale et l’urgence d’adopter et d’appliquer la Loi d’orientation agricole pour résoudre les conflits agriculteurs/éleveurs. Des femmes leaders identifiées </w:t>
      </w:r>
      <w:r w:rsidR="00A64F9E" w:rsidRPr="006239EB">
        <w:rPr>
          <w:lang w:val="fr-FR"/>
        </w:rPr>
        <w:t xml:space="preserve">dans ces </w:t>
      </w:r>
      <w:r w:rsidR="001D4868" w:rsidRPr="006239EB">
        <w:rPr>
          <w:lang w:val="fr-FR"/>
        </w:rPr>
        <w:t>groupements serviront</w:t>
      </w:r>
      <w:r w:rsidRPr="006239EB">
        <w:rPr>
          <w:lang w:val="fr-FR"/>
        </w:rPr>
        <w:t xml:space="preserve"> de messager pour la promotion de la cohésion sociale. </w:t>
      </w:r>
    </w:p>
    <w:p w14:paraId="4CE2BBD0" w14:textId="77777777" w:rsidR="0004226A" w:rsidRPr="006239EB" w:rsidRDefault="0004226A" w:rsidP="00BE4FE4">
      <w:pPr>
        <w:ind w:left="-810"/>
        <w:jc w:val="both"/>
        <w:rPr>
          <w:b/>
          <w:bCs/>
          <w:lang w:val="fr-FR"/>
        </w:rPr>
      </w:pPr>
    </w:p>
    <w:p w14:paraId="19462364" w14:textId="682E11C6" w:rsidR="00BE4FE4" w:rsidRPr="006239EB" w:rsidRDefault="00BE4FE4" w:rsidP="00BE4FE4">
      <w:pPr>
        <w:ind w:left="-810"/>
        <w:jc w:val="both"/>
        <w:rPr>
          <w:lang w:val="fr-FR"/>
        </w:rPr>
      </w:pPr>
      <w:r w:rsidRPr="006239EB">
        <w:rPr>
          <w:b/>
          <w:bCs/>
          <w:lang w:val="fr-FR"/>
        </w:rPr>
        <w:t>Produit 1.2 </w:t>
      </w:r>
      <w:r w:rsidRPr="006239EB">
        <w:rPr>
          <w:lang w:val="fr-FR"/>
        </w:rPr>
        <w:t>:  4 facilitateurs</w:t>
      </w:r>
      <w:r w:rsidR="002B0605" w:rsidRPr="006239EB">
        <w:rPr>
          <w:lang w:val="fr-FR"/>
        </w:rPr>
        <w:t>,</w:t>
      </w:r>
      <w:r w:rsidRPr="006239EB">
        <w:rPr>
          <w:lang w:val="fr-FR"/>
        </w:rPr>
        <w:t xml:space="preserve"> 8 conseillers agricole </w:t>
      </w:r>
      <w:r w:rsidR="005108BC" w:rsidRPr="006239EB">
        <w:rPr>
          <w:lang w:val="fr-FR"/>
        </w:rPr>
        <w:t>et</w:t>
      </w:r>
      <w:r w:rsidRPr="006239EB">
        <w:rPr>
          <w:lang w:val="fr-FR"/>
        </w:rPr>
        <w:t xml:space="preserve"> 4 animateurs d’ONG ont été </w:t>
      </w:r>
      <w:r w:rsidR="005108BC" w:rsidRPr="006239EB">
        <w:rPr>
          <w:lang w:val="fr-FR"/>
        </w:rPr>
        <w:t>outillés</w:t>
      </w:r>
      <w:r w:rsidRPr="006239EB">
        <w:rPr>
          <w:lang w:val="fr-FR"/>
        </w:rPr>
        <w:t xml:space="preserve"> sur le concept de champ école paysan pour renforcer les capacités de 12 OPA rizicole sur les bonnes pratiques agricoles. Pour améliorer la productivité agricole de 48 ha de </w:t>
      </w:r>
      <w:r w:rsidR="005108BC" w:rsidRPr="006239EB">
        <w:rPr>
          <w:lang w:val="fr-FR"/>
        </w:rPr>
        <w:t>bas fond</w:t>
      </w:r>
      <w:r w:rsidRPr="006239EB">
        <w:rPr>
          <w:lang w:val="fr-FR"/>
        </w:rPr>
        <w:t xml:space="preserve"> aménagés mise en valeur, des intrants </w:t>
      </w:r>
      <w:r w:rsidR="004D7976" w:rsidRPr="006239EB">
        <w:rPr>
          <w:lang w:val="fr-FR"/>
        </w:rPr>
        <w:t>et outillages</w:t>
      </w:r>
      <w:r w:rsidRPr="006239EB">
        <w:rPr>
          <w:lang w:val="fr-FR"/>
        </w:rPr>
        <w:t xml:space="preserve"> agricole ont été distribués aux 12 </w:t>
      </w:r>
      <w:r w:rsidR="001D4868" w:rsidRPr="006239EB">
        <w:rPr>
          <w:lang w:val="fr-FR"/>
        </w:rPr>
        <w:t>OPA (</w:t>
      </w:r>
      <w:r w:rsidRPr="006239EB">
        <w:rPr>
          <w:lang w:val="fr-FR"/>
        </w:rPr>
        <w:t>3.780 kg de semences de riz CK90 et 13.500 kg d’engrais minéraux</w:t>
      </w:r>
      <w:r w:rsidR="00EA2AB9" w:rsidRPr="006239EB">
        <w:rPr>
          <w:lang w:val="fr-FR"/>
        </w:rPr>
        <w:t>)</w:t>
      </w:r>
      <w:r w:rsidRPr="006239EB">
        <w:rPr>
          <w:lang w:val="fr-FR"/>
        </w:rPr>
        <w:t xml:space="preserve">. Cet accompagnement présage le </w:t>
      </w:r>
      <w:r w:rsidR="004D7976" w:rsidRPr="006239EB">
        <w:rPr>
          <w:lang w:val="fr-FR"/>
        </w:rPr>
        <w:t>rendement d’environ</w:t>
      </w:r>
      <w:r w:rsidRPr="006239EB">
        <w:rPr>
          <w:lang w:val="fr-FR"/>
        </w:rPr>
        <w:t xml:space="preserve"> 3 </w:t>
      </w:r>
      <w:r w:rsidR="001D4868" w:rsidRPr="006239EB">
        <w:rPr>
          <w:lang w:val="fr-FR"/>
        </w:rPr>
        <w:t>tonnes à</w:t>
      </w:r>
      <w:r w:rsidRPr="006239EB">
        <w:rPr>
          <w:lang w:val="fr-FR"/>
        </w:rPr>
        <w:t xml:space="preserve"> l’hectare.   </w:t>
      </w:r>
      <w:bookmarkStart w:id="6" w:name="_Hlk89337795"/>
      <w:r w:rsidRPr="006239EB">
        <w:rPr>
          <w:lang w:val="fr-FR"/>
        </w:rPr>
        <w:t xml:space="preserve">La construction de 4 magasins de </w:t>
      </w:r>
      <w:r w:rsidR="001D4868" w:rsidRPr="006239EB">
        <w:rPr>
          <w:lang w:val="fr-FR"/>
        </w:rPr>
        <w:t>stockage,</w:t>
      </w:r>
      <w:r w:rsidRPr="006239EB">
        <w:rPr>
          <w:lang w:val="fr-FR"/>
        </w:rPr>
        <w:t xml:space="preserve"> d’</w:t>
      </w:r>
      <w:r w:rsidR="005F12EA" w:rsidRPr="006239EB">
        <w:rPr>
          <w:lang w:val="fr-FR"/>
        </w:rPr>
        <w:t xml:space="preserve">essences forestière  </w:t>
      </w:r>
      <w:r w:rsidRPr="006239EB">
        <w:rPr>
          <w:lang w:val="fr-FR"/>
        </w:rPr>
        <w:t xml:space="preserve"> adaptées   ont permis de restaurer 20 ha de forêts communautaires.  </w:t>
      </w:r>
      <w:bookmarkStart w:id="7" w:name="_Hlk89338827"/>
      <w:r w:rsidRPr="006239EB">
        <w:rPr>
          <w:lang w:val="fr-FR"/>
        </w:rPr>
        <w:t xml:space="preserve">896 </w:t>
      </w:r>
      <w:r w:rsidR="001D4868" w:rsidRPr="006239EB">
        <w:rPr>
          <w:lang w:val="fr-FR"/>
        </w:rPr>
        <w:t>participants des</w:t>
      </w:r>
      <w:r w:rsidRPr="006239EB">
        <w:rPr>
          <w:lang w:val="fr-FR"/>
        </w:rPr>
        <w:t xml:space="preserve"> 12 OPA ont contribué </w:t>
      </w:r>
      <w:r w:rsidR="00EA2AB9" w:rsidRPr="006239EB">
        <w:rPr>
          <w:lang w:val="fr-FR"/>
        </w:rPr>
        <w:t>à</w:t>
      </w:r>
      <w:r w:rsidRPr="006239EB">
        <w:rPr>
          <w:lang w:val="fr-FR"/>
        </w:rPr>
        <w:t xml:space="preserve"> la réalisation de ces activités et percevront </w:t>
      </w:r>
      <w:r w:rsidR="000D593D" w:rsidRPr="006239EB">
        <w:rPr>
          <w:lang w:val="fr-FR"/>
        </w:rPr>
        <w:t>un montant</w:t>
      </w:r>
      <w:r w:rsidRPr="006239EB">
        <w:rPr>
          <w:lang w:val="fr-FR"/>
        </w:rPr>
        <w:t xml:space="preserve"> en compensation de leur effort de travail. </w:t>
      </w:r>
    </w:p>
    <w:bookmarkEnd w:id="6"/>
    <w:bookmarkEnd w:id="7"/>
    <w:p w14:paraId="4A69262D" w14:textId="77777777" w:rsidR="00DB41A3" w:rsidRPr="006239EB" w:rsidRDefault="00DB41A3" w:rsidP="00BE4FE4">
      <w:pPr>
        <w:ind w:left="-810"/>
        <w:jc w:val="both"/>
        <w:rPr>
          <w:lang w:val="fr-FR"/>
        </w:rPr>
      </w:pPr>
    </w:p>
    <w:p w14:paraId="4987499E" w14:textId="220C3C11" w:rsidR="0004226A" w:rsidRPr="006239EB" w:rsidRDefault="00BE4FE4" w:rsidP="00BE4FE4">
      <w:pPr>
        <w:ind w:left="-810"/>
        <w:jc w:val="both"/>
        <w:rPr>
          <w:lang w:val="fr-FR"/>
        </w:rPr>
      </w:pPr>
      <w:r w:rsidRPr="006239EB">
        <w:rPr>
          <w:lang w:val="fr-FR"/>
        </w:rPr>
        <w:t xml:space="preserve">12 comités de gestion   outillés </w:t>
      </w:r>
      <w:r w:rsidR="004D7976" w:rsidRPr="006239EB">
        <w:rPr>
          <w:lang w:val="fr-FR"/>
        </w:rPr>
        <w:t xml:space="preserve">sont </w:t>
      </w:r>
      <w:r w:rsidRPr="006239EB">
        <w:rPr>
          <w:lang w:val="fr-FR"/>
        </w:rPr>
        <w:t>capables d’entretenir les actifs crées et de démultiplier leur expérience, susceptible de raffermir les liens intercommunautaires. Pour une meilleure utilisation de la production et la diversification alimentaire, 797 personnes dont 537 femmes</w:t>
      </w:r>
      <w:r w:rsidRPr="006239EB" w:rsidDel="009D2632">
        <w:rPr>
          <w:lang w:val="fr-FR"/>
        </w:rPr>
        <w:t xml:space="preserve"> </w:t>
      </w:r>
      <w:r w:rsidRPr="006239EB">
        <w:rPr>
          <w:lang w:val="fr-FR"/>
        </w:rPr>
        <w:t>ont été sensibilisés sur les bonnes pratiques alimentaire et nutritionnelle.  Des études techniques</w:t>
      </w:r>
      <w:r w:rsidR="004D7976" w:rsidRPr="006239EB">
        <w:rPr>
          <w:lang w:val="fr-FR"/>
        </w:rPr>
        <w:t xml:space="preserve"> et</w:t>
      </w:r>
      <w:r w:rsidRPr="006239EB">
        <w:rPr>
          <w:lang w:val="fr-FR"/>
        </w:rPr>
        <w:t xml:space="preserve"> </w:t>
      </w:r>
      <w:r w:rsidR="001D4868" w:rsidRPr="006239EB">
        <w:rPr>
          <w:lang w:val="fr-FR"/>
        </w:rPr>
        <w:t>d’impact environnementale</w:t>
      </w:r>
      <w:r w:rsidRPr="006239EB">
        <w:rPr>
          <w:lang w:val="fr-FR"/>
        </w:rPr>
        <w:t xml:space="preserve"> des actifs communautaire ont permis d’avoir un plan de gestion environnemental et </w:t>
      </w:r>
      <w:r w:rsidR="005F12EA" w:rsidRPr="006239EB">
        <w:rPr>
          <w:lang w:val="fr-FR"/>
        </w:rPr>
        <w:t>d’</w:t>
      </w:r>
      <w:r w:rsidRPr="006239EB">
        <w:rPr>
          <w:lang w:val="fr-FR"/>
        </w:rPr>
        <w:t>établir des titres de propriétés au profit des exploitants. 603 personnes dont 333 femmes des champ école paysan ont été sensibilisées sur les impacts des conflits intercommunautaire.</w:t>
      </w:r>
    </w:p>
    <w:p w14:paraId="32C87BDC" w14:textId="314BF1C8" w:rsidR="00BE4FE4" w:rsidRPr="006239EB" w:rsidRDefault="00BE4FE4" w:rsidP="00BE4FE4">
      <w:pPr>
        <w:ind w:left="-810"/>
        <w:jc w:val="both"/>
        <w:rPr>
          <w:b/>
          <w:bCs/>
          <w:lang w:val="fr-FR"/>
        </w:rPr>
      </w:pPr>
      <w:r w:rsidRPr="006239EB">
        <w:rPr>
          <w:b/>
          <w:bCs/>
          <w:lang w:val="fr-FR"/>
        </w:rPr>
        <w:t xml:space="preserve"> </w:t>
      </w:r>
    </w:p>
    <w:p w14:paraId="50447A2B" w14:textId="30B0E1AA" w:rsidR="00BE4FE4" w:rsidRPr="006239EB" w:rsidRDefault="00BE4FE4" w:rsidP="00BE4FE4">
      <w:pPr>
        <w:ind w:left="-810"/>
        <w:jc w:val="both"/>
        <w:rPr>
          <w:lang w:val="fr-FR"/>
        </w:rPr>
      </w:pPr>
      <w:r w:rsidRPr="006239EB">
        <w:rPr>
          <w:b/>
          <w:bCs/>
          <w:lang w:val="fr-FR"/>
        </w:rPr>
        <w:t>Produit 1.3 </w:t>
      </w:r>
      <w:r w:rsidRPr="006239EB">
        <w:rPr>
          <w:lang w:val="fr-FR"/>
        </w:rPr>
        <w:t xml:space="preserve">: le consultant national juriste a été recruté </w:t>
      </w:r>
      <w:r w:rsidR="00124A57" w:rsidRPr="006239EB">
        <w:rPr>
          <w:lang w:val="fr-FR"/>
        </w:rPr>
        <w:t xml:space="preserve">et celui </w:t>
      </w:r>
      <w:r w:rsidR="005F12EA" w:rsidRPr="006239EB">
        <w:rPr>
          <w:lang w:val="fr-FR"/>
        </w:rPr>
        <w:t>à</w:t>
      </w:r>
      <w:r w:rsidR="001D4868" w:rsidRPr="006239EB">
        <w:rPr>
          <w:lang w:val="fr-FR"/>
        </w:rPr>
        <w:t xml:space="preserve"> l’international</w:t>
      </w:r>
      <w:r w:rsidR="00124A57" w:rsidRPr="006239EB">
        <w:rPr>
          <w:lang w:val="fr-FR"/>
        </w:rPr>
        <w:t xml:space="preserve"> est en cours </w:t>
      </w:r>
      <w:r w:rsidRPr="006239EB">
        <w:rPr>
          <w:lang w:val="fr-FR"/>
        </w:rPr>
        <w:t>pour la diffusion du cadre juridique et institutionnel et des outils relatifs à la gouvernance foncière</w:t>
      </w:r>
      <w:r w:rsidR="004D7976" w:rsidRPr="006239EB">
        <w:rPr>
          <w:lang w:val="fr-FR"/>
        </w:rPr>
        <w:t xml:space="preserve">. </w:t>
      </w:r>
      <w:bookmarkStart w:id="8" w:name="_Hlk88226550"/>
      <w:r w:rsidR="004D7976" w:rsidRPr="006239EB">
        <w:rPr>
          <w:lang w:val="fr-FR"/>
        </w:rPr>
        <w:t>Certains instr</w:t>
      </w:r>
      <w:r w:rsidR="001D4868" w:rsidRPr="006239EB">
        <w:rPr>
          <w:lang w:val="fr-FR"/>
        </w:rPr>
        <w:t>uments juridiques ont été</w:t>
      </w:r>
      <w:r w:rsidR="00124A57" w:rsidRPr="006239EB">
        <w:rPr>
          <w:color w:val="000000"/>
          <w:shd w:val="clear" w:color="auto" w:fill="FFFFFF"/>
          <w:lang w:val="fr-FR"/>
        </w:rPr>
        <w:t xml:space="preserve"> vulgarisé</w:t>
      </w:r>
      <w:r w:rsidR="001D4868" w:rsidRPr="006239EB">
        <w:rPr>
          <w:color w:val="000000"/>
          <w:shd w:val="clear" w:color="auto" w:fill="FFFFFF"/>
          <w:lang w:val="fr-FR"/>
        </w:rPr>
        <w:t>s</w:t>
      </w:r>
      <w:r w:rsidR="00124A57" w:rsidRPr="006239EB">
        <w:rPr>
          <w:color w:val="000000"/>
          <w:shd w:val="clear" w:color="auto" w:fill="FFFFFF"/>
          <w:lang w:val="fr-FR"/>
        </w:rPr>
        <w:t xml:space="preserve"> auprès de </w:t>
      </w:r>
      <w:r w:rsidR="00124A57" w:rsidRPr="006239EB">
        <w:rPr>
          <w:b/>
          <w:bCs/>
          <w:lang w:val="fr-FR"/>
        </w:rPr>
        <w:t>78</w:t>
      </w:r>
      <w:r w:rsidR="00124A57" w:rsidRPr="006239EB">
        <w:rPr>
          <w:lang w:val="fr-FR"/>
        </w:rPr>
        <w:t xml:space="preserve"> personnes dont 4 femmes</w:t>
      </w:r>
      <w:r w:rsidRPr="006239EB">
        <w:rPr>
          <w:lang w:val="fr-FR"/>
        </w:rPr>
        <w:t xml:space="preserve"> </w:t>
      </w:r>
      <w:r w:rsidR="00124A57" w:rsidRPr="006239EB">
        <w:rPr>
          <w:lang w:val="fr-FR"/>
        </w:rPr>
        <w:t>constituées</w:t>
      </w:r>
      <w:r w:rsidRPr="006239EB">
        <w:rPr>
          <w:lang w:val="fr-FR"/>
        </w:rPr>
        <w:t xml:space="preserve"> d</w:t>
      </w:r>
      <w:r w:rsidR="00124A57" w:rsidRPr="006239EB">
        <w:rPr>
          <w:lang w:val="fr-FR"/>
        </w:rPr>
        <w:t>’</w:t>
      </w:r>
      <w:r w:rsidRPr="006239EB">
        <w:rPr>
          <w:lang w:val="fr-FR"/>
        </w:rPr>
        <w:t xml:space="preserve">autotriés </w:t>
      </w:r>
      <w:r w:rsidR="00124A57" w:rsidRPr="006239EB">
        <w:rPr>
          <w:lang w:val="fr-FR"/>
        </w:rPr>
        <w:t>civil</w:t>
      </w:r>
      <w:r w:rsidR="008A0651" w:rsidRPr="006239EB">
        <w:rPr>
          <w:lang w:val="fr-FR"/>
        </w:rPr>
        <w:t>o</w:t>
      </w:r>
      <w:r w:rsidR="00124A57" w:rsidRPr="006239EB">
        <w:rPr>
          <w:lang w:val="fr-FR"/>
        </w:rPr>
        <w:t xml:space="preserve">-militaires </w:t>
      </w:r>
      <w:r w:rsidRPr="006239EB">
        <w:rPr>
          <w:lang w:val="fr-FR"/>
        </w:rPr>
        <w:t xml:space="preserve">et </w:t>
      </w:r>
      <w:r w:rsidR="005F12EA" w:rsidRPr="006239EB">
        <w:rPr>
          <w:lang w:val="fr-FR"/>
        </w:rPr>
        <w:t xml:space="preserve">de </w:t>
      </w:r>
      <w:r w:rsidRPr="006239EB">
        <w:rPr>
          <w:lang w:val="fr-FR"/>
        </w:rPr>
        <w:t xml:space="preserve">la société civile.  Des prises de contacts auprès des acteurs sociaux, et des services </w:t>
      </w:r>
      <w:r w:rsidR="001D4868" w:rsidRPr="006239EB">
        <w:rPr>
          <w:lang w:val="fr-FR"/>
        </w:rPr>
        <w:t>techniques concernés</w:t>
      </w:r>
      <w:r w:rsidRPr="006239EB">
        <w:rPr>
          <w:lang w:val="fr-FR"/>
        </w:rPr>
        <w:t xml:space="preserve"> ont permis de mettre en </w:t>
      </w:r>
      <w:r w:rsidR="00124A57" w:rsidRPr="006239EB">
        <w:rPr>
          <w:lang w:val="fr-FR"/>
        </w:rPr>
        <w:t>évidence</w:t>
      </w:r>
      <w:r w:rsidR="005F12EA" w:rsidRPr="006239EB">
        <w:rPr>
          <w:lang w:val="fr-FR"/>
        </w:rPr>
        <w:t>,</w:t>
      </w:r>
      <w:r w:rsidRPr="006239EB">
        <w:rPr>
          <w:lang w:val="fr-FR"/>
        </w:rPr>
        <w:t xml:space="preserve"> l’impact de la législation foncière</w:t>
      </w:r>
      <w:r w:rsidR="001D4868" w:rsidRPr="006239EB">
        <w:rPr>
          <w:lang w:val="fr-FR"/>
        </w:rPr>
        <w:t xml:space="preserve"> et la nécessité de la</w:t>
      </w:r>
      <w:r w:rsidRPr="006239EB">
        <w:rPr>
          <w:lang w:val="fr-FR"/>
        </w:rPr>
        <w:t xml:space="preserve"> revue du cadre juridique et </w:t>
      </w:r>
      <w:r w:rsidR="001D4868" w:rsidRPr="006239EB">
        <w:rPr>
          <w:lang w:val="fr-FR"/>
        </w:rPr>
        <w:t>institutionnel</w:t>
      </w:r>
      <w:bookmarkEnd w:id="8"/>
      <w:r w:rsidR="001D4868" w:rsidRPr="006239EB">
        <w:rPr>
          <w:lang w:val="fr-FR"/>
        </w:rPr>
        <w:t>.</w:t>
      </w:r>
      <w:r w:rsidRPr="006239EB">
        <w:rPr>
          <w:lang w:val="fr-FR"/>
        </w:rPr>
        <w:t xml:space="preserve">  </w:t>
      </w:r>
    </w:p>
    <w:p w14:paraId="6E0F95E4" w14:textId="5620A91E" w:rsidR="00BE4FE4" w:rsidRPr="006239EB" w:rsidRDefault="00BE4FE4" w:rsidP="00BE4FE4">
      <w:pPr>
        <w:ind w:left="-810"/>
        <w:jc w:val="both"/>
        <w:rPr>
          <w:lang w:val="fr-FR"/>
        </w:rPr>
      </w:pPr>
      <w:r w:rsidRPr="006239EB">
        <w:rPr>
          <w:b/>
          <w:bCs/>
          <w:lang w:val="fr-FR"/>
        </w:rPr>
        <w:t xml:space="preserve"> Produit 1.4 :</w:t>
      </w:r>
      <w:r w:rsidRPr="006239EB">
        <w:rPr>
          <w:lang w:val="fr-FR"/>
        </w:rPr>
        <w:t xml:space="preserve"> Des supports médiatiques de sensibilisation sur les </w:t>
      </w:r>
      <w:r w:rsidR="005F12EA" w:rsidRPr="006239EB">
        <w:rPr>
          <w:lang w:val="fr-FR"/>
        </w:rPr>
        <w:t>droits des</w:t>
      </w:r>
      <w:r w:rsidRPr="006239EB">
        <w:rPr>
          <w:lang w:val="fr-FR"/>
        </w:rPr>
        <w:t xml:space="preserve"> femmes, sont en cours </w:t>
      </w:r>
      <w:r w:rsidR="00EA2AB9" w:rsidRPr="006239EB">
        <w:rPr>
          <w:lang w:val="fr-FR"/>
        </w:rPr>
        <w:t xml:space="preserve">de </w:t>
      </w:r>
      <w:r w:rsidRPr="006239EB">
        <w:rPr>
          <w:lang w:val="fr-FR"/>
        </w:rPr>
        <w:t xml:space="preserve">conception. </w:t>
      </w:r>
      <w:r w:rsidR="008A0651" w:rsidRPr="006239EB">
        <w:rPr>
          <w:color w:val="000000"/>
          <w:shd w:val="clear" w:color="auto" w:fill="FFFFFF"/>
          <w:lang w:val="fr-FR"/>
        </w:rPr>
        <w:t xml:space="preserve">Plus de </w:t>
      </w:r>
      <w:r w:rsidR="008A0651" w:rsidRPr="006239EB">
        <w:rPr>
          <w:b/>
          <w:bCs/>
          <w:lang w:val="fr-FR"/>
        </w:rPr>
        <w:t>690</w:t>
      </w:r>
      <w:r w:rsidR="008A0651" w:rsidRPr="006239EB">
        <w:rPr>
          <w:lang w:val="fr-FR"/>
        </w:rPr>
        <w:t xml:space="preserve"> </w:t>
      </w:r>
      <w:r w:rsidR="0040585A" w:rsidRPr="006239EB">
        <w:rPr>
          <w:lang w:val="fr-FR"/>
        </w:rPr>
        <w:t>bénéficiaires</w:t>
      </w:r>
      <w:r w:rsidR="008A0651" w:rsidRPr="006239EB">
        <w:rPr>
          <w:lang w:val="fr-FR"/>
        </w:rPr>
        <w:t xml:space="preserve"> dont </w:t>
      </w:r>
      <w:r w:rsidR="008A0651" w:rsidRPr="006239EB">
        <w:rPr>
          <w:b/>
          <w:bCs/>
          <w:lang w:val="fr-FR"/>
        </w:rPr>
        <w:t>497</w:t>
      </w:r>
      <w:r w:rsidR="008A0651" w:rsidRPr="006239EB">
        <w:rPr>
          <w:lang w:val="fr-FR"/>
        </w:rPr>
        <w:t xml:space="preserve"> femmes des </w:t>
      </w:r>
      <w:r w:rsidR="008A0651" w:rsidRPr="006239EB">
        <w:rPr>
          <w:b/>
          <w:bCs/>
          <w:lang w:val="fr-FR"/>
        </w:rPr>
        <w:t>14</w:t>
      </w:r>
      <w:r w:rsidR="008A0651" w:rsidRPr="006239EB">
        <w:rPr>
          <w:lang w:val="fr-FR"/>
        </w:rPr>
        <w:t xml:space="preserve"> localités du projet ont été sensibilisées sur les droits de la femme, son rôle </w:t>
      </w:r>
      <w:r w:rsidR="001D4868" w:rsidRPr="006239EB">
        <w:rPr>
          <w:lang w:val="fr-FR"/>
        </w:rPr>
        <w:t>dans</w:t>
      </w:r>
      <w:r w:rsidR="0040585A" w:rsidRPr="006239EB">
        <w:rPr>
          <w:lang w:val="fr-FR"/>
        </w:rPr>
        <w:t xml:space="preserve"> la gestion </w:t>
      </w:r>
      <w:r w:rsidR="008A0651" w:rsidRPr="006239EB">
        <w:rPr>
          <w:lang w:val="fr-FR"/>
        </w:rPr>
        <w:t xml:space="preserve">des conflits communautaires </w:t>
      </w:r>
      <w:r w:rsidR="008A0651" w:rsidRPr="006239EB">
        <w:rPr>
          <w:lang w:val="fr-FR"/>
        </w:rPr>
        <w:lastRenderedPageBreak/>
        <w:t xml:space="preserve">par l’entremise </w:t>
      </w:r>
      <w:r w:rsidR="008A0651" w:rsidRPr="006239EB">
        <w:rPr>
          <w:b/>
          <w:bCs/>
          <w:lang w:val="fr-FR"/>
        </w:rPr>
        <w:t>de 141</w:t>
      </w:r>
      <w:r w:rsidR="008A0651" w:rsidRPr="006239EB">
        <w:rPr>
          <w:lang w:val="fr-FR"/>
        </w:rPr>
        <w:t xml:space="preserve"> femmes leaders formées</w:t>
      </w:r>
      <w:r w:rsidRPr="006239EB">
        <w:rPr>
          <w:lang w:val="fr-FR"/>
        </w:rPr>
        <w:t xml:space="preserve">.100 </w:t>
      </w:r>
      <w:r w:rsidR="001D4868" w:rsidRPr="006239EB">
        <w:rPr>
          <w:lang w:val="fr-FR"/>
        </w:rPr>
        <w:t>femmes en</w:t>
      </w:r>
      <w:r w:rsidRPr="006239EB">
        <w:rPr>
          <w:lang w:val="fr-FR"/>
        </w:rPr>
        <w:t xml:space="preserve"> </w:t>
      </w:r>
      <w:r w:rsidR="008A0651" w:rsidRPr="006239EB">
        <w:rPr>
          <w:lang w:val="fr-FR"/>
        </w:rPr>
        <w:t>difficultés</w:t>
      </w:r>
      <w:r w:rsidRPr="006239EB">
        <w:rPr>
          <w:lang w:val="fr-FR"/>
        </w:rPr>
        <w:t xml:space="preserve"> </w:t>
      </w:r>
      <w:r w:rsidR="001D4868" w:rsidRPr="006239EB">
        <w:rPr>
          <w:lang w:val="fr-FR"/>
        </w:rPr>
        <w:t>sur l’accès au foncier</w:t>
      </w:r>
      <w:r w:rsidRPr="006239EB">
        <w:rPr>
          <w:lang w:val="fr-FR"/>
        </w:rPr>
        <w:t xml:space="preserve"> seront accompagnées par une ONG de parajuristes.  </w:t>
      </w:r>
    </w:p>
    <w:p w14:paraId="22448EDC" w14:textId="3AA47BE0" w:rsidR="00A20128" w:rsidRPr="006239EB" w:rsidRDefault="00A20128" w:rsidP="008A0651">
      <w:pPr>
        <w:jc w:val="both"/>
        <w:rPr>
          <w:lang w:val="fr-FR"/>
        </w:rPr>
      </w:pPr>
    </w:p>
    <w:p w14:paraId="41ABD3CD" w14:textId="77777777" w:rsidR="00161D02" w:rsidRPr="006239EB" w:rsidRDefault="005D15A3" w:rsidP="00627A1C">
      <w:pPr>
        <w:ind w:left="-720"/>
        <w:rPr>
          <w:b/>
          <w:lang w:val="fr-FR"/>
        </w:rPr>
      </w:pPr>
      <w:r w:rsidRPr="006239EB">
        <w:rPr>
          <w:b/>
          <w:bCs/>
          <w:color w:val="000000"/>
          <w:lang w:val="fr-FR" w:eastAsia="en-US"/>
        </w:rPr>
        <w:t>Indiquez toute analyse supplémentaire sur la manière dont l'égalité entre les sexes et l'autonomisation des femmes et / ou l'inclusion</w:t>
      </w:r>
      <w:r w:rsidR="00675507" w:rsidRPr="006239EB">
        <w:rPr>
          <w:b/>
          <w:bCs/>
          <w:color w:val="000000"/>
          <w:lang w:val="fr-FR" w:eastAsia="en-US"/>
        </w:rPr>
        <w:t xml:space="preserve"> </w:t>
      </w:r>
      <w:r w:rsidRPr="006239EB">
        <w:rPr>
          <w:b/>
          <w:bCs/>
          <w:color w:val="000000"/>
          <w:lang w:val="fr-FR" w:eastAsia="en-US"/>
        </w:rPr>
        <w:t xml:space="preserve">et la réactivité </w:t>
      </w:r>
      <w:r w:rsidR="00675507" w:rsidRPr="006239EB">
        <w:rPr>
          <w:b/>
          <w:bCs/>
          <w:color w:val="000000"/>
          <w:lang w:val="fr-FR" w:eastAsia="en-US"/>
        </w:rPr>
        <w:t>aux besoins des</w:t>
      </w:r>
      <w:r w:rsidRPr="006239EB">
        <w:rPr>
          <w:b/>
          <w:bCs/>
          <w:color w:val="000000"/>
          <w:lang w:val="fr-FR" w:eastAsia="en-US"/>
        </w:rPr>
        <w:t xml:space="preserve"> jeunes ont été assurées dans le cadre de ce résultat</w:t>
      </w:r>
      <w:r w:rsidR="00161D02" w:rsidRPr="006239EB">
        <w:rPr>
          <w:b/>
          <w:lang w:val="fr-FR"/>
        </w:rPr>
        <w:t xml:space="preserve">: </w:t>
      </w:r>
      <w:r w:rsidR="00161D02" w:rsidRPr="006239EB">
        <w:rPr>
          <w:i/>
          <w:lang w:val="fr-FR"/>
        </w:rPr>
        <w:t>(</w:t>
      </w:r>
      <w:r w:rsidR="00675507" w:rsidRPr="006239EB">
        <w:rPr>
          <w:rFonts w:ascii="inherit" w:hAnsi="inherit"/>
          <w:color w:val="212121"/>
          <w:lang w:val="fr-FR"/>
        </w:rPr>
        <w:t>Limite de 1000 caractères</w:t>
      </w:r>
      <w:r w:rsidR="00161D02" w:rsidRPr="006239EB">
        <w:rPr>
          <w:i/>
          <w:lang w:val="fr-FR"/>
        </w:rPr>
        <w:t>)</w:t>
      </w:r>
    </w:p>
    <w:p w14:paraId="53BBC5A8" w14:textId="77777777" w:rsidR="006239EB" w:rsidRDefault="006239EB" w:rsidP="00FC4F61">
      <w:pPr>
        <w:ind w:left="-720"/>
        <w:jc w:val="both"/>
        <w:rPr>
          <w:bCs/>
          <w:lang w:val="fr-FR"/>
        </w:rPr>
      </w:pPr>
    </w:p>
    <w:p w14:paraId="01C95F5F" w14:textId="23822B17" w:rsidR="00FC4F61" w:rsidRPr="00336240" w:rsidRDefault="00336240" w:rsidP="00FC4F61">
      <w:pPr>
        <w:ind w:left="-720"/>
        <w:jc w:val="both"/>
        <w:rPr>
          <w:bCs/>
          <w:lang w:val="fr-FR"/>
        </w:rPr>
      </w:pPr>
      <w:r w:rsidRPr="006239EB">
        <w:rPr>
          <w:bCs/>
          <w:lang w:val="fr-FR"/>
        </w:rPr>
        <w:t>Les critères d’identification des bénéficiaires du projet ont pris en compte le leadership féminin, la présence des jeunes valides</w:t>
      </w:r>
      <w:r w:rsidR="004E636F" w:rsidRPr="006239EB">
        <w:rPr>
          <w:bCs/>
          <w:lang w:val="fr-FR"/>
        </w:rPr>
        <w:t xml:space="preserve"> et la vulnérabilité</w:t>
      </w:r>
      <w:r w:rsidRPr="006239EB">
        <w:rPr>
          <w:bCs/>
          <w:lang w:val="fr-FR"/>
        </w:rPr>
        <w:t xml:space="preserve"> dans les ménages</w:t>
      </w:r>
      <w:r w:rsidR="004E636F" w:rsidRPr="006239EB">
        <w:rPr>
          <w:bCs/>
          <w:lang w:val="fr-FR"/>
        </w:rPr>
        <w:t xml:space="preserve"> en se fondant sur la diversité ethnique</w:t>
      </w:r>
      <w:r w:rsidRPr="006239EB">
        <w:rPr>
          <w:bCs/>
          <w:lang w:val="fr-FR"/>
        </w:rPr>
        <w:t xml:space="preserve">.  </w:t>
      </w:r>
      <w:r w:rsidR="00DB296C" w:rsidRPr="006239EB">
        <w:rPr>
          <w:bCs/>
          <w:lang w:val="fr-FR"/>
        </w:rPr>
        <w:t xml:space="preserve">Lors de </w:t>
      </w:r>
      <w:r w:rsidRPr="006239EB">
        <w:rPr>
          <w:bCs/>
          <w:lang w:val="fr-FR"/>
        </w:rPr>
        <w:t xml:space="preserve">la mise en œuvre des </w:t>
      </w:r>
      <w:r w:rsidR="00DB296C" w:rsidRPr="006239EB">
        <w:rPr>
          <w:bCs/>
          <w:lang w:val="fr-FR"/>
        </w:rPr>
        <w:t>activités de</w:t>
      </w:r>
      <w:r w:rsidR="00FC4F61" w:rsidRPr="006239EB">
        <w:rPr>
          <w:bCs/>
          <w:lang w:val="fr-FR"/>
        </w:rPr>
        <w:t xml:space="preserve"> création des actifs communautaire de production </w:t>
      </w:r>
      <w:r w:rsidRPr="006239EB">
        <w:rPr>
          <w:bCs/>
          <w:lang w:val="fr-FR"/>
        </w:rPr>
        <w:t xml:space="preserve">les taches sont reparties en fonction de la capacité physique des hommes, </w:t>
      </w:r>
      <w:r w:rsidR="00463836" w:rsidRPr="006239EB">
        <w:rPr>
          <w:bCs/>
          <w:lang w:val="fr-FR"/>
        </w:rPr>
        <w:t xml:space="preserve">des </w:t>
      </w:r>
      <w:r w:rsidRPr="006239EB">
        <w:rPr>
          <w:bCs/>
          <w:lang w:val="fr-FR"/>
        </w:rPr>
        <w:t>femmes et jeunes</w:t>
      </w:r>
      <w:r w:rsidR="006514CF" w:rsidRPr="006239EB">
        <w:rPr>
          <w:bCs/>
          <w:lang w:val="fr-FR"/>
        </w:rPr>
        <w:t xml:space="preserve"> (F/H)</w:t>
      </w:r>
      <w:r w:rsidRPr="006239EB">
        <w:rPr>
          <w:bCs/>
          <w:lang w:val="fr-FR"/>
        </w:rPr>
        <w:t xml:space="preserve"> de sorte que chaque couche puisse participer activement à la réalisation des activités. La composition des groupes socioéconomique qui ont participé </w:t>
      </w:r>
      <w:r w:rsidR="004E636F" w:rsidRPr="006239EB">
        <w:rPr>
          <w:bCs/>
          <w:lang w:val="fr-FR"/>
        </w:rPr>
        <w:t>aux planifications communautaires</w:t>
      </w:r>
      <w:r w:rsidRPr="006239EB">
        <w:rPr>
          <w:bCs/>
          <w:lang w:val="fr-FR"/>
        </w:rPr>
        <w:t xml:space="preserve"> participative a permis de prendre en compte les besoins exprimés par les hommes, </w:t>
      </w:r>
      <w:r w:rsidR="006514CF" w:rsidRPr="006239EB">
        <w:rPr>
          <w:bCs/>
          <w:lang w:val="fr-FR"/>
        </w:rPr>
        <w:t xml:space="preserve">les </w:t>
      </w:r>
      <w:r w:rsidRPr="006239EB">
        <w:rPr>
          <w:bCs/>
          <w:lang w:val="fr-FR"/>
        </w:rPr>
        <w:t>femmes et les jeunes pour l’amélioration de leur condition de vie</w:t>
      </w:r>
      <w:r w:rsidR="004E636F" w:rsidRPr="006239EB">
        <w:rPr>
          <w:bCs/>
          <w:lang w:val="fr-FR"/>
        </w:rPr>
        <w:t xml:space="preserve"> notamment l’accès équitable a la terre, l’appropriation des techniques culturales, l’entraide mutuelle</w:t>
      </w:r>
      <w:r w:rsidR="00DB296C" w:rsidRPr="006239EB">
        <w:rPr>
          <w:bCs/>
          <w:lang w:val="fr-FR"/>
        </w:rPr>
        <w:t xml:space="preserve"> et les ressources issues de la bonne gestion des actifs</w:t>
      </w:r>
      <w:r w:rsidRPr="006239EB">
        <w:rPr>
          <w:bCs/>
          <w:lang w:val="fr-FR"/>
        </w:rPr>
        <w:t xml:space="preserve">. Les </w:t>
      </w:r>
      <w:r w:rsidR="009978A7" w:rsidRPr="006239EB">
        <w:rPr>
          <w:bCs/>
          <w:lang w:val="fr-FR"/>
        </w:rPr>
        <w:t>différentes séances</w:t>
      </w:r>
      <w:r w:rsidRPr="006239EB">
        <w:rPr>
          <w:bCs/>
          <w:lang w:val="fr-FR"/>
        </w:rPr>
        <w:t xml:space="preserve"> de sensibilisation et de renforcement de capacité des </w:t>
      </w:r>
      <w:r w:rsidR="00FC4F61" w:rsidRPr="006239EB">
        <w:rPr>
          <w:bCs/>
          <w:lang w:val="fr-FR"/>
        </w:rPr>
        <w:t>bénéficiaires</w:t>
      </w:r>
      <w:r w:rsidRPr="006239EB">
        <w:rPr>
          <w:bCs/>
          <w:lang w:val="fr-FR"/>
        </w:rPr>
        <w:t xml:space="preserve"> </w:t>
      </w:r>
      <w:r w:rsidR="006514CF" w:rsidRPr="006239EB">
        <w:rPr>
          <w:bCs/>
          <w:lang w:val="fr-FR"/>
        </w:rPr>
        <w:t>tiennent</w:t>
      </w:r>
      <w:r w:rsidRPr="006239EB">
        <w:rPr>
          <w:bCs/>
          <w:lang w:val="fr-FR"/>
        </w:rPr>
        <w:t xml:space="preserve"> compte </w:t>
      </w:r>
      <w:r w:rsidR="00DB296C" w:rsidRPr="006239EB">
        <w:rPr>
          <w:bCs/>
          <w:lang w:val="fr-FR"/>
        </w:rPr>
        <w:t>du genre</w:t>
      </w:r>
      <w:r w:rsidR="00FC4F61" w:rsidRPr="006239EB">
        <w:rPr>
          <w:bCs/>
          <w:lang w:val="fr-FR"/>
        </w:rPr>
        <w:t xml:space="preserve">. Les activités de formation sur les outils d’accès </w:t>
      </w:r>
      <w:r w:rsidR="00697F16" w:rsidRPr="006239EB">
        <w:rPr>
          <w:bCs/>
          <w:lang w:val="fr-FR"/>
        </w:rPr>
        <w:t>à</w:t>
      </w:r>
      <w:r w:rsidR="00FC4F61" w:rsidRPr="006239EB">
        <w:rPr>
          <w:bCs/>
          <w:lang w:val="fr-FR"/>
        </w:rPr>
        <w:t xml:space="preserve"> la terre </w:t>
      </w:r>
      <w:r w:rsidR="00DB296C" w:rsidRPr="006239EB">
        <w:rPr>
          <w:bCs/>
          <w:lang w:val="fr-FR"/>
        </w:rPr>
        <w:t>ont</w:t>
      </w:r>
      <w:r w:rsidR="00FC4F61" w:rsidRPr="006239EB">
        <w:rPr>
          <w:bCs/>
          <w:lang w:val="fr-FR"/>
        </w:rPr>
        <w:t xml:space="preserve"> priorisé les femmes</w:t>
      </w:r>
      <w:r w:rsidR="00DB296C" w:rsidRPr="006239EB">
        <w:rPr>
          <w:bCs/>
          <w:lang w:val="fr-FR"/>
        </w:rPr>
        <w:t xml:space="preserve"> en raison leur marginalisation et vulnérabilités</w:t>
      </w:r>
      <w:r w:rsidR="00FC4F61" w:rsidRPr="006239EB">
        <w:rPr>
          <w:bCs/>
          <w:lang w:val="fr-FR"/>
        </w:rPr>
        <w:t>.</w:t>
      </w:r>
      <w:r w:rsidR="00FC4F61">
        <w:rPr>
          <w:bCs/>
          <w:lang w:val="fr-FR"/>
        </w:rPr>
        <w:t xml:space="preserve"> </w:t>
      </w:r>
    </w:p>
    <w:p w14:paraId="4B6AAB29" w14:textId="77777777" w:rsidR="00323ABC" w:rsidRPr="00336240" w:rsidRDefault="00323ABC" w:rsidP="007E4FA1">
      <w:pPr>
        <w:rPr>
          <w:b/>
          <w:lang w:val="fr-FR"/>
        </w:rPr>
      </w:pPr>
    </w:p>
    <w:p w14:paraId="563533E9" w14:textId="6D6F8632" w:rsidR="00675507" w:rsidRPr="00615EA3" w:rsidRDefault="00675507" w:rsidP="00675507">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Pr="00615EA3">
        <w:rPr>
          <w:b/>
          <w:lang w:val="fr-FR"/>
        </w:rPr>
        <w:t xml:space="preserve"> </w:t>
      </w:r>
      <w:r w:rsidR="009F60A6" w:rsidRPr="00615EA3">
        <w:rPr>
          <w:b/>
          <w:lang w:val="fr-FR"/>
        </w:rPr>
        <w:t xml:space="preserve">  </w:t>
      </w:r>
      <w:r w:rsidR="009F60A6" w:rsidRPr="005858AF">
        <w:rPr>
          <w:b/>
          <w:lang w:val="fr-FR"/>
        </w:rPr>
        <w:t>N/A</w:t>
      </w:r>
    </w:p>
    <w:p w14:paraId="521560B0" w14:textId="77777777" w:rsidR="00675507" w:rsidRPr="00615EA3" w:rsidRDefault="00675507" w:rsidP="00675507">
      <w:pPr>
        <w:ind w:left="-720"/>
        <w:rPr>
          <w:b/>
          <w:lang w:val="fr-FR"/>
        </w:rPr>
      </w:pPr>
    </w:p>
    <w:p w14:paraId="192B211F"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1301F5">
        <w:rPr>
          <w:rFonts w:ascii="Arial Narrow" w:hAnsi="Arial Narrow"/>
          <w:b/>
          <w:sz w:val="22"/>
          <w:szCs w:val="22"/>
        </w:rPr>
      </w:r>
      <w:r w:rsidR="001301F5">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1D5DD53" w14:textId="7F942E83" w:rsidR="00675507" w:rsidRPr="003A0F00" w:rsidRDefault="009F60A6" w:rsidP="00675507">
      <w:pPr>
        <w:ind w:left="-720"/>
        <w:rPr>
          <w:b/>
          <w:lang w:val="fr-FR"/>
        </w:rPr>
      </w:pPr>
      <w:r w:rsidRPr="00615EA3">
        <w:rPr>
          <w:b/>
          <w:lang w:val="fr-FR"/>
        </w:rPr>
        <w:t xml:space="preserve"> </w:t>
      </w:r>
      <w:r w:rsidRPr="003A0F00">
        <w:rPr>
          <w:b/>
          <w:lang w:val="fr-FR"/>
        </w:rPr>
        <w:t>N/A</w:t>
      </w: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09BF2121" w:rsidR="00675507" w:rsidRPr="00615EA3" w:rsidRDefault="00675507" w:rsidP="00675507">
      <w:pPr>
        <w:ind w:left="-720"/>
        <w:rPr>
          <w:b/>
          <w:lang w:val="fr-FR"/>
        </w:rPr>
      </w:pPr>
      <w:r w:rsidRPr="00615EA3">
        <w:rPr>
          <w:b/>
          <w:u w:val="single"/>
          <w:lang w:val="fr-FR"/>
        </w:rPr>
        <w:t xml:space="preserve">Résultat </w:t>
      </w:r>
      <w:r>
        <w:rPr>
          <w:b/>
          <w:u w:val="single"/>
          <w:lang w:val="fr-FR"/>
        </w:rPr>
        <w:t>3</w:t>
      </w:r>
      <w:bookmarkStart w:id="9" w:name="_Hlk85727437"/>
      <w:r w:rsidRPr="00615EA3">
        <w:rPr>
          <w:b/>
          <w:u w:val="single"/>
          <w:lang w:val="fr-FR"/>
        </w:rPr>
        <w:t>:</w:t>
      </w:r>
      <w:r w:rsidRPr="00615EA3">
        <w:rPr>
          <w:b/>
          <w:lang w:val="fr-FR"/>
        </w:rPr>
        <w:t xml:space="preserve">  </w:t>
      </w:r>
      <w:r w:rsidR="009F60A6" w:rsidRPr="005858AF">
        <w:rPr>
          <w:b/>
          <w:lang w:val="fr-FR"/>
        </w:rPr>
        <w:t>N/A</w:t>
      </w:r>
      <w:bookmarkEnd w:id="9"/>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1301F5">
        <w:rPr>
          <w:rFonts w:ascii="Arial Narrow" w:hAnsi="Arial Narrow"/>
          <w:b/>
          <w:sz w:val="22"/>
          <w:szCs w:val="22"/>
        </w:rPr>
      </w:r>
      <w:r w:rsidR="001301F5">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470F9892" w14:textId="5B373AA4" w:rsidR="00675507" w:rsidRPr="003A0F00" w:rsidRDefault="009F60A6" w:rsidP="00675507">
      <w:pPr>
        <w:ind w:left="-720"/>
        <w:rPr>
          <w:b/>
          <w:lang w:val="fr-FR"/>
        </w:rPr>
      </w:pPr>
      <w:r w:rsidRPr="005858AF">
        <w:rPr>
          <w:b/>
          <w:lang w:val="fr-FR"/>
        </w:rPr>
        <w:t xml:space="preserve"> </w:t>
      </w:r>
      <w:r w:rsidRPr="003A0F00">
        <w:rPr>
          <w:b/>
          <w:lang w:val="fr-FR"/>
        </w:rPr>
        <w:t>N/A</w:t>
      </w: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42FC95BB"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Pr="00615EA3">
        <w:rPr>
          <w:b/>
          <w:u w:val="single"/>
          <w:lang w:val="fr-FR"/>
        </w:rPr>
        <w:t>:</w:t>
      </w:r>
      <w:r w:rsidRPr="00615EA3">
        <w:rPr>
          <w:b/>
          <w:lang w:val="fr-FR"/>
        </w:rPr>
        <w:t xml:space="preserve">  </w:t>
      </w:r>
      <w:r w:rsidR="009F60A6" w:rsidRPr="005858AF">
        <w:rPr>
          <w:b/>
          <w:lang w:val="fr-FR"/>
        </w:rPr>
        <w:t>N/A</w:t>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1301F5">
        <w:rPr>
          <w:rFonts w:ascii="Arial Narrow" w:hAnsi="Arial Narrow"/>
          <w:b/>
          <w:sz w:val="22"/>
          <w:szCs w:val="22"/>
        </w:rPr>
      </w:r>
      <w:r w:rsidR="001301F5">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r w:rsidRPr="005D15A3">
        <w:rPr>
          <w:b/>
          <w:lang w:val="fr-FR"/>
        </w:rPr>
        <w:t xml:space="preserve">Resumé de </w:t>
      </w:r>
      <w:r w:rsidRPr="005D15A3">
        <w:rPr>
          <w:rFonts w:ascii="inherit" w:hAnsi="inherit"/>
          <w:b/>
          <w:bCs/>
          <w:color w:val="212121"/>
          <w:lang w:val="fr-FR"/>
        </w:rPr>
        <w:t>progrès</w:t>
      </w:r>
      <w:r w:rsidRPr="005D15A3">
        <w:rPr>
          <w:b/>
          <w:lang w:val="fr-FR"/>
        </w:rPr>
        <w:t xml:space="preserve">: </w:t>
      </w:r>
      <w:r>
        <w:rPr>
          <w:rFonts w:ascii="inherit" w:hAnsi="inherit"/>
          <w:color w:val="212121"/>
          <w:lang w:val="fr-FR"/>
        </w:rPr>
        <w:t>(Limite de 3000 caractères)</w:t>
      </w:r>
    </w:p>
    <w:p w14:paraId="5CBCEAB6" w14:textId="03FD1A79" w:rsidR="00675507" w:rsidRPr="003A0F00" w:rsidRDefault="009F60A6" w:rsidP="00675507">
      <w:pPr>
        <w:ind w:left="-720"/>
        <w:rPr>
          <w:b/>
          <w:lang w:val="fr-FR"/>
        </w:rPr>
      </w:pPr>
      <w:r w:rsidRPr="003A0F00">
        <w:rPr>
          <w:b/>
          <w:lang w:val="fr-FR"/>
        </w:rPr>
        <w:t>N/A</w:t>
      </w:r>
    </w:p>
    <w:p w14:paraId="56853031" w14:textId="77777777" w:rsidR="00675507" w:rsidRPr="003A0F00" w:rsidRDefault="00675507" w:rsidP="00675507">
      <w:pPr>
        <w:ind w:left="-720"/>
        <w:rPr>
          <w:b/>
          <w:lang w:val="fr-FR"/>
        </w:rPr>
      </w:pPr>
    </w:p>
    <w:p w14:paraId="4E96AD1A" w14:textId="77777777" w:rsidR="00675507" w:rsidRPr="005D15A3" w:rsidRDefault="00675507" w:rsidP="00675507">
      <w:pPr>
        <w:ind w:left="-72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4421"/>
      </w:tblGrid>
      <w:tr w:rsidR="00997347" w:rsidRPr="00023A14" w14:paraId="3278E054" w14:textId="77777777" w:rsidTr="00FC4F61">
        <w:tc>
          <w:tcPr>
            <w:tcW w:w="5749" w:type="dxa"/>
            <w:shd w:val="clear" w:color="auto" w:fill="auto"/>
          </w:tcPr>
          <w:p w14:paraId="1A9F4B35" w14:textId="77777777" w:rsidR="007118F5" w:rsidRPr="008618D8" w:rsidRDefault="00675507" w:rsidP="00F26D57">
            <w:pPr>
              <w:jc w:val="both"/>
              <w:rPr>
                <w:lang w:val="fr-FR"/>
              </w:rPr>
            </w:pPr>
            <w:r w:rsidRPr="008618D8">
              <w:rPr>
                <w:b/>
                <w:bCs/>
                <w:u w:val="single"/>
                <w:lang w:val="fr-FR"/>
              </w:rPr>
              <w:t>Suivi</w:t>
            </w:r>
            <w:r w:rsidR="00513612" w:rsidRPr="008618D8">
              <w:rPr>
                <w:b/>
                <w:bCs/>
                <w:lang w:val="fr-FR"/>
              </w:rPr>
              <w:t xml:space="preserve">: </w:t>
            </w:r>
            <w:r w:rsidRPr="008618D8">
              <w:rPr>
                <w:lang w:val="fr-FR"/>
              </w:rPr>
              <w:t>Indiquez les activités de suivi conduites dans la période du rapport</w:t>
            </w:r>
            <w:r w:rsidR="007118F5" w:rsidRPr="008618D8">
              <w:rPr>
                <w:lang w:val="fr-FR"/>
              </w:rPr>
              <w:t xml:space="preserve"> (</w:t>
            </w:r>
            <w:r w:rsidRPr="008618D8">
              <w:rPr>
                <w:lang w:val="fr-FR"/>
              </w:rPr>
              <w:t>Limite de 1000 caractères)</w:t>
            </w:r>
          </w:p>
          <w:p w14:paraId="6C14F0C4" w14:textId="77777777" w:rsidR="007118F5" w:rsidRPr="006239EB" w:rsidRDefault="007118F5" w:rsidP="00F26D57">
            <w:pPr>
              <w:jc w:val="both"/>
              <w:rPr>
                <w:iCs/>
                <w:lang w:val="fr-FR"/>
              </w:rPr>
            </w:pPr>
          </w:p>
          <w:p w14:paraId="6466F1DD" w14:textId="43199E9A" w:rsidR="009A016D" w:rsidRPr="006239EB" w:rsidRDefault="00F44515" w:rsidP="00F26D57">
            <w:pPr>
              <w:jc w:val="both"/>
              <w:rPr>
                <w:lang w:val="fr-FR"/>
              </w:rPr>
            </w:pPr>
            <w:r w:rsidRPr="006239EB">
              <w:rPr>
                <w:lang w:val="fr-FR"/>
              </w:rPr>
              <w:t>L’enquête</w:t>
            </w:r>
            <w:r w:rsidR="00FC4F61" w:rsidRPr="006239EB">
              <w:rPr>
                <w:lang w:val="fr-FR"/>
              </w:rPr>
              <w:t xml:space="preserve"> base line a été réalisée</w:t>
            </w:r>
            <w:r w:rsidR="00A52649" w:rsidRPr="006239EB">
              <w:rPr>
                <w:lang w:val="fr-FR"/>
              </w:rPr>
              <w:t xml:space="preserve"> </w:t>
            </w:r>
            <w:r w:rsidR="00902164" w:rsidRPr="006239EB">
              <w:rPr>
                <w:lang w:val="fr-FR"/>
              </w:rPr>
              <w:t xml:space="preserve">pour </w:t>
            </w:r>
            <w:r w:rsidRPr="006239EB">
              <w:rPr>
                <w:lang w:val="fr-FR"/>
              </w:rPr>
              <w:t>détermin</w:t>
            </w:r>
            <w:r w:rsidR="00902164" w:rsidRPr="006239EB">
              <w:rPr>
                <w:lang w:val="fr-FR"/>
              </w:rPr>
              <w:t>er</w:t>
            </w:r>
            <w:r w:rsidR="00FC4F61" w:rsidRPr="006239EB">
              <w:rPr>
                <w:lang w:val="fr-FR"/>
              </w:rPr>
              <w:t xml:space="preserve"> les résultat</w:t>
            </w:r>
            <w:r w:rsidR="008A72D6" w:rsidRPr="006239EB">
              <w:rPr>
                <w:lang w:val="fr-FR"/>
              </w:rPr>
              <w:t>s</w:t>
            </w:r>
            <w:r w:rsidR="00FC4F61" w:rsidRPr="006239EB">
              <w:rPr>
                <w:lang w:val="fr-FR"/>
              </w:rPr>
              <w:t xml:space="preserve"> des indicateurs de référence</w:t>
            </w:r>
            <w:r w:rsidR="00902164" w:rsidRPr="006239EB">
              <w:rPr>
                <w:lang w:val="fr-FR"/>
              </w:rPr>
              <w:t xml:space="preserve"> du projet</w:t>
            </w:r>
            <w:r w:rsidR="00FC4F61" w:rsidRPr="006239EB">
              <w:rPr>
                <w:lang w:val="fr-FR"/>
              </w:rPr>
              <w:t xml:space="preserve">.  </w:t>
            </w:r>
            <w:r w:rsidR="008A72D6" w:rsidRPr="006239EB">
              <w:rPr>
                <w:lang w:val="fr-FR"/>
              </w:rPr>
              <w:t>Le</w:t>
            </w:r>
            <w:r w:rsidR="00FC4F61" w:rsidRPr="006239EB">
              <w:rPr>
                <w:lang w:val="fr-FR"/>
              </w:rPr>
              <w:t xml:space="preserve"> suivi des activités de terrain</w:t>
            </w:r>
            <w:r w:rsidR="008A72D6" w:rsidRPr="006239EB">
              <w:rPr>
                <w:lang w:val="fr-FR"/>
              </w:rPr>
              <w:t xml:space="preserve">, a été organisé </w:t>
            </w:r>
            <w:r w:rsidR="00697F16" w:rsidRPr="006239EB">
              <w:rPr>
                <w:lang w:val="fr-FR"/>
              </w:rPr>
              <w:t>à</w:t>
            </w:r>
            <w:r w:rsidR="008A72D6" w:rsidRPr="006239EB">
              <w:rPr>
                <w:lang w:val="fr-FR"/>
              </w:rPr>
              <w:t xml:space="preserve"> trois </w:t>
            </w:r>
            <w:r w:rsidRPr="006239EB">
              <w:rPr>
                <w:lang w:val="fr-FR"/>
              </w:rPr>
              <w:t>niveau :</w:t>
            </w:r>
            <w:r w:rsidR="008A72D6" w:rsidRPr="006239EB">
              <w:rPr>
                <w:lang w:val="fr-FR"/>
              </w:rPr>
              <w:t xml:space="preserve"> </w:t>
            </w:r>
            <w:r w:rsidR="00A52649" w:rsidRPr="006239EB">
              <w:rPr>
                <w:lang w:val="fr-FR"/>
              </w:rPr>
              <w:t xml:space="preserve">respectivement </w:t>
            </w:r>
            <w:r w:rsidR="009978A7" w:rsidRPr="006239EB">
              <w:rPr>
                <w:lang w:val="fr-FR"/>
              </w:rPr>
              <w:t>17 missions</w:t>
            </w:r>
            <w:r w:rsidR="008A72D6" w:rsidRPr="006239EB">
              <w:rPr>
                <w:lang w:val="fr-FR"/>
              </w:rPr>
              <w:t xml:space="preserve"> de suivi des activités </w:t>
            </w:r>
            <w:r w:rsidR="00697F16" w:rsidRPr="006239EB">
              <w:rPr>
                <w:lang w:val="fr-FR"/>
              </w:rPr>
              <w:t>effectuées</w:t>
            </w:r>
            <w:r w:rsidR="008A72D6" w:rsidRPr="006239EB">
              <w:rPr>
                <w:lang w:val="fr-FR"/>
              </w:rPr>
              <w:t xml:space="preserve"> par les points focaux préfectoraux </w:t>
            </w:r>
            <w:r w:rsidR="00A52649" w:rsidRPr="006239EB">
              <w:rPr>
                <w:lang w:val="fr-FR"/>
              </w:rPr>
              <w:t>et plusieurs autres</w:t>
            </w:r>
            <w:r w:rsidR="00902164" w:rsidRPr="006239EB">
              <w:rPr>
                <w:lang w:val="fr-FR"/>
              </w:rPr>
              <w:t xml:space="preserve"> </w:t>
            </w:r>
            <w:r w:rsidR="00A52649" w:rsidRPr="006239EB">
              <w:rPr>
                <w:lang w:val="fr-FR"/>
              </w:rPr>
              <w:t>dont celles d</w:t>
            </w:r>
            <w:r w:rsidR="008A72D6" w:rsidRPr="006239EB">
              <w:rPr>
                <w:lang w:val="fr-FR"/>
              </w:rPr>
              <w:t>es Agences SNU et 4   suivi conjoint avec les services techniques des ministère</w:t>
            </w:r>
            <w:r w:rsidR="00A52649" w:rsidRPr="006239EB">
              <w:rPr>
                <w:lang w:val="fr-FR"/>
              </w:rPr>
              <w:t>s</w:t>
            </w:r>
            <w:r w:rsidR="008A72D6" w:rsidRPr="006239EB">
              <w:rPr>
                <w:lang w:val="fr-FR"/>
              </w:rPr>
              <w:t xml:space="preserve"> impliqués </w:t>
            </w:r>
            <w:r w:rsidRPr="006239EB">
              <w:rPr>
                <w:lang w:val="fr-FR"/>
              </w:rPr>
              <w:t>dans le</w:t>
            </w:r>
            <w:r w:rsidR="008A72D6" w:rsidRPr="006239EB">
              <w:rPr>
                <w:lang w:val="fr-FR"/>
              </w:rPr>
              <w:t xml:space="preserve"> projet. Ce</w:t>
            </w:r>
            <w:r w:rsidR="00A52649" w:rsidRPr="006239EB">
              <w:rPr>
                <w:lang w:val="fr-FR"/>
              </w:rPr>
              <w:t>s</w:t>
            </w:r>
            <w:r w:rsidR="008A72D6" w:rsidRPr="006239EB">
              <w:rPr>
                <w:lang w:val="fr-FR"/>
              </w:rPr>
              <w:t xml:space="preserve"> suivi</w:t>
            </w:r>
            <w:r w:rsidR="00902164" w:rsidRPr="006239EB">
              <w:rPr>
                <w:lang w:val="fr-FR"/>
              </w:rPr>
              <w:t>s</w:t>
            </w:r>
            <w:r w:rsidR="008A72D6" w:rsidRPr="006239EB">
              <w:rPr>
                <w:lang w:val="fr-FR"/>
              </w:rPr>
              <w:t xml:space="preserve"> ont </w:t>
            </w:r>
            <w:r w:rsidR="00F26D57" w:rsidRPr="006239EB">
              <w:rPr>
                <w:lang w:val="fr-FR"/>
              </w:rPr>
              <w:t>permis de</w:t>
            </w:r>
            <w:r w:rsidR="00FC4F61" w:rsidRPr="006239EB">
              <w:rPr>
                <w:lang w:val="fr-FR"/>
              </w:rPr>
              <w:t xml:space="preserve"> s’assurer et d’apprécier le </w:t>
            </w:r>
            <w:r w:rsidR="00F26D57" w:rsidRPr="006239EB">
              <w:rPr>
                <w:lang w:val="fr-FR"/>
              </w:rPr>
              <w:t>niveau des</w:t>
            </w:r>
            <w:r w:rsidR="00FC4F61" w:rsidRPr="006239EB">
              <w:rPr>
                <w:lang w:val="fr-FR"/>
              </w:rPr>
              <w:t xml:space="preserve"> activités </w:t>
            </w:r>
            <w:r w:rsidR="00902164" w:rsidRPr="006239EB">
              <w:rPr>
                <w:lang w:val="fr-FR"/>
              </w:rPr>
              <w:t xml:space="preserve">en </w:t>
            </w:r>
            <w:r w:rsidR="00F26D57" w:rsidRPr="006239EB">
              <w:rPr>
                <w:lang w:val="fr-FR"/>
              </w:rPr>
              <w:t>général</w:t>
            </w:r>
            <w:r w:rsidR="009A016D" w:rsidRPr="006239EB">
              <w:rPr>
                <w:lang w:val="fr-FR"/>
              </w:rPr>
              <w:t xml:space="preserve"> :  </w:t>
            </w:r>
            <w:r w:rsidR="00A52649" w:rsidRPr="006239EB">
              <w:rPr>
                <w:lang w:val="fr-FR"/>
              </w:rPr>
              <w:t>d</w:t>
            </w:r>
            <w:r w:rsidR="009A016D" w:rsidRPr="006239EB">
              <w:rPr>
                <w:lang w:val="fr-FR"/>
              </w:rPr>
              <w:t>es rencontres et assemblées générales d’informations des communautés et autorités locales ; la confirmation d</w:t>
            </w:r>
            <w:r w:rsidRPr="006239EB">
              <w:rPr>
                <w:lang w:val="fr-FR"/>
              </w:rPr>
              <w:t>e la</w:t>
            </w:r>
            <w:r w:rsidR="009A016D" w:rsidRPr="006239EB">
              <w:rPr>
                <w:lang w:val="fr-FR"/>
              </w:rPr>
              <w:t xml:space="preserve"> </w:t>
            </w:r>
            <w:r w:rsidRPr="006239EB">
              <w:rPr>
                <w:lang w:val="fr-FR"/>
              </w:rPr>
              <w:t>cartographie</w:t>
            </w:r>
            <w:r w:rsidR="009A016D" w:rsidRPr="006239EB">
              <w:rPr>
                <w:lang w:val="fr-FR"/>
              </w:rPr>
              <w:t xml:space="preserve"> des</w:t>
            </w:r>
            <w:r w:rsidRPr="006239EB">
              <w:rPr>
                <w:lang w:val="fr-FR"/>
              </w:rPr>
              <w:t xml:space="preserve"> </w:t>
            </w:r>
            <w:r w:rsidR="00F26D57" w:rsidRPr="006239EB">
              <w:rPr>
                <w:lang w:val="fr-FR"/>
              </w:rPr>
              <w:t>zones du</w:t>
            </w:r>
            <w:r w:rsidR="009A016D" w:rsidRPr="006239EB">
              <w:rPr>
                <w:lang w:val="fr-FR"/>
              </w:rPr>
              <w:t xml:space="preserve"> projet avec les bénéficiaires </w:t>
            </w:r>
            <w:r w:rsidR="00F26D57" w:rsidRPr="006239EB">
              <w:rPr>
                <w:lang w:val="fr-FR"/>
              </w:rPr>
              <w:t>; la</w:t>
            </w:r>
            <w:r w:rsidR="009A016D" w:rsidRPr="006239EB">
              <w:rPr>
                <w:lang w:val="fr-FR"/>
              </w:rPr>
              <w:t xml:space="preserve"> conduite des planifications Communautaires participatives ainsi que l’identification des Organisations paysannes ; le ciblage des participants aux </w:t>
            </w:r>
            <w:r w:rsidR="00657BE6" w:rsidRPr="006239EB">
              <w:rPr>
                <w:lang w:val="fr-FR"/>
              </w:rPr>
              <w:t>activités et</w:t>
            </w:r>
            <w:r w:rsidR="009A016D" w:rsidRPr="006239EB">
              <w:rPr>
                <w:lang w:val="fr-FR"/>
              </w:rPr>
              <w:t xml:space="preserve"> les sites de champs écoles/rizicultures</w:t>
            </w:r>
            <w:r w:rsidRPr="006239EB">
              <w:rPr>
                <w:lang w:val="fr-FR"/>
              </w:rPr>
              <w:t xml:space="preserve">. Le suivi du processus </w:t>
            </w:r>
            <w:r w:rsidR="009A016D" w:rsidRPr="006239EB">
              <w:rPr>
                <w:lang w:val="fr-FR"/>
              </w:rPr>
              <w:t xml:space="preserve">  d’exécution des activités par les ONG</w:t>
            </w:r>
            <w:r w:rsidR="00FC4F61" w:rsidRPr="006239EB">
              <w:rPr>
                <w:lang w:val="fr-FR"/>
              </w:rPr>
              <w:t xml:space="preserve"> </w:t>
            </w:r>
            <w:r w:rsidRPr="006239EB">
              <w:rPr>
                <w:lang w:val="fr-FR"/>
              </w:rPr>
              <w:t>a été fait</w:t>
            </w:r>
            <w:r w:rsidR="00902164" w:rsidRPr="006239EB">
              <w:rPr>
                <w:lang w:val="fr-FR"/>
              </w:rPr>
              <w:t xml:space="preserve"> </w:t>
            </w:r>
            <w:r w:rsidRPr="006239EB">
              <w:rPr>
                <w:lang w:val="fr-FR"/>
              </w:rPr>
              <w:t>et les</w:t>
            </w:r>
            <w:r w:rsidR="009A016D" w:rsidRPr="006239EB">
              <w:rPr>
                <w:lang w:val="fr-FR"/>
              </w:rPr>
              <w:t xml:space="preserve"> rapports de mission ont </w:t>
            </w:r>
            <w:r w:rsidRPr="006239EB">
              <w:rPr>
                <w:lang w:val="fr-FR"/>
              </w:rPr>
              <w:t>été partagés.</w:t>
            </w:r>
            <w:r w:rsidR="009A016D" w:rsidRPr="006239EB">
              <w:rPr>
                <w:lang w:val="fr-FR"/>
              </w:rPr>
              <w:t xml:space="preserve"> </w:t>
            </w:r>
          </w:p>
          <w:p w14:paraId="21BD62AD" w14:textId="092B47E8" w:rsidR="007118F5" w:rsidRPr="009A016D" w:rsidRDefault="009A016D" w:rsidP="00F26D57">
            <w:pPr>
              <w:jc w:val="both"/>
              <w:rPr>
                <w:sz w:val="22"/>
                <w:szCs w:val="22"/>
                <w:highlight w:val="darkGray"/>
                <w:lang w:val="fr-FR"/>
              </w:rPr>
            </w:pPr>
            <w:r w:rsidRPr="006239EB">
              <w:rPr>
                <w:lang w:val="fr-FR"/>
              </w:rPr>
              <w:t>Des réunions de</w:t>
            </w:r>
            <w:r w:rsidR="00F44515" w:rsidRPr="006239EB">
              <w:rPr>
                <w:lang w:val="fr-FR"/>
              </w:rPr>
              <w:t xml:space="preserve"> : concertations</w:t>
            </w:r>
            <w:r w:rsidRPr="006239EB">
              <w:rPr>
                <w:lang w:val="fr-FR"/>
              </w:rPr>
              <w:t>, planification</w:t>
            </w:r>
            <w:r w:rsidR="003539A4" w:rsidRPr="006239EB">
              <w:rPr>
                <w:lang w:val="fr-FR"/>
              </w:rPr>
              <w:t>,</w:t>
            </w:r>
            <w:r w:rsidRPr="006239EB">
              <w:rPr>
                <w:lang w:val="fr-FR"/>
              </w:rPr>
              <w:t xml:space="preserve"> suivi des activités et d’évaluations des chronogrammes ont été organisées avec les services techniques, ONG et les agence SNU.  </w:t>
            </w:r>
            <w:r w:rsidR="00FC4F61" w:rsidRPr="006239EB">
              <w:rPr>
                <w:lang w:val="fr-FR"/>
              </w:rPr>
              <w:t xml:space="preserve"> </w:t>
            </w:r>
          </w:p>
        </w:tc>
        <w:tc>
          <w:tcPr>
            <w:tcW w:w="4421" w:type="dxa"/>
            <w:shd w:val="clear" w:color="auto" w:fill="auto"/>
          </w:tcPr>
          <w:p w14:paraId="797F499B" w14:textId="1C8CEA07" w:rsidR="00997347" w:rsidRPr="008618D8" w:rsidRDefault="00675507" w:rsidP="00AD73D3">
            <w:pPr>
              <w:rPr>
                <w:lang w:val="fr-FR"/>
              </w:rPr>
            </w:pPr>
            <w:r w:rsidRPr="008618D8">
              <w:rPr>
                <w:lang w:val="fr-FR"/>
              </w:rPr>
              <w:t>Est-ce que les indicateurs des résultats ont des bases de référence</w:t>
            </w:r>
            <w:r w:rsidR="007118F5" w:rsidRPr="008618D8">
              <w:rPr>
                <w:lang w:val="fr-FR"/>
              </w:rPr>
              <w:t xml:space="preserve">? </w:t>
            </w:r>
            <w:r w:rsidR="007E2F7C">
              <w:fldChar w:fldCharType="begin">
                <w:ffData>
                  <w:name w:val="Dropdown3"/>
                  <w:enabled/>
                  <w:calcOnExit w:val="0"/>
                  <w:ddList>
                    <w:listEntry w:val="Oui"/>
                    <w:listEntry w:val="Veuillez sélectionner"/>
                    <w:listEntry w:val="Non"/>
                  </w:ddList>
                </w:ffData>
              </w:fldChar>
            </w:r>
            <w:r w:rsidR="007E2F7C" w:rsidRPr="001C730D">
              <w:rPr>
                <w:lang w:val="fr-FR"/>
              </w:rPr>
              <w:instrText xml:space="preserve"> </w:instrText>
            </w:r>
            <w:bookmarkStart w:id="10" w:name="Dropdown3"/>
            <w:r w:rsidR="007E2F7C" w:rsidRPr="001C730D">
              <w:rPr>
                <w:lang w:val="fr-FR"/>
              </w:rPr>
              <w:instrText xml:space="preserve">FORMDROPDOWN </w:instrText>
            </w:r>
            <w:r w:rsidR="001301F5">
              <w:fldChar w:fldCharType="separate"/>
            </w:r>
            <w:r w:rsidR="007E2F7C">
              <w:fldChar w:fldCharType="end"/>
            </w:r>
            <w:bookmarkEnd w:id="10"/>
            <w:r w:rsidR="009A016D" w:rsidRPr="008618D8">
              <w:rPr>
                <w:lang w:val="fr-FR"/>
              </w:rPr>
              <w:t xml:space="preserve">  </w:t>
            </w:r>
          </w:p>
          <w:p w14:paraId="2337B972" w14:textId="77777777" w:rsidR="007118F5" w:rsidRPr="008618D8" w:rsidRDefault="007118F5" w:rsidP="00AD73D3">
            <w:pPr>
              <w:rPr>
                <w:lang w:val="fr-FR"/>
              </w:rPr>
            </w:pPr>
          </w:p>
          <w:p w14:paraId="2BD200E3" w14:textId="033FA800" w:rsidR="007118F5" w:rsidRPr="008E2562" w:rsidRDefault="00675507" w:rsidP="00AD73D3">
            <w:pPr>
              <w:rPr>
                <w:highlight w:val="yellow"/>
                <w:lang w:val="fr-FR"/>
              </w:rPr>
            </w:pPr>
            <w:r w:rsidRPr="008618D8">
              <w:rPr>
                <w:lang w:val="fr-FR"/>
              </w:rPr>
              <w:t>Le projet a-t-il lancé des enquêtes de perception ou d'autres collectes de données communautaires</w:t>
            </w:r>
            <w:r w:rsidR="007118F5" w:rsidRPr="008618D8">
              <w:rPr>
                <w:lang w:val="fr-FR"/>
              </w:rPr>
              <w:t xml:space="preserve">? </w:t>
            </w:r>
            <w:r w:rsidR="007E2F7C">
              <w:fldChar w:fldCharType="begin">
                <w:ffData>
                  <w:name w:val=""/>
                  <w:enabled/>
                  <w:calcOnExit w:val="0"/>
                  <w:ddList>
                    <w:listEntry w:val="Oui"/>
                    <w:listEntry w:val="Veuillez sélectionner"/>
                    <w:listEntry w:val="Non"/>
                  </w:ddList>
                </w:ffData>
              </w:fldChar>
            </w:r>
            <w:r w:rsidR="007E2F7C" w:rsidRPr="001C730D">
              <w:rPr>
                <w:lang w:val="fr-FR"/>
              </w:rPr>
              <w:instrText xml:space="preserve"> FORMDROPDOWN </w:instrText>
            </w:r>
            <w:r w:rsidR="001301F5">
              <w:fldChar w:fldCharType="separate"/>
            </w:r>
            <w:r w:rsidR="007E2F7C">
              <w:fldChar w:fldCharType="end"/>
            </w:r>
            <w:r w:rsidR="009A016D" w:rsidRPr="008618D8">
              <w:rPr>
                <w:lang w:val="fr-FR"/>
              </w:rPr>
              <w:t xml:space="preserve"> </w:t>
            </w:r>
          </w:p>
        </w:tc>
      </w:tr>
      <w:tr w:rsidR="006C1819" w:rsidRPr="00023A14" w14:paraId="36A88C83" w14:textId="77777777" w:rsidTr="00FC4F61">
        <w:tc>
          <w:tcPr>
            <w:tcW w:w="5749" w:type="dxa"/>
            <w:shd w:val="clear" w:color="auto" w:fill="auto"/>
          </w:tcPr>
          <w:p w14:paraId="6242C484" w14:textId="77777777" w:rsidR="006C1819" w:rsidRPr="00675507" w:rsidRDefault="003D4CD7" w:rsidP="005F439F">
            <w:pPr>
              <w:rPr>
                <w:lang w:val="fr-FR"/>
              </w:rPr>
            </w:pPr>
            <w:r w:rsidRPr="00675507">
              <w:rPr>
                <w:b/>
                <w:bCs/>
                <w:u w:val="single"/>
                <w:lang w:val="fr-FR"/>
              </w:rPr>
              <w:t>E</w:t>
            </w:r>
            <w:r w:rsidR="006C1819" w:rsidRPr="00675507">
              <w:rPr>
                <w:b/>
                <w:bCs/>
                <w:u w:val="single"/>
                <w:lang w:val="fr-FR"/>
              </w:rPr>
              <w:t>valuation:</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3C1CBED9" w:rsidR="007118F5" w:rsidRPr="00627A1C" w:rsidRDefault="00AB5163" w:rsidP="007118F5">
            <w:r>
              <w:fldChar w:fldCharType="begin">
                <w:ffData>
                  <w:name w:val=""/>
                  <w:enabled/>
                  <w:calcOnExit w:val="0"/>
                  <w:ddList>
                    <w:listEntry w:val="Non"/>
                    <w:listEntry w:val="Veuillez sélectionner"/>
                    <w:listEntry w:val="Oui"/>
                  </w:ddList>
                </w:ffData>
              </w:fldChar>
            </w:r>
            <w:r>
              <w:instrText xml:space="preserve"> FORMDROPDOWN </w:instrText>
            </w:r>
            <w:r w:rsidR="001301F5">
              <w:fldChar w:fldCharType="separate"/>
            </w:r>
            <w:r>
              <w:fldChar w:fldCharType="end"/>
            </w:r>
          </w:p>
        </w:tc>
        <w:tc>
          <w:tcPr>
            <w:tcW w:w="4421" w:type="dxa"/>
            <w:shd w:val="clear" w:color="auto" w:fill="auto"/>
          </w:tcPr>
          <w:p w14:paraId="7B8CF898" w14:textId="7584E5E8" w:rsidR="006C1819" w:rsidRPr="00675507" w:rsidRDefault="00675507" w:rsidP="00E76CA1">
            <w:pPr>
              <w:rPr>
                <w:lang w:val="fr-FR"/>
              </w:rPr>
            </w:pPr>
            <w:r w:rsidRPr="005F208D">
              <w:rPr>
                <w:lang w:val="fr-FR"/>
              </w:rPr>
              <w:t>Budget pour évaluation finale</w:t>
            </w:r>
            <w:r w:rsidR="007118F5" w:rsidRPr="005F208D">
              <w:rPr>
                <w:lang w:val="fr-FR"/>
              </w:rPr>
              <w:t xml:space="preserve"> (</w:t>
            </w:r>
            <w:r w:rsidRPr="005F208D">
              <w:rPr>
                <w:lang w:val="fr-FR"/>
              </w:rPr>
              <w:t>réponse obligatoire</w:t>
            </w:r>
            <w:r w:rsidR="007118F5" w:rsidRPr="005F208D">
              <w:rPr>
                <w:lang w:val="fr-FR"/>
              </w:rPr>
              <w:t>)</w:t>
            </w:r>
            <w:r w:rsidR="004D141E" w:rsidRPr="005F208D">
              <w:rPr>
                <w:lang w:val="fr-FR"/>
              </w:rPr>
              <w:t xml:space="preserve">:  </w:t>
            </w:r>
            <w:r w:rsidR="006239EB" w:rsidRPr="005F208D">
              <w:rPr>
                <w:lang w:val="fr-FR"/>
              </w:rPr>
              <w:t>3</w:t>
            </w:r>
            <w:r w:rsidR="00BF0B6D" w:rsidRPr="005F208D">
              <w:rPr>
                <w:lang w:val="fr-FR"/>
              </w:rPr>
              <w:t>0 000 USD</w:t>
            </w:r>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BD5C5C">
              <w:rPr>
                <w:lang w:val="fr-FR"/>
              </w:rPr>
              <w:t>Si le projet se termine dans les 6 prochains mois, décrire les préparatifs pour l’évaluation</w:t>
            </w:r>
            <w:r w:rsidR="00156C4C" w:rsidRPr="003A0F00">
              <w:rPr>
                <w:lang w:val="fr-FR"/>
              </w:rPr>
              <w:t xml:space="preserve"> </w:t>
            </w:r>
            <w:r w:rsidR="00156C4C" w:rsidRPr="003A0F00">
              <w:rPr>
                <w:i/>
                <w:lang w:val="fr-FR"/>
              </w:rPr>
              <w:t>(</w:t>
            </w:r>
            <w:r w:rsidRPr="003A0F00">
              <w:rPr>
                <w:lang w:val="fr-FR"/>
              </w:rPr>
              <w:t>Limite de 1500 caractères</w:t>
            </w:r>
            <w:r w:rsidR="00156C4C" w:rsidRPr="003A0F00">
              <w:rPr>
                <w:i/>
                <w:lang w:val="fr-FR"/>
              </w:rPr>
              <w:t>)</w:t>
            </w:r>
            <w:r w:rsidR="004D141E" w:rsidRPr="003A0F00">
              <w:rPr>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11"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FFC21C6" w14:textId="77777777" w:rsidR="00156C4C" w:rsidRPr="00675507" w:rsidRDefault="00156C4C" w:rsidP="00E76CA1">
            <w:pPr>
              <w:rPr>
                <w:lang w:val="fr-FR"/>
              </w:rPr>
            </w:pPr>
          </w:p>
        </w:tc>
      </w:tr>
      <w:tr w:rsidR="00997347" w:rsidRPr="00627A1C" w14:paraId="781498F5" w14:textId="77777777" w:rsidTr="00FC4F61">
        <w:tc>
          <w:tcPr>
            <w:tcW w:w="5749" w:type="dxa"/>
            <w:shd w:val="clear" w:color="auto" w:fill="auto"/>
          </w:tcPr>
          <w:p w14:paraId="7B23407F" w14:textId="334A1B41"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95F8E">
              <w:rPr>
                <w:lang w:val="fr-FR"/>
              </w:rPr>
              <w:t xml:space="preserve"> </w:t>
            </w:r>
            <w:r w:rsidR="00995F8E" w:rsidRPr="00995F8E">
              <w:rPr>
                <w:lang w:val="fr-FR"/>
              </w:rPr>
              <w:t>(veuillez déclarer uniquement les NOUVELLES</w:t>
            </w:r>
            <w:r w:rsidR="00995F8E">
              <w:rPr>
                <w:lang w:val="fr-FR"/>
              </w:rPr>
              <w:t xml:space="preserve"> </w:t>
            </w:r>
            <w:r w:rsidR="00995F8E" w:rsidRPr="00995F8E">
              <w:rPr>
                <w:lang w:val="fr-FR"/>
              </w:rPr>
              <w:t>financements depuis le dernier cycle de rapport</w:t>
            </w:r>
            <w:r w:rsidR="00995F8E">
              <w:rPr>
                <w:lang w:val="fr-FR"/>
              </w:rPr>
              <w:t>)</w:t>
            </w:r>
          </w:p>
        </w:tc>
        <w:tc>
          <w:tcPr>
            <w:tcW w:w="4421" w:type="dxa"/>
            <w:shd w:val="clear" w:color="auto" w:fill="auto"/>
          </w:tcPr>
          <w:p w14:paraId="126E5036" w14:textId="77777777" w:rsidR="00997347" w:rsidRPr="00627A1C" w:rsidRDefault="00675507" w:rsidP="00156C4C">
            <w:r>
              <w:t>Nom de donnateur</w:t>
            </w:r>
            <w:r w:rsidR="00156C4C" w:rsidRPr="00627A1C">
              <w:t xml:space="preserve">:     </w:t>
            </w:r>
            <w:r>
              <w:t>Montant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2"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2"/>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3"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3"/>
            <w:r w:rsidRPr="00627A1C">
              <w:t xml:space="preserve">                          </w:t>
            </w:r>
            <w:r w:rsidRPr="00627A1C">
              <w:fldChar w:fldCharType="begin">
                <w:ffData>
                  <w:name w:val="Text48"/>
                  <w:enabled/>
                  <w:calcOnExit w:val="0"/>
                  <w:textInput>
                    <w:type w:val="number"/>
                    <w:format w:val="0.00"/>
                  </w:textInput>
                </w:ffData>
              </w:fldChar>
            </w:r>
            <w:bookmarkStart w:id="14"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4"/>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5"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Text50"/>
                  <w:enabled/>
                  <w:calcOnExit w:val="0"/>
                  <w:textInput>
                    <w:type w:val="number"/>
                    <w:format w:val="0.00"/>
                  </w:textInput>
                </w:ffData>
              </w:fldChar>
            </w:r>
            <w:bookmarkStart w:id="16"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p>
        </w:tc>
      </w:tr>
      <w:tr w:rsidR="002C187A" w:rsidRPr="00627A1C" w14:paraId="04EF3772" w14:textId="77777777" w:rsidTr="00FC4F61">
        <w:tc>
          <w:tcPr>
            <w:tcW w:w="5749" w:type="dxa"/>
            <w:shd w:val="clear" w:color="auto" w:fill="auto"/>
          </w:tcPr>
          <w:p w14:paraId="493CE278" w14:textId="77777777" w:rsidR="002C187A" w:rsidRPr="00675507" w:rsidRDefault="00675507" w:rsidP="001A1E86">
            <w:pPr>
              <w:rPr>
                <w:lang w:val="fr-FR"/>
              </w:rPr>
            </w:pPr>
            <w:r w:rsidRPr="00675507">
              <w:rPr>
                <w:b/>
                <w:bCs/>
                <w:u w:val="single"/>
                <w:lang w:val="fr-FR"/>
              </w:rPr>
              <w:lastRenderedPageBreak/>
              <w:t>Autre</w:t>
            </w:r>
            <w:r w:rsidRPr="00675507">
              <w:rPr>
                <w:lang w:val="fr-FR"/>
              </w:rPr>
              <w:t>: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4421"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Partie IV: COVID-19</w:t>
      </w:r>
    </w:p>
    <w:p w14:paraId="389E3B00" w14:textId="1EBFDBF1" w:rsidR="00995F8E" w:rsidRPr="00995F8E" w:rsidRDefault="00547F47" w:rsidP="00995F8E">
      <w:pPr>
        <w:rPr>
          <w:i/>
          <w:i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995F8E">
        <w:rPr>
          <w:i/>
          <w:iCs/>
          <w:lang w:val="fr-FR"/>
        </w:rPr>
        <w:t xml:space="preserve"> </w:t>
      </w:r>
      <w:r w:rsidR="00995F8E" w:rsidRPr="00995F8E">
        <w:rPr>
          <w:i/>
          <w:iCs/>
          <w:lang w:val="fr-FR"/>
        </w:rPr>
        <w:t>(veuillez déclarer uniquement les NOUVELLES dépenses depuis le dernier cycle de rapport)</w:t>
      </w:r>
    </w:p>
    <w:p w14:paraId="49C6E36F" w14:textId="294A380F" w:rsidR="00600B5F" w:rsidRPr="00547F47" w:rsidRDefault="00600B5F" w:rsidP="00600B5F">
      <w:pPr>
        <w:rPr>
          <w:b/>
          <w:bCs/>
          <w:lang w:val="fr-FR"/>
        </w:rPr>
      </w:pP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18FE3669" w14:textId="5456CF5D" w:rsidR="00630E95" w:rsidRPr="005F208D" w:rsidRDefault="00630E95" w:rsidP="005F208D">
      <w:pPr>
        <w:ind w:left="360"/>
        <w:jc w:val="both"/>
        <w:rPr>
          <w:lang w:val="fr-FR"/>
        </w:rPr>
      </w:pPr>
      <w:r w:rsidRPr="005F208D">
        <w:rPr>
          <w:lang w:val="fr-FR"/>
        </w:rPr>
        <w:t>Avec la déclaration officielle par les autorités sanitaires le 12 février 2021 de la résurgence de la fièvre hémorragique à virus Ebola dans la communauté rurale de Gouécké, dans la préfecture de Nzérékoré, certaines activités ont été revues pour prendre en compte la sensibilisation à Ebola et COVID19, comme suggéré par le bailleur. Dans une approche intergénérationnelle, les  femmes leaders communautaires, appelées localement les « Zowo et guérisseuses»,  très influentes dans les collectivités et les membres du  Club des Jeunes Filles Leaders de Guinée (CJFLG) ont été outillées et engagées dans les activités de sensibilisation des populations à la riposte Ebola  et à COVID-19, dans les espaces de dialogue de leur milieu de vie naturelle (autours des activités champêtres, dans l’exercice de leurs activités commerciales ou leur rituels traditionnels). Leurs actions ont contribué à faciliter l’adhésion des communautés aux actions de riposte et de prévention des conflits susceptibles de surgir du fait des réticences des populations aux actions de riposte contre EBOLA et à la COVID-19 en région forestière.</w:t>
      </w:r>
    </w:p>
    <w:p w14:paraId="215E1056" w14:textId="620189E1" w:rsidR="00630E95" w:rsidRPr="005F208D" w:rsidRDefault="00630E95" w:rsidP="005F208D">
      <w:pPr>
        <w:jc w:val="both"/>
        <w:rPr>
          <w:lang w:val="fr-FR"/>
        </w:rPr>
      </w:pPr>
      <w:r w:rsidRPr="005F208D">
        <w:rPr>
          <w:lang w:val="fr-FR"/>
        </w:rPr>
        <w:t xml:space="preserve">L’apparition de la fièvre lassa </w:t>
      </w:r>
      <w:r w:rsidR="009978A7" w:rsidRPr="005F208D">
        <w:rPr>
          <w:lang w:val="fr-FR"/>
        </w:rPr>
        <w:t>à</w:t>
      </w:r>
      <w:r w:rsidRPr="005F208D">
        <w:rPr>
          <w:lang w:val="fr-FR"/>
        </w:rPr>
        <w:t xml:space="preserve"> Yomou courant </w:t>
      </w:r>
      <w:r w:rsidR="00BD5C5C" w:rsidRPr="005F208D">
        <w:rPr>
          <w:lang w:val="fr-FR"/>
        </w:rPr>
        <w:t>Mai 2021</w:t>
      </w:r>
      <w:r w:rsidRPr="005F208D">
        <w:rPr>
          <w:lang w:val="fr-FR"/>
        </w:rPr>
        <w:t xml:space="preserve"> a entrainé le retard momentané des activités </w:t>
      </w:r>
      <w:r w:rsidR="00F86975" w:rsidRPr="005F208D">
        <w:rPr>
          <w:lang w:val="fr-FR"/>
        </w:rPr>
        <w:t xml:space="preserve">de déploiement des agents d’encadrement d’ONGs, des travaux préliminaires des sites a aménagés </w:t>
      </w:r>
      <w:r w:rsidRPr="005F208D">
        <w:rPr>
          <w:lang w:val="fr-FR"/>
        </w:rPr>
        <w:t>dans cette préfecture.</w:t>
      </w:r>
    </w:p>
    <w:p w14:paraId="02FE0EEF" w14:textId="00FD85AF" w:rsidR="00600B5F" w:rsidRPr="00630E95" w:rsidRDefault="00600B5F" w:rsidP="00630E95">
      <w:pPr>
        <w:ind w:left="720" w:firstLine="720"/>
        <w:jc w:val="both"/>
        <w:rPr>
          <w:lang w:val="fr-FR"/>
        </w:rPr>
      </w:pPr>
    </w:p>
    <w:p w14:paraId="678F86D1" w14:textId="77777777" w:rsidR="00600B5F" w:rsidRPr="00630E95" w:rsidRDefault="00600B5F" w:rsidP="00630E95">
      <w:pPr>
        <w:jc w:val="both"/>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3A898B41" w:rsidR="00600B5F" w:rsidRPr="00CB5499" w:rsidRDefault="001301F5"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4A15BA5" w:rsidR="009E329B" w:rsidRDefault="001301F5"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6AD27644" w:rsidR="00600B5F" w:rsidRPr="009E329B" w:rsidRDefault="001301F5"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B55EC1E" w:rsidR="00600B5F" w:rsidRPr="00782959" w:rsidRDefault="001301F5"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35BE96D2" w:rsidR="00600B5F" w:rsidRPr="005D653E" w:rsidRDefault="001301F5"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6ECCD03" w:rsidR="00600B5F" w:rsidRPr="00995F8E" w:rsidRDefault="001301F5" w:rsidP="00600B5F">
      <w:pPr>
        <w:rPr>
          <w:lang w:val="es-CO"/>
        </w:rPr>
      </w:pPr>
      <w:sdt>
        <w:sdtPr>
          <w:rPr>
            <w:lang w:val="es-CO"/>
          </w:rPr>
          <w:id w:val="810906333"/>
          <w14:checkbox>
            <w14:checked w14:val="0"/>
            <w14:checkedState w14:val="2612" w14:font="MS Gothic"/>
            <w14:uncheckedState w14:val="2610" w14:font="MS Gothic"/>
          </w14:checkbox>
        </w:sdtPr>
        <w:sdtEndPr/>
        <w:sdtContent>
          <w:r w:rsidR="00600B5F" w:rsidRPr="00995F8E">
            <w:rPr>
              <w:rFonts w:ascii="MS Gothic" w:eastAsia="MS Gothic" w:hAnsi="MS Gothic" w:hint="eastAsia"/>
              <w:lang w:val="es-CO"/>
            </w:rPr>
            <w:t>☐</w:t>
          </w:r>
        </w:sdtContent>
      </w:sdt>
      <w:r w:rsidR="00600B5F" w:rsidRPr="00995F8E">
        <w:rPr>
          <w:lang w:val="es-CO"/>
        </w:rPr>
        <w:t xml:space="preserve"> </w:t>
      </w:r>
      <w:r w:rsidR="00970D92" w:rsidRPr="00995F8E">
        <w:rPr>
          <w:lang w:val="es-CO"/>
        </w:rPr>
        <w:t>Autres</w:t>
      </w:r>
      <w:r w:rsidR="00600B5F" w:rsidRPr="00995F8E">
        <w:rPr>
          <w:lang w:val="es-CO"/>
        </w:rPr>
        <w:t xml:space="preserve"> (</w:t>
      </w:r>
      <w:r w:rsidR="00970D92" w:rsidRPr="00995F8E">
        <w:rPr>
          <w:lang w:val="es-CO"/>
        </w:rPr>
        <w:t xml:space="preserve">veuillez </w:t>
      </w:r>
      <w:r w:rsidR="00B82E71" w:rsidRPr="00995F8E">
        <w:rPr>
          <w:lang w:val="es-CO"/>
        </w:rPr>
        <w:t>préciser</w:t>
      </w:r>
      <w:r w:rsidR="00600B5F" w:rsidRPr="00995F8E">
        <w:rPr>
          <w:lang w:val="es-CO"/>
        </w:rPr>
        <w:t xml:space="preserve">): </w:t>
      </w:r>
      <w:r w:rsidR="00600B5F">
        <w:fldChar w:fldCharType="begin">
          <w:ffData>
            <w:name w:val=""/>
            <w:enabled/>
            <w:calcOnExit w:val="0"/>
            <w:textInput>
              <w:maxLength w:val="1500"/>
              <w:format w:val="FIRST CAPITAL"/>
            </w:textInput>
          </w:ffData>
        </w:fldChar>
      </w:r>
      <w:r w:rsidR="00600B5F" w:rsidRPr="00995F8E">
        <w:rPr>
          <w:lang w:val="es-CO"/>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995F8E" w:rsidRDefault="00600B5F" w:rsidP="00600B5F">
      <w:pPr>
        <w:ind w:left="2160"/>
        <w:rPr>
          <w:lang w:val="es-CO"/>
        </w:rPr>
      </w:pPr>
    </w:p>
    <w:p w14:paraId="46997774" w14:textId="7BBA6F8E" w:rsidR="00600B5F" w:rsidRPr="00D61557" w:rsidRDefault="00FD0105" w:rsidP="00600B5F">
      <w:pPr>
        <w:rPr>
          <w:lang w:val="fr-FR"/>
        </w:rPr>
      </w:pPr>
      <w:r w:rsidRPr="008618D8">
        <w:rPr>
          <w:lang w:val="fr-FR"/>
        </w:rPr>
        <w:t>Le cas échéant, veuillez partager une histoire de réussite COVID-19 de ce projet (</w:t>
      </w:r>
      <w:r w:rsidR="004C4272" w:rsidRPr="008618D8">
        <w:rPr>
          <w:i/>
          <w:iCs/>
          <w:lang w:val="fr-FR"/>
        </w:rPr>
        <w:t xml:space="preserve">i.e. </w:t>
      </w:r>
      <w:r w:rsidR="00D61557" w:rsidRPr="008618D8">
        <w:rPr>
          <w:i/>
          <w:iCs/>
          <w:lang w:val="fr-FR"/>
        </w:rPr>
        <w:t>comment les ajustements de ce projet ont fait une différence et ont contribué à une réponse positive à la pandémie / empêché les tensions ou la violence liées à la pandémie, etc</w:t>
      </w:r>
      <w:r w:rsidR="00600B5F" w:rsidRPr="008618D8">
        <w:rPr>
          <w:i/>
          <w:iCs/>
          <w:lang w:val="fr-FR"/>
        </w:rPr>
        <w:t>.</w:t>
      </w:r>
      <w:r w:rsidR="00600B5F" w:rsidRPr="008618D8">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08323E39" w:rsidR="00675507" w:rsidRDefault="00675507" w:rsidP="00675507">
      <w:pPr>
        <w:outlineLvl w:val="0"/>
        <w:rPr>
          <w:sz w:val="22"/>
          <w:szCs w:val="22"/>
          <w:lang w:val="fr-FR" w:eastAsia="en-US"/>
        </w:rPr>
      </w:pPr>
    </w:p>
    <w:tbl>
      <w:tblPr>
        <w:tblW w:w="1507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2"/>
        <w:gridCol w:w="2301"/>
        <w:gridCol w:w="1295"/>
        <w:gridCol w:w="2301"/>
        <w:gridCol w:w="1869"/>
        <w:gridCol w:w="2445"/>
        <w:gridCol w:w="2695"/>
      </w:tblGrid>
      <w:tr w:rsidR="00630E95" w:rsidRPr="00023A14" w14:paraId="6FC82071" w14:textId="77777777" w:rsidTr="006239EB">
        <w:trPr>
          <w:trHeight w:val="829"/>
          <w:tblHeader/>
        </w:trPr>
        <w:tc>
          <w:tcPr>
            <w:tcW w:w="2172" w:type="dxa"/>
          </w:tcPr>
          <w:p w14:paraId="0C1BEF74" w14:textId="77777777" w:rsidR="00630E95" w:rsidRPr="002D38FC" w:rsidRDefault="00630E95" w:rsidP="00772FC0">
            <w:pPr>
              <w:jc w:val="center"/>
              <w:rPr>
                <w:rFonts w:cs="Tahoma"/>
                <w:b/>
                <w:szCs w:val="20"/>
                <w:lang w:val="fr-FR" w:eastAsia="en-US"/>
              </w:rPr>
            </w:pPr>
          </w:p>
        </w:tc>
        <w:tc>
          <w:tcPr>
            <w:tcW w:w="2301" w:type="dxa"/>
            <w:shd w:val="clear" w:color="auto" w:fill="EEECE1"/>
          </w:tcPr>
          <w:p w14:paraId="26BDE8EB" w14:textId="77777777" w:rsidR="00630E95" w:rsidRPr="002D38FC" w:rsidRDefault="00630E95" w:rsidP="00772FC0">
            <w:pPr>
              <w:jc w:val="center"/>
              <w:rPr>
                <w:rFonts w:cs="Tahoma"/>
                <w:b/>
                <w:szCs w:val="20"/>
                <w:lang w:val="fr-FR" w:eastAsia="en-US"/>
              </w:rPr>
            </w:pPr>
            <w:r w:rsidRPr="002D38FC">
              <w:rPr>
                <w:rFonts w:cs="Tahoma"/>
                <w:b/>
                <w:szCs w:val="20"/>
                <w:lang w:val="fr-FR" w:eastAsia="en-US"/>
              </w:rPr>
              <w:t>Indicateurs</w:t>
            </w:r>
          </w:p>
        </w:tc>
        <w:tc>
          <w:tcPr>
            <w:tcW w:w="1295" w:type="dxa"/>
            <w:shd w:val="clear" w:color="auto" w:fill="EEECE1"/>
          </w:tcPr>
          <w:p w14:paraId="5E9D468D" w14:textId="77777777" w:rsidR="00630E95" w:rsidRPr="002D38FC" w:rsidRDefault="00630E95" w:rsidP="00772FC0">
            <w:pPr>
              <w:jc w:val="center"/>
              <w:rPr>
                <w:rFonts w:cs="Tahoma"/>
                <w:b/>
                <w:szCs w:val="20"/>
                <w:lang w:val="fr-FR" w:eastAsia="en-US"/>
              </w:rPr>
            </w:pPr>
            <w:r w:rsidRPr="002D38FC">
              <w:rPr>
                <w:rFonts w:cs="Tahoma"/>
                <w:b/>
                <w:szCs w:val="20"/>
                <w:lang w:val="fr-FR" w:eastAsia="en-US"/>
              </w:rPr>
              <w:t>Base de données</w:t>
            </w:r>
          </w:p>
        </w:tc>
        <w:tc>
          <w:tcPr>
            <w:tcW w:w="2301" w:type="dxa"/>
            <w:shd w:val="clear" w:color="auto" w:fill="EEECE1"/>
          </w:tcPr>
          <w:p w14:paraId="52A87E7E" w14:textId="77777777" w:rsidR="00630E95" w:rsidRPr="002D38FC" w:rsidRDefault="00630E95" w:rsidP="00772FC0">
            <w:pPr>
              <w:jc w:val="center"/>
              <w:rPr>
                <w:rFonts w:cs="Tahoma"/>
                <w:b/>
                <w:szCs w:val="20"/>
                <w:lang w:val="fr-FR" w:eastAsia="en-US"/>
              </w:rPr>
            </w:pPr>
            <w:r w:rsidRPr="002D38FC">
              <w:rPr>
                <w:rFonts w:cs="Tahoma"/>
                <w:b/>
                <w:szCs w:val="20"/>
                <w:lang w:val="fr-FR" w:eastAsia="en-US"/>
              </w:rPr>
              <w:t>Cible de fin de projet</w:t>
            </w:r>
          </w:p>
        </w:tc>
        <w:tc>
          <w:tcPr>
            <w:tcW w:w="1869" w:type="dxa"/>
          </w:tcPr>
          <w:p w14:paraId="25097780" w14:textId="77777777" w:rsidR="00630E95" w:rsidRPr="002D38FC" w:rsidRDefault="00630E95" w:rsidP="00772FC0">
            <w:pPr>
              <w:jc w:val="center"/>
              <w:rPr>
                <w:rFonts w:cs="Tahoma"/>
                <w:b/>
                <w:szCs w:val="20"/>
                <w:lang w:val="fr-FR" w:eastAsia="en-US"/>
              </w:rPr>
            </w:pPr>
            <w:r w:rsidRPr="002D38FC">
              <w:rPr>
                <w:rFonts w:cs="Tahoma"/>
                <w:b/>
                <w:szCs w:val="20"/>
                <w:lang w:val="fr-FR" w:eastAsia="en-US"/>
              </w:rPr>
              <w:t>Etapes d’indicateur/ Milestone</w:t>
            </w:r>
          </w:p>
        </w:tc>
        <w:tc>
          <w:tcPr>
            <w:tcW w:w="2445" w:type="dxa"/>
          </w:tcPr>
          <w:p w14:paraId="773A272A" w14:textId="77777777" w:rsidR="00630E95" w:rsidRPr="002D38FC" w:rsidRDefault="00630E95" w:rsidP="00772FC0">
            <w:pPr>
              <w:jc w:val="center"/>
              <w:rPr>
                <w:rFonts w:cs="Tahoma"/>
                <w:b/>
                <w:szCs w:val="20"/>
                <w:lang w:val="fr-FR" w:eastAsia="en-US"/>
              </w:rPr>
            </w:pPr>
            <w:r w:rsidRPr="002D38FC">
              <w:rPr>
                <w:rFonts w:cs="Tahoma"/>
                <w:b/>
                <w:szCs w:val="20"/>
                <w:lang w:val="fr-FR" w:eastAsia="en-US"/>
              </w:rPr>
              <w:t>Progrès actuel de l’indicateur</w:t>
            </w:r>
          </w:p>
        </w:tc>
        <w:tc>
          <w:tcPr>
            <w:tcW w:w="2695" w:type="dxa"/>
          </w:tcPr>
          <w:p w14:paraId="0CFD62E8" w14:textId="77777777" w:rsidR="00630E95" w:rsidRPr="002D38FC" w:rsidRDefault="00630E95" w:rsidP="00772FC0">
            <w:pPr>
              <w:jc w:val="center"/>
              <w:rPr>
                <w:rFonts w:cs="Tahoma"/>
                <w:b/>
                <w:szCs w:val="20"/>
                <w:lang w:val="fr-FR" w:eastAsia="en-US"/>
              </w:rPr>
            </w:pPr>
            <w:r w:rsidRPr="006239EB">
              <w:rPr>
                <w:rFonts w:cs="Tahoma"/>
                <w:b/>
                <w:szCs w:val="20"/>
                <w:lang w:val="fr-FR" w:eastAsia="en-US"/>
              </w:rPr>
              <w:t>Raisons pour les retards ou changements</w:t>
            </w:r>
          </w:p>
        </w:tc>
      </w:tr>
      <w:tr w:rsidR="00630E95" w:rsidRPr="00023A14" w14:paraId="1E366B53" w14:textId="77777777" w:rsidTr="006239EB">
        <w:trPr>
          <w:trHeight w:val="548"/>
        </w:trPr>
        <w:tc>
          <w:tcPr>
            <w:tcW w:w="2172" w:type="dxa"/>
            <w:vMerge w:val="restart"/>
          </w:tcPr>
          <w:p w14:paraId="6B9177CC" w14:textId="77777777" w:rsidR="00630E95" w:rsidRPr="002D38FC" w:rsidRDefault="00630E95" w:rsidP="00772FC0">
            <w:pPr>
              <w:shd w:val="clear" w:color="auto" w:fill="D9E2F3" w:themeFill="accent1" w:themeFillTint="33"/>
              <w:rPr>
                <w:rFonts w:cs="Tahoma"/>
                <w:b/>
                <w:szCs w:val="20"/>
                <w:u w:val="single"/>
                <w:lang w:val="fr-FR" w:eastAsia="en-US"/>
              </w:rPr>
            </w:pPr>
            <w:r w:rsidRPr="002D38FC">
              <w:rPr>
                <w:rFonts w:cs="Tahoma"/>
                <w:b/>
                <w:szCs w:val="20"/>
                <w:u w:val="single"/>
                <w:lang w:val="fr-FR" w:eastAsia="en-US"/>
              </w:rPr>
              <w:t>Résultat 1</w:t>
            </w:r>
          </w:p>
          <w:p w14:paraId="46ADCAEA" w14:textId="77777777" w:rsidR="00630E95" w:rsidRPr="002D38FC" w:rsidRDefault="00630E95" w:rsidP="00772FC0">
            <w:pPr>
              <w:rPr>
                <w:bCs/>
                <w:sz w:val="22"/>
                <w:szCs w:val="22"/>
                <w:lang w:val="fr-FR" w:eastAsia="en-US"/>
              </w:rPr>
            </w:pPr>
            <w:r w:rsidRPr="002D38FC">
              <w:rPr>
                <w:bCs/>
                <w:sz w:val="22"/>
                <w:szCs w:val="22"/>
                <w:lang w:val="fr-FR" w:eastAsia="en-US"/>
              </w:rPr>
              <w:t xml:space="preserve">La cohabitation pacifique entre communautés en Guinée forestière est favorisée grâce au partage de valeurs et relations économiques mutualisées et à une amélioration des mécanismes de la gouvernance foncière </w:t>
            </w:r>
          </w:p>
          <w:p w14:paraId="144E4BF3" w14:textId="77777777" w:rsidR="00630E95" w:rsidRPr="002D38FC" w:rsidRDefault="00630E95" w:rsidP="00772FC0">
            <w:pPr>
              <w:rPr>
                <w:rFonts w:cs="Tahoma"/>
                <w:b/>
                <w:szCs w:val="20"/>
                <w:lang w:val="fr-FR" w:eastAsia="en-US"/>
              </w:rPr>
            </w:pPr>
            <w:r w:rsidRPr="002D38FC">
              <w:rPr>
                <w:bCs/>
                <w:sz w:val="22"/>
                <w:szCs w:val="22"/>
                <w:lang w:val="fr-FR" w:eastAsia="en-US"/>
              </w:rPr>
              <w:t>(ODD 16 &amp; 2)</w:t>
            </w:r>
          </w:p>
        </w:tc>
        <w:tc>
          <w:tcPr>
            <w:tcW w:w="2301" w:type="dxa"/>
            <w:shd w:val="clear" w:color="auto" w:fill="EEECE1"/>
          </w:tcPr>
          <w:p w14:paraId="1AC4740F"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1a</w:t>
            </w:r>
          </w:p>
          <w:p w14:paraId="7DA52190"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Niveau de perception de membres (h/f) des communautés différentes ciblées sur la cohésion sociale entre leurs communautés</w:t>
            </w:r>
          </w:p>
        </w:tc>
        <w:tc>
          <w:tcPr>
            <w:tcW w:w="1295" w:type="dxa"/>
            <w:shd w:val="clear" w:color="auto" w:fill="EEECE1"/>
          </w:tcPr>
          <w:p w14:paraId="43058168" w14:textId="33671298" w:rsidR="00630E95" w:rsidRPr="002D38FC" w:rsidRDefault="00EE5968" w:rsidP="00772FC0">
            <w:pPr>
              <w:rPr>
                <w:rFonts w:cs="Tahoma"/>
                <w:szCs w:val="20"/>
                <w:lang w:val="fr-FR" w:eastAsia="en-US"/>
              </w:rPr>
            </w:pPr>
            <w:r>
              <w:rPr>
                <w:b/>
                <w:sz w:val="22"/>
                <w:szCs w:val="22"/>
                <w:lang w:val="fr-FR" w:eastAsia="en-US"/>
              </w:rPr>
              <w:t>60,53%</w:t>
            </w:r>
            <w:r w:rsidR="00990F9E">
              <w:rPr>
                <w:b/>
                <w:sz w:val="22"/>
                <w:szCs w:val="22"/>
                <w:lang w:val="fr-FR" w:eastAsia="en-US"/>
              </w:rPr>
              <w:t xml:space="preserve"> </w:t>
            </w:r>
          </w:p>
        </w:tc>
        <w:tc>
          <w:tcPr>
            <w:tcW w:w="2301" w:type="dxa"/>
            <w:shd w:val="clear" w:color="auto" w:fill="EEECE1"/>
          </w:tcPr>
          <w:p w14:paraId="4542426E" w14:textId="77777777" w:rsidR="00630E95" w:rsidRPr="002D38FC" w:rsidRDefault="00630E95" w:rsidP="00772FC0">
            <w:pPr>
              <w:rPr>
                <w:lang w:val="fr-FR"/>
              </w:rPr>
            </w:pPr>
            <w:r>
              <w:rPr>
                <w:b/>
                <w:sz w:val="22"/>
                <w:szCs w:val="22"/>
                <w:lang w:val="fr-FR" w:eastAsia="en-US"/>
              </w:rPr>
              <w:t>Très bon</w:t>
            </w:r>
          </w:p>
        </w:tc>
        <w:tc>
          <w:tcPr>
            <w:tcW w:w="1869" w:type="dxa"/>
          </w:tcPr>
          <w:p w14:paraId="19FB5306" w14:textId="5909760D" w:rsidR="00630E95" w:rsidRPr="002D38FC" w:rsidRDefault="00630E95" w:rsidP="00772FC0">
            <w:pPr>
              <w:rPr>
                <w:lang w:val="fr-FR"/>
              </w:rPr>
            </w:pPr>
          </w:p>
        </w:tc>
        <w:tc>
          <w:tcPr>
            <w:tcW w:w="2445" w:type="dxa"/>
          </w:tcPr>
          <w:p w14:paraId="59ACD795"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695" w:type="dxa"/>
          </w:tcPr>
          <w:p w14:paraId="56D75721" w14:textId="4FE143C1" w:rsidR="00630E95" w:rsidRPr="00A42C36" w:rsidRDefault="00EE5968" w:rsidP="00772FC0">
            <w:pPr>
              <w:rPr>
                <w:bCs/>
                <w:lang w:val="fr-FR"/>
              </w:rPr>
            </w:pPr>
            <w:r>
              <w:rPr>
                <w:bCs/>
                <w:sz w:val="22"/>
                <w:szCs w:val="22"/>
                <w:lang w:val="fr-FR" w:eastAsia="en-US"/>
              </w:rPr>
              <w:t>L’</w:t>
            </w:r>
            <w:r w:rsidR="000D272F">
              <w:rPr>
                <w:bCs/>
                <w:sz w:val="22"/>
                <w:szCs w:val="22"/>
                <w:lang w:val="fr-FR" w:eastAsia="en-US"/>
              </w:rPr>
              <w:t>étude</w:t>
            </w:r>
            <w:r>
              <w:rPr>
                <w:bCs/>
                <w:sz w:val="22"/>
                <w:szCs w:val="22"/>
                <w:lang w:val="fr-FR" w:eastAsia="en-US"/>
              </w:rPr>
              <w:t xml:space="preserve"> n’a pas collecter la proportion par sexe mais par dimension sociale (capital social, confiance et </w:t>
            </w:r>
            <w:r w:rsidR="000D272F">
              <w:rPr>
                <w:bCs/>
                <w:sz w:val="22"/>
                <w:szCs w:val="22"/>
                <w:lang w:val="fr-FR" w:eastAsia="en-US"/>
              </w:rPr>
              <w:t>tolérance</w:t>
            </w:r>
            <w:r>
              <w:rPr>
                <w:bCs/>
                <w:sz w:val="22"/>
                <w:szCs w:val="22"/>
                <w:lang w:val="fr-FR" w:eastAsia="en-US"/>
              </w:rPr>
              <w:t>). Nous devrions en tenir lors de l’évaluation a mi parcours pour déterminer le progrès actuel et fixer la refenrece..</w:t>
            </w:r>
          </w:p>
        </w:tc>
      </w:tr>
      <w:tr w:rsidR="00630E95" w:rsidRPr="00CE18F2" w14:paraId="4FA2C09B" w14:textId="77777777" w:rsidTr="006239EB">
        <w:trPr>
          <w:trHeight w:val="548"/>
        </w:trPr>
        <w:tc>
          <w:tcPr>
            <w:tcW w:w="2172" w:type="dxa"/>
            <w:vMerge/>
          </w:tcPr>
          <w:p w14:paraId="28C01CEE" w14:textId="77777777" w:rsidR="00630E95" w:rsidRPr="002D38FC" w:rsidRDefault="00630E95" w:rsidP="00772FC0">
            <w:pPr>
              <w:rPr>
                <w:rFonts w:cs="Tahoma"/>
                <w:b/>
                <w:szCs w:val="20"/>
                <w:lang w:val="fr-FR" w:eastAsia="en-US"/>
              </w:rPr>
            </w:pPr>
          </w:p>
        </w:tc>
        <w:tc>
          <w:tcPr>
            <w:tcW w:w="2301" w:type="dxa"/>
            <w:shd w:val="clear" w:color="auto" w:fill="EEECE1"/>
          </w:tcPr>
          <w:p w14:paraId="6D229EC4"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1b</w:t>
            </w:r>
          </w:p>
          <w:p w14:paraId="6431A9E8"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 xml:space="preserve">Taux de réduction des affrontements violents entre les communautés sur des questions foncières </w:t>
            </w:r>
          </w:p>
        </w:tc>
        <w:tc>
          <w:tcPr>
            <w:tcW w:w="1295" w:type="dxa"/>
            <w:shd w:val="clear" w:color="auto" w:fill="EEECE1"/>
          </w:tcPr>
          <w:p w14:paraId="605007EA" w14:textId="77777777" w:rsidR="00630E95" w:rsidRPr="002D38FC" w:rsidRDefault="00630E95" w:rsidP="00772FC0">
            <w:pPr>
              <w:rPr>
                <w:lang w:val="fr-FR"/>
              </w:rPr>
            </w:pPr>
            <w:r w:rsidRPr="002D38FC">
              <w:rPr>
                <w:b/>
                <w:sz w:val="22"/>
                <w:szCs w:val="22"/>
                <w:lang w:val="fr-FR" w:eastAsia="en-US"/>
              </w:rPr>
              <w:t>0%</w:t>
            </w:r>
          </w:p>
        </w:tc>
        <w:tc>
          <w:tcPr>
            <w:tcW w:w="2301" w:type="dxa"/>
            <w:shd w:val="clear" w:color="auto" w:fill="EEECE1"/>
          </w:tcPr>
          <w:p w14:paraId="794C85A7" w14:textId="77777777" w:rsidR="00630E95" w:rsidRPr="002D38FC" w:rsidRDefault="00630E95" w:rsidP="00772FC0">
            <w:pPr>
              <w:rPr>
                <w:lang w:val="fr-FR"/>
              </w:rPr>
            </w:pPr>
            <w:r w:rsidRPr="002D38FC">
              <w:rPr>
                <w:b/>
                <w:sz w:val="22"/>
                <w:szCs w:val="22"/>
                <w:lang w:val="fr-FR" w:eastAsia="en-US"/>
              </w:rPr>
              <w:t>50%</w:t>
            </w:r>
          </w:p>
        </w:tc>
        <w:tc>
          <w:tcPr>
            <w:tcW w:w="1869" w:type="dxa"/>
          </w:tcPr>
          <w:p w14:paraId="07B05C38"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445" w:type="dxa"/>
          </w:tcPr>
          <w:p w14:paraId="13CE9043"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695" w:type="dxa"/>
          </w:tcPr>
          <w:p w14:paraId="76810B7D" w14:textId="70BF30CC" w:rsidR="00630E95" w:rsidRPr="00CE18F2" w:rsidRDefault="00CE18F2" w:rsidP="00772FC0">
            <w:pPr>
              <w:rPr>
                <w:bCs/>
                <w:lang w:val="fr-FR"/>
              </w:rPr>
            </w:pPr>
            <w:r w:rsidRPr="00CE18F2">
              <w:rPr>
                <w:bCs/>
                <w:sz w:val="22"/>
                <w:szCs w:val="22"/>
                <w:lang w:val="fr-FR" w:eastAsia="en-US"/>
              </w:rPr>
              <w:t xml:space="preserve">La </w:t>
            </w:r>
            <w:r w:rsidR="00A42C36" w:rsidRPr="00CE18F2">
              <w:rPr>
                <w:bCs/>
                <w:sz w:val="22"/>
                <w:szCs w:val="22"/>
                <w:lang w:val="fr-FR" w:eastAsia="en-US"/>
              </w:rPr>
              <w:t>période</w:t>
            </w:r>
            <w:r w:rsidRPr="00CE18F2">
              <w:rPr>
                <w:bCs/>
                <w:sz w:val="22"/>
                <w:szCs w:val="22"/>
                <w:lang w:val="fr-FR" w:eastAsia="en-US"/>
              </w:rPr>
              <w:t xml:space="preserve"> de mise en œuvre est courte pour mesurer cet indicateur. Néanmoins, aucun conflit n</w:t>
            </w:r>
            <w:r w:rsidR="00A42C36">
              <w:rPr>
                <w:bCs/>
                <w:sz w:val="22"/>
                <w:szCs w:val="22"/>
                <w:lang w:val="fr-FR" w:eastAsia="en-US"/>
              </w:rPr>
              <w:t>’a été</w:t>
            </w:r>
            <w:r w:rsidRPr="00CE18F2">
              <w:rPr>
                <w:bCs/>
                <w:sz w:val="22"/>
                <w:szCs w:val="22"/>
                <w:lang w:val="fr-FR" w:eastAsia="en-US"/>
              </w:rPr>
              <w:t xml:space="preserve"> signalé</w:t>
            </w:r>
            <w:r>
              <w:rPr>
                <w:bCs/>
                <w:sz w:val="22"/>
                <w:szCs w:val="22"/>
                <w:lang w:val="fr-FR" w:eastAsia="en-US"/>
              </w:rPr>
              <w:t>.</w:t>
            </w:r>
          </w:p>
        </w:tc>
      </w:tr>
      <w:tr w:rsidR="00630E95" w:rsidRPr="00023A14" w14:paraId="487C2AE5" w14:textId="77777777" w:rsidTr="006239EB">
        <w:trPr>
          <w:trHeight w:val="548"/>
        </w:trPr>
        <w:tc>
          <w:tcPr>
            <w:tcW w:w="2172" w:type="dxa"/>
            <w:vMerge/>
          </w:tcPr>
          <w:p w14:paraId="31C3E070" w14:textId="77777777" w:rsidR="00630E95" w:rsidRPr="002D38FC" w:rsidRDefault="00630E95" w:rsidP="00772FC0">
            <w:pPr>
              <w:rPr>
                <w:rFonts w:cs="Tahoma"/>
                <w:szCs w:val="20"/>
                <w:lang w:val="fr-FR" w:eastAsia="en-US"/>
              </w:rPr>
            </w:pPr>
          </w:p>
        </w:tc>
        <w:tc>
          <w:tcPr>
            <w:tcW w:w="2301" w:type="dxa"/>
            <w:shd w:val="clear" w:color="auto" w:fill="EEECE1"/>
          </w:tcPr>
          <w:p w14:paraId="4285F244"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1c</w:t>
            </w:r>
          </w:p>
          <w:p w14:paraId="27AC02C8"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 xml:space="preserve">Nombre de différends fonciers portés devant les mécanismes pacifiques de résolution des conflits fonciers </w:t>
            </w:r>
          </w:p>
        </w:tc>
        <w:tc>
          <w:tcPr>
            <w:tcW w:w="1295" w:type="dxa"/>
            <w:shd w:val="clear" w:color="auto" w:fill="EEECE1"/>
          </w:tcPr>
          <w:p w14:paraId="0CF37199" w14:textId="77777777" w:rsidR="00630E95" w:rsidRPr="002D38FC" w:rsidRDefault="00630E95" w:rsidP="00772FC0">
            <w:pPr>
              <w:rPr>
                <w:lang w:val="fr-FR"/>
              </w:rPr>
            </w:pPr>
            <w:r w:rsidRPr="002D38FC">
              <w:rPr>
                <w:b/>
                <w:sz w:val="22"/>
                <w:szCs w:val="22"/>
                <w:lang w:val="fr-FR" w:eastAsia="en-US"/>
              </w:rPr>
              <w:t>88</w:t>
            </w:r>
          </w:p>
        </w:tc>
        <w:tc>
          <w:tcPr>
            <w:tcW w:w="2301" w:type="dxa"/>
            <w:shd w:val="clear" w:color="auto" w:fill="EEECE1"/>
          </w:tcPr>
          <w:p w14:paraId="7259C43C" w14:textId="77777777" w:rsidR="00630E95" w:rsidRPr="002D38FC" w:rsidRDefault="00630E95" w:rsidP="00772FC0">
            <w:pPr>
              <w:rPr>
                <w:lang w:val="fr-FR"/>
              </w:rPr>
            </w:pPr>
            <w:r w:rsidRPr="002D38FC">
              <w:rPr>
                <w:b/>
                <w:sz w:val="22"/>
                <w:szCs w:val="22"/>
                <w:lang w:val="fr-FR" w:eastAsia="en-US"/>
              </w:rPr>
              <w:t>50</w:t>
            </w:r>
          </w:p>
        </w:tc>
        <w:tc>
          <w:tcPr>
            <w:tcW w:w="1869" w:type="dxa"/>
          </w:tcPr>
          <w:p w14:paraId="78CA20D6" w14:textId="157C3E51" w:rsidR="00630E95" w:rsidRPr="002D38FC" w:rsidRDefault="00630E95" w:rsidP="00772FC0">
            <w:pPr>
              <w:rPr>
                <w:lang w:val="fr-FR"/>
              </w:rPr>
            </w:pPr>
          </w:p>
        </w:tc>
        <w:tc>
          <w:tcPr>
            <w:tcW w:w="2445" w:type="dxa"/>
          </w:tcPr>
          <w:p w14:paraId="7D5AB96F"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695" w:type="dxa"/>
          </w:tcPr>
          <w:p w14:paraId="1C88D5BB" w14:textId="018D47B6" w:rsidR="00630E95" w:rsidRPr="00CE18F2" w:rsidRDefault="00CE18F2" w:rsidP="00772FC0">
            <w:pPr>
              <w:rPr>
                <w:bCs/>
                <w:lang w:val="fr-FR"/>
              </w:rPr>
            </w:pPr>
            <w:r w:rsidRPr="00CE18F2">
              <w:rPr>
                <w:bCs/>
                <w:sz w:val="22"/>
                <w:szCs w:val="22"/>
                <w:lang w:val="fr-FR" w:eastAsia="en-US"/>
              </w:rPr>
              <w:t>Les mécanismes ne sont pas encore mis en place pour collecter ce</w:t>
            </w:r>
            <w:r w:rsidR="00A42C36">
              <w:rPr>
                <w:bCs/>
                <w:sz w:val="22"/>
                <w:szCs w:val="22"/>
                <w:lang w:val="fr-FR" w:eastAsia="en-US"/>
              </w:rPr>
              <w:t>t</w:t>
            </w:r>
            <w:r w:rsidRPr="00CE18F2">
              <w:rPr>
                <w:bCs/>
                <w:sz w:val="22"/>
                <w:szCs w:val="22"/>
                <w:lang w:val="fr-FR" w:eastAsia="en-US"/>
              </w:rPr>
              <w:t xml:space="preserve"> indicateur</w:t>
            </w:r>
          </w:p>
        </w:tc>
      </w:tr>
      <w:tr w:rsidR="00630E95" w:rsidRPr="00023A14" w14:paraId="75C598B1" w14:textId="77777777" w:rsidTr="006239EB">
        <w:trPr>
          <w:trHeight w:val="548"/>
        </w:trPr>
        <w:tc>
          <w:tcPr>
            <w:tcW w:w="2172" w:type="dxa"/>
            <w:vMerge w:val="restart"/>
          </w:tcPr>
          <w:p w14:paraId="5E86635D" w14:textId="77777777" w:rsidR="00630E95" w:rsidRPr="002D38FC" w:rsidRDefault="00630E95" w:rsidP="00772FC0">
            <w:pPr>
              <w:shd w:val="clear" w:color="auto" w:fill="D9D9D9" w:themeFill="background1" w:themeFillShade="D9"/>
              <w:rPr>
                <w:rFonts w:cs="Tahoma"/>
                <w:b/>
                <w:bCs/>
                <w:szCs w:val="20"/>
                <w:u w:val="single"/>
                <w:lang w:val="fr-FR" w:eastAsia="en-US"/>
              </w:rPr>
            </w:pPr>
            <w:r w:rsidRPr="002D38FC">
              <w:rPr>
                <w:rFonts w:cs="Tahoma"/>
                <w:b/>
                <w:bCs/>
                <w:szCs w:val="20"/>
                <w:u w:val="single"/>
                <w:lang w:val="fr-FR" w:eastAsia="en-US"/>
              </w:rPr>
              <w:lastRenderedPageBreak/>
              <w:t>Produit 1.1</w:t>
            </w:r>
          </w:p>
          <w:p w14:paraId="649ECE42" w14:textId="77777777" w:rsidR="00630E95" w:rsidRPr="002D38FC" w:rsidRDefault="00630E95" w:rsidP="00772FC0">
            <w:pPr>
              <w:rPr>
                <w:sz w:val="22"/>
                <w:szCs w:val="22"/>
                <w:lang w:val="fr-FR" w:eastAsia="en-US"/>
              </w:rPr>
            </w:pPr>
            <w:bookmarkStart w:id="17" w:name="OLE_LINK9"/>
            <w:bookmarkStart w:id="18" w:name="OLE_LINK10"/>
            <w:r w:rsidRPr="002D38FC">
              <w:rPr>
                <w:sz w:val="22"/>
                <w:szCs w:val="22"/>
                <w:lang w:val="fr-FR" w:eastAsia="en-US"/>
              </w:rPr>
              <w:t>Les espaces de dialogue intercommunautaires sont créés et consolidés</w:t>
            </w:r>
          </w:p>
          <w:bookmarkEnd w:id="17"/>
          <w:bookmarkEnd w:id="18"/>
          <w:p w14:paraId="3B5BB443" w14:textId="77777777" w:rsidR="00630E95" w:rsidRPr="002D38FC" w:rsidRDefault="00630E95" w:rsidP="00772FC0">
            <w:pPr>
              <w:rPr>
                <w:rFonts w:cs="Tahoma"/>
                <w:szCs w:val="20"/>
                <w:lang w:val="fr-FR" w:eastAsia="en-US"/>
              </w:rPr>
            </w:pPr>
          </w:p>
        </w:tc>
        <w:tc>
          <w:tcPr>
            <w:tcW w:w="2301" w:type="dxa"/>
            <w:shd w:val="clear" w:color="auto" w:fill="EEECE1"/>
          </w:tcPr>
          <w:p w14:paraId="481F3299"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1.1.1</w:t>
            </w:r>
          </w:p>
          <w:p w14:paraId="6FE503A0"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 xml:space="preserve">Nombre de plateformes multi-acteurs et de planifications communautaires participatives incluant deux ou plus de groupes ethniques différents renforcés/mis en place. </w:t>
            </w:r>
          </w:p>
        </w:tc>
        <w:tc>
          <w:tcPr>
            <w:tcW w:w="1295" w:type="dxa"/>
            <w:shd w:val="clear" w:color="auto" w:fill="EEECE1"/>
          </w:tcPr>
          <w:p w14:paraId="3FC90E7B" w14:textId="769357DF" w:rsidR="00630E95" w:rsidRPr="002D38FC" w:rsidRDefault="00A71306" w:rsidP="00772FC0">
            <w:pPr>
              <w:rPr>
                <w:lang w:val="fr-FR"/>
              </w:rPr>
            </w:pPr>
            <w:r>
              <w:rPr>
                <w:b/>
                <w:sz w:val="22"/>
                <w:szCs w:val="22"/>
                <w:lang w:val="fr-FR" w:eastAsia="en-US"/>
              </w:rPr>
              <w:t>81</w:t>
            </w:r>
          </w:p>
        </w:tc>
        <w:tc>
          <w:tcPr>
            <w:tcW w:w="2301" w:type="dxa"/>
            <w:shd w:val="clear" w:color="auto" w:fill="EEECE1"/>
          </w:tcPr>
          <w:p w14:paraId="1F3D5A2E" w14:textId="68D1C917" w:rsidR="00630E95" w:rsidRPr="002D38FC" w:rsidRDefault="00EE2976" w:rsidP="00772FC0">
            <w:pPr>
              <w:rPr>
                <w:lang w:val="fr-FR"/>
              </w:rPr>
            </w:pPr>
            <w:r>
              <w:rPr>
                <w:b/>
                <w:sz w:val="22"/>
                <w:szCs w:val="22"/>
                <w:lang w:val="fr-FR" w:eastAsia="en-US"/>
              </w:rPr>
              <w:t>48</w:t>
            </w:r>
          </w:p>
        </w:tc>
        <w:tc>
          <w:tcPr>
            <w:tcW w:w="1869" w:type="dxa"/>
          </w:tcPr>
          <w:p w14:paraId="0FB953DB" w14:textId="6D2E8D13" w:rsidR="00630E95" w:rsidRPr="002D38FC" w:rsidRDefault="00CE18F2" w:rsidP="00772FC0">
            <w:pPr>
              <w:rPr>
                <w:lang w:val="fr-FR"/>
              </w:rPr>
            </w:pPr>
            <w:r>
              <w:rPr>
                <w:b/>
                <w:sz w:val="22"/>
                <w:szCs w:val="22"/>
                <w:lang w:val="fr-FR" w:eastAsia="en-US"/>
              </w:rPr>
              <w:t>24</w:t>
            </w:r>
          </w:p>
        </w:tc>
        <w:tc>
          <w:tcPr>
            <w:tcW w:w="2445" w:type="dxa"/>
          </w:tcPr>
          <w:p w14:paraId="53D2B46D" w14:textId="0FBDC350" w:rsidR="00630E95" w:rsidRPr="002D38FC" w:rsidRDefault="0006576C" w:rsidP="00772FC0">
            <w:pPr>
              <w:rPr>
                <w:lang w:val="fr-FR"/>
              </w:rPr>
            </w:pPr>
            <w:r>
              <w:rPr>
                <w:b/>
                <w:sz w:val="22"/>
                <w:szCs w:val="22"/>
                <w:lang w:val="fr-FR" w:eastAsia="en-US"/>
              </w:rPr>
              <w:t>0%</w:t>
            </w:r>
          </w:p>
        </w:tc>
        <w:tc>
          <w:tcPr>
            <w:tcW w:w="2695" w:type="dxa"/>
          </w:tcPr>
          <w:p w14:paraId="55609875" w14:textId="269067BA" w:rsidR="00630E95" w:rsidRPr="00A42C36" w:rsidRDefault="00C96C2E" w:rsidP="00772FC0">
            <w:pPr>
              <w:rPr>
                <w:bCs/>
                <w:lang w:val="fr-FR"/>
              </w:rPr>
            </w:pPr>
            <w:r>
              <w:rPr>
                <w:bCs/>
                <w:sz w:val="22"/>
                <w:szCs w:val="22"/>
                <w:lang w:val="fr-FR" w:eastAsia="en-US"/>
              </w:rPr>
              <w:t>Retard de la mise en place d</w:t>
            </w:r>
            <w:r w:rsidR="00A42C36" w:rsidRPr="00A42C36">
              <w:rPr>
                <w:bCs/>
                <w:sz w:val="22"/>
                <w:szCs w:val="22"/>
                <w:lang w:val="fr-FR" w:eastAsia="en-US"/>
              </w:rPr>
              <w:t>es plateformes multi</w:t>
            </w:r>
            <w:r>
              <w:rPr>
                <w:bCs/>
                <w:sz w:val="22"/>
                <w:szCs w:val="22"/>
                <w:lang w:val="fr-FR" w:eastAsia="en-US"/>
              </w:rPr>
              <w:t xml:space="preserve"> acteurs par </w:t>
            </w:r>
            <w:r w:rsidR="004005DD">
              <w:rPr>
                <w:bCs/>
                <w:sz w:val="22"/>
                <w:szCs w:val="22"/>
                <w:lang w:val="fr-FR" w:eastAsia="en-US"/>
              </w:rPr>
              <w:t xml:space="preserve">FAO </w:t>
            </w:r>
            <w:r w:rsidR="000C3EC9">
              <w:rPr>
                <w:bCs/>
                <w:sz w:val="22"/>
                <w:szCs w:val="22"/>
                <w:lang w:val="fr-FR" w:eastAsia="en-US"/>
              </w:rPr>
              <w:t xml:space="preserve">est consécutif </w:t>
            </w:r>
            <w:r w:rsidR="000D272F">
              <w:rPr>
                <w:bCs/>
                <w:sz w:val="22"/>
                <w:szCs w:val="22"/>
                <w:lang w:val="fr-FR" w:eastAsia="en-US"/>
              </w:rPr>
              <w:t>à</w:t>
            </w:r>
            <w:r w:rsidR="004005DD">
              <w:rPr>
                <w:bCs/>
                <w:sz w:val="22"/>
                <w:szCs w:val="22"/>
                <w:lang w:val="fr-FR" w:eastAsia="en-US"/>
              </w:rPr>
              <w:t xml:space="preserve"> la non validation de la revue du cadre juridique et institutionnel </w:t>
            </w:r>
            <w:r w:rsidR="000C3EC9">
              <w:rPr>
                <w:bCs/>
                <w:sz w:val="22"/>
                <w:szCs w:val="22"/>
                <w:lang w:val="fr-FR" w:eastAsia="en-US"/>
              </w:rPr>
              <w:t xml:space="preserve">et </w:t>
            </w:r>
            <w:r w:rsidR="004005DD">
              <w:rPr>
                <w:bCs/>
                <w:sz w:val="22"/>
                <w:szCs w:val="22"/>
                <w:lang w:val="fr-FR" w:eastAsia="en-US"/>
              </w:rPr>
              <w:t xml:space="preserve">au non recrutement du consultant </w:t>
            </w:r>
            <w:r w:rsidR="000C3EC9">
              <w:rPr>
                <w:bCs/>
                <w:sz w:val="22"/>
                <w:szCs w:val="22"/>
                <w:lang w:val="fr-FR" w:eastAsia="en-US"/>
              </w:rPr>
              <w:t>international (</w:t>
            </w:r>
            <w:r w:rsidR="00DF21D1">
              <w:rPr>
                <w:bCs/>
                <w:sz w:val="22"/>
                <w:szCs w:val="22"/>
                <w:lang w:val="fr-FR" w:eastAsia="en-US"/>
              </w:rPr>
              <w:t xml:space="preserve">nbre </w:t>
            </w:r>
            <w:r w:rsidR="000C3EC9">
              <w:rPr>
                <w:bCs/>
                <w:sz w:val="22"/>
                <w:szCs w:val="22"/>
                <w:lang w:val="fr-FR" w:eastAsia="en-US"/>
              </w:rPr>
              <w:t>à</w:t>
            </w:r>
            <w:r w:rsidR="00DF21D1">
              <w:rPr>
                <w:bCs/>
                <w:sz w:val="22"/>
                <w:szCs w:val="22"/>
                <w:lang w:val="fr-FR" w:eastAsia="en-US"/>
              </w:rPr>
              <w:t xml:space="preserve"> déterminer par la FAO)</w:t>
            </w:r>
            <w:r>
              <w:rPr>
                <w:bCs/>
                <w:sz w:val="22"/>
                <w:szCs w:val="22"/>
                <w:lang w:val="fr-FR" w:eastAsia="en-US"/>
              </w:rPr>
              <w:t xml:space="preserve"> </w:t>
            </w:r>
            <w:r w:rsidR="00A42C36">
              <w:rPr>
                <w:bCs/>
                <w:sz w:val="22"/>
                <w:szCs w:val="22"/>
                <w:lang w:val="fr-FR" w:eastAsia="en-US"/>
              </w:rPr>
              <w:t xml:space="preserve">. </w:t>
            </w:r>
            <w:r w:rsidR="004005DD">
              <w:rPr>
                <w:bCs/>
                <w:sz w:val="22"/>
                <w:szCs w:val="22"/>
                <w:lang w:val="fr-FR" w:eastAsia="en-US"/>
              </w:rPr>
              <w:t>C</w:t>
            </w:r>
            <w:r w:rsidR="00BF0B6D">
              <w:rPr>
                <w:bCs/>
                <w:sz w:val="22"/>
                <w:szCs w:val="22"/>
                <w:lang w:val="fr-FR" w:eastAsia="en-US"/>
              </w:rPr>
              <w:t xml:space="preserve">ependant les </w:t>
            </w:r>
            <w:r w:rsidR="004005DD">
              <w:rPr>
                <w:bCs/>
                <w:sz w:val="22"/>
                <w:szCs w:val="22"/>
                <w:lang w:val="fr-FR" w:eastAsia="en-US"/>
              </w:rPr>
              <w:t>données</w:t>
            </w:r>
            <w:r w:rsidR="00A42C36">
              <w:rPr>
                <w:bCs/>
                <w:sz w:val="22"/>
                <w:szCs w:val="22"/>
                <w:lang w:val="fr-FR" w:eastAsia="en-US"/>
              </w:rPr>
              <w:t xml:space="preserve"> concern</w:t>
            </w:r>
            <w:r w:rsidR="00BF0B6D">
              <w:rPr>
                <w:bCs/>
                <w:sz w:val="22"/>
                <w:szCs w:val="22"/>
                <w:lang w:val="fr-FR" w:eastAsia="en-US"/>
              </w:rPr>
              <w:t>a</w:t>
            </w:r>
            <w:r w:rsidR="004005DD">
              <w:rPr>
                <w:bCs/>
                <w:sz w:val="22"/>
                <w:szCs w:val="22"/>
                <w:lang w:val="fr-FR" w:eastAsia="en-US"/>
              </w:rPr>
              <w:t>nt</w:t>
            </w:r>
            <w:r w:rsidR="00A42C36">
              <w:rPr>
                <w:bCs/>
                <w:sz w:val="22"/>
                <w:szCs w:val="22"/>
                <w:lang w:val="fr-FR" w:eastAsia="en-US"/>
              </w:rPr>
              <w:t xml:space="preserve">  </w:t>
            </w:r>
            <w:r w:rsidR="000C3EC9">
              <w:rPr>
                <w:bCs/>
                <w:sz w:val="22"/>
                <w:szCs w:val="22"/>
                <w:lang w:val="fr-FR" w:eastAsia="en-US"/>
              </w:rPr>
              <w:t>les planifications communautaires</w:t>
            </w:r>
            <w:r w:rsidR="00A42C36">
              <w:rPr>
                <w:bCs/>
                <w:sz w:val="22"/>
                <w:szCs w:val="22"/>
                <w:lang w:val="fr-FR" w:eastAsia="en-US"/>
              </w:rPr>
              <w:t xml:space="preserve"> participatives</w:t>
            </w:r>
            <w:r w:rsidR="00BF0B6D">
              <w:rPr>
                <w:bCs/>
                <w:sz w:val="22"/>
                <w:szCs w:val="22"/>
                <w:lang w:val="fr-FR" w:eastAsia="en-US"/>
              </w:rPr>
              <w:t xml:space="preserve"> sont disponibles</w:t>
            </w:r>
          </w:p>
        </w:tc>
      </w:tr>
      <w:tr w:rsidR="00630E95" w:rsidRPr="00023A14" w14:paraId="6A291EED" w14:textId="77777777" w:rsidTr="006239EB">
        <w:trPr>
          <w:trHeight w:val="512"/>
        </w:trPr>
        <w:tc>
          <w:tcPr>
            <w:tcW w:w="2172" w:type="dxa"/>
            <w:vMerge/>
          </w:tcPr>
          <w:p w14:paraId="387FB67D" w14:textId="77777777" w:rsidR="00630E95" w:rsidRPr="002D38FC" w:rsidRDefault="00630E95" w:rsidP="00772FC0">
            <w:pPr>
              <w:rPr>
                <w:rFonts w:cs="Tahoma"/>
                <w:b/>
                <w:szCs w:val="20"/>
                <w:lang w:val="fr-FR" w:eastAsia="en-US"/>
              </w:rPr>
            </w:pPr>
          </w:p>
        </w:tc>
        <w:tc>
          <w:tcPr>
            <w:tcW w:w="2301" w:type="dxa"/>
            <w:shd w:val="clear" w:color="auto" w:fill="EEECE1"/>
          </w:tcPr>
          <w:p w14:paraId="16889A60"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1.1.2</w:t>
            </w:r>
          </w:p>
          <w:p w14:paraId="11971ADC"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Perception des communautés sur le rôle des plateformes de dialogue dans la prévention et la résolution des conflits</w:t>
            </w:r>
          </w:p>
        </w:tc>
        <w:tc>
          <w:tcPr>
            <w:tcW w:w="1295" w:type="dxa"/>
            <w:shd w:val="clear" w:color="auto" w:fill="EEECE1"/>
          </w:tcPr>
          <w:p w14:paraId="6CEE366C" w14:textId="77777777" w:rsidR="00630E95" w:rsidRPr="002D38FC" w:rsidRDefault="00630E95" w:rsidP="00772FC0">
            <w:pPr>
              <w:rPr>
                <w:lang w:val="fr-FR"/>
              </w:rPr>
            </w:pPr>
            <w:r>
              <w:rPr>
                <w:b/>
                <w:sz w:val="22"/>
                <w:szCs w:val="22"/>
                <w:lang w:val="fr-FR" w:eastAsia="en-US"/>
              </w:rPr>
              <w:t>Moyennement bon</w:t>
            </w:r>
          </w:p>
        </w:tc>
        <w:tc>
          <w:tcPr>
            <w:tcW w:w="2301" w:type="dxa"/>
            <w:shd w:val="clear" w:color="auto" w:fill="EEECE1"/>
          </w:tcPr>
          <w:p w14:paraId="09AAB889" w14:textId="77777777" w:rsidR="00630E95" w:rsidRPr="002D38FC" w:rsidRDefault="00630E95" w:rsidP="00772FC0">
            <w:pPr>
              <w:rPr>
                <w:lang w:val="fr-FR"/>
              </w:rPr>
            </w:pPr>
            <w:r>
              <w:rPr>
                <w:b/>
                <w:sz w:val="22"/>
                <w:szCs w:val="22"/>
                <w:lang w:val="fr-FR" w:eastAsia="en-US"/>
              </w:rPr>
              <w:t>Très bon</w:t>
            </w:r>
          </w:p>
        </w:tc>
        <w:tc>
          <w:tcPr>
            <w:tcW w:w="1869" w:type="dxa"/>
          </w:tcPr>
          <w:p w14:paraId="75761770" w14:textId="6B79DB74" w:rsidR="00630E95" w:rsidRPr="002D38FC" w:rsidRDefault="00630E95" w:rsidP="00772FC0">
            <w:pPr>
              <w:rPr>
                <w:lang w:val="fr-FR"/>
              </w:rPr>
            </w:pPr>
          </w:p>
        </w:tc>
        <w:tc>
          <w:tcPr>
            <w:tcW w:w="2445" w:type="dxa"/>
          </w:tcPr>
          <w:p w14:paraId="4E6E2251" w14:textId="4BCA04A7" w:rsidR="00630E95" w:rsidRPr="002D38FC" w:rsidRDefault="000C3EC9" w:rsidP="00772FC0">
            <w:pPr>
              <w:rPr>
                <w:lang w:val="fr-FR"/>
              </w:rPr>
            </w:pPr>
            <w:r>
              <w:rPr>
                <w:b/>
                <w:sz w:val="22"/>
                <w:szCs w:val="22"/>
                <w:lang w:val="fr-FR" w:eastAsia="en-US"/>
              </w:rPr>
              <w:t>0%</w:t>
            </w:r>
          </w:p>
        </w:tc>
        <w:tc>
          <w:tcPr>
            <w:tcW w:w="2695" w:type="dxa"/>
          </w:tcPr>
          <w:p w14:paraId="7227565D" w14:textId="324C3328" w:rsidR="00630E95" w:rsidRPr="002D38FC" w:rsidRDefault="000C3EC9" w:rsidP="00772FC0">
            <w:pPr>
              <w:rPr>
                <w:lang w:val="fr-FR"/>
              </w:rPr>
            </w:pPr>
            <w:r w:rsidRPr="000C3EC9">
              <w:rPr>
                <w:bCs/>
                <w:sz w:val="22"/>
                <w:szCs w:val="22"/>
                <w:lang w:val="fr-FR" w:eastAsia="en-US"/>
              </w:rPr>
              <w:t xml:space="preserve">Retard de la mise en place des plateformes multi acteurs par FAO est consécutif </w:t>
            </w:r>
            <w:r w:rsidR="000D272F">
              <w:rPr>
                <w:bCs/>
                <w:sz w:val="22"/>
                <w:szCs w:val="22"/>
                <w:lang w:val="fr-FR" w:eastAsia="en-US"/>
              </w:rPr>
              <w:t>à</w:t>
            </w:r>
            <w:r w:rsidRPr="000C3EC9">
              <w:rPr>
                <w:bCs/>
                <w:sz w:val="22"/>
                <w:szCs w:val="22"/>
                <w:lang w:val="fr-FR" w:eastAsia="en-US"/>
              </w:rPr>
              <w:t xml:space="preserve"> la non validation de la revue du cadre juridique et institutionnel et au non recrutement du consultant international (nbre à déterminer par la FAO)</w:t>
            </w:r>
            <w:r>
              <w:rPr>
                <w:bCs/>
                <w:sz w:val="22"/>
                <w:szCs w:val="22"/>
                <w:lang w:val="fr-FR" w:eastAsia="en-US"/>
              </w:rPr>
              <w:t xml:space="preserve">. La revue a mi parcours nous </w:t>
            </w:r>
            <w:r>
              <w:rPr>
                <w:bCs/>
                <w:sz w:val="22"/>
                <w:szCs w:val="22"/>
                <w:lang w:val="fr-FR" w:eastAsia="en-US"/>
              </w:rPr>
              <w:lastRenderedPageBreak/>
              <w:t>orientera</w:t>
            </w:r>
            <w:r w:rsidR="00CE18F2" w:rsidRPr="00CE18F2">
              <w:rPr>
                <w:bCs/>
                <w:sz w:val="22"/>
                <w:szCs w:val="22"/>
                <w:lang w:val="fr-FR" w:eastAsia="en-US"/>
              </w:rPr>
              <w:t xml:space="preserve">  </w:t>
            </w:r>
            <w:r w:rsidR="00CE18F2">
              <w:rPr>
                <w:bCs/>
                <w:sz w:val="22"/>
                <w:szCs w:val="22"/>
                <w:lang w:val="fr-FR" w:eastAsia="en-US"/>
              </w:rPr>
              <w:t>pour déterminer</w:t>
            </w:r>
            <w:r w:rsidR="00CE18F2" w:rsidRPr="00CE18F2">
              <w:rPr>
                <w:bCs/>
                <w:sz w:val="22"/>
                <w:szCs w:val="22"/>
                <w:lang w:val="fr-FR" w:eastAsia="en-US"/>
              </w:rPr>
              <w:t xml:space="preserve"> ce</w:t>
            </w:r>
            <w:r w:rsidR="00CE18F2">
              <w:rPr>
                <w:bCs/>
                <w:sz w:val="22"/>
                <w:szCs w:val="22"/>
                <w:lang w:val="fr-FR" w:eastAsia="en-US"/>
              </w:rPr>
              <w:t>t</w:t>
            </w:r>
            <w:r w:rsidR="00CE18F2" w:rsidRPr="00CE18F2">
              <w:rPr>
                <w:bCs/>
                <w:sz w:val="22"/>
                <w:szCs w:val="22"/>
                <w:lang w:val="fr-FR" w:eastAsia="en-US"/>
              </w:rPr>
              <w:t xml:space="preserve"> indicateur</w:t>
            </w:r>
          </w:p>
        </w:tc>
      </w:tr>
      <w:tr w:rsidR="00630E95" w:rsidRPr="00023A14" w14:paraId="4D50211F" w14:textId="77777777" w:rsidTr="006239EB">
        <w:trPr>
          <w:trHeight w:val="1295"/>
        </w:trPr>
        <w:tc>
          <w:tcPr>
            <w:tcW w:w="2172" w:type="dxa"/>
          </w:tcPr>
          <w:p w14:paraId="46944EBA" w14:textId="77777777" w:rsidR="00630E95" w:rsidRPr="002D38FC" w:rsidRDefault="00630E95" w:rsidP="00772FC0">
            <w:pPr>
              <w:rPr>
                <w:rFonts w:cs="Tahoma"/>
                <w:b/>
                <w:szCs w:val="20"/>
                <w:lang w:val="fr-FR" w:eastAsia="en-US"/>
              </w:rPr>
            </w:pPr>
          </w:p>
        </w:tc>
        <w:tc>
          <w:tcPr>
            <w:tcW w:w="2301" w:type="dxa"/>
            <w:shd w:val="clear" w:color="auto" w:fill="EEECE1"/>
          </w:tcPr>
          <w:p w14:paraId="429D0D3D"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1.1.3</w:t>
            </w:r>
          </w:p>
          <w:p w14:paraId="1E11A492"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Nombre de conflits fonciers résolus grâce au renforcement du cadre de concertation local multi-acteurs de dialogue existant</w:t>
            </w:r>
          </w:p>
        </w:tc>
        <w:tc>
          <w:tcPr>
            <w:tcW w:w="1295" w:type="dxa"/>
            <w:shd w:val="clear" w:color="auto" w:fill="EEECE1"/>
          </w:tcPr>
          <w:p w14:paraId="25E32C7D" w14:textId="77777777" w:rsidR="00630E95" w:rsidRPr="002D38FC" w:rsidRDefault="00630E95" w:rsidP="00772FC0">
            <w:pPr>
              <w:rPr>
                <w:b/>
                <w:sz w:val="22"/>
                <w:szCs w:val="22"/>
                <w:lang w:val="fr-FR" w:eastAsia="en-US"/>
              </w:rPr>
            </w:pPr>
            <w:r w:rsidRPr="002D38FC">
              <w:rPr>
                <w:b/>
                <w:sz w:val="22"/>
                <w:szCs w:val="22"/>
                <w:lang w:val="fr-FR" w:eastAsia="en-US"/>
              </w:rPr>
              <w:t>0</w:t>
            </w:r>
          </w:p>
        </w:tc>
        <w:tc>
          <w:tcPr>
            <w:tcW w:w="2301" w:type="dxa"/>
            <w:shd w:val="clear" w:color="auto" w:fill="EEECE1"/>
          </w:tcPr>
          <w:p w14:paraId="172E7AC6" w14:textId="77777777" w:rsidR="00630E95" w:rsidRPr="002D38FC" w:rsidRDefault="00630E95" w:rsidP="00772FC0">
            <w:pPr>
              <w:rPr>
                <w:b/>
                <w:sz w:val="22"/>
                <w:szCs w:val="22"/>
                <w:lang w:val="fr-FR" w:eastAsia="en-US"/>
              </w:rPr>
            </w:pPr>
            <w:r w:rsidRPr="002D38FC">
              <w:rPr>
                <w:b/>
                <w:sz w:val="22"/>
                <w:szCs w:val="22"/>
                <w:lang w:val="fr-FR" w:eastAsia="en-US"/>
              </w:rPr>
              <w:t>50</w:t>
            </w:r>
          </w:p>
        </w:tc>
        <w:tc>
          <w:tcPr>
            <w:tcW w:w="1869" w:type="dxa"/>
          </w:tcPr>
          <w:p w14:paraId="6D28BCB8" w14:textId="65A26B50" w:rsidR="00630E95" w:rsidRPr="002D38FC" w:rsidRDefault="00CE18F2" w:rsidP="00772FC0">
            <w:pPr>
              <w:rPr>
                <w:b/>
                <w:sz w:val="22"/>
                <w:szCs w:val="22"/>
                <w:lang w:val="fr-FR" w:eastAsia="en-US"/>
              </w:rPr>
            </w:pPr>
            <w:r>
              <w:rPr>
                <w:b/>
                <w:sz w:val="22"/>
                <w:szCs w:val="22"/>
                <w:lang w:val="fr-FR" w:eastAsia="en-US"/>
              </w:rPr>
              <w:t>0</w:t>
            </w:r>
          </w:p>
        </w:tc>
        <w:tc>
          <w:tcPr>
            <w:tcW w:w="2445" w:type="dxa"/>
          </w:tcPr>
          <w:p w14:paraId="4EDCC0ED" w14:textId="178ACA12" w:rsidR="00630E95" w:rsidRPr="002D38FC" w:rsidRDefault="000C3EC9" w:rsidP="00772FC0">
            <w:pPr>
              <w:rPr>
                <w:b/>
                <w:sz w:val="22"/>
                <w:szCs w:val="22"/>
                <w:lang w:val="fr-FR" w:eastAsia="en-US"/>
              </w:rPr>
            </w:pPr>
            <w:r>
              <w:rPr>
                <w:b/>
                <w:sz w:val="22"/>
                <w:szCs w:val="22"/>
                <w:lang w:val="fr-FR" w:eastAsia="en-US"/>
              </w:rPr>
              <w:t>0%</w:t>
            </w:r>
          </w:p>
        </w:tc>
        <w:tc>
          <w:tcPr>
            <w:tcW w:w="2695" w:type="dxa"/>
          </w:tcPr>
          <w:p w14:paraId="05E21519" w14:textId="47E1DF01" w:rsidR="00630E95" w:rsidRPr="002D38FC" w:rsidRDefault="00CE18F2" w:rsidP="00772FC0">
            <w:pPr>
              <w:rPr>
                <w:b/>
                <w:sz w:val="22"/>
                <w:szCs w:val="22"/>
                <w:lang w:val="fr-FR" w:eastAsia="en-US"/>
              </w:rPr>
            </w:pPr>
            <w:r w:rsidRPr="00CE18F2">
              <w:rPr>
                <w:bCs/>
                <w:sz w:val="22"/>
                <w:szCs w:val="22"/>
                <w:lang w:val="fr-FR" w:eastAsia="en-US"/>
              </w:rPr>
              <w:t>Les</w:t>
            </w:r>
            <w:r>
              <w:rPr>
                <w:bCs/>
                <w:sz w:val="22"/>
                <w:szCs w:val="22"/>
                <w:lang w:val="fr-FR" w:eastAsia="en-US"/>
              </w:rPr>
              <w:t xml:space="preserve"> cadres de concertation multi acteurs</w:t>
            </w:r>
            <w:r w:rsidRPr="00CE18F2">
              <w:rPr>
                <w:bCs/>
                <w:sz w:val="22"/>
                <w:szCs w:val="22"/>
                <w:lang w:val="fr-FR" w:eastAsia="en-US"/>
              </w:rPr>
              <w:t xml:space="preserve"> ne sont pas encore mis en place pour collecter ce</w:t>
            </w:r>
            <w:r>
              <w:rPr>
                <w:bCs/>
                <w:sz w:val="22"/>
                <w:szCs w:val="22"/>
                <w:lang w:val="fr-FR" w:eastAsia="en-US"/>
              </w:rPr>
              <w:t>t</w:t>
            </w:r>
            <w:r w:rsidRPr="00CE18F2">
              <w:rPr>
                <w:bCs/>
                <w:sz w:val="22"/>
                <w:szCs w:val="22"/>
                <w:lang w:val="fr-FR" w:eastAsia="en-US"/>
              </w:rPr>
              <w:t xml:space="preserve"> indicateur</w:t>
            </w:r>
          </w:p>
        </w:tc>
      </w:tr>
      <w:tr w:rsidR="00630E95" w:rsidRPr="00023A14" w14:paraId="2083A1D5" w14:textId="77777777" w:rsidTr="006239EB">
        <w:trPr>
          <w:trHeight w:val="512"/>
        </w:trPr>
        <w:tc>
          <w:tcPr>
            <w:tcW w:w="2172" w:type="dxa"/>
          </w:tcPr>
          <w:p w14:paraId="16136F37" w14:textId="77777777" w:rsidR="00630E95" w:rsidRPr="002D38FC" w:rsidRDefault="00630E95" w:rsidP="00772FC0">
            <w:pPr>
              <w:rPr>
                <w:rFonts w:cs="Tahoma"/>
                <w:b/>
                <w:szCs w:val="20"/>
                <w:lang w:val="fr-FR" w:eastAsia="en-US"/>
              </w:rPr>
            </w:pPr>
          </w:p>
        </w:tc>
        <w:tc>
          <w:tcPr>
            <w:tcW w:w="2301" w:type="dxa"/>
            <w:shd w:val="clear" w:color="auto" w:fill="EEECE1"/>
          </w:tcPr>
          <w:p w14:paraId="029E595E" w14:textId="77777777" w:rsidR="00630E95" w:rsidRPr="00F71594" w:rsidRDefault="00630E95" w:rsidP="00772FC0">
            <w:pPr>
              <w:jc w:val="both"/>
              <w:rPr>
                <w:rFonts w:cs="Tahoma"/>
                <w:b/>
                <w:bCs/>
                <w:szCs w:val="20"/>
                <w:u w:val="single"/>
                <w:lang w:val="fr-FR" w:eastAsia="en-US"/>
              </w:rPr>
            </w:pPr>
            <w:r w:rsidRPr="00F71594">
              <w:rPr>
                <w:rFonts w:cs="Tahoma"/>
                <w:b/>
                <w:bCs/>
                <w:szCs w:val="20"/>
                <w:u w:val="single"/>
                <w:lang w:val="fr-FR" w:eastAsia="en-US"/>
              </w:rPr>
              <w:t>Indicateur 1.1.4</w:t>
            </w:r>
          </w:p>
          <w:p w14:paraId="0FD70A19" w14:textId="77777777" w:rsidR="00630E95" w:rsidRPr="00F71594" w:rsidRDefault="00630E95" w:rsidP="00772FC0">
            <w:pPr>
              <w:rPr>
                <w:rFonts w:cs="Tahoma"/>
                <w:szCs w:val="20"/>
                <w:lang w:val="fr-FR" w:eastAsia="en-US"/>
              </w:rPr>
            </w:pPr>
            <w:r w:rsidRPr="00F71594">
              <w:rPr>
                <w:rFonts w:ascii="Arial" w:eastAsia="Arial" w:hAnsi="Arial" w:cs="Arial"/>
                <w:sz w:val="16"/>
                <w:szCs w:val="16"/>
                <w:lang w:val="fr-FR" w:eastAsia="zh-CN"/>
              </w:rPr>
              <w:t>Nombre d’actifs productifs (par exemple, la route) utilisés par plus de deux communautés dans les zones d’interventions</w:t>
            </w:r>
          </w:p>
        </w:tc>
        <w:tc>
          <w:tcPr>
            <w:tcW w:w="1295" w:type="dxa"/>
            <w:shd w:val="clear" w:color="auto" w:fill="EEECE1"/>
          </w:tcPr>
          <w:p w14:paraId="47AB153C" w14:textId="77777777" w:rsidR="00630E95" w:rsidRPr="002D38FC" w:rsidRDefault="00630E95" w:rsidP="00772FC0">
            <w:pPr>
              <w:rPr>
                <w:b/>
                <w:sz w:val="22"/>
                <w:szCs w:val="22"/>
                <w:lang w:val="fr-FR" w:eastAsia="en-US"/>
              </w:rPr>
            </w:pPr>
            <w:r w:rsidRPr="002D38FC">
              <w:rPr>
                <w:b/>
                <w:sz w:val="22"/>
                <w:szCs w:val="22"/>
                <w:lang w:val="fr-FR" w:eastAsia="en-US"/>
              </w:rPr>
              <w:t>51</w:t>
            </w:r>
          </w:p>
        </w:tc>
        <w:tc>
          <w:tcPr>
            <w:tcW w:w="2301" w:type="dxa"/>
            <w:shd w:val="clear" w:color="auto" w:fill="EEECE1"/>
          </w:tcPr>
          <w:p w14:paraId="095A7977" w14:textId="77777777" w:rsidR="00630E95" w:rsidRPr="002D38FC" w:rsidRDefault="00630E95" w:rsidP="00772FC0">
            <w:pPr>
              <w:rPr>
                <w:b/>
                <w:sz w:val="22"/>
                <w:szCs w:val="22"/>
                <w:lang w:val="fr-FR" w:eastAsia="en-US"/>
              </w:rPr>
            </w:pPr>
            <w:r w:rsidRPr="002D38FC">
              <w:rPr>
                <w:b/>
                <w:sz w:val="22"/>
                <w:szCs w:val="22"/>
                <w:lang w:val="fr-FR" w:eastAsia="en-US"/>
              </w:rPr>
              <w:t>51</w:t>
            </w:r>
          </w:p>
        </w:tc>
        <w:tc>
          <w:tcPr>
            <w:tcW w:w="1869" w:type="dxa"/>
          </w:tcPr>
          <w:p w14:paraId="6EF27576" w14:textId="0A548F1C" w:rsidR="00630E95" w:rsidRPr="002D38FC" w:rsidRDefault="0006576C" w:rsidP="00772FC0">
            <w:pPr>
              <w:rPr>
                <w:b/>
                <w:sz w:val="22"/>
                <w:szCs w:val="22"/>
                <w:lang w:val="fr-FR" w:eastAsia="en-US"/>
              </w:rPr>
            </w:pPr>
            <w:r>
              <w:rPr>
                <w:b/>
                <w:sz w:val="22"/>
                <w:szCs w:val="22"/>
                <w:lang w:val="fr-FR" w:eastAsia="en-US"/>
              </w:rPr>
              <w:t>32</w:t>
            </w:r>
          </w:p>
        </w:tc>
        <w:tc>
          <w:tcPr>
            <w:tcW w:w="2445" w:type="dxa"/>
          </w:tcPr>
          <w:p w14:paraId="669128A6" w14:textId="4193349D" w:rsidR="00630E95" w:rsidRPr="002D38FC" w:rsidRDefault="0006576C" w:rsidP="00772FC0">
            <w:pPr>
              <w:rPr>
                <w:b/>
                <w:sz w:val="22"/>
                <w:szCs w:val="22"/>
                <w:lang w:val="fr-FR" w:eastAsia="en-US"/>
              </w:rPr>
            </w:pPr>
            <w:r>
              <w:rPr>
                <w:b/>
                <w:sz w:val="22"/>
                <w:szCs w:val="22"/>
                <w:lang w:val="fr-FR" w:eastAsia="en-US"/>
              </w:rPr>
              <w:t>62.74%</w:t>
            </w:r>
            <w:r w:rsidR="000929B0">
              <w:rPr>
                <w:b/>
                <w:sz w:val="22"/>
                <w:szCs w:val="22"/>
                <w:lang w:val="fr-FR" w:eastAsia="en-US"/>
              </w:rPr>
              <w:t xml:space="preserve"> (32 actifs)</w:t>
            </w:r>
          </w:p>
        </w:tc>
        <w:tc>
          <w:tcPr>
            <w:tcW w:w="2695" w:type="dxa"/>
          </w:tcPr>
          <w:p w14:paraId="69D16103" w14:textId="44829ADB" w:rsidR="00630E95" w:rsidRPr="0006576C" w:rsidRDefault="0006576C" w:rsidP="00772FC0">
            <w:pPr>
              <w:rPr>
                <w:bCs/>
                <w:sz w:val="22"/>
                <w:szCs w:val="22"/>
                <w:lang w:val="fr-FR" w:eastAsia="en-US"/>
              </w:rPr>
            </w:pPr>
            <w:r w:rsidRPr="0006576C">
              <w:rPr>
                <w:bCs/>
                <w:sz w:val="22"/>
                <w:szCs w:val="22"/>
                <w:lang w:val="fr-FR" w:eastAsia="en-US"/>
              </w:rPr>
              <w:t>Cet indicateur concerne la phase de la riziculture.</w:t>
            </w:r>
            <w:r>
              <w:rPr>
                <w:bCs/>
                <w:sz w:val="22"/>
                <w:szCs w:val="22"/>
                <w:lang w:val="fr-FR" w:eastAsia="en-US"/>
              </w:rPr>
              <w:t xml:space="preserve"> Le maraichage est non entamé.</w:t>
            </w:r>
          </w:p>
        </w:tc>
      </w:tr>
      <w:tr w:rsidR="00630E95" w:rsidRPr="00023A14" w14:paraId="6D30C0C5" w14:textId="77777777" w:rsidTr="006239EB">
        <w:trPr>
          <w:trHeight w:val="440"/>
        </w:trPr>
        <w:tc>
          <w:tcPr>
            <w:tcW w:w="2172" w:type="dxa"/>
            <w:vMerge w:val="restart"/>
          </w:tcPr>
          <w:p w14:paraId="74E437E0" w14:textId="77777777" w:rsidR="00630E95" w:rsidRPr="002D38FC" w:rsidRDefault="00630E95" w:rsidP="00772FC0">
            <w:pPr>
              <w:shd w:val="clear" w:color="auto" w:fill="D9D9D9" w:themeFill="background1" w:themeFillShade="D9"/>
              <w:rPr>
                <w:rFonts w:cs="Tahoma"/>
                <w:b/>
                <w:bCs/>
                <w:szCs w:val="20"/>
                <w:u w:val="single"/>
                <w:lang w:val="fr-FR" w:eastAsia="en-US"/>
              </w:rPr>
            </w:pPr>
            <w:r w:rsidRPr="002D38FC">
              <w:rPr>
                <w:rFonts w:cs="Tahoma"/>
                <w:b/>
                <w:bCs/>
                <w:szCs w:val="20"/>
                <w:u w:val="single"/>
                <w:lang w:val="fr-FR" w:eastAsia="en-US"/>
              </w:rPr>
              <w:t>Produit 1.2</w:t>
            </w:r>
          </w:p>
          <w:p w14:paraId="724081DC" w14:textId="77777777" w:rsidR="00630E95" w:rsidRPr="002D38FC" w:rsidRDefault="00630E95" w:rsidP="00772FC0">
            <w:pPr>
              <w:rPr>
                <w:rFonts w:cs="Tahoma"/>
                <w:szCs w:val="20"/>
                <w:lang w:val="fr-FR" w:eastAsia="en-US"/>
              </w:rPr>
            </w:pPr>
            <w:bookmarkStart w:id="19" w:name="OLE_LINK16"/>
            <w:bookmarkStart w:id="20" w:name="OLE_LINK17"/>
            <w:r w:rsidRPr="002D38FC">
              <w:rPr>
                <w:rFonts w:cs="Tahoma"/>
                <w:szCs w:val="20"/>
                <w:lang w:val="fr-FR" w:eastAsia="en-US"/>
              </w:rPr>
              <w:t>Les moyens de subsistance des membres de plusieurs</w:t>
            </w:r>
            <w:r w:rsidRPr="002D38FC">
              <w:rPr>
                <w:sz w:val="22"/>
                <w:szCs w:val="22"/>
                <w:lang w:val="fr-FR" w:eastAsia="en-US"/>
              </w:rPr>
              <w:t xml:space="preserve"> communautés qui travaillent et collaborent au sein d’organisations paysannes sont</w:t>
            </w:r>
            <w:r w:rsidRPr="002D38FC">
              <w:rPr>
                <w:b/>
                <w:i/>
                <w:sz w:val="22"/>
                <w:szCs w:val="22"/>
                <w:lang w:val="fr-FR" w:eastAsia="en-US"/>
              </w:rPr>
              <w:t xml:space="preserve"> </w:t>
            </w:r>
            <w:r w:rsidRPr="002D38FC">
              <w:rPr>
                <w:bCs/>
                <w:iCs/>
                <w:sz w:val="22"/>
                <w:szCs w:val="22"/>
                <w:lang w:val="fr-FR" w:eastAsia="en-US"/>
              </w:rPr>
              <w:t>améliorés et diversifiés de manière durable</w:t>
            </w:r>
            <w:bookmarkEnd w:id="19"/>
            <w:bookmarkEnd w:id="20"/>
          </w:p>
        </w:tc>
        <w:tc>
          <w:tcPr>
            <w:tcW w:w="2301" w:type="dxa"/>
            <w:shd w:val="clear" w:color="auto" w:fill="EEECE1"/>
          </w:tcPr>
          <w:p w14:paraId="2FC2CDEF" w14:textId="77777777" w:rsidR="00630E95" w:rsidRPr="00F71594" w:rsidRDefault="00630E95" w:rsidP="00772FC0">
            <w:pPr>
              <w:jc w:val="both"/>
              <w:rPr>
                <w:rFonts w:cs="Tahoma"/>
                <w:b/>
                <w:bCs/>
                <w:szCs w:val="20"/>
                <w:u w:val="single"/>
                <w:lang w:val="fr-FR" w:eastAsia="en-US"/>
              </w:rPr>
            </w:pPr>
            <w:r w:rsidRPr="00F71594">
              <w:rPr>
                <w:rFonts w:cs="Tahoma"/>
                <w:b/>
                <w:bCs/>
                <w:szCs w:val="20"/>
                <w:u w:val="single"/>
                <w:lang w:val="fr-FR" w:eastAsia="en-US"/>
              </w:rPr>
              <w:t>Indicateur 1.2.1</w:t>
            </w:r>
          </w:p>
          <w:p w14:paraId="5F630AC9" w14:textId="77777777" w:rsidR="00630E95" w:rsidRPr="00F71594" w:rsidRDefault="00630E95" w:rsidP="00772FC0">
            <w:pPr>
              <w:rPr>
                <w:rFonts w:cs="Tahoma"/>
                <w:szCs w:val="20"/>
                <w:lang w:val="fr-FR" w:eastAsia="en-US"/>
              </w:rPr>
            </w:pPr>
            <w:r w:rsidRPr="00F71594">
              <w:rPr>
                <w:rFonts w:ascii="Arial" w:eastAsia="Arial" w:hAnsi="Arial" w:cs="Arial"/>
                <w:sz w:val="16"/>
                <w:szCs w:val="16"/>
                <w:lang w:val="fr-FR" w:eastAsia="zh-CN"/>
              </w:rPr>
              <w:t>Pourcentage de petits exploitants agricoles qui déclarent avoir amélioré leurs moyens de subsistances grâce à leur travail au sein des organisations paysannes multi-ethnique</w:t>
            </w:r>
          </w:p>
        </w:tc>
        <w:tc>
          <w:tcPr>
            <w:tcW w:w="1295" w:type="dxa"/>
            <w:shd w:val="clear" w:color="auto" w:fill="EEECE1"/>
          </w:tcPr>
          <w:p w14:paraId="75A1AD5D" w14:textId="77777777" w:rsidR="00630E95" w:rsidRPr="002D38FC" w:rsidRDefault="00630E95" w:rsidP="00772FC0">
            <w:pPr>
              <w:rPr>
                <w:lang w:val="fr-FR"/>
              </w:rPr>
            </w:pPr>
            <w:r w:rsidRPr="002D38FC">
              <w:rPr>
                <w:b/>
                <w:sz w:val="22"/>
                <w:szCs w:val="22"/>
                <w:lang w:val="fr-FR" w:eastAsia="en-US"/>
              </w:rPr>
              <w:t>0%</w:t>
            </w:r>
          </w:p>
        </w:tc>
        <w:tc>
          <w:tcPr>
            <w:tcW w:w="2301" w:type="dxa"/>
            <w:shd w:val="clear" w:color="auto" w:fill="EEECE1"/>
          </w:tcPr>
          <w:p w14:paraId="5684BBA6" w14:textId="77777777" w:rsidR="00630E95" w:rsidRPr="002D38FC" w:rsidRDefault="00630E95" w:rsidP="00772FC0">
            <w:pPr>
              <w:rPr>
                <w:lang w:val="fr-FR"/>
              </w:rPr>
            </w:pPr>
            <w:r>
              <w:rPr>
                <w:b/>
                <w:sz w:val="22"/>
                <w:szCs w:val="22"/>
                <w:lang w:val="fr-FR" w:eastAsia="en-US"/>
              </w:rPr>
              <w:t>20</w:t>
            </w:r>
            <w:r w:rsidRPr="002D38FC">
              <w:rPr>
                <w:b/>
                <w:sz w:val="22"/>
                <w:szCs w:val="22"/>
                <w:lang w:val="fr-FR" w:eastAsia="en-US"/>
              </w:rPr>
              <w:t>%</w:t>
            </w:r>
          </w:p>
        </w:tc>
        <w:tc>
          <w:tcPr>
            <w:tcW w:w="1869" w:type="dxa"/>
          </w:tcPr>
          <w:p w14:paraId="3D1FBAAD" w14:textId="412FA420" w:rsidR="00630E95" w:rsidRPr="002D38FC" w:rsidRDefault="00630E95" w:rsidP="00772FC0">
            <w:pPr>
              <w:rPr>
                <w:lang w:val="fr-FR"/>
              </w:rPr>
            </w:pPr>
          </w:p>
        </w:tc>
        <w:tc>
          <w:tcPr>
            <w:tcW w:w="2445" w:type="dxa"/>
          </w:tcPr>
          <w:p w14:paraId="054963DB"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695" w:type="dxa"/>
          </w:tcPr>
          <w:p w14:paraId="6B887656" w14:textId="223C5496" w:rsidR="00630E95" w:rsidRPr="002D38FC" w:rsidRDefault="0006576C" w:rsidP="00772FC0">
            <w:pPr>
              <w:rPr>
                <w:lang w:val="fr-FR"/>
              </w:rPr>
            </w:pPr>
            <w:r w:rsidRPr="00A42C36">
              <w:rPr>
                <w:bCs/>
                <w:sz w:val="22"/>
                <w:szCs w:val="22"/>
                <w:lang w:val="fr-FR" w:eastAsia="en-US"/>
              </w:rPr>
              <w:t>L’enquête à mi-parcours n’a pas été réalisée pour collecter cet indicateur</w:t>
            </w:r>
          </w:p>
        </w:tc>
      </w:tr>
      <w:tr w:rsidR="00630E95" w:rsidRPr="00023A14" w14:paraId="44DFFDDB" w14:textId="77777777" w:rsidTr="006239EB">
        <w:trPr>
          <w:trHeight w:val="467"/>
        </w:trPr>
        <w:tc>
          <w:tcPr>
            <w:tcW w:w="2172" w:type="dxa"/>
            <w:vMerge/>
          </w:tcPr>
          <w:p w14:paraId="02602567" w14:textId="77777777" w:rsidR="00630E95" w:rsidRPr="002D38FC" w:rsidRDefault="00630E95" w:rsidP="00772FC0">
            <w:pPr>
              <w:rPr>
                <w:rFonts w:cs="Tahoma"/>
                <w:b/>
                <w:szCs w:val="20"/>
                <w:lang w:val="fr-FR" w:eastAsia="en-US"/>
              </w:rPr>
            </w:pPr>
          </w:p>
        </w:tc>
        <w:tc>
          <w:tcPr>
            <w:tcW w:w="2301" w:type="dxa"/>
            <w:shd w:val="clear" w:color="auto" w:fill="EEECE1"/>
          </w:tcPr>
          <w:p w14:paraId="3D87A02F" w14:textId="77777777" w:rsidR="00630E95" w:rsidRPr="00F71594" w:rsidRDefault="00630E95" w:rsidP="00772FC0">
            <w:pPr>
              <w:jc w:val="both"/>
              <w:rPr>
                <w:rFonts w:cs="Tahoma"/>
                <w:b/>
                <w:bCs/>
                <w:szCs w:val="20"/>
                <w:u w:val="single"/>
                <w:lang w:val="fr-FR" w:eastAsia="en-US"/>
              </w:rPr>
            </w:pPr>
            <w:r w:rsidRPr="00F71594">
              <w:rPr>
                <w:rFonts w:cs="Tahoma"/>
                <w:b/>
                <w:bCs/>
                <w:szCs w:val="20"/>
                <w:u w:val="single"/>
                <w:lang w:val="fr-FR" w:eastAsia="en-US"/>
              </w:rPr>
              <w:t>Indicateur 1.2.2</w:t>
            </w:r>
          </w:p>
          <w:p w14:paraId="1718F4A9" w14:textId="77777777" w:rsidR="00630E95" w:rsidRPr="00F71594" w:rsidRDefault="00630E95" w:rsidP="00772FC0">
            <w:pPr>
              <w:rPr>
                <w:rFonts w:cs="Tahoma"/>
                <w:szCs w:val="20"/>
                <w:lang w:val="fr-FR" w:eastAsia="en-US"/>
              </w:rPr>
            </w:pPr>
            <w:r w:rsidRPr="00F71594">
              <w:rPr>
                <w:rFonts w:ascii="Arial" w:eastAsia="Arial" w:hAnsi="Arial" w:cs="Arial"/>
                <w:sz w:val="16"/>
                <w:szCs w:val="16"/>
                <w:lang w:val="fr-FR" w:eastAsia="zh-CN"/>
              </w:rPr>
              <w:t xml:space="preserve">Nombre de personnes membres des OP formés ayant collaboré durablement durant les champs écoles des producteurs </w:t>
            </w:r>
          </w:p>
        </w:tc>
        <w:tc>
          <w:tcPr>
            <w:tcW w:w="1295" w:type="dxa"/>
            <w:shd w:val="clear" w:color="auto" w:fill="EEECE1"/>
          </w:tcPr>
          <w:p w14:paraId="336EA9BF" w14:textId="20865E16" w:rsidR="00630E95" w:rsidRPr="002D38FC" w:rsidRDefault="00E01723" w:rsidP="00772FC0">
            <w:pPr>
              <w:rPr>
                <w:lang w:val="fr-FR"/>
              </w:rPr>
            </w:pPr>
            <w:r>
              <w:rPr>
                <w:b/>
                <w:sz w:val="22"/>
                <w:szCs w:val="22"/>
                <w:lang w:val="fr-FR" w:eastAsia="en-US"/>
              </w:rPr>
              <w:t>1050</w:t>
            </w:r>
          </w:p>
        </w:tc>
        <w:tc>
          <w:tcPr>
            <w:tcW w:w="2301" w:type="dxa"/>
            <w:shd w:val="clear" w:color="auto" w:fill="EEECE1"/>
          </w:tcPr>
          <w:p w14:paraId="3772E0A0" w14:textId="4B0FBA16" w:rsidR="00630E95" w:rsidRPr="002D38FC" w:rsidRDefault="0006576C" w:rsidP="00772FC0">
            <w:pPr>
              <w:rPr>
                <w:lang w:val="fr-FR"/>
              </w:rPr>
            </w:pPr>
            <w:r>
              <w:rPr>
                <w:b/>
                <w:sz w:val="22"/>
                <w:szCs w:val="22"/>
                <w:lang w:val="fr-FR" w:eastAsia="en-US"/>
              </w:rPr>
              <w:t>1050</w:t>
            </w:r>
          </w:p>
        </w:tc>
        <w:tc>
          <w:tcPr>
            <w:tcW w:w="1869" w:type="dxa"/>
          </w:tcPr>
          <w:p w14:paraId="6D381FCD" w14:textId="5DD42923" w:rsidR="00630E95" w:rsidRDefault="00E01723" w:rsidP="00772FC0">
            <w:pPr>
              <w:rPr>
                <w:b/>
                <w:sz w:val="22"/>
                <w:szCs w:val="22"/>
                <w:lang w:val="fr-FR" w:eastAsia="en-US"/>
              </w:rPr>
            </w:pPr>
            <w:r>
              <w:rPr>
                <w:b/>
                <w:sz w:val="22"/>
                <w:szCs w:val="22"/>
                <w:lang w:val="fr-FR" w:eastAsia="en-US"/>
              </w:rPr>
              <w:t>Hommes=270</w:t>
            </w:r>
          </w:p>
          <w:p w14:paraId="4D20249A" w14:textId="52A24969" w:rsidR="00E01723" w:rsidRPr="002D38FC" w:rsidRDefault="00E01723" w:rsidP="00772FC0">
            <w:pPr>
              <w:rPr>
                <w:lang w:val="fr-FR"/>
              </w:rPr>
            </w:pPr>
            <w:r>
              <w:rPr>
                <w:b/>
                <w:sz w:val="22"/>
                <w:szCs w:val="22"/>
                <w:lang w:val="fr-FR" w:eastAsia="en-US"/>
              </w:rPr>
              <w:t>Femmes=333</w:t>
            </w:r>
          </w:p>
        </w:tc>
        <w:tc>
          <w:tcPr>
            <w:tcW w:w="2445" w:type="dxa"/>
          </w:tcPr>
          <w:p w14:paraId="652916EA" w14:textId="0911D4BD" w:rsidR="00630E95" w:rsidRPr="002D38FC" w:rsidRDefault="0006576C" w:rsidP="00772FC0">
            <w:pPr>
              <w:rPr>
                <w:lang w:val="fr-FR"/>
              </w:rPr>
            </w:pPr>
            <w:r>
              <w:rPr>
                <w:b/>
                <w:sz w:val="22"/>
                <w:szCs w:val="22"/>
                <w:lang w:val="fr-FR" w:eastAsia="en-US"/>
              </w:rPr>
              <w:t>57</w:t>
            </w:r>
            <w:r w:rsidR="00E01723">
              <w:rPr>
                <w:b/>
                <w:sz w:val="22"/>
                <w:szCs w:val="22"/>
                <w:lang w:val="fr-FR" w:eastAsia="en-US"/>
              </w:rPr>
              <w:t>.42</w:t>
            </w:r>
            <w:r w:rsidR="000929B0">
              <w:rPr>
                <w:b/>
                <w:sz w:val="22"/>
                <w:szCs w:val="22"/>
                <w:lang w:val="fr-FR" w:eastAsia="en-US"/>
              </w:rPr>
              <w:t>% (</w:t>
            </w:r>
            <w:r w:rsidR="00E01723">
              <w:rPr>
                <w:b/>
                <w:sz w:val="22"/>
                <w:szCs w:val="22"/>
                <w:lang w:val="fr-FR" w:eastAsia="en-US"/>
              </w:rPr>
              <w:t>6</w:t>
            </w:r>
            <w:r w:rsidR="000929B0">
              <w:rPr>
                <w:b/>
                <w:sz w:val="22"/>
                <w:szCs w:val="22"/>
                <w:lang w:val="fr-FR" w:eastAsia="en-US"/>
              </w:rPr>
              <w:t>0</w:t>
            </w:r>
            <w:r w:rsidR="00E01723">
              <w:rPr>
                <w:b/>
                <w:sz w:val="22"/>
                <w:szCs w:val="22"/>
                <w:lang w:val="fr-FR" w:eastAsia="en-US"/>
              </w:rPr>
              <w:t>3</w:t>
            </w:r>
            <w:r w:rsidR="000929B0">
              <w:rPr>
                <w:b/>
                <w:sz w:val="22"/>
                <w:szCs w:val="22"/>
                <w:lang w:val="fr-FR" w:eastAsia="en-US"/>
              </w:rPr>
              <w:t xml:space="preserve"> personnes)</w:t>
            </w:r>
          </w:p>
        </w:tc>
        <w:tc>
          <w:tcPr>
            <w:tcW w:w="2695" w:type="dxa"/>
          </w:tcPr>
          <w:p w14:paraId="7460E938" w14:textId="2E41E0F0" w:rsidR="00630E95" w:rsidRPr="0006576C" w:rsidRDefault="0006576C" w:rsidP="00772FC0">
            <w:pPr>
              <w:rPr>
                <w:bCs/>
                <w:lang w:val="fr-FR"/>
              </w:rPr>
            </w:pPr>
            <w:r w:rsidRPr="0006576C">
              <w:rPr>
                <w:bCs/>
                <w:sz w:val="22"/>
                <w:szCs w:val="22"/>
                <w:lang w:val="fr-FR" w:eastAsia="en-US"/>
              </w:rPr>
              <w:t>Ce chiffre concerne unique</w:t>
            </w:r>
            <w:r w:rsidR="00E01723">
              <w:rPr>
                <w:bCs/>
                <w:sz w:val="22"/>
                <w:szCs w:val="22"/>
                <w:lang w:val="fr-FR" w:eastAsia="en-US"/>
              </w:rPr>
              <w:t>ment</w:t>
            </w:r>
            <w:r w:rsidRPr="0006576C">
              <w:rPr>
                <w:bCs/>
                <w:sz w:val="22"/>
                <w:szCs w:val="22"/>
                <w:lang w:val="fr-FR" w:eastAsia="en-US"/>
              </w:rPr>
              <w:t xml:space="preserve"> les OPA rizicole</w:t>
            </w:r>
          </w:p>
        </w:tc>
      </w:tr>
      <w:tr w:rsidR="00630E95" w:rsidRPr="001C730D" w14:paraId="5A8F5105" w14:textId="77777777" w:rsidTr="006239EB">
        <w:trPr>
          <w:trHeight w:val="422"/>
        </w:trPr>
        <w:tc>
          <w:tcPr>
            <w:tcW w:w="2172" w:type="dxa"/>
            <w:vMerge w:val="restart"/>
          </w:tcPr>
          <w:p w14:paraId="601AA5C8" w14:textId="77777777" w:rsidR="00630E95" w:rsidRPr="002D38FC" w:rsidRDefault="00630E95" w:rsidP="00772FC0">
            <w:pPr>
              <w:shd w:val="clear" w:color="auto" w:fill="D9D9D9" w:themeFill="background1" w:themeFillShade="D9"/>
              <w:rPr>
                <w:rFonts w:cs="Tahoma"/>
                <w:b/>
                <w:bCs/>
                <w:szCs w:val="20"/>
                <w:u w:val="single"/>
                <w:lang w:val="fr-FR" w:eastAsia="en-US"/>
              </w:rPr>
            </w:pPr>
            <w:r w:rsidRPr="002D38FC">
              <w:rPr>
                <w:rFonts w:cs="Tahoma"/>
                <w:b/>
                <w:bCs/>
                <w:szCs w:val="20"/>
                <w:u w:val="single"/>
                <w:lang w:val="fr-FR" w:eastAsia="en-US"/>
              </w:rPr>
              <w:t>Produit 1.3</w:t>
            </w:r>
          </w:p>
          <w:p w14:paraId="7956C0B8" w14:textId="77777777" w:rsidR="00630E95" w:rsidRPr="002D38FC" w:rsidRDefault="00630E95" w:rsidP="00772FC0">
            <w:pPr>
              <w:rPr>
                <w:bCs/>
                <w:iCs/>
                <w:sz w:val="22"/>
                <w:szCs w:val="22"/>
                <w:lang w:val="fr-FR" w:eastAsia="en-US"/>
              </w:rPr>
            </w:pPr>
            <w:bookmarkStart w:id="21" w:name="OLE_LINK14"/>
            <w:bookmarkStart w:id="22" w:name="OLE_LINK15"/>
            <w:bookmarkStart w:id="23" w:name="OLE_LINK18"/>
            <w:bookmarkStart w:id="24" w:name="OLE_LINK19"/>
            <w:bookmarkStart w:id="25" w:name="OLE_LINK20"/>
            <w:r w:rsidRPr="002D38FC">
              <w:rPr>
                <w:bCs/>
                <w:iCs/>
                <w:sz w:val="22"/>
                <w:szCs w:val="22"/>
                <w:lang w:val="fr-FR" w:eastAsia="en-US"/>
              </w:rPr>
              <w:lastRenderedPageBreak/>
              <w:t xml:space="preserve">Les acteurs communautaires, administratifs et les femmes connaissent et utilisent le cadre juridique et institutionnel relatif à la gouvernance foncière pour un accès sécurisé aux ressources foncières        </w:t>
            </w:r>
          </w:p>
          <w:bookmarkEnd w:id="21"/>
          <w:bookmarkEnd w:id="22"/>
          <w:bookmarkEnd w:id="23"/>
          <w:bookmarkEnd w:id="24"/>
          <w:bookmarkEnd w:id="25"/>
          <w:p w14:paraId="102C5599" w14:textId="77777777" w:rsidR="00630E95" w:rsidRPr="002D38FC" w:rsidRDefault="00630E95" w:rsidP="00772FC0">
            <w:pPr>
              <w:rPr>
                <w:rFonts w:cs="Tahoma"/>
                <w:szCs w:val="20"/>
                <w:lang w:val="fr-FR" w:eastAsia="en-US"/>
              </w:rPr>
            </w:pPr>
          </w:p>
        </w:tc>
        <w:tc>
          <w:tcPr>
            <w:tcW w:w="2301" w:type="dxa"/>
            <w:shd w:val="clear" w:color="auto" w:fill="EEECE1"/>
          </w:tcPr>
          <w:p w14:paraId="0FDC80B6"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lastRenderedPageBreak/>
              <w:t>Indicateur 1.3.1</w:t>
            </w:r>
          </w:p>
          <w:p w14:paraId="19428D74"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lastRenderedPageBreak/>
              <w:t>Pourcentage d’acteurs communautaires et administratifs qui estiment avoir une meilleure connaissance des textes juridiques et réglementaires relatifs à la gouvernance foncière</w:t>
            </w:r>
          </w:p>
        </w:tc>
        <w:tc>
          <w:tcPr>
            <w:tcW w:w="1295" w:type="dxa"/>
            <w:shd w:val="clear" w:color="auto" w:fill="EEECE1"/>
          </w:tcPr>
          <w:p w14:paraId="29394B9F" w14:textId="77777777" w:rsidR="00630E95" w:rsidRPr="002D38FC" w:rsidRDefault="00630E95" w:rsidP="00772FC0">
            <w:pPr>
              <w:rPr>
                <w:lang w:val="fr-FR"/>
              </w:rPr>
            </w:pPr>
            <w:r w:rsidRPr="002D38FC">
              <w:rPr>
                <w:b/>
                <w:sz w:val="22"/>
                <w:szCs w:val="22"/>
                <w:lang w:val="fr-FR" w:eastAsia="en-US"/>
              </w:rPr>
              <w:lastRenderedPageBreak/>
              <w:t>50%</w:t>
            </w:r>
          </w:p>
        </w:tc>
        <w:tc>
          <w:tcPr>
            <w:tcW w:w="2301" w:type="dxa"/>
            <w:shd w:val="clear" w:color="auto" w:fill="EEECE1"/>
          </w:tcPr>
          <w:p w14:paraId="1616DA3F" w14:textId="77777777" w:rsidR="00630E95" w:rsidRPr="002D38FC" w:rsidRDefault="00630E95" w:rsidP="00772FC0">
            <w:pPr>
              <w:rPr>
                <w:lang w:val="fr-FR"/>
              </w:rPr>
            </w:pPr>
            <w:r>
              <w:rPr>
                <w:b/>
                <w:sz w:val="22"/>
                <w:szCs w:val="22"/>
                <w:lang w:val="fr-FR" w:eastAsia="en-US"/>
              </w:rPr>
              <w:t>8</w:t>
            </w:r>
            <w:r w:rsidRPr="002D38FC">
              <w:rPr>
                <w:b/>
                <w:sz w:val="22"/>
                <w:szCs w:val="22"/>
                <w:lang w:val="fr-FR" w:eastAsia="en-US"/>
              </w:rPr>
              <w:t>0%</w:t>
            </w:r>
          </w:p>
        </w:tc>
        <w:tc>
          <w:tcPr>
            <w:tcW w:w="1869" w:type="dxa"/>
          </w:tcPr>
          <w:p w14:paraId="05BF614E" w14:textId="0C1B10E2" w:rsidR="00630E95" w:rsidRPr="002D38FC" w:rsidRDefault="00E01723" w:rsidP="00772FC0">
            <w:pPr>
              <w:rPr>
                <w:lang w:val="fr-FR"/>
              </w:rPr>
            </w:pPr>
            <w:r>
              <w:rPr>
                <w:b/>
                <w:sz w:val="22"/>
                <w:szCs w:val="22"/>
                <w:lang w:val="fr-FR" w:eastAsia="en-US"/>
              </w:rPr>
              <w:t>Hommes=74 et femmes =4</w:t>
            </w:r>
          </w:p>
        </w:tc>
        <w:tc>
          <w:tcPr>
            <w:tcW w:w="2445" w:type="dxa"/>
          </w:tcPr>
          <w:p w14:paraId="1A04AC94"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695" w:type="dxa"/>
          </w:tcPr>
          <w:p w14:paraId="405D68EE" w14:textId="289390FD" w:rsidR="00630E95" w:rsidRPr="002D38FC" w:rsidRDefault="00630E95" w:rsidP="00772FC0">
            <w:pPr>
              <w:rPr>
                <w:lang w:val="fr-FR"/>
              </w:rPr>
            </w:pPr>
          </w:p>
        </w:tc>
      </w:tr>
      <w:tr w:rsidR="00630E95" w:rsidRPr="00023A14" w14:paraId="748AA05F" w14:textId="77777777" w:rsidTr="006239EB">
        <w:trPr>
          <w:trHeight w:val="422"/>
        </w:trPr>
        <w:tc>
          <w:tcPr>
            <w:tcW w:w="2172" w:type="dxa"/>
            <w:vMerge/>
          </w:tcPr>
          <w:p w14:paraId="47240F7F" w14:textId="77777777" w:rsidR="00630E95" w:rsidRPr="002D38FC" w:rsidRDefault="00630E95" w:rsidP="00772FC0">
            <w:pPr>
              <w:rPr>
                <w:rFonts w:cs="Tahoma"/>
                <w:b/>
                <w:szCs w:val="20"/>
                <w:lang w:val="fr-FR" w:eastAsia="en-US"/>
              </w:rPr>
            </w:pPr>
          </w:p>
        </w:tc>
        <w:tc>
          <w:tcPr>
            <w:tcW w:w="2301" w:type="dxa"/>
            <w:shd w:val="clear" w:color="auto" w:fill="EEECE1"/>
          </w:tcPr>
          <w:p w14:paraId="4D735D71"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1.3.2</w:t>
            </w:r>
          </w:p>
          <w:p w14:paraId="5DD49DE0"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 xml:space="preserve">Pourcentage de femmes qui considèrent être traitées de façon équitable dans l’accès aux ressources foncières par les membres des différentes communautés suite aux interventions du projet </w:t>
            </w:r>
          </w:p>
        </w:tc>
        <w:tc>
          <w:tcPr>
            <w:tcW w:w="1295" w:type="dxa"/>
            <w:shd w:val="clear" w:color="auto" w:fill="EEECE1"/>
          </w:tcPr>
          <w:p w14:paraId="40B994CF" w14:textId="77777777" w:rsidR="00630E95" w:rsidRPr="002D38FC" w:rsidRDefault="00630E95" w:rsidP="00772FC0">
            <w:pPr>
              <w:rPr>
                <w:lang w:val="fr-FR"/>
              </w:rPr>
            </w:pPr>
            <w:r w:rsidRPr="002D38FC">
              <w:rPr>
                <w:b/>
                <w:sz w:val="22"/>
                <w:szCs w:val="22"/>
                <w:lang w:val="fr-FR" w:eastAsia="en-US"/>
              </w:rPr>
              <w:t>0%</w:t>
            </w:r>
          </w:p>
        </w:tc>
        <w:tc>
          <w:tcPr>
            <w:tcW w:w="2301" w:type="dxa"/>
            <w:shd w:val="clear" w:color="auto" w:fill="EEECE1"/>
          </w:tcPr>
          <w:p w14:paraId="2A8E9B66" w14:textId="77777777" w:rsidR="00630E95" w:rsidRPr="002D38FC" w:rsidRDefault="00630E95" w:rsidP="00772FC0">
            <w:pPr>
              <w:rPr>
                <w:lang w:val="fr-FR"/>
              </w:rPr>
            </w:pPr>
            <w:r w:rsidRPr="002D38FC">
              <w:rPr>
                <w:b/>
                <w:sz w:val="22"/>
                <w:szCs w:val="22"/>
                <w:lang w:val="fr-FR" w:eastAsia="en-US"/>
              </w:rPr>
              <w:t>50%</w:t>
            </w:r>
          </w:p>
        </w:tc>
        <w:tc>
          <w:tcPr>
            <w:tcW w:w="1869" w:type="dxa"/>
          </w:tcPr>
          <w:p w14:paraId="3BEC557F"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445" w:type="dxa"/>
          </w:tcPr>
          <w:p w14:paraId="7498C0E0" w14:textId="402E0391" w:rsidR="00630E95" w:rsidRPr="002D38FC" w:rsidRDefault="001B5C34" w:rsidP="00772FC0">
            <w:pPr>
              <w:rPr>
                <w:lang w:val="fr-FR"/>
              </w:rPr>
            </w:pPr>
            <w:r>
              <w:rPr>
                <w:b/>
                <w:sz w:val="22"/>
                <w:szCs w:val="22"/>
                <w:lang w:val="fr-FR" w:eastAsia="en-US"/>
              </w:rPr>
              <w:t>0%</w:t>
            </w:r>
          </w:p>
        </w:tc>
        <w:tc>
          <w:tcPr>
            <w:tcW w:w="2695" w:type="dxa"/>
          </w:tcPr>
          <w:p w14:paraId="232C461E" w14:textId="50D0A774" w:rsidR="00630E95" w:rsidRPr="002D38FC" w:rsidRDefault="0006576C" w:rsidP="00772FC0">
            <w:pPr>
              <w:rPr>
                <w:lang w:val="fr-FR"/>
              </w:rPr>
            </w:pPr>
            <w:r>
              <w:rPr>
                <w:bCs/>
                <w:sz w:val="22"/>
                <w:szCs w:val="22"/>
                <w:lang w:val="fr-FR" w:eastAsia="en-US"/>
              </w:rPr>
              <w:t xml:space="preserve">Pas eu </w:t>
            </w:r>
            <w:r w:rsidRPr="00A42C36">
              <w:rPr>
                <w:bCs/>
                <w:sz w:val="22"/>
                <w:szCs w:val="22"/>
                <w:lang w:val="fr-FR" w:eastAsia="en-US"/>
              </w:rPr>
              <w:t xml:space="preserve">L’enquête </w:t>
            </w:r>
            <w:r>
              <w:rPr>
                <w:bCs/>
                <w:sz w:val="22"/>
                <w:szCs w:val="22"/>
                <w:lang w:val="fr-FR" w:eastAsia="en-US"/>
              </w:rPr>
              <w:t xml:space="preserve">à ce stade  </w:t>
            </w:r>
            <w:r w:rsidRPr="00A42C36">
              <w:rPr>
                <w:bCs/>
                <w:sz w:val="22"/>
                <w:szCs w:val="22"/>
                <w:lang w:val="fr-FR" w:eastAsia="en-US"/>
              </w:rPr>
              <w:t>pour collecter cet indicateur</w:t>
            </w:r>
          </w:p>
        </w:tc>
      </w:tr>
      <w:tr w:rsidR="00630E95" w:rsidRPr="002D38FC" w14:paraId="758D6749" w14:textId="77777777" w:rsidTr="006239EB">
        <w:trPr>
          <w:trHeight w:val="422"/>
        </w:trPr>
        <w:tc>
          <w:tcPr>
            <w:tcW w:w="2172" w:type="dxa"/>
            <w:vMerge/>
          </w:tcPr>
          <w:p w14:paraId="0537548D" w14:textId="77777777" w:rsidR="00630E95" w:rsidRPr="002D38FC" w:rsidRDefault="00630E95" w:rsidP="00772FC0">
            <w:pPr>
              <w:rPr>
                <w:rFonts w:cs="Tahoma"/>
                <w:b/>
                <w:szCs w:val="20"/>
                <w:lang w:val="fr-FR" w:eastAsia="en-US"/>
              </w:rPr>
            </w:pPr>
          </w:p>
        </w:tc>
        <w:tc>
          <w:tcPr>
            <w:tcW w:w="2301" w:type="dxa"/>
            <w:shd w:val="clear" w:color="auto" w:fill="EEECE1"/>
          </w:tcPr>
          <w:p w14:paraId="36B35866"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1.3.3</w:t>
            </w:r>
          </w:p>
          <w:p w14:paraId="19531D38"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Nombre d’initiatives prises par les Départements ministériels dans le sens de la réforme du cadre juridique et institutionnel relatifs à la gouvernance foncière</w:t>
            </w:r>
          </w:p>
        </w:tc>
        <w:tc>
          <w:tcPr>
            <w:tcW w:w="1295" w:type="dxa"/>
            <w:shd w:val="clear" w:color="auto" w:fill="EEECE1"/>
          </w:tcPr>
          <w:p w14:paraId="2494B0DB" w14:textId="77777777" w:rsidR="00630E95" w:rsidRPr="002D38FC" w:rsidRDefault="00630E95" w:rsidP="00772FC0">
            <w:pPr>
              <w:rPr>
                <w:b/>
                <w:sz w:val="22"/>
                <w:szCs w:val="22"/>
                <w:lang w:val="fr-FR" w:eastAsia="en-US"/>
              </w:rPr>
            </w:pPr>
            <w:r w:rsidRPr="002D38FC">
              <w:rPr>
                <w:b/>
                <w:sz w:val="22"/>
                <w:szCs w:val="22"/>
                <w:lang w:val="fr-FR" w:eastAsia="en-US"/>
              </w:rPr>
              <w:t>0</w:t>
            </w:r>
          </w:p>
        </w:tc>
        <w:tc>
          <w:tcPr>
            <w:tcW w:w="2301" w:type="dxa"/>
            <w:shd w:val="clear" w:color="auto" w:fill="EEECE1"/>
          </w:tcPr>
          <w:p w14:paraId="77518E48" w14:textId="77777777" w:rsidR="00630E95" w:rsidRPr="002D38FC" w:rsidRDefault="00630E95" w:rsidP="00772FC0">
            <w:pPr>
              <w:rPr>
                <w:b/>
                <w:sz w:val="22"/>
                <w:szCs w:val="22"/>
                <w:lang w:val="fr-FR" w:eastAsia="en-US"/>
              </w:rPr>
            </w:pPr>
            <w:r w:rsidRPr="002D38FC">
              <w:rPr>
                <w:b/>
                <w:sz w:val="22"/>
                <w:szCs w:val="22"/>
                <w:lang w:val="fr-FR" w:eastAsia="en-US"/>
              </w:rPr>
              <w:t>1</w:t>
            </w:r>
          </w:p>
        </w:tc>
        <w:tc>
          <w:tcPr>
            <w:tcW w:w="1869" w:type="dxa"/>
          </w:tcPr>
          <w:p w14:paraId="0ECC605D" w14:textId="77777777" w:rsidR="00630E95" w:rsidRPr="002D38FC" w:rsidRDefault="00630E95" w:rsidP="00772FC0">
            <w:pPr>
              <w:rPr>
                <w:b/>
                <w:sz w:val="22"/>
                <w:szCs w:val="22"/>
                <w:lang w:val="fr-FR" w:eastAsia="en-US"/>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445" w:type="dxa"/>
          </w:tcPr>
          <w:p w14:paraId="51997B2B" w14:textId="77777777" w:rsidR="00630E95" w:rsidRPr="002D38FC" w:rsidRDefault="00630E95" w:rsidP="00772FC0">
            <w:pPr>
              <w:rPr>
                <w:b/>
                <w:sz w:val="22"/>
                <w:szCs w:val="22"/>
                <w:lang w:val="fr-FR" w:eastAsia="en-US"/>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695" w:type="dxa"/>
          </w:tcPr>
          <w:p w14:paraId="081700FC" w14:textId="77777777" w:rsidR="00630E95" w:rsidRPr="002D38FC" w:rsidRDefault="00630E95" w:rsidP="00772FC0">
            <w:pPr>
              <w:rPr>
                <w:b/>
                <w:sz w:val="22"/>
                <w:szCs w:val="22"/>
                <w:lang w:val="fr-FR" w:eastAsia="en-US"/>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r>
      <w:tr w:rsidR="00630E95" w:rsidRPr="00023A14" w14:paraId="1DBCE498" w14:textId="77777777" w:rsidTr="006239EB">
        <w:trPr>
          <w:trHeight w:val="422"/>
        </w:trPr>
        <w:tc>
          <w:tcPr>
            <w:tcW w:w="2172" w:type="dxa"/>
            <w:vMerge w:val="restart"/>
          </w:tcPr>
          <w:p w14:paraId="4CC04E02" w14:textId="77777777" w:rsidR="00630E95" w:rsidRPr="002D38FC" w:rsidRDefault="00630E95" w:rsidP="00772FC0">
            <w:pPr>
              <w:shd w:val="clear" w:color="auto" w:fill="D9D9D9" w:themeFill="background1" w:themeFillShade="D9"/>
              <w:rPr>
                <w:rFonts w:cs="Tahoma"/>
                <w:b/>
                <w:bCs/>
                <w:szCs w:val="20"/>
                <w:u w:val="single"/>
                <w:lang w:val="fr-FR" w:eastAsia="en-US"/>
              </w:rPr>
            </w:pPr>
            <w:r w:rsidRPr="002D38FC">
              <w:rPr>
                <w:rFonts w:cs="Tahoma"/>
                <w:b/>
                <w:bCs/>
                <w:szCs w:val="20"/>
                <w:u w:val="single"/>
                <w:lang w:val="fr-FR" w:eastAsia="en-US"/>
              </w:rPr>
              <w:t>Produit 1.4</w:t>
            </w:r>
          </w:p>
          <w:p w14:paraId="087D918D" w14:textId="77777777" w:rsidR="00630E95" w:rsidRPr="002D38FC" w:rsidRDefault="00630E95" w:rsidP="00772FC0">
            <w:pPr>
              <w:rPr>
                <w:sz w:val="22"/>
                <w:szCs w:val="22"/>
                <w:lang w:val="fr-FR" w:eastAsia="en-US"/>
              </w:rPr>
            </w:pPr>
            <w:r w:rsidRPr="002D38FC">
              <w:rPr>
                <w:sz w:val="22"/>
                <w:szCs w:val="22"/>
                <w:lang w:val="fr-FR" w:eastAsia="en-US"/>
              </w:rPr>
              <w:t xml:space="preserve">Les différents acteurs et membres des communautés de différentes ethnies, en particulier les femmes et les jeunes, connaissent leurs droits d’accès aux ressources foncières </w:t>
            </w:r>
            <w:r w:rsidRPr="002D38FC">
              <w:rPr>
                <w:sz w:val="22"/>
                <w:szCs w:val="22"/>
                <w:lang w:val="fr-FR" w:eastAsia="en-US"/>
              </w:rPr>
              <w:lastRenderedPageBreak/>
              <w:t>naturelles et ont accès aux mécanismes administratifs et judiciaires de résolution pacifique des conflits fonciers</w:t>
            </w:r>
          </w:p>
          <w:p w14:paraId="54457423" w14:textId="77777777" w:rsidR="00630E95" w:rsidRPr="002D38FC" w:rsidRDefault="00630E95" w:rsidP="00772FC0">
            <w:pPr>
              <w:rPr>
                <w:rFonts w:cs="Tahoma"/>
                <w:szCs w:val="20"/>
                <w:lang w:val="fr-FR" w:eastAsia="en-US"/>
              </w:rPr>
            </w:pPr>
          </w:p>
        </w:tc>
        <w:tc>
          <w:tcPr>
            <w:tcW w:w="2301" w:type="dxa"/>
            <w:shd w:val="clear" w:color="auto" w:fill="EEECE1"/>
          </w:tcPr>
          <w:p w14:paraId="0785391C"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lastRenderedPageBreak/>
              <w:t>Indicateur 1.4.1</w:t>
            </w:r>
          </w:p>
          <w:p w14:paraId="1CECAB36"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 xml:space="preserve">Pourcentage des acteurs et membres des communautés ciblées </w:t>
            </w:r>
            <w:sdt>
              <w:sdtPr>
                <w:rPr>
                  <w:rFonts w:eastAsia="SimSun"/>
                  <w:lang w:val="fr-FR" w:eastAsia="zh-CN"/>
                </w:rPr>
                <w:tag w:val="goog_rdk_0"/>
                <w:id w:val="730194325"/>
              </w:sdtPr>
              <w:sdtEndPr/>
              <w:sdtContent>
                <w:r w:rsidRPr="002D38FC">
                  <w:rPr>
                    <w:rFonts w:ascii="Arial" w:eastAsia="Arial" w:hAnsi="Arial" w:cs="Arial"/>
                    <w:sz w:val="16"/>
                    <w:szCs w:val="16"/>
                    <w:lang w:val="fr-FR" w:eastAsia="zh-CN"/>
                  </w:rPr>
                  <w:t xml:space="preserve">(h/f) </w:t>
                </w:r>
              </w:sdtContent>
            </w:sdt>
            <w:r w:rsidRPr="002D38FC">
              <w:rPr>
                <w:rFonts w:ascii="Arial" w:eastAsia="Arial" w:hAnsi="Arial" w:cs="Arial"/>
                <w:sz w:val="16"/>
                <w:szCs w:val="16"/>
                <w:lang w:val="fr-FR" w:eastAsia="zh-CN"/>
              </w:rPr>
              <w:t xml:space="preserve">qui ont une meilleure connaissance et conscience des mécanismes administratifs et judiciaires de résolution pacifique des conflits fonciers </w:t>
            </w:r>
          </w:p>
        </w:tc>
        <w:tc>
          <w:tcPr>
            <w:tcW w:w="1295" w:type="dxa"/>
            <w:shd w:val="clear" w:color="auto" w:fill="EEECE1"/>
          </w:tcPr>
          <w:p w14:paraId="3E70E765" w14:textId="77777777" w:rsidR="00630E95" w:rsidRPr="002D38FC" w:rsidRDefault="00630E95" w:rsidP="00772FC0">
            <w:pPr>
              <w:rPr>
                <w:lang w:val="fr-FR"/>
              </w:rPr>
            </w:pPr>
            <w:r w:rsidRPr="002D38FC">
              <w:rPr>
                <w:b/>
                <w:sz w:val="22"/>
                <w:szCs w:val="22"/>
                <w:lang w:val="fr-FR" w:eastAsia="en-US"/>
              </w:rPr>
              <w:t>0%</w:t>
            </w:r>
          </w:p>
        </w:tc>
        <w:tc>
          <w:tcPr>
            <w:tcW w:w="2301" w:type="dxa"/>
            <w:shd w:val="clear" w:color="auto" w:fill="EEECE1"/>
          </w:tcPr>
          <w:p w14:paraId="0C69F10D" w14:textId="77777777" w:rsidR="00630E95" w:rsidRPr="002D38FC" w:rsidRDefault="00630E95" w:rsidP="00772FC0">
            <w:pPr>
              <w:rPr>
                <w:lang w:val="fr-FR"/>
              </w:rPr>
            </w:pPr>
            <w:r w:rsidRPr="002D38FC">
              <w:rPr>
                <w:b/>
                <w:sz w:val="22"/>
                <w:szCs w:val="22"/>
                <w:lang w:val="fr-FR" w:eastAsia="en-US"/>
              </w:rPr>
              <w:t>50%</w:t>
            </w:r>
          </w:p>
        </w:tc>
        <w:tc>
          <w:tcPr>
            <w:tcW w:w="1869" w:type="dxa"/>
          </w:tcPr>
          <w:p w14:paraId="57512DA7" w14:textId="77777777" w:rsidR="00630E95" w:rsidRPr="002D38FC" w:rsidRDefault="00630E95" w:rsidP="00772FC0">
            <w:pPr>
              <w:rPr>
                <w:lang w:val="fr-FR"/>
              </w:rPr>
            </w:pPr>
            <w:r w:rsidRPr="002D38FC">
              <w:rPr>
                <w:b/>
                <w:sz w:val="22"/>
                <w:szCs w:val="22"/>
                <w:lang w:val="fr-FR" w:eastAsia="en-US"/>
              </w:rPr>
              <w:fldChar w:fldCharType="begin">
                <w:ffData>
                  <w:name w:val=""/>
                  <w:enabled/>
                  <w:calcOnExit w:val="0"/>
                  <w:textInput>
                    <w:maxLength w:val="300"/>
                  </w:textInput>
                </w:ffData>
              </w:fldChar>
            </w:r>
            <w:r w:rsidRPr="002D38FC">
              <w:rPr>
                <w:b/>
                <w:sz w:val="22"/>
                <w:szCs w:val="22"/>
                <w:lang w:val="fr-FR" w:eastAsia="en-US"/>
              </w:rPr>
              <w:instrText xml:space="preserve"> FORMTEXT </w:instrText>
            </w:r>
            <w:r w:rsidRPr="002D38FC">
              <w:rPr>
                <w:b/>
                <w:sz w:val="22"/>
                <w:szCs w:val="22"/>
                <w:lang w:val="fr-FR" w:eastAsia="en-US"/>
              </w:rPr>
            </w:r>
            <w:r w:rsidRPr="002D38FC">
              <w:rPr>
                <w:b/>
                <w:sz w:val="22"/>
                <w:szCs w:val="22"/>
                <w:lang w:val="fr-FR" w:eastAsia="en-US"/>
              </w:rPr>
              <w:fldChar w:fldCharType="separate"/>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noProof/>
                <w:sz w:val="22"/>
                <w:szCs w:val="22"/>
                <w:lang w:val="fr-FR" w:eastAsia="en-US"/>
              </w:rPr>
              <w:t> </w:t>
            </w:r>
            <w:r w:rsidRPr="002D38FC">
              <w:rPr>
                <w:b/>
                <w:sz w:val="22"/>
                <w:szCs w:val="22"/>
                <w:lang w:val="fr-FR" w:eastAsia="en-US"/>
              </w:rPr>
              <w:fldChar w:fldCharType="end"/>
            </w:r>
          </w:p>
        </w:tc>
        <w:tc>
          <w:tcPr>
            <w:tcW w:w="2445" w:type="dxa"/>
          </w:tcPr>
          <w:p w14:paraId="605146C5" w14:textId="7E5CF735" w:rsidR="00630E95" w:rsidRPr="002D38FC" w:rsidRDefault="001B5C34" w:rsidP="00772FC0">
            <w:pPr>
              <w:rPr>
                <w:lang w:val="fr-FR"/>
              </w:rPr>
            </w:pPr>
            <w:r>
              <w:rPr>
                <w:b/>
                <w:sz w:val="22"/>
                <w:szCs w:val="22"/>
                <w:lang w:val="fr-FR" w:eastAsia="en-US"/>
              </w:rPr>
              <w:t>0%</w:t>
            </w:r>
          </w:p>
        </w:tc>
        <w:tc>
          <w:tcPr>
            <w:tcW w:w="2695" w:type="dxa"/>
          </w:tcPr>
          <w:p w14:paraId="2914CB02" w14:textId="14C7419A" w:rsidR="00630E95" w:rsidRPr="002D38FC" w:rsidRDefault="0006576C" w:rsidP="00772FC0">
            <w:pPr>
              <w:rPr>
                <w:lang w:val="fr-FR"/>
              </w:rPr>
            </w:pPr>
            <w:r>
              <w:rPr>
                <w:bCs/>
                <w:sz w:val="22"/>
                <w:szCs w:val="22"/>
                <w:lang w:val="fr-FR" w:eastAsia="en-US"/>
              </w:rPr>
              <w:t xml:space="preserve">Pas eu </w:t>
            </w:r>
            <w:r w:rsidRPr="00A42C36">
              <w:rPr>
                <w:bCs/>
                <w:sz w:val="22"/>
                <w:szCs w:val="22"/>
                <w:lang w:val="fr-FR" w:eastAsia="en-US"/>
              </w:rPr>
              <w:t xml:space="preserve">L’enquête </w:t>
            </w:r>
            <w:r>
              <w:rPr>
                <w:bCs/>
                <w:sz w:val="22"/>
                <w:szCs w:val="22"/>
                <w:lang w:val="fr-FR" w:eastAsia="en-US"/>
              </w:rPr>
              <w:t xml:space="preserve">à ce stade  </w:t>
            </w:r>
            <w:r w:rsidRPr="00A42C36">
              <w:rPr>
                <w:bCs/>
                <w:sz w:val="22"/>
                <w:szCs w:val="22"/>
                <w:lang w:val="fr-FR" w:eastAsia="en-US"/>
              </w:rPr>
              <w:t>pour collecter cet indicateur</w:t>
            </w:r>
          </w:p>
        </w:tc>
      </w:tr>
      <w:tr w:rsidR="00630E95" w:rsidRPr="00023A14" w14:paraId="5C7A224B" w14:textId="77777777" w:rsidTr="006239EB">
        <w:trPr>
          <w:trHeight w:val="422"/>
        </w:trPr>
        <w:tc>
          <w:tcPr>
            <w:tcW w:w="2172" w:type="dxa"/>
            <w:vMerge/>
          </w:tcPr>
          <w:p w14:paraId="729A5F07" w14:textId="77777777" w:rsidR="00630E95" w:rsidRPr="002D38FC" w:rsidRDefault="00630E95" w:rsidP="00772FC0">
            <w:pPr>
              <w:rPr>
                <w:rFonts w:cs="Tahoma"/>
                <w:b/>
                <w:szCs w:val="20"/>
                <w:lang w:val="fr-FR" w:eastAsia="en-US"/>
              </w:rPr>
            </w:pPr>
          </w:p>
        </w:tc>
        <w:tc>
          <w:tcPr>
            <w:tcW w:w="2301" w:type="dxa"/>
            <w:shd w:val="clear" w:color="auto" w:fill="EEECE1"/>
          </w:tcPr>
          <w:p w14:paraId="273C7825"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1.4.2</w:t>
            </w:r>
          </w:p>
          <w:p w14:paraId="55D9ECCC"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 xml:space="preserve">Nombre de femmes qui s’engagent dans des démarches administratives et </w:t>
            </w:r>
            <w:r w:rsidRPr="002D38FC">
              <w:rPr>
                <w:rFonts w:ascii="Arial" w:eastAsia="Arial" w:hAnsi="Arial" w:cs="Arial"/>
                <w:sz w:val="16"/>
                <w:szCs w:val="16"/>
                <w:lang w:val="fr-FR" w:eastAsia="zh-CN"/>
              </w:rPr>
              <w:lastRenderedPageBreak/>
              <w:t>judiciaires pour défendre leurs droits d’accès aux ressources foncières</w:t>
            </w:r>
          </w:p>
        </w:tc>
        <w:tc>
          <w:tcPr>
            <w:tcW w:w="1295" w:type="dxa"/>
            <w:shd w:val="clear" w:color="auto" w:fill="EEECE1"/>
          </w:tcPr>
          <w:p w14:paraId="245E2148" w14:textId="1E6E0FB2" w:rsidR="00630E95" w:rsidRPr="002D38FC" w:rsidRDefault="001B5C34" w:rsidP="00772FC0">
            <w:pPr>
              <w:rPr>
                <w:b/>
                <w:sz w:val="22"/>
                <w:szCs w:val="22"/>
                <w:lang w:val="fr-FR" w:eastAsia="en-US"/>
              </w:rPr>
            </w:pPr>
            <w:r>
              <w:rPr>
                <w:b/>
                <w:sz w:val="22"/>
                <w:szCs w:val="22"/>
                <w:lang w:val="fr-FR" w:eastAsia="en-US"/>
              </w:rPr>
              <w:lastRenderedPageBreak/>
              <w:t>10</w:t>
            </w:r>
            <w:r w:rsidR="00630E95" w:rsidRPr="002D38FC">
              <w:rPr>
                <w:b/>
                <w:sz w:val="22"/>
                <w:szCs w:val="22"/>
                <w:lang w:val="fr-FR" w:eastAsia="en-US"/>
              </w:rPr>
              <w:t>0</w:t>
            </w:r>
            <w:r>
              <w:rPr>
                <w:b/>
                <w:sz w:val="22"/>
                <w:szCs w:val="22"/>
                <w:lang w:val="fr-FR" w:eastAsia="en-US"/>
              </w:rPr>
              <w:t>%</w:t>
            </w:r>
          </w:p>
        </w:tc>
        <w:tc>
          <w:tcPr>
            <w:tcW w:w="2301" w:type="dxa"/>
            <w:shd w:val="clear" w:color="auto" w:fill="EEECE1"/>
          </w:tcPr>
          <w:p w14:paraId="4A2F9275" w14:textId="7F5CDAEE" w:rsidR="00630E95" w:rsidRPr="002D38FC" w:rsidRDefault="008618D8" w:rsidP="00772FC0">
            <w:pPr>
              <w:rPr>
                <w:b/>
                <w:sz w:val="22"/>
                <w:szCs w:val="22"/>
                <w:lang w:val="fr-FR" w:eastAsia="en-US"/>
              </w:rPr>
            </w:pPr>
            <w:r>
              <w:rPr>
                <w:b/>
                <w:sz w:val="22"/>
                <w:szCs w:val="22"/>
                <w:lang w:val="fr-FR" w:eastAsia="en-US"/>
              </w:rPr>
              <w:t>100</w:t>
            </w:r>
            <w:r w:rsidR="001B5C34">
              <w:rPr>
                <w:b/>
                <w:sz w:val="22"/>
                <w:szCs w:val="22"/>
                <w:lang w:val="fr-FR" w:eastAsia="en-US"/>
              </w:rPr>
              <w:t>%</w:t>
            </w:r>
          </w:p>
        </w:tc>
        <w:tc>
          <w:tcPr>
            <w:tcW w:w="1869" w:type="dxa"/>
          </w:tcPr>
          <w:p w14:paraId="1E128166" w14:textId="4F84A5A3" w:rsidR="00630E95" w:rsidRPr="002D38FC" w:rsidRDefault="001B5C34" w:rsidP="00772FC0">
            <w:pPr>
              <w:rPr>
                <w:b/>
                <w:sz w:val="22"/>
                <w:szCs w:val="22"/>
                <w:lang w:val="fr-FR" w:eastAsia="en-US"/>
              </w:rPr>
            </w:pPr>
            <w:r>
              <w:rPr>
                <w:b/>
                <w:sz w:val="22"/>
                <w:szCs w:val="22"/>
                <w:lang w:val="fr-FR" w:eastAsia="en-US"/>
              </w:rPr>
              <w:t>0%</w:t>
            </w:r>
          </w:p>
        </w:tc>
        <w:tc>
          <w:tcPr>
            <w:tcW w:w="2445" w:type="dxa"/>
          </w:tcPr>
          <w:p w14:paraId="46FAF94D" w14:textId="73833C81" w:rsidR="00630E95" w:rsidRPr="002D38FC" w:rsidRDefault="001B5C34" w:rsidP="00772FC0">
            <w:pPr>
              <w:rPr>
                <w:b/>
                <w:sz w:val="22"/>
                <w:szCs w:val="22"/>
                <w:lang w:val="fr-FR" w:eastAsia="en-US"/>
              </w:rPr>
            </w:pPr>
            <w:r>
              <w:rPr>
                <w:b/>
                <w:sz w:val="22"/>
                <w:szCs w:val="22"/>
                <w:lang w:val="fr-FR" w:eastAsia="en-US"/>
              </w:rPr>
              <w:t>0%</w:t>
            </w:r>
          </w:p>
        </w:tc>
        <w:tc>
          <w:tcPr>
            <w:tcW w:w="2695" w:type="dxa"/>
          </w:tcPr>
          <w:p w14:paraId="253AD13F" w14:textId="1F992B6C" w:rsidR="00630E95" w:rsidRPr="008618D8" w:rsidRDefault="008618D8" w:rsidP="00772FC0">
            <w:pPr>
              <w:rPr>
                <w:bCs/>
                <w:sz w:val="22"/>
                <w:szCs w:val="22"/>
                <w:lang w:val="fr-FR" w:eastAsia="en-US"/>
              </w:rPr>
            </w:pPr>
            <w:r w:rsidRPr="008618D8">
              <w:rPr>
                <w:bCs/>
                <w:sz w:val="22"/>
                <w:szCs w:val="22"/>
                <w:lang w:val="fr-FR" w:eastAsia="en-US"/>
              </w:rPr>
              <w:t>Processus de recrutement de l’ONG chargé de l’activité en cours.</w:t>
            </w:r>
          </w:p>
        </w:tc>
      </w:tr>
      <w:tr w:rsidR="00630E95" w:rsidRPr="00023A14" w14:paraId="6017F491" w14:textId="77777777" w:rsidTr="006239EB">
        <w:trPr>
          <w:trHeight w:val="422"/>
        </w:trPr>
        <w:tc>
          <w:tcPr>
            <w:tcW w:w="2172" w:type="dxa"/>
            <w:vMerge/>
          </w:tcPr>
          <w:p w14:paraId="5482913A" w14:textId="77777777" w:rsidR="00630E95" w:rsidRPr="002D38FC" w:rsidRDefault="00630E95" w:rsidP="00772FC0">
            <w:pPr>
              <w:rPr>
                <w:rFonts w:cs="Tahoma"/>
                <w:b/>
                <w:szCs w:val="20"/>
                <w:lang w:val="fr-FR" w:eastAsia="en-US"/>
              </w:rPr>
            </w:pPr>
          </w:p>
        </w:tc>
        <w:tc>
          <w:tcPr>
            <w:tcW w:w="2301" w:type="dxa"/>
            <w:shd w:val="clear" w:color="auto" w:fill="EEECE1"/>
          </w:tcPr>
          <w:p w14:paraId="300A532F" w14:textId="77777777" w:rsidR="00630E95" w:rsidRPr="002D38FC" w:rsidRDefault="00630E95" w:rsidP="00772FC0">
            <w:pPr>
              <w:jc w:val="both"/>
              <w:rPr>
                <w:rFonts w:cs="Tahoma"/>
                <w:b/>
                <w:bCs/>
                <w:szCs w:val="20"/>
                <w:u w:val="single"/>
                <w:lang w:val="fr-FR" w:eastAsia="en-US"/>
              </w:rPr>
            </w:pPr>
            <w:r w:rsidRPr="002D38FC">
              <w:rPr>
                <w:rFonts w:cs="Tahoma"/>
                <w:b/>
                <w:bCs/>
                <w:szCs w:val="20"/>
                <w:u w:val="single"/>
                <w:lang w:val="fr-FR" w:eastAsia="en-US"/>
              </w:rPr>
              <w:t>Indicateur 1.4.3</w:t>
            </w:r>
          </w:p>
          <w:p w14:paraId="1726083F" w14:textId="77777777" w:rsidR="00630E95" w:rsidRPr="002D38FC" w:rsidRDefault="00630E95" w:rsidP="00772FC0">
            <w:pPr>
              <w:rPr>
                <w:rFonts w:cs="Tahoma"/>
                <w:szCs w:val="20"/>
                <w:lang w:val="fr-FR" w:eastAsia="en-US"/>
              </w:rPr>
            </w:pPr>
            <w:r w:rsidRPr="002D38FC">
              <w:rPr>
                <w:rFonts w:ascii="Arial" w:eastAsia="Arial" w:hAnsi="Arial" w:cs="Arial"/>
                <w:sz w:val="16"/>
                <w:szCs w:val="16"/>
                <w:lang w:val="fr-FR" w:eastAsia="zh-CN"/>
              </w:rPr>
              <w:t>Pourcentage des femmes de la région ayant leur accès à la terre amélioré grâce à l’application des textes juridiques vulgarisés sur la gouvernance foncière</w:t>
            </w:r>
          </w:p>
        </w:tc>
        <w:tc>
          <w:tcPr>
            <w:tcW w:w="1295" w:type="dxa"/>
            <w:shd w:val="clear" w:color="auto" w:fill="EEECE1"/>
          </w:tcPr>
          <w:p w14:paraId="29170805" w14:textId="77777777" w:rsidR="00630E95" w:rsidRPr="002D38FC" w:rsidRDefault="00630E95" w:rsidP="00772FC0">
            <w:pPr>
              <w:rPr>
                <w:b/>
                <w:sz w:val="22"/>
                <w:szCs w:val="22"/>
                <w:lang w:val="fr-FR" w:eastAsia="en-US"/>
              </w:rPr>
            </w:pPr>
            <w:r w:rsidRPr="002D38FC">
              <w:rPr>
                <w:b/>
                <w:sz w:val="22"/>
                <w:szCs w:val="22"/>
                <w:lang w:val="fr-FR" w:eastAsia="en-US"/>
              </w:rPr>
              <w:t>0</w:t>
            </w:r>
          </w:p>
        </w:tc>
        <w:tc>
          <w:tcPr>
            <w:tcW w:w="2301" w:type="dxa"/>
            <w:shd w:val="clear" w:color="auto" w:fill="EEECE1"/>
          </w:tcPr>
          <w:p w14:paraId="739B64F4" w14:textId="77777777" w:rsidR="00630E95" w:rsidRPr="002D38FC" w:rsidRDefault="00630E95" w:rsidP="00772FC0">
            <w:pPr>
              <w:rPr>
                <w:b/>
                <w:sz w:val="22"/>
                <w:szCs w:val="22"/>
                <w:lang w:val="fr-FR" w:eastAsia="en-US"/>
              </w:rPr>
            </w:pPr>
            <w:r w:rsidRPr="002D38FC">
              <w:rPr>
                <w:b/>
                <w:sz w:val="22"/>
                <w:szCs w:val="22"/>
                <w:lang w:val="fr-FR" w:eastAsia="en-US"/>
              </w:rPr>
              <w:t>50%</w:t>
            </w:r>
          </w:p>
        </w:tc>
        <w:tc>
          <w:tcPr>
            <w:tcW w:w="1869" w:type="dxa"/>
          </w:tcPr>
          <w:p w14:paraId="2B7CED3D" w14:textId="38450881" w:rsidR="00630E95" w:rsidRPr="002D38FC" w:rsidRDefault="008618D8" w:rsidP="00772FC0">
            <w:pPr>
              <w:rPr>
                <w:b/>
                <w:sz w:val="22"/>
                <w:szCs w:val="22"/>
                <w:lang w:val="fr-FR" w:eastAsia="en-US"/>
              </w:rPr>
            </w:pPr>
            <w:r>
              <w:rPr>
                <w:b/>
                <w:sz w:val="22"/>
                <w:szCs w:val="22"/>
                <w:lang w:val="fr-FR" w:eastAsia="en-US"/>
              </w:rPr>
              <w:t>0</w:t>
            </w:r>
          </w:p>
        </w:tc>
        <w:tc>
          <w:tcPr>
            <w:tcW w:w="2445" w:type="dxa"/>
          </w:tcPr>
          <w:p w14:paraId="72A5F5BA" w14:textId="3923869C" w:rsidR="00630E95" w:rsidRPr="002D38FC" w:rsidRDefault="008618D8" w:rsidP="00772FC0">
            <w:pPr>
              <w:rPr>
                <w:b/>
                <w:sz w:val="22"/>
                <w:szCs w:val="22"/>
                <w:lang w:val="fr-FR" w:eastAsia="en-US"/>
              </w:rPr>
            </w:pPr>
            <w:r>
              <w:rPr>
                <w:b/>
                <w:sz w:val="22"/>
                <w:szCs w:val="22"/>
                <w:lang w:val="fr-FR" w:eastAsia="en-US"/>
              </w:rPr>
              <w:t>0 %</w:t>
            </w:r>
          </w:p>
        </w:tc>
        <w:tc>
          <w:tcPr>
            <w:tcW w:w="2695" w:type="dxa"/>
          </w:tcPr>
          <w:p w14:paraId="63D0E617" w14:textId="4DBC94A3" w:rsidR="00630E95" w:rsidRPr="002D38FC" w:rsidRDefault="008618D8" w:rsidP="00772FC0">
            <w:pPr>
              <w:rPr>
                <w:b/>
                <w:sz w:val="22"/>
                <w:szCs w:val="22"/>
                <w:lang w:val="fr-FR" w:eastAsia="en-US"/>
              </w:rPr>
            </w:pPr>
            <w:r w:rsidRPr="008618D8">
              <w:rPr>
                <w:bCs/>
                <w:sz w:val="22"/>
                <w:szCs w:val="22"/>
                <w:lang w:val="fr-FR" w:eastAsia="en-US"/>
              </w:rPr>
              <w:t>Consécutif au recrutement de l’ONG en charge de l’activit</w:t>
            </w:r>
            <w:r>
              <w:rPr>
                <w:bCs/>
                <w:sz w:val="22"/>
                <w:szCs w:val="22"/>
                <w:lang w:val="fr-FR" w:eastAsia="en-US"/>
              </w:rPr>
              <w:t>é</w:t>
            </w:r>
            <w:r>
              <w:rPr>
                <w:b/>
                <w:sz w:val="22"/>
                <w:szCs w:val="22"/>
                <w:lang w:val="fr-FR" w:eastAsia="en-US"/>
              </w:rPr>
              <w:t>.</w:t>
            </w:r>
          </w:p>
        </w:tc>
      </w:tr>
    </w:tbl>
    <w:p w14:paraId="0A89D293" w14:textId="645FF7EA" w:rsidR="00630E95" w:rsidRDefault="00630E95" w:rsidP="00675507">
      <w:pPr>
        <w:outlineLvl w:val="0"/>
        <w:rPr>
          <w:sz w:val="22"/>
          <w:szCs w:val="22"/>
          <w:lang w:val="fr-FR" w:eastAsia="en-US"/>
        </w:rPr>
      </w:pPr>
    </w:p>
    <w:sectPr w:rsidR="00630E9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0D434" w14:textId="77777777" w:rsidR="001301F5" w:rsidRDefault="001301F5" w:rsidP="00E76CA1">
      <w:r>
        <w:separator/>
      </w:r>
    </w:p>
  </w:endnote>
  <w:endnote w:type="continuationSeparator" w:id="0">
    <w:p w14:paraId="0A993AB6" w14:textId="77777777" w:rsidR="001301F5" w:rsidRDefault="001301F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4DC0015" w:rsidR="0083543F" w:rsidRDefault="0083543F">
    <w:pPr>
      <w:pStyle w:val="Pieddepage"/>
      <w:jc w:val="center"/>
    </w:pPr>
    <w:r>
      <w:fldChar w:fldCharType="begin"/>
    </w:r>
    <w:r>
      <w:instrText xml:space="preserve"> PAGE   \* MERGEFORMAT </w:instrText>
    </w:r>
    <w:r>
      <w:fldChar w:fldCharType="separate"/>
    </w:r>
    <w:r>
      <w:rPr>
        <w:noProof/>
      </w:rPr>
      <w:t>6</w:t>
    </w:r>
    <w:r>
      <w:fldChar w:fldCharType="end"/>
    </w:r>
  </w:p>
  <w:p w14:paraId="6E791841" w14:textId="77777777" w:rsidR="0083543F" w:rsidRDefault="008354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46B34" w14:textId="77777777" w:rsidR="001301F5" w:rsidRDefault="001301F5" w:rsidP="00E76CA1">
      <w:r>
        <w:separator/>
      </w:r>
    </w:p>
  </w:footnote>
  <w:footnote w:type="continuationSeparator" w:id="0">
    <w:p w14:paraId="6F02635A" w14:textId="77777777" w:rsidR="001301F5" w:rsidRDefault="001301F5"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83543F" w:rsidRDefault="0083543F">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1ADC"/>
    <w:rsid w:val="000022C4"/>
    <w:rsid w:val="00002815"/>
    <w:rsid w:val="00005737"/>
    <w:rsid w:val="000057A9"/>
    <w:rsid w:val="00006DBE"/>
    <w:rsid w:val="00006EC0"/>
    <w:rsid w:val="00010EB0"/>
    <w:rsid w:val="0001109A"/>
    <w:rsid w:val="00013D36"/>
    <w:rsid w:val="00013D69"/>
    <w:rsid w:val="00014B13"/>
    <w:rsid w:val="0001541D"/>
    <w:rsid w:val="00023A14"/>
    <w:rsid w:val="00025EFA"/>
    <w:rsid w:val="00031640"/>
    <w:rsid w:val="00035736"/>
    <w:rsid w:val="00040535"/>
    <w:rsid w:val="0004226A"/>
    <w:rsid w:val="00043D06"/>
    <w:rsid w:val="00045B2F"/>
    <w:rsid w:val="00045C24"/>
    <w:rsid w:val="00050759"/>
    <w:rsid w:val="00051F71"/>
    <w:rsid w:val="0005216F"/>
    <w:rsid w:val="00052745"/>
    <w:rsid w:val="00052DE5"/>
    <w:rsid w:val="000553AA"/>
    <w:rsid w:val="000554F8"/>
    <w:rsid w:val="00057389"/>
    <w:rsid w:val="00063017"/>
    <w:rsid w:val="0006576C"/>
    <w:rsid w:val="000725A4"/>
    <w:rsid w:val="000731D0"/>
    <w:rsid w:val="00075D98"/>
    <w:rsid w:val="0008134A"/>
    <w:rsid w:val="0008233D"/>
    <w:rsid w:val="00082738"/>
    <w:rsid w:val="00084F64"/>
    <w:rsid w:val="00091CFD"/>
    <w:rsid w:val="00092442"/>
    <w:rsid w:val="000929B0"/>
    <w:rsid w:val="00094C09"/>
    <w:rsid w:val="000A3007"/>
    <w:rsid w:val="000A45F4"/>
    <w:rsid w:val="000A4660"/>
    <w:rsid w:val="000A51DA"/>
    <w:rsid w:val="000A6719"/>
    <w:rsid w:val="000B4E5C"/>
    <w:rsid w:val="000B7954"/>
    <w:rsid w:val="000B7EE7"/>
    <w:rsid w:val="000C13D5"/>
    <w:rsid w:val="000C3EC9"/>
    <w:rsid w:val="000C7EA0"/>
    <w:rsid w:val="000D272F"/>
    <w:rsid w:val="000D4F4B"/>
    <w:rsid w:val="000D593D"/>
    <w:rsid w:val="000E05AE"/>
    <w:rsid w:val="000E6A96"/>
    <w:rsid w:val="000F05A2"/>
    <w:rsid w:val="000F13B1"/>
    <w:rsid w:val="000F43A8"/>
    <w:rsid w:val="000F5668"/>
    <w:rsid w:val="00102C0E"/>
    <w:rsid w:val="00112741"/>
    <w:rsid w:val="00113D2B"/>
    <w:rsid w:val="00113EC4"/>
    <w:rsid w:val="00114099"/>
    <w:rsid w:val="0011597F"/>
    <w:rsid w:val="001163E6"/>
    <w:rsid w:val="00116449"/>
    <w:rsid w:val="0011666C"/>
    <w:rsid w:val="00117FC9"/>
    <w:rsid w:val="00121B2D"/>
    <w:rsid w:val="00124A57"/>
    <w:rsid w:val="00124A6B"/>
    <w:rsid w:val="001301F5"/>
    <w:rsid w:val="001307FA"/>
    <w:rsid w:val="00131824"/>
    <w:rsid w:val="00135923"/>
    <w:rsid w:val="00136B32"/>
    <w:rsid w:val="001444EE"/>
    <w:rsid w:val="00144A56"/>
    <w:rsid w:val="00145766"/>
    <w:rsid w:val="001458E9"/>
    <w:rsid w:val="00153789"/>
    <w:rsid w:val="00153CD9"/>
    <w:rsid w:val="00156AFA"/>
    <w:rsid w:val="00156C4C"/>
    <w:rsid w:val="00157BF2"/>
    <w:rsid w:val="001607B2"/>
    <w:rsid w:val="0016088D"/>
    <w:rsid w:val="00161D02"/>
    <w:rsid w:val="00173864"/>
    <w:rsid w:val="001745E8"/>
    <w:rsid w:val="0018095F"/>
    <w:rsid w:val="00181F89"/>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C34"/>
    <w:rsid w:val="001B5D16"/>
    <w:rsid w:val="001B6DFD"/>
    <w:rsid w:val="001C4484"/>
    <w:rsid w:val="001C46E9"/>
    <w:rsid w:val="001C5691"/>
    <w:rsid w:val="001C56B8"/>
    <w:rsid w:val="001C5B82"/>
    <w:rsid w:val="001C730D"/>
    <w:rsid w:val="001D0D36"/>
    <w:rsid w:val="001D1C14"/>
    <w:rsid w:val="001D4868"/>
    <w:rsid w:val="001D575F"/>
    <w:rsid w:val="001D6683"/>
    <w:rsid w:val="001D67F9"/>
    <w:rsid w:val="001E470E"/>
    <w:rsid w:val="001E660A"/>
    <w:rsid w:val="001F308A"/>
    <w:rsid w:val="0020130A"/>
    <w:rsid w:val="00205EB7"/>
    <w:rsid w:val="0020791D"/>
    <w:rsid w:val="002108F5"/>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56C3C"/>
    <w:rsid w:val="00271B9A"/>
    <w:rsid w:val="0027242A"/>
    <w:rsid w:val="00272A58"/>
    <w:rsid w:val="00273AD0"/>
    <w:rsid w:val="00280FEA"/>
    <w:rsid w:val="002822AF"/>
    <w:rsid w:val="00282BD9"/>
    <w:rsid w:val="00282D4A"/>
    <w:rsid w:val="00284848"/>
    <w:rsid w:val="00286F66"/>
    <w:rsid w:val="00287878"/>
    <w:rsid w:val="002940E8"/>
    <w:rsid w:val="00296218"/>
    <w:rsid w:val="00296C15"/>
    <w:rsid w:val="002A1202"/>
    <w:rsid w:val="002A1877"/>
    <w:rsid w:val="002B0605"/>
    <w:rsid w:val="002B0F98"/>
    <w:rsid w:val="002B3207"/>
    <w:rsid w:val="002B346A"/>
    <w:rsid w:val="002B351E"/>
    <w:rsid w:val="002B4426"/>
    <w:rsid w:val="002B5F4F"/>
    <w:rsid w:val="002B6390"/>
    <w:rsid w:val="002B740B"/>
    <w:rsid w:val="002B7614"/>
    <w:rsid w:val="002C187A"/>
    <w:rsid w:val="002C20A8"/>
    <w:rsid w:val="002C5DD0"/>
    <w:rsid w:val="002C7051"/>
    <w:rsid w:val="002D2FBB"/>
    <w:rsid w:val="002D4247"/>
    <w:rsid w:val="002D577E"/>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6240"/>
    <w:rsid w:val="00336BF8"/>
    <w:rsid w:val="00342356"/>
    <w:rsid w:val="00343425"/>
    <w:rsid w:val="0034386B"/>
    <w:rsid w:val="00346D73"/>
    <w:rsid w:val="003473C6"/>
    <w:rsid w:val="003539A4"/>
    <w:rsid w:val="00355C69"/>
    <w:rsid w:val="0035676B"/>
    <w:rsid w:val="0036386A"/>
    <w:rsid w:val="00366549"/>
    <w:rsid w:val="00372156"/>
    <w:rsid w:val="003722AE"/>
    <w:rsid w:val="0037561F"/>
    <w:rsid w:val="0037563A"/>
    <w:rsid w:val="00380849"/>
    <w:rsid w:val="003818DB"/>
    <w:rsid w:val="003834CD"/>
    <w:rsid w:val="00383908"/>
    <w:rsid w:val="003844B3"/>
    <w:rsid w:val="00391614"/>
    <w:rsid w:val="003966E6"/>
    <w:rsid w:val="003968D7"/>
    <w:rsid w:val="003A0F00"/>
    <w:rsid w:val="003A613D"/>
    <w:rsid w:val="003A6341"/>
    <w:rsid w:val="003B3A5F"/>
    <w:rsid w:val="003B4F6E"/>
    <w:rsid w:val="003B5338"/>
    <w:rsid w:val="003C5283"/>
    <w:rsid w:val="003C5CC6"/>
    <w:rsid w:val="003D0DB8"/>
    <w:rsid w:val="003D12C7"/>
    <w:rsid w:val="003D228B"/>
    <w:rsid w:val="003D4CD7"/>
    <w:rsid w:val="003D4D7C"/>
    <w:rsid w:val="003E12EF"/>
    <w:rsid w:val="003E2FF3"/>
    <w:rsid w:val="003F08B1"/>
    <w:rsid w:val="003F21BE"/>
    <w:rsid w:val="003F36FB"/>
    <w:rsid w:val="003F660A"/>
    <w:rsid w:val="004005DD"/>
    <w:rsid w:val="004017BD"/>
    <w:rsid w:val="00402083"/>
    <w:rsid w:val="004023AC"/>
    <w:rsid w:val="00402514"/>
    <w:rsid w:val="0040513F"/>
    <w:rsid w:val="0040585A"/>
    <w:rsid w:val="00405DE7"/>
    <w:rsid w:val="00411A5F"/>
    <w:rsid w:val="00413EAF"/>
    <w:rsid w:val="00414097"/>
    <w:rsid w:val="004213AF"/>
    <w:rsid w:val="00422F87"/>
    <w:rsid w:val="00425AF8"/>
    <w:rsid w:val="004337FE"/>
    <w:rsid w:val="00435CB4"/>
    <w:rsid w:val="00437FF5"/>
    <w:rsid w:val="00440CA2"/>
    <w:rsid w:val="0046101E"/>
    <w:rsid w:val="00461944"/>
    <w:rsid w:val="00463836"/>
    <w:rsid w:val="00464188"/>
    <w:rsid w:val="004646A3"/>
    <w:rsid w:val="004660A2"/>
    <w:rsid w:val="0046694D"/>
    <w:rsid w:val="00470EC3"/>
    <w:rsid w:val="00476758"/>
    <w:rsid w:val="00477CF8"/>
    <w:rsid w:val="00480A02"/>
    <w:rsid w:val="0048168F"/>
    <w:rsid w:val="00484092"/>
    <w:rsid w:val="00484169"/>
    <w:rsid w:val="00495AC5"/>
    <w:rsid w:val="004965A3"/>
    <w:rsid w:val="00496E1A"/>
    <w:rsid w:val="004A210E"/>
    <w:rsid w:val="004A3E3B"/>
    <w:rsid w:val="004A49E6"/>
    <w:rsid w:val="004B1E1E"/>
    <w:rsid w:val="004B5601"/>
    <w:rsid w:val="004B5B20"/>
    <w:rsid w:val="004C3DC3"/>
    <w:rsid w:val="004C4272"/>
    <w:rsid w:val="004C4F3B"/>
    <w:rsid w:val="004D141E"/>
    <w:rsid w:val="004D7976"/>
    <w:rsid w:val="004E33A8"/>
    <w:rsid w:val="004E3B3E"/>
    <w:rsid w:val="004E3BD7"/>
    <w:rsid w:val="004E636F"/>
    <w:rsid w:val="004E6614"/>
    <w:rsid w:val="004F016F"/>
    <w:rsid w:val="004F7B8E"/>
    <w:rsid w:val="004F7D22"/>
    <w:rsid w:val="004F7D2C"/>
    <w:rsid w:val="00500587"/>
    <w:rsid w:val="00502B7D"/>
    <w:rsid w:val="00505758"/>
    <w:rsid w:val="005108BC"/>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582C"/>
    <w:rsid w:val="00536175"/>
    <w:rsid w:val="00541F2E"/>
    <w:rsid w:val="0054416C"/>
    <w:rsid w:val="005442A8"/>
    <w:rsid w:val="00544390"/>
    <w:rsid w:val="00544781"/>
    <w:rsid w:val="005460E0"/>
    <w:rsid w:val="005470AF"/>
    <w:rsid w:val="00547F47"/>
    <w:rsid w:val="00550982"/>
    <w:rsid w:val="0055185F"/>
    <w:rsid w:val="00553A7C"/>
    <w:rsid w:val="00553D53"/>
    <w:rsid w:val="0056086D"/>
    <w:rsid w:val="00561C6B"/>
    <w:rsid w:val="0057086A"/>
    <w:rsid w:val="005718ED"/>
    <w:rsid w:val="0058153F"/>
    <w:rsid w:val="0058301B"/>
    <w:rsid w:val="005858AF"/>
    <w:rsid w:val="00590937"/>
    <w:rsid w:val="0059166A"/>
    <w:rsid w:val="00592733"/>
    <w:rsid w:val="0059286E"/>
    <w:rsid w:val="00593B59"/>
    <w:rsid w:val="00595DBA"/>
    <w:rsid w:val="0059710B"/>
    <w:rsid w:val="005A2661"/>
    <w:rsid w:val="005A26F8"/>
    <w:rsid w:val="005A56E0"/>
    <w:rsid w:val="005A6C31"/>
    <w:rsid w:val="005C187A"/>
    <w:rsid w:val="005C1FC7"/>
    <w:rsid w:val="005C4963"/>
    <w:rsid w:val="005C4BBA"/>
    <w:rsid w:val="005C52F9"/>
    <w:rsid w:val="005C68B4"/>
    <w:rsid w:val="005D15A3"/>
    <w:rsid w:val="005D2343"/>
    <w:rsid w:val="005D545C"/>
    <w:rsid w:val="005D5A4A"/>
    <w:rsid w:val="005D653E"/>
    <w:rsid w:val="005E1A27"/>
    <w:rsid w:val="005E3B28"/>
    <w:rsid w:val="005F0CC2"/>
    <w:rsid w:val="005F12EA"/>
    <w:rsid w:val="005F208D"/>
    <w:rsid w:val="005F439F"/>
    <w:rsid w:val="005F77DA"/>
    <w:rsid w:val="00600B5F"/>
    <w:rsid w:val="006017A2"/>
    <w:rsid w:val="00605275"/>
    <w:rsid w:val="006073A2"/>
    <w:rsid w:val="006073AB"/>
    <w:rsid w:val="0060796B"/>
    <w:rsid w:val="006100F5"/>
    <w:rsid w:val="0061467E"/>
    <w:rsid w:val="00615C30"/>
    <w:rsid w:val="00621F04"/>
    <w:rsid w:val="006239EB"/>
    <w:rsid w:val="00624881"/>
    <w:rsid w:val="00624B2F"/>
    <w:rsid w:val="00624F31"/>
    <w:rsid w:val="00626B3F"/>
    <w:rsid w:val="00627A1C"/>
    <w:rsid w:val="00630E95"/>
    <w:rsid w:val="00632971"/>
    <w:rsid w:val="00635112"/>
    <w:rsid w:val="00643A9E"/>
    <w:rsid w:val="00646FF7"/>
    <w:rsid w:val="006500AC"/>
    <w:rsid w:val="00651323"/>
    <w:rsid w:val="006514CF"/>
    <w:rsid w:val="006521E5"/>
    <w:rsid w:val="00656A65"/>
    <w:rsid w:val="006578BB"/>
    <w:rsid w:val="00657A0F"/>
    <w:rsid w:val="00657BE6"/>
    <w:rsid w:val="006645BE"/>
    <w:rsid w:val="006648F5"/>
    <w:rsid w:val="00664EA0"/>
    <w:rsid w:val="0067044E"/>
    <w:rsid w:val="00670D17"/>
    <w:rsid w:val="00671040"/>
    <w:rsid w:val="0067321D"/>
    <w:rsid w:val="006734B3"/>
    <w:rsid w:val="0067356E"/>
    <w:rsid w:val="00673D6E"/>
    <w:rsid w:val="00673DED"/>
    <w:rsid w:val="00675507"/>
    <w:rsid w:val="006811AD"/>
    <w:rsid w:val="00682BC5"/>
    <w:rsid w:val="006907EE"/>
    <w:rsid w:val="00691C2F"/>
    <w:rsid w:val="006947B7"/>
    <w:rsid w:val="006969E7"/>
    <w:rsid w:val="00697F16"/>
    <w:rsid w:val="006A07CA"/>
    <w:rsid w:val="006A207B"/>
    <w:rsid w:val="006A2E42"/>
    <w:rsid w:val="006A5032"/>
    <w:rsid w:val="006A5B0E"/>
    <w:rsid w:val="006B1FE5"/>
    <w:rsid w:val="006B4DED"/>
    <w:rsid w:val="006C1819"/>
    <w:rsid w:val="006C29FB"/>
    <w:rsid w:val="006D0366"/>
    <w:rsid w:val="006D3593"/>
    <w:rsid w:val="006D3F0B"/>
    <w:rsid w:val="006D5799"/>
    <w:rsid w:val="006D60AB"/>
    <w:rsid w:val="006D6B92"/>
    <w:rsid w:val="006E01F3"/>
    <w:rsid w:val="006E10BF"/>
    <w:rsid w:val="006E2489"/>
    <w:rsid w:val="006E4DA8"/>
    <w:rsid w:val="006E6EFC"/>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265E2"/>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3D"/>
    <w:rsid w:val="00753159"/>
    <w:rsid w:val="007569BB"/>
    <w:rsid w:val="00761508"/>
    <w:rsid w:val="007626C9"/>
    <w:rsid w:val="00764773"/>
    <w:rsid w:val="00764B9C"/>
    <w:rsid w:val="00765D9A"/>
    <w:rsid w:val="0076624E"/>
    <w:rsid w:val="007712FB"/>
    <w:rsid w:val="007717E2"/>
    <w:rsid w:val="00772FC0"/>
    <w:rsid w:val="007740D4"/>
    <w:rsid w:val="007756B0"/>
    <w:rsid w:val="00782959"/>
    <w:rsid w:val="00782E30"/>
    <w:rsid w:val="00785E5E"/>
    <w:rsid w:val="0078600B"/>
    <w:rsid w:val="00790676"/>
    <w:rsid w:val="00791410"/>
    <w:rsid w:val="007937AE"/>
    <w:rsid w:val="00793DE6"/>
    <w:rsid w:val="00793E8B"/>
    <w:rsid w:val="00794510"/>
    <w:rsid w:val="007958F2"/>
    <w:rsid w:val="007A1B5F"/>
    <w:rsid w:val="007A4D27"/>
    <w:rsid w:val="007A4F3E"/>
    <w:rsid w:val="007A5985"/>
    <w:rsid w:val="007A777F"/>
    <w:rsid w:val="007B10F6"/>
    <w:rsid w:val="007B1BE5"/>
    <w:rsid w:val="007B368E"/>
    <w:rsid w:val="007B5B14"/>
    <w:rsid w:val="007B5D05"/>
    <w:rsid w:val="007C20F7"/>
    <w:rsid w:val="007C304F"/>
    <w:rsid w:val="007C78D3"/>
    <w:rsid w:val="007C7B57"/>
    <w:rsid w:val="007D127B"/>
    <w:rsid w:val="007D2DD6"/>
    <w:rsid w:val="007D4E4A"/>
    <w:rsid w:val="007D5138"/>
    <w:rsid w:val="007D6A05"/>
    <w:rsid w:val="007D6E52"/>
    <w:rsid w:val="007E1330"/>
    <w:rsid w:val="007E2F7C"/>
    <w:rsid w:val="007E3EB8"/>
    <w:rsid w:val="007E4FA1"/>
    <w:rsid w:val="007E7BE8"/>
    <w:rsid w:val="007F4C86"/>
    <w:rsid w:val="007F6F6D"/>
    <w:rsid w:val="007F7257"/>
    <w:rsid w:val="00805ADB"/>
    <w:rsid w:val="00812452"/>
    <w:rsid w:val="00826923"/>
    <w:rsid w:val="0083461E"/>
    <w:rsid w:val="00834A9F"/>
    <w:rsid w:val="0083543F"/>
    <w:rsid w:val="008364E5"/>
    <w:rsid w:val="00837B04"/>
    <w:rsid w:val="0084221C"/>
    <w:rsid w:val="0084393C"/>
    <w:rsid w:val="00847A89"/>
    <w:rsid w:val="00853068"/>
    <w:rsid w:val="00854FEF"/>
    <w:rsid w:val="008602BE"/>
    <w:rsid w:val="00861669"/>
    <w:rsid w:val="008618D8"/>
    <w:rsid w:val="008632DB"/>
    <w:rsid w:val="008634AA"/>
    <w:rsid w:val="008640A5"/>
    <w:rsid w:val="00865821"/>
    <w:rsid w:val="00865AFA"/>
    <w:rsid w:val="00865FA0"/>
    <w:rsid w:val="008664A8"/>
    <w:rsid w:val="00866E96"/>
    <w:rsid w:val="00871354"/>
    <w:rsid w:val="0087187C"/>
    <w:rsid w:val="00874634"/>
    <w:rsid w:val="00875EA5"/>
    <w:rsid w:val="00881D4B"/>
    <w:rsid w:val="00891AE7"/>
    <w:rsid w:val="008A0651"/>
    <w:rsid w:val="008A1155"/>
    <w:rsid w:val="008A3181"/>
    <w:rsid w:val="008A72D6"/>
    <w:rsid w:val="008B1B75"/>
    <w:rsid w:val="008B3518"/>
    <w:rsid w:val="008B47DD"/>
    <w:rsid w:val="008B5A12"/>
    <w:rsid w:val="008B7E23"/>
    <w:rsid w:val="008C2A8C"/>
    <w:rsid w:val="008C3177"/>
    <w:rsid w:val="008C50E0"/>
    <w:rsid w:val="008C782A"/>
    <w:rsid w:val="008D4F7F"/>
    <w:rsid w:val="008D7E30"/>
    <w:rsid w:val="008E1083"/>
    <w:rsid w:val="008E2562"/>
    <w:rsid w:val="008E3872"/>
    <w:rsid w:val="008E729D"/>
    <w:rsid w:val="008F5112"/>
    <w:rsid w:val="008F6703"/>
    <w:rsid w:val="00900D78"/>
    <w:rsid w:val="00901C1E"/>
    <w:rsid w:val="00902164"/>
    <w:rsid w:val="00910FE1"/>
    <w:rsid w:val="0091229B"/>
    <w:rsid w:val="00912D25"/>
    <w:rsid w:val="00915C96"/>
    <w:rsid w:val="00915D77"/>
    <w:rsid w:val="00916DF8"/>
    <w:rsid w:val="0091758E"/>
    <w:rsid w:val="009216A8"/>
    <w:rsid w:val="00921C68"/>
    <w:rsid w:val="0092673B"/>
    <w:rsid w:val="0093134E"/>
    <w:rsid w:val="00931786"/>
    <w:rsid w:val="00937ABE"/>
    <w:rsid w:val="0094071D"/>
    <w:rsid w:val="00945925"/>
    <w:rsid w:val="00952DE4"/>
    <w:rsid w:val="00953C30"/>
    <w:rsid w:val="009568EF"/>
    <w:rsid w:val="00956B79"/>
    <w:rsid w:val="00965F6B"/>
    <w:rsid w:val="00970D92"/>
    <w:rsid w:val="00970F4C"/>
    <w:rsid w:val="0097130A"/>
    <w:rsid w:val="00974D94"/>
    <w:rsid w:val="009774FE"/>
    <w:rsid w:val="009832F8"/>
    <w:rsid w:val="009839DA"/>
    <w:rsid w:val="00985E49"/>
    <w:rsid w:val="009867C4"/>
    <w:rsid w:val="00990F9E"/>
    <w:rsid w:val="00991418"/>
    <w:rsid w:val="00994476"/>
    <w:rsid w:val="00994B0E"/>
    <w:rsid w:val="00995F8E"/>
    <w:rsid w:val="0099700D"/>
    <w:rsid w:val="00997347"/>
    <w:rsid w:val="009978A7"/>
    <w:rsid w:val="009A012A"/>
    <w:rsid w:val="009A016D"/>
    <w:rsid w:val="009A1CD3"/>
    <w:rsid w:val="009A44A4"/>
    <w:rsid w:val="009A4A5D"/>
    <w:rsid w:val="009A5EEF"/>
    <w:rsid w:val="009B18EB"/>
    <w:rsid w:val="009B5D1A"/>
    <w:rsid w:val="009C153E"/>
    <w:rsid w:val="009C28DE"/>
    <w:rsid w:val="009C2C5E"/>
    <w:rsid w:val="009C319E"/>
    <w:rsid w:val="009C5134"/>
    <w:rsid w:val="009C7391"/>
    <w:rsid w:val="009D0838"/>
    <w:rsid w:val="009D0C9F"/>
    <w:rsid w:val="009D10B2"/>
    <w:rsid w:val="009D2543"/>
    <w:rsid w:val="009D2632"/>
    <w:rsid w:val="009D6137"/>
    <w:rsid w:val="009D64E4"/>
    <w:rsid w:val="009E20F1"/>
    <w:rsid w:val="009E329B"/>
    <w:rsid w:val="009E38EA"/>
    <w:rsid w:val="009E5594"/>
    <w:rsid w:val="009F45CC"/>
    <w:rsid w:val="009F517D"/>
    <w:rsid w:val="009F60A6"/>
    <w:rsid w:val="009F6554"/>
    <w:rsid w:val="009F7F98"/>
    <w:rsid w:val="00A02F58"/>
    <w:rsid w:val="00A032AE"/>
    <w:rsid w:val="00A048D2"/>
    <w:rsid w:val="00A10DAC"/>
    <w:rsid w:val="00A20128"/>
    <w:rsid w:val="00A31988"/>
    <w:rsid w:val="00A34E71"/>
    <w:rsid w:val="00A34FE2"/>
    <w:rsid w:val="00A35FDA"/>
    <w:rsid w:val="00A360E8"/>
    <w:rsid w:val="00A41736"/>
    <w:rsid w:val="00A4217F"/>
    <w:rsid w:val="00A42C36"/>
    <w:rsid w:val="00A432EF"/>
    <w:rsid w:val="00A4395F"/>
    <w:rsid w:val="00A43B9C"/>
    <w:rsid w:val="00A4581B"/>
    <w:rsid w:val="00A45BD4"/>
    <w:rsid w:val="00A46B06"/>
    <w:rsid w:val="00A471E3"/>
    <w:rsid w:val="00A47CED"/>
    <w:rsid w:val="00A47DDA"/>
    <w:rsid w:val="00A509C6"/>
    <w:rsid w:val="00A52649"/>
    <w:rsid w:val="00A52A49"/>
    <w:rsid w:val="00A53C94"/>
    <w:rsid w:val="00A53DBD"/>
    <w:rsid w:val="00A54EC4"/>
    <w:rsid w:val="00A56DD8"/>
    <w:rsid w:val="00A6017D"/>
    <w:rsid w:val="00A64309"/>
    <w:rsid w:val="00A6484C"/>
    <w:rsid w:val="00A64A02"/>
    <w:rsid w:val="00A64F9E"/>
    <w:rsid w:val="00A656C0"/>
    <w:rsid w:val="00A66688"/>
    <w:rsid w:val="00A71306"/>
    <w:rsid w:val="00A7243C"/>
    <w:rsid w:val="00A72E53"/>
    <w:rsid w:val="00A77540"/>
    <w:rsid w:val="00A81DF0"/>
    <w:rsid w:val="00A8266F"/>
    <w:rsid w:val="00A843B5"/>
    <w:rsid w:val="00A855EA"/>
    <w:rsid w:val="00A86B3F"/>
    <w:rsid w:val="00A86F4D"/>
    <w:rsid w:val="00A87CF2"/>
    <w:rsid w:val="00A9067B"/>
    <w:rsid w:val="00A90E80"/>
    <w:rsid w:val="00A91FCD"/>
    <w:rsid w:val="00A96579"/>
    <w:rsid w:val="00A9791E"/>
    <w:rsid w:val="00AA1DFA"/>
    <w:rsid w:val="00AA2A04"/>
    <w:rsid w:val="00AA363D"/>
    <w:rsid w:val="00AA7C77"/>
    <w:rsid w:val="00AB1368"/>
    <w:rsid w:val="00AB37F4"/>
    <w:rsid w:val="00AB5163"/>
    <w:rsid w:val="00AB6561"/>
    <w:rsid w:val="00AB6BAD"/>
    <w:rsid w:val="00AC433F"/>
    <w:rsid w:val="00AC4B04"/>
    <w:rsid w:val="00AC59D1"/>
    <w:rsid w:val="00AC5D55"/>
    <w:rsid w:val="00AC7088"/>
    <w:rsid w:val="00AD0891"/>
    <w:rsid w:val="00AD0A31"/>
    <w:rsid w:val="00AD1B06"/>
    <w:rsid w:val="00AD6104"/>
    <w:rsid w:val="00AD6C55"/>
    <w:rsid w:val="00AD73D3"/>
    <w:rsid w:val="00AE0D84"/>
    <w:rsid w:val="00AF2D89"/>
    <w:rsid w:val="00AF7DA4"/>
    <w:rsid w:val="00B00EBD"/>
    <w:rsid w:val="00B0370E"/>
    <w:rsid w:val="00B03E68"/>
    <w:rsid w:val="00B05E35"/>
    <w:rsid w:val="00B1022C"/>
    <w:rsid w:val="00B124BD"/>
    <w:rsid w:val="00B12FB8"/>
    <w:rsid w:val="00B22390"/>
    <w:rsid w:val="00B23AAD"/>
    <w:rsid w:val="00B244A1"/>
    <w:rsid w:val="00B24F72"/>
    <w:rsid w:val="00B27419"/>
    <w:rsid w:val="00B30AEA"/>
    <w:rsid w:val="00B329B9"/>
    <w:rsid w:val="00B330C2"/>
    <w:rsid w:val="00B37406"/>
    <w:rsid w:val="00B404DF"/>
    <w:rsid w:val="00B419C8"/>
    <w:rsid w:val="00B4227A"/>
    <w:rsid w:val="00B43B8D"/>
    <w:rsid w:val="00B43EEA"/>
    <w:rsid w:val="00B43F6D"/>
    <w:rsid w:val="00B442A2"/>
    <w:rsid w:val="00B46712"/>
    <w:rsid w:val="00B47CFB"/>
    <w:rsid w:val="00B511E1"/>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12D2"/>
    <w:rsid w:val="00BA4F96"/>
    <w:rsid w:val="00BA5D85"/>
    <w:rsid w:val="00BA6688"/>
    <w:rsid w:val="00BA6BA9"/>
    <w:rsid w:val="00BA6F4B"/>
    <w:rsid w:val="00BC1A5D"/>
    <w:rsid w:val="00BC34D3"/>
    <w:rsid w:val="00BC6808"/>
    <w:rsid w:val="00BC71E1"/>
    <w:rsid w:val="00BD2962"/>
    <w:rsid w:val="00BD5C5C"/>
    <w:rsid w:val="00BD5D49"/>
    <w:rsid w:val="00BD643D"/>
    <w:rsid w:val="00BD79C5"/>
    <w:rsid w:val="00BE28AA"/>
    <w:rsid w:val="00BE371F"/>
    <w:rsid w:val="00BE41D3"/>
    <w:rsid w:val="00BE4FE4"/>
    <w:rsid w:val="00BE720A"/>
    <w:rsid w:val="00BE7698"/>
    <w:rsid w:val="00BF0B6D"/>
    <w:rsid w:val="00BF1BFB"/>
    <w:rsid w:val="00BF1FC1"/>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794"/>
    <w:rsid w:val="00C41926"/>
    <w:rsid w:val="00C42FB9"/>
    <w:rsid w:val="00C52BDA"/>
    <w:rsid w:val="00C578BE"/>
    <w:rsid w:val="00C60D9D"/>
    <w:rsid w:val="00C61129"/>
    <w:rsid w:val="00C640B2"/>
    <w:rsid w:val="00C72CF8"/>
    <w:rsid w:val="00C74678"/>
    <w:rsid w:val="00C74E37"/>
    <w:rsid w:val="00C846A4"/>
    <w:rsid w:val="00C847EE"/>
    <w:rsid w:val="00C853D5"/>
    <w:rsid w:val="00C955CE"/>
    <w:rsid w:val="00C955F4"/>
    <w:rsid w:val="00C96336"/>
    <w:rsid w:val="00C96C2E"/>
    <w:rsid w:val="00CA1B43"/>
    <w:rsid w:val="00CA6C99"/>
    <w:rsid w:val="00CB02F7"/>
    <w:rsid w:val="00CB25A2"/>
    <w:rsid w:val="00CB3CFA"/>
    <w:rsid w:val="00CB4B5C"/>
    <w:rsid w:val="00CB5499"/>
    <w:rsid w:val="00CC2015"/>
    <w:rsid w:val="00CC26EB"/>
    <w:rsid w:val="00CC59E5"/>
    <w:rsid w:val="00CD140E"/>
    <w:rsid w:val="00CD2F67"/>
    <w:rsid w:val="00CD3754"/>
    <w:rsid w:val="00CD3DCD"/>
    <w:rsid w:val="00CD5E04"/>
    <w:rsid w:val="00CD5E74"/>
    <w:rsid w:val="00CE0239"/>
    <w:rsid w:val="00CE132D"/>
    <w:rsid w:val="00CE18F2"/>
    <w:rsid w:val="00CE3BEA"/>
    <w:rsid w:val="00CE499C"/>
    <w:rsid w:val="00CE77E3"/>
    <w:rsid w:val="00CE7C3A"/>
    <w:rsid w:val="00CF04AE"/>
    <w:rsid w:val="00CF3E20"/>
    <w:rsid w:val="00D03D06"/>
    <w:rsid w:val="00D06A43"/>
    <w:rsid w:val="00D079BC"/>
    <w:rsid w:val="00D12CC9"/>
    <w:rsid w:val="00D13792"/>
    <w:rsid w:val="00D147C9"/>
    <w:rsid w:val="00D21E2D"/>
    <w:rsid w:val="00D22B42"/>
    <w:rsid w:val="00D26972"/>
    <w:rsid w:val="00D30647"/>
    <w:rsid w:val="00D3351A"/>
    <w:rsid w:val="00D34147"/>
    <w:rsid w:val="00D36AF6"/>
    <w:rsid w:val="00D36E09"/>
    <w:rsid w:val="00D41969"/>
    <w:rsid w:val="00D43A64"/>
    <w:rsid w:val="00D44632"/>
    <w:rsid w:val="00D450BB"/>
    <w:rsid w:val="00D5552B"/>
    <w:rsid w:val="00D557FD"/>
    <w:rsid w:val="00D56841"/>
    <w:rsid w:val="00D569A1"/>
    <w:rsid w:val="00D61557"/>
    <w:rsid w:val="00D632A3"/>
    <w:rsid w:val="00D65589"/>
    <w:rsid w:val="00D65BB5"/>
    <w:rsid w:val="00D6788F"/>
    <w:rsid w:val="00D70EC5"/>
    <w:rsid w:val="00D755D9"/>
    <w:rsid w:val="00D76947"/>
    <w:rsid w:val="00D82C29"/>
    <w:rsid w:val="00D84A39"/>
    <w:rsid w:val="00D85131"/>
    <w:rsid w:val="00D8543B"/>
    <w:rsid w:val="00D856CF"/>
    <w:rsid w:val="00D87F81"/>
    <w:rsid w:val="00D93455"/>
    <w:rsid w:val="00DA064C"/>
    <w:rsid w:val="00DA2795"/>
    <w:rsid w:val="00DA2CD8"/>
    <w:rsid w:val="00DA7B93"/>
    <w:rsid w:val="00DB296C"/>
    <w:rsid w:val="00DB41A3"/>
    <w:rsid w:val="00DC1151"/>
    <w:rsid w:val="00DC3579"/>
    <w:rsid w:val="00DC3612"/>
    <w:rsid w:val="00DC3E95"/>
    <w:rsid w:val="00DC4D0A"/>
    <w:rsid w:val="00DC5066"/>
    <w:rsid w:val="00DC69E8"/>
    <w:rsid w:val="00DE2383"/>
    <w:rsid w:val="00DF21D1"/>
    <w:rsid w:val="00DF24B9"/>
    <w:rsid w:val="00DF3624"/>
    <w:rsid w:val="00DF5EB7"/>
    <w:rsid w:val="00DF5FD1"/>
    <w:rsid w:val="00DF6A23"/>
    <w:rsid w:val="00E01723"/>
    <w:rsid w:val="00E02021"/>
    <w:rsid w:val="00E021C1"/>
    <w:rsid w:val="00E04A24"/>
    <w:rsid w:val="00E0564D"/>
    <w:rsid w:val="00E06261"/>
    <w:rsid w:val="00E07987"/>
    <w:rsid w:val="00E10926"/>
    <w:rsid w:val="00E13590"/>
    <w:rsid w:val="00E224A2"/>
    <w:rsid w:val="00E271E4"/>
    <w:rsid w:val="00E31B37"/>
    <w:rsid w:val="00E33CB7"/>
    <w:rsid w:val="00E34912"/>
    <w:rsid w:val="00E3564C"/>
    <w:rsid w:val="00E35A84"/>
    <w:rsid w:val="00E35E72"/>
    <w:rsid w:val="00E41079"/>
    <w:rsid w:val="00E42721"/>
    <w:rsid w:val="00E43490"/>
    <w:rsid w:val="00E44AF0"/>
    <w:rsid w:val="00E5082E"/>
    <w:rsid w:val="00E513CC"/>
    <w:rsid w:val="00E51A66"/>
    <w:rsid w:val="00E5415A"/>
    <w:rsid w:val="00E5487E"/>
    <w:rsid w:val="00E54C30"/>
    <w:rsid w:val="00E55349"/>
    <w:rsid w:val="00E55557"/>
    <w:rsid w:val="00E61F49"/>
    <w:rsid w:val="00E62ED2"/>
    <w:rsid w:val="00E6506B"/>
    <w:rsid w:val="00E658A1"/>
    <w:rsid w:val="00E662B2"/>
    <w:rsid w:val="00E671FB"/>
    <w:rsid w:val="00E671FC"/>
    <w:rsid w:val="00E747FE"/>
    <w:rsid w:val="00E75D3B"/>
    <w:rsid w:val="00E76BB5"/>
    <w:rsid w:val="00E76CA1"/>
    <w:rsid w:val="00E76F75"/>
    <w:rsid w:val="00E84BB9"/>
    <w:rsid w:val="00E84FA2"/>
    <w:rsid w:val="00E876A0"/>
    <w:rsid w:val="00E928D7"/>
    <w:rsid w:val="00E97C4A"/>
    <w:rsid w:val="00EA0448"/>
    <w:rsid w:val="00EA2AB9"/>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0B54"/>
    <w:rsid w:val="00EE28CD"/>
    <w:rsid w:val="00EE2976"/>
    <w:rsid w:val="00EE45FD"/>
    <w:rsid w:val="00EE5968"/>
    <w:rsid w:val="00EE5DF0"/>
    <w:rsid w:val="00EE6B58"/>
    <w:rsid w:val="00EF10E8"/>
    <w:rsid w:val="00EF34F7"/>
    <w:rsid w:val="00EF3746"/>
    <w:rsid w:val="00F01DE8"/>
    <w:rsid w:val="00F05682"/>
    <w:rsid w:val="00F1180E"/>
    <w:rsid w:val="00F121C0"/>
    <w:rsid w:val="00F17161"/>
    <w:rsid w:val="00F177AC"/>
    <w:rsid w:val="00F20F55"/>
    <w:rsid w:val="00F2227D"/>
    <w:rsid w:val="00F2233A"/>
    <w:rsid w:val="00F23D0F"/>
    <w:rsid w:val="00F2629E"/>
    <w:rsid w:val="00F26D57"/>
    <w:rsid w:val="00F32725"/>
    <w:rsid w:val="00F34857"/>
    <w:rsid w:val="00F3653F"/>
    <w:rsid w:val="00F36B57"/>
    <w:rsid w:val="00F434C7"/>
    <w:rsid w:val="00F44515"/>
    <w:rsid w:val="00F5504F"/>
    <w:rsid w:val="00F5578A"/>
    <w:rsid w:val="00F63B1C"/>
    <w:rsid w:val="00F63FBE"/>
    <w:rsid w:val="00F71684"/>
    <w:rsid w:val="00F71E6F"/>
    <w:rsid w:val="00F75EBF"/>
    <w:rsid w:val="00F76C54"/>
    <w:rsid w:val="00F76F11"/>
    <w:rsid w:val="00F77110"/>
    <w:rsid w:val="00F773B2"/>
    <w:rsid w:val="00F778A1"/>
    <w:rsid w:val="00F80B98"/>
    <w:rsid w:val="00F81B93"/>
    <w:rsid w:val="00F84319"/>
    <w:rsid w:val="00F858BA"/>
    <w:rsid w:val="00F86077"/>
    <w:rsid w:val="00F86697"/>
    <w:rsid w:val="00F86975"/>
    <w:rsid w:val="00F90494"/>
    <w:rsid w:val="00F90BC0"/>
    <w:rsid w:val="00F92DC8"/>
    <w:rsid w:val="00F933A1"/>
    <w:rsid w:val="00FA0393"/>
    <w:rsid w:val="00FA1F56"/>
    <w:rsid w:val="00FA2ECD"/>
    <w:rsid w:val="00FA49A7"/>
    <w:rsid w:val="00FA703B"/>
    <w:rsid w:val="00FB1CB1"/>
    <w:rsid w:val="00FB27F5"/>
    <w:rsid w:val="00FB5C17"/>
    <w:rsid w:val="00FB74A8"/>
    <w:rsid w:val="00FC14D4"/>
    <w:rsid w:val="00FC1C72"/>
    <w:rsid w:val="00FC4F61"/>
    <w:rsid w:val="00FC5060"/>
    <w:rsid w:val="00FC7475"/>
    <w:rsid w:val="00FD00AA"/>
    <w:rsid w:val="00FD0105"/>
    <w:rsid w:val="00FD0B1C"/>
    <w:rsid w:val="00FD2745"/>
    <w:rsid w:val="00FD46F3"/>
    <w:rsid w:val="00FD5C75"/>
    <w:rsid w:val="00FD7A4A"/>
    <w:rsid w:val="00FE0238"/>
    <w:rsid w:val="00FE2242"/>
    <w:rsid w:val="00FE41B0"/>
    <w:rsid w:val="00FE63C1"/>
    <w:rsid w:val="00FF7A06"/>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128"/>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normaltextrun">
    <w:name w:val="normaltextrun"/>
    <w:basedOn w:val="Policepardfaut"/>
    <w:rsid w:val="009F60A6"/>
  </w:style>
  <w:style w:type="character" w:customStyle="1" w:styleId="eop">
    <w:name w:val="eop"/>
    <w:basedOn w:val="Policepardfaut"/>
    <w:rsid w:val="009F6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661402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038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8927A-B3D0-40C3-BD43-301695C5F048}">
  <ds:schemaRefs>
    <ds:schemaRef ds:uri="http://schemas.openxmlformats.org/officeDocument/2006/bibliography"/>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4100</Words>
  <Characters>22552</Characters>
  <Application>Microsoft Office Word</Application>
  <DocSecurity>0</DocSecurity>
  <Lines>187</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3</cp:revision>
  <cp:lastPrinted>2014-02-10T17:12:00Z</cp:lastPrinted>
  <dcterms:created xsi:type="dcterms:W3CDTF">2021-12-08T16:26:00Z</dcterms:created>
  <dcterms:modified xsi:type="dcterms:W3CDTF">2021-12-08T16:31:00Z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