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34FAF4D"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EA3D04" w:rsidRPr="00E2307D">
        <w:rPr>
          <w:lang w:val="fr-FR"/>
        </w:rPr>
        <w:t>République Centrafricaine</w:t>
      </w:r>
    </w:p>
    <w:p w14:paraId="35B8BCCA" w14:textId="62E18A01" w:rsidR="000F43A8" w:rsidRPr="00EA3D04"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B60521">
        <w:rPr>
          <w:b/>
          <w:sz w:val="22"/>
          <w:szCs w:val="22"/>
        </w:rPr>
        <w:fldChar w:fldCharType="begin">
          <w:ffData>
            <w:name w:val=""/>
            <w:enabled/>
            <w:calcOnExit w:val="0"/>
            <w:ddList>
              <w:listEntry w:val="Annuel"/>
              <w:listEntry w:val="Veuillez sélectionner"/>
              <w:listEntry w:val="Semestriel"/>
              <w:listEntry w:val="Final"/>
            </w:ddList>
          </w:ffData>
        </w:fldChar>
      </w:r>
      <w:r w:rsidR="00B60521" w:rsidRPr="00B60521">
        <w:rPr>
          <w:b/>
          <w:sz w:val="22"/>
          <w:szCs w:val="22"/>
          <w:lang w:val="fr-FR"/>
        </w:rPr>
        <w:instrText xml:space="preserve"> FORMDROPDOWN </w:instrText>
      </w:r>
      <w:r w:rsidR="004E507F">
        <w:rPr>
          <w:b/>
          <w:sz w:val="22"/>
          <w:szCs w:val="22"/>
        </w:rPr>
      </w:r>
      <w:r w:rsidR="004E507F">
        <w:rPr>
          <w:b/>
          <w:sz w:val="22"/>
          <w:szCs w:val="22"/>
        </w:rPr>
        <w:fldChar w:fldCharType="separate"/>
      </w:r>
      <w:r w:rsidR="00B60521">
        <w:rPr>
          <w:b/>
          <w:sz w:val="22"/>
          <w:szCs w:val="22"/>
        </w:rPr>
        <w:fldChar w:fldCharType="end"/>
      </w:r>
    </w:p>
    <w:p w14:paraId="0B2F56D8" w14:textId="7304E414" w:rsidR="000554F8" w:rsidRDefault="00500587" w:rsidP="000F43A8">
      <w:pPr>
        <w:jc w:val="center"/>
        <w:rPr>
          <w:bCs/>
          <w:iCs/>
          <w:snapToGrid w:val="0"/>
          <w:szCs w:val="28"/>
        </w:rPr>
      </w:pPr>
      <w:r>
        <w:rPr>
          <w:b/>
          <w:bCs/>
          <w:caps/>
        </w:rPr>
        <w:t>ANNEE</w:t>
      </w:r>
      <w:r w:rsidR="000F43A8">
        <w:rPr>
          <w:b/>
          <w:bCs/>
          <w:caps/>
        </w:rPr>
        <w:t xml:space="preserve"> DE RAPPORT: </w:t>
      </w:r>
      <w:r w:rsidR="00EA3D04">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F1A09" w14:paraId="26E9F2DE" w14:textId="77777777" w:rsidTr="00F23D0F">
        <w:trPr>
          <w:trHeight w:val="422"/>
        </w:trPr>
        <w:tc>
          <w:tcPr>
            <w:tcW w:w="10080" w:type="dxa"/>
            <w:gridSpan w:val="2"/>
          </w:tcPr>
          <w:p w14:paraId="22A40849" w14:textId="77777777" w:rsidR="00EA3D04" w:rsidRPr="00E2307D" w:rsidRDefault="000F43A8" w:rsidP="00EA3D04">
            <w:pPr>
              <w:pStyle w:val="BalloonText"/>
              <w:rPr>
                <w:lang w:val="fr-FR"/>
              </w:rPr>
            </w:pPr>
            <w:r w:rsidRPr="00136BFF">
              <w:rPr>
                <w:rFonts w:ascii="Times New Roman" w:hAnsi="Times New Roman" w:cs="Times New Roman"/>
                <w:b/>
                <w:sz w:val="24"/>
                <w:szCs w:val="24"/>
                <w:lang w:val="fr-FR"/>
              </w:rPr>
              <w:t>Titre du projet:</w:t>
            </w:r>
            <w:r w:rsidRPr="00BF041D">
              <w:rPr>
                <w:rFonts w:ascii="Times New Roman" w:hAnsi="Times New Roman" w:cs="Times New Roman"/>
                <w:b/>
                <w:bCs/>
                <w:sz w:val="24"/>
                <w:szCs w:val="24"/>
                <w:lang w:val="fr-FR"/>
              </w:rPr>
              <w:t xml:space="preserve"> </w:t>
            </w:r>
            <w:r w:rsidR="00EA3D04" w:rsidRPr="00013C6B">
              <w:rPr>
                <w:rFonts w:ascii="Times New Roman" w:hAnsi="Times New Roman" w:cs="Times New Roman"/>
                <w:b/>
                <w:bCs/>
                <w:sz w:val="24"/>
                <w:szCs w:val="24"/>
                <w:lang w:val="fr-FR"/>
              </w:rPr>
              <w:t>Appui au renforcement des mécanismes de gestion concertée et apaisée de la transhumance pour la restauration du dialogue intercommunautaire et la consolidation de la paix dans les préfectures de l’Ouham et de l’Ouham-Pendé</w:t>
            </w:r>
          </w:p>
          <w:p w14:paraId="11EF4F5F" w14:textId="1DAEBB91"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p>
          <w:p w14:paraId="24C4A490" w14:textId="5E75F271" w:rsidR="00793DE6" w:rsidRPr="00EA3D04" w:rsidRDefault="000F43A8" w:rsidP="00EA3D04">
            <w:pPr>
              <w:rPr>
                <w:b/>
                <w:lang w:val="en-US"/>
              </w:rPr>
            </w:pPr>
            <w:proofErr w:type="spellStart"/>
            <w:r w:rsidRPr="00EA3D04">
              <w:rPr>
                <w:b/>
                <w:lang w:val="en-US"/>
              </w:rPr>
              <w:t>Numéro</w:t>
            </w:r>
            <w:proofErr w:type="spellEnd"/>
            <w:r w:rsidRPr="00EA3D04">
              <w:rPr>
                <w:b/>
                <w:lang w:val="en-US"/>
              </w:rPr>
              <w:t xml:space="preserve"> </w:t>
            </w:r>
            <w:proofErr w:type="spellStart"/>
            <w:r w:rsidRPr="00EA3D04">
              <w:rPr>
                <w:b/>
                <w:lang w:val="en-US"/>
              </w:rPr>
              <w:t>Projet</w:t>
            </w:r>
            <w:proofErr w:type="spellEnd"/>
            <w:r w:rsidRPr="00EA3D04">
              <w:rPr>
                <w:b/>
                <w:lang w:val="en-US"/>
              </w:rPr>
              <w:t xml:space="preserve"> / MPTF Gateway</w:t>
            </w:r>
            <w:r w:rsidR="00793DE6" w:rsidRPr="00EA3D04">
              <w:rPr>
                <w:b/>
                <w:lang w:val="en-US"/>
              </w:rPr>
              <w:t xml:space="preserve">: </w:t>
            </w:r>
            <w:r w:rsidR="00213A56">
              <w:rPr>
                <w:b/>
              </w:rPr>
              <w:fldChar w:fldCharType="begin">
                <w:ffData>
                  <w:name w:val="projtype"/>
                  <w:enabled/>
                  <w:calcOnExit w:val="0"/>
                  <w:ddList>
                    <w:listEntry w:val="PRF"/>
                    <w:listEntry w:val="IRF"/>
                    <w:listEntry w:val="Veuillez sélectionner"/>
                  </w:ddList>
                </w:ffData>
              </w:fldChar>
            </w:r>
            <w:bookmarkStart w:id="0" w:name="projtype"/>
            <w:r w:rsidR="00213A56">
              <w:rPr>
                <w:b/>
              </w:rPr>
              <w:instrText xml:space="preserve"> FORMDROPDOWN </w:instrText>
            </w:r>
            <w:r w:rsidR="004E507F">
              <w:rPr>
                <w:b/>
              </w:rPr>
            </w:r>
            <w:r w:rsidR="004E507F">
              <w:rPr>
                <w:b/>
              </w:rPr>
              <w:fldChar w:fldCharType="separate"/>
            </w:r>
            <w:r w:rsidR="00213A56">
              <w:rPr>
                <w:b/>
              </w:rPr>
              <w:fldChar w:fldCharType="end"/>
            </w:r>
            <w:bookmarkEnd w:id="0"/>
            <w:r w:rsidR="00A43B9C" w:rsidRPr="00EA3D04">
              <w:rPr>
                <w:b/>
                <w:lang w:val="en-US"/>
              </w:rPr>
              <w:t xml:space="preserve">   </w:t>
            </w:r>
            <w:r w:rsidR="00EA3D04">
              <w:t>PBF/CAF/A-13/</w:t>
            </w:r>
            <w:r w:rsidR="009F1A09">
              <w:t xml:space="preserve"> MPTF </w:t>
            </w:r>
            <w:r w:rsidR="00EA3D04" w:rsidRPr="00E2307D">
              <w:t>00124597</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E507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4E507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54AC2E3F" w:rsidR="00A43B9C" w:rsidRPr="00627A1C" w:rsidRDefault="00EA3D04" w:rsidP="00D168A2">
            <w:pPr>
              <w:pStyle w:val="BalloonText"/>
              <w:numPr>
                <w:ilvl w:val="0"/>
                <w:numId w:val="2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FAO</w:t>
            </w:r>
            <w:r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2BB45922" w:rsidR="00A43B9C" w:rsidRPr="00627A1C" w:rsidRDefault="00EA3D04" w:rsidP="00D168A2">
            <w:pPr>
              <w:pStyle w:val="BalloonText"/>
              <w:numPr>
                <w:ilvl w:val="0"/>
                <w:numId w:val="2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UNFPA</w:t>
            </w:r>
          </w:p>
          <w:p w14:paraId="0673E8AA" w14:textId="230CEA68"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D168A2" w14:paraId="72CE853D" w14:textId="77777777" w:rsidTr="00F23D0F">
        <w:trPr>
          <w:trHeight w:val="368"/>
        </w:trPr>
        <w:tc>
          <w:tcPr>
            <w:tcW w:w="10080" w:type="dxa"/>
            <w:gridSpan w:val="2"/>
          </w:tcPr>
          <w:p w14:paraId="5C2804C5" w14:textId="2A7A2796"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EA3D04" w:rsidRPr="00E2307D">
              <w:rPr>
                <w:lang w:val="fr-FR"/>
              </w:rPr>
              <w:t>11 Novembre 2020</w:t>
            </w:r>
          </w:p>
          <w:p w14:paraId="064BF427" w14:textId="2B4D63FC"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EA3D04" w:rsidRPr="00E2307D">
              <w:rPr>
                <w:lang w:val="fr-FR"/>
              </w:rPr>
              <w:t>11 Octobre 2022</w:t>
            </w:r>
            <w:r w:rsidR="0025220B" w:rsidRPr="000F43A8">
              <w:rPr>
                <w:bCs/>
                <w:iCs/>
                <w:snapToGrid w:val="0"/>
                <w:lang w:val="fr-FR"/>
              </w:rPr>
              <w:t xml:space="preserve">     </w:t>
            </w:r>
          </w:p>
          <w:p w14:paraId="2AE235F0" w14:textId="4498BDCA"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9F1A09">
              <w:rPr>
                <w:bCs/>
                <w:iCs/>
                <w:snapToGrid w:val="0"/>
              </w:rPr>
              <w:fldChar w:fldCharType="begin">
                <w:ffData>
                  <w:name w:val="enddate"/>
                  <w:enabled/>
                  <w:calcOnExit w:val="0"/>
                  <w:ddList>
                    <w:listEntry w:val="Non"/>
                    <w:listEntry w:val="Veuillez sélectionner"/>
                    <w:listEntry w:val="Oui"/>
                  </w:ddList>
                </w:ffData>
              </w:fldChar>
            </w:r>
            <w:r w:rsidR="009F1A09" w:rsidRPr="00013C6B">
              <w:rPr>
                <w:bCs/>
                <w:iCs/>
                <w:snapToGrid w:val="0"/>
                <w:lang w:val="fr-FR"/>
              </w:rPr>
              <w:instrText xml:space="preserve"> </w:instrText>
            </w:r>
            <w:bookmarkStart w:id="1" w:name="enddate"/>
            <w:r w:rsidR="009F1A09" w:rsidRPr="00013C6B">
              <w:rPr>
                <w:bCs/>
                <w:iCs/>
                <w:snapToGrid w:val="0"/>
                <w:lang w:val="fr-FR"/>
              </w:rPr>
              <w:instrText xml:space="preserve">FORMDROPDOWN </w:instrText>
            </w:r>
            <w:r w:rsidR="004E507F">
              <w:rPr>
                <w:bCs/>
                <w:iCs/>
                <w:snapToGrid w:val="0"/>
              </w:rPr>
            </w:r>
            <w:r w:rsidR="004E507F">
              <w:rPr>
                <w:bCs/>
                <w:iCs/>
                <w:snapToGrid w:val="0"/>
              </w:rPr>
              <w:fldChar w:fldCharType="separate"/>
            </w:r>
            <w:r w:rsidR="009F1A09">
              <w:rPr>
                <w:bCs/>
                <w:iCs/>
                <w:snapToGrid w:val="0"/>
              </w:rPr>
              <w:fldChar w:fldCharType="end"/>
            </w:r>
            <w:bookmarkEnd w:id="1"/>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507F">
              <w:rPr>
                <w:lang w:val="fr-FR"/>
              </w:rPr>
            </w:r>
            <w:r w:rsidR="004E507F">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507F">
              <w:rPr>
                <w:lang w:val="fr-FR"/>
              </w:rPr>
            </w:r>
            <w:r w:rsidR="004E507F">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507F">
              <w:rPr>
                <w:lang w:val="fr-FR"/>
              </w:rPr>
            </w:r>
            <w:r w:rsidR="004E507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4E507F">
              <w:rPr>
                <w:lang w:val="fr-FR"/>
              </w:rPr>
            </w:r>
            <w:r w:rsidR="004E507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D168A2"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61353E95" w14:textId="62FFE790" w:rsidR="00793DE6" w:rsidRPr="007C7B57" w:rsidRDefault="00EA3D04" w:rsidP="00F23D0F">
            <w:pPr>
              <w:rPr>
                <w:iCs/>
                <w:lang w:val="fr-FR"/>
              </w:rPr>
            </w:pPr>
            <w:r w:rsidRPr="00013C6B">
              <w:rPr>
                <w:bCs/>
                <w:iCs/>
                <w:snapToGrid w:val="0"/>
                <w:lang w:val="fr-FR"/>
              </w:rPr>
              <w:t>FAO</w:t>
            </w:r>
            <w:r w:rsidRPr="007C7B57">
              <w:rPr>
                <w:bCs/>
                <w:iCs/>
                <w:snapToGrid w:val="0"/>
                <w:lang w:val="fr-FR"/>
              </w:rPr>
              <w:t xml:space="preserve">   </w:t>
            </w:r>
            <w:r w:rsidRPr="007C7B57">
              <w:rPr>
                <w:b/>
                <w:bCs/>
                <w:iCs/>
                <w:lang w:val="fr-FR"/>
              </w:rPr>
              <w:t xml:space="preserve">                                                     </w:t>
            </w:r>
            <w:r w:rsidR="00793DE6" w:rsidRPr="007C7B57">
              <w:rPr>
                <w:iCs/>
                <w:lang w:val="fr-FR"/>
              </w:rPr>
              <w:t xml:space="preserve">$ </w:t>
            </w:r>
            <w:r w:rsidRPr="003D3C0B">
              <w:rPr>
                <w:bCs/>
                <w:iCs/>
                <w:snapToGrid w:val="0"/>
                <w:lang w:val="fr-FR"/>
              </w:rPr>
              <w:t>2000000.00</w:t>
            </w:r>
          </w:p>
          <w:p w14:paraId="52AEBA43" w14:textId="0DF916F1" w:rsidR="00793DE6" w:rsidRPr="007C7B57" w:rsidRDefault="00EA3D04"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013C6B">
              <w:rPr>
                <w:rFonts w:ascii="Times New Roman" w:hAnsi="Times New Roman" w:cs="Times New Roman"/>
                <w:bCs/>
                <w:iCs/>
                <w:snapToGrid w:val="0"/>
                <w:sz w:val="24"/>
                <w:szCs w:val="24"/>
                <w:lang w:val="fr-FR"/>
              </w:rPr>
              <w:t>UNFPA</w:t>
            </w:r>
            <w:r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013C6B">
              <w:rPr>
                <w:rFonts w:ascii="Times New Roman" w:hAnsi="Times New Roman" w:cs="Times New Roman"/>
                <w:bCs/>
                <w:iCs/>
                <w:snapToGrid w:val="0"/>
                <w:sz w:val="24"/>
                <w:szCs w:val="24"/>
                <w:lang w:val="fr-FR"/>
              </w:rPr>
              <w:t>1000000.00</w:t>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A1B3B2C"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EA3D04" w:rsidRPr="00013C6B">
              <w:rPr>
                <w:rFonts w:ascii="Times New Roman" w:hAnsi="Times New Roman" w:cs="Times New Roman"/>
                <w:bCs/>
                <w:iCs/>
                <w:snapToGrid w:val="0"/>
                <w:sz w:val="24"/>
                <w:szCs w:val="24"/>
                <w:lang w:val="fr-FR"/>
              </w:rPr>
              <w:t>3000000.00</w:t>
            </w:r>
            <w:r w:rsidR="00EA3D04" w:rsidRPr="007C7B57">
              <w:rPr>
                <w:rFonts w:ascii="Times New Roman" w:hAnsi="Times New Roman" w:cs="Times New Roman"/>
                <w:bCs/>
                <w:iCs/>
                <w:snapToGrid w:val="0"/>
                <w:sz w:val="24"/>
                <w:szCs w:val="24"/>
                <w:lang w:val="fr-FR"/>
              </w:rPr>
              <w:t xml:space="preserve"> </w:t>
            </w:r>
          </w:p>
          <w:p w14:paraId="5324AF29" w14:textId="45999EBB"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4B4C98" w:rsidRPr="00D168A2">
              <w:rPr>
                <w:rFonts w:ascii="Times New Roman" w:hAnsi="Times New Roman" w:cs="Times New Roman"/>
                <w:b/>
                <w:iCs/>
                <w:snapToGrid w:val="0"/>
                <w:sz w:val="24"/>
                <w:szCs w:val="24"/>
                <w:lang w:val="fr-FR"/>
              </w:rPr>
              <w:t>29</w:t>
            </w:r>
            <w:r w:rsidR="00EA3D04" w:rsidRPr="00691927">
              <w:rPr>
                <w:rFonts w:ascii="Times New Roman" w:hAnsi="Times New Roman" w:cs="Times New Roman"/>
                <w:b/>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A69B933" w:rsidR="00006EC0" w:rsidRPr="000F43A8" w:rsidRDefault="00FA7242"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Pr>
                <w:rFonts w:ascii="Times New Roman" w:hAnsi="Times New Roman" w:cs="Times New Roman"/>
                <w:b/>
                <w:bCs/>
                <w:sz w:val="24"/>
                <w:szCs w:val="24"/>
                <w:lang w:val="fr-FR"/>
              </w:rPr>
              <w:t>Budgé</w:t>
            </w:r>
            <w:r w:rsidR="000F43A8" w:rsidRPr="000F43A8">
              <w:rPr>
                <w:rFonts w:ascii="Times New Roman" w:hAnsi="Times New Roman" w:cs="Times New Roman"/>
                <w:b/>
                <w:bCs/>
                <w:sz w:val="24"/>
                <w:szCs w:val="24"/>
                <w:lang w:val="fr-FR"/>
              </w:rPr>
              <w:t>tisation sensible au genre</w:t>
            </w:r>
            <w:r w:rsidR="00006EC0" w:rsidRPr="000F43A8">
              <w:rPr>
                <w:rFonts w:ascii="Times New Roman" w:hAnsi="Times New Roman" w:cs="Times New Roman"/>
                <w:b/>
                <w:bCs/>
                <w:sz w:val="24"/>
                <w:szCs w:val="24"/>
                <w:lang w:val="fr-FR"/>
              </w:rPr>
              <w:t>:</w:t>
            </w:r>
          </w:p>
          <w:p w14:paraId="70C2EA9C" w14:textId="6C4DE14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EA3D04" w:rsidRPr="00013C6B">
              <w:rPr>
                <w:b/>
                <w:bCs/>
                <w:lang w:val="fr-FR"/>
              </w:rPr>
              <w:t>984</w:t>
            </w:r>
            <w:r w:rsidR="009F1A09">
              <w:rPr>
                <w:b/>
                <w:bCs/>
                <w:lang w:val="fr-FR"/>
              </w:rPr>
              <w:t>,</w:t>
            </w:r>
            <w:r w:rsidR="00EA3D04" w:rsidRPr="00013C6B">
              <w:rPr>
                <w:b/>
                <w:bCs/>
                <w:lang w:val="fr-FR"/>
              </w:rPr>
              <w:t>491.80</w:t>
            </w:r>
            <w:r w:rsidR="009F1A09">
              <w:rPr>
                <w:b/>
                <w:bCs/>
                <w:lang w:val="fr-FR"/>
              </w:rPr>
              <w:t xml:space="preserve"> $</w:t>
            </w:r>
          </w:p>
          <w:p w14:paraId="00AF6414" w14:textId="316B32E4" w:rsidR="00006EC0" w:rsidRPr="004B4C9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w:t>
            </w:r>
            <w:r w:rsidR="00F3493A">
              <w:rPr>
                <w:lang w:val="fr-FR"/>
              </w:rPr>
              <w:t xml:space="preserve">   </w:t>
            </w:r>
            <w:r w:rsidR="004B4C98" w:rsidRPr="00D168A2">
              <w:rPr>
                <w:b/>
                <w:iCs/>
                <w:snapToGrid w:val="0"/>
                <w:lang w:val="fr-FR"/>
              </w:rPr>
              <w:t>266,267</w:t>
            </w:r>
            <w:r w:rsidR="00EA3D04" w:rsidRPr="00691927">
              <w:rPr>
                <w:b/>
                <w:bCs/>
                <w:lang w:val="fr-FR"/>
              </w:rPr>
              <w:t>.00</w:t>
            </w:r>
            <w:r w:rsidR="009F1A09" w:rsidRPr="00691927">
              <w:rPr>
                <w:b/>
                <w:bCs/>
                <w:lang w:val="fr-FR"/>
              </w:rPr>
              <w:t xml:space="preserve"> $</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D168A2" w14:paraId="0DF7F010" w14:textId="77777777" w:rsidTr="00F23D0F">
        <w:trPr>
          <w:trHeight w:val="1124"/>
        </w:trPr>
        <w:tc>
          <w:tcPr>
            <w:tcW w:w="10080" w:type="dxa"/>
            <w:gridSpan w:val="2"/>
          </w:tcPr>
          <w:p w14:paraId="0084A294" w14:textId="411F8F3D"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450665">
              <w:rPr>
                <w:b/>
                <w:bCs/>
                <w:iCs/>
                <w:lang w:val="fr-FR"/>
              </w:rPr>
              <w:t>GM2</w:t>
            </w:r>
          </w:p>
          <w:p w14:paraId="7B5DB9E4" w14:textId="67C43651"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450665">
              <w:rPr>
                <w:b/>
                <w:bCs/>
                <w:iCs/>
                <w:lang w:val="fr-FR"/>
              </w:rPr>
              <w:t>Moyen</w:t>
            </w:r>
          </w:p>
          <w:p w14:paraId="55B14D86" w14:textId="0ABAE1DD" w:rsidR="009B18EB" w:rsidRPr="00EA3D04"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213A56">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3" w:name="focusarea"/>
            <w:r w:rsidR="00213A56" w:rsidRPr="00D168A2">
              <w:rPr>
                <w:b/>
                <w:bCs/>
                <w:iCs/>
                <w:lang w:val="fr-FR"/>
              </w:rPr>
              <w:instrText xml:space="preserve"> FORMDROPDOWN </w:instrText>
            </w:r>
            <w:r w:rsidR="004E507F">
              <w:rPr>
                <w:b/>
                <w:bCs/>
                <w:iCs/>
              </w:rPr>
            </w:r>
            <w:r w:rsidR="004E507F">
              <w:rPr>
                <w:b/>
                <w:bCs/>
                <w:iCs/>
              </w:rPr>
              <w:fldChar w:fldCharType="separate"/>
            </w:r>
            <w:r w:rsidR="00213A56">
              <w:rPr>
                <w:b/>
                <w:bCs/>
                <w:iCs/>
              </w:rPr>
              <w:fldChar w:fldCharType="end"/>
            </w:r>
            <w:bookmarkEnd w:id="3"/>
          </w:p>
        </w:tc>
      </w:tr>
      <w:tr w:rsidR="00793DE6" w:rsidRPr="00D168A2"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2CE4E568" w:rsidR="000F43A8" w:rsidRPr="00826923" w:rsidRDefault="000F43A8" w:rsidP="000F43A8">
            <w:pPr>
              <w:rPr>
                <w:lang w:val="fr-FR"/>
              </w:rPr>
            </w:pPr>
            <w:r w:rsidRPr="00826923">
              <w:rPr>
                <w:lang w:val="fr-FR"/>
              </w:rPr>
              <w:t xml:space="preserve">Rapport préparé par: </w:t>
            </w:r>
            <w:r w:rsidR="00EA3D04">
              <w:rPr>
                <w:lang w:val="fr-FR"/>
              </w:rPr>
              <w:t>Bakary CISSE</w:t>
            </w:r>
            <w:r w:rsidR="00213A56">
              <w:rPr>
                <w:lang w:val="fr-FR"/>
              </w:rPr>
              <w:t xml:space="preserve">, </w:t>
            </w:r>
          </w:p>
          <w:p w14:paraId="4F7F6063" w14:textId="1766DC09" w:rsidR="000F43A8" w:rsidRPr="00826923" w:rsidRDefault="000F43A8" w:rsidP="000F43A8">
            <w:pPr>
              <w:rPr>
                <w:lang w:val="fr-FR"/>
              </w:rPr>
            </w:pPr>
            <w:r w:rsidRPr="00826923">
              <w:rPr>
                <w:lang w:val="fr-FR"/>
              </w:rPr>
              <w:t xml:space="preserve">Rapport approuvé par: </w:t>
            </w:r>
            <w:r w:rsidR="00804EFC">
              <w:rPr>
                <w:lang w:val="fr-FR"/>
              </w:rPr>
              <w:t xml:space="preserve"> Perpetua KATEPAKALALA, Représentante de la FAO </w:t>
            </w:r>
          </w:p>
          <w:p w14:paraId="64A19D37" w14:textId="67A4D7A5" w:rsidR="000F43A8" w:rsidRPr="000F43A8" w:rsidRDefault="000F43A8" w:rsidP="005C4594">
            <w:pPr>
              <w:rPr>
                <w:lang w:val="fr-FR"/>
              </w:rPr>
            </w:pPr>
            <w:r w:rsidRPr="00826923">
              <w:rPr>
                <w:lang w:val="fr-FR"/>
              </w:rPr>
              <w:t>Le Secrétariat PBF a-t-il revu le rapport</w:t>
            </w:r>
            <w:r w:rsidRPr="00136BFF">
              <w:rPr>
                <w:sz w:val="22"/>
                <w:lang w:val="fr-FR"/>
              </w:rPr>
              <w:t xml:space="preserve">: </w:t>
            </w:r>
            <w:r w:rsidR="00D168A2">
              <w:rPr>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4D39E8">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4D39E8">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4D39E8">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4D39E8">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4D39E8">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C4F52A7" w14:textId="77777777" w:rsidR="008D536F" w:rsidRDefault="00F778A1" w:rsidP="00450665">
      <w:pPr>
        <w:ind w:left="-810"/>
        <w:jc w:val="both"/>
        <w:rPr>
          <w:b/>
          <w:bCs/>
          <w:lang w:val="fr-FR"/>
        </w:rPr>
      </w:pPr>
      <w:r w:rsidRPr="00013C6B">
        <w:rPr>
          <w:b/>
          <w:bCs/>
          <w:lang w:val="fr-FR"/>
        </w:rPr>
        <w:t xml:space="preserve">Expliquer brièvement </w:t>
      </w:r>
      <w:commentRangeStart w:id="4"/>
      <w:r w:rsidRPr="00013C6B">
        <w:rPr>
          <w:b/>
          <w:bCs/>
          <w:lang w:val="fr-FR"/>
        </w:rPr>
        <w:t xml:space="preserve">l'état global de mise en œuvre du projet </w:t>
      </w:r>
      <w:commentRangeEnd w:id="4"/>
      <w:r w:rsidR="00401C3D">
        <w:rPr>
          <w:rStyle w:val="CommentReference"/>
        </w:rPr>
        <w:commentReference w:id="4"/>
      </w:r>
      <w:r w:rsidRPr="00013C6B">
        <w:rPr>
          <w:b/>
          <w:bCs/>
          <w:lang w:val="fr-FR"/>
        </w:rPr>
        <w:t xml:space="preserve">en termes de cycle de mise en œuvre, y compris si toutes les activités préparatoires ont été achevées (par exemple, contractualisation des partenaires, recrutement du personnel etc.) </w:t>
      </w:r>
    </w:p>
    <w:p w14:paraId="073B7979" w14:textId="77777777" w:rsidR="00795FCE" w:rsidRDefault="00F778A1" w:rsidP="00795FCE">
      <w:pPr>
        <w:ind w:left="-810"/>
        <w:jc w:val="both"/>
        <w:rPr>
          <w:lang w:val="fr-FR"/>
        </w:rPr>
      </w:pPr>
      <w:r w:rsidRPr="00D121F1">
        <w:rPr>
          <w:lang w:val="fr-FR"/>
        </w:rPr>
        <w:t>(limite de 1500 caractères</w:t>
      </w:r>
      <w:r w:rsidR="008D536F" w:rsidRPr="00013C6B">
        <w:rPr>
          <w:lang w:val="fr-FR"/>
        </w:rPr>
        <w:t>) :</w:t>
      </w:r>
      <w:r w:rsidRPr="00D121F1">
        <w:rPr>
          <w:lang w:val="fr-FR"/>
        </w:rPr>
        <w:t xml:space="preserve"> </w:t>
      </w:r>
    </w:p>
    <w:p w14:paraId="7582A102" w14:textId="77777777" w:rsidR="00795FCE" w:rsidRPr="00795FCE" w:rsidRDefault="00795FCE" w:rsidP="00795FCE">
      <w:pPr>
        <w:ind w:left="-810"/>
        <w:jc w:val="both"/>
        <w:rPr>
          <w:sz w:val="14"/>
          <w:szCs w:val="14"/>
          <w:lang w:val="fr-FR"/>
        </w:rPr>
      </w:pPr>
    </w:p>
    <w:p w14:paraId="76F11A8D" w14:textId="1A9484BE" w:rsidR="00B9426D" w:rsidRDefault="00213A56" w:rsidP="0091647F">
      <w:pPr>
        <w:pStyle w:val="ListParagraph"/>
        <w:ind w:left="-90"/>
        <w:jc w:val="both"/>
        <w:rPr>
          <w:lang w:val="fr-FR"/>
        </w:rPr>
      </w:pPr>
      <w:r>
        <w:rPr>
          <w:bCs/>
          <w:lang w:val="fr-FR"/>
        </w:rPr>
        <w:t xml:space="preserve">L’équipe du projet est recrutée et opérationnelle. </w:t>
      </w:r>
      <w:r w:rsidR="00B9426D" w:rsidRPr="004D7FE1">
        <w:rPr>
          <w:lang w:val="fr-FR"/>
        </w:rPr>
        <w:t>La première réunion</w:t>
      </w:r>
      <w:r w:rsidR="00B9426D">
        <w:rPr>
          <w:lang w:val="fr-FR"/>
        </w:rPr>
        <w:t xml:space="preserve"> du Comité de pilotage, couplée au lancement officiel du projet,</w:t>
      </w:r>
      <w:r w:rsidR="00B9426D" w:rsidRPr="004D7FE1">
        <w:rPr>
          <w:lang w:val="fr-FR"/>
        </w:rPr>
        <w:t xml:space="preserve"> s’est tenue le Vendredi 3</w:t>
      </w:r>
      <w:r w:rsidR="00B9426D">
        <w:rPr>
          <w:lang w:val="fr-FR"/>
        </w:rPr>
        <w:t>0 Juillet 2021</w:t>
      </w:r>
      <w:r w:rsidR="00B9426D" w:rsidRPr="004D7FE1">
        <w:rPr>
          <w:lang w:val="fr-FR"/>
        </w:rPr>
        <w:t xml:space="preserve"> dans la Salle de Conférence du Ministère de l’Elevage et de la Santé Animale </w:t>
      </w:r>
      <w:r w:rsidR="00B9426D">
        <w:rPr>
          <w:lang w:val="fr-FR"/>
        </w:rPr>
        <w:t>.</w:t>
      </w:r>
    </w:p>
    <w:p w14:paraId="2967F6E5" w14:textId="3FE608EC" w:rsidR="00213A56" w:rsidRDefault="00213A56" w:rsidP="0091647F">
      <w:pPr>
        <w:pStyle w:val="ListParagraph"/>
        <w:ind w:left="-90"/>
        <w:jc w:val="both"/>
        <w:rPr>
          <w:lang w:val="fr-FR"/>
        </w:rPr>
      </w:pPr>
      <w:r w:rsidRPr="00B37D8F">
        <w:rPr>
          <w:lang w:val="fr-FR"/>
        </w:rPr>
        <w:t xml:space="preserve">L’insécurité </w:t>
      </w:r>
      <w:r>
        <w:rPr>
          <w:lang w:val="fr-FR"/>
        </w:rPr>
        <w:t>liée à l’offensive des FACA/Russes contre les groupes armés et</w:t>
      </w:r>
      <w:r w:rsidRPr="00B37D8F">
        <w:rPr>
          <w:lang w:val="fr-FR"/>
        </w:rPr>
        <w:t xml:space="preserve"> la situation sanitaire </w:t>
      </w:r>
      <w:r>
        <w:rPr>
          <w:lang w:val="fr-FR"/>
        </w:rPr>
        <w:t>de</w:t>
      </w:r>
      <w:r w:rsidRPr="00B37D8F">
        <w:rPr>
          <w:lang w:val="fr-FR"/>
        </w:rPr>
        <w:t xml:space="preserve"> la pandémie </w:t>
      </w:r>
      <w:r>
        <w:rPr>
          <w:lang w:val="fr-FR"/>
        </w:rPr>
        <w:t>à</w:t>
      </w:r>
      <w:r w:rsidRPr="00B37D8F">
        <w:rPr>
          <w:lang w:val="fr-FR"/>
        </w:rPr>
        <w:t xml:space="preserve"> </w:t>
      </w:r>
      <w:r>
        <w:rPr>
          <w:lang w:val="fr-FR"/>
        </w:rPr>
        <w:t>COVID</w:t>
      </w:r>
      <w:r w:rsidRPr="00B37D8F">
        <w:rPr>
          <w:lang w:val="fr-FR"/>
        </w:rPr>
        <w:noBreakHyphen/>
        <w:t xml:space="preserve">19, </w:t>
      </w:r>
      <w:r>
        <w:rPr>
          <w:lang w:val="fr-FR"/>
        </w:rPr>
        <w:t>s</w:t>
      </w:r>
      <w:r w:rsidRPr="00B37D8F">
        <w:rPr>
          <w:lang w:val="fr-FR"/>
        </w:rPr>
        <w:t xml:space="preserve">ont </w:t>
      </w:r>
      <w:r>
        <w:rPr>
          <w:lang w:val="fr-FR"/>
        </w:rPr>
        <w:t>les principaux</w:t>
      </w:r>
      <w:r w:rsidRPr="00B37D8F">
        <w:rPr>
          <w:lang w:val="fr-FR"/>
        </w:rPr>
        <w:t xml:space="preserve"> défis d</w:t>
      </w:r>
      <w:r>
        <w:rPr>
          <w:lang w:val="fr-FR"/>
        </w:rPr>
        <w:t>ans</w:t>
      </w:r>
      <w:r w:rsidRPr="00B37D8F">
        <w:rPr>
          <w:lang w:val="fr-FR"/>
        </w:rPr>
        <w:t xml:space="preserve"> l</w:t>
      </w:r>
      <w:r>
        <w:rPr>
          <w:lang w:val="fr-FR"/>
        </w:rPr>
        <w:t xml:space="preserve">’exécution </w:t>
      </w:r>
      <w:r w:rsidRPr="00B37D8F">
        <w:rPr>
          <w:lang w:val="fr-FR"/>
        </w:rPr>
        <w:t>du projet.</w:t>
      </w:r>
      <w:r>
        <w:rPr>
          <w:lang w:val="fr-FR"/>
        </w:rPr>
        <w:t xml:space="preserve"> A cela s’ajoutent </w:t>
      </w:r>
      <w:r>
        <w:rPr>
          <w:bCs/>
          <w:lang w:val="fr-FR"/>
        </w:rPr>
        <w:t>u</w:t>
      </w:r>
      <w:r w:rsidRPr="00C55BF7">
        <w:rPr>
          <w:bCs/>
          <w:lang w:val="fr-FR"/>
        </w:rPr>
        <w:t xml:space="preserve">ne </w:t>
      </w:r>
      <w:r w:rsidRPr="00650819">
        <w:rPr>
          <w:lang w:val="fr-FR"/>
        </w:rPr>
        <w:t>saison pluvieuse</w:t>
      </w:r>
      <w:r>
        <w:rPr>
          <w:lang w:val="fr-FR"/>
        </w:rPr>
        <w:t xml:space="preserve"> prolongée</w:t>
      </w:r>
      <w:r w:rsidRPr="00650819">
        <w:rPr>
          <w:lang w:val="fr-FR"/>
        </w:rPr>
        <w:t>, les inondations su</w:t>
      </w:r>
      <w:r>
        <w:rPr>
          <w:lang w:val="fr-FR"/>
        </w:rPr>
        <w:t>bséquentes entrainant l’impraticabilité des voies d’accès, ainsi que</w:t>
      </w:r>
      <w:r w:rsidRPr="00650819">
        <w:rPr>
          <w:lang w:val="fr-FR"/>
        </w:rPr>
        <w:t xml:space="preserve"> </w:t>
      </w:r>
      <w:r>
        <w:rPr>
          <w:lang w:val="fr-FR"/>
        </w:rPr>
        <w:t xml:space="preserve">les lenteurs administratives liées aux processus de sélection et contractualisation des partenaires en charge des activités de </w:t>
      </w:r>
      <w:r w:rsidRPr="00FE165C">
        <w:rPr>
          <w:lang w:val="fr-FR"/>
        </w:rPr>
        <w:t>gestion et analyse de l’information</w:t>
      </w:r>
      <w:r>
        <w:rPr>
          <w:lang w:val="fr-FR"/>
        </w:rPr>
        <w:t xml:space="preserve"> et la cohésion sociale.</w:t>
      </w:r>
    </w:p>
    <w:p w14:paraId="13E9E297" w14:textId="5FDBD87C" w:rsidR="0047163C" w:rsidRDefault="00213A56" w:rsidP="0047163C">
      <w:pPr>
        <w:pStyle w:val="ListParagraph"/>
        <w:ind w:left="-90"/>
        <w:jc w:val="both"/>
        <w:rPr>
          <w:bCs/>
          <w:color w:val="000000"/>
          <w:lang w:val="fr-FR" w:eastAsia="en-US"/>
        </w:rPr>
      </w:pPr>
      <w:r>
        <w:rPr>
          <w:lang w:val="fr-FR"/>
        </w:rPr>
        <w:t xml:space="preserve">Toutefois, les activités </w:t>
      </w:r>
      <w:r w:rsidRPr="00A70D68">
        <w:rPr>
          <w:lang w:val="fr-FR"/>
        </w:rPr>
        <w:t xml:space="preserve">d’information et de sensibilisation des autorités nationales au niveau central et décentralisé, ainsi que </w:t>
      </w:r>
      <w:r>
        <w:rPr>
          <w:lang w:val="fr-FR"/>
        </w:rPr>
        <w:t>l</w:t>
      </w:r>
      <w:r w:rsidRPr="00553745">
        <w:rPr>
          <w:lang w:val="fr-FR"/>
        </w:rPr>
        <w:t xml:space="preserve">es organisations de la société civile </w:t>
      </w:r>
      <w:r>
        <w:rPr>
          <w:lang w:val="fr-FR"/>
        </w:rPr>
        <w:t>s</w:t>
      </w:r>
      <w:r w:rsidRPr="00553745">
        <w:rPr>
          <w:lang w:val="fr-FR"/>
        </w:rPr>
        <w:t>ont</w:t>
      </w:r>
      <w:r>
        <w:rPr>
          <w:lang w:val="fr-FR"/>
        </w:rPr>
        <w:t xml:space="preserve"> en cours. Les comités de dialogues et mécanismes de résolution des conflits qui seront soutenus dans le cadre du projet ont été identifiés (au nombre de 12). </w:t>
      </w:r>
    </w:p>
    <w:p w14:paraId="1FD27A15" w14:textId="249C9E8A" w:rsidR="0047163C" w:rsidRDefault="0047163C" w:rsidP="0047163C">
      <w:pPr>
        <w:pStyle w:val="ListParagraph"/>
        <w:ind w:left="-90"/>
        <w:jc w:val="both"/>
        <w:rPr>
          <w:lang w:val="fr-FR"/>
        </w:rPr>
      </w:pPr>
      <w:r>
        <w:rPr>
          <w:bCs/>
          <w:color w:val="000000"/>
          <w:lang w:val="fr-FR" w:eastAsia="en-US"/>
        </w:rPr>
        <w:t xml:space="preserve">De même, les interventions prévues pour renforcer la participation des femmes et des jeunes dans la </w:t>
      </w:r>
      <w:r w:rsidR="001C0EC7" w:rsidRPr="00F021A7">
        <w:rPr>
          <w:bCs/>
          <w:color w:val="000000"/>
          <w:lang w:val="fr-FR" w:eastAsia="en-US"/>
        </w:rPr>
        <w:t>gestion, la prévention et la résolution des violences basées sur le genre</w:t>
      </w:r>
      <w:r>
        <w:rPr>
          <w:bCs/>
          <w:color w:val="000000"/>
          <w:lang w:val="fr-FR" w:eastAsia="en-US"/>
        </w:rPr>
        <w:t xml:space="preserve"> sont entamées</w:t>
      </w:r>
      <w:r w:rsidR="001C0EC7" w:rsidRPr="00F021A7">
        <w:rPr>
          <w:bCs/>
          <w:color w:val="000000"/>
          <w:lang w:val="fr-FR" w:eastAsia="en-US"/>
        </w:rPr>
        <w:t xml:space="preserve">. </w:t>
      </w:r>
    </w:p>
    <w:p w14:paraId="76068710" w14:textId="29E717F0" w:rsidR="0047163C" w:rsidRPr="00A26BB2" w:rsidRDefault="0047163C" w:rsidP="00D168A2">
      <w:pPr>
        <w:pStyle w:val="ListParagraph"/>
        <w:ind w:left="-90"/>
        <w:jc w:val="both"/>
        <w:rPr>
          <w:lang w:val="fr-FR"/>
        </w:rPr>
      </w:pPr>
      <w:r w:rsidRPr="00A26BB2">
        <w:rPr>
          <w:lang w:val="fr-FR"/>
        </w:rPr>
        <w:t xml:space="preserve">Des conventions </w:t>
      </w:r>
      <w:r>
        <w:rPr>
          <w:lang w:val="fr-FR"/>
        </w:rPr>
        <w:t xml:space="preserve">ont été </w:t>
      </w:r>
      <w:r w:rsidRPr="00A26BB2">
        <w:rPr>
          <w:lang w:val="fr-FR"/>
        </w:rPr>
        <w:t xml:space="preserve">signées avec les radios communautaires ont contribué à la prévention des VBG à travers la diffusion des spots, émissions, sketchs radiophoniques sur les messages clés des VBG. </w:t>
      </w:r>
    </w:p>
    <w:p w14:paraId="5F8E6B9F" w14:textId="77777777" w:rsidR="00B37D8F" w:rsidRDefault="00B37D8F" w:rsidP="00B37D8F">
      <w:pPr>
        <w:ind w:left="-90"/>
        <w:jc w:val="both"/>
        <w:rPr>
          <w:bCs/>
          <w:color w:val="000000"/>
          <w:lang w:val="fr-FR" w:eastAsia="en-US"/>
        </w:rPr>
      </w:pPr>
    </w:p>
    <w:p w14:paraId="077B4744" w14:textId="77777777" w:rsidR="00795FCE" w:rsidRPr="00795FCE" w:rsidRDefault="00795FCE" w:rsidP="00795FCE">
      <w:pPr>
        <w:jc w:val="both"/>
        <w:rPr>
          <w:lang w:val="fr-FR"/>
        </w:rPr>
      </w:pPr>
    </w:p>
    <w:p w14:paraId="06ECED31" w14:textId="77777777" w:rsidR="005A0C97" w:rsidRDefault="00F778A1" w:rsidP="005A0C97">
      <w:pPr>
        <w:ind w:left="-810"/>
        <w:jc w:val="both"/>
        <w:rPr>
          <w:b/>
          <w:bCs/>
          <w:lang w:val="fr-FR"/>
        </w:rPr>
      </w:pPr>
      <w:r w:rsidRPr="00013C6B">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013C6B">
        <w:rPr>
          <w:b/>
          <w:bCs/>
          <w:lang w:val="fr-FR"/>
        </w:rPr>
        <w:t>(</w:t>
      </w:r>
      <w:r w:rsidRPr="00013C6B">
        <w:rPr>
          <w:b/>
          <w:bCs/>
          <w:lang w:val="fr-FR"/>
        </w:rPr>
        <w:t>limite de 1000 caractères</w:t>
      </w:r>
      <w:r w:rsidR="005A0C97">
        <w:rPr>
          <w:b/>
          <w:bCs/>
          <w:lang w:val="fr-FR"/>
        </w:rPr>
        <w:t xml:space="preserve">): </w:t>
      </w:r>
    </w:p>
    <w:p w14:paraId="700083B3" w14:textId="77777777" w:rsidR="005A0C97" w:rsidRDefault="005A0C97" w:rsidP="005A0C97">
      <w:pPr>
        <w:ind w:left="-810"/>
        <w:jc w:val="both"/>
        <w:rPr>
          <w:lang w:val="fr-FR"/>
        </w:rPr>
      </w:pPr>
    </w:p>
    <w:p w14:paraId="784EEB51" w14:textId="5FE3721F" w:rsidR="005A0C97" w:rsidRPr="00EE6553" w:rsidRDefault="005A0C97" w:rsidP="00B37D8F">
      <w:pPr>
        <w:pStyle w:val="ListParagraph"/>
        <w:numPr>
          <w:ilvl w:val="0"/>
          <w:numId w:val="18"/>
        </w:numPr>
        <w:jc w:val="both"/>
        <w:rPr>
          <w:b/>
          <w:bCs/>
          <w:lang w:val="fr-FR"/>
        </w:rPr>
      </w:pPr>
      <w:r w:rsidRPr="00401C3D">
        <w:rPr>
          <w:lang w:val="fr-FR"/>
        </w:rPr>
        <w:t xml:space="preserve">Soutenir </w:t>
      </w:r>
      <w:r w:rsidR="00E221DE" w:rsidRPr="00401C3D">
        <w:rPr>
          <w:lang w:val="fr-FR"/>
        </w:rPr>
        <w:t>une</w:t>
      </w:r>
      <w:r w:rsidRPr="00401C3D">
        <w:rPr>
          <w:lang w:val="fr-FR"/>
        </w:rPr>
        <w:t xml:space="preserve"> réunion de</w:t>
      </w:r>
      <w:r w:rsidR="00E221DE" w:rsidRPr="00673926">
        <w:rPr>
          <w:lang w:val="fr-FR"/>
        </w:rPr>
        <w:t xml:space="preserve"> la</w:t>
      </w:r>
      <w:r w:rsidRPr="00673926">
        <w:rPr>
          <w:lang w:val="fr-FR"/>
        </w:rPr>
        <w:t xml:space="preserve"> commission mixte RCA/Cameroun </w:t>
      </w:r>
      <w:r w:rsidR="00E221DE" w:rsidRPr="00673926">
        <w:rPr>
          <w:lang w:val="fr-FR"/>
        </w:rPr>
        <w:t>ou</w:t>
      </w:r>
      <w:r w:rsidRPr="00EE6553">
        <w:rPr>
          <w:lang w:val="fr-FR"/>
        </w:rPr>
        <w:t xml:space="preserve"> RCA/Tchad ; </w:t>
      </w:r>
    </w:p>
    <w:p w14:paraId="67CA71D7" w14:textId="77777777" w:rsidR="005A0C97" w:rsidRPr="005A0C97" w:rsidRDefault="005A0C97" w:rsidP="005A0C97">
      <w:pPr>
        <w:ind w:left="-810"/>
        <w:jc w:val="both"/>
        <w:rPr>
          <w:b/>
          <w:bCs/>
          <w:sz w:val="10"/>
          <w:szCs w:val="10"/>
          <w:lang w:val="fr-FR"/>
        </w:rPr>
      </w:pPr>
    </w:p>
    <w:p w14:paraId="6FCEAA27" w14:textId="339DFCF3" w:rsidR="005A0C97" w:rsidRPr="00673926" w:rsidRDefault="005A0C97" w:rsidP="00B37D8F">
      <w:pPr>
        <w:pStyle w:val="ListParagraph"/>
        <w:numPr>
          <w:ilvl w:val="0"/>
          <w:numId w:val="18"/>
        </w:numPr>
        <w:jc w:val="both"/>
        <w:rPr>
          <w:lang w:val="fr-FR"/>
        </w:rPr>
      </w:pPr>
      <w:r w:rsidRPr="00401C3D">
        <w:rPr>
          <w:lang w:val="fr-FR"/>
        </w:rPr>
        <w:t>Faciliter l’organisation d’un atelier national, avec les principales parties prenantes, pour formuler des recommandations visant à promouvoir le dialogue institutionnel entre la RCA, le Cameroun et le Tchad, et les méca</w:t>
      </w:r>
      <w:r w:rsidRPr="00673926">
        <w:rPr>
          <w:lang w:val="fr-FR"/>
        </w:rPr>
        <w:t xml:space="preserve">nismes de consolidation de la paix sur la base des enseignements tirés du projet transhumance transfrontalière RCA/Tchad; </w:t>
      </w:r>
    </w:p>
    <w:p w14:paraId="5E1180D7" w14:textId="77777777" w:rsidR="00DA0FB8" w:rsidRPr="00D00E26" w:rsidRDefault="00DA0FB8" w:rsidP="00DA0FB8">
      <w:pPr>
        <w:ind w:left="-810"/>
        <w:jc w:val="both"/>
        <w:rPr>
          <w:b/>
          <w:bCs/>
          <w:sz w:val="10"/>
          <w:szCs w:val="10"/>
          <w:lang w:val="fr-FR"/>
        </w:rPr>
      </w:pPr>
    </w:p>
    <w:p w14:paraId="755CA7FD" w14:textId="4EFDBDD5" w:rsidR="00D00E26" w:rsidRPr="00401C3D" w:rsidRDefault="00DA0FB8" w:rsidP="00B37D8F">
      <w:pPr>
        <w:pStyle w:val="ListParagraph"/>
        <w:numPr>
          <w:ilvl w:val="0"/>
          <w:numId w:val="18"/>
        </w:numPr>
        <w:jc w:val="both"/>
        <w:rPr>
          <w:lang w:val="fr-FR"/>
        </w:rPr>
      </w:pPr>
      <w:r w:rsidRPr="00401C3D">
        <w:rPr>
          <w:lang w:val="fr-FR"/>
        </w:rPr>
        <w:t xml:space="preserve">Appuyer le développement de microprojets agropastoraux et de soutien aux comités de </w:t>
      </w:r>
    </w:p>
    <w:p w14:paraId="0CB1C5C1" w14:textId="7768801F" w:rsidR="00DA0FB8" w:rsidRPr="00673926" w:rsidRDefault="00DA0FB8" w:rsidP="00B37D8F">
      <w:pPr>
        <w:pStyle w:val="ListParagraph"/>
        <w:numPr>
          <w:ilvl w:val="0"/>
          <w:numId w:val="18"/>
        </w:numPr>
        <w:jc w:val="both"/>
        <w:rPr>
          <w:lang w:val="fr-FR"/>
        </w:rPr>
      </w:pPr>
      <w:r w:rsidRPr="00673926">
        <w:rPr>
          <w:lang w:val="fr-FR"/>
        </w:rPr>
        <w:t>cohésion sociale (associer les femmes et jeunes) n’incluant pas les victimes de VBG ;</w:t>
      </w:r>
    </w:p>
    <w:p w14:paraId="26E9B0DB" w14:textId="77777777" w:rsidR="005A0C97" w:rsidRPr="005A0C97" w:rsidRDefault="005A0C97" w:rsidP="005A0C97">
      <w:pPr>
        <w:ind w:left="-810"/>
        <w:jc w:val="both"/>
        <w:rPr>
          <w:b/>
          <w:bCs/>
          <w:sz w:val="10"/>
          <w:szCs w:val="10"/>
          <w:lang w:val="fr-FR"/>
        </w:rPr>
      </w:pPr>
    </w:p>
    <w:p w14:paraId="2E88FC27" w14:textId="4DBCE31A" w:rsidR="005A0C97" w:rsidRPr="00401C3D" w:rsidRDefault="005A0C97" w:rsidP="00D168A2">
      <w:pPr>
        <w:pStyle w:val="ListParagraph"/>
        <w:numPr>
          <w:ilvl w:val="0"/>
          <w:numId w:val="18"/>
        </w:numPr>
        <w:jc w:val="both"/>
        <w:rPr>
          <w:b/>
          <w:bCs/>
          <w:lang w:val="fr-FR"/>
        </w:rPr>
      </w:pPr>
      <w:r w:rsidRPr="00401C3D">
        <w:rPr>
          <w:lang w:val="fr-FR"/>
        </w:rPr>
        <w:t>Renforcer la coordination locale, nationale et transfrontalière impliquant les acteurs locaux, nationaux et transfrontaliers.</w:t>
      </w:r>
    </w:p>
    <w:p w14:paraId="0F100CBA" w14:textId="77777777" w:rsidR="008D536F" w:rsidRPr="000E3548" w:rsidRDefault="008D536F" w:rsidP="00013C6B">
      <w:pPr>
        <w:pStyle w:val="ListParagraph"/>
        <w:ind w:left="-90"/>
        <w:jc w:val="both"/>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083F878F" w14:textId="77777777" w:rsidR="00E462ED" w:rsidRDefault="00476758" w:rsidP="00E462ED">
      <w:pPr>
        <w:ind w:left="-810" w:right="-154"/>
        <w:jc w:val="both"/>
        <w:rPr>
          <w:b/>
          <w:bCs/>
          <w:lang w:val="fr-FR"/>
        </w:rPr>
      </w:pPr>
      <w:r w:rsidRPr="00013C6B">
        <w:rPr>
          <w:b/>
          <w:bCs/>
          <w:lang w:val="fr-FR"/>
        </w:rPr>
        <w:t>Résumez</w:t>
      </w:r>
      <w:r w:rsidR="00F778A1" w:rsidRPr="00013C6B">
        <w:rPr>
          <w:b/>
          <w:bCs/>
          <w:lang w:val="fr-FR"/>
        </w:rPr>
        <w:t xml:space="preserve"> </w:t>
      </w:r>
      <w:r w:rsidRPr="00013C6B">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013C6B">
        <w:rPr>
          <w:b/>
          <w:bCs/>
          <w:lang w:val="fr-FR"/>
        </w:rPr>
        <w:t xml:space="preserve"> </w:t>
      </w:r>
      <w:r w:rsidR="008C782A" w:rsidRPr="00013C6B">
        <w:rPr>
          <w:b/>
          <w:bCs/>
          <w:lang w:val="fr-FR"/>
        </w:rPr>
        <w:t>(limit</w:t>
      </w:r>
      <w:r w:rsidRPr="00013C6B">
        <w:rPr>
          <w:b/>
          <w:bCs/>
          <w:lang w:val="fr-FR"/>
        </w:rPr>
        <w:t>e de 1500 caractères</w:t>
      </w:r>
      <w:r w:rsidR="00E462ED">
        <w:rPr>
          <w:b/>
          <w:bCs/>
          <w:lang w:val="fr-FR"/>
        </w:rPr>
        <w:t xml:space="preserve">): </w:t>
      </w:r>
    </w:p>
    <w:p w14:paraId="040B2061" w14:textId="77777777" w:rsidR="004E6599" w:rsidRPr="00627A1C" w:rsidRDefault="004E6599" w:rsidP="004E6599">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0C8E3AB1" w14:textId="2F06261C" w:rsidR="00E462ED" w:rsidRDefault="00E462ED" w:rsidP="00E462ED">
      <w:pPr>
        <w:ind w:left="-810" w:right="-154"/>
        <w:jc w:val="both"/>
        <w:rPr>
          <w:b/>
          <w:bCs/>
          <w:lang w:val="fr-FR"/>
        </w:rPr>
      </w:pPr>
    </w:p>
    <w:p w14:paraId="56706907" w14:textId="0331120D" w:rsidR="000E3548" w:rsidRPr="00E462ED" w:rsidRDefault="00476758" w:rsidP="00E462ED">
      <w:pPr>
        <w:ind w:left="-810" w:right="-154"/>
        <w:jc w:val="both"/>
        <w:rPr>
          <w:b/>
          <w:bCs/>
          <w:lang w:val="fr-FR"/>
        </w:rPr>
      </w:pPr>
      <w:r w:rsidRPr="000E3548">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E3548">
        <w:rPr>
          <w:i/>
          <w:iCs/>
          <w:lang w:val="fr-FR"/>
        </w:rPr>
        <w:t>weblinks</w:t>
      </w:r>
      <w:proofErr w:type="spellEnd"/>
      <w:r w:rsidRPr="000E3548">
        <w:rPr>
          <w:i/>
          <w:iCs/>
          <w:lang w:val="fr-FR"/>
        </w:rPr>
        <w:t xml:space="preserve"> à la communication stratégique publiée. (limite de 2000 caractères):</w:t>
      </w:r>
    </w:p>
    <w:p w14:paraId="3698BD3B" w14:textId="77777777" w:rsidR="003077EC" w:rsidRDefault="003077EC" w:rsidP="003077EC">
      <w:pPr>
        <w:ind w:left="-810"/>
        <w:jc w:val="both"/>
        <w:rPr>
          <w:lang w:val="fr-FR"/>
        </w:rPr>
      </w:pPr>
    </w:p>
    <w:p w14:paraId="2B0CCCC0" w14:textId="775A827E" w:rsidR="003077EC" w:rsidRPr="0047163C" w:rsidRDefault="003077EC" w:rsidP="00D168A2">
      <w:pPr>
        <w:pStyle w:val="ListParagraph"/>
        <w:numPr>
          <w:ilvl w:val="0"/>
          <w:numId w:val="18"/>
        </w:numPr>
        <w:jc w:val="both"/>
        <w:rPr>
          <w:lang w:val="fr-FR"/>
        </w:rPr>
      </w:pPr>
      <w:r w:rsidRPr="00691927">
        <w:rPr>
          <w:lang w:val="fr-FR"/>
        </w:rPr>
        <w:t xml:space="preserve">L’implication des autorités administratives, locales et sécuritaires </w:t>
      </w:r>
      <w:r w:rsidR="0047163C" w:rsidRPr="00691927">
        <w:rPr>
          <w:lang w:val="fr-FR"/>
        </w:rPr>
        <w:t>(</w:t>
      </w:r>
      <w:r w:rsidRPr="00B87CC0">
        <w:rPr>
          <w:lang w:val="fr-FR"/>
        </w:rPr>
        <w:t xml:space="preserve">à savoir : </w:t>
      </w:r>
      <w:r w:rsidR="0047163C" w:rsidRPr="00B87CC0">
        <w:rPr>
          <w:lang w:val="fr-FR"/>
        </w:rPr>
        <w:t xml:space="preserve">les </w:t>
      </w:r>
      <w:r w:rsidR="0047163C" w:rsidRPr="00B9426D">
        <w:rPr>
          <w:lang w:val="fr-FR"/>
        </w:rPr>
        <w:t>p</w:t>
      </w:r>
      <w:r w:rsidRPr="00B9426D">
        <w:rPr>
          <w:lang w:val="fr-FR"/>
        </w:rPr>
        <w:t xml:space="preserve">réfets, </w:t>
      </w:r>
      <w:r w:rsidR="0047163C" w:rsidRPr="0047163C">
        <w:rPr>
          <w:lang w:val="fr-FR"/>
        </w:rPr>
        <w:t>s</w:t>
      </w:r>
      <w:r w:rsidRPr="0047163C">
        <w:rPr>
          <w:lang w:val="fr-FR"/>
        </w:rPr>
        <w:t>ous-</w:t>
      </w:r>
      <w:r w:rsidR="0047163C" w:rsidRPr="0047163C">
        <w:rPr>
          <w:lang w:val="fr-FR"/>
        </w:rPr>
        <w:t>p</w:t>
      </w:r>
      <w:r w:rsidRPr="0047163C">
        <w:rPr>
          <w:lang w:val="fr-FR"/>
        </w:rPr>
        <w:t xml:space="preserve">réfets, </w:t>
      </w:r>
      <w:r w:rsidR="0047163C" w:rsidRPr="0047163C">
        <w:rPr>
          <w:lang w:val="fr-FR"/>
        </w:rPr>
        <w:t>m</w:t>
      </w:r>
      <w:r w:rsidRPr="0047163C">
        <w:rPr>
          <w:lang w:val="fr-FR"/>
        </w:rPr>
        <w:t xml:space="preserve">aires, </w:t>
      </w:r>
      <w:r w:rsidR="0047163C" w:rsidRPr="0047163C">
        <w:rPr>
          <w:lang w:val="fr-FR"/>
        </w:rPr>
        <w:t>la p</w:t>
      </w:r>
      <w:r w:rsidRPr="0047163C">
        <w:rPr>
          <w:lang w:val="fr-FR"/>
        </w:rPr>
        <w:t xml:space="preserve">olice et </w:t>
      </w:r>
      <w:r w:rsidR="0047163C" w:rsidRPr="0047163C">
        <w:rPr>
          <w:lang w:val="fr-FR"/>
        </w:rPr>
        <w:t>la g</w:t>
      </w:r>
      <w:r w:rsidRPr="0047163C">
        <w:rPr>
          <w:lang w:val="fr-FR"/>
        </w:rPr>
        <w:t>endarmerie</w:t>
      </w:r>
      <w:r w:rsidR="0047163C" w:rsidRPr="0047163C">
        <w:rPr>
          <w:lang w:val="fr-FR"/>
        </w:rPr>
        <w:t>)</w:t>
      </w:r>
      <w:r w:rsidRPr="0047163C">
        <w:rPr>
          <w:lang w:val="fr-FR"/>
        </w:rPr>
        <w:t xml:space="preserve"> lors de l’activité de plaidoyer sur les </w:t>
      </w:r>
      <w:r w:rsidR="0047163C" w:rsidRPr="0047163C">
        <w:rPr>
          <w:lang w:val="fr-FR"/>
        </w:rPr>
        <w:t>v</w:t>
      </w:r>
      <w:r w:rsidR="007D2680" w:rsidRPr="0047163C">
        <w:rPr>
          <w:lang w:val="fr-FR"/>
        </w:rPr>
        <w:t xml:space="preserve">iolences </w:t>
      </w:r>
      <w:r w:rsidR="0047163C" w:rsidRPr="0047163C">
        <w:rPr>
          <w:lang w:val="fr-FR"/>
        </w:rPr>
        <w:t>b</w:t>
      </w:r>
      <w:r w:rsidR="007D2680" w:rsidRPr="0047163C">
        <w:rPr>
          <w:lang w:val="fr-FR"/>
        </w:rPr>
        <w:t xml:space="preserve">asées sur le </w:t>
      </w:r>
      <w:r w:rsidR="0047163C" w:rsidRPr="0047163C">
        <w:rPr>
          <w:lang w:val="fr-FR"/>
        </w:rPr>
        <w:t>g</w:t>
      </w:r>
      <w:r w:rsidR="007D2680" w:rsidRPr="0047163C">
        <w:rPr>
          <w:lang w:val="fr-FR"/>
        </w:rPr>
        <w:t xml:space="preserve">enre </w:t>
      </w:r>
      <w:r w:rsidR="0047163C" w:rsidRPr="0047163C">
        <w:rPr>
          <w:lang w:val="fr-FR"/>
        </w:rPr>
        <w:t xml:space="preserve">(VBG) devront permettre à ces </w:t>
      </w:r>
      <w:r w:rsidR="00401C3D">
        <w:rPr>
          <w:rStyle w:val="CommentReference"/>
        </w:rPr>
        <w:commentReference w:id="5"/>
      </w:r>
      <w:r w:rsidRPr="00B87CC0">
        <w:rPr>
          <w:lang w:val="fr-FR"/>
        </w:rPr>
        <w:t>derniers d</w:t>
      </w:r>
      <w:r w:rsidRPr="00B9426D">
        <w:rPr>
          <w:lang w:val="fr-FR"/>
        </w:rPr>
        <w:t xml:space="preserve">e s’approprier le projet et marquer leur adhésion comme acteur de prévention, </w:t>
      </w:r>
      <w:r w:rsidR="0047163C" w:rsidRPr="00B9426D">
        <w:rPr>
          <w:lang w:val="fr-FR"/>
        </w:rPr>
        <w:t xml:space="preserve">de </w:t>
      </w:r>
      <w:r w:rsidRPr="0047163C">
        <w:rPr>
          <w:lang w:val="fr-FR"/>
        </w:rPr>
        <w:t xml:space="preserve">réduction et </w:t>
      </w:r>
      <w:r w:rsidR="0047163C" w:rsidRPr="0047163C">
        <w:rPr>
          <w:lang w:val="fr-FR"/>
        </w:rPr>
        <w:t>de</w:t>
      </w:r>
      <w:r w:rsidRPr="0047163C">
        <w:rPr>
          <w:lang w:val="fr-FR"/>
        </w:rPr>
        <w:t xml:space="preserve"> répression des </w:t>
      </w:r>
      <w:r w:rsidR="0047163C" w:rsidRPr="0047163C">
        <w:rPr>
          <w:lang w:val="fr-FR"/>
        </w:rPr>
        <w:t xml:space="preserve">auteurs </w:t>
      </w:r>
      <w:r w:rsidRPr="00B87CC0">
        <w:rPr>
          <w:lang w:val="fr-FR"/>
        </w:rPr>
        <w:t>de</w:t>
      </w:r>
      <w:r w:rsidRPr="00B9426D">
        <w:rPr>
          <w:lang w:val="fr-FR"/>
        </w:rPr>
        <w:t xml:space="preserve"> VBG dans leurs localités. </w:t>
      </w:r>
    </w:p>
    <w:p w14:paraId="1AFFFBF8" w14:textId="681E32CE" w:rsidR="003077EC" w:rsidRPr="00A26BB2" w:rsidRDefault="003077EC" w:rsidP="00D168A2">
      <w:pPr>
        <w:pStyle w:val="ListParagraph"/>
        <w:numPr>
          <w:ilvl w:val="0"/>
          <w:numId w:val="18"/>
        </w:numPr>
        <w:rPr>
          <w:lang w:val="fr-FR"/>
        </w:rPr>
      </w:pPr>
      <w:r w:rsidRPr="00A26BB2">
        <w:rPr>
          <w:lang w:val="fr-FR"/>
        </w:rPr>
        <w:t>La mise en place du One Stop Center qui est une grande première dans la région de Bozoum a permis de faciliter la pris</w:t>
      </w:r>
      <w:r w:rsidR="0025193A">
        <w:rPr>
          <w:lang w:val="fr-FR"/>
        </w:rPr>
        <w:t>e</w:t>
      </w:r>
      <w:r w:rsidRPr="00A26BB2">
        <w:rPr>
          <w:lang w:val="fr-FR"/>
        </w:rPr>
        <w:t xml:space="preserve"> en charge holistique des survivantes à travers un service intégré, d’assurer leur sécurité et leur confidentialité et de leur garantir la gratuité des soins.</w:t>
      </w:r>
    </w:p>
    <w:p w14:paraId="69721ABB" w14:textId="35CA07EB" w:rsidR="003077EC" w:rsidRPr="00691927" w:rsidRDefault="003077EC" w:rsidP="00D168A2">
      <w:pPr>
        <w:pStyle w:val="ListParagraph"/>
        <w:numPr>
          <w:ilvl w:val="0"/>
          <w:numId w:val="18"/>
        </w:numPr>
        <w:jc w:val="both"/>
        <w:rPr>
          <w:lang w:val="fr-FR"/>
        </w:rPr>
      </w:pPr>
      <w:r w:rsidRPr="00691927">
        <w:rPr>
          <w:lang w:val="fr-FR"/>
        </w:rPr>
        <w:t>Les séances de sensibilisations de proximité réalisées par les relais communautaires, les membres des comités préfectoraux de lutte contre les VBG, le</w:t>
      </w:r>
      <w:r w:rsidRPr="00B87CC0">
        <w:rPr>
          <w:lang w:val="fr-FR"/>
        </w:rPr>
        <w:t xml:space="preserve">s associations féminines et de jeunesses ont permis d’une part d’atteindre 12938 </w:t>
      </w:r>
      <w:r w:rsidRPr="00B9426D">
        <w:rPr>
          <w:lang w:val="fr-FR"/>
        </w:rPr>
        <w:t xml:space="preserve"> personnes</w:t>
      </w:r>
      <w:r w:rsidR="007D2680" w:rsidRPr="00B9426D">
        <w:rPr>
          <w:lang w:val="fr-FR"/>
        </w:rPr>
        <w:t xml:space="preserve"> (8900 femmes et 4038 hommes)</w:t>
      </w:r>
      <w:r w:rsidRPr="00B9426D">
        <w:rPr>
          <w:lang w:val="fr-FR"/>
        </w:rPr>
        <w:t xml:space="preserve">, </w:t>
      </w:r>
      <w:r w:rsidRPr="00691927">
        <w:rPr>
          <w:lang w:val="fr-FR"/>
        </w:rPr>
        <w:t xml:space="preserve">d’identifier et de référer </w:t>
      </w:r>
      <w:commentRangeStart w:id="6"/>
      <w:r w:rsidRPr="00691927">
        <w:rPr>
          <w:lang w:val="fr-FR"/>
        </w:rPr>
        <w:t xml:space="preserve">737 cas </w:t>
      </w:r>
      <w:commentRangeEnd w:id="6"/>
      <w:r w:rsidR="00401C3D">
        <w:rPr>
          <w:rStyle w:val="CommentReference"/>
        </w:rPr>
        <w:commentReference w:id="6"/>
      </w:r>
      <w:r w:rsidR="007D2680" w:rsidRPr="00691927">
        <w:rPr>
          <w:lang w:val="fr-FR"/>
        </w:rPr>
        <w:t xml:space="preserve">(717 femmes et 20 homme) </w:t>
      </w:r>
      <w:r w:rsidRPr="00691927">
        <w:rPr>
          <w:lang w:val="fr-FR"/>
        </w:rPr>
        <w:t xml:space="preserve">de VBG vers le One Stop Center et les centres d’écoute pour la prise en </w:t>
      </w:r>
      <w:r w:rsidRPr="00B87CC0">
        <w:rPr>
          <w:lang w:val="fr-FR"/>
        </w:rPr>
        <w:t>charge</w:t>
      </w:r>
      <w:r w:rsidR="0047163C">
        <w:rPr>
          <w:lang w:val="fr-FR"/>
        </w:rPr>
        <w:t>. D</w:t>
      </w:r>
      <w:r w:rsidRPr="00B87CC0">
        <w:rPr>
          <w:lang w:val="fr-FR"/>
        </w:rPr>
        <w:t xml:space="preserve">’autre part </w:t>
      </w:r>
      <w:r w:rsidR="0047163C">
        <w:rPr>
          <w:lang w:val="fr-FR"/>
        </w:rPr>
        <w:t xml:space="preserve">on estime à </w:t>
      </w:r>
      <w:r w:rsidRPr="00691927">
        <w:rPr>
          <w:lang w:val="fr-FR"/>
        </w:rPr>
        <w:t>200.000</w:t>
      </w:r>
      <w:r w:rsidR="0047163C">
        <w:rPr>
          <w:lang w:val="fr-FR"/>
        </w:rPr>
        <w:t xml:space="preserve"> le nombre de</w:t>
      </w:r>
      <w:r w:rsidRPr="00691927">
        <w:rPr>
          <w:lang w:val="fr-FR"/>
        </w:rPr>
        <w:t xml:space="preserve"> personnes ont été informées sur les questions liées aux VBG à travers les sensibilisations radio diffusées réalisées par les radios communautaires</w:t>
      </w:r>
      <w:r w:rsidR="0047163C">
        <w:rPr>
          <w:lang w:val="fr-FR"/>
        </w:rPr>
        <w:t xml:space="preserve"> des zones du projet</w:t>
      </w:r>
      <w:r w:rsidRPr="00691927">
        <w:rPr>
          <w:lang w:val="fr-FR"/>
        </w:rPr>
        <w:t>.</w:t>
      </w:r>
    </w:p>
    <w:p w14:paraId="55B6861B" w14:textId="2F56ABE2" w:rsidR="004E6599" w:rsidRPr="003077EC" w:rsidRDefault="004E6599" w:rsidP="004E6599">
      <w:pPr>
        <w:ind w:left="-810"/>
        <w:rPr>
          <w:lang w:val="fr-FR"/>
        </w:rPr>
      </w:pPr>
    </w:p>
    <w:p w14:paraId="217A7455" w14:textId="1BDF84E6" w:rsidR="000E3548" w:rsidRPr="000E3548" w:rsidRDefault="000E3548" w:rsidP="003077EC">
      <w:pPr>
        <w:rPr>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58E4C586"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4D39E8">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4D39E8">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lastRenderedPageBreak/>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6EB1CD8" w:rsidR="005D15A3" w:rsidRPr="00D121F1" w:rsidRDefault="005D15A3" w:rsidP="000E3548">
      <w:pPr>
        <w:ind w:left="-720"/>
        <w:jc w:val="both"/>
        <w:rPr>
          <w:b/>
          <w:lang w:val="fr-FR"/>
        </w:rPr>
      </w:pPr>
      <w:r w:rsidRPr="00D121F1">
        <w:rPr>
          <w:b/>
          <w:u w:val="single"/>
          <w:lang w:val="fr-FR"/>
        </w:rPr>
        <w:t>Résultat 1:</w:t>
      </w:r>
      <w:r w:rsidRPr="00D121F1">
        <w:rPr>
          <w:b/>
          <w:lang w:val="fr-FR"/>
        </w:rPr>
        <w:t xml:space="preserve">  </w:t>
      </w:r>
      <w:r w:rsidR="000E3548" w:rsidRPr="00013C6B">
        <w:rPr>
          <w:b/>
          <w:lang w:val="fr-FR"/>
        </w:rPr>
        <w:t>La cartographie, la gestion de l’information sur la transhumance et l’analyse sont accrues et renforcées et permettent d’améliorer l’identification des points chauds, notamment des violences basées sur le genre</w:t>
      </w:r>
    </w:p>
    <w:p w14:paraId="6A528501" w14:textId="77777777" w:rsidR="005D15A3" w:rsidRPr="00615EA3" w:rsidRDefault="005D15A3" w:rsidP="005D15A3">
      <w:pPr>
        <w:ind w:left="-720"/>
        <w:rPr>
          <w:b/>
          <w:lang w:val="fr-FR"/>
        </w:rPr>
      </w:pPr>
    </w:p>
    <w:p w14:paraId="7AC56A13" w14:textId="6C74F089"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8D536F">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r w:rsidR="008D536F" w:rsidRPr="00013C6B">
        <w:rPr>
          <w:rFonts w:ascii="Arial Narrow" w:hAnsi="Arial Narrow"/>
          <w:b/>
          <w:sz w:val="22"/>
          <w:szCs w:val="22"/>
          <w:lang w:val="fr-FR"/>
        </w:rPr>
        <w:instrText xml:space="preserve"> </w:instrText>
      </w:r>
      <w:bookmarkStart w:id="7" w:name="Dropdown2"/>
      <w:r w:rsidR="008D536F" w:rsidRPr="00013C6B">
        <w:rPr>
          <w:rFonts w:ascii="Arial Narrow" w:hAnsi="Arial Narrow"/>
          <w:b/>
          <w:sz w:val="22"/>
          <w:szCs w:val="22"/>
          <w:lang w:val="fr-FR"/>
        </w:rPr>
        <w:instrText xml:space="preserve">FORMDROPDOWN </w:instrText>
      </w:r>
      <w:r w:rsidR="004E507F">
        <w:rPr>
          <w:rFonts w:ascii="Arial Narrow" w:hAnsi="Arial Narrow"/>
          <w:b/>
          <w:sz w:val="22"/>
          <w:szCs w:val="22"/>
        </w:rPr>
      </w:r>
      <w:r w:rsidR="004E507F">
        <w:rPr>
          <w:rFonts w:ascii="Arial Narrow" w:hAnsi="Arial Narrow"/>
          <w:b/>
          <w:sz w:val="22"/>
          <w:szCs w:val="22"/>
        </w:rPr>
        <w:fldChar w:fldCharType="separate"/>
      </w:r>
      <w:r w:rsidR="008D536F">
        <w:rPr>
          <w:rFonts w:ascii="Arial Narrow" w:hAnsi="Arial Narrow"/>
          <w:b/>
          <w:sz w:val="22"/>
          <w:szCs w:val="22"/>
        </w:rPr>
        <w:fldChar w:fldCharType="end"/>
      </w:r>
      <w:bookmarkEnd w:id="7"/>
    </w:p>
    <w:p w14:paraId="02835EA1" w14:textId="77777777" w:rsidR="002E1CED" w:rsidRPr="005D15A3" w:rsidRDefault="002E1CED" w:rsidP="00323ABC">
      <w:pPr>
        <w:ind w:left="-720"/>
        <w:jc w:val="both"/>
        <w:rPr>
          <w:b/>
          <w:lang w:val="fr-FR"/>
        </w:rPr>
      </w:pPr>
    </w:p>
    <w:p w14:paraId="4E5ED68A" w14:textId="77777777" w:rsidR="00314DAF" w:rsidRDefault="005D15A3" w:rsidP="00314DAF">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6902F581" w14:textId="77777777" w:rsidR="00314DAF" w:rsidRDefault="00314DAF" w:rsidP="00314DAF">
      <w:pPr>
        <w:ind w:left="-720"/>
        <w:jc w:val="both"/>
        <w:rPr>
          <w:lang w:val="fr-FR"/>
        </w:rPr>
      </w:pPr>
    </w:p>
    <w:p w14:paraId="4B57D80A" w14:textId="7995145E" w:rsidR="005E40A2" w:rsidRPr="00691927" w:rsidRDefault="00314DAF" w:rsidP="000C5C4D">
      <w:pPr>
        <w:ind w:left="-810"/>
        <w:jc w:val="both"/>
        <w:rPr>
          <w:lang w:val="fr-FR"/>
        </w:rPr>
      </w:pPr>
      <w:r w:rsidRPr="00691927">
        <w:rPr>
          <w:lang w:val="fr-FR"/>
        </w:rPr>
        <w:t xml:space="preserve">L’enjeu de ce résultat est </w:t>
      </w:r>
      <w:r w:rsidR="007055DD" w:rsidRPr="00691927">
        <w:rPr>
          <w:lang w:val="fr-FR"/>
        </w:rPr>
        <w:t xml:space="preserve">de </w:t>
      </w:r>
      <w:r w:rsidRPr="00B87CC0">
        <w:rPr>
          <w:lang w:val="fr-FR"/>
        </w:rPr>
        <w:t xml:space="preserve">contribuer </w:t>
      </w:r>
      <w:r w:rsidR="007055DD" w:rsidRPr="00B87CC0">
        <w:rPr>
          <w:lang w:val="fr-FR"/>
        </w:rPr>
        <w:t xml:space="preserve">au </w:t>
      </w:r>
      <w:r w:rsidR="007055DD" w:rsidRPr="00B9426D">
        <w:rPr>
          <w:lang w:val="fr-FR"/>
        </w:rPr>
        <w:t xml:space="preserve">suivi des dynamiques pastorales et de prévenir </w:t>
      </w:r>
      <w:r w:rsidR="002C1C8F" w:rsidRPr="00B9426D">
        <w:rPr>
          <w:lang w:val="fr-FR"/>
        </w:rPr>
        <w:t xml:space="preserve">les conflits agropastoraux à travers </w:t>
      </w:r>
      <w:r w:rsidRPr="0047163C">
        <w:rPr>
          <w:lang w:val="fr-FR"/>
        </w:rPr>
        <w:t>la réalis</w:t>
      </w:r>
      <w:r w:rsidR="002C1C8F" w:rsidRPr="0047163C">
        <w:rPr>
          <w:lang w:val="fr-FR"/>
        </w:rPr>
        <w:t xml:space="preserve">ation d’une </w:t>
      </w:r>
      <w:r w:rsidRPr="0047163C">
        <w:rPr>
          <w:lang w:val="fr-FR"/>
        </w:rPr>
        <w:t>cartographie interactive</w:t>
      </w:r>
      <w:r w:rsidR="002C1C8F" w:rsidRPr="0047163C">
        <w:rPr>
          <w:lang w:val="fr-FR"/>
        </w:rPr>
        <w:t>,</w:t>
      </w:r>
      <w:r w:rsidRPr="0047163C">
        <w:rPr>
          <w:lang w:val="fr-FR"/>
        </w:rPr>
        <w:t xml:space="preserve"> </w:t>
      </w:r>
      <w:r w:rsidR="002C1C8F" w:rsidRPr="0047163C">
        <w:rPr>
          <w:lang w:val="fr-FR"/>
        </w:rPr>
        <w:t xml:space="preserve">qui </w:t>
      </w:r>
      <w:r w:rsidRPr="0047163C">
        <w:rPr>
          <w:lang w:val="fr-FR"/>
        </w:rPr>
        <w:t xml:space="preserve">sera mise à jour </w:t>
      </w:r>
      <w:r w:rsidR="002C1C8F" w:rsidRPr="0047163C">
        <w:rPr>
          <w:lang w:val="fr-FR"/>
        </w:rPr>
        <w:t>et</w:t>
      </w:r>
      <w:r w:rsidRPr="0047163C">
        <w:rPr>
          <w:lang w:val="fr-FR"/>
        </w:rPr>
        <w:t xml:space="preserve"> publi</w:t>
      </w:r>
      <w:r w:rsidR="002C1C8F" w:rsidRPr="0047163C">
        <w:rPr>
          <w:lang w:val="fr-FR"/>
        </w:rPr>
        <w:t xml:space="preserve">ée </w:t>
      </w:r>
      <w:r w:rsidRPr="0047163C">
        <w:rPr>
          <w:lang w:val="fr-FR"/>
        </w:rPr>
        <w:t>régulière</w:t>
      </w:r>
      <w:r w:rsidR="002C1C8F" w:rsidRPr="0047163C">
        <w:rPr>
          <w:lang w:val="fr-FR"/>
        </w:rPr>
        <w:t>ment.</w:t>
      </w:r>
      <w:r w:rsidRPr="0047163C">
        <w:rPr>
          <w:lang w:val="fr-FR"/>
        </w:rPr>
        <w:t xml:space="preserve"> </w:t>
      </w:r>
      <w:commentRangeStart w:id="8"/>
      <w:commentRangeEnd w:id="8"/>
    </w:p>
    <w:p w14:paraId="41ABC93D" w14:textId="6C8C59F0" w:rsidR="000C5C4D" w:rsidRPr="0047163C" w:rsidRDefault="005E40A2" w:rsidP="000C5C4D">
      <w:pPr>
        <w:ind w:left="-810"/>
        <w:jc w:val="both"/>
        <w:rPr>
          <w:lang w:val="fr-FR"/>
        </w:rPr>
      </w:pPr>
      <w:r w:rsidRPr="00B87CC0">
        <w:rPr>
          <w:lang w:val="fr-FR"/>
        </w:rPr>
        <w:t>Les</w:t>
      </w:r>
      <w:r w:rsidR="00AB5C31" w:rsidRPr="00B9426D">
        <w:rPr>
          <w:lang w:val="fr-FR"/>
        </w:rPr>
        <w:t xml:space="preserve"> </w:t>
      </w:r>
      <w:r w:rsidR="00447ECC" w:rsidRPr="00B9426D">
        <w:rPr>
          <w:lang w:val="fr-FR"/>
        </w:rPr>
        <w:t>partenaires de mise en œuvre de ce volet (</w:t>
      </w:r>
      <w:proofErr w:type="spellStart"/>
      <w:r w:rsidR="00447ECC" w:rsidRPr="00B9426D">
        <w:rPr>
          <w:lang w:val="fr-FR"/>
        </w:rPr>
        <w:t>Concordis</w:t>
      </w:r>
      <w:proofErr w:type="spellEnd"/>
      <w:r w:rsidR="00447ECC" w:rsidRPr="00B9426D">
        <w:rPr>
          <w:lang w:val="fr-FR"/>
        </w:rPr>
        <w:t xml:space="preserve"> International, </w:t>
      </w:r>
      <w:proofErr w:type="spellStart"/>
      <w:r w:rsidR="00447ECC" w:rsidRPr="00B9426D">
        <w:rPr>
          <w:lang w:val="fr-FR"/>
        </w:rPr>
        <w:t>S</w:t>
      </w:r>
      <w:r w:rsidR="00AB5C31" w:rsidRPr="00B9426D">
        <w:rPr>
          <w:lang w:val="fr-FR"/>
        </w:rPr>
        <w:t>earch</w:t>
      </w:r>
      <w:proofErr w:type="spellEnd"/>
      <w:r w:rsidR="00AB5C31" w:rsidRPr="00B9426D">
        <w:rPr>
          <w:lang w:val="fr-FR"/>
        </w:rPr>
        <w:t xml:space="preserve"> </w:t>
      </w:r>
      <w:r w:rsidR="00447ECC" w:rsidRPr="00B9426D">
        <w:rPr>
          <w:lang w:val="fr-FR"/>
        </w:rPr>
        <w:t>F</w:t>
      </w:r>
      <w:r w:rsidR="00AB5C31" w:rsidRPr="0047163C">
        <w:rPr>
          <w:lang w:val="fr-FR"/>
        </w:rPr>
        <w:t xml:space="preserve">or </w:t>
      </w:r>
      <w:r w:rsidR="00447ECC" w:rsidRPr="0047163C">
        <w:rPr>
          <w:lang w:val="fr-FR"/>
        </w:rPr>
        <w:t>C</w:t>
      </w:r>
      <w:r w:rsidR="00AB5C31" w:rsidRPr="0047163C">
        <w:rPr>
          <w:lang w:val="fr-FR"/>
        </w:rPr>
        <w:t xml:space="preserve">ommon </w:t>
      </w:r>
      <w:r w:rsidR="00447ECC" w:rsidRPr="0047163C">
        <w:rPr>
          <w:lang w:val="fr-FR"/>
        </w:rPr>
        <w:t>G</w:t>
      </w:r>
      <w:r w:rsidR="00AB5C31" w:rsidRPr="0047163C">
        <w:rPr>
          <w:lang w:val="fr-FR"/>
        </w:rPr>
        <w:t>round</w:t>
      </w:r>
      <w:r w:rsidR="00447ECC" w:rsidRPr="0047163C">
        <w:rPr>
          <w:lang w:val="fr-FR"/>
        </w:rPr>
        <w:t xml:space="preserve">, </w:t>
      </w:r>
      <w:r w:rsidR="00804EFC" w:rsidRPr="0082499A">
        <w:rPr>
          <w:lang w:val="fr-FR"/>
        </w:rPr>
        <w:t>Groupement pour le Développement Agro-Pastoral</w:t>
      </w:r>
      <w:r w:rsidR="00447ECC" w:rsidRPr="00691927">
        <w:rPr>
          <w:lang w:val="fr-FR"/>
        </w:rPr>
        <w:t>,</w:t>
      </w:r>
      <w:r w:rsidR="00D168A2">
        <w:rPr>
          <w:lang w:val="fr-FR"/>
        </w:rPr>
        <w:t xml:space="preserve"> </w:t>
      </w:r>
      <w:r w:rsidR="00447ECC" w:rsidRPr="00B87CC0">
        <w:rPr>
          <w:lang w:val="fr-FR"/>
        </w:rPr>
        <w:t>A</w:t>
      </w:r>
      <w:r w:rsidR="00AB5C31" w:rsidRPr="00B87CC0">
        <w:rPr>
          <w:lang w:val="fr-FR"/>
        </w:rPr>
        <w:t xml:space="preserve">gence </w:t>
      </w:r>
      <w:r w:rsidR="00447ECC" w:rsidRPr="00B9426D">
        <w:rPr>
          <w:lang w:val="fr-FR"/>
        </w:rPr>
        <w:t>N</w:t>
      </w:r>
      <w:r w:rsidR="00AB5C31" w:rsidRPr="00B9426D">
        <w:rPr>
          <w:lang w:val="fr-FR"/>
        </w:rPr>
        <w:t>ationale de Développement de l’</w:t>
      </w:r>
      <w:r w:rsidR="00447ECC" w:rsidRPr="00B9426D">
        <w:rPr>
          <w:lang w:val="fr-FR"/>
        </w:rPr>
        <w:t>E</w:t>
      </w:r>
      <w:r w:rsidR="00AB5C31" w:rsidRPr="00B9426D">
        <w:rPr>
          <w:lang w:val="fr-FR"/>
        </w:rPr>
        <w:t>levage</w:t>
      </w:r>
      <w:r w:rsidR="00447ECC" w:rsidRPr="00B9426D">
        <w:rPr>
          <w:lang w:val="fr-FR"/>
        </w:rPr>
        <w:t xml:space="preserve"> et </w:t>
      </w:r>
      <w:r w:rsidR="00AB5C31" w:rsidRPr="0047163C">
        <w:rPr>
          <w:lang w:val="fr-FR"/>
        </w:rPr>
        <w:t xml:space="preserve">la </w:t>
      </w:r>
      <w:r w:rsidR="00447ECC" w:rsidRPr="0047163C">
        <w:rPr>
          <w:lang w:val="fr-FR"/>
        </w:rPr>
        <w:t>F</w:t>
      </w:r>
      <w:r w:rsidR="00AB5C31" w:rsidRPr="0047163C">
        <w:rPr>
          <w:lang w:val="fr-FR"/>
        </w:rPr>
        <w:t xml:space="preserve">édération </w:t>
      </w:r>
      <w:r w:rsidR="00447ECC" w:rsidRPr="0047163C">
        <w:rPr>
          <w:lang w:val="fr-FR"/>
        </w:rPr>
        <w:t>N</w:t>
      </w:r>
      <w:r w:rsidR="00AB5C31" w:rsidRPr="0047163C">
        <w:rPr>
          <w:lang w:val="fr-FR"/>
        </w:rPr>
        <w:t xml:space="preserve">ationale des </w:t>
      </w:r>
      <w:r w:rsidR="00447ECC" w:rsidRPr="0047163C">
        <w:rPr>
          <w:lang w:val="fr-FR"/>
        </w:rPr>
        <w:t>E</w:t>
      </w:r>
      <w:r w:rsidR="00AB5C31" w:rsidRPr="0047163C">
        <w:rPr>
          <w:lang w:val="fr-FR"/>
        </w:rPr>
        <w:t xml:space="preserve">leveurs </w:t>
      </w:r>
      <w:r w:rsidR="00447ECC" w:rsidRPr="0047163C">
        <w:rPr>
          <w:lang w:val="fr-FR"/>
        </w:rPr>
        <w:t>C</w:t>
      </w:r>
      <w:r w:rsidR="00AB5C31" w:rsidRPr="0047163C">
        <w:rPr>
          <w:lang w:val="fr-FR"/>
        </w:rPr>
        <w:t>entrafricains)</w:t>
      </w:r>
      <w:r w:rsidR="00447ECC" w:rsidRPr="0047163C">
        <w:rPr>
          <w:lang w:val="fr-FR"/>
        </w:rPr>
        <w:t xml:space="preserve"> </w:t>
      </w:r>
      <w:r w:rsidRPr="0047163C">
        <w:rPr>
          <w:lang w:val="fr-FR"/>
        </w:rPr>
        <w:t xml:space="preserve">sélectionnés et </w:t>
      </w:r>
      <w:r w:rsidR="00447ECC" w:rsidRPr="0047163C">
        <w:rPr>
          <w:lang w:val="fr-FR"/>
        </w:rPr>
        <w:t xml:space="preserve">contractualisés, sont </w:t>
      </w:r>
      <w:r w:rsidR="00AB5C31" w:rsidRPr="0047163C">
        <w:rPr>
          <w:lang w:val="fr-FR"/>
        </w:rPr>
        <w:t xml:space="preserve">en train de se </w:t>
      </w:r>
      <w:r w:rsidR="00447ECC" w:rsidRPr="0047163C">
        <w:rPr>
          <w:lang w:val="fr-FR"/>
        </w:rPr>
        <w:t>déploy</w:t>
      </w:r>
      <w:r w:rsidR="00AB5C31" w:rsidRPr="0047163C">
        <w:rPr>
          <w:lang w:val="fr-FR"/>
        </w:rPr>
        <w:t>er</w:t>
      </w:r>
      <w:r w:rsidR="00447ECC" w:rsidRPr="0047163C">
        <w:rPr>
          <w:lang w:val="fr-FR"/>
        </w:rPr>
        <w:t xml:space="preserve"> sur le terrain pour organiser la collecte des données</w:t>
      </w:r>
      <w:r w:rsidRPr="0047163C">
        <w:rPr>
          <w:lang w:val="fr-FR"/>
        </w:rPr>
        <w:t xml:space="preserve"> devant servir à l’analyse, la gestion de l’information sur la transhumance et la cartographie</w:t>
      </w:r>
      <w:r w:rsidR="00447ECC" w:rsidRPr="0047163C">
        <w:rPr>
          <w:lang w:val="fr-FR"/>
        </w:rPr>
        <w:t>. Parallèlemen</w:t>
      </w:r>
      <w:r w:rsidR="00AB5C31" w:rsidRPr="0047163C">
        <w:rPr>
          <w:lang w:val="fr-FR"/>
        </w:rPr>
        <w:t xml:space="preserve">t, la sélection des enquêteurs </w:t>
      </w:r>
      <w:r w:rsidR="00447ECC" w:rsidRPr="0047163C">
        <w:rPr>
          <w:lang w:val="fr-FR"/>
        </w:rPr>
        <w:t>qui seront chargés de la collecte des données</w:t>
      </w:r>
      <w:r w:rsidR="00804EFC">
        <w:rPr>
          <w:lang w:val="fr-FR"/>
        </w:rPr>
        <w:t xml:space="preserve"> sur les causes de conflits </w:t>
      </w:r>
      <w:r w:rsidR="001A446B">
        <w:rPr>
          <w:lang w:val="fr-FR"/>
        </w:rPr>
        <w:t xml:space="preserve">liés à la transhumance </w:t>
      </w:r>
      <w:r w:rsidR="00804EFC">
        <w:rPr>
          <w:lang w:val="fr-FR"/>
        </w:rPr>
        <w:t>et les infrastructures agropastorales existantes, ainsi que leur état de fonctionnement, dans les zones du projet</w:t>
      </w:r>
      <w:r w:rsidR="00447ECC" w:rsidRPr="00691927">
        <w:rPr>
          <w:lang w:val="fr-FR"/>
        </w:rPr>
        <w:t>, est aussi en cou</w:t>
      </w:r>
      <w:r w:rsidR="00447ECC" w:rsidRPr="00B87CC0">
        <w:rPr>
          <w:lang w:val="fr-FR"/>
        </w:rPr>
        <w:t>rs de réalisation.</w:t>
      </w:r>
      <w:r w:rsidR="00AB5C31" w:rsidRPr="00B87CC0">
        <w:rPr>
          <w:lang w:val="fr-FR"/>
        </w:rPr>
        <w:t xml:space="preserve"> Les capacités des partenaires seront </w:t>
      </w:r>
      <w:r w:rsidR="00AB5C31" w:rsidRPr="0047163C">
        <w:rPr>
          <w:lang w:val="fr-FR"/>
        </w:rPr>
        <w:t xml:space="preserve">renforcées </w:t>
      </w:r>
      <w:r w:rsidR="005F5EA5" w:rsidRPr="0047163C">
        <w:rPr>
          <w:lang w:val="fr-FR"/>
        </w:rPr>
        <w:t>pour</w:t>
      </w:r>
      <w:r w:rsidR="00AB5C31" w:rsidRPr="0047163C">
        <w:rPr>
          <w:lang w:val="fr-FR"/>
        </w:rPr>
        <w:t xml:space="preserve"> la collecte de données, l’élaboration de stratégies de réduction et de prévention des conflits, ainsi que la gestion et l’analyse des données. </w:t>
      </w:r>
      <w:r w:rsidR="001431DD" w:rsidRPr="0047163C">
        <w:rPr>
          <w:lang w:val="fr-FR"/>
        </w:rPr>
        <w:t xml:space="preserve">Ces efforts participeront : (1) au renforcement des capacités nationales, (2) au renforcement des institutions et des mécanismes existants, (3) à l’amélioration des institutions locales, et (4) à l’identification des solutions durables pour la prévention et la réduction des conflits. </w:t>
      </w:r>
    </w:p>
    <w:p w14:paraId="3B2480B9" w14:textId="77777777" w:rsidR="000C5C4D" w:rsidRPr="0047163C" w:rsidRDefault="000C5C4D" w:rsidP="000C5C4D">
      <w:pPr>
        <w:ind w:left="-720"/>
        <w:jc w:val="both"/>
        <w:rPr>
          <w:rFonts w:ascii="inherit" w:hAnsi="inherit"/>
          <w:color w:val="212121"/>
          <w:lang w:val="fr-FR"/>
        </w:rPr>
      </w:pPr>
    </w:p>
    <w:p w14:paraId="4620F4AC" w14:textId="52FD80EE" w:rsidR="000C5C4D" w:rsidRPr="0047163C" w:rsidRDefault="000C5C4D" w:rsidP="005F5EA5">
      <w:pPr>
        <w:ind w:left="-810"/>
        <w:jc w:val="both"/>
        <w:rPr>
          <w:lang w:val="fr-FR"/>
        </w:rPr>
      </w:pPr>
      <w:r w:rsidRPr="0047163C">
        <w:rPr>
          <w:lang w:val="fr-FR"/>
        </w:rPr>
        <w:t>Les activités</w:t>
      </w:r>
      <w:r w:rsidR="0080486C" w:rsidRPr="0047163C">
        <w:rPr>
          <w:lang w:val="fr-FR"/>
        </w:rPr>
        <w:t> </w:t>
      </w:r>
      <w:r w:rsidRPr="0047163C">
        <w:rPr>
          <w:lang w:val="fr-FR"/>
        </w:rPr>
        <w:t xml:space="preserve">d’information et de sensibilisation des autorités nationales au niveau central et décentralisé, ainsi que </w:t>
      </w:r>
      <w:r w:rsidR="0080486C" w:rsidRPr="0047163C">
        <w:rPr>
          <w:lang w:val="fr-FR"/>
        </w:rPr>
        <w:t>d</w:t>
      </w:r>
      <w:r w:rsidRPr="0047163C">
        <w:rPr>
          <w:lang w:val="fr-FR"/>
        </w:rPr>
        <w:t>es représentants de la Fédération nationale des éleveurs centrafricains (FNEC), de l’Agence Nationale de Développement de l’Elevage (ANDE)</w:t>
      </w:r>
      <w:r w:rsidR="0080486C" w:rsidRPr="0047163C">
        <w:rPr>
          <w:lang w:val="fr-FR"/>
        </w:rPr>
        <w:t xml:space="preserve"> </w:t>
      </w:r>
      <w:r w:rsidRPr="0047163C">
        <w:rPr>
          <w:lang w:val="fr-FR"/>
        </w:rPr>
        <w:t xml:space="preserve">et </w:t>
      </w:r>
      <w:r w:rsidR="0080486C" w:rsidRPr="0047163C">
        <w:rPr>
          <w:lang w:val="fr-FR"/>
        </w:rPr>
        <w:t>d</w:t>
      </w:r>
      <w:r w:rsidRPr="0047163C">
        <w:rPr>
          <w:lang w:val="fr-FR"/>
        </w:rPr>
        <w:t>es organisations de la société civile, ont été réalisées.</w:t>
      </w:r>
    </w:p>
    <w:p w14:paraId="624803EC" w14:textId="77777777" w:rsidR="005F5EA5" w:rsidRPr="0047163C" w:rsidRDefault="005F5EA5" w:rsidP="005F5EA5">
      <w:pPr>
        <w:ind w:left="-810"/>
        <w:jc w:val="both"/>
        <w:rPr>
          <w:lang w:val="fr-FR"/>
        </w:rPr>
      </w:pPr>
    </w:p>
    <w:p w14:paraId="3BA4E08F" w14:textId="414780E9" w:rsidR="004D3768" w:rsidRPr="0047163C" w:rsidRDefault="004D3768" w:rsidP="004D3768">
      <w:pPr>
        <w:ind w:left="-810"/>
        <w:jc w:val="both"/>
        <w:rPr>
          <w:lang w:val="fr-FR"/>
        </w:rPr>
      </w:pPr>
      <w:r w:rsidRPr="0047163C">
        <w:rPr>
          <w:lang w:val="fr-FR"/>
        </w:rPr>
        <w:t>Une mission conjointe FAO/UNFPA a été organisée du 09 au 18 Août 2021 dans les villes de Bossangoa et de Bozoum pour procéder, d’une part, au lancement officiel du projet au niveau régional, et d’autre part, pour organiser des activités d’information, de sensibilisation et d’appui aux actions de plaidoyer sur les VBG. C</w:t>
      </w:r>
      <w:r w:rsidR="000C5C4D" w:rsidRPr="0047163C">
        <w:rPr>
          <w:lang w:val="fr-FR"/>
        </w:rPr>
        <w:t xml:space="preserve">es activités </w:t>
      </w:r>
      <w:r w:rsidRPr="0047163C">
        <w:rPr>
          <w:lang w:val="fr-FR"/>
        </w:rPr>
        <w:t>sont venues compléter celles consistant à l’élaboration</w:t>
      </w:r>
      <w:r w:rsidR="000C5C4D" w:rsidRPr="0047163C">
        <w:rPr>
          <w:lang w:val="fr-FR"/>
        </w:rPr>
        <w:t xml:space="preserve"> des fiches synoptiques d’information sur le projet,</w:t>
      </w:r>
      <w:r w:rsidRPr="0047163C">
        <w:rPr>
          <w:lang w:val="fr-FR"/>
        </w:rPr>
        <w:t xml:space="preserve"> destinées à la presse, </w:t>
      </w:r>
      <w:r w:rsidR="000C5C4D" w:rsidRPr="0047163C">
        <w:rPr>
          <w:lang w:val="fr-FR"/>
        </w:rPr>
        <w:t>des activités d'information et de sensibilisation des autorités nationales au niveau central et décentralisé, ainsi que l’identification des partenaires de mise en œuvre</w:t>
      </w:r>
      <w:r w:rsidRPr="0047163C">
        <w:rPr>
          <w:lang w:val="fr-FR"/>
        </w:rPr>
        <w:t>,</w:t>
      </w:r>
      <w:r w:rsidR="000C5C4D" w:rsidRPr="0047163C">
        <w:rPr>
          <w:lang w:val="fr-FR"/>
        </w:rPr>
        <w:t xml:space="preserve"> des groupement</w:t>
      </w:r>
      <w:r w:rsidRPr="0047163C">
        <w:rPr>
          <w:lang w:val="fr-FR"/>
        </w:rPr>
        <w:t>s</w:t>
      </w:r>
      <w:r w:rsidR="000C5C4D" w:rsidRPr="0047163C">
        <w:rPr>
          <w:lang w:val="fr-FR"/>
        </w:rPr>
        <w:t xml:space="preserve"> et </w:t>
      </w:r>
      <w:r w:rsidRPr="0047163C">
        <w:rPr>
          <w:lang w:val="fr-FR"/>
        </w:rPr>
        <w:t xml:space="preserve">des </w:t>
      </w:r>
      <w:r w:rsidR="000C5C4D" w:rsidRPr="0047163C">
        <w:rPr>
          <w:lang w:val="fr-FR"/>
        </w:rPr>
        <w:t>associations féminin</w:t>
      </w:r>
      <w:r w:rsidRPr="0047163C">
        <w:rPr>
          <w:lang w:val="fr-FR"/>
        </w:rPr>
        <w:t>e</w:t>
      </w:r>
      <w:r w:rsidR="000C5C4D" w:rsidRPr="0047163C">
        <w:rPr>
          <w:lang w:val="fr-FR"/>
        </w:rPr>
        <w:t>s et de jeunes</w:t>
      </w:r>
      <w:r w:rsidRPr="0047163C">
        <w:rPr>
          <w:lang w:val="fr-FR"/>
        </w:rPr>
        <w:t xml:space="preserve">, qui avaient </w:t>
      </w:r>
      <w:r w:rsidR="000C5C4D" w:rsidRPr="0047163C">
        <w:rPr>
          <w:lang w:val="fr-FR"/>
        </w:rPr>
        <w:t>été réalisée</w:t>
      </w:r>
      <w:r w:rsidRPr="0047163C">
        <w:rPr>
          <w:lang w:val="fr-FR"/>
        </w:rPr>
        <w:t>s</w:t>
      </w:r>
      <w:r w:rsidR="000C5C4D" w:rsidRPr="0047163C">
        <w:rPr>
          <w:lang w:val="fr-FR"/>
        </w:rPr>
        <w:t>. Les réun</w:t>
      </w:r>
      <w:r w:rsidRPr="0047163C">
        <w:rPr>
          <w:lang w:val="fr-FR"/>
        </w:rPr>
        <w:t>ions de coordination du projet continuent aussi de se</w:t>
      </w:r>
      <w:r w:rsidR="000C5C4D" w:rsidRPr="0047163C">
        <w:rPr>
          <w:lang w:val="fr-FR"/>
        </w:rPr>
        <w:t xml:space="preserve"> ten</w:t>
      </w:r>
      <w:r w:rsidRPr="0047163C">
        <w:rPr>
          <w:lang w:val="fr-FR"/>
        </w:rPr>
        <w:t>ir</w:t>
      </w:r>
      <w:r w:rsidR="000C5C4D" w:rsidRPr="0047163C">
        <w:rPr>
          <w:lang w:val="fr-FR"/>
        </w:rPr>
        <w:t xml:space="preserve"> régulièrement. </w:t>
      </w:r>
    </w:p>
    <w:p w14:paraId="6F294DB2" w14:textId="77777777" w:rsidR="00534330" w:rsidRPr="0047163C" w:rsidRDefault="00534330" w:rsidP="004D3768">
      <w:pPr>
        <w:ind w:left="-810"/>
        <w:jc w:val="both"/>
        <w:rPr>
          <w:lang w:val="fr-FR"/>
        </w:rPr>
      </w:pPr>
    </w:p>
    <w:p w14:paraId="5003FE8D" w14:textId="0116B485" w:rsidR="004D3768" w:rsidRPr="0047163C" w:rsidRDefault="004D3768" w:rsidP="005C6A7D">
      <w:pPr>
        <w:ind w:left="-810"/>
        <w:jc w:val="both"/>
        <w:rPr>
          <w:lang w:val="fr-FR"/>
        </w:rPr>
      </w:pPr>
      <w:r w:rsidRPr="0047163C">
        <w:rPr>
          <w:lang w:val="fr-FR"/>
        </w:rPr>
        <w:t xml:space="preserve">Une évaluation </w:t>
      </w:r>
      <w:r w:rsidR="003900CA" w:rsidRPr="0047163C">
        <w:rPr>
          <w:lang w:val="fr-FR"/>
        </w:rPr>
        <w:t xml:space="preserve">rapide </w:t>
      </w:r>
      <w:r w:rsidR="00534330" w:rsidRPr="0047163C">
        <w:rPr>
          <w:lang w:val="fr-FR"/>
        </w:rPr>
        <w:t xml:space="preserve">réalisée </w:t>
      </w:r>
      <w:r w:rsidRPr="0047163C">
        <w:rPr>
          <w:lang w:val="fr-FR"/>
        </w:rPr>
        <w:t xml:space="preserve">par sondage auprès des participants </w:t>
      </w:r>
      <w:r w:rsidR="003900CA" w:rsidRPr="0047163C">
        <w:rPr>
          <w:lang w:val="fr-FR"/>
        </w:rPr>
        <w:t>des</w:t>
      </w:r>
      <w:r w:rsidRPr="0047163C">
        <w:rPr>
          <w:lang w:val="fr-FR"/>
        </w:rPr>
        <w:t xml:space="preserve"> réunions de plaidoyer à Bossangoa et à Bozoum, a permis d’identifier les priorités d’aménagement communautaire, c’est-dire des points d’eau (</w:t>
      </w:r>
      <w:r w:rsidR="00162262" w:rsidRPr="0047163C">
        <w:rPr>
          <w:lang w:val="fr-FR"/>
        </w:rPr>
        <w:t>p</w:t>
      </w:r>
      <w:r w:rsidRPr="0047163C">
        <w:rPr>
          <w:lang w:val="fr-FR"/>
        </w:rPr>
        <w:t>uits pastoraux et maraîchers)</w:t>
      </w:r>
      <w:r w:rsidR="00162262" w:rsidRPr="0047163C">
        <w:rPr>
          <w:lang w:val="fr-FR"/>
        </w:rPr>
        <w:t>, aires de séchage, magasins de stockage, aires d’abattage et marchés à bétail</w:t>
      </w:r>
      <w:r w:rsidR="000B48F4" w:rsidRPr="0047163C">
        <w:rPr>
          <w:lang w:val="fr-FR"/>
        </w:rPr>
        <w:t>.</w:t>
      </w:r>
    </w:p>
    <w:p w14:paraId="5F180424" w14:textId="77777777" w:rsidR="00F936AD" w:rsidRPr="0047163C" w:rsidRDefault="00F936AD" w:rsidP="005C6A7D">
      <w:pPr>
        <w:ind w:left="-810"/>
        <w:jc w:val="both"/>
        <w:rPr>
          <w:lang w:val="fr-FR"/>
        </w:rPr>
      </w:pPr>
    </w:p>
    <w:p w14:paraId="795745E5" w14:textId="69F16F5E" w:rsidR="000C5C4D" w:rsidRDefault="000C5C4D" w:rsidP="000C5C4D">
      <w:pPr>
        <w:ind w:left="-810"/>
        <w:jc w:val="both"/>
        <w:rPr>
          <w:lang w:val="fr-FR"/>
        </w:rPr>
      </w:pPr>
      <w:r>
        <w:rPr>
          <w:lang w:val="fr-FR"/>
        </w:rPr>
        <w:t xml:space="preserve"> </w:t>
      </w:r>
      <w:r w:rsidRPr="00D0418B">
        <w:rPr>
          <w:lang w:val="fr-FR"/>
        </w:rPr>
        <w:t xml:space="preserve"> </w:t>
      </w:r>
      <w:r w:rsidR="004D3768">
        <w:rPr>
          <w:lang w:val="fr-FR"/>
        </w:rPr>
        <w:t xml:space="preserve"> </w:t>
      </w:r>
    </w:p>
    <w:p w14:paraId="41ABD3CD" w14:textId="51E5E8D9" w:rsidR="00161D02" w:rsidRPr="005D15A3" w:rsidRDefault="005D15A3" w:rsidP="00013C6B">
      <w:pPr>
        <w:ind w:left="-720"/>
        <w:jc w:val="both"/>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52725B" w:rsidRPr="005D15A3">
        <w:rPr>
          <w:b/>
          <w:bCs/>
          <w:color w:val="000000"/>
          <w:lang w:val="fr-FR" w:eastAsia="en-US"/>
        </w:rPr>
        <w:t>résultat</w:t>
      </w:r>
      <w:r w:rsidR="0052725B"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9C03E2A" w14:textId="77777777" w:rsidR="0052725B" w:rsidRPr="00013C6B" w:rsidRDefault="0052725B" w:rsidP="00386D3D">
      <w:pPr>
        <w:ind w:left="-720"/>
        <w:jc w:val="both"/>
        <w:rPr>
          <w:strike/>
          <w:lang w:val="fr-FR"/>
        </w:rPr>
      </w:pPr>
    </w:p>
    <w:p w14:paraId="3C546A8D" w14:textId="189FAC76" w:rsidR="00E66377" w:rsidRPr="00D23808" w:rsidRDefault="00E66377" w:rsidP="00E66377">
      <w:pPr>
        <w:ind w:left="-810"/>
        <w:jc w:val="both"/>
        <w:rPr>
          <w:iCs/>
          <w:lang w:val="fr-FR"/>
        </w:rPr>
      </w:pPr>
      <w:r w:rsidRPr="00D168A2">
        <w:rPr>
          <w:iCs/>
          <w:lang w:val="fr-FR"/>
        </w:rPr>
        <w:t xml:space="preserve">Dans le cadre de la mise en œuvre de ce résultat, l’analyse du contexte sensible au genre </w:t>
      </w:r>
      <w:r w:rsidR="006D0729" w:rsidRPr="00D168A2">
        <w:rPr>
          <w:iCs/>
          <w:lang w:val="fr-FR"/>
        </w:rPr>
        <w:t xml:space="preserve">a été </w:t>
      </w:r>
      <w:r w:rsidRPr="00D168A2">
        <w:rPr>
          <w:iCs/>
          <w:lang w:val="fr-FR"/>
        </w:rPr>
        <w:t xml:space="preserve"> adressée pour permettre aux équipes du projet de : (i) faire un état des lieux et/ou un constat, dans les zones de mise en œuvre (communes, villages, campements, etc.) des différences entre hommes et femmes sur le plan des activités, des besoins spécifiques des femmes et des jeunes, des contraintes de l'accès et du contrôle des ressources et de la prise de décision ; (ii)analyser les causes probables de ces phénomènes; (iii) identifier les acteurs impliqués, leurs comportements, leurs besoins ou intérêts, les stratégies qu’ils utilisent et leurs relations ; et finalement (iv) impliquer tous les acteurs concernés, notamment les femmes et les jeunes, dans </w:t>
      </w:r>
      <w:r w:rsidRPr="00D23808">
        <w:rPr>
          <w:iCs/>
          <w:lang w:val="fr-FR"/>
        </w:rPr>
        <w:t>l’analyse des problèmes identifiés et la recherche de solutions. Ce qui a favoris</w:t>
      </w:r>
      <w:r w:rsidR="006D0729">
        <w:rPr>
          <w:iCs/>
          <w:lang w:val="fr-FR"/>
        </w:rPr>
        <w:t>é</w:t>
      </w:r>
      <w:r w:rsidRPr="00D23808">
        <w:rPr>
          <w:iCs/>
          <w:lang w:val="fr-FR"/>
        </w:rPr>
        <w:t xml:space="preserve"> l’implication et la participation de tous aux différentes activités du projet et de garantir l’égalité entre les sexes.</w:t>
      </w:r>
    </w:p>
    <w:p w14:paraId="77E9478C" w14:textId="00D22E9C" w:rsidR="00161D02" w:rsidRPr="00D94BE1" w:rsidRDefault="00161D02" w:rsidP="00161D02">
      <w:pPr>
        <w:ind w:left="-720"/>
        <w:rPr>
          <w:b/>
          <w:lang w:val="fr-FR"/>
        </w:rPr>
      </w:pPr>
    </w:p>
    <w:p w14:paraId="4B6AAB29" w14:textId="77777777" w:rsidR="00323ABC" w:rsidRPr="00D94BE1" w:rsidRDefault="00323ABC" w:rsidP="007E4FA1">
      <w:pPr>
        <w:rPr>
          <w:b/>
          <w:lang w:val="fr-FR"/>
        </w:rPr>
      </w:pPr>
      <w:commentRangeStart w:id="9"/>
      <w:commentRangeStart w:id="10"/>
      <w:commentRangeStart w:id="11"/>
    </w:p>
    <w:p w14:paraId="563533E9" w14:textId="3EA9BBFE" w:rsidR="00675507" w:rsidRPr="0052725B" w:rsidRDefault="00675507" w:rsidP="00D8330B">
      <w:pPr>
        <w:ind w:left="-720"/>
        <w:jc w:val="both"/>
        <w:rPr>
          <w:b/>
          <w:lang w:val="fr-FR"/>
        </w:rPr>
      </w:pPr>
      <w:r w:rsidRPr="001D2CF2">
        <w:rPr>
          <w:b/>
          <w:u w:val="single"/>
          <w:lang w:val="fr-FR"/>
        </w:rPr>
        <w:t>Résultat 2:</w:t>
      </w:r>
      <w:r w:rsidRPr="001D2CF2">
        <w:rPr>
          <w:b/>
          <w:lang w:val="fr-FR"/>
        </w:rPr>
        <w:t xml:space="preserve">  </w:t>
      </w:r>
      <w:r w:rsidR="00D8330B" w:rsidRPr="00013C6B">
        <w:rPr>
          <w:b/>
          <w:lang w:val="fr-FR"/>
        </w:rPr>
        <w:t>Les mécanismes et structures institutionnelles et traditionnelles de prévention et de gestion de conflits fonctionnent de façon efficiente et gèrent les conflits</w:t>
      </w:r>
      <w:commentRangeEnd w:id="9"/>
      <w:r w:rsidR="00673926">
        <w:rPr>
          <w:rStyle w:val="CommentReference"/>
        </w:rPr>
        <w:commentReference w:id="9"/>
      </w:r>
      <w:commentRangeEnd w:id="10"/>
      <w:r w:rsidR="0068522B">
        <w:rPr>
          <w:rStyle w:val="CommentReference"/>
        </w:rPr>
        <w:commentReference w:id="10"/>
      </w:r>
      <w:commentRangeEnd w:id="11"/>
      <w:r w:rsidR="00635B9E">
        <w:rPr>
          <w:rStyle w:val="CommentReference"/>
        </w:rPr>
        <w:commentReference w:id="11"/>
      </w:r>
    </w:p>
    <w:p w14:paraId="521560B0" w14:textId="77777777" w:rsidR="00675507" w:rsidRPr="00615EA3" w:rsidRDefault="00675507" w:rsidP="00675507">
      <w:pPr>
        <w:ind w:left="-720"/>
        <w:rPr>
          <w:b/>
          <w:lang w:val="fr-FR"/>
        </w:rPr>
      </w:pPr>
    </w:p>
    <w:p w14:paraId="192B211F" w14:textId="05CB1C5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52725B">
        <w:rPr>
          <w:rFonts w:ascii="inherit" w:hAnsi="inherit"/>
          <w:color w:val="212121"/>
          <w:lang w:val="fr-FR"/>
        </w:rPr>
        <w:t>résultat</w:t>
      </w:r>
      <w:r w:rsidR="0052725B" w:rsidRPr="009C39D0">
        <w:rPr>
          <w:rFonts w:ascii="inherit" w:hAnsi="inherit"/>
          <w:color w:val="212121"/>
          <w:lang w:val="fr-FR"/>
        </w:rPr>
        <w:t xml:space="preserve"> :</w:t>
      </w:r>
      <w:r w:rsidRPr="00615EA3">
        <w:rPr>
          <w:b/>
          <w:lang w:val="fr-FR"/>
        </w:rPr>
        <w:t xml:space="preserve"> </w:t>
      </w:r>
      <w:r w:rsidR="0052725B">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52725B" w:rsidRPr="00013C6B">
        <w:rPr>
          <w:rFonts w:ascii="Arial Narrow" w:hAnsi="Arial Narrow"/>
          <w:b/>
          <w:sz w:val="22"/>
          <w:szCs w:val="22"/>
          <w:lang w:val="fr-FR"/>
        </w:rPr>
        <w:instrText xml:space="preserve"> FORMDROPDOWN </w:instrText>
      </w:r>
      <w:r w:rsidR="004E507F">
        <w:rPr>
          <w:rFonts w:ascii="Arial Narrow" w:hAnsi="Arial Narrow"/>
          <w:b/>
          <w:sz w:val="22"/>
          <w:szCs w:val="22"/>
        </w:rPr>
      </w:r>
      <w:r w:rsidR="004E507F">
        <w:rPr>
          <w:rFonts w:ascii="Arial Narrow" w:hAnsi="Arial Narrow"/>
          <w:b/>
          <w:sz w:val="22"/>
          <w:szCs w:val="22"/>
        </w:rPr>
        <w:fldChar w:fldCharType="separate"/>
      </w:r>
      <w:r w:rsidR="0052725B">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2BF65E2D" w14:textId="40A7D773" w:rsidR="00D168A2" w:rsidRDefault="0052725B" w:rsidP="00782831">
      <w:pPr>
        <w:ind w:left="-720"/>
        <w:jc w:val="both"/>
        <w:rPr>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F9E76E4" w14:textId="77777777" w:rsidR="00D168A2" w:rsidRDefault="00D168A2" w:rsidP="00782831">
      <w:pPr>
        <w:ind w:left="-720"/>
        <w:jc w:val="both"/>
        <w:rPr>
          <w:i/>
          <w:lang w:val="fr-FR"/>
        </w:rPr>
      </w:pPr>
    </w:p>
    <w:p w14:paraId="1C094FF0" w14:textId="13DF76DE" w:rsidR="00782831" w:rsidRPr="004D7FE1" w:rsidRDefault="001A6F99" w:rsidP="00782831">
      <w:pPr>
        <w:ind w:left="-720"/>
        <w:jc w:val="both"/>
        <w:rPr>
          <w:lang w:val="fr-FR"/>
        </w:rPr>
      </w:pPr>
      <w:commentRangeStart w:id="12"/>
      <w:r w:rsidRPr="004D7FE1">
        <w:rPr>
          <w:lang w:val="fr-FR"/>
        </w:rPr>
        <w:t xml:space="preserve">L’identification et la formation de 70 </w:t>
      </w:r>
      <w:r w:rsidR="00244121" w:rsidRPr="004D7FE1">
        <w:rPr>
          <w:lang w:val="fr-FR"/>
        </w:rPr>
        <w:t xml:space="preserve">membres </w:t>
      </w:r>
      <w:r w:rsidRPr="004D7FE1">
        <w:rPr>
          <w:lang w:val="fr-FR"/>
        </w:rPr>
        <w:t xml:space="preserve">(45 femmes et 25 hommes) issues de 22 plateformes des organisations féminines et de jeunesses  a permis </w:t>
      </w:r>
      <w:r w:rsidR="008401F9">
        <w:rPr>
          <w:lang w:val="fr-FR"/>
        </w:rPr>
        <w:t xml:space="preserve">de renforcer les capacités des membres de ces plateformes </w:t>
      </w:r>
      <w:r w:rsidR="00751DFF">
        <w:rPr>
          <w:lang w:val="fr-FR"/>
        </w:rPr>
        <w:t xml:space="preserve">en </w:t>
      </w:r>
      <w:r w:rsidR="00751DFF" w:rsidRPr="00451BDA">
        <w:rPr>
          <w:lang w:val="fr-FR"/>
        </w:rPr>
        <w:t>communication et sur</w:t>
      </w:r>
      <w:r w:rsidR="00D168A2">
        <w:rPr>
          <w:lang w:val="fr-FR"/>
        </w:rPr>
        <w:t xml:space="preserve"> </w:t>
      </w:r>
      <w:r w:rsidR="00751DFF" w:rsidRPr="00451BDA">
        <w:rPr>
          <w:lang w:val="fr-FR"/>
        </w:rPr>
        <w:t>les mécanismes communautaires de prévention, d’alerte, de référencement et de protection des victimes</w:t>
      </w:r>
      <w:r w:rsidR="006D5DB0">
        <w:rPr>
          <w:lang w:val="fr-FR"/>
        </w:rPr>
        <w:t>,</w:t>
      </w:r>
      <w:r w:rsidR="00451BDA">
        <w:rPr>
          <w:i/>
          <w:lang w:val="fr-CA"/>
        </w:rPr>
        <w:t xml:space="preserve"> </w:t>
      </w:r>
      <w:r w:rsidR="006D5DB0">
        <w:rPr>
          <w:lang w:val="fr-CA"/>
        </w:rPr>
        <w:t>afin qu’ils</w:t>
      </w:r>
      <w:r w:rsidR="008401F9">
        <w:rPr>
          <w:lang w:val="fr-FR"/>
        </w:rPr>
        <w:t xml:space="preserve"> </w:t>
      </w:r>
      <w:r w:rsidR="006D5DB0">
        <w:rPr>
          <w:lang w:val="fr-FR"/>
        </w:rPr>
        <w:t xml:space="preserve">puissent </w:t>
      </w:r>
      <w:r w:rsidRPr="004D7FE1">
        <w:rPr>
          <w:lang w:val="fr-FR"/>
        </w:rPr>
        <w:t>s’impliquer</w:t>
      </w:r>
      <w:r w:rsidR="008401F9">
        <w:rPr>
          <w:lang w:val="fr-FR"/>
        </w:rPr>
        <w:t xml:space="preserve"> activement</w:t>
      </w:r>
      <w:r w:rsidRPr="004D7FE1">
        <w:rPr>
          <w:lang w:val="fr-FR"/>
        </w:rPr>
        <w:t xml:space="preserve"> dans les activités de sensibilisation sur la prévention des VBG et de participer aux activités de cohésion sociale dans les localités de Bossangoa, Bozoum, </w:t>
      </w:r>
      <w:proofErr w:type="spellStart"/>
      <w:r w:rsidRPr="004D7FE1">
        <w:rPr>
          <w:lang w:val="fr-FR"/>
        </w:rPr>
        <w:t>Bokaranga</w:t>
      </w:r>
      <w:proofErr w:type="spellEnd"/>
      <w:r w:rsidRPr="004D7FE1">
        <w:rPr>
          <w:lang w:val="fr-FR"/>
        </w:rPr>
        <w:t xml:space="preserve">, </w:t>
      </w:r>
      <w:proofErr w:type="spellStart"/>
      <w:r w:rsidRPr="004D7FE1">
        <w:rPr>
          <w:lang w:val="fr-FR"/>
        </w:rPr>
        <w:t>Paoua</w:t>
      </w:r>
      <w:proofErr w:type="spellEnd"/>
      <w:r w:rsidRPr="004D7FE1">
        <w:rPr>
          <w:lang w:val="fr-FR"/>
        </w:rPr>
        <w:t xml:space="preserve">, </w:t>
      </w:r>
      <w:proofErr w:type="spellStart"/>
      <w:r w:rsidRPr="004D7FE1">
        <w:rPr>
          <w:lang w:val="fr-FR"/>
        </w:rPr>
        <w:t>Ndim</w:t>
      </w:r>
      <w:proofErr w:type="spellEnd"/>
      <w:r w:rsidR="00442A6A">
        <w:rPr>
          <w:lang w:val="fr-FR"/>
        </w:rPr>
        <w:t xml:space="preserve"> </w:t>
      </w:r>
      <w:r w:rsidR="00CD067E">
        <w:rPr>
          <w:lang w:val="fr-FR"/>
        </w:rPr>
        <w:t xml:space="preserve">et </w:t>
      </w:r>
      <w:proofErr w:type="spellStart"/>
      <w:r w:rsidR="00CD067E">
        <w:rPr>
          <w:lang w:val="fr-FR"/>
        </w:rPr>
        <w:t>Ngaoundaye</w:t>
      </w:r>
      <w:proofErr w:type="spellEnd"/>
      <w:r w:rsidRPr="004D7FE1">
        <w:rPr>
          <w:lang w:val="fr-FR"/>
        </w:rPr>
        <w:t>.</w:t>
      </w:r>
      <w:commentRangeEnd w:id="12"/>
      <w:r w:rsidR="008401F9">
        <w:rPr>
          <w:lang w:val="fr-FR"/>
        </w:rPr>
        <w:t xml:space="preserve"> </w:t>
      </w:r>
      <w:r w:rsidR="00673926">
        <w:rPr>
          <w:rStyle w:val="CommentReference"/>
        </w:rPr>
        <w:commentReference w:id="12"/>
      </w:r>
    </w:p>
    <w:p w14:paraId="351ED1B0" w14:textId="562E0E75" w:rsidR="009C6C48" w:rsidRDefault="009C6C48" w:rsidP="009C6C48">
      <w:pPr>
        <w:rPr>
          <w:lang w:val="fr-FR"/>
        </w:rPr>
      </w:pPr>
    </w:p>
    <w:p w14:paraId="6DCFBF66" w14:textId="4A46C0F3" w:rsidR="007D0184" w:rsidRDefault="00C66878" w:rsidP="007D0184">
      <w:pPr>
        <w:ind w:left="-720"/>
        <w:jc w:val="both"/>
        <w:rPr>
          <w:b/>
          <w:strike/>
          <w:lang w:val="fr-FR"/>
        </w:rPr>
      </w:pPr>
      <w:r>
        <w:rPr>
          <w:lang w:val="fr-FR"/>
        </w:rPr>
        <w:t>Une</w:t>
      </w:r>
      <w:r w:rsidR="001952CC" w:rsidRPr="001115D1">
        <w:rPr>
          <w:lang w:val="fr-FR"/>
        </w:rPr>
        <w:t xml:space="preserve"> </w:t>
      </w:r>
      <w:r>
        <w:rPr>
          <w:lang w:val="fr-FR"/>
        </w:rPr>
        <w:t>concertation avec des membres du groupe de travail sur la transhumance (GTT), pour la présentation de</w:t>
      </w:r>
      <w:r w:rsidR="001952CC">
        <w:rPr>
          <w:lang w:val="fr-FR"/>
        </w:rPr>
        <w:t>s objectifs du projet</w:t>
      </w:r>
      <w:r>
        <w:rPr>
          <w:lang w:val="fr-FR"/>
        </w:rPr>
        <w:t xml:space="preserve"> et</w:t>
      </w:r>
      <w:r w:rsidR="001952CC" w:rsidRPr="001115D1">
        <w:rPr>
          <w:lang w:val="fr-FR"/>
        </w:rPr>
        <w:t xml:space="preserve"> </w:t>
      </w:r>
      <w:r>
        <w:rPr>
          <w:lang w:val="fr-FR"/>
        </w:rPr>
        <w:t>l</w:t>
      </w:r>
      <w:r w:rsidR="001952CC" w:rsidRPr="001115D1">
        <w:rPr>
          <w:lang w:val="fr-FR"/>
        </w:rPr>
        <w:t>es orientations</w:t>
      </w:r>
      <w:r>
        <w:rPr>
          <w:lang w:val="fr-FR"/>
        </w:rPr>
        <w:t xml:space="preserve"> sur</w:t>
      </w:r>
      <w:r w:rsidR="001952CC" w:rsidRPr="001115D1">
        <w:rPr>
          <w:lang w:val="fr-FR"/>
        </w:rPr>
        <w:t xml:space="preserve"> </w:t>
      </w:r>
      <w:r>
        <w:rPr>
          <w:lang w:val="fr-FR"/>
        </w:rPr>
        <w:t>l</w:t>
      </w:r>
      <w:r w:rsidR="001952CC" w:rsidRPr="001115D1">
        <w:rPr>
          <w:lang w:val="fr-FR"/>
        </w:rPr>
        <w:t>es activités préventives à mener immédiatement dans le cadre des prép</w:t>
      </w:r>
      <w:r w:rsidR="001952CC">
        <w:rPr>
          <w:lang w:val="fr-FR"/>
        </w:rPr>
        <w:t>aratifs de la prochaine saison</w:t>
      </w:r>
      <w:r w:rsidR="001952CC" w:rsidRPr="001115D1">
        <w:rPr>
          <w:lang w:val="fr-FR"/>
        </w:rPr>
        <w:t xml:space="preserve"> de la transhumance</w:t>
      </w:r>
      <w:r w:rsidR="001952CC">
        <w:rPr>
          <w:lang w:val="fr-FR"/>
        </w:rPr>
        <w:t xml:space="preserve">, </w:t>
      </w:r>
      <w:r>
        <w:rPr>
          <w:lang w:val="fr-FR"/>
        </w:rPr>
        <w:t>a</w:t>
      </w:r>
      <w:r w:rsidR="001952CC">
        <w:rPr>
          <w:lang w:val="fr-FR"/>
        </w:rPr>
        <w:t xml:space="preserve"> été </w:t>
      </w:r>
      <w:r w:rsidR="0076287F">
        <w:rPr>
          <w:lang w:val="fr-FR"/>
        </w:rPr>
        <w:t>effectuée</w:t>
      </w:r>
      <w:r w:rsidR="001952CC" w:rsidRPr="001115D1">
        <w:rPr>
          <w:lang w:val="fr-FR"/>
        </w:rPr>
        <w:t xml:space="preserve">. Les zones </w:t>
      </w:r>
      <w:r w:rsidR="001952CC">
        <w:rPr>
          <w:lang w:val="fr-FR"/>
        </w:rPr>
        <w:t xml:space="preserve">de hotspots </w:t>
      </w:r>
      <w:r w:rsidR="001952CC" w:rsidRPr="001115D1">
        <w:rPr>
          <w:lang w:val="fr-FR"/>
        </w:rPr>
        <w:t xml:space="preserve">les plus </w:t>
      </w:r>
      <w:r w:rsidR="001952CC">
        <w:rPr>
          <w:lang w:val="fr-FR"/>
        </w:rPr>
        <w:t>touchées par les conflits</w:t>
      </w:r>
      <w:r w:rsidR="001952CC" w:rsidRPr="001115D1">
        <w:rPr>
          <w:lang w:val="fr-FR"/>
        </w:rPr>
        <w:t xml:space="preserve"> </w:t>
      </w:r>
      <w:r w:rsidR="001952CC">
        <w:rPr>
          <w:lang w:val="fr-FR"/>
        </w:rPr>
        <w:t>liés à</w:t>
      </w:r>
      <w:r w:rsidR="001952CC" w:rsidRPr="001115D1">
        <w:rPr>
          <w:lang w:val="fr-FR"/>
        </w:rPr>
        <w:t xml:space="preserve"> la transhumance</w:t>
      </w:r>
      <w:r w:rsidR="001952CC">
        <w:rPr>
          <w:lang w:val="fr-FR"/>
        </w:rPr>
        <w:t>,</w:t>
      </w:r>
      <w:r w:rsidR="001952CC" w:rsidRPr="001115D1">
        <w:rPr>
          <w:lang w:val="fr-FR"/>
        </w:rPr>
        <w:t xml:space="preserve"> ont </w:t>
      </w:r>
      <w:r w:rsidR="001952CC">
        <w:rPr>
          <w:lang w:val="fr-FR"/>
        </w:rPr>
        <w:t>été présentées, discutées</w:t>
      </w:r>
      <w:r w:rsidR="001952CC" w:rsidRPr="001115D1">
        <w:rPr>
          <w:lang w:val="fr-FR"/>
        </w:rPr>
        <w:t xml:space="preserve"> et retenues pour </w:t>
      </w:r>
      <w:r w:rsidR="001952CC">
        <w:rPr>
          <w:lang w:val="fr-FR"/>
        </w:rPr>
        <w:t xml:space="preserve">y mener </w:t>
      </w:r>
      <w:r w:rsidR="001952CC" w:rsidRPr="001115D1">
        <w:rPr>
          <w:lang w:val="fr-FR"/>
        </w:rPr>
        <w:t xml:space="preserve">des séances de sensibilisation. </w:t>
      </w:r>
    </w:p>
    <w:p w14:paraId="091FAD3B" w14:textId="77777777" w:rsidR="007D0184" w:rsidRDefault="007D0184" w:rsidP="007D0184">
      <w:pPr>
        <w:ind w:left="-720"/>
        <w:jc w:val="both"/>
        <w:rPr>
          <w:b/>
          <w:strike/>
          <w:lang w:val="fr-FR"/>
        </w:rPr>
      </w:pPr>
    </w:p>
    <w:p w14:paraId="4E3B0BAD" w14:textId="77805530" w:rsidR="00114CB6" w:rsidRPr="004D7FE1" w:rsidRDefault="007D0184" w:rsidP="004D7FE1">
      <w:pPr>
        <w:ind w:left="-720"/>
        <w:jc w:val="both"/>
        <w:rPr>
          <w:lang w:val="fr-FR"/>
        </w:rPr>
      </w:pPr>
      <w:r w:rsidRPr="004D7FE1">
        <w:rPr>
          <w:lang w:val="fr-FR"/>
        </w:rPr>
        <w:t>Au cours de la mission conjointe FAO/UNFPA effectuée du 09 au 18 Ao</w:t>
      </w:r>
      <w:r w:rsidR="00DD5121" w:rsidRPr="004D7FE1">
        <w:rPr>
          <w:lang w:val="fr-FR"/>
        </w:rPr>
        <w:t xml:space="preserve">ût 2021 à Bossangoa et Bozoum, </w:t>
      </w:r>
      <w:r w:rsidR="00AF366F">
        <w:rPr>
          <w:lang w:val="fr-FR"/>
        </w:rPr>
        <w:t>douze (</w:t>
      </w:r>
      <w:r w:rsidR="005A1490">
        <w:rPr>
          <w:lang w:val="fr-FR"/>
        </w:rPr>
        <w:t>12</w:t>
      </w:r>
      <w:r w:rsidR="00AF366F">
        <w:rPr>
          <w:lang w:val="fr-FR"/>
        </w:rPr>
        <w:t>)</w:t>
      </w:r>
      <w:r w:rsidRPr="004D7FE1">
        <w:rPr>
          <w:lang w:val="fr-FR"/>
        </w:rPr>
        <w:t xml:space="preserve"> comités </w:t>
      </w:r>
      <w:r w:rsidR="00DD5121" w:rsidRPr="004D7FE1">
        <w:rPr>
          <w:lang w:val="fr-FR"/>
        </w:rPr>
        <w:t xml:space="preserve">locaux </w:t>
      </w:r>
      <w:r w:rsidRPr="004D7FE1">
        <w:rPr>
          <w:lang w:val="fr-FR"/>
        </w:rPr>
        <w:t xml:space="preserve">de médiation </w:t>
      </w:r>
      <w:r w:rsidR="00DD5121" w:rsidRPr="004D7FE1">
        <w:rPr>
          <w:lang w:val="fr-FR"/>
        </w:rPr>
        <w:t xml:space="preserve">(comités de gestion des conflits, comités préfectoraux de mise en œuvre, comités traditionnels </w:t>
      </w:r>
      <w:r w:rsidR="005A1490">
        <w:rPr>
          <w:lang w:val="fr-FR"/>
        </w:rPr>
        <w:t xml:space="preserve">ou formels </w:t>
      </w:r>
      <w:r w:rsidR="00DD5121" w:rsidRPr="004D7FE1">
        <w:rPr>
          <w:lang w:val="fr-FR"/>
        </w:rPr>
        <w:t>de gestion des ressources naturelles) existant</w:t>
      </w:r>
      <w:r w:rsidR="002B0968">
        <w:rPr>
          <w:lang w:val="fr-FR"/>
        </w:rPr>
        <w:t>s</w:t>
      </w:r>
      <w:r w:rsidR="005A1490">
        <w:rPr>
          <w:lang w:val="fr-FR"/>
        </w:rPr>
        <w:t xml:space="preserve"> dans l’Ouham et l’Ouham-Pendé</w:t>
      </w:r>
      <w:r w:rsidR="00DD5121" w:rsidRPr="004D7FE1">
        <w:rPr>
          <w:lang w:val="fr-FR"/>
        </w:rPr>
        <w:t xml:space="preserve">, </w:t>
      </w:r>
      <w:r w:rsidR="001952CC" w:rsidRPr="004D7FE1">
        <w:rPr>
          <w:lang w:val="fr-FR"/>
        </w:rPr>
        <w:t>ont</w:t>
      </w:r>
      <w:r w:rsidRPr="004D7FE1">
        <w:rPr>
          <w:lang w:val="fr-FR"/>
        </w:rPr>
        <w:t xml:space="preserve"> été</w:t>
      </w:r>
      <w:r w:rsidR="001952CC" w:rsidRPr="004D7FE1">
        <w:rPr>
          <w:lang w:val="fr-FR"/>
        </w:rPr>
        <w:t xml:space="preserve"> identifiés. </w:t>
      </w:r>
      <w:r w:rsidRPr="004D7FE1">
        <w:rPr>
          <w:lang w:val="fr-FR"/>
        </w:rPr>
        <w:t>L</w:t>
      </w:r>
      <w:r w:rsidR="001952CC" w:rsidRPr="004D7FE1">
        <w:rPr>
          <w:lang w:val="fr-FR"/>
        </w:rPr>
        <w:t xml:space="preserve">'information et </w:t>
      </w:r>
      <w:r w:rsidRPr="004D7FE1">
        <w:rPr>
          <w:lang w:val="fr-FR"/>
        </w:rPr>
        <w:t>la sensibilisation des acteurs a permis d’identifier d</w:t>
      </w:r>
      <w:r w:rsidR="001952CC" w:rsidRPr="004D7FE1">
        <w:rPr>
          <w:lang w:val="fr-FR"/>
        </w:rPr>
        <w:t xml:space="preserve">es bonnes initiatives endogènes </w:t>
      </w:r>
      <w:r w:rsidR="00EA6671" w:rsidRPr="004D7FE1">
        <w:rPr>
          <w:lang w:val="fr-FR"/>
        </w:rPr>
        <w:t>qui</w:t>
      </w:r>
      <w:r w:rsidR="001952CC" w:rsidRPr="004D7FE1">
        <w:rPr>
          <w:lang w:val="fr-FR"/>
        </w:rPr>
        <w:t xml:space="preserve"> feront l'objet de renforcement </w:t>
      </w:r>
      <w:r w:rsidR="00EA6671" w:rsidRPr="004D7FE1">
        <w:rPr>
          <w:lang w:val="fr-FR"/>
        </w:rPr>
        <w:t>au cours des six prochains mois</w:t>
      </w:r>
      <w:r w:rsidR="001952CC" w:rsidRPr="004D7FE1">
        <w:rPr>
          <w:lang w:val="fr-FR"/>
        </w:rPr>
        <w:t xml:space="preserve">. </w:t>
      </w:r>
    </w:p>
    <w:p w14:paraId="7B122741" w14:textId="77777777" w:rsidR="00114CB6" w:rsidRPr="004D7FE1" w:rsidRDefault="00114CB6" w:rsidP="004D7FE1">
      <w:pPr>
        <w:ind w:left="-720"/>
        <w:jc w:val="both"/>
        <w:rPr>
          <w:lang w:val="fr-FR"/>
        </w:rPr>
      </w:pPr>
    </w:p>
    <w:p w14:paraId="37DC2F19" w14:textId="316F5E33" w:rsidR="00F84F15" w:rsidRPr="004D7FE1" w:rsidRDefault="00114CB6" w:rsidP="00355C64">
      <w:pPr>
        <w:ind w:left="-720"/>
        <w:jc w:val="both"/>
        <w:rPr>
          <w:lang w:val="fr-FR"/>
        </w:rPr>
      </w:pPr>
      <w:r w:rsidRPr="00355C64">
        <w:rPr>
          <w:lang w:val="fr-FR"/>
        </w:rPr>
        <w:t>Par ailleurs, l</w:t>
      </w:r>
      <w:r w:rsidR="001952CC" w:rsidRPr="00355C64">
        <w:rPr>
          <w:lang w:val="fr-FR"/>
        </w:rPr>
        <w:t>es intrants</w:t>
      </w:r>
      <w:r w:rsidR="00DD5121" w:rsidRPr="00355C64">
        <w:rPr>
          <w:lang w:val="fr-FR"/>
        </w:rPr>
        <w:t xml:space="preserve"> vétérinaires</w:t>
      </w:r>
      <w:r w:rsidR="001952CC" w:rsidRPr="00355C64">
        <w:rPr>
          <w:lang w:val="fr-FR"/>
        </w:rPr>
        <w:t xml:space="preserve"> pour la vaccination et le déparasitage du bétail</w:t>
      </w:r>
      <w:r w:rsidR="00DD5121" w:rsidRPr="00355C64">
        <w:rPr>
          <w:lang w:val="fr-FR"/>
        </w:rPr>
        <w:t xml:space="preserve"> </w:t>
      </w:r>
      <w:r w:rsidR="005A1490">
        <w:rPr>
          <w:lang w:val="fr-FR"/>
        </w:rPr>
        <w:t>(20 seringues automatiques, 20 glacières</w:t>
      </w:r>
      <w:r w:rsidRPr="00355C64">
        <w:rPr>
          <w:lang w:val="fr-FR"/>
        </w:rPr>
        <w:t xml:space="preserve">, 2 congélateurs, 240 aiguilles, 50 carnets de vaccination), </w:t>
      </w:r>
      <w:r w:rsidR="00DD5121" w:rsidRPr="00355C64">
        <w:rPr>
          <w:lang w:val="fr-FR"/>
        </w:rPr>
        <w:t xml:space="preserve">sont </w:t>
      </w:r>
      <w:r w:rsidRPr="00355C64">
        <w:rPr>
          <w:lang w:val="fr-FR"/>
        </w:rPr>
        <w:t xml:space="preserve">déjà </w:t>
      </w:r>
      <w:r w:rsidR="00DD5121" w:rsidRPr="00355C64">
        <w:rPr>
          <w:lang w:val="fr-FR"/>
        </w:rPr>
        <w:t>acquis.</w:t>
      </w:r>
      <w:r w:rsidR="001952CC" w:rsidRPr="00355C64">
        <w:rPr>
          <w:lang w:val="fr-FR"/>
        </w:rPr>
        <w:t xml:space="preserve"> </w:t>
      </w:r>
      <w:r w:rsidR="00355C64" w:rsidRPr="00355C64">
        <w:rPr>
          <w:lang w:val="fr-FR"/>
        </w:rPr>
        <w:t>Aussi, 300 0</w:t>
      </w:r>
      <w:r w:rsidR="00355C64">
        <w:rPr>
          <w:lang w:val="fr-FR"/>
        </w:rPr>
        <w:t xml:space="preserve">00 doses de vaccin PPCB (T1/SR) et </w:t>
      </w:r>
      <w:r w:rsidR="00355C64" w:rsidRPr="00355C64">
        <w:rPr>
          <w:lang w:val="fr-FR"/>
        </w:rPr>
        <w:t>3</w:t>
      </w:r>
      <w:r w:rsidR="00355C64">
        <w:rPr>
          <w:lang w:val="fr-FR"/>
        </w:rPr>
        <w:t>00 000 comprimés d</w:t>
      </w:r>
      <w:r w:rsidR="00906E7E">
        <w:rPr>
          <w:lang w:val="fr-FR"/>
        </w:rPr>
        <w:t>e déparasitant</w:t>
      </w:r>
      <w:r w:rsidR="00355C64">
        <w:rPr>
          <w:lang w:val="fr-FR"/>
        </w:rPr>
        <w:t xml:space="preserve"> sont en cours d’acquisition.</w:t>
      </w:r>
      <w:r w:rsidR="00355C64" w:rsidRPr="00355C64">
        <w:rPr>
          <w:lang w:val="fr-FR"/>
        </w:rPr>
        <w:t xml:space="preserve"> </w:t>
      </w:r>
      <w:r w:rsidR="00DD5121" w:rsidRPr="004D7FE1">
        <w:rPr>
          <w:lang w:val="fr-FR"/>
        </w:rPr>
        <w:t xml:space="preserve">La sélection des entreprises </w:t>
      </w:r>
      <w:r w:rsidRPr="004D7FE1">
        <w:rPr>
          <w:lang w:val="fr-FR"/>
        </w:rPr>
        <w:t xml:space="preserve">qui seront </w:t>
      </w:r>
      <w:r w:rsidR="00DD5121" w:rsidRPr="004D7FE1">
        <w:rPr>
          <w:lang w:val="fr-FR"/>
        </w:rPr>
        <w:t>chargées de</w:t>
      </w:r>
      <w:r w:rsidR="001952CC" w:rsidRPr="004D7FE1">
        <w:rPr>
          <w:lang w:val="fr-FR"/>
        </w:rPr>
        <w:t xml:space="preserve"> la </w:t>
      </w:r>
      <w:r w:rsidR="001952CC" w:rsidRPr="004D7FE1">
        <w:rPr>
          <w:lang w:val="fr-FR"/>
        </w:rPr>
        <w:lastRenderedPageBreak/>
        <w:t xml:space="preserve">réhabilitation et/ou la </w:t>
      </w:r>
      <w:r w:rsidR="00EA6671" w:rsidRPr="004D7FE1">
        <w:rPr>
          <w:lang w:val="fr-FR"/>
        </w:rPr>
        <w:t>construction</w:t>
      </w:r>
      <w:r w:rsidR="001952CC" w:rsidRPr="004D7FE1">
        <w:rPr>
          <w:lang w:val="fr-FR"/>
        </w:rPr>
        <w:t xml:space="preserve"> des infrastructures agropastorales</w:t>
      </w:r>
      <w:r w:rsidR="00FF303A" w:rsidRPr="004D7FE1">
        <w:rPr>
          <w:lang w:val="fr-FR"/>
        </w:rPr>
        <w:t>, dont douze (12) puits pastoraux,</w:t>
      </w:r>
      <w:r w:rsidR="00EA6671" w:rsidRPr="004D7FE1">
        <w:rPr>
          <w:lang w:val="fr-FR"/>
        </w:rPr>
        <w:t xml:space="preserve"> </w:t>
      </w:r>
      <w:r w:rsidR="00DD5121" w:rsidRPr="004D7FE1">
        <w:rPr>
          <w:lang w:val="fr-FR"/>
        </w:rPr>
        <w:t>est réalisée, et leur contractualisation est</w:t>
      </w:r>
      <w:r w:rsidR="00EA6671" w:rsidRPr="004D7FE1">
        <w:rPr>
          <w:lang w:val="fr-FR"/>
        </w:rPr>
        <w:t xml:space="preserve"> en phase de finalisation</w:t>
      </w:r>
      <w:r w:rsidR="001952CC" w:rsidRPr="004D7FE1">
        <w:rPr>
          <w:lang w:val="fr-FR"/>
        </w:rPr>
        <w:t>.</w:t>
      </w:r>
    </w:p>
    <w:p w14:paraId="0A7120DF" w14:textId="463B7D61" w:rsidR="00F84F15" w:rsidRDefault="00F84F15" w:rsidP="00F84F15">
      <w:pPr>
        <w:ind w:left="-720"/>
        <w:jc w:val="both"/>
        <w:rPr>
          <w:b/>
          <w:strike/>
          <w:lang w:val="fr-FR"/>
        </w:rPr>
      </w:pPr>
    </w:p>
    <w:p w14:paraId="7345D6B7" w14:textId="1D9884FF" w:rsidR="00B55657" w:rsidRPr="004F5E5F" w:rsidRDefault="00B55657" w:rsidP="004F5E5F">
      <w:pPr>
        <w:ind w:left="-720"/>
        <w:jc w:val="both"/>
        <w:rPr>
          <w:lang w:val="fr-FR"/>
        </w:rPr>
      </w:pPr>
      <w:r w:rsidRPr="004D7FE1">
        <w:rPr>
          <w:lang w:val="fr-FR"/>
        </w:rPr>
        <w:t xml:space="preserve">L’enjeu de ce volet est de contribuer au </w:t>
      </w:r>
      <w:r>
        <w:rPr>
          <w:lang w:val="fr-FR"/>
        </w:rPr>
        <w:t>r</w:t>
      </w:r>
      <w:r w:rsidRPr="0081734C">
        <w:rPr>
          <w:lang w:val="fr-FR"/>
        </w:rPr>
        <w:t>enforce</w:t>
      </w:r>
      <w:r>
        <w:rPr>
          <w:lang w:val="fr-FR"/>
        </w:rPr>
        <w:t>ment de</w:t>
      </w:r>
      <w:r w:rsidRPr="0081734C">
        <w:rPr>
          <w:lang w:val="fr-FR"/>
        </w:rPr>
        <w:t xml:space="preserve"> la cohésion sociale </w:t>
      </w:r>
      <w:r>
        <w:rPr>
          <w:lang w:val="fr-FR"/>
        </w:rPr>
        <w:t xml:space="preserve">et </w:t>
      </w:r>
      <w:r w:rsidRPr="0081734C">
        <w:rPr>
          <w:lang w:val="fr-FR"/>
        </w:rPr>
        <w:t>des mécanismes de préventi</w:t>
      </w:r>
      <w:r>
        <w:rPr>
          <w:lang w:val="fr-FR"/>
        </w:rPr>
        <w:t>on des conflits</w:t>
      </w:r>
      <w:r w:rsidRPr="0081734C">
        <w:rPr>
          <w:lang w:val="fr-FR"/>
        </w:rPr>
        <w:t xml:space="preserve"> grâce à un dialogue accru</w:t>
      </w:r>
      <w:r>
        <w:rPr>
          <w:lang w:val="fr-FR"/>
        </w:rPr>
        <w:t>,</w:t>
      </w:r>
      <w:r w:rsidRPr="0081734C">
        <w:rPr>
          <w:lang w:val="fr-FR"/>
        </w:rPr>
        <w:t xml:space="preserve"> </w:t>
      </w:r>
      <w:r>
        <w:rPr>
          <w:lang w:val="fr-FR"/>
        </w:rPr>
        <w:t>à travers</w:t>
      </w:r>
      <w:r w:rsidRPr="0081734C">
        <w:rPr>
          <w:lang w:val="fr-FR"/>
        </w:rPr>
        <w:t xml:space="preserve"> </w:t>
      </w:r>
      <w:r>
        <w:rPr>
          <w:lang w:val="fr-FR"/>
        </w:rPr>
        <w:t>plus de</w:t>
      </w:r>
      <w:r w:rsidRPr="0081734C">
        <w:rPr>
          <w:lang w:val="fr-FR"/>
        </w:rPr>
        <w:t xml:space="preserve"> soutien</w:t>
      </w:r>
      <w:r>
        <w:rPr>
          <w:lang w:val="fr-FR"/>
        </w:rPr>
        <w:t xml:space="preserve"> </w:t>
      </w:r>
      <w:r w:rsidRPr="0081734C">
        <w:rPr>
          <w:lang w:val="fr-FR"/>
        </w:rPr>
        <w:t xml:space="preserve">aux comités locaux de dialogue ou de gestion des conflits </w:t>
      </w:r>
      <w:r>
        <w:rPr>
          <w:lang w:val="fr-FR"/>
        </w:rPr>
        <w:t>ainsi que</w:t>
      </w:r>
      <w:r w:rsidRPr="0081734C">
        <w:rPr>
          <w:lang w:val="fr-FR"/>
        </w:rPr>
        <w:t xml:space="preserve"> des mécanismes de cohésion sociale traditionnels</w:t>
      </w:r>
      <w:r w:rsidRPr="0059182E">
        <w:rPr>
          <w:lang w:val="fr-FR"/>
        </w:rPr>
        <w:t xml:space="preserve"> </w:t>
      </w:r>
      <w:r w:rsidRPr="0081734C">
        <w:rPr>
          <w:lang w:val="fr-FR"/>
        </w:rPr>
        <w:t>et institutionnels existants</w:t>
      </w:r>
      <w:r>
        <w:rPr>
          <w:lang w:val="fr-FR"/>
        </w:rPr>
        <w:t>.</w:t>
      </w:r>
      <w:r w:rsidR="004F5E5F">
        <w:rPr>
          <w:lang w:val="fr-FR"/>
        </w:rPr>
        <w:t xml:space="preserve"> </w:t>
      </w:r>
    </w:p>
    <w:p w14:paraId="447F8BE9" w14:textId="7E046EC3" w:rsidR="00F84F15" w:rsidRDefault="00F84F15" w:rsidP="001952CC">
      <w:pPr>
        <w:ind w:left="-720"/>
        <w:jc w:val="both"/>
        <w:rPr>
          <w:b/>
          <w:lang w:val="fr-FR"/>
        </w:rPr>
      </w:pPr>
    </w:p>
    <w:p w14:paraId="0B1A3D48" w14:textId="4D744C05" w:rsidR="0002562B" w:rsidRPr="001952CC" w:rsidRDefault="0002562B" w:rsidP="001952CC">
      <w:pPr>
        <w:ind w:left="-720"/>
        <w:jc w:val="both"/>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30FA4EA" w14:textId="77777777" w:rsidR="00C636DC" w:rsidRPr="004B03F2" w:rsidRDefault="00C636DC" w:rsidP="00C636DC">
      <w:pPr>
        <w:ind w:left="-720"/>
        <w:jc w:val="both"/>
        <w:rPr>
          <w:b/>
          <w:lang w:val="fr-FR"/>
        </w:rPr>
      </w:pPr>
    </w:p>
    <w:p w14:paraId="1D1AC3E7" w14:textId="0CE6178C" w:rsidR="00A31EA5" w:rsidRPr="00D9231D" w:rsidRDefault="00A31EA5" w:rsidP="00A31EA5">
      <w:pPr>
        <w:ind w:left="-720"/>
        <w:jc w:val="both"/>
        <w:rPr>
          <w:lang w:val="fr-FR"/>
        </w:rPr>
      </w:pPr>
      <w:r>
        <w:rPr>
          <w:lang w:val="fr-FR"/>
        </w:rPr>
        <w:t xml:space="preserve">Dans la mise en œuvre des activités de ce résultat, </w:t>
      </w:r>
      <w:r w:rsidRPr="007659F5">
        <w:rPr>
          <w:lang w:val="fr-FR"/>
        </w:rPr>
        <w:t xml:space="preserve">notamment </w:t>
      </w:r>
      <w:r>
        <w:rPr>
          <w:lang w:val="fr-FR"/>
        </w:rPr>
        <w:t>celles</w:t>
      </w:r>
      <w:r w:rsidR="00934707">
        <w:rPr>
          <w:lang w:val="fr-FR"/>
        </w:rPr>
        <w:t xml:space="preserve"> </w:t>
      </w:r>
      <w:r w:rsidR="00143257">
        <w:rPr>
          <w:lang w:val="fr-FR"/>
        </w:rPr>
        <w:t>concernant la</w:t>
      </w:r>
      <w:r w:rsidR="00934707">
        <w:rPr>
          <w:lang w:val="fr-FR"/>
        </w:rPr>
        <w:t xml:space="preserve"> sensibilisation</w:t>
      </w:r>
      <w:r w:rsidRPr="007659F5">
        <w:rPr>
          <w:lang w:val="fr-FR"/>
        </w:rPr>
        <w:t xml:space="preserve">, </w:t>
      </w:r>
      <w:r w:rsidR="00143257">
        <w:rPr>
          <w:lang w:val="fr-FR"/>
        </w:rPr>
        <w:t>la cohésion sociale et l</w:t>
      </w:r>
      <w:r w:rsidRPr="007659F5">
        <w:rPr>
          <w:lang w:val="fr-FR"/>
        </w:rPr>
        <w:t>e dialogue intercommunautaire</w:t>
      </w:r>
      <w:r>
        <w:rPr>
          <w:lang w:val="fr-FR"/>
        </w:rPr>
        <w:t> </w:t>
      </w:r>
      <w:r w:rsidR="00143257">
        <w:rPr>
          <w:lang w:val="fr-FR"/>
        </w:rPr>
        <w:t>(</w:t>
      </w:r>
      <w:r>
        <w:rPr>
          <w:lang w:val="fr-FR"/>
        </w:rPr>
        <w:t>composition des comités locaux de prévention, de gestion des conflits et des</w:t>
      </w:r>
      <w:r w:rsidR="00143257">
        <w:rPr>
          <w:lang w:val="fr-FR"/>
        </w:rPr>
        <w:t xml:space="preserve"> ressources naturelles, etc.), l</w:t>
      </w:r>
      <w:r>
        <w:rPr>
          <w:lang w:val="fr-FR"/>
        </w:rPr>
        <w:t>e</w:t>
      </w:r>
      <w:r w:rsidR="00143257">
        <w:rPr>
          <w:lang w:val="fr-FR"/>
        </w:rPr>
        <w:t>s</w:t>
      </w:r>
      <w:r>
        <w:rPr>
          <w:lang w:val="fr-FR"/>
        </w:rPr>
        <w:t xml:space="preserve"> formations et </w:t>
      </w:r>
      <w:r w:rsidR="00143257">
        <w:rPr>
          <w:lang w:val="fr-FR"/>
        </w:rPr>
        <w:t>l</w:t>
      </w:r>
      <w:r>
        <w:rPr>
          <w:lang w:val="fr-FR"/>
        </w:rPr>
        <w:t>e renforcement de</w:t>
      </w:r>
      <w:r w:rsidR="00143257">
        <w:rPr>
          <w:lang w:val="fr-FR"/>
        </w:rPr>
        <w:t>s</w:t>
      </w:r>
      <w:r>
        <w:rPr>
          <w:lang w:val="fr-FR"/>
        </w:rPr>
        <w:t xml:space="preserve"> capacités</w:t>
      </w:r>
      <w:r w:rsidR="00143257">
        <w:rPr>
          <w:lang w:val="fr-FR"/>
        </w:rPr>
        <w:t xml:space="preserve"> et de résilience des moyens de subsistance</w:t>
      </w:r>
      <w:r>
        <w:rPr>
          <w:lang w:val="fr-FR"/>
        </w:rPr>
        <w:t>, l</w:t>
      </w:r>
      <w:r w:rsidRPr="00A84E74">
        <w:rPr>
          <w:lang w:val="fr-FR"/>
        </w:rPr>
        <w:t xml:space="preserve">es </w:t>
      </w:r>
      <w:r>
        <w:rPr>
          <w:lang w:val="fr-FR"/>
        </w:rPr>
        <w:t xml:space="preserve">femmes ou leurs </w:t>
      </w:r>
      <w:r w:rsidRPr="00A84E74">
        <w:rPr>
          <w:lang w:val="fr-FR"/>
        </w:rPr>
        <w:t xml:space="preserve">organisations </w:t>
      </w:r>
      <w:r>
        <w:rPr>
          <w:lang w:val="fr-FR"/>
        </w:rPr>
        <w:t>et l</w:t>
      </w:r>
      <w:r w:rsidRPr="00A84E74">
        <w:rPr>
          <w:lang w:val="fr-FR"/>
        </w:rPr>
        <w:t>e</w:t>
      </w:r>
      <w:r>
        <w:rPr>
          <w:lang w:val="fr-FR"/>
        </w:rPr>
        <w:t>s</w:t>
      </w:r>
      <w:r w:rsidRPr="00A84E74">
        <w:rPr>
          <w:lang w:val="fr-FR"/>
        </w:rPr>
        <w:t xml:space="preserve"> jeunes</w:t>
      </w:r>
      <w:r>
        <w:rPr>
          <w:lang w:val="fr-FR"/>
        </w:rPr>
        <w:t xml:space="preserve"> seront systématiquement impliqués. Ainsi, au moins trente pour</w:t>
      </w:r>
      <w:r w:rsidR="00AF41C5">
        <w:rPr>
          <w:lang w:val="fr-FR"/>
        </w:rPr>
        <w:t xml:space="preserve"> </w:t>
      </w:r>
      <w:r>
        <w:rPr>
          <w:lang w:val="fr-FR"/>
        </w:rPr>
        <w:t>cent (</w:t>
      </w:r>
      <w:r w:rsidRPr="007659F5">
        <w:rPr>
          <w:lang w:val="fr-FR"/>
        </w:rPr>
        <w:t>30%</w:t>
      </w:r>
      <w:r>
        <w:rPr>
          <w:lang w:val="fr-FR"/>
        </w:rPr>
        <w:t xml:space="preserve">) </w:t>
      </w:r>
      <w:r w:rsidRPr="007659F5">
        <w:rPr>
          <w:lang w:val="fr-FR"/>
        </w:rPr>
        <w:t>de femmes</w:t>
      </w:r>
      <w:r>
        <w:rPr>
          <w:lang w:val="fr-FR"/>
        </w:rPr>
        <w:t xml:space="preserve"> </w:t>
      </w:r>
      <w:r w:rsidRPr="001C2649">
        <w:rPr>
          <w:lang w:val="fr-FR"/>
        </w:rPr>
        <w:t>bénéficiaires</w:t>
      </w:r>
      <w:r>
        <w:rPr>
          <w:lang w:val="fr-FR"/>
        </w:rPr>
        <w:t xml:space="preserve"> sont systématiquement </w:t>
      </w:r>
      <w:r w:rsidRPr="007659F5">
        <w:rPr>
          <w:lang w:val="fr-FR"/>
        </w:rPr>
        <w:t>inclus</w:t>
      </w:r>
      <w:r w:rsidR="00AF41C5">
        <w:rPr>
          <w:lang w:val="fr-FR"/>
        </w:rPr>
        <w:t>es</w:t>
      </w:r>
      <w:r>
        <w:rPr>
          <w:lang w:val="fr-FR"/>
        </w:rPr>
        <w:t xml:space="preserve"> </w:t>
      </w:r>
      <w:r w:rsidRPr="007659F5">
        <w:rPr>
          <w:lang w:val="fr-FR"/>
        </w:rPr>
        <w:t>dans les comités de dialogue</w:t>
      </w:r>
      <w:r>
        <w:rPr>
          <w:lang w:val="fr-FR"/>
        </w:rPr>
        <w:t xml:space="preserve"> et les activités génératrices de revenus, les formations, les activités de vaccinations et de déparasitage du bétail, etc.</w:t>
      </w:r>
    </w:p>
    <w:p w14:paraId="35EDE632" w14:textId="77777777" w:rsidR="00627A1C" w:rsidRPr="00C636DC" w:rsidRDefault="00627A1C" w:rsidP="00627A1C">
      <w:pPr>
        <w:ind w:left="-720"/>
        <w:rPr>
          <w:b/>
          <w:lang w:val="fr-FR"/>
        </w:rPr>
      </w:pPr>
    </w:p>
    <w:p w14:paraId="02A4DAC5" w14:textId="3352B077" w:rsidR="00675507" w:rsidRPr="001D2CF2" w:rsidRDefault="00675507">
      <w:pPr>
        <w:ind w:left="-720"/>
        <w:jc w:val="both"/>
        <w:rPr>
          <w:b/>
          <w:lang w:val="fr-FR"/>
        </w:rPr>
      </w:pPr>
      <w:r w:rsidRPr="001D2CF2">
        <w:rPr>
          <w:b/>
          <w:u w:val="single"/>
          <w:lang w:val="fr-FR"/>
        </w:rPr>
        <w:t>Résultat 3:</w:t>
      </w:r>
      <w:r w:rsidRPr="001D2CF2">
        <w:rPr>
          <w:b/>
          <w:lang w:val="fr-FR"/>
        </w:rPr>
        <w:t xml:space="preserve">  </w:t>
      </w:r>
      <w:r w:rsidR="00D8330B" w:rsidRPr="00013C6B">
        <w:rPr>
          <w:b/>
          <w:lang w:val="fr-FR"/>
        </w:rPr>
        <w:t xml:space="preserve">L’incidence des VBG chez les transhumants et dans la population hôte est réduite, la résilience des victimes de VBG et des communautés est accrue </w:t>
      </w:r>
    </w:p>
    <w:p w14:paraId="09695970" w14:textId="77777777" w:rsidR="00675507" w:rsidRPr="001D2CF2" w:rsidRDefault="00675507" w:rsidP="00013C6B">
      <w:pPr>
        <w:ind w:left="-720"/>
        <w:jc w:val="both"/>
        <w:rPr>
          <w:b/>
          <w:lang w:val="fr-FR"/>
        </w:rPr>
      </w:pPr>
    </w:p>
    <w:p w14:paraId="2998D510" w14:textId="02EA931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D8330B">
        <w:rPr>
          <w:b/>
          <w:lang w:val="fr-FR"/>
        </w:rPr>
        <w:t xml:space="preserve">On </w:t>
      </w:r>
      <w:proofErr w:type="spellStart"/>
      <w:r w:rsidR="00D8330B">
        <w:rPr>
          <w:b/>
          <w:lang w:val="fr-FR"/>
        </w:rPr>
        <w:t>track</w:t>
      </w:r>
      <w:proofErr w:type="spellEnd"/>
      <w:r w:rsidR="000A7E24">
        <w:rPr>
          <w:b/>
          <w:lang w:val="fr-FR"/>
        </w:rPr>
        <w:t xml:space="preserve"> </w:t>
      </w:r>
    </w:p>
    <w:p w14:paraId="67329A32" w14:textId="77777777" w:rsidR="00675507" w:rsidRPr="005D15A3" w:rsidRDefault="00675507" w:rsidP="00675507">
      <w:pPr>
        <w:ind w:left="-720"/>
        <w:jc w:val="both"/>
        <w:rPr>
          <w:b/>
          <w:lang w:val="fr-FR"/>
        </w:rPr>
      </w:pPr>
    </w:p>
    <w:p w14:paraId="1B52677D" w14:textId="72221792" w:rsidR="00675507" w:rsidRPr="005D15A3" w:rsidRDefault="00691927"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079A824B" w14:textId="77777777" w:rsidR="00226E44" w:rsidRPr="00130510" w:rsidRDefault="00226E44" w:rsidP="00237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14"/>
          <w:szCs w:val="14"/>
          <w:lang w:val="fr-FR"/>
        </w:rPr>
      </w:pPr>
    </w:p>
    <w:p w14:paraId="06EDC5DA" w14:textId="6DE5323E" w:rsidR="00691927" w:rsidRDefault="00D168A2" w:rsidP="00D16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FR"/>
        </w:rPr>
        <w:t xml:space="preserve">Entre 2018 et 2020, </w:t>
      </w:r>
      <w:r>
        <w:rPr>
          <w:lang w:val="fr-FR"/>
        </w:rPr>
        <w:t xml:space="preserve">des données collectées dans le cadre de la lutte contre les violences basées sur le genre ont fait cas de </w:t>
      </w:r>
      <w:r>
        <w:rPr>
          <w:lang w:val="fr-FR"/>
        </w:rPr>
        <w:t xml:space="preserve">135 cas de </w:t>
      </w:r>
      <w:r w:rsidRPr="000A7E24">
        <w:rPr>
          <w:lang w:val="fr-FR"/>
        </w:rPr>
        <w:t xml:space="preserve">viols et viols collectifs </w:t>
      </w:r>
      <w:r>
        <w:rPr>
          <w:lang w:val="fr-FR"/>
        </w:rPr>
        <w:t>dans les préfectures de la Nana-</w:t>
      </w:r>
      <w:proofErr w:type="spellStart"/>
      <w:r>
        <w:rPr>
          <w:lang w:val="fr-FR"/>
        </w:rPr>
        <w:t>Gribizi</w:t>
      </w:r>
      <w:proofErr w:type="spellEnd"/>
      <w:r>
        <w:rPr>
          <w:lang w:val="fr-FR"/>
        </w:rPr>
        <w:t>, l’Ouham-</w:t>
      </w:r>
      <w:r w:rsidRPr="000A7E24">
        <w:rPr>
          <w:lang w:val="fr-FR"/>
        </w:rPr>
        <w:t>Pende et l’Ouham</w:t>
      </w:r>
      <w:r>
        <w:rPr>
          <w:lang w:val="fr-FR"/>
        </w:rPr>
        <w:t xml:space="preserve"> pendant la saison de transhumance</w:t>
      </w:r>
      <w:r>
        <w:rPr>
          <w:lang w:val="fr-FR"/>
        </w:rPr>
        <w:t>. A cet effet, d</w:t>
      </w:r>
      <w:r w:rsidR="00130510">
        <w:rPr>
          <w:lang w:val="fr-FR"/>
        </w:rPr>
        <w:t>es sessions de sensibilisation et de plaidoyer</w:t>
      </w:r>
      <w:r w:rsidR="00691927">
        <w:rPr>
          <w:lang w:val="fr-FR"/>
        </w:rPr>
        <w:t xml:space="preserve"> sur les conflits et VBG liées à la transhumance</w:t>
      </w:r>
      <w:r w:rsidR="003F1C04">
        <w:rPr>
          <w:lang w:val="fr-FR"/>
        </w:rPr>
        <w:t>,</w:t>
      </w:r>
      <w:r w:rsidR="00130510">
        <w:rPr>
          <w:lang w:val="fr-FR"/>
        </w:rPr>
        <w:t xml:space="preserve"> organisées au cours de ce</w:t>
      </w:r>
      <w:r w:rsidR="00691927">
        <w:rPr>
          <w:lang w:val="fr-FR"/>
        </w:rPr>
        <w:t xml:space="preserve">tte année </w:t>
      </w:r>
      <w:r w:rsidR="00130510" w:rsidRPr="00691927">
        <w:rPr>
          <w:lang w:val="fr-FR"/>
        </w:rPr>
        <w:t xml:space="preserve">ont touché </w:t>
      </w:r>
      <w:r w:rsidR="00130510" w:rsidRPr="00D168A2">
        <w:rPr>
          <w:lang w:val="fr-FR"/>
        </w:rPr>
        <w:t>14 200 personnes</w:t>
      </w:r>
      <w:r w:rsidR="00130510" w:rsidRPr="00691927">
        <w:rPr>
          <w:lang w:val="fr-FR"/>
        </w:rPr>
        <w:t>, dont 6713 femmes, 9</w:t>
      </w:r>
      <w:r w:rsidR="00130510" w:rsidRPr="00691927">
        <w:rPr>
          <w:lang w:val="fr-CI"/>
        </w:rPr>
        <w:t xml:space="preserve">13 adolescentes </w:t>
      </w:r>
      <w:r w:rsidR="00130510" w:rsidRPr="00B87CC0">
        <w:rPr>
          <w:lang w:val="fr-CI"/>
        </w:rPr>
        <w:t>de 15-19 ans</w:t>
      </w:r>
      <w:r w:rsidR="00130510" w:rsidRPr="00B9426D">
        <w:rPr>
          <w:lang w:val="fr-CI"/>
        </w:rPr>
        <w:t>, 1807 jeunes femmes de 20 à 24 ans, 4567 hommes</w:t>
      </w:r>
      <w:r w:rsidR="00130510">
        <w:rPr>
          <w:lang w:val="fr-CI"/>
        </w:rPr>
        <w:t xml:space="preserve"> et 200 jeunes hommes. </w:t>
      </w:r>
    </w:p>
    <w:p w14:paraId="6CF3D3B6" w14:textId="307EB35E" w:rsidR="00B87CC0" w:rsidRDefault="00691927" w:rsidP="00691927">
      <w:pPr>
        <w:ind w:left="-720"/>
        <w:jc w:val="both"/>
        <w:rPr>
          <w:lang w:val="fr-FR"/>
        </w:rPr>
      </w:pPr>
      <w:r>
        <w:rPr>
          <w:lang w:val="fr-FR"/>
        </w:rPr>
        <w:t xml:space="preserve">Par ailleurs, une série d’interventions ont </w:t>
      </w:r>
      <w:r>
        <w:rPr>
          <w:lang w:val="fr-FR"/>
        </w:rPr>
        <w:t xml:space="preserve">permis </w:t>
      </w:r>
      <w:r w:rsidRPr="00130510">
        <w:rPr>
          <w:lang w:val="fr-CI"/>
        </w:rPr>
        <w:t>de renforcer l</w:t>
      </w:r>
      <w:r>
        <w:rPr>
          <w:lang w:val="fr-CI"/>
        </w:rPr>
        <w:t>’estime de</w:t>
      </w:r>
      <w:r w:rsidRPr="00130510">
        <w:rPr>
          <w:lang w:val="fr-CI"/>
        </w:rPr>
        <w:t xml:space="preserve"> soi</w:t>
      </w:r>
      <w:r>
        <w:rPr>
          <w:lang w:val="fr-CI"/>
        </w:rPr>
        <w:t xml:space="preserve"> des victimes de VBG, </w:t>
      </w:r>
      <w:r w:rsidRPr="00130510">
        <w:rPr>
          <w:lang w:val="fr-CI"/>
        </w:rPr>
        <w:t xml:space="preserve">de </w:t>
      </w:r>
      <w:r>
        <w:rPr>
          <w:lang w:val="fr-CI"/>
        </w:rPr>
        <w:t xml:space="preserve">leur </w:t>
      </w:r>
      <w:r w:rsidRPr="00130510">
        <w:rPr>
          <w:lang w:val="fr-CI"/>
        </w:rPr>
        <w:t>créer de</w:t>
      </w:r>
      <w:r>
        <w:rPr>
          <w:lang w:val="fr-CI"/>
        </w:rPr>
        <w:t>s</w:t>
      </w:r>
      <w:r w:rsidRPr="00130510">
        <w:rPr>
          <w:lang w:val="fr-CI"/>
        </w:rPr>
        <w:t xml:space="preserve"> petites activités</w:t>
      </w:r>
      <w:r>
        <w:rPr>
          <w:lang w:val="fr-CI"/>
        </w:rPr>
        <w:t xml:space="preserve"> génératrices de rev</w:t>
      </w:r>
      <w:r w:rsidR="0078191E">
        <w:rPr>
          <w:lang w:val="fr-CI"/>
        </w:rPr>
        <w:t>en</w:t>
      </w:r>
      <w:r>
        <w:rPr>
          <w:lang w:val="fr-CI"/>
        </w:rPr>
        <w:t xml:space="preserve">us (notamment </w:t>
      </w:r>
      <w:r w:rsidRPr="00130510">
        <w:rPr>
          <w:lang w:val="fr-CI"/>
        </w:rPr>
        <w:t>autour du tricot</w:t>
      </w:r>
      <w:r>
        <w:rPr>
          <w:lang w:val="fr-CI"/>
        </w:rPr>
        <w:t>), d</w:t>
      </w:r>
      <w:r w:rsidRPr="00A4177D">
        <w:rPr>
          <w:lang w:val="fr-CI"/>
        </w:rPr>
        <w:t>’amélior</w:t>
      </w:r>
      <w:r>
        <w:rPr>
          <w:lang w:val="fr-CI"/>
        </w:rPr>
        <w:t>er</w:t>
      </w:r>
      <w:r w:rsidRPr="00A4177D">
        <w:rPr>
          <w:lang w:val="fr-CI"/>
        </w:rPr>
        <w:t xml:space="preserve"> l’offre de service de qualité de la réponse</w:t>
      </w:r>
      <w:r>
        <w:rPr>
          <w:lang w:val="fr-CI"/>
        </w:rPr>
        <w:t xml:space="preserve">. Ces activités ont aussi servi à </w:t>
      </w:r>
      <w:r>
        <w:rPr>
          <w:lang w:val="fr-FR"/>
        </w:rPr>
        <w:t>obtenir</w:t>
      </w:r>
      <w:r w:rsidRPr="00955786">
        <w:rPr>
          <w:lang w:val="fr-FR"/>
        </w:rPr>
        <w:t xml:space="preserve"> l’engagement actif des leaders communautaires, des organisa</w:t>
      </w:r>
      <w:r>
        <w:rPr>
          <w:lang w:val="fr-FR"/>
        </w:rPr>
        <w:t>tions féminines, du corps éducatif, des médias, de la jeunesse, des forces de sécurité, du corps médical et des victime</w:t>
      </w:r>
      <w:r w:rsidRPr="00955786">
        <w:rPr>
          <w:lang w:val="fr-FR"/>
        </w:rPr>
        <w:t>s</w:t>
      </w:r>
      <w:r>
        <w:rPr>
          <w:lang w:val="fr-FR"/>
        </w:rPr>
        <w:t xml:space="preserve"> de VBG elles-mêmes à devenir des agents de changements de comportement dans leurs communautés respectives. </w:t>
      </w:r>
    </w:p>
    <w:p w14:paraId="69BD96FF" w14:textId="314A2C50" w:rsidR="00B87CC0" w:rsidRDefault="00B87CC0" w:rsidP="00691927">
      <w:pPr>
        <w:ind w:left="-720"/>
        <w:jc w:val="both"/>
        <w:rPr>
          <w:lang w:val="fr-FR"/>
        </w:rPr>
      </w:pPr>
    </w:p>
    <w:p w14:paraId="6D0235F7" w14:textId="77777777" w:rsidR="00B87CC0" w:rsidRPr="008C4190" w:rsidRDefault="00B87CC0" w:rsidP="00D168A2">
      <w:pPr>
        <w:pStyle w:val="ListParagraph"/>
        <w:numPr>
          <w:ilvl w:val="0"/>
          <w:numId w:val="23"/>
        </w:numPr>
        <w:ind w:left="-142" w:hanging="284"/>
        <w:jc w:val="both"/>
        <w:rPr>
          <w:b/>
          <w:lang w:val="fr-CI"/>
        </w:rPr>
      </w:pPr>
      <w:r w:rsidRPr="008C4190">
        <w:rPr>
          <w:lang w:val="fr-CI"/>
        </w:rPr>
        <w:t xml:space="preserve">737 survivantes de VBG ont bénéficié de prise en charges psychosociales. Ces survivantes ont bénéficié d’un accompagnement socioéconomique (50,61%). Quarante-cinq (45) cas ont bénéficié d’une assistance juridique et judiciaire, 31 ont été référées au commissariat et à la gendarmerie et 14 cas documentés. </w:t>
      </w:r>
    </w:p>
    <w:p w14:paraId="08DD4430" w14:textId="77777777" w:rsidR="00B87CC0" w:rsidRPr="008C4190" w:rsidRDefault="00B87CC0" w:rsidP="00D168A2">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284"/>
        <w:jc w:val="both"/>
        <w:rPr>
          <w:b/>
          <w:lang w:val="fr-CI"/>
        </w:rPr>
      </w:pPr>
      <w:r w:rsidRPr="008C4190">
        <w:rPr>
          <w:lang w:val="fr-CI"/>
        </w:rPr>
        <w:t xml:space="preserve">06 centres d’écoute et 01 One Stop Center sont opérationnels pour recevoir les survivantes des VBG à Bossangoa, Bozoum, </w:t>
      </w:r>
      <w:proofErr w:type="spellStart"/>
      <w:r w:rsidRPr="008C4190">
        <w:rPr>
          <w:lang w:val="fr-CI"/>
        </w:rPr>
        <w:t>Bocaranga</w:t>
      </w:r>
      <w:proofErr w:type="spellEnd"/>
      <w:r w:rsidRPr="008C4190">
        <w:rPr>
          <w:lang w:val="fr-CI"/>
        </w:rPr>
        <w:t xml:space="preserve">, </w:t>
      </w:r>
      <w:proofErr w:type="spellStart"/>
      <w:r w:rsidRPr="008C4190">
        <w:rPr>
          <w:lang w:val="fr-CI"/>
        </w:rPr>
        <w:t>Ndim</w:t>
      </w:r>
      <w:proofErr w:type="spellEnd"/>
      <w:r w:rsidRPr="008C4190">
        <w:rPr>
          <w:lang w:val="fr-CI"/>
        </w:rPr>
        <w:t xml:space="preserve">, </w:t>
      </w:r>
      <w:proofErr w:type="spellStart"/>
      <w:r w:rsidRPr="008C4190">
        <w:rPr>
          <w:lang w:val="fr-CI"/>
        </w:rPr>
        <w:t>Ngaoundaye</w:t>
      </w:r>
      <w:proofErr w:type="spellEnd"/>
      <w:r w:rsidRPr="008C4190">
        <w:rPr>
          <w:lang w:val="fr-CI"/>
        </w:rPr>
        <w:t xml:space="preserve"> et </w:t>
      </w:r>
      <w:proofErr w:type="spellStart"/>
      <w:r w:rsidRPr="008C4190">
        <w:rPr>
          <w:lang w:val="fr-CI"/>
        </w:rPr>
        <w:t>Paoua</w:t>
      </w:r>
      <w:proofErr w:type="spellEnd"/>
      <w:r w:rsidRPr="008C4190">
        <w:rPr>
          <w:lang w:val="fr-CI"/>
        </w:rPr>
        <w:t xml:space="preserve">; </w:t>
      </w:r>
      <w:r w:rsidRPr="008C4190">
        <w:rPr>
          <w:lang w:val="fr-CI"/>
        </w:rPr>
        <w:lastRenderedPageBreak/>
        <w:t>et 06 structures       médicales ont reçu 13 Kit post viol, 14 kit IST, 4 kit contraceptifs et de 14 kits suture pour la prise en charge des complications médicales liées aux agressions sexuelles).</w:t>
      </w:r>
    </w:p>
    <w:p w14:paraId="2B8D97DE" w14:textId="77777777" w:rsidR="00B87CC0" w:rsidRPr="00F1333B" w:rsidRDefault="00B87CC0" w:rsidP="00D168A2">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284"/>
        <w:jc w:val="both"/>
        <w:rPr>
          <w:b/>
          <w:lang w:val="fr-CI"/>
        </w:rPr>
      </w:pPr>
      <w:r w:rsidRPr="008C4190">
        <w:rPr>
          <w:lang w:val="fr-CI"/>
        </w:rPr>
        <w:t>59 acteurs de de lutte contre les VBG et 44 agents de santé ont été formés à la  communication centrée sur la survivante des VBG, dans la gestion  clinique des cas de VBG et</w:t>
      </w:r>
      <w:r>
        <w:rPr>
          <w:lang w:val="fr-CI"/>
        </w:rPr>
        <w:t xml:space="preserve"> dans</w:t>
      </w:r>
      <w:r w:rsidRPr="008C4190">
        <w:rPr>
          <w:lang w:val="fr-CI"/>
        </w:rPr>
        <w:t xml:space="preserve"> leur prise en charge holistique ;  52 prestataires en offres de services multisectoriels </w:t>
      </w:r>
      <w:r>
        <w:rPr>
          <w:lang w:val="fr-CI"/>
        </w:rPr>
        <w:t>(</w:t>
      </w:r>
      <w:r w:rsidRPr="008C4190">
        <w:rPr>
          <w:lang w:val="fr-CI"/>
        </w:rPr>
        <w:t>9 femmes</w:t>
      </w:r>
      <w:r>
        <w:rPr>
          <w:lang w:val="fr-CI"/>
        </w:rPr>
        <w:t xml:space="preserve">, </w:t>
      </w:r>
      <w:r w:rsidRPr="008C4190">
        <w:rPr>
          <w:lang w:val="fr-CI"/>
        </w:rPr>
        <w:t>23 hommes</w:t>
      </w:r>
      <w:r>
        <w:rPr>
          <w:lang w:val="fr-CI"/>
        </w:rPr>
        <w:t>)</w:t>
      </w:r>
      <w:r w:rsidRPr="008C4190">
        <w:rPr>
          <w:lang w:val="fr-CI"/>
        </w:rPr>
        <w:t xml:space="preserve"> ont </w:t>
      </w:r>
      <w:r>
        <w:rPr>
          <w:lang w:val="fr-CI"/>
        </w:rPr>
        <w:t xml:space="preserve">été (re) formés sur la </w:t>
      </w:r>
      <w:r w:rsidRPr="008C4190">
        <w:rPr>
          <w:lang w:val="fr-CI"/>
        </w:rPr>
        <w:t xml:space="preserve"> prise en charge médicale, </w:t>
      </w:r>
      <w:r>
        <w:rPr>
          <w:lang w:val="fr-CI"/>
        </w:rPr>
        <w:t xml:space="preserve">le soutien </w:t>
      </w:r>
      <w:r w:rsidRPr="008C4190">
        <w:rPr>
          <w:lang w:val="fr-CI"/>
        </w:rPr>
        <w:t>psycho</w:t>
      </w:r>
      <w:r>
        <w:rPr>
          <w:lang w:val="fr-CI"/>
        </w:rPr>
        <w:t>logique et</w:t>
      </w:r>
      <w:r w:rsidRPr="008C4190">
        <w:rPr>
          <w:lang w:val="fr-CI"/>
        </w:rPr>
        <w:t xml:space="preserve"> juridique des cas de VBG ; </w:t>
      </w:r>
      <w:r>
        <w:rPr>
          <w:lang w:val="fr-CI"/>
        </w:rPr>
        <w:t xml:space="preserve">et 20 </w:t>
      </w:r>
      <w:r w:rsidRPr="008C4190">
        <w:rPr>
          <w:lang w:val="fr-CI"/>
        </w:rPr>
        <w:t>relais communautaires (14 hommes et 6 femmes) ont été formés sur les techniques d'identification, d'écoute, de conseils et d'orientation des victimes et des survivantes des VBG/EAS ;</w:t>
      </w:r>
    </w:p>
    <w:p w14:paraId="7207DC7D" w14:textId="77777777" w:rsidR="00B87CC0" w:rsidRPr="00F1333B" w:rsidRDefault="00B87CC0" w:rsidP="00D168A2">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284"/>
        <w:jc w:val="both"/>
        <w:rPr>
          <w:b/>
          <w:lang w:val="fr-CI"/>
        </w:rPr>
      </w:pPr>
      <w:r w:rsidRPr="00F1333B">
        <w:rPr>
          <w:lang w:val="fr-CI"/>
        </w:rPr>
        <w:t xml:space="preserve">2840 femmes ont bénéficié d’activités d’apprentissage en alphabétisation et tricot (dont  259 adolescentes de 15-19 ans ,893 jeunes femmes de 20-24 ans et 1696 femmes de 25 ans et plus). 373 survivantes de VBG identifiées bénéficient quant à elles d’un encadrement du projet devant à terme faciliter leur réinsertion socio-économique. </w:t>
      </w:r>
    </w:p>
    <w:p w14:paraId="0592D501" w14:textId="77777777" w:rsidR="00B87CC0" w:rsidRPr="00D168A2" w:rsidRDefault="00B87CC0" w:rsidP="00691927">
      <w:pPr>
        <w:ind w:left="-720"/>
        <w:jc w:val="both"/>
        <w:rPr>
          <w:lang w:val="fr-CI"/>
        </w:rPr>
      </w:pPr>
    </w:p>
    <w:p w14:paraId="53A48079" w14:textId="77777777" w:rsidR="005D2E40" w:rsidRDefault="005D2E40" w:rsidP="00691927">
      <w:pPr>
        <w:ind w:left="-720"/>
        <w:jc w:val="both"/>
        <w:rPr>
          <w:lang w:val="fr-FR"/>
        </w:rPr>
      </w:pPr>
    </w:p>
    <w:p w14:paraId="40F7F91F" w14:textId="049DDEDD" w:rsidR="00675507" w:rsidRPr="00B60521" w:rsidRDefault="00EE6553" w:rsidP="00D168A2">
      <w:pPr>
        <w:ind w:left="-720"/>
        <w:jc w:val="both"/>
        <w:rPr>
          <w:b/>
          <w:lang w:val="fr-FR"/>
        </w:rPr>
      </w:pPr>
      <w:r>
        <w:rPr>
          <w:rStyle w:val="CommentReference"/>
        </w:rPr>
        <w:commentReference w:id="13"/>
      </w: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2B49E1"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168A2"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28DA80AB" w:rsidR="00997347" w:rsidRDefault="0006520D" w:rsidP="00234A5E">
            <w:pPr>
              <w:rPr>
                <w:i/>
                <w:lang w:val="fr-FR"/>
              </w:rPr>
            </w:pPr>
            <w:r w:rsidRPr="00AD0BB1">
              <w:rPr>
                <w:lang w:val="fr-FR"/>
              </w:rPr>
              <w:t xml:space="preserve">Le suivi se fait </w:t>
            </w:r>
            <w:r w:rsidR="009A2A10" w:rsidRPr="00AD0BB1">
              <w:rPr>
                <w:lang w:val="fr-FR"/>
              </w:rPr>
              <w:t>régulièrement</w:t>
            </w:r>
            <w:r w:rsidRPr="00AD0BB1">
              <w:rPr>
                <w:lang w:val="fr-FR"/>
              </w:rPr>
              <w:t xml:space="preserve"> par l'</w:t>
            </w:r>
            <w:r w:rsidR="009A2A10" w:rsidRPr="00AD0BB1">
              <w:rPr>
                <w:lang w:val="fr-FR"/>
              </w:rPr>
              <w:t>équipe</w:t>
            </w:r>
            <w:r w:rsidRPr="00AD0BB1">
              <w:rPr>
                <w:lang w:val="fr-FR"/>
              </w:rPr>
              <w:t xml:space="preserve"> du projet. Un planning des activités a </w:t>
            </w:r>
            <w:r w:rsidRPr="001A2674">
              <w:rPr>
                <w:lang w:val="fr-FR"/>
              </w:rPr>
              <w:t>é</w:t>
            </w:r>
            <w:r w:rsidRPr="00AD0BB1">
              <w:rPr>
                <w:lang w:val="fr-FR"/>
              </w:rPr>
              <w:t>t</w:t>
            </w:r>
            <w:r w:rsidRPr="001A2674">
              <w:rPr>
                <w:lang w:val="fr-FR"/>
              </w:rPr>
              <w:t>é</w:t>
            </w:r>
            <w:r w:rsidRPr="00AD0BB1">
              <w:rPr>
                <w:lang w:val="fr-FR"/>
              </w:rPr>
              <w:t xml:space="preserve"> élabor</w:t>
            </w:r>
            <w:r w:rsidRPr="001A2674">
              <w:rPr>
                <w:lang w:val="fr-FR"/>
              </w:rPr>
              <w:t>é</w:t>
            </w:r>
            <w:r w:rsidRPr="00AD0BB1">
              <w:rPr>
                <w:lang w:val="fr-FR"/>
              </w:rPr>
              <w:t xml:space="preserve"> pour faciliter l'ex</w:t>
            </w:r>
            <w:r w:rsidRPr="001A2674">
              <w:rPr>
                <w:lang w:val="fr-FR"/>
              </w:rPr>
              <w:t>é</w:t>
            </w:r>
            <w:r w:rsidRPr="00AD0BB1">
              <w:rPr>
                <w:lang w:val="fr-FR"/>
              </w:rPr>
              <w:t>cution des activités</w:t>
            </w:r>
            <w:r w:rsidRPr="00E1015D">
              <w:rPr>
                <w:lang w:val="fr-FR"/>
              </w:rPr>
              <w:t xml:space="preserve">. Des missions de terrain </w:t>
            </w:r>
            <w:r>
              <w:rPr>
                <w:lang w:val="fr-FR"/>
              </w:rPr>
              <w:t xml:space="preserve">ont </w:t>
            </w:r>
            <w:r w:rsidRPr="00E1015D">
              <w:rPr>
                <w:lang w:val="fr-FR"/>
              </w:rPr>
              <w:t>déjà</w:t>
            </w:r>
            <w:r>
              <w:rPr>
                <w:lang w:val="fr-FR"/>
              </w:rPr>
              <w:t xml:space="preserve"> eu lieu.</w:t>
            </w:r>
            <w:r w:rsidR="006C1819" w:rsidRPr="0006520D">
              <w:rPr>
                <w:i/>
                <w:lang w:val="fr-FR"/>
              </w:rPr>
              <w:t xml:space="preserve"> </w:t>
            </w:r>
          </w:p>
          <w:p w14:paraId="6BD1A0EE" w14:textId="77777777" w:rsidR="00C02BD3" w:rsidRDefault="00C02BD3" w:rsidP="00234A5E">
            <w:pPr>
              <w:rPr>
                <w:i/>
                <w:lang w:val="fr-FR"/>
              </w:rPr>
            </w:pPr>
          </w:p>
          <w:p w14:paraId="6D2C3A28" w14:textId="7FA91147" w:rsidR="00EE6553" w:rsidRDefault="00EE6553" w:rsidP="00234A5E">
            <w:pPr>
              <w:rPr>
                <w:i/>
                <w:lang w:val="fr-FR"/>
              </w:rPr>
            </w:pPr>
            <w:r>
              <w:rPr>
                <w:i/>
                <w:lang w:val="fr-FR"/>
              </w:rPr>
              <w:t>Pas un plan de suivi/évaluation mis en place ?</w:t>
            </w:r>
          </w:p>
          <w:p w14:paraId="1408D9EA" w14:textId="407F958A" w:rsidR="00EE6553" w:rsidRPr="0006520D" w:rsidRDefault="00EE6553" w:rsidP="00234A5E">
            <w:pPr>
              <w:rPr>
                <w:lang w:val="fr-FR"/>
              </w:rPr>
            </w:pPr>
            <w:r>
              <w:rPr>
                <w:i/>
                <w:lang w:val="fr-FR"/>
              </w:rPr>
              <w:t>Pas de mécanisme interne de suivi et rapportage interne et conjoint ?</w:t>
            </w:r>
          </w:p>
          <w:p w14:paraId="016432F1" w14:textId="17618631" w:rsidR="007118F5" w:rsidRDefault="007118F5" w:rsidP="00234A5E">
            <w:pPr>
              <w:rPr>
                <w:lang w:val="fr-FR"/>
              </w:rPr>
            </w:pPr>
          </w:p>
          <w:p w14:paraId="0252FF59" w14:textId="0349FBA6" w:rsidR="00E736A7" w:rsidRPr="00E736A7" w:rsidRDefault="00E736A7" w:rsidP="00E736A7">
            <w:pPr>
              <w:rPr>
                <w:lang w:val="fr-FR"/>
              </w:rPr>
            </w:pPr>
            <w:r w:rsidRPr="00E736A7">
              <w:rPr>
                <w:lang w:val="fr-FR"/>
              </w:rPr>
              <w:t>Un plan de suivi-évaluation a été mis en place.</w:t>
            </w:r>
            <w:r w:rsidR="0025273F">
              <w:rPr>
                <w:lang w:val="fr-FR"/>
              </w:rPr>
              <w:t xml:space="preserve"> </w:t>
            </w:r>
            <w:r w:rsidRPr="00E736A7">
              <w:rPr>
                <w:lang w:val="fr-FR"/>
              </w:rPr>
              <w:t xml:space="preserve">Des suivis par les équipes de projet se font, ainsi que des missions </w:t>
            </w:r>
            <w:r w:rsidR="0025273F" w:rsidRPr="00E736A7">
              <w:rPr>
                <w:lang w:val="fr-FR"/>
              </w:rPr>
              <w:t>conjoint</w:t>
            </w:r>
            <w:r w:rsidR="0025273F">
              <w:rPr>
                <w:lang w:val="fr-FR"/>
              </w:rPr>
              <w:t>es</w:t>
            </w:r>
            <w:r w:rsidR="0025273F" w:rsidRPr="00E736A7">
              <w:rPr>
                <w:lang w:val="fr-FR"/>
              </w:rPr>
              <w:t xml:space="preserve"> </w:t>
            </w:r>
            <w:r w:rsidRPr="00E736A7">
              <w:rPr>
                <w:lang w:val="fr-FR"/>
              </w:rPr>
              <w:t xml:space="preserve">de suivi. </w:t>
            </w:r>
          </w:p>
          <w:p w14:paraId="451A99DA" w14:textId="79F3749F" w:rsidR="00E736A7" w:rsidRPr="00E736A7" w:rsidRDefault="0025273F" w:rsidP="00E736A7">
            <w:pPr>
              <w:rPr>
                <w:lang w:val="fr-FR"/>
              </w:rPr>
            </w:pPr>
            <w:r>
              <w:rPr>
                <w:lang w:val="fr-FR"/>
              </w:rPr>
              <w:t>Toutes l</w:t>
            </w:r>
            <w:r w:rsidR="00E736A7" w:rsidRPr="00E736A7">
              <w:rPr>
                <w:lang w:val="fr-FR"/>
              </w:rPr>
              <w:t>es activités de suivi donnent lieu à un rapport de mission.</w:t>
            </w:r>
          </w:p>
          <w:p w14:paraId="21BD62AD" w14:textId="40D71946" w:rsidR="00C02BD3" w:rsidRPr="0006520D" w:rsidRDefault="00C02BD3" w:rsidP="0025273F">
            <w:pPr>
              <w:rPr>
                <w:lang w:val="fr-FR"/>
              </w:rPr>
            </w:pPr>
            <w:r>
              <w:rPr>
                <w:lang w:val="fr-FR"/>
              </w:rPr>
              <w:t xml:space="preserve"> </w:t>
            </w:r>
          </w:p>
        </w:tc>
        <w:tc>
          <w:tcPr>
            <w:tcW w:w="5940" w:type="dxa"/>
            <w:shd w:val="clear" w:color="auto" w:fill="auto"/>
          </w:tcPr>
          <w:p w14:paraId="797F499B" w14:textId="1A8011A9"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D8330B">
              <w:rPr>
                <w:lang w:val="fr-FR"/>
              </w:rPr>
              <w:t xml:space="preserve">Oui </w:t>
            </w:r>
          </w:p>
          <w:p w14:paraId="2FAA24E2" w14:textId="77777777" w:rsidR="005135FB" w:rsidRPr="00675507" w:rsidRDefault="005135FB" w:rsidP="00AD73D3">
            <w:pPr>
              <w:rPr>
                <w:lang w:val="fr-FR"/>
              </w:rPr>
            </w:pPr>
          </w:p>
          <w:p w14:paraId="03A84E96" w14:textId="77777777" w:rsidR="001D2CF2" w:rsidRDefault="00675507" w:rsidP="00AD73D3">
            <w:pPr>
              <w:rPr>
                <w:lang w:val="fr-FR"/>
              </w:rPr>
            </w:pPr>
            <w:r w:rsidRPr="00675507">
              <w:rPr>
                <w:lang w:val="fr-FR"/>
              </w:rPr>
              <w:t xml:space="preserve">Le projet a-t-il lancé des enquêtes de perception ou d'autres collectes de données </w:t>
            </w:r>
            <w:r w:rsidR="00D8330B" w:rsidRPr="00675507">
              <w:rPr>
                <w:lang w:val="fr-FR"/>
              </w:rPr>
              <w:t>communautaires ?</w:t>
            </w:r>
            <w:r w:rsidR="007118F5" w:rsidRPr="00675507">
              <w:rPr>
                <w:lang w:val="fr-FR"/>
              </w:rPr>
              <w:t xml:space="preserve"> </w:t>
            </w:r>
          </w:p>
          <w:p w14:paraId="2EAF3D68" w14:textId="4433882A" w:rsidR="007118F5" w:rsidRPr="00C636DC" w:rsidRDefault="00D8330B" w:rsidP="00AD73D3">
            <w:pPr>
              <w:rPr>
                <w:lang w:val="fr-FR"/>
              </w:rPr>
            </w:pPr>
            <w:r>
              <w:rPr>
                <w:lang w:val="fr-FR"/>
              </w:rPr>
              <w:t>Non</w:t>
            </w:r>
            <w:r w:rsidR="002477F4">
              <w:rPr>
                <w:lang w:val="fr-FR"/>
              </w:rPr>
              <w:t>,</w:t>
            </w:r>
            <w:r w:rsidR="00C636DC">
              <w:rPr>
                <w:lang w:val="fr-FR"/>
              </w:rPr>
              <w:t xml:space="preserve"> </w:t>
            </w:r>
            <w:r w:rsidR="002477F4">
              <w:rPr>
                <w:lang w:val="fr-FR"/>
              </w:rPr>
              <w:t>l’enquête de perception n’est pas encore réalisée</w:t>
            </w:r>
            <w:r w:rsidR="0068522B">
              <w:rPr>
                <w:lang w:val="fr-FR"/>
              </w:rPr>
              <w:t>, la mise en œuvre a</w:t>
            </w:r>
            <w:r w:rsidR="00B87CC0">
              <w:rPr>
                <w:lang w:val="fr-FR"/>
              </w:rPr>
              <w:t>yant</w:t>
            </w:r>
            <w:r w:rsidR="0068522B">
              <w:rPr>
                <w:lang w:val="fr-FR"/>
              </w:rPr>
              <w:t xml:space="preserve"> pris du retard</w:t>
            </w:r>
            <w:r w:rsidR="00B87CC0">
              <w:rPr>
                <w:lang w:val="fr-FR"/>
              </w:rPr>
              <w:t xml:space="preserve"> dans un premier temps en raison des procédures techniques puis de </w:t>
            </w:r>
            <w:r w:rsidR="005948C7">
              <w:rPr>
                <w:lang w:val="fr-FR"/>
              </w:rPr>
              <w:t>l’</w:t>
            </w:r>
            <w:r w:rsidR="0068522B">
              <w:rPr>
                <w:lang w:val="fr-FR"/>
              </w:rPr>
              <w:t>insécurité</w:t>
            </w:r>
            <w:r w:rsidR="005948C7">
              <w:rPr>
                <w:lang w:val="fr-FR"/>
              </w:rPr>
              <w:t xml:space="preserve"> </w:t>
            </w:r>
            <w:r w:rsidR="00B87CC0">
              <w:rPr>
                <w:lang w:val="fr-FR"/>
              </w:rPr>
              <w:t xml:space="preserve">qui persiste </w:t>
            </w:r>
            <w:r w:rsidR="005948C7">
              <w:rPr>
                <w:lang w:val="fr-FR"/>
              </w:rPr>
              <w:t>dans les zones du projet</w:t>
            </w:r>
            <w:r w:rsidR="0068522B">
              <w:rPr>
                <w:lang w:val="fr-FR"/>
              </w:rPr>
              <w:t xml:space="preserve"> </w:t>
            </w:r>
            <w:r>
              <w:rPr>
                <w:lang w:val="fr-FR"/>
              </w:rPr>
              <w:t xml:space="preserve"> </w:t>
            </w:r>
          </w:p>
          <w:p w14:paraId="1C435CD4" w14:textId="77777777" w:rsidR="00D8330B" w:rsidRPr="00C636DC" w:rsidRDefault="00D8330B" w:rsidP="00AD73D3">
            <w:pPr>
              <w:rPr>
                <w:lang w:val="fr-FR"/>
              </w:rPr>
            </w:pPr>
          </w:p>
          <w:p w14:paraId="2BD200E3" w14:textId="6BD4985D" w:rsidR="00D8330B" w:rsidRPr="00675507" w:rsidRDefault="00D8330B" w:rsidP="00B9426D">
            <w:pPr>
              <w:rPr>
                <w:lang w:val="fr-FR"/>
              </w:rPr>
            </w:pPr>
          </w:p>
        </w:tc>
      </w:tr>
      <w:tr w:rsidR="006C1819" w:rsidRPr="00D168A2" w14:paraId="36A88C83" w14:textId="77777777" w:rsidTr="007F7257">
        <w:tc>
          <w:tcPr>
            <w:tcW w:w="4230" w:type="dxa"/>
            <w:shd w:val="clear" w:color="auto" w:fill="auto"/>
          </w:tcPr>
          <w:p w14:paraId="6242C484" w14:textId="1DAB5B9C" w:rsidR="006C1819" w:rsidRPr="00675507" w:rsidRDefault="005948C7" w:rsidP="005F439F">
            <w:pPr>
              <w:rPr>
                <w:lang w:val="fr-FR"/>
              </w:rPr>
            </w:pPr>
            <w:r>
              <w:rPr>
                <w:b/>
                <w:bCs/>
                <w:u w:val="single"/>
                <w:lang w:val="fr-FR"/>
              </w:rPr>
              <w:t>,</w:t>
            </w:r>
            <w:r w:rsidR="003D4CD7"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3F5FBB9" w:rsidR="007118F5" w:rsidRPr="00627A1C" w:rsidRDefault="00D8330B" w:rsidP="007118F5">
            <w:r>
              <w:t>Non</w:t>
            </w:r>
          </w:p>
        </w:tc>
        <w:tc>
          <w:tcPr>
            <w:tcW w:w="5940" w:type="dxa"/>
            <w:shd w:val="clear" w:color="auto" w:fill="auto"/>
          </w:tcPr>
          <w:p w14:paraId="7B8CF898" w14:textId="4CD07572"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D8330B">
              <w:rPr>
                <w:lang w:val="fr-FR"/>
              </w:rPr>
              <w:t>$</w:t>
            </w:r>
            <w:r w:rsidR="00D8330B" w:rsidRPr="009F1D9D">
              <w:rPr>
                <w:lang w:val="fr-FR"/>
              </w:rPr>
              <w:t>50</w:t>
            </w:r>
            <w:r w:rsidR="00D8330B">
              <w:rPr>
                <w:lang w:val="fr-FR"/>
              </w:rPr>
              <w:t>,</w:t>
            </w:r>
            <w:r w:rsidR="00D8330B" w:rsidRPr="009F1D9D">
              <w:rPr>
                <w:lang w:val="fr-FR"/>
              </w:rPr>
              <w:t>000.0</w:t>
            </w:r>
          </w:p>
          <w:p w14:paraId="6A29E557" w14:textId="77777777" w:rsidR="004D141E" w:rsidRPr="00675507" w:rsidRDefault="004D141E" w:rsidP="00E76CA1">
            <w:pPr>
              <w:rPr>
                <w:lang w:val="fr-FR"/>
              </w:rPr>
            </w:pPr>
          </w:p>
          <w:p w14:paraId="645019D6" w14:textId="3A206172" w:rsidR="004D141E" w:rsidRPr="00D8330B"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D8330B" w:rsidRPr="00D8330B">
              <w:rPr>
                <w:lang w:val="fr-FR"/>
              </w:rPr>
              <w:t>N</w:t>
            </w:r>
            <w:r w:rsidR="00D8330B">
              <w:rPr>
                <w:lang w:val="fr-FR"/>
              </w:rPr>
              <w:t>A</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Text48"/>
                  <w:enabled/>
                  <w:calcOnExit w:val="0"/>
                  <w:textInput>
                    <w:type w:val="number"/>
                    <w:format w:val="0.00"/>
                  </w:textInput>
                </w:ffData>
              </w:fldChar>
            </w:r>
            <w:bookmarkStart w:id="1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r w:rsidRPr="00627A1C">
              <w:t xml:space="preserve">                          </w:t>
            </w:r>
            <w:r w:rsidRPr="00627A1C">
              <w:fldChar w:fldCharType="begin">
                <w:ffData>
                  <w:name w:val="Text50"/>
                  <w:enabled/>
                  <w:calcOnExit w:val="0"/>
                  <w:textInput>
                    <w:type w:val="number"/>
                    <w:format w:val="0.00"/>
                  </w:textInput>
                </w:ffData>
              </w:fldChar>
            </w:r>
            <w:bookmarkStart w:id="1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p>
        </w:tc>
      </w:tr>
      <w:tr w:rsidR="002C187A" w:rsidRPr="00D168A2"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23030F48" w14:textId="77777777" w:rsidR="0006520D" w:rsidRPr="00D168A2" w:rsidRDefault="0006520D" w:rsidP="0006520D">
            <w:pPr>
              <w:jc w:val="both"/>
              <w:rPr>
                <w:lang w:val="fr-FR"/>
              </w:rPr>
            </w:pPr>
            <w:r w:rsidRPr="00D168A2">
              <w:rPr>
                <w:lang w:val="fr-FR"/>
              </w:rPr>
              <w:t xml:space="preserve">Au cours des réunions de sensibilisation des autorités administratives et coutumières, le genre a occupé une bonne partie des discussions. La question de l'autonomisation des filles et des femmes à travers leur implication dans les activités, pour contribuer au renforcement de leur accès aux moyens d'existence, a été relevée au cours de ces réunions. </w:t>
            </w:r>
          </w:p>
          <w:p w14:paraId="6D9E76F0" w14:textId="197BD3FA" w:rsidR="0006520D" w:rsidRPr="00D168A2" w:rsidRDefault="0006520D" w:rsidP="0006520D">
            <w:pPr>
              <w:jc w:val="both"/>
              <w:rPr>
                <w:lang w:val="fr-FR"/>
              </w:rPr>
            </w:pPr>
            <w:r w:rsidRPr="00D168A2">
              <w:rPr>
                <w:lang w:val="fr-FR"/>
              </w:rPr>
              <w:t xml:space="preserve">L'implication des femmes dans les structures de dialogue intercommunautaire, qui sera un vecteur de renforcement de la paix et de la cohésion sociale locale, a aussi été évoquée. La dynamique de genre semble en effet prise en considération par les autorités locales. </w:t>
            </w:r>
          </w:p>
          <w:p w14:paraId="7345D52A" w14:textId="17B827C1" w:rsidR="0006520D" w:rsidRPr="00D168A2" w:rsidRDefault="0006520D" w:rsidP="0006520D">
            <w:pPr>
              <w:jc w:val="both"/>
              <w:rPr>
                <w:lang w:val="fr-FR"/>
              </w:rPr>
            </w:pPr>
            <w:r w:rsidRPr="00D168A2">
              <w:rPr>
                <w:lang w:val="fr-FR"/>
              </w:rPr>
              <w:t>Un besoin de formation en techniques de médiation communautaire a aussi été soulevé par les populations, qui a également été fortement appuyée par les autorités locales (Sous-préfets, Maires et chefs communautaires).</w:t>
            </w:r>
          </w:p>
          <w:p w14:paraId="4187770E" w14:textId="5A17E163" w:rsidR="002C187A" w:rsidRPr="004F6BF6" w:rsidRDefault="006F4C40" w:rsidP="006F4C40">
            <w:pPr>
              <w:jc w:val="both"/>
              <w:rPr>
                <w:lang w:val="fr-FR"/>
              </w:rPr>
            </w:pPr>
            <w:r w:rsidRPr="00D168A2">
              <w:rPr>
                <w:lang w:val="fr-FR"/>
              </w:rPr>
              <w:t>L</w:t>
            </w:r>
            <w:r w:rsidR="0006520D" w:rsidRPr="00D168A2">
              <w:rPr>
                <w:lang w:val="fr-FR"/>
              </w:rPr>
              <w:t xml:space="preserve">es structures techniques décentralisées de l’Etat, notamment l’ANDE et la FNEC, s’impliquent fortement dans les activités de sensibilisations menées sur le terrain. </w:t>
            </w:r>
            <w:r w:rsidR="001C5011" w:rsidRPr="00D168A2">
              <w:rPr>
                <w:lang w:val="fr-FR"/>
              </w:rPr>
              <w:t>Par ailleurs, des synergies solides ont été développées avec d’autres acteurs, notamment ceux en charge du projet de</w:t>
            </w:r>
            <w:r w:rsidR="001C5011" w:rsidRPr="00D168A2">
              <w:rPr>
                <w:rFonts w:asciiTheme="minorHAnsi" w:eastAsiaTheme="minorHAnsi" w:hAnsiTheme="minorHAnsi" w:cstheme="minorBidi"/>
                <w:sz w:val="22"/>
                <w:szCs w:val="22"/>
                <w:lang w:val="fr-FR" w:eastAsia="en-US"/>
              </w:rPr>
              <w:t xml:space="preserve"> </w:t>
            </w:r>
            <w:r w:rsidR="001C5011" w:rsidRPr="00D168A2">
              <w:rPr>
                <w:lang w:val="fr-FR"/>
              </w:rPr>
              <w:t>« </w:t>
            </w:r>
            <w:r w:rsidR="001C5011" w:rsidRPr="00D168A2">
              <w:rPr>
                <w:rFonts w:eastAsiaTheme="minorHAnsi"/>
                <w:lang w:val="fr-FR"/>
              </w:rPr>
              <w:t xml:space="preserve">Consolidation de la paix afin de contribuer aux échanges </w:t>
            </w:r>
            <w:r w:rsidR="001C5011" w:rsidRPr="00D168A2">
              <w:rPr>
                <w:lang w:val="fr-FR"/>
              </w:rPr>
              <w:t>économiques bénéfiques</w:t>
            </w:r>
            <w:r w:rsidR="001C5011" w:rsidRPr="00D168A2">
              <w:rPr>
                <w:rFonts w:eastAsiaTheme="minorHAnsi"/>
                <w:lang w:val="fr-FR"/>
              </w:rPr>
              <w:t xml:space="preserve"> à toutes les communautés touchées par la transhumance en RCA</w:t>
            </w:r>
            <w:r w:rsidR="001C5011" w:rsidRPr="00D168A2">
              <w:rPr>
                <w:lang w:val="fr-FR"/>
              </w:rPr>
              <w:t> » dans les préfectures de Ouham-Pende, Ouham</w:t>
            </w:r>
            <w:r w:rsidR="001C5011" w:rsidRPr="00D168A2">
              <w:rPr>
                <w:rFonts w:eastAsiaTheme="minorEastAsia"/>
                <w:lang w:val="fr-FR"/>
              </w:rPr>
              <w:t xml:space="preserve">, </w:t>
            </w:r>
            <w:proofErr w:type="spellStart"/>
            <w:r w:rsidR="001C5011" w:rsidRPr="00D168A2">
              <w:rPr>
                <w:rFonts w:eastAsiaTheme="minorEastAsia"/>
                <w:lang w:val="fr-FR"/>
              </w:rPr>
              <w:t>Vakaga</w:t>
            </w:r>
            <w:proofErr w:type="spellEnd"/>
            <w:r w:rsidR="001C5011" w:rsidRPr="00D168A2">
              <w:rPr>
                <w:rFonts w:eastAsiaTheme="minorEastAsia"/>
                <w:lang w:val="fr-FR"/>
              </w:rPr>
              <w:t xml:space="preserve"> et Bamingui-</w:t>
            </w:r>
            <w:proofErr w:type="spellStart"/>
            <w:r w:rsidR="001C5011" w:rsidRPr="00D168A2">
              <w:rPr>
                <w:rFonts w:eastAsiaTheme="minorEastAsia"/>
                <w:lang w:val="fr-FR"/>
              </w:rPr>
              <w:t>Bangoran</w:t>
            </w:r>
            <w:proofErr w:type="spellEnd"/>
            <w:r w:rsidR="001C5011" w:rsidRPr="00D168A2">
              <w:rPr>
                <w:lang w:val="fr-FR"/>
              </w:rPr>
              <w:t>, financé par le consor</w:t>
            </w:r>
            <w:r w:rsidR="00ED4858" w:rsidRPr="00D168A2">
              <w:rPr>
                <w:lang w:val="fr-FR"/>
              </w:rPr>
              <w:t>tium Union Européenne et DFID. Mais, la situation de tension qui existe actuellement entre la RCA et le Tchad aura vraisemblablement une influence sur la mise en œuvre du projet.</w:t>
            </w:r>
          </w:p>
        </w:tc>
      </w:tr>
    </w:tbl>
    <w:p w14:paraId="0305F850" w14:textId="77777777" w:rsidR="00C92D1F" w:rsidRDefault="00C92D1F" w:rsidP="00600B5F">
      <w:pPr>
        <w:rPr>
          <w:b/>
          <w:u w:val="single"/>
          <w:lang w:val="fr-FR"/>
        </w:rPr>
      </w:pPr>
    </w:p>
    <w:p w14:paraId="73DC0BA9" w14:textId="4B1F18C4" w:rsidR="00600B5F" w:rsidRPr="00547F47" w:rsidRDefault="00600B5F" w:rsidP="00600B5F">
      <w:pPr>
        <w:rPr>
          <w:b/>
          <w:u w:val="single"/>
          <w:lang w:val="fr-FR"/>
        </w:rPr>
      </w:pPr>
      <w:r w:rsidRPr="00547F47">
        <w:rPr>
          <w:b/>
          <w:u w:val="single"/>
          <w:lang w:val="fr-FR"/>
        </w:rPr>
        <w:t>Partie IV: COVID-</w:t>
      </w:r>
      <w:commentRangeStart w:id="19"/>
      <w:r w:rsidRPr="00547F47">
        <w:rPr>
          <w:b/>
          <w:u w:val="single"/>
          <w:lang w:val="fr-FR"/>
        </w:rPr>
        <w:t>19</w:t>
      </w:r>
      <w:commentRangeEnd w:id="19"/>
      <w:r w:rsidR="00EE6553">
        <w:rPr>
          <w:rStyle w:val="CommentReference"/>
        </w:rPr>
        <w:commentReference w:id="19"/>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4D39E8">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E7DFC15" w:rsidR="00600B5F" w:rsidRPr="003107C9" w:rsidRDefault="00AF2D97" w:rsidP="00600B5F">
      <w:pPr>
        <w:ind w:left="2160"/>
        <w:rPr>
          <w:lang w:val="fr-FR"/>
        </w:rPr>
      </w:pPr>
      <w:r w:rsidRPr="003107C9">
        <w:rPr>
          <w:lang w:val="fr-FR"/>
        </w:rPr>
        <w:t>$</w:t>
      </w:r>
      <w:r>
        <w:t>0</w:t>
      </w:r>
    </w:p>
    <w:p w14:paraId="32604A97" w14:textId="77777777" w:rsidR="00600B5F" w:rsidRPr="003107C9" w:rsidRDefault="00600B5F" w:rsidP="00600B5F">
      <w:pPr>
        <w:rPr>
          <w:lang w:val="fr-FR"/>
        </w:rPr>
      </w:pPr>
    </w:p>
    <w:p w14:paraId="15268D0E" w14:textId="76ED47D1" w:rsidR="00600B5F" w:rsidRPr="003107C9" w:rsidRDefault="003107C9" w:rsidP="004D39E8">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69B6C8B" w14:textId="77777777" w:rsidR="007328B8" w:rsidRDefault="007328B8" w:rsidP="007328B8">
      <w:pPr>
        <w:rPr>
          <w:lang w:val="fr-FR"/>
        </w:rPr>
      </w:pPr>
    </w:p>
    <w:p w14:paraId="379E5E78" w14:textId="77777777" w:rsidR="00B87CC0" w:rsidRDefault="00B87CC0" w:rsidP="007328B8">
      <w:pPr>
        <w:jc w:val="both"/>
        <w:rPr>
          <w:lang w:val="fr-FR"/>
        </w:rPr>
      </w:pPr>
    </w:p>
    <w:p w14:paraId="40EEEB88" w14:textId="77777777" w:rsidR="00B87CC0" w:rsidRDefault="00B87CC0" w:rsidP="007328B8">
      <w:pPr>
        <w:jc w:val="both"/>
        <w:rPr>
          <w:lang w:val="fr-FR"/>
        </w:rPr>
      </w:pPr>
    </w:p>
    <w:p w14:paraId="19732F63" w14:textId="77777777" w:rsidR="00B87CC0" w:rsidRDefault="00B87CC0" w:rsidP="007328B8">
      <w:pPr>
        <w:jc w:val="both"/>
        <w:rPr>
          <w:lang w:val="fr-FR"/>
        </w:rPr>
      </w:pPr>
    </w:p>
    <w:p w14:paraId="02FE0EEF" w14:textId="523C98BB" w:rsidR="00600B5F" w:rsidRPr="007328B8" w:rsidRDefault="007328B8" w:rsidP="007328B8">
      <w:pPr>
        <w:jc w:val="both"/>
        <w:rPr>
          <w:lang w:val="fr-FR"/>
        </w:rPr>
      </w:pPr>
      <w:r w:rsidRPr="00C24BD9">
        <w:rPr>
          <w:lang w:val="fr-FR"/>
        </w:rPr>
        <w:t>Les ajustements du projet liés au Covid-19 sont principalement</w:t>
      </w:r>
      <w:r>
        <w:rPr>
          <w:lang w:val="fr-FR"/>
        </w:rPr>
        <w:t xml:space="preserve"> </w:t>
      </w:r>
      <w:r w:rsidRPr="00C24BD9">
        <w:rPr>
          <w:lang w:val="fr-FR"/>
        </w:rPr>
        <w:t>la mobilisation des équipes du projet en faveur de la prévention de la propagation du virus à travers des activités d'information et de sensibilisation des populations locales</w:t>
      </w:r>
      <w:r w:rsidR="00AE0F51">
        <w:rPr>
          <w:lang w:val="fr-FR"/>
        </w:rPr>
        <w:t xml:space="preserve"> (</w:t>
      </w:r>
      <w:proofErr w:type="spellStart"/>
      <w:r w:rsidR="00AE0F51">
        <w:rPr>
          <w:lang w:val="fr-FR"/>
        </w:rPr>
        <w:t>Paoua</w:t>
      </w:r>
      <w:proofErr w:type="spellEnd"/>
      <w:r w:rsidR="00AE0F51">
        <w:rPr>
          <w:lang w:val="fr-FR"/>
        </w:rPr>
        <w:t>, Bozoum, Bossangoa</w:t>
      </w:r>
      <w:r w:rsidR="00B71F3B">
        <w:rPr>
          <w:lang w:val="fr-FR"/>
        </w:rPr>
        <w:t xml:space="preserve">, </w:t>
      </w:r>
      <w:proofErr w:type="spellStart"/>
      <w:r w:rsidR="00B71F3B">
        <w:rPr>
          <w:lang w:val="fr-FR"/>
        </w:rPr>
        <w:t>Bocaranga</w:t>
      </w:r>
      <w:proofErr w:type="spellEnd"/>
      <w:r w:rsidR="00B71F3B">
        <w:rPr>
          <w:lang w:val="fr-FR"/>
        </w:rPr>
        <w:t xml:space="preserve"> et </w:t>
      </w:r>
      <w:proofErr w:type="spellStart"/>
      <w:r w:rsidR="00B71F3B">
        <w:rPr>
          <w:lang w:val="fr-FR"/>
        </w:rPr>
        <w:t>Ngaoundaye</w:t>
      </w:r>
      <w:proofErr w:type="spellEnd"/>
      <w:r w:rsidR="00AE0F51">
        <w:rPr>
          <w:lang w:val="fr-FR"/>
        </w:rPr>
        <w:t>)</w:t>
      </w:r>
      <w:r w:rsidRPr="007328B8">
        <w:rPr>
          <w:lang w:val="fr-FR"/>
        </w:rPr>
        <w:t>.</w:t>
      </w:r>
      <w:r>
        <w:rPr>
          <w:lang w:val="fr-FR"/>
        </w:rPr>
        <w:t xml:space="preserve"> Ces </w:t>
      </w:r>
      <w:r w:rsidRPr="00C24BD9">
        <w:rPr>
          <w:lang w:val="fr-FR"/>
        </w:rPr>
        <w:t>activités</w:t>
      </w:r>
      <w:r>
        <w:rPr>
          <w:lang w:val="fr-FR"/>
        </w:rPr>
        <w:t>,</w:t>
      </w:r>
      <w:r w:rsidRPr="00C24BD9">
        <w:rPr>
          <w:lang w:val="fr-FR"/>
        </w:rPr>
        <w:t xml:space="preserve"> qui mettent ensemble différents acteurs issus des communautés, ont </w:t>
      </w:r>
      <w:r w:rsidR="0086541C">
        <w:rPr>
          <w:lang w:val="fr-FR"/>
        </w:rPr>
        <w:t>été faites</w:t>
      </w:r>
      <w:r w:rsidRPr="00C24BD9">
        <w:rPr>
          <w:lang w:val="fr-FR"/>
        </w:rPr>
        <w:t xml:space="preserve"> en nombre restreint, </w:t>
      </w:r>
      <w:r w:rsidR="0086541C">
        <w:rPr>
          <w:lang w:val="fr-FR"/>
        </w:rPr>
        <w:t xml:space="preserve">associées au respect des mesures barrières, </w:t>
      </w:r>
      <w:r w:rsidRPr="00C24BD9">
        <w:rPr>
          <w:lang w:val="fr-FR"/>
        </w:rPr>
        <w:t xml:space="preserve">pour évier la </w:t>
      </w:r>
      <w:r w:rsidRPr="00E05AC5">
        <w:rPr>
          <w:lang w:val="fr-FR"/>
        </w:rPr>
        <w:t>transmiss</w:t>
      </w:r>
      <w:r w:rsidRPr="00C24BD9">
        <w:rPr>
          <w:lang w:val="fr-FR"/>
        </w:rPr>
        <w:t>ion du virus de la COVID-19</w:t>
      </w:r>
      <w:r w:rsidR="00AE0F51">
        <w:rPr>
          <w:lang w:val="fr-FR"/>
        </w:rPr>
        <w:t xml:space="preserve">. </w:t>
      </w:r>
      <w:r w:rsidR="0086541C">
        <w:rPr>
          <w:lang w:val="fr-FR"/>
        </w:rPr>
        <w:t xml:space="preserve">Ce </w:t>
      </w:r>
      <w:r w:rsidR="00AE0F51">
        <w:rPr>
          <w:lang w:val="fr-FR"/>
        </w:rPr>
        <w:t xml:space="preserve">changement de </w:t>
      </w:r>
      <w:r w:rsidR="00C92D1F">
        <w:rPr>
          <w:lang w:val="fr-FR"/>
        </w:rPr>
        <w:t>méthodologie</w:t>
      </w:r>
      <w:r w:rsidR="00AE0F51">
        <w:rPr>
          <w:lang w:val="fr-FR"/>
        </w:rPr>
        <w:t xml:space="preserve"> </w:t>
      </w:r>
      <w:r w:rsidR="0086541C">
        <w:rPr>
          <w:lang w:val="fr-FR"/>
        </w:rPr>
        <w:t>a pour</w:t>
      </w:r>
      <w:r w:rsidR="00AE0F51">
        <w:rPr>
          <w:lang w:val="fr-FR"/>
        </w:rPr>
        <w:t xml:space="preserve"> </w:t>
      </w:r>
      <w:r w:rsidR="0086541C">
        <w:rPr>
          <w:lang w:val="fr-FR"/>
        </w:rPr>
        <w:t xml:space="preserve">impact un léger </w:t>
      </w:r>
      <w:r w:rsidR="00AE0F51">
        <w:rPr>
          <w:lang w:val="fr-FR"/>
        </w:rPr>
        <w:t>allongement de la durée d’exécution de</w:t>
      </w:r>
      <w:r w:rsidR="0086541C">
        <w:rPr>
          <w:lang w:val="fr-FR"/>
        </w:rPr>
        <w:t>s</w:t>
      </w:r>
      <w:r w:rsidR="00AE0F51">
        <w:rPr>
          <w:lang w:val="fr-FR"/>
        </w:rPr>
        <w:t xml:space="preserve"> activités</w:t>
      </w:r>
      <w:r w:rsidR="00E31A34">
        <w:rPr>
          <w:lang w:val="fr-FR"/>
        </w:rPr>
        <w:t>.</w:t>
      </w:r>
    </w:p>
    <w:p w14:paraId="678F86D1" w14:textId="77777777" w:rsidR="00600B5F" w:rsidRPr="007328B8" w:rsidRDefault="00600B5F" w:rsidP="00600B5F">
      <w:pPr>
        <w:rPr>
          <w:lang w:val="fr-FR"/>
        </w:rPr>
      </w:pPr>
    </w:p>
    <w:p w14:paraId="4B6F17C3" w14:textId="50CDD5CB" w:rsidR="00600B5F" w:rsidRDefault="002D6DA0" w:rsidP="004D39E8">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4BF79C84" w:rsidR="00600B5F" w:rsidRPr="00CB5499" w:rsidRDefault="004E507F" w:rsidP="00600B5F">
      <w:pPr>
        <w:rPr>
          <w:lang w:val="fr-FR"/>
        </w:rPr>
      </w:pPr>
      <w:sdt>
        <w:sdtPr>
          <w:rPr>
            <w:lang w:val="fr-FR"/>
          </w:rPr>
          <w:id w:val="402566072"/>
          <w14:checkbox>
            <w14:checked w14:val="1"/>
            <w14:checkedState w14:val="2612" w14:font="MS Gothic"/>
            <w14:uncheckedState w14:val="2610" w14:font="MS Gothic"/>
          </w14:checkbox>
        </w:sdtPr>
        <w:sdtEndPr/>
        <w:sdtContent>
          <w:r w:rsidR="007328B8">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4E507F"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30B015C5" w:rsidR="00600B5F" w:rsidRPr="009E329B" w:rsidRDefault="004E507F"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7328B8">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2C429F19" w:rsidR="00600B5F" w:rsidRPr="00782959" w:rsidRDefault="004E507F"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7328B8">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4E507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669A6" w:rsidRDefault="004E507F"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669A6">
            <w:rPr>
              <w:rFonts w:ascii="MS Gothic" w:eastAsia="MS Gothic" w:hAnsi="MS Gothic" w:hint="eastAsia"/>
              <w:lang w:val="fr-FR"/>
            </w:rPr>
            <w:t>☐</w:t>
          </w:r>
        </w:sdtContent>
      </w:sdt>
      <w:r w:rsidR="00600B5F" w:rsidRPr="008669A6">
        <w:rPr>
          <w:lang w:val="fr-FR"/>
        </w:rPr>
        <w:t xml:space="preserve"> </w:t>
      </w:r>
      <w:r w:rsidR="00970D92" w:rsidRPr="008669A6">
        <w:rPr>
          <w:lang w:val="fr-FR"/>
        </w:rPr>
        <w:t>Autres</w:t>
      </w:r>
      <w:r w:rsidR="00600B5F" w:rsidRPr="008669A6">
        <w:rPr>
          <w:lang w:val="fr-FR"/>
        </w:rPr>
        <w:t xml:space="preserve"> (</w:t>
      </w:r>
      <w:r w:rsidR="00970D92" w:rsidRPr="008669A6">
        <w:rPr>
          <w:lang w:val="fr-FR"/>
        </w:rPr>
        <w:t xml:space="preserve">veuillez </w:t>
      </w:r>
      <w:r w:rsidR="00B82E71" w:rsidRPr="008669A6">
        <w:rPr>
          <w:lang w:val="fr-FR"/>
        </w:rPr>
        <w:t>préciser</w:t>
      </w:r>
      <w:r w:rsidR="00600B5F" w:rsidRPr="008669A6">
        <w:rPr>
          <w:lang w:val="fr-FR"/>
        </w:rPr>
        <w:t xml:space="preserve">): </w:t>
      </w:r>
      <w:r w:rsidR="00600B5F">
        <w:fldChar w:fldCharType="begin">
          <w:ffData>
            <w:name w:val=""/>
            <w:enabled/>
            <w:calcOnExit w:val="0"/>
            <w:textInput>
              <w:maxLength w:val="1500"/>
              <w:format w:val="FIRST CAPITAL"/>
            </w:textInput>
          </w:ffData>
        </w:fldChar>
      </w:r>
      <w:r w:rsidR="00600B5F" w:rsidRPr="008669A6">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669A6" w:rsidRDefault="00600B5F" w:rsidP="00600B5F">
      <w:pPr>
        <w:ind w:left="2160"/>
        <w:rPr>
          <w:lang w:val="fr-FR"/>
        </w:rPr>
      </w:pPr>
    </w:p>
    <w:p w14:paraId="46997774" w14:textId="7BBA6F8E" w:rsidR="00600B5F" w:rsidRPr="00D61557" w:rsidRDefault="00FD0105" w:rsidP="007328B8">
      <w:pPr>
        <w:jc w:val="both"/>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252"/>
        <w:gridCol w:w="3958"/>
      </w:tblGrid>
      <w:tr w:rsidR="00826923" w:rsidRPr="00D168A2" w14:paraId="55AC7DE0" w14:textId="77777777" w:rsidTr="008B478D">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bookmarkStart w:id="20" w:name="_GoBack"/>
            <w:r>
              <w:rPr>
                <w:rFonts w:cs="Tahoma"/>
                <w:b/>
                <w:szCs w:val="20"/>
                <w:lang w:val="fr-FR" w:eastAsia="en-US"/>
              </w:rPr>
              <w:t xml:space="preserve">Etapes d’indicateur/ </w:t>
            </w:r>
            <w:proofErr w:type="spellStart"/>
            <w:r>
              <w:rPr>
                <w:rFonts w:cs="Tahoma"/>
                <w:b/>
                <w:szCs w:val="20"/>
                <w:lang w:val="fr-FR" w:eastAsia="en-US"/>
              </w:rPr>
              <w:t>milestone</w:t>
            </w:r>
            <w:bookmarkEnd w:id="20"/>
            <w:proofErr w:type="spellEnd"/>
          </w:p>
        </w:tc>
        <w:tc>
          <w:tcPr>
            <w:tcW w:w="2252"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3958"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D168A2" w14:paraId="66F874FD" w14:textId="77777777" w:rsidTr="008B478D">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53CE812A" w:rsidR="00826923" w:rsidRPr="005A6420" w:rsidRDefault="007328B8" w:rsidP="00826923">
            <w:pPr>
              <w:rPr>
                <w:rFonts w:cs="Tahoma"/>
                <w:b/>
                <w:szCs w:val="20"/>
                <w:lang w:val="fr-FR" w:eastAsia="en-US"/>
              </w:rPr>
            </w:pPr>
            <w:r w:rsidRPr="003D3398">
              <w:rPr>
                <w:lang w:val="fr-FR" w:eastAsia="en-US"/>
              </w:rPr>
              <w:t>La cartographie, la gestion de l’information sur la transhumance et l’analyse sont accrues et renforcées et permettent d’améliorer l’identification des points chauds, notamment des violences</w:t>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0113EDB1" w:rsidR="00826923" w:rsidRPr="005A6420" w:rsidRDefault="007328B8" w:rsidP="00826923">
            <w:pPr>
              <w:jc w:val="both"/>
              <w:rPr>
                <w:rFonts w:cs="Tahoma"/>
                <w:szCs w:val="20"/>
                <w:lang w:val="fr-FR" w:eastAsia="en-US"/>
              </w:rPr>
            </w:pPr>
            <w:r w:rsidRPr="003D3398">
              <w:rPr>
                <w:lang w:val="fr-FR" w:eastAsia="en-US"/>
              </w:rPr>
              <w:t>Taux d’incidents de transhumance et de VBG enregistrés et résolus.</w:t>
            </w:r>
          </w:p>
        </w:tc>
        <w:tc>
          <w:tcPr>
            <w:tcW w:w="1530" w:type="dxa"/>
            <w:shd w:val="clear" w:color="auto" w:fill="EEECE1"/>
          </w:tcPr>
          <w:p w14:paraId="0C7D90E3" w14:textId="72F57AF5" w:rsidR="007328B8" w:rsidRPr="003D3398" w:rsidRDefault="007328B8" w:rsidP="007328B8">
            <w:pPr>
              <w:rPr>
                <w:lang w:val="fr-FR" w:eastAsia="en-US"/>
              </w:rPr>
            </w:pPr>
            <w:r w:rsidRPr="003D3398">
              <w:rPr>
                <w:lang w:val="fr-FR" w:eastAsia="en-US"/>
              </w:rPr>
              <w:t>- incidents : 125 (</w:t>
            </w:r>
            <w:proofErr w:type="spellStart"/>
            <w:r w:rsidRPr="003D3398">
              <w:rPr>
                <w:lang w:val="fr-FR" w:eastAsia="en-US"/>
              </w:rPr>
              <w:t>Janv.-Mai</w:t>
            </w:r>
            <w:proofErr w:type="spellEnd"/>
            <w:r w:rsidRPr="003D3398">
              <w:rPr>
                <w:lang w:val="fr-FR" w:eastAsia="en-US"/>
              </w:rPr>
              <w:t xml:space="preserve"> 2020)</w:t>
            </w:r>
            <w:r w:rsidR="008F1C25">
              <w:rPr>
                <w:lang w:val="fr-FR" w:eastAsia="en-US"/>
              </w:rPr>
              <w:t>, soit 25 cas/mois</w:t>
            </w:r>
          </w:p>
          <w:p w14:paraId="18B7E136" w14:textId="190D0B3C" w:rsidR="00826923" w:rsidRPr="00091EDD" w:rsidRDefault="007328B8" w:rsidP="00091EDD">
            <w:pPr>
              <w:rPr>
                <w:lang w:val="fr-FR" w:eastAsia="en-US"/>
              </w:rPr>
            </w:pPr>
            <w:r w:rsidRPr="003D3398">
              <w:rPr>
                <w:lang w:val="fr-FR" w:eastAsia="en-US"/>
              </w:rPr>
              <w:t xml:space="preserve">-VBG : </w:t>
            </w:r>
            <w:r w:rsidR="00091EDD" w:rsidRPr="00091EDD">
              <w:rPr>
                <w:lang w:val="fr-FR" w:eastAsia="en-US"/>
              </w:rPr>
              <w:t>9216</w:t>
            </w:r>
            <w:r w:rsidR="00091EDD" w:rsidRPr="003D3398">
              <w:rPr>
                <w:lang w:val="fr-FR" w:eastAsia="en-US"/>
              </w:rPr>
              <w:t xml:space="preserve"> </w:t>
            </w:r>
            <w:r w:rsidR="00091EDD">
              <w:rPr>
                <w:lang w:val="fr-FR" w:eastAsia="en-US"/>
              </w:rPr>
              <w:t>(Janv.-Déc. 2020</w:t>
            </w:r>
          </w:p>
        </w:tc>
        <w:tc>
          <w:tcPr>
            <w:tcW w:w="1620" w:type="dxa"/>
            <w:shd w:val="clear" w:color="auto" w:fill="EEECE1"/>
          </w:tcPr>
          <w:p w14:paraId="61479E92" w14:textId="56463103" w:rsidR="00826923" w:rsidRPr="005A6420" w:rsidRDefault="007328B8" w:rsidP="00826923">
            <w:pPr>
              <w:rPr>
                <w:lang w:val="fr-FR"/>
              </w:rPr>
            </w:pPr>
            <w:r>
              <w:rPr>
                <w:b/>
                <w:sz w:val="22"/>
                <w:szCs w:val="22"/>
                <w:lang w:val="fr-FR" w:eastAsia="en-US"/>
              </w:rPr>
              <w:t>50%</w:t>
            </w:r>
          </w:p>
        </w:tc>
        <w:tc>
          <w:tcPr>
            <w:tcW w:w="2070" w:type="dxa"/>
          </w:tcPr>
          <w:p w14:paraId="6E8290A5" w14:textId="31066820" w:rsidR="00826923" w:rsidRDefault="00826923" w:rsidP="00826923">
            <w:pPr>
              <w:rPr>
                <w:lang w:val="fr-FR"/>
              </w:rPr>
            </w:pPr>
          </w:p>
          <w:p w14:paraId="5DD56179" w14:textId="5A37E561" w:rsidR="008B478D" w:rsidRPr="008B478D" w:rsidRDefault="008B478D" w:rsidP="00826923">
            <w:pPr>
              <w:rPr>
                <w:b/>
                <w:lang w:val="fr-FR"/>
              </w:rPr>
            </w:pPr>
            <w:r w:rsidRPr="008B478D">
              <w:rPr>
                <w:b/>
                <w:lang w:val="fr-FR"/>
              </w:rPr>
              <w:t>25%</w:t>
            </w:r>
          </w:p>
          <w:p w14:paraId="139B2B99" w14:textId="64F6E380" w:rsidR="008B478D" w:rsidRPr="005A6420" w:rsidRDefault="008B478D" w:rsidP="00826923">
            <w:pPr>
              <w:rPr>
                <w:lang w:val="fr-FR"/>
              </w:rPr>
            </w:pPr>
          </w:p>
        </w:tc>
        <w:tc>
          <w:tcPr>
            <w:tcW w:w="2252" w:type="dxa"/>
          </w:tcPr>
          <w:p w14:paraId="358E5315" w14:textId="79DC9188" w:rsidR="003651D7" w:rsidRPr="009A1B8C" w:rsidRDefault="003651D7" w:rsidP="003651D7">
            <w:pPr>
              <w:rPr>
                <w:lang w:val="fr-FR" w:eastAsia="en-US"/>
              </w:rPr>
            </w:pPr>
            <w:r w:rsidRPr="009A1B8C">
              <w:rPr>
                <w:lang w:val="fr-FR" w:eastAsia="en-US"/>
              </w:rPr>
              <w:t xml:space="preserve">- Incidents : </w:t>
            </w:r>
            <w:r w:rsidR="008F1C25" w:rsidRPr="009A1B8C">
              <w:rPr>
                <w:b/>
                <w:lang w:val="fr-FR" w:eastAsia="en-US"/>
              </w:rPr>
              <w:t>183</w:t>
            </w:r>
            <w:r w:rsidR="008F1C25" w:rsidRPr="009A1B8C">
              <w:rPr>
                <w:lang w:val="fr-FR" w:eastAsia="en-US"/>
              </w:rPr>
              <w:t xml:space="preserve"> (</w:t>
            </w:r>
            <w:r w:rsidR="008F1C25" w:rsidRPr="009A1B8C">
              <w:rPr>
                <w:bCs/>
                <w:color w:val="002060"/>
                <w:sz w:val="23"/>
                <w:szCs w:val="23"/>
                <w:lang w:val="fr-FR"/>
              </w:rPr>
              <w:t>juin 2020 - juin 2021</w:t>
            </w:r>
            <w:r w:rsidR="008F1C25" w:rsidRPr="009A1B8C">
              <w:rPr>
                <w:b/>
                <w:bCs/>
                <w:color w:val="002060"/>
                <w:sz w:val="23"/>
                <w:szCs w:val="23"/>
                <w:lang w:val="fr-FR"/>
              </w:rPr>
              <w:t xml:space="preserve">), </w:t>
            </w:r>
            <w:r w:rsidR="008F1C25" w:rsidRPr="009A1B8C">
              <w:rPr>
                <w:bCs/>
                <w:color w:val="002060"/>
                <w:sz w:val="23"/>
                <w:szCs w:val="23"/>
                <w:lang w:val="fr-FR"/>
              </w:rPr>
              <w:t>soit 15.25 cas/mois</w:t>
            </w:r>
            <w:r w:rsidR="008F1C25" w:rsidRPr="009A1B8C">
              <w:rPr>
                <w:color w:val="002060"/>
                <w:sz w:val="23"/>
                <w:szCs w:val="23"/>
                <w:lang w:val="fr-FR"/>
              </w:rPr>
              <w:t xml:space="preserve"> (</w:t>
            </w:r>
            <w:r w:rsidR="008F1C25" w:rsidRPr="009A1B8C">
              <w:rPr>
                <w:b/>
                <w:color w:val="002060"/>
                <w:sz w:val="23"/>
                <w:szCs w:val="23"/>
                <w:lang w:val="fr-FR"/>
              </w:rPr>
              <w:t>Baisse de 39%</w:t>
            </w:r>
            <w:r w:rsidR="008F1C25" w:rsidRPr="009A1B8C">
              <w:rPr>
                <w:color w:val="002060"/>
                <w:sz w:val="23"/>
                <w:szCs w:val="23"/>
                <w:lang w:val="fr-FR"/>
              </w:rPr>
              <w:t>)</w:t>
            </w:r>
          </w:p>
          <w:p w14:paraId="4902F46E" w14:textId="77777777" w:rsidR="003651D7" w:rsidRDefault="003651D7" w:rsidP="00D85AA1">
            <w:pPr>
              <w:rPr>
                <w:lang w:val="fr-FR" w:eastAsia="en-US"/>
              </w:rPr>
            </w:pPr>
          </w:p>
          <w:p w14:paraId="1CB17005" w14:textId="09BD4C4E" w:rsidR="00D85AA1" w:rsidRPr="00D85AA1" w:rsidRDefault="003651D7" w:rsidP="00D85AA1">
            <w:pPr>
              <w:rPr>
                <w:lang w:val="fr-FR" w:eastAsia="en-US"/>
              </w:rPr>
            </w:pPr>
            <w:r>
              <w:rPr>
                <w:lang w:val="fr-FR" w:eastAsia="en-US"/>
              </w:rPr>
              <w:t xml:space="preserve">- </w:t>
            </w:r>
            <w:r w:rsidRPr="00D85AA1">
              <w:rPr>
                <w:lang w:val="fr-FR" w:eastAsia="en-US"/>
              </w:rPr>
              <w:t xml:space="preserve">VBG </w:t>
            </w:r>
            <w:r>
              <w:rPr>
                <w:lang w:val="fr-FR" w:eastAsia="en-US"/>
              </w:rPr>
              <w:t>(</w:t>
            </w:r>
            <w:r w:rsidR="00D85AA1" w:rsidRPr="00D85AA1">
              <w:rPr>
                <w:lang w:val="fr-FR" w:eastAsia="en-US"/>
              </w:rPr>
              <w:t>J</w:t>
            </w:r>
            <w:r w:rsidR="00E42303">
              <w:rPr>
                <w:lang w:val="fr-FR" w:eastAsia="en-US"/>
              </w:rPr>
              <w:t>anvier-</w:t>
            </w:r>
            <w:r w:rsidR="00091EDD">
              <w:rPr>
                <w:lang w:val="fr-FR" w:eastAsia="en-US"/>
              </w:rPr>
              <w:t>Juin</w:t>
            </w:r>
            <w:r w:rsidR="00D85AA1" w:rsidRPr="00D85AA1">
              <w:rPr>
                <w:lang w:val="fr-FR" w:eastAsia="en-US"/>
              </w:rPr>
              <w:t xml:space="preserve"> 202</w:t>
            </w:r>
            <w:r w:rsidR="00091EDD">
              <w:rPr>
                <w:lang w:val="fr-FR" w:eastAsia="en-US"/>
              </w:rPr>
              <w:t>1</w:t>
            </w:r>
            <w:r>
              <w:rPr>
                <w:lang w:val="fr-FR" w:eastAsia="en-US"/>
              </w:rPr>
              <w:t xml:space="preserve">) : </w:t>
            </w:r>
            <w:r w:rsidR="00091EDD" w:rsidRPr="00091EDD">
              <w:rPr>
                <w:b/>
                <w:lang w:val="fr-FR" w:eastAsia="en-US"/>
              </w:rPr>
              <w:t>3706</w:t>
            </w:r>
            <w:r w:rsidRPr="00D85AA1">
              <w:rPr>
                <w:lang w:val="fr-FR" w:eastAsia="en-US"/>
              </w:rPr>
              <w:t xml:space="preserve"> cas</w:t>
            </w:r>
            <w:r>
              <w:rPr>
                <w:lang w:val="fr-FR" w:eastAsia="en-US"/>
              </w:rPr>
              <w:t xml:space="preserve"> (</w:t>
            </w:r>
            <w:r w:rsidR="008F4E1C">
              <w:rPr>
                <w:b/>
                <w:lang w:val="fr-FR" w:eastAsia="en-US"/>
              </w:rPr>
              <w:t>Baisse de 59</w:t>
            </w:r>
            <w:r w:rsidR="00E42303">
              <w:rPr>
                <w:b/>
                <w:lang w:val="fr-FR" w:eastAsia="en-US"/>
              </w:rPr>
              <w:t>.</w:t>
            </w:r>
            <w:r w:rsidR="008F4E1C">
              <w:rPr>
                <w:b/>
                <w:lang w:val="fr-FR" w:eastAsia="en-US"/>
              </w:rPr>
              <w:t>79</w:t>
            </w:r>
            <w:r w:rsidR="00E42303">
              <w:rPr>
                <w:b/>
                <w:lang w:val="fr-FR" w:eastAsia="en-US"/>
              </w:rPr>
              <w:t>%)</w:t>
            </w:r>
          </w:p>
          <w:p w14:paraId="42E436EB" w14:textId="6B14EC12" w:rsidR="00826923" w:rsidRPr="005A6420" w:rsidRDefault="00826923" w:rsidP="00826923">
            <w:pPr>
              <w:rPr>
                <w:lang w:val="fr-FR"/>
              </w:rPr>
            </w:pPr>
          </w:p>
        </w:tc>
        <w:tc>
          <w:tcPr>
            <w:tcW w:w="3958" w:type="dxa"/>
          </w:tcPr>
          <w:p w14:paraId="481BA0E6" w14:textId="0CD173AD" w:rsidR="00826923" w:rsidRPr="005A6420" w:rsidRDefault="00A21F91" w:rsidP="00826923">
            <w:pPr>
              <w:rPr>
                <w:lang w:val="fr-FR"/>
              </w:rPr>
            </w:pPr>
            <w:r w:rsidRPr="00096042">
              <w:rPr>
                <w:lang w:val="fr-FR" w:eastAsia="en-US"/>
              </w:rPr>
              <w:t xml:space="preserve">Retard dû </w:t>
            </w:r>
            <w:r w:rsidRPr="00096042">
              <w:rPr>
                <w:lang w:val="fr-FR"/>
              </w:rPr>
              <w:t>à</w:t>
            </w:r>
            <w:r w:rsidRPr="00FC70D5">
              <w:rPr>
                <w:lang w:val="fr-FR"/>
              </w:rPr>
              <w:t xml:space="preserve"> un démarrage tardif à cause de</w:t>
            </w:r>
            <w:r w:rsidRPr="00096042">
              <w:rPr>
                <w:lang w:val="fr-FR"/>
              </w:rPr>
              <w:t xml:space="preserve"> la crise sécuritaire pré et post-électorale de décembre 2020 et </w:t>
            </w:r>
            <w:r w:rsidRPr="00FC70D5">
              <w:rPr>
                <w:lang w:val="fr-FR"/>
              </w:rPr>
              <w:t>de</w:t>
            </w:r>
            <w:r w:rsidRPr="00096042">
              <w:rPr>
                <w:lang w:val="fr-FR" w:eastAsia="en-US"/>
              </w:rPr>
              <w:t xml:space="preserve"> la crise du Covid-19 </w:t>
            </w:r>
            <w:r w:rsidRPr="00096042">
              <w:rPr>
                <w:lang w:val="fr-FR"/>
              </w:rPr>
              <w:t>avec</w:t>
            </w:r>
            <w:r w:rsidRPr="00096042">
              <w:rPr>
                <w:lang w:val="fr-FR" w:eastAsia="en-US"/>
              </w:rPr>
              <w:t xml:space="preserve"> restriction des déplacements dans l</w:t>
            </w:r>
            <w:r w:rsidRPr="00096042">
              <w:rPr>
                <w:lang w:val="fr-FR"/>
              </w:rPr>
              <w:t>es zones du projet</w:t>
            </w:r>
          </w:p>
        </w:tc>
      </w:tr>
      <w:tr w:rsidR="00826923" w:rsidRPr="004A1E1E" w14:paraId="08556BB5" w14:textId="77777777" w:rsidTr="008B478D">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1D13FC36" w:rsidR="00826923" w:rsidRPr="005A6420" w:rsidRDefault="007328B8" w:rsidP="00826923">
            <w:pPr>
              <w:jc w:val="both"/>
              <w:rPr>
                <w:rFonts w:cs="Tahoma"/>
                <w:szCs w:val="20"/>
                <w:lang w:val="fr-FR" w:eastAsia="en-US"/>
              </w:rPr>
            </w:pPr>
            <w:r w:rsidRPr="00F02916">
              <w:rPr>
                <w:lang w:val="fr-FR" w:eastAsia="en-US"/>
              </w:rPr>
              <w:t>Taux de prévalence des incidents et des VBG liés à la transhumance dans les zones d’intervention ciblées</w:t>
            </w:r>
          </w:p>
        </w:tc>
        <w:tc>
          <w:tcPr>
            <w:tcW w:w="1530" w:type="dxa"/>
            <w:shd w:val="clear" w:color="auto" w:fill="EEECE1"/>
          </w:tcPr>
          <w:p w14:paraId="3C10E6DE" w14:textId="79B68435" w:rsidR="00826923" w:rsidRPr="005A6420" w:rsidRDefault="007328B8" w:rsidP="00826923">
            <w:pPr>
              <w:rPr>
                <w:lang w:val="fr-FR"/>
              </w:rPr>
            </w:pPr>
            <w:r w:rsidRPr="00F02916">
              <w:rPr>
                <w:lang w:val="fr-FR" w:eastAsia="en-US"/>
              </w:rPr>
              <w:t>3,548 cas en 2019</w:t>
            </w:r>
          </w:p>
        </w:tc>
        <w:tc>
          <w:tcPr>
            <w:tcW w:w="1620" w:type="dxa"/>
            <w:shd w:val="clear" w:color="auto" w:fill="EEECE1"/>
          </w:tcPr>
          <w:p w14:paraId="6F75A704" w14:textId="39902E1E" w:rsidR="00826923" w:rsidRPr="005A6420" w:rsidRDefault="007328B8" w:rsidP="00826923">
            <w:pPr>
              <w:rPr>
                <w:lang w:val="fr-FR"/>
              </w:rPr>
            </w:pPr>
            <w:r>
              <w:t>R</w:t>
            </w:r>
            <w:r w:rsidRPr="00F02916">
              <w:rPr>
                <w:lang w:val="fr-FR" w:eastAsia="en-US"/>
              </w:rPr>
              <w:t>éduction de ≥30%</w:t>
            </w:r>
          </w:p>
        </w:tc>
        <w:tc>
          <w:tcPr>
            <w:tcW w:w="2070" w:type="dxa"/>
          </w:tcPr>
          <w:p w14:paraId="5AB8EB4E" w14:textId="77777777" w:rsidR="00826923" w:rsidRDefault="00826923" w:rsidP="008B478D">
            <w:pPr>
              <w:jc w:val="both"/>
              <w:rPr>
                <w:lang w:val="fr-FR"/>
              </w:rPr>
            </w:pPr>
          </w:p>
          <w:p w14:paraId="0F953287" w14:textId="2053DA92" w:rsidR="008B478D" w:rsidRPr="008B478D" w:rsidRDefault="008B478D" w:rsidP="008B478D">
            <w:pPr>
              <w:jc w:val="both"/>
              <w:rPr>
                <w:b/>
                <w:lang w:val="fr-FR"/>
              </w:rPr>
            </w:pPr>
            <w:r w:rsidRPr="008B478D">
              <w:rPr>
                <w:b/>
                <w:lang w:val="fr-FR"/>
              </w:rPr>
              <w:t>10%</w:t>
            </w:r>
          </w:p>
        </w:tc>
        <w:tc>
          <w:tcPr>
            <w:tcW w:w="2252" w:type="dxa"/>
          </w:tcPr>
          <w:p w14:paraId="5C53DEBC" w14:textId="432682FC" w:rsidR="009B50BB" w:rsidRDefault="009B50BB" w:rsidP="009B50BB">
            <w:pPr>
              <w:rPr>
                <w:lang w:val="fr-FR" w:eastAsia="en-US"/>
              </w:rPr>
            </w:pPr>
            <w:r>
              <w:rPr>
                <w:lang w:val="fr-FR" w:eastAsia="en-US"/>
              </w:rPr>
              <w:t>Janvier-Mai 2021</w:t>
            </w:r>
          </w:p>
          <w:p w14:paraId="518309ED" w14:textId="70CC10B9" w:rsidR="009B50BB" w:rsidRDefault="009B50BB" w:rsidP="009B50BB">
            <w:pPr>
              <w:rPr>
                <w:lang w:val="fr-FR" w:eastAsia="en-US"/>
              </w:rPr>
            </w:pPr>
            <w:r w:rsidRPr="009B50BB">
              <w:rPr>
                <w:b/>
                <w:lang w:val="fr-FR" w:eastAsia="en-US"/>
              </w:rPr>
              <w:t>Total</w:t>
            </w:r>
            <w:r>
              <w:rPr>
                <w:lang w:val="fr-FR" w:eastAsia="en-US"/>
              </w:rPr>
              <w:t> </w:t>
            </w:r>
            <w:r w:rsidR="00592512">
              <w:rPr>
                <w:lang w:val="fr-FR" w:eastAsia="en-US"/>
              </w:rPr>
              <w:t>RCA</w:t>
            </w:r>
            <w:r>
              <w:rPr>
                <w:lang w:val="fr-FR" w:eastAsia="en-US"/>
              </w:rPr>
              <w:t>: 3899 cas</w:t>
            </w:r>
          </w:p>
          <w:p w14:paraId="1894B0B6" w14:textId="53FB4A6A" w:rsidR="009B50BB" w:rsidRDefault="009B50BB" w:rsidP="009B50BB">
            <w:pPr>
              <w:rPr>
                <w:lang w:val="fr-FR" w:eastAsia="en-US"/>
              </w:rPr>
            </w:pPr>
            <w:r>
              <w:rPr>
                <w:lang w:val="fr-FR" w:eastAsia="en-US"/>
              </w:rPr>
              <w:t xml:space="preserve">Ouham : </w:t>
            </w:r>
            <w:r w:rsidRPr="009B50BB">
              <w:rPr>
                <w:lang w:val="fr-FR" w:eastAsia="en-US"/>
              </w:rPr>
              <w:t>286</w:t>
            </w:r>
            <w:r>
              <w:rPr>
                <w:lang w:val="fr-FR" w:eastAsia="en-US"/>
              </w:rPr>
              <w:t xml:space="preserve"> cas (</w:t>
            </w:r>
            <w:r w:rsidRPr="009B50BB">
              <w:rPr>
                <w:b/>
                <w:lang w:val="fr-FR" w:eastAsia="en-US"/>
              </w:rPr>
              <w:t>7,34%)</w:t>
            </w:r>
          </w:p>
          <w:p w14:paraId="1B4BE480" w14:textId="08624C7B" w:rsidR="009B50BB" w:rsidRDefault="009B50BB" w:rsidP="009B50BB">
            <w:pPr>
              <w:rPr>
                <w:lang w:val="fr-FR" w:eastAsia="en-US"/>
              </w:rPr>
            </w:pPr>
            <w:r w:rsidRPr="009B50BB">
              <w:rPr>
                <w:lang w:val="fr-FR" w:eastAsia="en-US"/>
              </w:rPr>
              <w:t>Ouham-Pendé</w:t>
            </w:r>
            <w:r>
              <w:rPr>
                <w:lang w:val="fr-FR" w:eastAsia="en-US"/>
              </w:rPr>
              <w:t xml:space="preserve"> : </w:t>
            </w:r>
            <w:r w:rsidRPr="009B50BB">
              <w:rPr>
                <w:lang w:val="fr-FR" w:eastAsia="en-US"/>
              </w:rPr>
              <w:t>692</w:t>
            </w:r>
            <w:r>
              <w:rPr>
                <w:lang w:val="fr-FR" w:eastAsia="en-US"/>
              </w:rPr>
              <w:t xml:space="preserve"> cas (</w:t>
            </w:r>
            <w:r w:rsidRPr="009B50BB">
              <w:rPr>
                <w:b/>
                <w:lang w:val="fr-FR" w:eastAsia="en-US"/>
              </w:rPr>
              <w:t>17,75%</w:t>
            </w:r>
            <w:r w:rsidRPr="009B50BB">
              <w:rPr>
                <w:lang w:val="fr-FR" w:eastAsia="en-US"/>
              </w:rPr>
              <w:t>)</w:t>
            </w:r>
          </w:p>
          <w:p w14:paraId="69C01213" w14:textId="2E505EDC" w:rsidR="00826923" w:rsidRPr="005A6420" w:rsidRDefault="00826923" w:rsidP="00826923">
            <w:pPr>
              <w:rPr>
                <w:lang w:val="fr-FR"/>
              </w:rPr>
            </w:pPr>
          </w:p>
        </w:tc>
        <w:tc>
          <w:tcPr>
            <w:tcW w:w="3958"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D168A2" w14:paraId="6A860399" w14:textId="77777777" w:rsidTr="008B478D">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48CCD65E" w:rsidR="00826923" w:rsidRPr="005A6420" w:rsidRDefault="007328B8" w:rsidP="00826923">
            <w:pPr>
              <w:jc w:val="both"/>
              <w:rPr>
                <w:rFonts w:cs="Tahoma"/>
                <w:szCs w:val="20"/>
                <w:lang w:val="fr-FR" w:eastAsia="en-US"/>
              </w:rPr>
            </w:pPr>
            <w:r w:rsidRPr="00F02916">
              <w:rPr>
                <w:lang w:val="fr-FR" w:eastAsia="en-US"/>
              </w:rPr>
              <w:t>% des comités de dialogue qui déclare mieux connaitre les problématiques de conflits spécifique à leurs zones d’action.</w:t>
            </w:r>
          </w:p>
        </w:tc>
        <w:tc>
          <w:tcPr>
            <w:tcW w:w="1530" w:type="dxa"/>
            <w:shd w:val="clear" w:color="auto" w:fill="EEECE1"/>
          </w:tcPr>
          <w:p w14:paraId="73A1EFF3" w14:textId="4B6DFCCD" w:rsidR="00826923" w:rsidRPr="005A6420" w:rsidRDefault="007328B8" w:rsidP="00826923">
            <w:pPr>
              <w:rPr>
                <w:lang w:val="fr-FR"/>
              </w:rPr>
            </w:pPr>
            <w:r w:rsidRPr="00F02916">
              <w:rPr>
                <w:lang w:val="fr-FR" w:eastAsia="en-US"/>
              </w:rPr>
              <w:t>Etude de base</w:t>
            </w:r>
          </w:p>
        </w:tc>
        <w:tc>
          <w:tcPr>
            <w:tcW w:w="1620" w:type="dxa"/>
            <w:shd w:val="clear" w:color="auto" w:fill="EEECE1"/>
          </w:tcPr>
          <w:p w14:paraId="267F2402" w14:textId="16CF86B5" w:rsidR="00826923" w:rsidRPr="005A6420" w:rsidRDefault="007328B8" w:rsidP="00826923">
            <w:pPr>
              <w:rPr>
                <w:lang w:val="fr-FR"/>
              </w:rPr>
            </w:pPr>
            <w:r>
              <w:rPr>
                <w:b/>
                <w:sz w:val="22"/>
                <w:szCs w:val="22"/>
                <w:lang w:val="fr-FR" w:eastAsia="en-US"/>
              </w:rPr>
              <w:t>75%</w:t>
            </w:r>
          </w:p>
        </w:tc>
        <w:tc>
          <w:tcPr>
            <w:tcW w:w="2070" w:type="dxa"/>
          </w:tcPr>
          <w:p w14:paraId="04B3CB17" w14:textId="720FE809" w:rsidR="008B478D" w:rsidRDefault="008B478D" w:rsidP="00DC6210">
            <w:pPr>
              <w:rPr>
                <w:b/>
                <w:sz w:val="22"/>
                <w:szCs w:val="22"/>
                <w:lang w:val="fr-FR" w:eastAsia="en-US"/>
              </w:rPr>
            </w:pPr>
            <w:r>
              <w:rPr>
                <w:b/>
                <w:sz w:val="22"/>
                <w:szCs w:val="22"/>
                <w:lang w:val="fr-FR" w:eastAsia="en-US"/>
              </w:rPr>
              <w:t>25%</w:t>
            </w:r>
          </w:p>
          <w:p w14:paraId="6C7B7D22" w14:textId="77777777" w:rsidR="008B478D" w:rsidRDefault="008B478D" w:rsidP="00DC6210">
            <w:pPr>
              <w:rPr>
                <w:b/>
                <w:sz w:val="22"/>
                <w:szCs w:val="22"/>
                <w:lang w:val="fr-FR" w:eastAsia="en-US"/>
              </w:rPr>
            </w:pPr>
          </w:p>
          <w:p w14:paraId="3E1A4429" w14:textId="675CB138" w:rsidR="008B478D" w:rsidRDefault="008B478D" w:rsidP="00DC6210">
            <w:pPr>
              <w:rPr>
                <w:sz w:val="22"/>
                <w:szCs w:val="22"/>
                <w:lang w:val="fr-FR" w:eastAsia="en-US"/>
              </w:rPr>
            </w:pPr>
          </w:p>
          <w:p w14:paraId="76951566" w14:textId="628C5EB5" w:rsidR="008B478D" w:rsidRPr="005A6420" w:rsidRDefault="008B478D" w:rsidP="00DC6210">
            <w:pPr>
              <w:rPr>
                <w:lang w:val="fr-FR"/>
              </w:rPr>
            </w:pPr>
          </w:p>
        </w:tc>
        <w:tc>
          <w:tcPr>
            <w:tcW w:w="2252" w:type="dxa"/>
          </w:tcPr>
          <w:p w14:paraId="5062DE7E" w14:textId="01847CB9"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3958" w:type="dxa"/>
          </w:tcPr>
          <w:p w14:paraId="7BFE6C19" w14:textId="59E6A088" w:rsidR="00826923" w:rsidRPr="005A6420" w:rsidRDefault="00BC47C6" w:rsidP="00283969">
            <w:pPr>
              <w:rPr>
                <w:lang w:val="fr-FR"/>
              </w:rPr>
            </w:pPr>
            <w:r>
              <w:rPr>
                <w:lang w:val="fr-FR"/>
              </w:rPr>
              <w:t>L</w:t>
            </w:r>
            <w:r w:rsidR="00283969">
              <w:rPr>
                <w:lang w:val="fr-FR"/>
              </w:rPr>
              <w:t>a situation sécuritaire créé</w:t>
            </w:r>
            <w:r>
              <w:rPr>
                <w:lang w:val="fr-FR"/>
              </w:rPr>
              <w:t>e</w:t>
            </w:r>
            <w:r w:rsidR="00283969">
              <w:rPr>
                <w:lang w:val="fr-FR"/>
              </w:rPr>
              <w:t xml:space="preserve"> par les affrontements entre groupes armés et FACA/Russes dans les zones du projet  compliquent les interventions sur le terrain.</w:t>
            </w:r>
          </w:p>
        </w:tc>
      </w:tr>
      <w:tr w:rsidR="00826923" w:rsidRPr="00D168A2" w14:paraId="5804B447" w14:textId="77777777" w:rsidTr="008B478D">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6B3CD57F" w:rsidR="00826923" w:rsidRPr="005A6420" w:rsidRDefault="007328B8" w:rsidP="00826923">
            <w:pPr>
              <w:rPr>
                <w:rFonts w:cs="Tahoma"/>
                <w:b/>
                <w:szCs w:val="20"/>
                <w:lang w:val="fr-FR" w:eastAsia="en-US"/>
              </w:rPr>
            </w:pPr>
            <w:r w:rsidRPr="00F02916">
              <w:rPr>
                <w:lang w:val="fr-FR" w:eastAsia="en-US"/>
              </w:rPr>
              <w:t xml:space="preserve">Les informations collectées et la cartographie réalisée permettent une analyse des problématiques de la violence, liées à la transhumance et aux </w:t>
            </w:r>
            <w:r w:rsidRPr="00F02916">
              <w:rPr>
                <w:lang w:val="fr-FR" w:eastAsia="en-US"/>
              </w:rPr>
              <w:lastRenderedPageBreak/>
              <w:t xml:space="preserve">violences basées sur le genre (VBG) </w:t>
            </w: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1.1.1</w:t>
            </w:r>
          </w:p>
          <w:p w14:paraId="2625E4F1" w14:textId="032CB645" w:rsidR="00826923" w:rsidRPr="005A6420" w:rsidRDefault="007328B8" w:rsidP="00826923">
            <w:pPr>
              <w:jc w:val="both"/>
              <w:rPr>
                <w:rFonts w:cs="Tahoma"/>
                <w:szCs w:val="20"/>
                <w:lang w:val="fr-FR" w:eastAsia="en-US"/>
              </w:rPr>
            </w:pPr>
            <w:r w:rsidRPr="00F02916">
              <w:rPr>
                <w:lang w:val="fr-FR" w:eastAsia="en-US"/>
              </w:rPr>
              <w:t>Nombre de cartographies développées et de rapports partagés avec les parties prenantes à la Transhumance</w:t>
            </w:r>
          </w:p>
        </w:tc>
        <w:tc>
          <w:tcPr>
            <w:tcW w:w="1530" w:type="dxa"/>
            <w:shd w:val="clear" w:color="auto" w:fill="EEECE1"/>
          </w:tcPr>
          <w:p w14:paraId="16CCB956" w14:textId="252E4CE9" w:rsidR="00826923" w:rsidRPr="005A6420" w:rsidRDefault="007328B8" w:rsidP="00826923">
            <w:pPr>
              <w:rPr>
                <w:lang w:val="fr-FR"/>
              </w:rPr>
            </w:pPr>
            <w:r>
              <w:rPr>
                <w:b/>
                <w:sz w:val="22"/>
                <w:szCs w:val="22"/>
                <w:lang w:val="fr-FR" w:eastAsia="en-US"/>
              </w:rPr>
              <w:t>0</w:t>
            </w:r>
          </w:p>
        </w:tc>
        <w:tc>
          <w:tcPr>
            <w:tcW w:w="1620" w:type="dxa"/>
            <w:shd w:val="clear" w:color="auto" w:fill="EEECE1"/>
          </w:tcPr>
          <w:p w14:paraId="46EECC2B" w14:textId="2138FE13" w:rsidR="00826923" w:rsidRPr="005A6420" w:rsidRDefault="007328B8" w:rsidP="00826923">
            <w:pPr>
              <w:rPr>
                <w:lang w:val="fr-FR"/>
              </w:rPr>
            </w:pPr>
            <w:r>
              <w:rPr>
                <w:b/>
                <w:sz w:val="22"/>
                <w:szCs w:val="22"/>
                <w:lang w:val="fr-FR" w:eastAsia="en-US"/>
              </w:rPr>
              <w:t>4</w:t>
            </w:r>
          </w:p>
        </w:tc>
        <w:tc>
          <w:tcPr>
            <w:tcW w:w="2070" w:type="dxa"/>
          </w:tcPr>
          <w:p w14:paraId="75DDF730" w14:textId="3490EF2A" w:rsidR="008B478D" w:rsidRPr="008B478D" w:rsidRDefault="008B478D" w:rsidP="00C5681A">
            <w:pPr>
              <w:jc w:val="both"/>
              <w:rPr>
                <w:b/>
                <w:lang w:val="fr-FR" w:eastAsia="en-US"/>
              </w:rPr>
            </w:pPr>
            <w:r w:rsidRPr="008B478D">
              <w:rPr>
                <w:b/>
                <w:lang w:val="fr-FR" w:eastAsia="en-US"/>
              </w:rPr>
              <w:t>1</w:t>
            </w:r>
          </w:p>
          <w:p w14:paraId="37DE7EA0" w14:textId="77777777" w:rsidR="008B478D" w:rsidRDefault="008B478D" w:rsidP="00C5681A">
            <w:pPr>
              <w:jc w:val="both"/>
              <w:rPr>
                <w:lang w:val="fr-FR" w:eastAsia="en-US"/>
              </w:rPr>
            </w:pPr>
          </w:p>
          <w:p w14:paraId="568C7E83" w14:textId="45737819" w:rsidR="00826923" w:rsidRDefault="00826923" w:rsidP="00C5681A">
            <w:pPr>
              <w:rPr>
                <w:lang w:val="fr-FR" w:eastAsia="en-US"/>
              </w:rPr>
            </w:pPr>
          </w:p>
          <w:p w14:paraId="521B62BD" w14:textId="7803E05C" w:rsidR="008B478D" w:rsidRPr="005A6420" w:rsidRDefault="008B478D" w:rsidP="00C5681A">
            <w:pPr>
              <w:rPr>
                <w:lang w:val="fr-FR"/>
              </w:rPr>
            </w:pPr>
          </w:p>
        </w:tc>
        <w:tc>
          <w:tcPr>
            <w:tcW w:w="2252" w:type="dxa"/>
          </w:tcPr>
          <w:p w14:paraId="7FA7D3AF" w14:textId="5C0E1C40" w:rsidR="00826923" w:rsidRPr="005A6420" w:rsidRDefault="007328B8" w:rsidP="00826923">
            <w:pPr>
              <w:rPr>
                <w:lang w:val="fr-FR"/>
              </w:rPr>
            </w:pPr>
            <w:r>
              <w:rPr>
                <w:b/>
                <w:sz w:val="22"/>
                <w:szCs w:val="22"/>
                <w:lang w:val="fr-FR" w:eastAsia="en-US"/>
              </w:rPr>
              <w:t>0</w:t>
            </w:r>
          </w:p>
        </w:tc>
        <w:tc>
          <w:tcPr>
            <w:tcW w:w="3958" w:type="dxa"/>
          </w:tcPr>
          <w:p w14:paraId="6470D769" w14:textId="2EF11F88" w:rsidR="00826923" w:rsidRPr="005A6420" w:rsidRDefault="007328B8" w:rsidP="00826923">
            <w:pPr>
              <w:rPr>
                <w:lang w:val="fr-FR"/>
              </w:rPr>
            </w:pPr>
            <w:r w:rsidRPr="00096042">
              <w:rPr>
                <w:lang w:val="fr-FR" w:eastAsia="en-US"/>
              </w:rPr>
              <w:t xml:space="preserve">Retard dû </w:t>
            </w:r>
            <w:r w:rsidRPr="00096042">
              <w:rPr>
                <w:lang w:val="fr-FR"/>
              </w:rPr>
              <w:t>à</w:t>
            </w:r>
            <w:r w:rsidRPr="00FC70D5">
              <w:rPr>
                <w:lang w:val="fr-FR"/>
              </w:rPr>
              <w:t xml:space="preserve"> un démarrage tardif </w:t>
            </w:r>
            <w:r w:rsidR="00283969">
              <w:rPr>
                <w:lang w:val="fr-FR"/>
              </w:rPr>
              <w:t xml:space="preserve"> </w:t>
            </w:r>
            <w:r w:rsidRPr="00FC70D5">
              <w:rPr>
                <w:lang w:val="fr-FR"/>
              </w:rPr>
              <w:t>à cause de</w:t>
            </w:r>
            <w:r w:rsidRPr="00096042">
              <w:rPr>
                <w:lang w:val="fr-FR"/>
              </w:rPr>
              <w:t xml:space="preserve"> la crise sécuritaire pré et post-électorale de décembre 2020 et </w:t>
            </w:r>
            <w:r w:rsidRPr="00FC70D5">
              <w:rPr>
                <w:lang w:val="fr-FR"/>
              </w:rPr>
              <w:t>de</w:t>
            </w:r>
            <w:r w:rsidRPr="00096042">
              <w:rPr>
                <w:lang w:val="fr-FR" w:eastAsia="en-US"/>
              </w:rPr>
              <w:t xml:space="preserve"> la crise du Covid-19 </w:t>
            </w:r>
            <w:r w:rsidRPr="00096042">
              <w:rPr>
                <w:lang w:val="fr-FR"/>
              </w:rPr>
              <w:t>avec</w:t>
            </w:r>
            <w:r w:rsidRPr="00096042">
              <w:rPr>
                <w:lang w:val="fr-FR" w:eastAsia="en-US"/>
              </w:rPr>
              <w:t xml:space="preserve"> restriction des déplacements dans l</w:t>
            </w:r>
            <w:r w:rsidRPr="00096042">
              <w:rPr>
                <w:lang w:val="fr-FR"/>
              </w:rPr>
              <w:t>es zones du projet</w:t>
            </w:r>
          </w:p>
        </w:tc>
      </w:tr>
      <w:tr w:rsidR="00826923" w:rsidRPr="005A6420" w14:paraId="15BD3BE2" w14:textId="77777777" w:rsidTr="008B478D">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19CFAB4E" w:rsidR="00826923" w:rsidRPr="005A6420" w:rsidRDefault="007328B8" w:rsidP="00826923">
            <w:pPr>
              <w:jc w:val="both"/>
              <w:rPr>
                <w:rFonts w:cs="Tahoma"/>
                <w:szCs w:val="20"/>
                <w:lang w:val="fr-FR" w:eastAsia="en-US"/>
              </w:rPr>
            </w:pPr>
            <w:r w:rsidRPr="00F02916">
              <w:rPr>
                <w:lang w:val="fr-FR" w:eastAsia="en-US"/>
              </w:rPr>
              <w:t>% de baisse de déplacement interne causé par les conflits et la violence des mouvements de transhumance.</w:t>
            </w:r>
          </w:p>
        </w:tc>
        <w:tc>
          <w:tcPr>
            <w:tcW w:w="1530" w:type="dxa"/>
            <w:shd w:val="clear" w:color="auto" w:fill="EEECE1"/>
          </w:tcPr>
          <w:p w14:paraId="408334AB" w14:textId="38F10EED" w:rsidR="00826923" w:rsidRPr="005A6420" w:rsidRDefault="007328B8" w:rsidP="00826923">
            <w:pPr>
              <w:rPr>
                <w:lang w:val="fr-FR"/>
              </w:rPr>
            </w:pPr>
            <w:r>
              <w:rPr>
                <w:b/>
                <w:sz w:val="22"/>
                <w:szCs w:val="22"/>
                <w:lang w:val="fr-FR" w:eastAsia="en-US"/>
              </w:rPr>
              <w:t>Etude de base</w:t>
            </w:r>
          </w:p>
        </w:tc>
        <w:tc>
          <w:tcPr>
            <w:tcW w:w="1620" w:type="dxa"/>
            <w:shd w:val="clear" w:color="auto" w:fill="EEECE1"/>
          </w:tcPr>
          <w:p w14:paraId="04885E44" w14:textId="7D436E45" w:rsidR="00826923" w:rsidRPr="005A6420" w:rsidRDefault="007328B8" w:rsidP="00826923">
            <w:pPr>
              <w:rPr>
                <w:lang w:val="fr-FR"/>
              </w:rPr>
            </w:pPr>
            <w:r>
              <w:rPr>
                <w:b/>
                <w:sz w:val="22"/>
                <w:szCs w:val="22"/>
                <w:lang w:val="fr-FR" w:eastAsia="en-US"/>
              </w:rPr>
              <w:t>30%</w:t>
            </w:r>
          </w:p>
        </w:tc>
        <w:tc>
          <w:tcPr>
            <w:tcW w:w="2070" w:type="dxa"/>
          </w:tcPr>
          <w:p w14:paraId="0DA76287" w14:textId="45CFB482" w:rsidR="008B478D" w:rsidRPr="008B478D" w:rsidRDefault="008B478D" w:rsidP="009C3E70">
            <w:pPr>
              <w:rPr>
                <w:b/>
                <w:lang w:val="fr-FR" w:eastAsia="en-US"/>
              </w:rPr>
            </w:pPr>
            <w:r w:rsidRPr="008B478D">
              <w:rPr>
                <w:b/>
                <w:lang w:val="fr-FR" w:eastAsia="en-US"/>
              </w:rPr>
              <w:t>15%</w:t>
            </w:r>
          </w:p>
          <w:p w14:paraId="4C4CC6DA" w14:textId="77777777" w:rsidR="008B478D" w:rsidRDefault="008B478D" w:rsidP="009C3E70">
            <w:pPr>
              <w:rPr>
                <w:lang w:val="fr-FR" w:eastAsia="en-US"/>
              </w:rPr>
            </w:pPr>
          </w:p>
          <w:p w14:paraId="7E94F785" w14:textId="2B51BDD8" w:rsidR="00826923" w:rsidRPr="009C3E70" w:rsidRDefault="00826923" w:rsidP="003D63D7">
            <w:pPr>
              <w:pStyle w:val="ListParagraph"/>
              <w:numPr>
                <w:ilvl w:val="0"/>
                <w:numId w:val="1"/>
              </w:numPr>
              <w:rPr>
                <w:lang w:val="fr-FR"/>
              </w:rPr>
            </w:pPr>
          </w:p>
        </w:tc>
        <w:tc>
          <w:tcPr>
            <w:tcW w:w="2252" w:type="dxa"/>
          </w:tcPr>
          <w:p w14:paraId="33E89896" w14:textId="5E3DB69E"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3958"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D168A2" w14:paraId="0B2EE17F" w14:textId="77777777" w:rsidTr="008B478D">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1.2.1</w:t>
            </w:r>
          </w:p>
          <w:p w14:paraId="7575463B" w14:textId="502E594E" w:rsidR="00826923" w:rsidRPr="005A6420" w:rsidRDefault="007328B8" w:rsidP="00826923">
            <w:pPr>
              <w:jc w:val="both"/>
              <w:rPr>
                <w:rFonts w:cs="Tahoma"/>
                <w:szCs w:val="20"/>
                <w:lang w:val="fr-FR" w:eastAsia="en-US"/>
              </w:rPr>
            </w:pPr>
            <w:r w:rsidRPr="00F02916">
              <w:rPr>
                <w:lang w:val="fr-FR" w:eastAsia="en-US"/>
              </w:rPr>
              <w:t>% accru de résolution de conflits à travers les comités de dialogue.</w:t>
            </w:r>
          </w:p>
        </w:tc>
        <w:tc>
          <w:tcPr>
            <w:tcW w:w="1530" w:type="dxa"/>
            <w:shd w:val="clear" w:color="auto" w:fill="EEECE1"/>
          </w:tcPr>
          <w:p w14:paraId="2F1437DA" w14:textId="315002D8" w:rsidR="00826923" w:rsidRPr="005A6420" w:rsidRDefault="007328B8" w:rsidP="00826923">
            <w:pPr>
              <w:rPr>
                <w:lang w:val="fr-FR"/>
              </w:rPr>
            </w:pPr>
            <w:r>
              <w:rPr>
                <w:b/>
                <w:sz w:val="22"/>
                <w:szCs w:val="22"/>
                <w:lang w:val="fr-FR" w:eastAsia="en-US"/>
              </w:rPr>
              <w:t>0</w:t>
            </w:r>
          </w:p>
        </w:tc>
        <w:tc>
          <w:tcPr>
            <w:tcW w:w="1620" w:type="dxa"/>
            <w:shd w:val="clear" w:color="auto" w:fill="EEECE1"/>
          </w:tcPr>
          <w:p w14:paraId="35AF67C2" w14:textId="5CC1CD18" w:rsidR="00826923" w:rsidRPr="005A6420" w:rsidRDefault="007328B8" w:rsidP="00826923">
            <w:pPr>
              <w:rPr>
                <w:lang w:val="fr-FR"/>
              </w:rPr>
            </w:pPr>
            <w:r>
              <w:rPr>
                <w:b/>
                <w:sz w:val="22"/>
                <w:szCs w:val="22"/>
                <w:lang w:val="fr-FR" w:eastAsia="en-US"/>
              </w:rPr>
              <w:t>50%</w:t>
            </w:r>
          </w:p>
        </w:tc>
        <w:tc>
          <w:tcPr>
            <w:tcW w:w="2070" w:type="dxa"/>
          </w:tcPr>
          <w:p w14:paraId="6A4B3B07" w14:textId="1F99F00E" w:rsidR="008B478D" w:rsidRPr="008B478D" w:rsidRDefault="008B478D" w:rsidP="009C3E70">
            <w:pPr>
              <w:rPr>
                <w:b/>
                <w:sz w:val="22"/>
                <w:szCs w:val="22"/>
                <w:lang w:val="fr-FR" w:eastAsia="en-US"/>
              </w:rPr>
            </w:pPr>
            <w:r>
              <w:rPr>
                <w:b/>
                <w:sz w:val="22"/>
                <w:szCs w:val="22"/>
                <w:lang w:val="fr-FR" w:eastAsia="en-US"/>
              </w:rPr>
              <w:t>1</w:t>
            </w:r>
            <w:r w:rsidRPr="008B478D">
              <w:rPr>
                <w:b/>
                <w:sz w:val="22"/>
                <w:szCs w:val="22"/>
                <w:lang w:val="fr-FR" w:eastAsia="en-US"/>
              </w:rPr>
              <w:t>0%</w:t>
            </w:r>
          </w:p>
          <w:p w14:paraId="676524BB" w14:textId="77777777" w:rsidR="008B478D" w:rsidRDefault="008B478D" w:rsidP="009C3E70">
            <w:pPr>
              <w:rPr>
                <w:sz w:val="22"/>
                <w:szCs w:val="22"/>
                <w:lang w:val="fr-FR" w:eastAsia="en-US"/>
              </w:rPr>
            </w:pPr>
          </w:p>
          <w:p w14:paraId="252C54D8" w14:textId="4CA0A4F8" w:rsidR="00826923" w:rsidRPr="009C3E70" w:rsidRDefault="00826923" w:rsidP="009C3E70">
            <w:pPr>
              <w:rPr>
                <w:lang w:val="fr-FR"/>
              </w:rPr>
            </w:pPr>
          </w:p>
        </w:tc>
        <w:tc>
          <w:tcPr>
            <w:tcW w:w="2252" w:type="dxa"/>
          </w:tcPr>
          <w:p w14:paraId="30BFB45E" w14:textId="3B70643F"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3958" w:type="dxa"/>
          </w:tcPr>
          <w:p w14:paraId="45774214" w14:textId="0BB5F71B" w:rsidR="00826923" w:rsidRPr="00CA153E" w:rsidRDefault="00CA153E" w:rsidP="00826923">
            <w:pPr>
              <w:rPr>
                <w:lang w:val="fr-FR"/>
              </w:rPr>
            </w:pPr>
            <w:r w:rsidRPr="00CA153E">
              <w:rPr>
                <w:sz w:val="22"/>
                <w:szCs w:val="22"/>
                <w:lang w:val="fr-FR" w:eastAsia="en-US"/>
              </w:rPr>
              <w:t>Retard dans la sélection et le déploiement des partenaires de mise en œuvre sur le terrain</w:t>
            </w:r>
          </w:p>
        </w:tc>
      </w:tr>
      <w:tr w:rsidR="00826923" w:rsidRPr="005A6420" w14:paraId="3F95CC23" w14:textId="77777777" w:rsidTr="008B478D">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57DEAE6B" w:rsidR="00826923" w:rsidRPr="005A6420" w:rsidRDefault="007328B8" w:rsidP="00826923">
            <w:pPr>
              <w:jc w:val="both"/>
              <w:rPr>
                <w:rFonts w:cs="Tahoma"/>
                <w:szCs w:val="20"/>
                <w:lang w:val="fr-FR" w:eastAsia="en-US"/>
              </w:rPr>
            </w:pPr>
            <w:r w:rsidRPr="00F02916">
              <w:rPr>
                <w:lang w:val="fr-FR" w:eastAsia="en-US"/>
              </w:rPr>
              <w:t>% des membres des comités de dialogue indiquant une meilleure capacité à résoudre les conflits à base communautaire</w:t>
            </w:r>
          </w:p>
        </w:tc>
        <w:tc>
          <w:tcPr>
            <w:tcW w:w="1530" w:type="dxa"/>
            <w:shd w:val="clear" w:color="auto" w:fill="EEECE1"/>
          </w:tcPr>
          <w:p w14:paraId="0A000B97" w14:textId="34FD7A08" w:rsidR="00826923" w:rsidRPr="005A6420" w:rsidRDefault="007328B8" w:rsidP="00826923">
            <w:pPr>
              <w:rPr>
                <w:lang w:val="fr-FR"/>
              </w:rPr>
            </w:pPr>
            <w:r>
              <w:rPr>
                <w:b/>
                <w:sz w:val="22"/>
                <w:szCs w:val="22"/>
                <w:lang w:val="fr-FR" w:eastAsia="en-US"/>
              </w:rPr>
              <w:t>Faible capacité</w:t>
            </w:r>
          </w:p>
        </w:tc>
        <w:tc>
          <w:tcPr>
            <w:tcW w:w="1620" w:type="dxa"/>
            <w:shd w:val="clear" w:color="auto" w:fill="EEECE1"/>
          </w:tcPr>
          <w:p w14:paraId="3EC9670A" w14:textId="1DE0E2E6" w:rsidR="00826923" w:rsidRPr="005A6420" w:rsidRDefault="007328B8" w:rsidP="00826923">
            <w:pPr>
              <w:rPr>
                <w:lang w:val="fr-FR"/>
              </w:rPr>
            </w:pPr>
            <w:r>
              <w:rPr>
                <w:b/>
                <w:sz w:val="22"/>
                <w:szCs w:val="22"/>
                <w:lang w:val="fr-FR" w:eastAsia="en-US"/>
              </w:rPr>
              <w:t>70%</w:t>
            </w:r>
          </w:p>
        </w:tc>
        <w:tc>
          <w:tcPr>
            <w:tcW w:w="2070" w:type="dxa"/>
          </w:tcPr>
          <w:p w14:paraId="45DF6DD4" w14:textId="490A45FC" w:rsidR="008B478D" w:rsidRPr="008B478D" w:rsidRDefault="008B478D" w:rsidP="003D63D7">
            <w:pPr>
              <w:pStyle w:val="ListParagraph"/>
              <w:numPr>
                <w:ilvl w:val="0"/>
                <w:numId w:val="1"/>
              </w:numPr>
              <w:rPr>
                <w:rFonts w:cstheme="minorHAnsi"/>
                <w:b/>
                <w:lang w:val="fr-CA" w:eastAsia="fr-FR"/>
              </w:rPr>
            </w:pPr>
            <w:r>
              <w:rPr>
                <w:rFonts w:cstheme="minorHAnsi"/>
                <w:b/>
                <w:lang w:val="fr-CA" w:eastAsia="fr-FR"/>
              </w:rPr>
              <w:t>1</w:t>
            </w:r>
            <w:r w:rsidRPr="008B478D">
              <w:rPr>
                <w:rFonts w:cstheme="minorHAnsi"/>
                <w:b/>
                <w:lang w:val="fr-CA" w:eastAsia="fr-FR"/>
              </w:rPr>
              <w:t>0%</w:t>
            </w:r>
          </w:p>
          <w:p w14:paraId="061FCDEA" w14:textId="77777777" w:rsidR="008B478D" w:rsidRDefault="008B478D" w:rsidP="003D63D7">
            <w:pPr>
              <w:pStyle w:val="ListParagraph"/>
              <w:numPr>
                <w:ilvl w:val="0"/>
                <w:numId w:val="1"/>
              </w:numPr>
              <w:rPr>
                <w:rFonts w:cstheme="minorHAnsi"/>
                <w:lang w:val="fr-CA" w:eastAsia="fr-FR"/>
              </w:rPr>
            </w:pPr>
          </w:p>
          <w:p w14:paraId="4F82B38A" w14:textId="355033A8" w:rsidR="00826923" w:rsidRPr="009C3E70" w:rsidRDefault="009C3E70" w:rsidP="003D63D7">
            <w:pPr>
              <w:pStyle w:val="ListParagraph"/>
              <w:numPr>
                <w:ilvl w:val="0"/>
                <w:numId w:val="1"/>
              </w:numPr>
              <w:rPr>
                <w:lang w:val="fr-FR"/>
              </w:rPr>
            </w:pPr>
            <w:r w:rsidRPr="009C3E70">
              <w:rPr>
                <w:rFonts w:cstheme="minorHAnsi"/>
                <w:lang w:val="fr-CA" w:eastAsia="fr-FR"/>
              </w:rPr>
              <w:t xml:space="preserve"> </w:t>
            </w:r>
          </w:p>
        </w:tc>
        <w:tc>
          <w:tcPr>
            <w:tcW w:w="2252" w:type="dxa"/>
          </w:tcPr>
          <w:p w14:paraId="642E84DB" w14:textId="01646D51"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3958"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B478D">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2" w:type="dxa"/>
          </w:tcPr>
          <w:p w14:paraId="5C365A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958" w:type="dxa"/>
          </w:tcPr>
          <w:p w14:paraId="2C2CC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0C542B2" w14:textId="77777777" w:rsidTr="008B478D">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2" w:type="dxa"/>
          </w:tcPr>
          <w:p w14:paraId="7AE37E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958" w:type="dxa"/>
          </w:tcPr>
          <w:p w14:paraId="047E6A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B8139A0" w14:textId="77777777" w:rsidTr="008B478D">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2"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958"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B478D">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2"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958"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D168A2" w14:paraId="0CA7A1F1" w14:textId="77777777" w:rsidTr="008B478D">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lastRenderedPageBreak/>
              <w:t>Résultat 2</w:t>
            </w:r>
          </w:p>
          <w:p w14:paraId="73249FC4" w14:textId="1ADD8D61" w:rsidR="00826923" w:rsidRPr="005A6420" w:rsidRDefault="007328B8" w:rsidP="00826923">
            <w:pPr>
              <w:rPr>
                <w:rFonts w:cs="Tahoma"/>
                <w:b/>
                <w:szCs w:val="20"/>
                <w:lang w:val="fr-FR" w:eastAsia="en-US"/>
              </w:rPr>
            </w:pPr>
            <w:r w:rsidRPr="00866122">
              <w:rPr>
                <w:lang w:val="fr-FR" w:eastAsia="en-US"/>
              </w:rPr>
              <w:t>Les mécanismes et structures institutionnelles et traditionnelles de prévention et de gestion de conflits fonctionnent de façon efficiente et gèrent les conflits</w:t>
            </w:r>
            <w:r w:rsidRPr="005A6420">
              <w:rPr>
                <w:rFonts w:cs="Tahoma"/>
                <w:b/>
                <w:szCs w:val="20"/>
                <w:lang w:val="fr-FR" w:eastAsia="en-US"/>
              </w:rPr>
              <w:t xml:space="preserve"> </w:t>
            </w: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11760D48" w:rsidR="00826923" w:rsidRPr="005A6420" w:rsidRDefault="007328B8" w:rsidP="00826923">
            <w:pPr>
              <w:jc w:val="both"/>
              <w:rPr>
                <w:rFonts w:cs="Tahoma"/>
                <w:szCs w:val="20"/>
                <w:lang w:val="fr-FR" w:eastAsia="en-US"/>
              </w:rPr>
            </w:pPr>
            <w:r w:rsidRPr="00962CD6">
              <w:rPr>
                <w:lang w:val="fr-FR" w:eastAsia="en-US"/>
              </w:rPr>
              <w:t>% de retour accru des populations (agriculteurs/éleveurs) dans les zones d’intervention ciblées</w:t>
            </w:r>
          </w:p>
        </w:tc>
        <w:tc>
          <w:tcPr>
            <w:tcW w:w="1530" w:type="dxa"/>
            <w:shd w:val="clear" w:color="auto" w:fill="EEECE1"/>
          </w:tcPr>
          <w:p w14:paraId="3B794B07" w14:textId="3E892BD0" w:rsidR="00826923" w:rsidRPr="005A6420" w:rsidRDefault="007328B8" w:rsidP="00826923">
            <w:pPr>
              <w:rPr>
                <w:lang w:val="fr-FR"/>
              </w:rPr>
            </w:pPr>
            <w:r w:rsidRPr="00962CD6">
              <w:rPr>
                <w:lang w:val="fr-FR" w:eastAsia="en-US"/>
              </w:rPr>
              <w:t>Etude de base</w:t>
            </w:r>
          </w:p>
        </w:tc>
        <w:tc>
          <w:tcPr>
            <w:tcW w:w="1620" w:type="dxa"/>
            <w:shd w:val="clear" w:color="auto" w:fill="EEECE1"/>
          </w:tcPr>
          <w:p w14:paraId="37400CA8" w14:textId="34BABFF0" w:rsidR="00826923" w:rsidRPr="005A6420" w:rsidRDefault="007328B8" w:rsidP="00826923">
            <w:pPr>
              <w:rPr>
                <w:lang w:val="fr-FR"/>
              </w:rPr>
            </w:pPr>
            <w:r w:rsidRPr="00962CD6">
              <w:rPr>
                <w:lang w:val="fr-FR" w:eastAsia="en-US"/>
              </w:rPr>
              <w:t>≥75%</w:t>
            </w:r>
          </w:p>
        </w:tc>
        <w:tc>
          <w:tcPr>
            <w:tcW w:w="2070" w:type="dxa"/>
          </w:tcPr>
          <w:p w14:paraId="472A1D1A" w14:textId="1AAD5FE6" w:rsidR="008B478D" w:rsidRPr="008B478D" w:rsidRDefault="008B478D" w:rsidP="004339B1">
            <w:pPr>
              <w:rPr>
                <w:b/>
                <w:sz w:val="22"/>
                <w:szCs w:val="22"/>
                <w:lang w:val="fr-FR" w:eastAsia="en-US"/>
              </w:rPr>
            </w:pPr>
            <w:r w:rsidRPr="008B478D">
              <w:rPr>
                <w:b/>
                <w:sz w:val="22"/>
                <w:szCs w:val="22"/>
                <w:lang w:val="fr-FR" w:eastAsia="en-US"/>
              </w:rPr>
              <w:t>50%</w:t>
            </w:r>
          </w:p>
          <w:p w14:paraId="481CD4AC" w14:textId="77777777" w:rsidR="008B478D" w:rsidRDefault="008B478D" w:rsidP="004339B1">
            <w:pPr>
              <w:rPr>
                <w:sz w:val="22"/>
                <w:szCs w:val="22"/>
                <w:lang w:val="fr-FR" w:eastAsia="en-US"/>
              </w:rPr>
            </w:pPr>
          </w:p>
          <w:p w14:paraId="2F325CF4" w14:textId="79C2C02E" w:rsidR="004339B1" w:rsidRPr="004339B1" w:rsidRDefault="004339B1" w:rsidP="008B478D">
            <w:pPr>
              <w:pStyle w:val="ListParagraph"/>
              <w:numPr>
                <w:ilvl w:val="0"/>
                <w:numId w:val="1"/>
              </w:numPr>
              <w:rPr>
                <w:lang w:val="fr-FR"/>
              </w:rPr>
            </w:pPr>
          </w:p>
        </w:tc>
        <w:tc>
          <w:tcPr>
            <w:tcW w:w="2252" w:type="dxa"/>
          </w:tcPr>
          <w:p w14:paraId="3A24C0E7" w14:textId="7B21F6E8" w:rsidR="00826923" w:rsidRPr="005A6420" w:rsidRDefault="000026CE" w:rsidP="00826923">
            <w:pPr>
              <w:rPr>
                <w:lang w:val="fr-FR"/>
              </w:rPr>
            </w:pPr>
            <w:r>
              <w:rPr>
                <w:b/>
                <w:sz w:val="22"/>
                <w:szCs w:val="22"/>
                <w:lang w:val="fr-FR" w:eastAsia="en-US"/>
              </w:rPr>
              <w:t>Estimation pas encore effectuée</w:t>
            </w:r>
          </w:p>
        </w:tc>
        <w:tc>
          <w:tcPr>
            <w:tcW w:w="3958" w:type="dxa"/>
          </w:tcPr>
          <w:p w14:paraId="2F09239A" w14:textId="26A2110E" w:rsidR="00826923" w:rsidRPr="005A6420" w:rsidRDefault="000026CE" w:rsidP="00826923">
            <w:pPr>
              <w:rPr>
                <w:lang w:val="fr-FR"/>
              </w:rPr>
            </w:pPr>
            <w:r w:rsidRPr="00CA153E">
              <w:rPr>
                <w:sz w:val="22"/>
                <w:szCs w:val="22"/>
                <w:lang w:val="fr-FR" w:eastAsia="en-US"/>
              </w:rPr>
              <w:t>Retard dans la sélection et le déploiement des partenaires de mise en œuvre sur le terrain</w:t>
            </w:r>
          </w:p>
        </w:tc>
      </w:tr>
      <w:tr w:rsidR="007328B8" w:rsidRPr="005A6420" w14:paraId="6DDA32A5" w14:textId="77777777" w:rsidTr="008B478D">
        <w:trPr>
          <w:trHeight w:val="422"/>
        </w:trPr>
        <w:tc>
          <w:tcPr>
            <w:tcW w:w="1530" w:type="dxa"/>
            <w:vMerge/>
          </w:tcPr>
          <w:p w14:paraId="15FC499C" w14:textId="77777777" w:rsidR="007328B8" w:rsidRPr="005A6420" w:rsidRDefault="007328B8" w:rsidP="007328B8">
            <w:pPr>
              <w:rPr>
                <w:rFonts w:cs="Tahoma"/>
                <w:szCs w:val="20"/>
                <w:lang w:val="fr-FR" w:eastAsia="en-US"/>
              </w:rPr>
            </w:pPr>
          </w:p>
        </w:tc>
        <w:tc>
          <w:tcPr>
            <w:tcW w:w="2070" w:type="dxa"/>
            <w:shd w:val="clear" w:color="auto" w:fill="EEECE1"/>
          </w:tcPr>
          <w:p w14:paraId="0AA09BD9" w14:textId="77777777" w:rsidR="007328B8" w:rsidRPr="005A6420" w:rsidRDefault="007328B8" w:rsidP="007328B8">
            <w:pPr>
              <w:jc w:val="both"/>
              <w:rPr>
                <w:rFonts w:cs="Tahoma"/>
                <w:szCs w:val="20"/>
                <w:lang w:val="fr-FR" w:eastAsia="en-US"/>
              </w:rPr>
            </w:pPr>
            <w:r w:rsidRPr="005A6420">
              <w:rPr>
                <w:rFonts w:cs="Tahoma"/>
                <w:szCs w:val="20"/>
                <w:lang w:val="fr-FR" w:eastAsia="en-US"/>
              </w:rPr>
              <w:t>Indicateur 2.2</w:t>
            </w:r>
          </w:p>
          <w:p w14:paraId="4E8793D2" w14:textId="3699BE46" w:rsidR="007328B8" w:rsidRPr="005A6420" w:rsidRDefault="007328B8" w:rsidP="007328B8">
            <w:pPr>
              <w:jc w:val="both"/>
              <w:rPr>
                <w:rFonts w:cs="Tahoma"/>
                <w:szCs w:val="20"/>
                <w:lang w:val="fr-FR" w:eastAsia="en-US"/>
              </w:rPr>
            </w:pPr>
            <w:r w:rsidRPr="00962CD6">
              <w:rPr>
                <w:lang w:val="fr-FR" w:eastAsia="en-US"/>
              </w:rPr>
              <w:t>% de baisse de tension entre agriculteurs et éleveurs dans les zones du projet</w:t>
            </w:r>
          </w:p>
        </w:tc>
        <w:tc>
          <w:tcPr>
            <w:tcW w:w="1530" w:type="dxa"/>
            <w:shd w:val="clear" w:color="auto" w:fill="EEECE1"/>
          </w:tcPr>
          <w:p w14:paraId="423EBDC6" w14:textId="231D3145" w:rsidR="007328B8" w:rsidRPr="005A6420" w:rsidRDefault="007328B8" w:rsidP="007328B8">
            <w:pPr>
              <w:rPr>
                <w:lang w:val="fr-FR"/>
              </w:rPr>
            </w:pPr>
            <w:r w:rsidRPr="00962CD6">
              <w:rPr>
                <w:lang w:val="fr-FR" w:eastAsia="en-US"/>
              </w:rPr>
              <w:t>Etude de base</w:t>
            </w:r>
          </w:p>
        </w:tc>
        <w:tc>
          <w:tcPr>
            <w:tcW w:w="1620" w:type="dxa"/>
            <w:shd w:val="clear" w:color="auto" w:fill="EEECE1"/>
          </w:tcPr>
          <w:p w14:paraId="7C0330A3" w14:textId="3A5946DC" w:rsidR="007328B8" w:rsidRPr="005A6420" w:rsidRDefault="007328B8" w:rsidP="007328B8">
            <w:pPr>
              <w:rPr>
                <w:lang w:val="fr-FR"/>
              </w:rPr>
            </w:pPr>
            <w:r w:rsidRPr="00962CD6">
              <w:rPr>
                <w:lang w:val="fr-FR" w:eastAsia="en-US"/>
              </w:rPr>
              <w:t>≥50%</w:t>
            </w:r>
          </w:p>
        </w:tc>
        <w:tc>
          <w:tcPr>
            <w:tcW w:w="2070" w:type="dxa"/>
          </w:tcPr>
          <w:p w14:paraId="13AA5349" w14:textId="1FE77372" w:rsidR="007815A4" w:rsidRDefault="007815A4" w:rsidP="007328B8">
            <w:pPr>
              <w:rPr>
                <w:b/>
                <w:sz w:val="22"/>
                <w:szCs w:val="22"/>
                <w:lang w:val="fr-FR" w:eastAsia="en-US"/>
              </w:rPr>
            </w:pPr>
            <w:r>
              <w:rPr>
                <w:b/>
                <w:sz w:val="22"/>
                <w:szCs w:val="22"/>
                <w:lang w:val="fr-FR" w:eastAsia="en-US"/>
              </w:rPr>
              <w:t>30%</w:t>
            </w:r>
          </w:p>
          <w:p w14:paraId="45F52160" w14:textId="77777777" w:rsidR="007815A4" w:rsidRDefault="007815A4" w:rsidP="007328B8">
            <w:pPr>
              <w:rPr>
                <w:b/>
                <w:sz w:val="22"/>
                <w:szCs w:val="22"/>
                <w:lang w:val="fr-FR" w:eastAsia="en-US"/>
              </w:rPr>
            </w:pPr>
          </w:p>
          <w:p w14:paraId="3FAEBF22" w14:textId="77777777" w:rsidR="007815A4" w:rsidRDefault="007815A4" w:rsidP="007328B8">
            <w:pPr>
              <w:rPr>
                <w:b/>
                <w:sz w:val="22"/>
                <w:szCs w:val="22"/>
                <w:lang w:val="fr-FR" w:eastAsia="en-US"/>
              </w:rPr>
            </w:pPr>
          </w:p>
          <w:p w14:paraId="216DEA02" w14:textId="75B25EBA" w:rsidR="004339B1" w:rsidRPr="005A6420" w:rsidRDefault="004339B1" w:rsidP="00D168A2">
            <w:pPr>
              <w:pStyle w:val="ListParagraph"/>
              <w:numPr>
                <w:ilvl w:val="0"/>
                <w:numId w:val="1"/>
              </w:numPr>
              <w:rPr>
                <w:lang w:val="fr-FR"/>
              </w:rPr>
            </w:pPr>
          </w:p>
        </w:tc>
        <w:tc>
          <w:tcPr>
            <w:tcW w:w="2252" w:type="dxa"/>
          </w:tcPr>
          <w:p w14:paraId="10B70DE5" w14:textId="3B6BB8D0" w:rsidR="007328B8" w:rsidRPr="005A6420" w:rsidRDefault="00A21F91" w:rsidP="007328B8">
            <w:pPr>
              <w:rPr>
                <w:lang w:val="fr-FR"/>
              </w:rPr>
            </w:pPr>
            <w:r>
              <w:rPr>
                <w:b/>
                <w:sz w:val="22"/>
                <w:szCs w:val="22"/>
                <w:lang w:val="fr-FR" w:eastAsia="en-US"/>
              </w:rPr>
              <w:t>0</w:t>
            </w:r>
            <w:r w:rsidR="003A2F93">
              <w:rPr>
                <w:b/>
                <w:sz w:val="22"/>
                <w:szCs w:val="22"/>
                <w:lang w:val="fr-FR" w:eastAsia="en-US"/>
              </w:rPr>
              <w:t>%</w:t>
            </w:r>
          </w:p>
        </w:tc>
        <w:tc>
          <w:tcPr>
            <w:tcW w:w="3958" w:type="dxa"/>
          </w:tcPr>
          <w:p w14:paraId="599CC263" w14:textId="59FDE370" w:rsidR="007328B8" w:rsidRPr="005A6420" w:rsidRDefault="007815A4"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5A6420" w14:paraId="66214E5C" w14:textId="77777777" w:rsidTr="008B478D">
        <w:trPr>
          <w:trHeight w:val="422"/>
        </w:trPr>
        <w:tc>
          <w:tcPr>
            <w:tcW w:w="1530" w:type="dxa"/>
            <w:vMerge/>
          </w:tcPr>
          <w:p w14:paraId="66D5C63F" w14:textId="77777777" w:rsidR="007328B8" w:rsidRPr="005A6420" w:rsidRDefault="007328B8" w:rsidP="007328B8">
            <w:pPr>
              <w:rPr>
                <w:rFonts w:cs="Tahoma"/>
                <w:szCs w:val="20"/>
                <w:lang w:val="fr-FR" w:eastAsia="en-US"/>
              </w:rPr>
            </w:pPr>
          </w:p>
        </w:tc>
        <w:tc>
          <w:tcPr>
            <w:tcW w:w="2070" w:type="dxa"/>
            <w:shd w:val="clear" w:color="auto" w:fill="EEECE1"/>
          </w:tcPr>
          <w:p w14:paraId="322344B7" w14:textId="77777777" w:rsidR="007328B8" w:rsidRPr="005A6420" w:rsidRDefault="007328B8" w:rsidP="007328B8">
            <w:pPr>
              <w:jc w:val="both"/>
              <w:rPr>
                <w:rFonts w:cs="Tahoma"/>
                <w:szCs w:val="20"/>
                <w:lang w:val="fr-FR" w:eastAsia="en-US"/>
              </w:rPr>
            </w:pPr>
            <w:r w:rsidRPr="005A6420">
              <w:rPr>
                <w:rFonts w:cs="Tahoma"/>
                <w:szCs w:val="20"/>
                <w:lang w:val="fr-FR" w:eastAsia="en-US"/>
              </w:rPr>
              <w:t>Indicateur 2.3</w:t>
            </w:r>
          </w:p>
          <w:p w14:paraId="0E0FF48E" w14:textId="6C34719A" w:rsidR="007328B8" w:rsidRPr="005A6420" w:rsidRDefault="007328B8" w:rsidP="007328B8">
            <w:pPr>
              <w:jc w:val="both"/>
              <w:rPr>
                <w:rFonts w:cs="Tahoma"/>
                <w:szCs w:val="20"/>
                <w:lang w:val="fr-FR" w:eastAsia="en-US"/>
              </w:rPr>
            </w:pPr>
            <w:r w:rsidRPr="00962CD6">
              <w:rPr>
                <w:lang w:val="fr-FR" w:eastAsia="en-US"/>
              </w:rPr>
              <w:t>Taux d’augmentation de la confiance entre communautés d’agriculteurs et d’éleveurs</w:t>
            </w:r>
          </w:p>
        </w:tc>
        <w:tc>
          <w:tcPr>
            <w:tcW w:w="1530" w:type="dxa"/>
            <w:shd w:val="clear" w:color="auto" w:fill="EEECE1"/>
          </w:tcPr>
          <w:p w14:paraId="1525976C" w14:textId="73CA6553" w:rsidR="007328B8" w:rsidRPr="005A6420" w:rsidRDefault="007328B8" w:rsidP="007328B8">
            <w:pPr>
              <w:rPr>
                <w:lang w:val="fr-FR"/>
              </w:rPr>
            </w:pPr>
            <w:r w:rsidRPr="00962CD6">
              <w:rPr>
                <w:lang w:val="fr-FR" w:eastAsia="en-US"/>
              </w:rPr>
              <w:t>Etude de base</w:t>
            </w:r>
          </w:p>
        </w:tc>
        <w:tc>
          <w:tcPr>
            <w:tcW w:w="1620" w:type="dxa"/>
            <w:shd w:val="clear" w:color="auto" w:fill="EEECE1"/>
          </w:tcPr>
          <w:p w14:paraId="5E2EC7AD" w14:textId="44EFDA28" w:rsidR="007328B8" w:rsidRPr="005A6420" w:rsidRDefault="007328B8" w:rsidP="007328B8">
            <w:pPr>
              <w:rPr>
                <w:lang w:val="fr-FR"/>
              </w:rPr>
            </w:pPr>
            <w:r w:rsidRPr="00962CD6">
              <w:rPr>
                <w:lang w:val="fr-FR" w:eastAsia="en-US"/>
              </w:rPr>
              <w:t>≥30%</w:t>
            </w:r>
          </w:p>
        </w:tc>
        <w:tc>
          <w:tcPr>
            <w:tcW w:w="2070" w:type="dxa"/>
          </w:tcPr>
          <w:p w14:paraId="5B2F4DD2" w14:textId="13570972" w:rsidR="007815A4" w:rsidRPr="007815A4" w:rsidRDefault="007815A4" w:rsidP="003D63D7">
            <w:pPr>
              <w:pStyle w:val="ListParagraph"/>
              <w:numPr>
                <w:ilvl w:val="0"/>
                <w:numId w:val="1"/>
              </w:numPr>
              <w:rPr>
                <w:b/>
                <w:lang w:val="fr-FR"/>
              </w:rPr>
            </w:pPr>
            <w:r w:rsidRPr="007815A4">
              <w:rPr>
                <w:b/>
                <w:lang w:val="fr-FR"/>
              </w:rPr>
              <w:t>10%</w:t>
            </w:r>
          </w:p>
          <w:p w14:paraId="3867DA93" w14:textId="77777777" w:rsidR="007815A4" w:rsidRPr="00D168A2" w:rsidRDefault="007815A4" w:rsidP="003D63D7">
            <w:pPr>
              <w:pStyle w:val="ListParagraph"/>
              <w:numPr>
                <w:ilvl w:val="0"/>
                <w:numId w:val="1"/>
              </w:numPr>
              <w:rPr>
                <w:lang w:val="fr-FR"/>
              </w:rPr>
            </w:pPr>
          </w:p>
          <w:p w14:paraId="2D7D1799" w14:textId="078FC37C" w:rsidR="004339B1" w:rsidRPr="005D0D70" w:rsidRDefault="004339B1" w:rsidP="004339B1">
            <w:pPr>
              <w:rPr>
                <w:lang w:val="fr-FR"/>
              </w:rPr>
            </w:pPr>
          </w:p>
          <w:p w14:paraId="603FB6ED" w14:textId="0AB22EC7" w:rsidR="004339B1" w:rsidRPr="003D63D7" w:rsidRDefault="004339B1" w:rsidP="003D63D7">
            <w:pPr>
              <w:pStyle w:val="ListParagraph"/>
              <w:numPr>
                <w:ilvl w:val="0"/>
                <w:numId w:val="1"/>
              </w:numPr>
              <w:rPr>
                <w:lang w:val="fr-FR"/>
              </w:rPr>
            </w:pPr>
          </w:p>
          <w:p w14:paraId="43AF0F97" w14:textId="2E9DD679" w:rsidR="007328B8" w:rsidRPr="005A6420" w:rsidRDefault="007328B8" w:rsidP="007328B8">
            <w:pPr>
              <w:rPr>
                <w:lang w:val="fr-FR"/>
              </w:rPr>
            </w:pPr>
          </w:p>
        </w:tc>
        <w:tc>
          <w:tcPr>
            <w:tcW w:w="2252" w:type="dxa"/>
          </w:tcPr>
          <w:p w14:paraId="2DF5E23B" w14:textId="7839A616" w:rsidR="007328B8" w:rsidRPr="005A6420" w:rsidRDefault="00A21F91" w:rsidP="007328B8">
            <w:pPr>
              <w:rPr>
                <w:lang w:val="fr-FR"/>
              </w:rPr>
            </w:pPr>
            <w:r>
              <w:rPr>
                <w:b/>
                <w:sz w:val="22"/>
                <w:szCs w:val="22"/>
                <w:lang w:val="fr-FR" w:eastAsia="en-US"/>
              </w:rPr>
              <w:t>0</w:t>
            </w:r>
            <w:r w:rsidR="003A2F93">
              <w:rPr>
                <w:b/>
                <w:sz w:val="22"/>
                <w:szCs w:val="22"/>
                <w:lang w:val="fr-FR" w:eastAsia="en-US"/>
              </w:rPr>
              <w:t>%</w:t>
            </w:r>
          </w:p>
        </w:tc>
        <w:tc>
          <w:tcPr>
            <w:tcW w:w="3958" w:type="dxa"/>
          </w:tcPr>
          <w:p w14:paraId="4CF4CB1F" w14:textId="77777777" w:rsidR="007328B8" w:rsidRPr="005A6420" w:rsidRDefault="007328B8"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D168A2" w14:paraId="24D5CF99" w14:textId="77777777" w:rsidTr="008B478D">
        <w:trPr>
          <w:trHeight w:val="422"/>
        </w:trPr>
        <w:tc>
          <w:tcPr>
            <w:tcW w:w="1530" w:type="dxa"/>
            <w:vMerge w:val="restart"/>
          </w:tcPr>
          <w:p w14:paraId="26C8010E" w14:textId="77777777" w:rsidR="007328B8" w:rsidRPr="005A6420" w:rsidRDefault="007328B8" w:rsidP="007328B8">
            <w:pPr>
              <w:rPr>
                <w:rFonts w:cs="Tahoma"/>
                <w:szCs w:val="20"/>
                <w:lang w:val="fr-FR" w:eastAsia="en-US"/>
              </w:rPr>
            </w:pPr>
            <w:r w:rsidRPr="005A6420">
              <w:rPr>
                <w:rFonts w:cs="Tahoma"/>
                <w:szCs w:val="20"/>
                <w:lang w:val="fr-FR" w:eastAsia="en-US"/>
              </w:rPr>
              <w:t>Produit 2.1</w:t>
            </w:r>
          </w:p>
          <w:p w14:paraId="0075BE1D" w14:textId="2CD60EBD" w:rsidR="007328B8" w:rsidRPr="005A6420" w:rsidRDefault="007328B8" w:rsidP="007328B8">
            <w:pPr>
              <w:rPr>
                <w:rFonts w:cs="Tahoma"/>
                <w:b/>
                <w:szCs w:val="20"/>
                <w:lang w:val="fr-FR" w:eastAsia="en-US"/>
              </w:rPr>
            </w:pPr>
            <w:r w:rsidRPr="00962CD6">
              <w:rPr>
                <w:lang w:val="fr-FR" w:eastAsia="en-US"/>
              </w:rPr>
              <w:t xml:space="preserve">Les capacités de production des moyens </w:t>
            </w:r>
            <w:r w:rsidRPr="00962CD6">
              <w:rPr>
                <w:lang w:val="fr-FR" w:eastAsia="en-US"/>
              </w:rPr>
              <w:lastRenderedPageBreak/>
              <w:t>de subsistance sont renforcées et des infrastructures socio-économiques prioritaires sont réhabilitées, opérationnelles et accessibles.</w:t>
            </w:r>
          </w:p>
        </w:tc>
        <w:tc>
          <w:tcPr>
            <w:tcW w:w="2070" w:type="dxa"/>
            <w:shd w:val="clear" w:color="auto" w:fill="EEECE1"/>
          </w:tcPr>
          <w:p w14:paraId="400B06FF" w14:textId="204E2F6C" w:rsidR="007328B8" w:rsidRPr="005A6420" w:rsidRDefault="007328B8" w:rsidP="007328B8">
            <w:pPr>
              <w:jc w:val="both"/>
              <w:rPr>
                <w:rFonts w:cs="Tahoma"/>
                <w:szCs w:val="20"/>
                <w:lang w:val="fr-FR" w:eastAsia="en-US"/>
              </w:rPr>
            </w:pPr>
            <w:r w:rsidRPr="005A6420">
              <w:rPr>
                <w:rFonts w:cs="Tahoma"/>
                <w:szCs w:val="20"/>
                <w:lang w:val="fr-FR" w:eastAsia="en-US"/>
              </w:rPr>
              <w:lastRenderedPageBreak/>
              <w:t>Indicateur 2.1.1</w:t>
            </w:r>
          </w:p>
          <w:p w14:paraId="021841C7" w14:textId="01912786" w:rsidR="007328B8" w:rsidRPr="005A6420" w:rsidRDefault="007328B8" w:rsidP="007328B8">
            <w:pPr>
              <w:jc w:val="both"/>
              <w:rPr>
                <w:rFonts w:cs="Tahoma"/>
                <w:szCs w:val="20"/>
                <w:lang w:val="fr-FR" w:eastAsia="en-US"/>
              </w:rPr>
            </w:pPr>
            <w:r w:rsidRPr="00962CD6">
              <w:rPr>
                <w:lang w:val="fr-FR" w:eastAsia="en-US"/>
              </w:rPr>
              <w:t xml:space="preserve">Nombre d’organisations professionnelles agropastorales </w:t>
            </w:r>
            <w:r w:rsidRPr="00962CD6">
              <w:rPr>
                <w:lang w:val="fr-FR" w:eastAsia="en-US"/>
              </w:rPr>
              <w:lastRenderedPageBreak/>
              <w:t>augmentant leurs productions</w:t>
            </w:r>
          </w:p>
        </w:tc>
        <w:tc>
          <w:tcPr>
            <w:tcW w:w="1530" w:type="dxa"/>
            <w:shd w:val="clear" w:color="auto" w:fill="EEECE1"/>
          </w:tcPr>
          <w:p w14:paraId="77A025C3" w14:textId="28E538FD" w:rsidR="007328B8" w:rsidRPr="005A6420" w:rsidRDefault="007328B8" w:rsidP="007328B8">
            <w:pPr>
              <w:rPr>
                <w:lang w:val="fr-FR"/>
              </w:rPr>
            </w:pPr>
            <w:r>
              <w:rPr>
                <w:b/>
                <w:sz w:val="22"/>
                <w:szCs w:val="22"/>
                <w:lang w:val="fr-FR" w:eastAsia="en-US"/>
              </w:rPr>
              <w:lastRenderedPageBreak/>
              <w:t>0</w:t>
            </w:r>
          </w:p>
        </w:tc>
        <w:tc>
          <w:tcPr>
            <w:tcW w:w="1620" w:type="dxa"/>
            <w:shd w:val="clear" w:color="auto" w:fill="EEECE1"/>
          </w:tcPr>
          <w:p w14:paraId="55D5AC11" w14:textId="387E90E3" w:rsidR="007328B8" w:rsidRPr="005A6420" w:rsidRDefault="007328B8" w:rsidP="007328B8">
            <w:pPr>
              <w:rPr>
                <w:lang w:val="fr-FR"/>
              </w:rPr>
            </w:pPr>
            <w:r w:rsidRPr="00962CD6">
              <w:rPr>
                <w:lang w:val="fr-FR" w:eastAsia="en-US"/>
              </w:rPr>
              <w:t>≥</w:t>
            </w:r>
            <w:r>
              <w:rPr>
                <w:lang w:val="fr-FR" w:eastAsia="en-US"/>
              </w:rPr>
              <w:t>5</w:t>
            </w:r>
            <w:r w:rsidRPr="00962CD6">
              <w:rPr>
                <w:lang w:val="fr-FR" w:eastAsia="en-US"/>
              </w:rPr>
              <w:t>0%</w:t>
            </w:r>
          </w:p>
        </w:tc>
        <w:tc>
          <w:tcPr>
            <w:tcW w:w="2070" w:type="dxa"/>
          </w:tcPr>
          <w:p w14:paraId="760FABF6" w14:textId="23DB0DA4" w:rsidR="007815A4" w:rsidRPr="007815A4" w:rsidRDefault="007815A4" w:rsidP="007328B8">
            <w:pPr>
              <w:rPr>
                <w:b/>
                <w:sz w:val="22"/>
                <w:szCs w:val="22"/>
                <w:lang w:val="fr-FR" w:eastAsia="en-US"/>
              </w:rPr>
            </w:pPr>
            <w:r w:rsidRPr="007815A4">
              <w:rPr>
                <w:b/>
                <w:sz w:val="22"/>
                <w:szCs w:val="22"/>
                <w:lang w:val="fr-FR" w:eastAsia="en-US"/>
              </w:rPr>
              <w:t>15%</w:t>
            </w:r>
          </w:p>
          <w:p w14:paraId="27764AEA" w14:textId="77777777" w:rsidR="007815A4" w:rsidRDefault="007815A4" w:rsidP="007328B8">
            <w:pPr>
              <w:rPr>
                <w:sz w:val="22"/>
                <w:szCs w:val="22"/>
                <w:lang w:val="fr-FR" w:eastAsia="en-US"/>
              </w:rPr>
            </w:pPr>
          </w:p>
          <w:p w14:paraId="0136ED42" w14:textId="2C389001" w:rsidR="005F5524" w:rsidRPr="005F5524" w:rsidRDefault="005F5524" w:rsidP="00160010">
            <w:pPr>
              <w:pStyle w:val="ListParagraph"/>
              <w:numPr>
                <w:ilvl w:val="0"/>
                <w:numId w:val="1"/>
              </w:numPr>
              <w:rPr>
                <w:lang w:val="fr-FR"/>
              </w:rPr>
            </w:pPr>
            <w:r w:rsidRPr="00160010">
              <w:rPr>
                <w:sz w:val="22"/>
                <w:szCs w:val="22"/>
                <w:lang w:val="fr-FR" w:eastAsia="en-US"/>
              </w:rPr>
              <w:t xml:space="preserve"> </w:t>
            </w:r>
          </w:p>
        </w:tc>
        <w:tc>
          <w:tcPr>
            <w:tcW w:w="2252" w:type="dxa"/>
          </w:tcPr>
          <w:p w14:paraId="3338B1BA" w14:textId="2A3040E1" w:rsidR="007328B8" w:rsidRPr="005A6420" w:rsidRDefault="00A21F91" w:rsidP="007328B8">
            <w:pPr>
              <w:rPr>
                <w:lang w:val="fr-FR"/>
              </w:rPr>
            </w:pPr>
            <w:r>
              <w:rPr>
                <w:b/>
                <w:sz w:val="22"/>
                <w:szCs w:val="22"/>
                <w:lang w:val="fr-FR" w:eastAsia="en-US"/>
              </w:rPr>
              <w:t>0</w:t>
            </w:r>
          </w:p>
        </w:tc>
        <w:tc>
          <w:tcPr>
            <w:tcW w:w="3958" w:type="dxa"/>
          </w:tcPr>
          <w:p w14:paraId="5D7B118E" w14:textId="77777777" w:rsidR="007328B8" w:rsidRPr="00804BA8" w:rsidRDefault="001A3243" w:rsidP="007328B8">
            <w:pPr>
              <w:rPr>
                <w:sz w:val="22"/>
                <w:szCs w:val="22"/>
                <w:lang w:val="fr-FR" w:eastAsia="en-US"/>
              </w:rPr>
            </w:pPr>
            <w:r w:rsidRPr="00804BA8">
              <w:rPr>
                <w:sz w:val="22"/>
                <w:szCs w:val="22"/>
                <w:lang w:val="fr-FR" w:eastAsia="en-US"/>
              </w:rPr>
              <w:t xml:space="preserve">Dégradation de la sécurité entrainant une restriction </w:t>
            </w:r>
            <w:r w:rsidR="004339B1" w:rsidRPr="00804BA8">
              <w:rPr>
                <w:sz w:val="22"/>
                <w:szCs w:val="22"/>
                <w:lang w:val="fr-FR" w:eastAsia="en-US"/>
              </w:rPr>
              <w:t xml:space="preserve">d’accès </w:t>
            </w:r>
            <w:r w:rsidRPr="00804BA8">
              <w:rPr>
                <w:sz w:val="22"/>
                <w:szCs w:val="22"/>
                <w:lang w:val="fr-FR" w:eastAsia="en-US"/>
              </w:rPr>
              <w:t xml:space="preserve">aux zones du projet; déplacement massif forcé des populations dont des bénéficiaires potentiels du projet </w:t>
            </w:r>
            <w:r w:rsidRPr="00804BA8">
              <w:rPr>
                <w:sz w:val="22"/>
                <w:szCs w:val="22"/>
                <w:lang w:val="fr-FR" w:eastAsia="en-US"/>
              </w:rPr>
              <w:lastRenderedPageBreak/>
              <w:t>lié aux effets de la crise électorale et post-électorale de décembre 2020</w:t>
            </w:r>
            <w:r w:rsidR="00804BA8" w:rsidRPr="00804BA8">
              <w:rPr>
                <w:sz w:val="22"/>
                <w:szCs w:val="22"/>
                <w:lang w:val="fr-FR" w:eastAsia="en-US"/>
              </w:rPr>
              <w:t xml:space="preserve">. </w:t>
            </w:r>
          </w:p>
          <w:p w14:paraId="2107019E" w14:textId="6C9CCEF6" w:rsidR="00804BA8" w:rsidRPr="005A6420" w:rsidRDefault="009D2CBB" w:rsidP="009D2CBB">
            <w:pPr>
              <w:rPr>
                <w:lang w:val="fr-FR"/>
              </w:rPr>
            </w:pPr>
            <w:r>
              <w:rPr>
                <w:sz w:val="22"/>
                <w:szCs w:val="22"/>
                <w:lang w:val="fr-FR" w:eastAsia="en-US"/>
              </w:rPr>
              <w:t>Et r</w:t>
            </w:r>
            <w:r w:rsidR="00804BA8" w:rsidRPr="00CA153E">
              <w:rPr>
                <w:sz w:val="22"/>
                <w:szCs w:val="22"/>
                <w:lang w:val="fr-FR" w:eastAsia="en-US"/>
              </w:rPr>
              <w:t>etard dans la sélection et le déploiement des partenaires de mise en œuvre sur le terrain</w:t>
            </w:r>
          </w:p>
        </w:tc>
      </w:tr>
      <w:tr w:rsidR="007328B8" w:rsidRPr="005A6420" w14:paraId="3E4237A1" w14:textId="77777777" w:rsidTr="008B478D">
        <w:trPr>
          <w:trHeight w:val="458"/>
        </w:trPr>
        <w:tc>
          <w:tcPr>
            <w:tcW w:w="1530" w:type="dxa"/>
            <w:vMerge/>
          </w:tcPr>
          <w:p w14:paraId="3989DD76" w14:textId="77777777" w:rsidR="007328B8" w:rsidRPr="005A6420" w:rsidRDefault="007328B8" w:rsidP="007328B8">
            <w:pPr>
              <w:rPr>
                <w:rFonts w:cs="Tahoma"/>
                <w:b/>
                <w:szCs w:val="20"/>
                <w:lang w:val="fr-FR" w:eastAsia="en-US"/>
              </w:rPr>
            </w:pPr>
          </w:p>
        </w:tc>
        <w:tc>
          <w:tcPr>
            <w:tcW w:w="2070" w:type="dxa"/>
            <w:shd w:val="clear" w:color="auto" w:fill="EEECE1"/>
          </w:tcPr>
          <w:p w14:paraId="7901D4E3" w14:textId="77777777" w:rsidR="007328B8" w:rsidRPr="005A6420" w:rsidRDefault="007328B8" w:rsidP="007328B8">
            <w:pPr>
              <w:jc w:val="both"/>
              <w:rPr>
                <w:rFonts w:cs="Tahoma"/>
                <w:szCs w:val="20"/>
                <w:lang w:val="fr-FR" w:eastAsia="en-US"/>
              </w:rPr>
            </w:pPr>
            <w:r w:rsidRPr="005A6420">
              <w:rPr>
                <w:rFonts w:cs="Tahoma"/>
                <w:szCs w:val="20"/>
                <w:lang w:val="fr-FR" w:eastAsia="en-US"/>
              </w:rPr>
              <w:t>Indicateur  2.1.2</w:t>
            </w:r>
          </w:p>
          <w:p w14:paraId="565108E4" w14:textId="18C38180" w:rsidR="007328B8" w:rsidRPr="005A6420" w:rsidRDefault="001A3243" w:rsidP="007328B8">
            <w:pPr>
              <w:jc w:val="both"/>
              <w:rPr>
                <w:rFonts w:cs="Tahoma"/>
                <w:szCs w:val="20"/>
                <w:lang w:val="fr-FR" w:eastAsia="en-US"/>
              </w:rPr>
            </w:pPr>
            <w:r w:rsidRPr="00962CD6">
              <w:rPr>
                <w:lang w:val="fr-FR" w:eastAsia="en-US"/>
              </w:rPr>
              <w:t>Nombre d’infrastructures réhabilitées ou construites et qui sont opérationnelles</w:t>
            </w:r>
          </w:p>
        </w:tc>
        <w:tc>
          <w:tcPr>
            <w:tcW w:w="1530" w:type="dxa"/>
            <w:shd w:val="clear" w:color="auto" w:fill="EEECE1"/>
          </w:tcPr>
          <w:p w14:paraId="7DCEF98D" w14:textId="0EAA2302" w:rsidR="007328B8" w:rsidRPr="005A6420" w:rsidRDefault="001A3243" w:rsidP="007328B8">
            <w:pPr>
              <w:rPr>
                <w:lang w:val="fr-FR"/>
              </w:rPr>
            </w:pPr>
            <w:r>
              <w:rPr>
                <w:b/>
                <w:sz w:val="22"/>
                <w:szCs w:val="22"/>
                <w:lang w:val="fr-FR" w:eastAsia="en-US"/>
              </w:rPr>
              <w:t>0</w:t>
            </w:r>
          </w:p>
        </w:tc>
        <w:tc>
          <w:tcPr>
            <w:tcW w:w="1620" w:type="dxa"/>
            <w:shd w:val="clear" w:color="auto" w:fill="EEECE1"/>
          </w:tcPr>
          <w:p w14:paraId="0848978D" w14:textId="45416A57" w:rsidR="007328B8" w:rsidRPr="005A6420" w:rsidRDefault="001A3243" w:rsidP="007328B8">
            <w:pPr>
              <w:rPr>
                <w:lang w:val="fr-FR"/>
              </w:rPr>
            </w:pPr>
            <w:r w:rsidRPr="00962CD6">
              <w:rPr>
                <w:lang w:val="fr-FR" w:eastAsia="en-US"/>
              </w:rPr>
              <w:t xml:space="preserve">≥ </w:t>
            </w:r>
            <w:r>
              <w:rPr>
                <w:lang w:val="fr-FR" w:eastAsia="en-US"/>
              </w:rPr>
              <w:t>5</w:t>
            </w:r>
            <w:r w:rsidRPr="00962CD6">
              <w:rPr>
                <w:lang w:val="fr-FR" w:eastAsia="en-US"/>
              </w:rPr>
              <w:t>0%</w:t>
            </w:r>
          </w:p>
        </w:tc>
        <w:tc>
          <w:tcPr>
            <w:tcW w:w="2070" w:type="dxa"/>
          </w:tcPr>
          <w:p w14:paraId="379A255D" w14:textId="7C752042" w:rsidR="007328B8" w:rsidRPr="004C3C29" w:rsidRDefault="005F5524" w:rsidP="007328B8">
            <w:pPr>
              <w:rPr>
                <w:lang w:val="fr-FR"/>
              </w:rPr>
            </w:pPr>
            <w:r w:rsidRPr="004C3C29">
              <w:rPr>
                <w:sz w:val="22"/>
                <w:szCs w:val="22"/>
                <w:lang w:val="fr-FR" w:eastAsia="en-US"/>
              </w:rPr>
              <w:t xml:space="preserve">- </w:t>
            </w:r>
            <w:r w:rsidR="004C3C29" w:rsidRPr="00B1098D">
              <w:rPr>
                <w:b/>
                <w:lang w:val="fr-FR"/>
              </w:rPr>
              <w:t>12 puits pastoraux</w:t>
            </w:r>
            <w:r w:rsidR="004C3C29" w:rsidRPr="004C3C29">
              <w:rPr>
                <w:lang w:val="fr-FR"/>
              </w:rPr>
              <w:t xml:space="preserve"> (</w:t>
            </w:r>
            <w:r w:rsidRPr="004C3C29">
              <w:rPr>
                <w:lang w:val="fr-FR"/>
              </w:rPr>
              <w:t>prioritaires</w:t>
            </w:r>
            <w:r w:rsidR="004C3C29" w:rsidRPr="004C3C29">
              <w:rPr>
                <w:lang w:val="fr-FR"/>
              </w:rPr>
              <w:t>)</w:t>
            </w:r>
            <w:r w:rsidRPr="004C3C29">
              <w:rPr>
                <w:lang w:val="fr-FR"/>
              </w:rPr>
              <w:t> </w:t>
            </w:r>
            <w:r w:rsidR="004C3C29" w:rsidRPr="004C3C29">
              <w:rPr>
                <w:lang w:val="fr-FR"/>
              </w:rPr>
              <w:t>en phase d’être</w:t>
            </w:r>
          </w:p>
          <w:p w14:paraId="63EAC37A" w14:textId="0D87A7BC" w:rsidR="005F5524" w:rsidRPr="005F5524" w:rsidRDefault="004C3C29" w:rsidP="004C3C29">
            <w:pPr>
              <w:pStyle w:val="ListParagraph"/>
              <w:numPr>
                <w:ilvl w:val="0"/>
                <w:numId w:val="1"/>
              </w:numPr>
              <w:rPr>
                <w:lang w:val="fr-FR"/>
              </w:rPr>
            </w:pPr>
            <w:r>
              <w:rPr>
                <w:lang w:val="fr-FR"/>
              </w:rPr>
              <w:t>r</w:t>
            </w:r>
            <w:r w:rsidR="005F5524">
              <w:rPr>
                <w:lang w:val="fr-FR"/>
              </w:rPr>
              <w:t>éhabilit</w:t>
            </w:r>
            <w:r>
              <w:rPr>
                <w:lang w:val="fr-FR"/>
              </w:rPr>
              <w:t>és</w:t>
            </w:r>
          </w:p>
        </w:tc>
        <w:tc>
          <w:tcPr>
            <w:tcW w:w="2252" w:type="dxa"/>
          </w:tcPr>
          <w:p w14:paraId="405A158F" w14:textId="5FBF3A16" w:rsidR="007328B8" w:rsidRPr="005A6420" w:rsidRDefault="00A21F91" w:rsidP="007328B8">
            <w:pPr>
              <w:rPr>
                <w:lang w:val="fr-FR"/>
              </w:rPr>
            </w:pPr>
            <w:r>
              <w:rPr>
                <w:b/>
                <w:sz w:val="22"/>
                <w:szCs w:val="22"/>
                <w:lang w:val="fr-FR" w:eastAsia="en-US"/>
              </w:rPr>
              <w:t>0</w:t>
            </w:r>
            <w:r w:rsidR="003A2F93">
              <w:rPr>
                <w:b/>
                <w:sz w:val="22"/>
                <w:szCs w:val="22"/>
                <w:lang w:val="fr-FR" w:eastAsia="en-US"/>
              </w:rPr>
              <w:t>%</w:t>
            </w:r>
          </w:p>
        </w:tc>
        <w:tc>
          <w:tcPr>
            <w:tcW w:w="3958" w:type="dxa"/>
          </w:tcPr>
          <w:p w14:paraId="5AF9DA8D" w14:textId="77777777" w:rsidR="007328B8" w:rsidRPr="005A6420" w:rsidRDefault="007328B8"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D168A2" w14:paraId="2407E0AE" w14:textId="77777777" w:rsidTr="008B478D">
        <w:trPr>
          <w:trHeight w:val="512"/>
        </w:trPr>
        <w:tc>
          <w:tcPr>
            <w:tcW w:w="1530" w:type="dxa"/>
            <w:vMerge w:val="restart"/>
          </w:tcPr>
          <w:p w14:paraId="0D5CDE41" w14:textId="77777777" w:rsidR="007328B8" w:rsidRPr="005A6420" w:rsidRDefault="007328B8" w:rsidP="007328B8">
            <w:pPr>
              <w:rPr>
                <w:rFonts w:cs="Tahoma"/>
                <w:b/>
                <w:szCs w:val="20"/>
                <w:lang w:val="fr-FR" w:eastAsia="en-US"/>
              </w:rPr>
            </w:pPr>
          </w:p>
          <w:p w14:paraId="3EC71105" w14:textId="77777777" w:rsidR="007328B8" w:rsidRPr="005A6420" w:rsidRDefault="007328B8" w:rsidP="007328B8">
            <w:pPr>
              <w:rPr>
                <w:rFonts w:cs="Tahoma"/>
                <w:szCs w:val="20"/>
                <w:lang w:val="fr-FR" w:eastAsia="en-US"/>
              </w:rPr>
            </w:pPr>
            <w:r w:rsidRPr="005A6420">
              <w:rPr>
                <w:rFonts w:cs="Tahoma"/>
                <w:szCs w:val="20"/>
                <w:lang w:val="fr-FR" w:eastAsia="en-US"/>
              </w:rPr>
              <w:t>Produit 2.2</w:t>
            </w:r>
          </w:p>
          <w:p w14:paraId="75E4C980" w14:textId="756709A6" w:rsidR="007328B8" w:rsidRPr="005A6420" w:rsidRDefault="001A3243" w:rsidP="007328B8">
            <w:pPr>
              <w:rPr>
                <w:rFonts w:cs="Tahoma"/>
                <w:szCs w:val="20"/>
                <w:lang w:val="fr-FR" w:eastAsia="en-US"/>
              </w:rPr>
            </w:pPr>
            <w:r w:rsidRPr="00962CD6">
              <w:rPr>
                <w:lang w:val="fr-FR" w:eastAsia="en-US"/>
              </w:rPr>
              <w:t xml:space="preserve">Le dialogue intercommunautaire entre agriculteur et éleveurs et entre éleveurs dans les deux préfectures </w:t>
            </w:r>
            <w:r w:rsidRPr="00962CD6">
              <w:rPr>
                <w:lang w:val="fr-FR" w:eastAsia="en-US"/>
              </w:rPr>
              <w:lastRenderedPageBreak/>
              <w:t>est renforcé à travers des initiatives d’appui au bétail.</w:t>
            </w:r>
          </w:p>
        </w:tc>
        <w:tc>
          <w:tcPr>
            <w:tcW w:w="2070" w:type="dxa"/>
            <w:shd w:val="clear" w:color="auto" w:fill="EEECE1"/>
          </w:tcPr>
          <w:p w14:paraId="651327C9" w14:textId="77777777" w:rsidR="007328B8" w:rsidRPr="005A6420" w:rsidRDefault="007328B8" w:rsidP="007328B8">
            <w:pPr>
              <w:jc w:val="both"/>
              <w:rPr>
                <w:rFonts w:cs="Tahoma"/>
                <w:szCs w:val="20"/>
                <w:lang w:val="fr-FR" w:eastAsia="en-US"/>
              </w:rPr>
            </w:pPr>
            <w:r w:rsidRPr="005A6420">
              <w:rPr>
                <w:rFonts w:cs="Tahoma"/>
                <w:szCs w:val="20"/>
                <w:lang w:val="fr-FR" w:eastAsia="en-US"/>
              </w:rPr>
              <w:lastRenderedPageBreak/>
              <w:t>Indicateur  2.2.1</w:t>
            </w:r>
          </w:p>
          <w:p w14:paraId="2AEA46A0" w14:textId="7152D82C" w:rsidR="007328B8" w:rsidRPr="005A6420" w:rsidRDefault="001A3243" w:rsidP="007328B8">
            <w:pPr>
              <w:jc w:val="both"/>
              <w:rPr>
                <w:rFonts w:cs="Tahoma"/>
                <w:szCs w:val="20"/>
                <w:lang w:val="fr-FR" w:eastAsia="en-US"/>
              </w:rPr>
            </w:pPr>
            <w:r w:rsidRPr="00962CD6">
              <w:rPr>
                <w:lang w:val="fr-FR" w:eastAsia="en-US"/>
              </w:rPr>
              <w:t>Taux d’adhésion des populations aux activités des comités de dialogue</w:t>
            </w:r>
          </w:p>
        </w:tc>
        <w:tc>
          <w:tcPr>
            <w:tcW w:w="1530" w:type="dxa"/>
            <w:shd w:val="clear" w:color="auto" w:fill="EEECE1"/>
          </w:tcPr>
          <w:p w14:paraId="78A44495" w14:textId="443D5DA1" w:rsidR="007328B8" w:rsidRPr="005A6420" w:rsidRDefault="001A3243" w:rsidP="007328B8">
            <w:pPr>
              <w:rPr>
                <w:lang w:val="fr-FR"/>
              </w:rPr>
            </w:pPr>
            <w:r w:rsidRPr="00962CD6">
              <w:rPr>
                <w:lang w:val="fr-FR" w:eastAsia="en-US"/>
              </w:rPr>
              <w:t>Etat des lieux de départ</w:t>
            </w:r>
          </w:p>
        </w:tc>
        <w:tc>
          <w:tcPr>
            <w:tcW w:w="1620" w:type="dxa"/>
            <w:shd w:val="clear" w:color="auto" w:fill="EEECE1"/>
          </w:tcPr>
          <w:p w14:paraId="50E80DE0" w14:textId="7771BABA" w:rsidR="007328B8" w:rsidRPr="005A6420" w:rsidRDefault="001A3243" w:rsidP="007328B8">
            <w:pPr>
              <w:rPr>
                <w:lang w:val="fr-FR"/>
              </w:rPr>
            </w:pPr>
            <w:r w:rsidRPr="00962CD6">
              <w:rPr>
                <w:lang w:val="fr-FR" w:eastAsia="en-US"/>
              </w:rPr>
              <w:t>≥ 80%</w:t>
            </w:r>
          </w:p>
        </w:tc>
        <w:tc>
          <w:tcPr>
            <w:tcW w:w="2070" w:type="dxa"/>
          </w:tcPr>
          <w:p w14:paraId="78AAE52C" w14:textId="6083F797" w:rsidR="00D661F1" w:rsidRPr="00D661F1" w:rsidRDefault="00D661F1" w:rsidP="00F14E7F">
            <w:pPr>
              <w:rPr>
                <w:rFonts w:cstheme="minorHAnsi"/>
                <w:b/>
                <w:lang w:val="fr-FR" w:eastAsia="fr-FR"/>
              </w:rPr>
            </w:pPr>
            <w:r w:rsidRPr="00D661F1">
              <w:rPr>
                <w:rFonts w:cstheme="minorHAnsi"/>
                <w:b/>
                <w:lang w:val="fr-FR" w:eastAsia="fr-FR"/>
              </w:rPr>
              <w:t>50%</w:t>
            </w:r>
          </w:p>
          <w:p w14:paraId="51CDC31B" w14:textId="77777777" w:rsidR="00D661F1" w:rsidRDefault="00D661F1" w:rsidP="00F14E7F">
            <w:pPr>
              <w:rPr>
                <w:rFonts w:cstheme="minorHAnsi"/>
                <w:lang w:val="fr-FR" w:eastAsia="fr-FR"/>
              </w:rPr>
            </w:pPr>
          </w:p>
          <w:p w14:paraId="71692D0E" w14:textId="46245AAC" w:rsidR="007328B8" w:rsidRPr="005A6420" w:rsidRDefault="007328B8" w:rsidP="00C0403E">
            <w:pPr>
              <w:pStyle w:val="ListParagraph"/>
              <w:numPr>
                <w:ilvl w:val="0"/>
                <w:numId w:val="1"/>
              </w:numPr>
              <w:rPr>
                <w:lang w:val="fr-FR"/>
              </w:rPr>
            </w:pPr>
          </w:p>
        </w:tc>
        <w:tc>
          <w:tcPr>
            <w:tcW w:w="2252" w:type="dxa"/>
          </w:tcPr>
          <w:p w14:paraId="6AF25464" w14:textId="2DADE83C" w:rsidR="007328B8" w:rsidRPr="005A6420" w:rsidRDefault="00D661F1" w:rsidP="007328B8">
            <w:pPr>
              <w:rPr>
                <w:lang w:val="fr-FR"/>
              </w:rPr>
            </w:pPr>
            <w:r>
              <w:rPr>
                <w:b/>
                <w:sz w:val="22"/>
                <w:szCs w:val="22"/>
                <w:lang w:val="fr-FR" w:eastAsia="en-US"/>
              </w:rPr>
              <w:t>3</w:t>
            </w:r>
            <w:r w:rsidR="00A21F91">
              <w:rPr>
                <w:b/>
                <w:sz w:val="22"/>
                <w:szCs w:val="22"/>
                <w:lang w:val="fr-FR" w:eastAsia="en-US"/>
              </w:rPr>
              <w:t>0</w:t>
            </w:r>
            <w:r w:rsidR="003A2F93">
              <w:rPr>
                <w:b/>
                <w:sz w:val="22"/>
                <w:szCs w:val="22"/>
                <w:lang w:val="fr-FR" w:eastAsia="en-US"/>
              </w:rPr>
              <w:t>%</w:t>
            </w:r>
          </w:p>
        </w:tc>
        <w:tc>
          <w:tcPr>
            <w:tcW w:w="3958" w:type="dxa"/>
          </w:tcPr>
          <w:p w14:paraId="6D9C6627" w14:textId="7E5518A5" w:rsidR="007328B8" w:rsidRPr="005A6420" w:rsidRDefault="007230FE" w:rsidP="007328B8">
            <w:pPr>
              <w:rPr>
                <w:lang w:val="fr-FR"/>
              </w:rPr>
            </w:pPr>
            <w:r w:rsidRPr="007230FE">
              <w:rPr>
                <w:sz w:val="22"/>
                <w:szCs w:val="22"/>
                <w:lang w:val="fr-FR" w:eastAsia="en-US"/>
              </w:rPr>
              <w:t xml:space="preserve">Sensibilisation des comités </w:t>
            </w:r>
            <w:r>
              <w:rPr>
                <w:sz w:val="22"/>
                <w:szCs w:val="22"/>
                <w:lang w:val="fr-FR" w:eastAsia="en-US"/>
              </w:rPr>
              <w:t>de dialogue déjà existant, à</w:t>
            </w:r>
            <w:r w:rsidRPr="007230FE">
              <w:rPr>
                <w:sz w:val="22"/>
                <w:szCs w:val="22"/>
                <w:lang w:val="fr-FR" w:eastAsia="en-US"/>
              </w:rPr>
              <w:t xml:space="preserve"> cet effet</w:t>
            </w:r>
            <w:r>
              <w:rPr>
                <w:b/>
                <w:sz w:val="22"/>
                <w:szCs w:val="22"/>
                <w:lang w:val="fr-FR" w:eastAsia="en-US"/>
              </w:rPr>
              <w:t>.</w:t>
            </w:r>
          </w:p>
        </w:tc>
      </w:tr>
      <w:tr w:rsidR="00961E9F" w:rsidRPr="00D168A2" w14:paraId="0D3A8502" w14:textId="77777777" w:rsidTr="008B478D">
        <w:trPr>
          <w:trHeight w:val="458"/>
        </w:trPr>
        <w:tc>
          <w:tcPr>
            <w:tcW w:w="1530" w:type="dxa"/>
            <w:vMerge/>
          </w:tcPr>
          <w:p w14:paraId="5D432616" w14:textId="77777777" w:rsidR="00961E9F" w:rsidRPr="005A6420" w:rsidRDefault="00961E9F" w:rsidP="00961E9F">
            <w:pPr>
              <w:rPr>
                <w:rFonts w:cs="Tahoma"/>
                <w:b/>
                <w:szCs w:val="20"/>
                <w:lang w:val="fr-FR" w:eastAsia="en-US"/>
              </w:rPr>
            </w:pPr>
          </w:p>
        </w:tc>
        <w:tc>
          <w:tcPr>
            <w:tcW w:w="2070" w:type="dxa"/>
            <w:shd w:val="clear" w:color="auto" w:fill="EEECE1"/>
          </w:tcPr>
          <w:p w14:paraId="741900A4"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2.2.2</w:t>
            </w:r>
          </w:p>
          <w:p w14:paraId="7E3A8DEF" w14:textId="438D4045" w:rsidR="00961E9F" w:rsidRPr="005A6420" w:rsidRDefault="00961E9F" w:rsidP="00961E9F">
            <w:pPr>
              <w:jc w:val="both"/>
              <w:rPr>
                <w:rFonts w:cs="Tahoma"/>
                <w:szCs w:val="20"/>
                <w:lang w:val="fr-FR" w:eastAsia="en-US"/>
              </w:rPr>
            </w:pPr>
            <w:r w:rsidRPr="00962CD6">
              <w:rPr>
                <w:lang w:val="fr-FR" w:eastAsia="en-US"/>
              </w:rPr>
              <w:t xml:space="preserve">Participation accrue des 2 communautés aux initiatives </w:t>
            </w:r>
            <w:r w:rsidRPr="00962CD6">
              <w:rPr>
                <w:lang w:val="fr-FR" w:eastAsia="en-US"/>
              </w:rPr>
              <w:lastRenderedPageBreak/>
              <w:t>conjointes (agriculteurs/éleveurs)</w:t>
            </w:r>
          </w:p>
        </w:tc>
        <w:tc>
          <w:tcPr>
            <w:tcW w:w="1530" w:type="dxa"/>
            <w:shd w:val="clear" w:color="auto" w:fill="EEECE1"/>
          </w:tcPr>
          <w:p w14:paraId="2763FB7E" w14:textId="71AD8DE9" w:rsidR="00961E9F" w:rsidRPr="005A6420" w:rsidRDefault="00961E9F" w:rsidP="00961E9F">
            <w:pPr>
              <w:rPr>
                <w:lang w:val="fr-FR"/>
              </w:rPr>
            </w:pPr>
            <w:r>
              <w:rPr>
                <w:b/>
                <w:sz w:val="22"/>
                <w:szCs w:val="22"/>
                <w:lang w:val="fr-FR" w:eastAsia="en-US"/>
              </w:rPr>
              <w:lastRenderedPageBreak/>
              <w:t>0</w:t>
            </w:r>
          </w:p>
        </w:tc>
        <w:tc>
          <w:tcPr>
            <w:tcW w:w="1620" w:type="dxa"/>
            <w:shd w:val="clear" w:color="auto" w:fill="EEECE1"/>
          </w:tcPr>
          <w:p w14:paraId="41B3D961" w14:textId="190A2605" w:rsidR="00961E9F" w:rsidRPr="005A6420" w:rsidRDefault="00961E9F" w:rsidP="00961E9F">
            <w:pPr>
              <w:rPr>
                <w:lang w:val="fr-FR"/>
              </w:rPr>
            </w:pPr>
            <w:r>
              <w:rPr>
                <w:b/>
                <w:sz w:val="22"/>
                <w:szCs w:val="22"/>
                <w:lang w:val="fr-FR" w:eastAsia="en-US"/>
              </w:rPr>
              <w:t>60%</w:t>
            </w:r>
          </w:p>
        </w:tc>
        <w:tc>
          <w:tcPr>
            <w:tcW w:w="2070" w:type="dxa"/>
          </w:tcPr>
          <w:p w14:paraId="7BBDC810" w14:textId="2AEC0D84" w:rsidR="00C0403E" w:rsidRPr="00C0403E" w:rsidRDefault="00C0403E" w:rsidP="00160010">
            <w:pPr>
              <w:pStyle w:val="Default"/>
              <w:numPr>
                <w:ilvl w:val="0"/>
                <w:numId w:val="1"/>
              </w:numPr>
              <w:jc w:val="both"/>
              <w:rPr>
                <w:b/>
                <w:sz w:val="23"/>
                <w:szCs w:val="23"/>
                <w:lang w:val="fr-FR"/>
              </w:rPr>
            </w:pPr>
            <w:r w:rsidRPr="00C0403E">
              <w:rPr>
                <w:b/>
                <w:sz w:val="23"/>
                <w:szCs w:val="23"/>
                <w:lang w:val="fr-FR"/>
              </w:rPr>
              <w:t>30%</w:t>
            </w:r>
          </w:p>
          <w:p w14:paraId="3CCF38A0" w14:textId="77777777" w:rsidR="00C0403E" w:rsidRDefault="00C0403E" w:rsidP="00160010">
            <w:pPr>
              <w:pStyle w:val="Default"/>
              <w:numPr>
                <w:ilvl w:val="0"/>
                <w:numId w:val="1"/>
              </w:numPr>
              <w:jc w:val="both"/>
              <w:rPr>
                <w:sz w:val="23"/>
                <w:szCs w:val="23"/>
                <w:lang w:val="fr-FR"/>
              </w:rPr>
            </w:pPr>
          </w:p>
          <w:p w14:paraId="431D53F5" w14:textId="77777777" w:rsidR="00961E9F" w:rsidRPr="008F5825" w:rsidRDefault="00961E9F" w:rsidP="00961E9F">
            <w:pPr>
              <w:pStyle w:val="Default"/>
              <w:jc w:val="both"/>
              <w:rPr>
                <w:sz w:val="23"/>
                <w:szCs w:val="23"/>
                <w:lang w:val="fr-FR"/>
              </w:rPr>
            </w:pPr>
          </w:p>
          <w:p w14:paraId="2BA73874" w14:textId="444DFB45" w:rsidR="00961E9F" w:rsidRPr="005A6420" w:rsidRDefault="00961E9F" w:rsidP="00961E9F">
            <w:pPr>
              <w:rPr>
                <w:lang w:val="fr-FR"/>
              </w:rPr>
            </w:pPr>
          </w:p>
        </w:tc>
        <w:tc>
          <w:tcPr>
            <w:tcW w:w="2252" w:type="dxa"/>
          </w:tcPr>
          <w:p w14:paraId="492D884A" w14:textId="567134DF" w:rsidR="00961E9F" w:rsidRPr="005A6420" w:rsidRDefault="00C0403E" w:rsidP="00961E9F">
            <w:pPr>
              <w:rPr>
                <w:lang w:val="fr-FR"/>
              </w:rPr>
            </w:pPr>
            <w:r>
              <w:rPr>
                <w:b/>
                <w:sz w:val="22"/>
                <w:szCs w:val="22"/>
                <w:lang w:val="fr-FR" w:eastAsia="en-US"/>
              </w:rPr>
              <w:t>3</w:t>
            </w:r>
            <w:r w:rsidR="00961E9F">
              <w:rPr>
                <w:b/>
                <w:sz w:val="22"/>
                <w:szCs w:val="22"/>
                <w:lang w:val="fr-FR" w:eastAsia="en-US"/>
              </w:rPr>
              <w:t>0%</w:t>
            </w:r>
          </w:p>
        </w:tc>
        <w:tc>
          <w:tcPr>
            <w:tcW w:w="3958" w:type="dxa"/>
          </w:tcPr>
          <w:p w14:paraId="72D26A07" w14:textId="426C31A1" w:rsidR="00961E9F" w:rsidRPr="005A6420" w:rsidRDefault="00C0403E" w:rsidP="00961E9F">
            <w:pPr>
              <w:rPr>
                <w:lang w:val="fr-FR"/>
              </w:rPr>
            </w:pPr>
            <w:r w:rsidRPr="00521391">
              <w:rPr>
                <w:sz w:val="22"/>
                <w:szCs w:val="22"/>
                <w:lang w:val="fr-FR" w:eastAsia="en-US"/>
              </w:rPr>
              <w:t>Engouement de toutes les communautés à s’impliquer dans les activités du projet</w:t>
            </w:r>
            <w:r>
              <w:rPr>
                <w:b/>
                <w:sz w:val="22"/>
                <w:szCs w:val="22"/>
                <w:lang w:val="fr-FR" w:eastAsia="en-US"/>
              </w:rPr>
              <w:t>.</w:t>
            </w:r>
          </w:p>
        </w:tc>
      </w:tr>
      <w:tr w:rsidR="00961E9F" w:rsidRPr="00D168A2" w14:paraId="721B3FB7" w14:textId="77777777" w:rsidTr="008B478D">
        <w:trPr>
          <w:trHeight w:val="458"/>
        </w:trPr>
        <w:tc>
          <w:tcPr>
            <w:tcW w:w="1530" w:type="dxa"/>
            <w:vMerge w:val="restart"/>
          </w:tcPr>
          <w:p w14:paraId="190D57F3" w14:textId="77777777" w:rsidR="00961E9F" w:rsidRPr="005A6420" w:rsidRDefault="00961E9F" w:rsidP="00961E9F">
            <w:pPr>
              <w:rPr>
                <w:rFonts w:cs="Tahoma"/>
                <w:b/>
                <w:szCs w:val="20"/>
                <w:lang w:val="fr-FR" w:eastAsia="en-US"/>
              </w:rPr>
            </w:pPr>
          </w:p>
          <w:p w14:paraId="2FF3BDED" w14:textId="77777777" w:rsidR="00961E9F" w:rsidRPr="005A6420" w:rsidRDefault="00961E9F" w:rsidP="00961E9F">
            <w:pPr>
              <w:rPr>
                <w:rFonts w:cs="Tahoma"/>
                <w:szCs w:val="20"/>
                <w:lang w:val="fr-FR" w:eastAsia="en-US"/>
              </w:rPr>
            </w:pPr>
            <w:r w:rsidRPr="005A6420">
              <w:rPr>
                <w:rFonts w:cs="Tahoma"/>
                <w:szCs w:val="20"/>
                <w:lang w:val="fr-FR" w:eastAsia="en-US"/>
              </w:rPr>
              <w:t>Produit 2.3</w:t>
            </w:r>
          </w:p>
          <w:p w14:paraId="34C9ECDD" w14:textId="43435FA1" w:rsidR="00961E9F" w:rsidRPr="005A6420" w:rsidRDefault="00961E9F" w:rsidP="00961E9F">
            <w:pPr>
              <w:rPr>
                <w:rFonts w:cs="Tahoma"/>
                <w:szCs w:val="20"/>
                <w:lang w:val="fr-FR" w:eastAsia="en-US"/>
              </w:rPr>
            </w:pPr>
            <w:r w:rsidRPr="00962CD6">
              <w:rPr>
                <w:lang w:val="fr-FR" w:eastAsia="en-US"/>
              </w:rPr>
              <w:t>Les plateformes de dialogue sur la transhumance et les mécanismes de coordination locale et régionale (voire transfrontalière) sont renforcées à travers une communication régulière.</w:t>
            </w:r>
          </w:p>
        </w:tc>
        <w:tc>
          <w:tcPr>
            <w:tcW w:w="2070" w:type="dxa"/>
            <w:shd w:val="clear" w:color="auto" w:fill="EEECE1"/>
          </w:tcPr>
          <w:p w14:paraId="4190A3DD"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2.3.1</w:t>
            </w:r>
          </w:p>
          <w:p w14:paraId="64EB3D5C" w14:textId="64F2A927" w:rsidR="00961E9F" w:rsidRPr="005A6420" w:rsidRDefault="00961E9F" w:rsidP="00961E9F">
            <w:pPr>
              <w:jc w:val="both"/>
              <w:rPr>
                <w:rFonts w:cs="Tahoma"/>
                <w:szCs w:val="20"/>
                <w:lang w:val="fr-FR" w:eastAsia="en-US"/>
              </w:rPr>
            </w:pPr>
            <w:r w:rsidRPr="00C4431D">
              <w:rPr>
                <w:lang w:val="fr-FR" w:eastAsia="en-US"/>
              </w:rPr>
              <w:t>Nombre de réunions de transhumance transfrontalière Cameroun, RCA, Tchad organisées</w:t>
            </w:r>
          </w:p>
        </w:tc>
        <w:tc>
          <w:tcPr>
            <w:tcW w:w="1530" w:type="dxa"/>
            <w:shd w:val="clear" w:color="auto" w:fill="EEECE1"/>
          </w:tcPr>
          <w:p w14:paraId="2F9DD7BA" w14:textId="10A5CA0A" w:rsidR="00961E9F" w:rsidRPr="005A6420" w:rsidRDefault="00961E9F" w:rsidP="00961E9F">
            <w:pPr>
              <w:rPr>
                <w:lang w:val="fr-FR"/>
              </w:rPr>
            </w:pPr>
            <w:r>
              <w:rPr>
                <w:b/>
                <w:sz w:val="22"/>
                <w:szCs w:val="22"/>
                <w:lang w:val="fr-FR" w:eastAsia="en-US"/>
              </w:rPr>
              <w:t>0</w:t>
            </w:r>
          </w:p>
        </w:tc>
        <w:tc>
          <w:tcPr>
            <w:tcW w:w="1620" w:type="dxa"/>
            <w:shd w:val="clear" w:color="auto" w:fill="EEECE1"/>
          </w:tcPr>
          <w:p w14:paraId="5569C439" w14:textId="3B1E8D91" w:rsidR="00961E9F" w:rsidRPr="005A6420" w:rsidRDefault="00961E9F" w:rsidP="00961E9F">
            <w:pPr>
              <w:rPr>
                <w:lang w:val="fr-FR"/>
              </w:rPr>
            </w:pPr>
            <w:r>
              <w:rPr>
                <w:b/>
                <w:sz w:val="22"/>
                <w:szCs w:val="22"/>
                <w:lang w:val="fr-FR" w:eastAsia="en-US"/>
              </w:rPr>
              <w:t>3</w:t>
            </w:r>
          </w:p>
        </w:tc>
        <w:tc>
          <w:tcPr>
            <w:tcW w:w="2070" w:type="dxa"/>
          </w:tcPr>
          <w:p w14:paraId="36D89439" w14:textId="55321FB8" w:rsidR="00C0403E" w:rsidRPr="00C0403E" w:rsidRDefault="00C0403E" w:rsidP="00160010">
            <w:pPr>
              <w:pStyle w:val="ListParagraph"/>
              <w:numPr>
                <w:ilvl w:val="0"/>
                <w:numId w:val="1"/>
              </w:numPr>
              <w:rPr>
                <w:b/>
                <w:lang w:val="fr-FR"/>
              </w:rPr>
            </w:pPr>
            <w:r w:rsidRPr="00C0403E">
              <w:rPr>
                <w:b/>
                <w:lang w:val="fr-FR"/>
              </w:rPr>
              <w:t>1</w:t>
            </w:r>
          </w:p>
          <w:p w14:paraId="5E89D3EA" w14:textId="77777777" w:rsidR="00C0403E" w:rsidRDefault="00C0403E" w:rsidP="00160010">
            <w:pPr>
              <w:pStyle w:val="ListParagraph"/>
              <w:numPr>
                <w:ilvl w:val="0"/>
                <w:numId w:val="1"/>
              </w:numPr>
              <w:rPr>
                <w:lang w:val="fr-FR"/>
              </w:rPr>
            </w:pPr>
          </w:p>
          <w:p w14:paraId="5599ADC0" w14:textId="6B9D372B" w:rsidR="00351C7B" w:rsidRPr="00351C7B" w:rsidRDefault="00351C7B" w:rsidP="00160010">
            <w:pPr>
              <w:pStyle w:val="ListParagraph"/>
              <w:numPr>
                <w:ilvl w:val="0"/>
                <w:numId w:val="1"/>
              </w:numPr>
              <w:rPr>
                <w:lang w:val="fr-FR"/>
              </w:rPr>
            </w:pPr>
          </w:p>
        </w:tc>
        <w:tc>
          <w:tcPr>
            <w:tcW w:w="2252" w:type="dxa"/>
          </w:tcPr>
          <w:p w14:paraId="03AB7FF0" w14:textId="095A56A6" w:rsidR="00961E9F" w:rsidRPr="005A6420" w:rsidRDefault="00443868" w:rsidP="00961E9F">
            <w:pPr>
              <w:rPr>
                <w:lang w:val="fr-FR"/>
              </w:rPr>
            </w:pPr>
            <w:r>
              <w:rPr>
                <w:b/>
                <w:sz w:val="22"/>
                <w:szCs w:val="22"/>
                <w:lang w:val="fr-FR" w:eastAsia="en-US"/>
              </w:rPr>
              <w:t>1</w:t>
            </w:r>
          </w:p>
        </w:tc>
        <w:tc>
          <w:tcPr>
            <w:tcW w:w="3958" w:type="dxa"/>
          </w:tcPr>
          <w:p w14:paraId="6557BDDA" w14:textId="564B2921" w:rsidR="00961E9F" w:rsidRPr="00443868" w:rsidRDefault="00443868" w:rsidP="00443868">
            <w:pPr>
              <w:rPr>
                <w:lang w:val="fr-FR"/>
              </w:rPr>
            </w:pPr>
            <w:r w:rsidRPr="00443868">
              <w:rPr>
                <w:sz w:val="22"/>
                <w:szCs w:val="22"/>
                <w:lang w:val="fr-FR" w:eastAsia="en-US"/>
              </w:rPr>
              <w:t>Une réunion organisée</w:t>
            </w:r>
            <w:r>
              <w:rPr>
                <w:sz w:val="22"/>
                <w:szCs w:val="22"/>
                <w:lang w:val="fr-FR" w:eastAsia="en-US"/>
              </w:rPr>
              <w:t xml:space="preserve"> sur financement d’</w:t>
            </w:r>
            <w:r w:rsidRPr="00443868">
              <w:rPr>
                <w:sz w:val="22"/>
                <w:szCs w:val="22"/>
                <w:lang w:val="fr-FR" w:eastAsia="en-US"/>
              </w:rPr>
              <w:t>un projet</w:t>
            </w:r>
            <w:r>
              <w:rPr>
                <w:sz w:val="22"/>
                <w:szCs w:val="22"/>
                <w:lang w:val="fr-FR" w:eastAsia="en-US"/>
              </w:rPr>
              <w:t xml:space="preserve"> PBF</w:t>
            </w:r>
            <w:r w:rsidRPr="00443868">
              <w:rPr>
                <w:sz w:val="22"/>
                <w:szCs w:val="22"/>
                <w:lang w:val="fr-FR" w:eastAsia="en-US"/>
              </w:rPr>
              <w:t xml:space="preserve"> du Cameroun</w:t>
            </w:r>
          </w:p>
        </w:tc>
      </w:tr>
      <w:tr w:rsidR="00961E9F" w:rsidRPr="005A6420" w14:paraId="2F9C0C94" w14:textId="77777777" w:rsidTr="008B478D">
        <w:trPr>
          <w:trHeight w:val="458"/>
        </w:trPr>
        <w:tc>
          <w:tcPr>
            <w:tcW w:w="1530" w:type="dxa"/>
            <w:vMerge/>
          </w:tcPr>
          <w:p w14:paraId="1A68426C" w14:textId="77777777" w:rsidR="00961E9F" w:rsidRPr="005A6420" w:rsidRDefault="00961E9F" w:rsidP="00961E9F">
            <w:pPr>
              <w:rPr>
                <w:rFonts w:cs="Tahoma"/>
                <w:b/>
                <w:szCs w:val="20"/>
                <w:lang w:val="fr-FR" w:eastAsia="en-US"/>
              </w:rPr>
            </w:pPr>
          </w:p>
        </w:tc>
        <w:tc>
          <w:tcPr>
            <w:tcW w:w="2070" w:type="dxa"/>
            <w:shd w:val="clear" w:color="auto" w:fill="EEECE1"/>
          </w:tcPr>
          <w:p w14:paraId="2CC8F54A"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2.3.2</w:t>
            </w:r>
          </w:p>
          <w:p w14:paraId="3476D95F" w14:textId="56592D2E" w:rsidR="00961E9F" w:rsidRPr="005A6420" w:rsidRDefault="00961E9F" w:rsidP="00961E9F">
            <w:pPr>
              <w:jc w:val="both"/>
              <w:rPr>
                <w:rFonts w:cs="Tahoma"/>
                <w:szCs w:val="20"/>
                <w:lang w:val="fr-FR" w:eastAsia="en-US"/>
              </w:rPr>
            </w:pPr>
            <w:r w:rsidRPr="00C4431D">
              <w:rPr>
                <w:lang w:val="fr-FR" w:eastAsia="en-US"/>
              </w:rPr>
              <w:t>Nombre de réunions des commissions mixtes RCA/Cameroun et RCA/Tchad organisée</w:t>
            </w:r>
          </w:p>
        </w:tc>
        <w:tc>
          <w:tcPr>
            <w:tcW w:w="1530" w:type="dxa"/>
            <w:shd w:val="clear" w:color="auto" w:fill="EEECE1"/>
          </w:tcPr>
          <w:p w14:paraId="4E7DE1E9" w14:textId="5999A2DC" w:rsidR="00961E9F" w:rsidRPr="005A6420" w:rsidRDefault="00961E9F" w:rsidP="00961E9F">
            <w:pPr>
              <w:rPr>
                <w:lang w:val="fr-FR"/>
              </w:rPr>
            </w:pPr>
            <w:r>
              <w:rPr>
                <w:b/>
                <w:sz w:val="22"/>
                <w:szCs w:val="22"/>
                <w:lang w:val="fr-FR" w:eastAsia="en-US"/>
              </w:rPr>
              <w:t>0</w:t>
            </w:r>
          </w:p>
        </w:tc>
        <w:tc>
          <w:tcPr>
            <w:tcW w:w="1620" w:type="dxa"/>
            <w:shd w:val="clear" w:color="auto" w:fill="EEECE1"/>
          </w:tcPr>
          <w:p w14:paraId="4E507DA9" w14:textId="6EE388EB" w:rsidR="00961E9F" w:rsidRPr="005A6420" w:rsidRDefault="00961E9F" w:rsidP="00961E9F">
            <w:pPr>
              <w:rPr>
                <w:lang w:val="fr-FR"/>
              </w:rPr>
            </w:pPr>
            <w:r>
              <w:rPr>
                <w:b/>
                <w:sz w:val="22"/>
                <w:szCs w:val="22"/>
                <w:lang w:val="fr-FR" w:eastAsia="en-US"/>
              </w:rPr>
              <w:t>2</w:t>
            </w:r>
          </w:p>
        </w:tc>
        <w:tc>
          <w:tcPr>
            <w:tcW w:w="2070" w:type="dxa"/>
          </w:tcPr>
          <w:p w14:paraId="29FA83AC" w14:textId="3B23646A" w:rsidR="00C0403E" w:rsidRPr="00C0403E" w:rsidRDefault="00C0403E" w:rsidP="00351C7B">
            <w:pPr>
              <w:pStyle w:val="ListParagraph"/>
              <w:numPr>
                <w:ilvl w:val="0"/>
                <w:numId w:val="1"/>
              </w:numPr>
              <w:rPr>
                <w:b/>
                <w:lang w:val="fr-FR"/>
              </w:rPr>
            </w:pPr>
            <w:r w:rsidRPr="00C0403E">
              <w:rPr>
                <w:b/>
                <w:lang w:val="fr-FR"/>
              </w:rPr>
              <w:t>1</w:t>
            </w:r>
          </w:p>
          <w:p w14:paraId="2BA40433" w14:textId="77777777" w:rsidR="00C0403E" w:rsidRDefault="00C0403E" w:rsidP="00351C7B">
            <w:pPr>
              <w:pStyle w:val="ListParagraph"/>
              <w:numPr>
                <w:ilvl w:val="0"/>
                <w:numId w:val="1"/>
              </w:numPr>
              <w:rPr>
                <w:lang w:val="fr-FR"/>
              </w:rPr>
            </w:pPr>
          </w:p>
          <w:p w14:paraId="00F1AA52" w14:textId="341A2E0A" w:rsidR="00961E9F" w:rsidRPr="00583F75" w:rsidRDefault="00351C7B" w:rsidP="00160010">
            <w:pPr>
              <w:pStyle w:val="ListParagraph"/>
              <w:numPr>
                <w:ilvl w:val="0"/>
                <w:numId w:val="1"/>
              </w:numPr>
              <w:rPr>
                <w:lang w:val="fr-FR"/>
              </w:rPr>
            </w:pPr>
            <w:r w:rsidRPr="00583F75">
              <w:rPr>
                <w:lang w:val="fr-FR"/>
              </w:rPr>
              <w:t xml:space="preserve"> </w:t>
            </w:r>
          </w:p>
        </w:tc>
        <w:tc>
          <w:tcPr>
            <w:tcW w:w="2252" w:type="dxa"/>
          </w:tcPr>
          <w:p w14:paraId="521FAACF" w14:textId="39861341" w:rsidR="00961E9F" w:rsidRPr="005A6420" w:rsidRDefault="00961E9F" w:rsidP="00961E9F">
            <w:pPr>
              <w:rPr>
                <w:lang w:val="fr-FR"/>
              </w:rPr>
            </w:pPr>
            <w:r>
              <w:rPr>
                <w:b/>
                <w:sz w:val="22"/>
                <w:szCs w:val="22"/>
                <w:lang w:val="fr-FR" w:eastAsia="en-US"/>
              </w:rPr>
              <w:t>0</w:t>
            </w:r>
          </w:p>
        </w:tc>
        <w:tc>
          <w:tcPr>
            <w:tcW w:w="3958" w:type="dxa"/>
          </w:tcPr>
          <w:p w14:paraId="23E8A8A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2DB2A2DA" w14:textId="77777777" w:rsidTr="008B478D">
        <w:trPr>
          <w:trHeight w:val="458"/>
        </w:trPr>
        <w:tc>
          <w:tcPr>
            <w:tcW w:w="1530" w:type="dxa"/>
            <w:vMerge w:val="restart"/>
          </w:tcPr>
          <w:p w14:paraId="109B5CCA" w14:textId="77777777" w:rsidR="00961E9F" w:rsidRPr="005A6420" w:rsidRDefault="00961E9F" w:rsidP="00961E9F">
            <w:pPr>
              <w:rPr>
                <w:rFonts w:cs="Tahoma"/>
                <w:b/>
                <w:szCs w:val="20"/>
                <w:lang w:val="fr-FR" w:eastAsia="en-US"/>
              </w:rPr>
            </w:pPr>
          </w:p>
          <w:p w14:paraId="33436EC0" w14:textId="77777777" w:rsidR="00961E9F" w:rsidRPr="005A6420" w:rsidRDefault="00961E9F" w:rsidP="00961E9F">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2" w:type="dxa"/>
          </w:tcPr>
          <w:p w14:paraId="38AC814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958" w:type="dxa"/>
          </w:tcPr>
          <w:p w14:paraId="4CE95019"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2642E" w:rsidRPr="00D168A2" w14:paraId="3C8B8D9B" w14:textId="77777777" w:rsidTr="008B478D">
        <w:trPr>
          <w:trHeight w:val="458"/>
        </w:trPr>
        <w:tc>
          <w:tcPr>
            <w:tcW w:w="1530" w:type="dxa"/>
            <w:vMerge/>
          </w:tcPr>
          <w:p w14:paraId="391E61E2" w14:textId="77777777" w:rsidR="00F2642E" w:rsidRPr="005A6420" w:rsidRDefault="00F2642E" w:rsidP="00F2642E">
            <w:pPr>
              <w:rPr>
                <w:rFonts w:cs="Tahoma"/>
                <w:b/>
                <w:szCs w:val="20"/>
                <w:lang w:val="fr-FR" w:eastAsia="en-US"/>
              </w:rPr>
            </w:pPr>
          </w:p>
        </w:tc>
        <w:tc>
          <w:tcPr>
            <w:tcW w:w="2070" w:type="dxa"/>
            <w:shd w:val="clear" w:color="auto" w:fill="EEECE1"/>
          </w:tcPr>
          <w:p w14:paraId="5D9DE907" w14:textId="77777777" w:rsidR="00F2642E" w:rsidRPr="005A6420" w:rsidRDefault="00F2642E" w:rsidP="00F2642E">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0B055CB3" w:rsidR="00F2642E" w:rsidRPr="005A6420" w:rsidRDefault="00F2642E" w:rsidP="00F2642E">
            <w:pPr>
              <w:jc w:val="both"/>
              <w:rPr>
                <w:rFonts w:cs="Tahoma"/>
                <w:szCs w:val="20"/>
                <w:lang w:val="fr-FR" w:eastAsia="en-US"/>
              </w:rPr>
            </w:pPr>
            <w:r w:rsidRPr="00C4431D">
              <w:rPr>
                <w:lang w:val="fr-FR" w:eastAsia="en-US"/>
              </w:rPr>
              <w:t>Nombre de cadres et d’agents des institutions décentralisées, des organisations professionnelles et des communautés de base formés et fournissant des services de qualité et durables aux agriculteurs et éleveurs</w:t>
            </w:r>
          </w:p>
        </w:tc>
        <w:tc>
          <w:tcPr>
            <w:tcW w:w="1530" w:type="dxa"/>
            <w:shd w:val="clear" w:color="auto" w:fill="EEECE1"/>
          </w:tcPr>
          <w:p w14:paraId="6BC3067B" w14:textId="1CBD3B43" w:rsidR="00F2642E" w:rsidRPr="001A3243" w:rsidRDefault="00F2642E" w:rsidP="00F2642E">
            <w:pPr>
              <w:rPr>
                <w:bCs/>
                <w:sz w:val="22"/>
                <w:szCs w:val="22"/>
                <w:lang w:val="fr-FR" w:eastAsia="en-US"/>
              </w:rPr>
            </w:pPr>
            <w:r w:rsidRPr="001A3243">
              <w:rPr>
                <w:bCs/>
                <w:sz w:val="22"/>
                <w:szCs w:val="22"/>
                <w:lang w:val="fr-FR" w:eastAsia="en-US"/>
              </w:rPr>
              <w:t>E</w:t>
            </w:r>
            <w:r w:rsidRPr="001A3243">
              <w:rPr>
                <w:bCs/>
                <w:lang w:val="fr-FR" w:eastAsia="en-US"/>
              </w:rPr>
              <w:t>tat des lieux de départ</w:t>
            </w:r>
          </w:p>
        </w:tc>
        <w:tc>
          <w:tcPr>
            <w:tcW w:w="1620" w:type="dxa"/>
            <w:shd w:val="clear" w:color="auto" w:fill="EEECE1"/>
          </w:tcPr>
          <w:p w14:paraId="33DC7C12" w14:textId="399A16D5" w:rsidR="00F2642E" w:rsidRPr="005A6420" w:rsidRDefault="00F2642E" w:rsidP="00F2642E">
            <w:pPr>
              <w:rPr>
                <w:b/>
                <w:sz w:val="22"/>
                <w:szCs w:val="22"/>
                <w:lang w:val="fr-FR" w:eastAsia="en-US"/>
              </w:rPr>
            </w:pPr>
            <w:r>
              <w:rPr>
                <w:b/>
                <w:sz w:val="22"/>
                <w:szCs w:val="22"/>
                <w:lang w:val="fr-FR" w:eastAsia="en-US"/>
              </w:rPr>
              <w:t>120</w:t>
            </w:r>
          </w:p>
        </w:tc>
        <w:tc>
          <w:tcPr>
            <w:tcW w:w="2070" w:type="dxa"/>
          </w:tcPr>
          <w:p w14:paraId="2C907ADC" w14:textId="6E063876" w:rsidR="00F2642E" w:rsidRPr="005A6420" w:rsidRDefault="00F2642E" w:rsidP="00F2642E">
            <w:pPr>
              <w:rPr>
                <w:b/>
                <w:sz w:val="22"/>
                <w:szCs w:val="22"/>
                <w:lang w:val="fr-FR" w:eastAsia="en-US"/>
              </w:rPr>
            </w:pPr>
            <w:r>
              <w:rPr>
                <w:b/>
                <w:sz w:val="22"/>
                <w:szCs w:val="22"/>
                <w:lang w:val="fr-FR" w:eastAsia="en-US"/>
              </w:rPr>
              <w:t>120</w:t>
            </w:r>
          </w:p>
        </w:tc>
        <w:tc>
          <w:tcPr>
            <w:tcW w:w="2252" w:type="dxa"/>
          </w:tcPr>
          <w:p w14:paraId="44609B2F" w14:textId="077B7341" w:rsidR="00F2642E" w:rsidRPr="00E809F0" w:rsidRDefault="00F2642E" w:rsidP="00F2642E">
            <w:pPr>
              <w:jc w:val="both"/>
              <w:rPr>
                <w:b/>
                <w:sz w:val="22"/>
                <w:szCs w:val="22"/>
                <w:lang w:val="fr-FR" w:eastAsia="en-US"/>
              </w:rPr>
            </w:pPr>
            <w:r>
              <w:rPr>
                <w:b/>
                <w:sz w:val="22"/>
                <w:szCs w:val="22"/>
                <w:lang w:val="fr-FR" w:eastAsia="en-US"/>
              </w:rPr>
              <w:t xml:space="preserve">187 </w:t>
            </w:r>
            <w:r w:rsidRPr="00066AD9">
              <w:rPr>
                <w:sz w:val="22"/>
                <w:lang w:val="fr-FR" w:eastAsia="en-US"/>
              </w:rPr>
              <w:t>agents des institutions décentralisées, des organisations professionnelles et des communautés de base formés</w:t>
            </w:r>
            <w:r>
              <w:rPr>
                <w:sz w:val="22"/>
                <w:lang w:val="fr-FR" w:eastAsia="en-US"/>
              </w:rPr>
              <w:t xml:space="preserve"> en matière de prévention et réponse aux VBG afin de </w:t>
            </w:r>
            <w:r w:rsidRPr="00066AD9">
              <w:rPr>
                <w:sz w:val="22"/>
                <w:lang w:val="fr-FR" w:eastAsia="en-US"/>
              </w:rPr>
              <w:t>fourni</w:t>
            </w:r>
            <w:r>
              <w:rPr>
                <w:sz w:val="22"/>
                <w:lang w:val="fr-FR" w:eastAsia="en-US"/>
              </w:rPr>
              <w:t xml:space="preserve">r </w:t>
            </w:r>
            <w:r w:rsidRPr="00066AD9">
              <w:rPr>
                <w:sz w:val="22"/>
                <w:lang w:val="fr-FR" w:eastAsia="en-US"/>
              </w:rPr>
              <w:t xml:space="preserve">des services de qualité et durables aux </w:t>
            </w:r>
            <w:r>
              <w:rPr>
                <w:sz w:val="22"/>
                <w:lang w:val="fr-FR" w:eastAsia="en-US"/>
              </w:rPr>
              <w:t>bénéficiaires du projet.</w:t>
            </w:r>
          </w:p>
          <w:p w14:paraId="492E3603" w14:textId="77777777" w:rsidR="00F2642E" w:rsidRPr="00E809F0" w:rsidRDefault="00F2642E" w:rsidP="00F2642E">
            <w:pPr>
              <w:rPr>
                <w:b/>
                <w:sz w:val="22"/>
                <w:szCs w:val="22"/>
                <w:lang w:val="fr-FR" w:eastAsia="en-US"/>
              </w:rPr>
            </w:pPr>
          </w:p>
          <w:p w14:paraId="3DC605DD" w14:textId="7FB1002C" w:rsidR="00F2642E" w:rsidRPr="005A6420" w:rsidRDefault="00F2642E" w:rsidP="00F2642E">
            <w:pPr>
              <w:rPr>
                <w:b/>
                <w:sz w:val="22"/>
                <w:szCs w:val="22"/>
                <w:lang w:val="fr-FR" w:eastAsia="en-US"/>
              </w:rPr>
            </w:pPr>
          </w:p>
        </w:tc>
        <w:tc>
          <w:tcPr>
            <w:tcW w:w="3958" w:type="dxa"/>
          </w:tcPr>
          <w:p w14:paraId="70DBD51C" w14:textId="7B7463E8" w:rsidR="00F2642E" w:rsidRPr="005A6420" w:rsidRDefault="00F2642E" w:rsidP="00F2642E">
            <w:pPr>
              <w:rPr>
                <w:b/>
                <w:sz w:val="22"/>
                <w:szCs w:val="22"/>
                <w:lang w:val="fr-FR" w:eastAsia="en-US"/>
              </w:rPr>
            </w:pPr>
            <w:r w:rsidRPr="00B969C7">
              <w:rPr>
                <w:color w:val="000000" w:themeColor="text1"/>
                <w:sz w:val="22"/>
                <w:lang w:val="fr-CI"/>
              </w:rPr>
              <w:t>A travers les sensibilisations nous avons noté un fort besoin et aussi un engouement des femmes et filles pour la formation en matière des VBG et leur engagement dans la lutte contre les VBG.</w:t>
            </w:r>
          </w:p>
        </w:tc>
      </w:tr>
      <w:tr w:rsidR="00F2642E" w:rsidRPr="00D168A2" w14:paraId="4D0CB0B0" w14:textId="77777777" w:rsidTr="008B478D">
        <w:trPr>
          <w:trHeight w:val="458"/>
        </w:trPr>
        <w:tc>
          <w:tcPr>
            <w:tcW w:w="1530" w:type="dxa"/>
            <w:vMerge w:val="restart"/>
          </w:tcPr>
          <w:p w14:paraId="50C445A7" w14:textId="77777777" w:rsidR="00F2642E" w:rsidRPr="005A6420" w:rsidRDefault="00F2642E" w:rsidP="00F2642E">
            <w:pPr>
              <w:rPr>
                <w:rFonts w:cs="Tahoma"/>
                <w:b/>
                <w:szCs w:val="20"/>
                <w:lang w:val="fr-FR" w:eastAsia="en-US"/>
              </w:rPr>
            </w:pPr>
            <w:r w:rsidRPr="005A6420">
              <w:rPr>
                <w:rFonts w:cs="Tahoma"/>
                <w:b/>
                <w:szCs w:val="20"/>
                <w:lang w:val="fr-FR" w:eastAsia="en-US"/>
              </w:rPr>
              <w:t>Résultat 3</w:t>
            </w:r>
          </w:p>
          <w:p w14:paraId="14B10969" w14:textId="6D6E6A4B" w:rsidR="00F2642E" w:rsidRPr="005A6420" w:rsidRDefault="00F2642E" w:rsidP="00F2642E">
            <w:pPr>
              <w:rPr>
                <w:rFonts w:cs="Tahoma"/>
                <w:b/>
                <w:szCs w:val="20"/>
                <w:lang w:val="fr-FR" w:eastAsia="en-US"/>
              </w:rPr>
            </w:pPr>
            <w:r w:rsidRPr="00C4431D">
              <w:rPr>
                <w:lang w:val="fr-FR" w:eastAsia="en-US"/>
              </w:rPr>
              <w:t xml:space="preserve">L’incidence des VBG chez les transhumants et dans la population hôte est réduite, la </w:t>
            </w:r>
            <w:r w:rsidRPr="00C4431D">
              <w:rPr>
                <w:lang w:val="fr-FR" w:eastAsia="en-US"/>
              </w:rPr>
              <w:lastRenderedPageBreak/>
              <w:t>résilience des victimes de VBG et des communautés est accrue</w:t>
            </w:r>
          </w:p>
        </w:tc>
        <w:tc>
          <w:tcPr>
            <w:tcW w:w="2070" w:type="dxa"/>
            <w:shd w:val="clear" w:color="auto" w:fill="EEECE1"/>
          </w:tcPr>
          <w:p w14:paraId="66C2D0A4" w14:textId="77777777" w:rsidR="00F2642E" w:rsidRPr="005A6420" w:rsidRDefault="00F2642E" w:rsidP="00F2642E">
            <w:pPr>
              <w:jc w:val="both"/>
              <w:rPr>
                <w:rFonts w:cs="Tahoma"/>
                <w:szCs w:val="20"/>
                <w:lang w:val="fr-FR" w:eastAsia="en-US"/>
              </w:rPr>
            </w:pPr>
            <w:r w:rsidRPr="005A6420">
              <w:rPr>
                <w:rFonts w:cs="Tahoma"/>
                <w:szCs w:val="20"/>
                <w:lang w:val="fr-FR" w:eastAsia="en-US"/>
              </w:rPr>
              <w:lastRenderedPageBreak/>
              <w:t>Indicateur 3.1</w:t>
            </w:r>
          </w:p>
          <w:p w14:paraId="5ACB1910" w14:textId="125835A6" w:rsidR="00F2642E" w:rsidRPr="005A6420" w:rsidRDefault="00F2642E" w:rsidP="00F2642E">
            <w:pPr>
              <w:jc w:val="both"/>
              <w:rPr>
                <w:rFonts w:cs="Tahoma"/>
                <w:szCs w:val="20"/>
                <w:lang w:val="fr-FR" w:eastAsia="en-US"/>
              </w:rPr>
            </w:pPr>
            <w:r w:rsidRPr="00C4431D">
              <w:rPr>
                <w:lang w:val="fr-FR" w:eastAsia="en-US"/>
              </w:rPr>
              <w:t>Taux de réduction de l’incidence des VBG dans les zones d’interventions</w:t>
            </w:r>
          </w:p>
        </w:tc>
        <w:tc>
          <w:tcPr>
            <w:tcW w:w="1530" w:type="dxa"/>
            <w:shd w:val="clear" w:color="auto" w:fill="EEECE1"/>
          </w:tcPr>
          <w:p w14:paraId="3C8D73D2" w14:textId="426AC3F1" w:rsidR="00F2642E" w:rsidRPr="005A6420" w:rsidRDefault="00F2642E" w:rsidP="00F2642E">
            <w:pPr>
              <w:rPr>
                <w:lang w:val="fr-FR"/>
              </w:rPr>
            </w:pPr>
            <w:r>
              <w:rPr>
                <w:b/>
                <w:sz w:val="22"/>
                <w:szCs w:val="22"/>
                <w:lang w:val="fr-FR" w:eastAsia="en-US"/>
              </w:rPr>
              <w:t>3548</w:t>
            </w:r>
          </w:p>
        </w:tc>
        <w:tc>
          <w:tcPr>
            <w:tcW w:w="1620" w:type="dxa"/>
            <w:shd w:val="clear" w:color="auto" w:fill="EEECE1"/>
          </w:tcPr>
          <w:p w14:paraId="19A1268B" w14:textId="59A7ED3F" w:rsidR="00F2642E" w:rsidRPr="005A6420" w:rsidRDefault="00F2642E" w:rsidP="00F2642E">
            <w:pPr>
              <w:rPr>
                <w:lang w:val="fr-FR"/>
              </w:rPr>
            </w:pPr>
            <w:r w:rsidRPr="00C4431D">
              <w:rPr>
                <w:lang w:val="fr-FR" w:eastAsia="en-US"/>
              </w:rPr>
              <w:t>≥ 50%</w:t>
            </w:r>
          </w:p>
        </w:tc>
        <w:tc>
          <w:tcPr>
            <w:tcW w:w="2070" w:type="dxa"/>
          </w:tcPr>
          <w:p w14:paraId="56506182" w14:textId="4E95CDE3" w:rsidR="00F2642E" w:rsidRPr="005A6420" w:rsidRDefault="00F2642E" w:rsidP="00F2642E">
            <w:pPr>
              <w:rPr>
                <w:lang w:val="fr-FR"/>
              </w:rPr>
            </w:pPr>
            <w:r>
              <w:rPr>
                <w:color w:val="000000" w:themeColor="text1"/>
                <w:sz w:val="22"/>
                <w:lang w:val="fr-CI"/>
              </w:rPr>
              <w:t>3548</w:t>
            </w:r>
          </w:p>
        </w:tc>
        <w:tc>
          <w:tcPr>
            <w:tcW w:w="2252" w:type="dxa"/>
          </w:tcPr>
          <w:p w14:paraId="2DFEC909" w14:textId="77777777" w:rsidR="00F2642E" w:rsidRPr="00E809F0" w:rsidRDefault="00F2642E" w:rsidP="00F2642E">
            <w:pPr>
              <w:rPr>
                <w:b/>
                <w:sz w:val="22"/>
                <w:szCs w:val="22"/>
                <w:lang w:val="fr-FR" w:eastAsia="en-US"/>
              </w:rPr>
            </w:pPr>
            <w:r>
              <w:rPr>
                <w:b/>
                <w:sz w:val="22"/>
                <w:szCs w:val="22"/>
                <w:lang w:val="fr-FR" w:eastAsia="en-US"/>
              </w:rPr>
              <w:t xml:space="preserve">   </w:t>
            </w:r>
            <w:r w:rsidRPr="00B61976">
              <w:rPr>
                <w:color w:val="000000" w:themeColor="text1"/>
                <w:sz w:val="22"/>
                <w:lang w:val="fr-CI"/>
              </w:rPr>
              <w:t>12938</w:t>
            </w:r>
          </w:p>
          <w:p w14:paraId="22733749" w14:textId="77777777" w:rsidR="00F2642E" w:rsidRPr="00E809F0" w:rsidRDefault="00F2642E" w:rsidP="00F2642E">
            <w:pPr>
              <w:rPr>
                <w:b/>
                <w:sz w:val="22"/>
                <w:szCs w:val="22"/>
                <w:lang w:val="fr-FR" w:eastAsia="en-US"/>
              </w:rPr>
            </w:pPr>
          </w:p>
          <w:p w14:paraId="391CBD44" w14:textId="77777777" w:rsidR="00F2642E" w:rsidRPr="00E809F0" w:rsidRDefault="00F2642E" w:rsidP="00F2642E">
            <w:pPr>
              <w:rPr>
                <w:b/>
                <w:sz w:val="22"/>
                <w:szCs w:val="22"/>
                <w:lang w:val="fr-FR" w:eastAsia="en-US"/>
              </w:rPr>
            </w:pPr>
          </w:p>
          <w:p w14:paraId="1E95BA10" w14:textId="77777777" w:rsidR="00F2642E" w:rsidRPr="00E809F0" w:rsidRDefault="00F2642E" w:rsidP="00F2642E">
            <w:pPr>
              <w:rPr>
                <w:b/>
                <w:sz w:val="22"/>
                <w:szCs w:val="22"/>
                <w:lang w:val="fr-FR" w:eastAsia="en-US"/>
              </w:rPr>
            </w:pPr>
          </w:p>
          <w:p w14:paraId="710FC1EA" w14:textId="77777777" w:rsidR="00F2642E" w:rsidRPr="00E809F0" w:rsidRDefault="00F2642E" w:rsidP="00F2642E">
            <w:pPr>
              <w:rPr>
                <w:b/>
                <w:sz w:val="22"/>
                <w:szCs w:val="22"/>
                <w:lang w:val="fr-FR" w:eastAsia="en-US"/>
              </w:rPr>
            </w:pPr>
          </w:p>
          <w:p w14:paraId="048F2081" w14:textId="77777777" w:rsidR="00F2642E" w:rsidRPr="00E809F0" w:rsidRDefault="00F2642E" w:rsidP="00F2642E">
            <w:pPr>
              <w:rPr>
                <w:b/>
                <w:sz w:val="22"/>
                <w:szCs w:val="22"/>
                <w:lang w:val="fr-FR" w:eastAsia="en-US"/>
              </w:rPr>
            </w:pPr>
          </w:p>
          <w:p w14:paraId="64B9AF36" w14:textId="64085055" w:rsidR="00F2642E" w:rsidRPr="005A6420" w:rsidRDefault="00F2642E" w:rsidP="00F2642E">
            <w:pPr>
              <w:rPr>
                <w:lang w:val="fr-FR"/>
              </w:rPr>
            </w:pPr>
          </w:p>
        </w:tc>
        <w:tc>
          <w:tcPr>
            <w:tcW w:w="3958" w:type="dxa"/>
          </w:tcPr>
          <w:p w14:paraId="4283958A" w14:textId="53520148" w:rsidR="00F2642E" w:rsidRPr="005A6420" w:rsidRDefault="00F2642E" w:rsidP="00F2642E">
            <w:pPr>
              <w:rPr>
                <w:lang w:val="fr-FR"/>
              </w:rPr>
            </w:pPr>
            <w:r>
              <w:rPr>
                <w:sz w:val="22"/>
                <w:lang w:val="fr-FR"/>
              </w:rPr>
              <w:t xml:space="preserve">Ce nombre a été atteint à travers l’implication de plusieurs acteurs notamment : les membres des groupements féminins et de jeunesse, les comités préfectoraux, les relais communautaires qui se sont investis dans les séances de sensibilisation sur les VBG. </w:t>
            </w:r>
          </w:p>
        </w:tc>
      </w:tr>
      <w:tr w:rsidR="00F2642E" w:rsidRPr="00D168A2" w14:paraId="6F255D0F" w14:textId="77777777" w:rsidTr="008B478D">
        <w:trPr>
          <w:trHeight w:val="458"/>
        </w:trPr>
        <w:tc>
          <w:tcPr>
            <w:tcW w:w="1530" w:type="dxa"/>
            <w:vMerge/>
          </w:tcPr>
          <w:p w14:paraId="7AE33CCE" w14:textId="77777777" w:rsidR="00F2642E" w:rsidRPr="005A6420" w:rsidRDefault="00F2642E" w:rsidP="00F2642E">
            <w:pPr>
              <w:rPr>
                <w:rFonts w:cs="Tahoma"/>
                <w:szCs w:val="20"/>
                <w:lang w:val="fr-FR" w:eastAsia="en-US"/>
              </w:rPr>
            </w:pPr>
          </w:p>
        </w:tc>
        <w:tc>
          <w:tcPr>
            <w:tcW w:w="2070" w:type="dxa"/>
            <w:shd w:val="clear" w:color="auto" w:fill="EEECE1"/>
          </w:tcPr>
          <w:p w14:paraId="7AA0A81D" w14:textId="77777777" w:rsidR="00F2642E" w:rsidRPr="005A6420" w:rsidRDefault="00F2642E" w:rsidP="00F2642E">
            <w:pPr>
              <w:jc w:val="both"/>
              <w:rPr>
                <w:rFonts w:cs="Tahoma"/>
                <w:szCs w:val="20"/>
                <w:lang w:val="fr-FR" w:eastAsia="en-US"/>
              </w:rPr>
            </w:pPr>
            <w:r w:rsidRPr="005A6420">
              <w:rPr>
                <w:rFonts w:cs="Tahoma"/>
                <w:szCs w:val="20"/>
                <w:lang w:val="fr-FR" w:eastAsia="en-US"/>
              </w:rPr>
              <w:t>Indicateur 3.2</w:t>
            </w:r>
          </w:p>
          <w:p w14:paraId="005E555A" w14:textId="7312E0A2" w:rsidR="00F2642E" w:rsidRPr="005A6420" w:rsidRDefault="00F2642E" w:rsidP="00F2642E">
            <w:pPr>
              <w:jc w:val="both"/>
              <w:rPr>
                <w:rFonts w:cs="Tahoma"/>
                <w:szCs w:val="20"/>
                <w:lang w:val="fr-FR" w:eastAsia="en-US"/>
              </w:rPr>
            </w:pPr>
            <w:r w:rsidRPr="00C4431D">
              <w:rPr>
                <w:lang w:val="fr-FR" w:eastAsia="en-US"/>
              </w:rPr>
              <w:lastRenderedPageBreak/>
              <w:t>Proportion des survivant(e)s engagé(e)s dans la lutte contre les VBG</w:t>
            </w:r>
          </w:p>
        </w:tc>
        <w:tc>
          <w:tcPr>
            <w:tcW w:w="1530" w:type="dxa"/>
            <w:shd w:val="clear" w:color="auto" w:fill="EEECE1"/>
          </w:tcPr>
          <w:p w14:paraId="3DFD1811" w14:textId="45256D03" w:rsidR="00F2642E" w:rsidRPr="005A6420" w:rsidRDefault="00F2642E" w:rsidP="00F2642E">
            <w:pPr>
              <w:rPr>
                <w:lang w:val="fr-FR"/>
              </w:rPr>
            </w:pPr>
            <w:r>
              <w:rPr>
                <w:b/>
                <w:sz w:val="22"/>
                <w:szCs w:val="22"/>
                <w:lang w:val="fr-FR" w:eastAsia="en-US"/>
              </w:rPr>
              <w:lastRenderedPageBreak/>
              <w:t>Etude de base</w:t>
            </w:r>
          </w:p>
        </w:tc>
        <w:tc>
          <w:tcPr>
            <w:tcW w:w="1620" w:type="dxa"/>
            <w:shd w:val="clear" w:color="auto" w:fill="EEECE1"/>
          </w:tcPr>
          <w:p w14:paraId="31910AC3" w14:textId="56D9C12B" w:rsidR="00F2642E" w:rsidRPr="005A6420" w:rsidRDefault="00F2642E" w:rsidP="00F2642E">
            <w:pPr>
              <w:rPr>
                <w:lang w:val="fr-FR"/>
              </w:rPr>
            </w:pPr>
            <w:r w:rsidRPr="00C4431D">
              <w:rPr>
                <w:lang w:val="fr-FR" w:eastAsia="en-US"/>
              </w:rPr>
              <w:t xml:space="preserve">≥ </w:t>
            </w:r>
            <w:r>
              <w:rPr>
                <w:lang w:val="fr-FR" w:eastAsia="en-US"/>
              </w:rPr>
              <w:t>7</w:t>
            </w:r>
            <w:r w:rsidRPr="00C4431D">
              <w:rPr>
                <w:lang w:val="fr-FR" w:eastAsia="en-US"/>
              </w:rPr>
              <w:t>0%</w:t>
            </w:r>
          </w:p>
        </w:tc>
        <w:tc>
          <w:tcPr>
            <w:tcW w:w="2070" w:type="dxa"/>
          </w:tcPr>
          <w:p w14:paraId="2456A0C0" w14:textId="08608BE2" w:rsidR="00F2642E" w:rsidRPr="005A6420" w:rsidRDefault="00F2642E" w:rsidP="00F2642E">
            <w:pPr>
              <w:rPr>
                <w:lang w:val="fr-FR"/>
              </w:rPr>
            </w:pPr>
            <w:r w:rsidRPr="00F33771">
              <w:rPr>
                <w:color w:val="000000" w:themeColor="text1"/>
                <w:sz w:val="22"/>
                <w:lang w:val="fr-FR" w:eastAsia="en-US"/>
              </w:rPr>
              <w:t xml:space="preserve">≥ </w:t>
            </w:r>
            <w:r w:rsidRPr="00F33771">
              <w:rPr>
                <w:color w:val="000000" w:themeColor="text1"/>
                <w:sz w:val="22"/>
                <w:lang w:val="fr-CI"/>
              </w:rPr>
              <w:t>4</w:t>
            </w:r>
            <w:r w:rsidRPr="00F33771">
              <w:rPr>
                <w:color w:val="000000" w:themeColor="text1"/>
                <w:sz w:val="22"/>
                <w:lang w:val="fr-FR"/>
              </w:rPr>
              <w:t>5%</w:t>
            </w:r>
          </w:p>
        </w:tc>
        <w:tc>
          <w:tcPr>
            <w:tcW w:w="2252" w:type="dxa"/>
          </w:tcPr>
          <w:p w14:paraId="743F0C97" w14:textId="77777777" w:rsidR="00F2642E" w:rsidRPr="00066AD9" w:rsidRDefault="00F2642E" w:rsidP="00F2642E">
            <w:pPr>
              <w:rPr>
                <w:sz w:val="22"/>
                <w:lang w:val="fr-FR"/>
              </w:rPr>
            </w:pPr>
            <w:r>
              <w:rPr>
                <w:b/>
                <w:sz w:val="22"/>
                <w:szCs w:val="22"/>
                <w:lang w:val="fr-FR" w:eastAsia="en-US"/>
              </w:rPr>
              <w:t>45,75%</w:t>
            </w:r>
          </w:p>
          <w:p w14:paraId="31D2EEAC" w14:textId="77777777" w:rsidR="00F2642E" w:rsidRPr="00066AD9" w:rsidRDefault="00F2642E" w:rsidP="00F2642E">
            <w:pPr>
              <w:rPr>
                <w:sz w:val="22"/>
                <w:lang w:val="fr-FR"/>
              </w:rPr>
            </w:pPr>
          </w:p>
          <w:p w14:paraId="041B1308" w14:textId="77777777" w:rsidR="00F2642E" w:rsidRPr="00066AD9" w:rsidRDefault="00F2642E" w:rsidP="00F2642E">
            <w:pPr>
              <w:rPr>
                <w:sz w:val="22"/>
                <w:lang w:val="fr-FR"/>
              </w:rPr>
            </w:pPr>
          </w:p>
          <w:p w14:paraId="1DB5C584" w14:textId="77777777" w:rsidR="00F2642E" w:rsidRPr="00066AD9" w:rsidRDefault="00F2642E" w:rsidP="00F2642E">
            <w:pPr>
              <w:rPr>
                <w:sz w:val="22"/>
                <w:lang w:val="fr-FR"/>
              </w:rPr>
            </w:pPr>
          </w:p>
          <w:p w14:paraId="616727DA" w14:textId="77777777" w:rsidR="00F2642E" w:rsidRPr="00066AD9" w:rsidRDefault="00F2642E" w:rsidP="00F2642E">
            <w:pPr>
              <w:rPr>
                <w:sz w:val="22"/>
                <w:lang w:val="fr-FR"/>
              </w:rPr>
            </w:pPr>
          </w:p>
          <w:p w14:paraId="4D70BA4D" w14:textId="77777777" w:rsidR="00F2642E" w:rsidRPr="00066AD9" w:rsidRDefault="00F2642E" w:rsidP="00F2642E">
            <w:pPr>
              <w:rPr>
                <w:sz w:val="22"/>
                <w:lang w:val="fr-FR"/>
              </w:rPr>
            </w:pPr>
          </w:p>
          <w:p w14:paraId="2A61AB49" w14:textId="7AE31239" w:rsidR="00F2642E" w:rsidRPr="005A6420" w:rsidRDefault="00F2642E" w:rsidP="00F2642E">
            <w:pPr>
              <w:rPr>
                <w:lang w:val="fr-FR"/>
              </w:rPr>
            </w:pPr>
          </w:p>
        </w:tc>
        <w:tc>
          <w:tcPr>
            <w:tcW w:w="3958" w:type="dxa"/>
          </w:tcPr>
          <w:p w14:paraId="5CAB13F6" w14:textId="77777777" w:rsidR="00F2642E" w:rsidRPr="00E809F0" w:rsidRDefault="00F2642E" w:rsidP="00F2642E">
            <w:pPr>
              <w:rPr>
                <w:sz w:val="22"/>
                <w:szCs w:val="22"/>
                <w:lang w:val="fr-FR" w:eastAsia="en-US"/>
              </w:rPr>
            </w:pPr>
            <w:r>
              <w:rPr>
                <w:sz w:val="22"/>
                <w:szCs w:val="22"/>
                <w:lang w:val="fr-FR" w:eastAsia="en-US"/>
              </w:rPr>
              <w:lastRenderedPageBreak/>
              <w:t xml:space="preserve">La base de données n’étant pas définies dès le début, nous sommes partis de </w:t>
            </w:r>
            <w:r>
              <w:rPr>
                <w:sz w:val="22"/>
                <w:szCs w:val="22"/>
                <w:lang w:val="fr-FR" w:eastAsia="en-US"/>
              </w:rPr>
              <w:lastRenderedPageBreak/>
              <w:t>l’estimation du nombre des VBG à recevoir pour faire une projection de  45% de survivantes à impliquer dans la lutte contre les VBG.</w:t>
            </w:r>
          </w:p>
          <w:p w14:paraId="7FF4D892" w14:textId="2A299FB5" w:rsidR="00F2642E" w:rsidRPr="005A6420" w:rsidRDefault="00F2642E" w:rsidP="00F2642E">
            <w:pPr>
              <w:rPr>
                <w:lang w:val="fr-FR"/>
              </w:rPr>
            </w:pPr>
            <w:r>
              <w:rPr>
                <w:sz w:val="22"/>
                <w:szCs w:val="22"/>
                <w:lang w:val="fr-FR" w:eastAsia="en-US"/>
              </w:rPr>
              <w:t xml:space="preserve">Ainsi, </w:t>
            </w:r>
            <w:r w:rsidRPr="00EB632C">
              <w:rPr>
                <w:color w:val="000000" w:themeColor="text1"/>
                <w:sz w:val="22"/>
                <w:szCs w:val="22"/>
                <w:lang w:val="fr-FR" w:eastAsia="en-US"/>
              </w:rPr>
              <w:t>337</w:t>
            </w:r>
            <w:r w:rsidRPr="00EB632C">
              <w:rPr>
                <w:color w:val="000000" w:themeColor="text1"/>
                <w:sz w:val="22"/>
                <w:lang w:val="fr-CI"/>
              </w:rPr>
              <w:t xml:space="preserve"> survivantes se sont engagées dans la lutte contre les VBG à travers la sensibilisation </w:t>
            </w:r>
          </w:p>
        </w:tc>
      </w:tr>
      <w:tr w:rsidR="00F2642E" w:rsidRPr="00D168A2" w14:paraId="63E17286" w14:textId="77777777" w:rsidTr="008B478D">
        <w:trPr>
          <w:trHeight w:val="458"/>
        </w:trPr>
        <w:tc>
          <w:tcPr>
            <w:tcW w:w="1530" w:type="dxa"/>
            <w:vMerge/>
          </w:tcPr>
          <w:p w14:paraId="07700AC1" w14:textId="77777777" w:rsidR="00F2642E" w:rsidRPr="005A6420" w:rsidRDefault="00F2642E" w:rsidP="00F2642E">
            <w:pPr>
              <w:rPr>
                <w:rFonts w:cs="Tahoma"/>
                <w:szCs w:val="20"/>
                <w:lang w:val="fr-FR" w:eastAsia="en-US"/>
              </w:rPr>
            </w:pPr>
          </w:p>
        </w:tc>
        <w:tc>
          <w:tcPr>
            <w:tcW w:w="2070" w:type="dxa"/>
            <w:shd w:val="clear" w:color="auto" w:fill="EEECE1"/>
          </w:tcPr>
          <w:p w14:paraId="70593CCA" w14:textId="77777777" w:rsidR="00F2642E" w:rsidRPr="005A6420" w:rsidRDefault="00F2642E" w:rsidP="00F2642E">
            <w:pPr>
              <w:jc w:val="both"/>
              <w:rPr>
                <w:rFonts w:cs="Tahoma"/>
                <w:szCs w:val="20"/>
                <w:lang w:val="fr-FR" w:eastAsia="en-US"/>
              </w:rPr>
            </w:pPr>
            <w:r w:rsidRPr="005A6420">
              <w:rPr>
                <w:rFonts w:cs="Tahoma"/>
                <w:szCs w:val="20"/>
                <w:lang w:val="fr-FR" w:eastAsia="en-US"/>
              </w:rPr>
              <w:t>Indicateur 3.3</w:t>
            </w:r>
          </w:p>
          <w:p w14:paraId="2A7E17CE" w14:textId="0F9390CF" w:rsidR="00F2642E" w:rsidRPr="005A6420" w:rsidRDefault="00F2642E" w:rsidP="00F2642E">
            <w:pPr>
              <w:jc w:val="both"/>
              <w:rPr>
                <w:rFonts w:cs="Tahoma"/>
                <w:szCs w:val="20"/>
                <w:lang w:val="fr-FR" w:eastAsia="en-US"/>
              </w:rPr>
            </w:pPr>
            <w:r w:rsidRPr="00C4431D">
              <w:rPr>
                <w:lang w:val="fr-FR" w:eastAsia="en-US"/>
              </w:rPr>
              <w:t>Pourcentage des survivant(e)s autonomisé(e)s</w:t>
            </w:r>
          </w:p>
        </w:tc>
        <w:tc>
          <w:tcPr>
            <w:tcW w:w="1530" w:type="dxa"/>
            <w:shd w:val="clear" w:color="auto" w:fill="EEECE1"/>
          </w:tcPr>
          <w:p w14:paraId="42640E94" w14:textId="69063237" w:rsidR="00F2642E" w:rsidRPr="005A6420" w:rsidRDefault="00F2642E" w:rsidP="00F2642E">
            <w:pPr>
              <w:rPr>
                <w:lang w:val="fr-FR"/>
              </w:rPr>
            </w:pPr>
            <w:r>
              <w:rPr>
                <w:b/>
                <w:sz w:val="22"/>
                <w:szCs w:val="22"/>
                <w:lang w:val="fr-FR" w:eastAsia="en-US"/>
              </w:rPr>
              <w:t>Etude de base</w:t>
            </w:r>
          </w:p>
        </w:tc>
        <w:tc>
          <w:tcPr>
            <w:tcW w:w="1620" w:type="dxa"/>
            <w:shd w:val="clear" w:color="auto" w:fill="EEECE1"/>
          </w:tcPr>
          <w:p w14:paraId="13902E51" w14:textId="6F5969A8" w:rsidR="00F2642E" w:rsidRPr="005A6420" w:rsidRDefault="00F2642E" w:rsidP="00F2642E">
            <w:pPr>
              <w:rPr>
                <w:lang w:val="fr-FR"/>
              </w:rPr>
            </w:pPr>
            <w:r w:rsidRPr="00C4431D">
              <w:rPr>
                <w:lang w:val="fr-FR" w:eastAsia="en-US"/>
              </w:rPr>
              <w:t xml:space="preserve">≥ </w:t>
            </w:r>
            <w:r>
              <w:rPr>
                <w:lang w:val="fr-FR" w:eastAsia="en-US"/>
              </w:rPr>
              <w:t>5</w:t>
            </w:r>
            <w:r w:rsidRPr="00C4431D">
              <w:rPr>
                <w:lang w:val="fr-FR" w:eastAsia="en-US"/>
              </w:rPr>
              <w:t>0%</w:t>
            </w:r>
          </w:p>
        </w:tc>
        <w:tc>
          <w:tcPr>
            <w:tcW w:w="2070" w:type="dxa"/>
          </w:tcPr>
          <w:p w14:paraId="1D4D9825" w14:textId="5A5A2B4D" w:rsidR="00F2642E" w:rsidRPr="005A6420" w:rsidRDefault="00F2642E" w:rsidP="00F2642E">
            <w:pPr>
              <w:rPr>
                <w:lang w:val="fr-FR"/>
              </w:rPr>
            </w:pPr>
            <w:r w:rsidRPr="00066AD9">
              <w:rPr>
                <w:sz w:val="22"/>
                <w:lang w:val="fr-FR" w:eastAsia="en-US"/>
              </w:rPr>
              <w:t>≥ 50%</w:t>
            </w:r>
          </w:p>
        </w:tc>
        <w:tc>
          <w:tcPr>
            <w:tcW w:w="2252" w:type="dxa"/>
          </w:tcPr>
          <w:p w14:paraId="28A69E59" w14:textId="77777777" w:rsidR="00F2642E" w:rsidRPr="00E809F0" w:rsidRDefault="00F2642E" w:rsidP="00F2642E">
            <w:pPr>
              <w:rPr>
                <w:b/>
                <w:sz w:val="22"/>
                <w:szCs w:val="22"/>
                <w:lang w:val="fr-FR" w:eastAsia="en-US"/>
              </w:rPr>
            </w:pPr>
            <w:r>
              <w:rPr>
                <w:b/>
                <w:sz w:val="22"/>
                <w:szCs w:val="22"/>
                <w:lang w:val="fr-FR" w:eastAsia="en-US"/>
              </w:rPr>
              <w:t>50,61%</w:t>
            </w:r>
          </w:p>
          <w:p w14:paraId="1B159234" w14:textId="77777777" w:rsidR="00F2642E" w:rsidRPr="00E809F0" w:rsidRDefault="00F2642E" w:rsidP="00F2642E">
            <w:pPr>
              <w:rPr>
                <w:b/>
                <w:sz w:val="22"/>
                <w:szCs w:val="22"/>
                <w:lang w:val="fr-FR" w:eastAsia="en-US"/>
              </w:rPr>
            </w:pPr>
          </w:p>
          <w:p w14:paraId="25968E83" w14:textId="77777777" w:rsidR="00F2642E" w:rsidRPr="00E809F0" w:rsidRDefault="00F2642E" w:rsidP="00F2642E">
            <w:pPr>
              <w:rPr>
                <w:b/>
                <w:sz w:val="22"/>
                <w:szCs w:val="22"/>
                <w:lang w:val="fr-FR" w:eastAsia="en-US"/>
              </w:rPr>
            </w:pPr>
          </w:p>
          <w:p w14:paraId="1BE60538" w14:textId="77777777" w:rsidR="00F2642E" w:rsidRPr="00E809F0" w:rsidRDefault="00F2642E" w:rsidP="00F2642E">
            <w:pPr>
              <w:rPr>
                <w:b/>
                <w:sz w:val="22"/>
                <w:szCs w:val="22"/>
                <w:lang w:val="fr-FR" w:eastAsia="en-US"/>
              </w:rPr>
            </w:pPr>
          </w:p>
          <w:p w14:paraId="6262EFB6" w14:textId="77777777" w:rsidR="00F2642E" w:rsidRPr="00E809F0" w:rsidRDefault="00F2642E" w:rsidP="00F2642E">
            <w:pPr>
              <w:rPr>
                <w:b/>
                <w:sz w:val="22"/>
                <w:szCs w:val="22"/>
                <w:lang w:val="fr-FR" w:eastAsia="en-US"/>
              </w:rPr>
            </w:pPr>
          </w:p>
          <w:p w14:paraId="08930611" w14:textId="77777777" w:rsidR="00F2642E" w:rsidRPr="00E809F0" w:rsidRDefault="00F2642E" w:rsidP="00F2642E">
            <w:pPr>
              <w:rPr>
                <w:b/>
                <w:sz w:val="22"/>
                <w:szCs w:val="22"/>
                <w:lang w:val="fr-FR" w:eastAsia="en-US"/>
              </w:rPr>
            </w:pPr>
          </w:p>
          <w:p w14:paraId="44D27831" w14:textId="503BFEB1" w:rsidR="00F2642E" w:rsidRPr="005A6420" w:rsidRDefault="00F2642E" w:rsidP="00F2642E">
            <w:pPr>
              <w:rPr>
                <w:lang w:val="fr-FR"/>
              </w:rPr>
            </w:pPr>
          </w:p>
        </w:tc>
        <w:tc>
          <w:tcPr>
            <w:tcW w:w="3958" w:type="dxa"/>
          </w:tcPr>
          <w:p w14:paraId="7482AA5A" w14:textId="77777777" w:rsidR="00F2642E" w:rsidRDefault="00F2642E" w:rsidP="00F2642E">
            <w:pPr>
              <w:jc w:val="both"/>
              <w:rPr>
                <w:sz w:val="22"/>
                <w:szCs w:val="22"/>
                <w:lang w:val="fr-FR" w:eastAsia="en-US"/>
              </w:rPr>
            </w:pPr>
            <w:r>
              <w:rPr>
                <w:sz w:val="22"/>
                <w:szCs w:val="22"/>
                <w:lang w:val="fr-FR" w:eastAsia="en-US"/>
              </w:rPr>
              <w:t>L’autonomisation s’est basée sur le critère de vulnérabilité socio-économique des survivantes. Ce qui a fait que toutes les survivantes ne pouvaient bénéficier de l’appui à l’autonomisation.</w:t>
            </w:r>
          </w:p>
          <w:p w14:paraId="5959C4D8" w14:textId="0B5C71B4" w:rsidR="00F2642E" w:rsidRPr="005A6420" w:rsidRDefault="00F2642E" w:rsidP="00F2642E">
            <w:pPr>
              <w:rPr>
                <w:lang w:val="fr-FR"/>
              </w:rPr>
            </w:pPr>
          </w:p>
        </w:tc>
      </w:tr>
      <w:tr w:rsidR="00B6560E" w:rsidRPr="00D168A2" w14:paraId="5C42158F" w14:textId="77777777" w:rsidTr="008B478D">
        <w:trPr>
          <w:trHeight w:val="458"/>
        </w:trPr>
        <w:tc>
          <w:tcPr>
            <w:tcW w:w="1530" w:type="dxa"/>
            <w:vMerge w:val="restart"/>
          </w:tcPr>
          <w:p w14:paraId="5AF379A3" w14:textId="77777777" w:rsidR="00B6560E" w:rsidRPr="005A6420" w:rsidRDefault="00B6560E" w:rsidP="00B6560E">
            <w:pPr>
              <w:rPr>
                <w:rFonts w:cs="Tahoma"/>
                <w:szCs w:val="20"/>
                <w:lang w:val="fr-FR" w:eastAsia="en-US"/>
              </w:rPr>
            </w:pPr>
            <w:r w:rsidRPr="005A6420">
              <w:rPr>
                <w:rFonts w:cs="Tahoma"/>
                <w:szCs w:val="20"/>
                <w:lang w:val="fr-FR" w:eastAsia="en-US"/>
              </w:rPr>
              <w:t>Produit 3.1</w:t>
            </w:r>
          </w:p>
          <w:p w14:paraId="498E3ED3" w14:textId="23DE14AB" w:rsidR="00B6560E" w:rsidRPr="005A6420" w:rsidRDefault="00B6560E" w:rsidP="00B6560E">
            <w:pPr>
              <w:rPr>
                <w:rFonts w:cs="Tahoma"/>
                <w:szCs w:val="20"/>
                <w:lang w:val="fr-FR" w:eastAsia="en-US"/>
              </w:rPr>
            </w:pPr>
            <w:r w:rsidRPr="00C4431D">
              <w:rPr>
                <w:lang w:val="fr-FR" w:eastAsia="en-US"/>
              </w:rPr>
              <w:t xml:space="preserve">La Prévention des Violences basées sur le Genre au sein des populations transhumantes et </w:t>
            </w:r>
            <w:r w:rsidRPr="00C4431D">
              <w:rPr>
                <w:lang w:val="fr-FR" w:eastAsia="en-US"/>
              </w:rPr>
              <w:lastRenderedPageBreak/>
              <w:t>communautés hôtes est assurée.</w:t>
            </w:r>
          </w:p>
        </w:tc>
        <w:tc>
          <w:tcPr>
            <w:tcW w:w="2070" w:type="dxa"/>
            <w:shd w:val="clear" w:color="auto" w:fill="EEECE1"/>
          </w:tcPr>
          <w:p w14:paraId="710D11F8" w14:textId="77777777" w:rsidR="00B6560E" w:rsidRPr="005A6420" w:rsidRDefault="00B6560E" w:rsidP="00B6560E">
            <w:pPr>
              <w:jc w:val="both"/>
              <w:rPr>
                <w:rFonts w:cs="Tahoma"/>
                <w:szCs w:val="20"/>
                <w:lang w:val="fr-FR" w:eastAsia="en-US"/>
              </w:rPr>
            </w:pPr>
            <w:r w:rsidRPr="005A6420">
              <w:rPr>
                <w:rFonts w:cs="Tahoma"/>
                <w:szCs w:val="20"/>
                <w:lang w:val="fr-FR" w:eastAsia="en-US"/>
              </w:rPr>
              <w:lastRenderedPageBreak/>
              <w:t>Indicateur 3.1.1</w:t>
            </w:r>
          </w:p>
          <w:p w14:paraId="1D7757D3" w14:textId="25B28E60" w:rsidR="00B6560E" w:rsidRPr="005A6420" w:rsidRDefault="00B6560E" w:rsidP="00B6560E">
            <w:pPr>
              <w:jc w:val="both"/>
              <w:rPr>
                <w:rFonts w:cs="Tahoma"/>
                <w:szCs w:val="20"/>
                <w:lang w:val="fr-FR" w:eastAsia="en-US"/>
              </w:rPr>
            </w:pPr>
            <w:r w:rsidRPr="00C4431D">
              <w:rPr>
                <w:lang w:val="fr-FR" w:eastAsia="en-US"/>
              </w:rPr>
              <w:t>Pourcentage d’alerte des incidents de VBG ayant reçu une réponse</w:t>
            </w:r>
          </w:p>
        </w:tc>
        <w:tc>
          <w:tcPr>
            <w:tcW w:w="1530" w:type="dxa"/>
            <w:shd w:val="clear" w:color="auto" w:fill="EEECE1"/>
          </w:tcPr>
          <w:p w14:paraId="0670EF88" w14:textId="6A921AF6" w:rsidR="00B6560E" w:rsidRPr="005A6420" w:rsidRDefault="00B6560E" w:rsidP="00B6560E">
            <w:pPr>
              <w:rPr>
                <w:lang w:val="fr-FR"/>
              </w:rPr>
            </w:pPr>
            <w:r>
              <w:rPr>
                <w:b/>
                <w:sz w:val="22"/>
                <w:szCs w:val="22"/>
                <w:lang w:val="fr-FR" w:eastAsia="en-US"/>
              </w:rPr>
              <w:t>0</w:t>
            </w:r>
          </w:p>
        </w:tc>
        <w:tc>
          <w:tcPr>
            <w:tcW w:w="1620" w:type="dxa"/>
            <w:shd w:val="clear" w:color="auto" w:fill="EEECE1"/>
          </w:tcPr>
          <w:p w14:paraId="35A1D886" w14:textId="7FFC30A7" w:rsidR="00B6560E" w:rsidRPr="005A6420" w:rsidRDefault="00B6560E" w:rsidP="00B6560E">
            <w:pPr>
              <w:rPr>
                <w:lang w:val="fr-FR"/>
              </w:rPr>
            </w:pPr>
            <w:r w:rsidRPr="00C4431D">
              <w:rPr>
                <w:lang w:val="fr-FR" w:eastAsia="en-US"/>
              </w:rPr>
              <w:t xml:space="preserve">≥ </w:t>
            </w:r>
            <w:r>
              <w:rPr>
                <w:lang w:val="fr-FR" w:eastAsia="en-US"/>
              </w:rPr>
              <w:t>8</w:t>
            </w:r>
            <w:r w:rsidRPr="00C4431D">
              <w:rPr>
                <w:lang w:val="fr-FR" w:eastAsia="en-US"/>
              </w:rPr>
              <w:t>0%</w:t>
            </w:r>
          </w:p>
        </w:tc>
        <w:tc>
          <w:tcPr>
            <w:tcW w:w="2070" w:type="dxa"/>
          </w:tcPr>
          <w:p w14:paraId="1CFC554A" w14:textId="5D5236F6" w:rsidR="00B6560E" w:rsidRPr="005A6420" w:rsidRDefault="00B6560E" w:rsidP="00B6560E">
            <w:pPr>
              <w:rPr>
                <w:lang w:val="fr-FR"/>
              </w:rPr>
            </w:pPr>
            <w:r>
              <w:rPr>
                <w:color w:val="FF0000"/>
                <w:sz w:val="22"/>
                <w:lang w:val="fr-FR" w:eastAsia="en-US"/>
              </w:rPr>
              <w:t xml:space="preserve"> </w:t>
            </w:r>
            <w:r w:rsidRPr="00066AD9">
              <w:rPr>
                <w:sz w:val="22"/>
                <w:lang w:val="fr-FR" w:eastAsia="en-US"/>
              </w:rPr>
              <w:t>≥ 80%</w:t>
            </w:r>
          </w:p>
        </w:tc>
        <w:tc>
          <w:tcPr>
            <w:tcW w:w="2252" w:type="dxa"/>
          </w:tcPr>
          <w:p w14:paraId="22FA12EA" w14:textId="77777777" w:rsidR="00B6560E" w:rsidRPr="00AF3717" w:rsidRDefault="00B6560E" w:rsidP="00B6560E">
            <w:pPr>
              <w:rPr>
                <w:b/>
                <w:color w:val="000000" w:themeColor="text1"/>
                <w:sz w:val="22"/>
                <w:szCs w:val="22"/>
                <w:lang w:val="fr-FR" w:eastAsia="en-US"/>
              </w:rPr>
            </w:pPr>
            <w:r w:rsidRPr="00AF3717">
              <w:rPr>
                <w:b/>
                <w:color w:val="000000" w:themeColor="text1"/>
                <w:sz w:val="22"/>
                <w:szCs w:val="22"/>
                <w:lang w:val="fr-FR" w:eastAsia="en-US"/>
              </w:rPr>
              <w:t>100%</w:t>
            </w:r>
          </w:p>
          <w:p w14:paraId="6EB4590C" w14:textId="77777777" w:rsidR="00B6560E" w:rsidRPr="00066AD9" w:rsidRDefault="00B6560E" w:rsidP="00B6560E">
            <w:pPr>
              <w:rPr>
                <w:b/>
                <w:color w:val="FF0000"/>
                <w:sz w:val="22"/>
                <w:szCs w:val="22"/>
                <w:lang w:val="fr-FR" w:eastAsia="en-US"/>
              </w:rPr>
            </w:pPr>
          </w:p>
          <w:p w14:paraId="17C90A7D" w14:textId="77777777" w:rsidR="00B6560E" w:rsidRPr="00066AD9" w:rsidRDefault="00B6560E" w:rsidP="00B6560E">
            <w:pPr>
              <w:rPr>
                <w:b/>
                <w:color w:val="FF0000"/>
                <w:sz w:val="22"/>
                <w:szCs w:val="22"/>
                <w:lang w:val="fr-FR" w:eastAsia="en-US"/>
              </w:rPr>
            </w:pPr>
          </w:p>
          <w:p w14:paraId="16A40AE5" w14:textId="77777777" w:rsidR="00B6560E" w:rsidRPr="00066AD9" w:rsidRDefault="00B6560E" w:rsidP="00B6560E">
            <w:pPr>
              <w:rPr>
                <w:b/>
                <w:color w:val="FF0000"/>
                <w:sz w:val="22"/>
                <w:szCs w:val="22"/>
                <w:lang w:val="fr-FR" w:eastAsia="en-US"/>
              </w:rPr>
            </w:pPr>
          </w:p>
          <w:p w14:paraId="2E42B07C" w14:textId="77777777" w:rsidR="00B6560E" w:rsidRPr="00066AD9" w:rsidRDefault="00B6560E" w:rsidP="00B6560E">
            <w:pPr>
              <w:rPr>
                <w:b/>
                <w:color w:val="FF0000"/>
                <w:sz w:val="22"/>
                <w:szCs w:val="22"/>
                <w:lang w:val="fr-FR" w:eastAsia="en-US"/>
              </w:rPr>
            </w:pPr>
          </w:p>
          <w:p w14:paraId="4F794EDA" w14:textId="77777777" w:rsidR="00B6560E" w:rsidRPr="00066AD9" w:rsidRDefault="00B6560E" w:rsidP="00B6560E">
            <w:pPr>
              <w:rPr>
                <w:b/>
                <w:color w:val="FF0000"/>
                <w:sz w:val="22"/>
                <w:szCs w:val="22"/>
                <w:lang w:val="fr-FR" w:eastAsia="en-US"/>
              </w:rPr>
            </w:pPr>
          </w:p>
          <w:p w14:paraId="7BD2D7CF" w14:textId="77777777" w:rsidR="00B6560E" w:rsidRPr="00066AD9" w:rsidRDefault="00B6560E" w:rsidP="00B6560E">
            <w:pPr>
              <w:rPr>
                <w:b/>
                <w:color w:val="FF0000"/>
                <w:sz w:val="22"/>
                <w:szCs w:val="22"/>
                <w:lang w:val="fr-FR" w:eastAsia="en-US"/>
              </w:rPr>
            </w:pPr>
          </w:p>
          <w:p w14:paraId="62AE1F80" w14:textId="77777777" w:rsidR="00B6560E" w:rsidRPr="00066AD9" w:rsidRDefault="00B6560E" w:rsidP="00B6560E">
            <w:pPr>
              <w:rPr>
                <w:b/>
                <w:color w:val="FF0000"/>
                <w:sz w:val="22"/>
                <w:szCs w:val="22"/>
                <w:lang w:val="fr-FR" w:eastAsia="en-US"/>
              </w:rPr>
            </w:pPr>
          </w:p>
          <w:p w14:paraId="4CFB62B7" w14:textId="77777777" w:rsidR="00B6560E" w:rsidRPr="00066AD9" w:rsidRDefault="00B6560E" w:rsidP="00B6560E">
            <w:pPr>
              <w:rPr>
                <w:b/>
                <w:color w:val="FF0000"/>
                <w:sz w:val="22"/>
                <w:szCs w:val="22"/>
                <w:lang w:val="fr-FR" w:eastAsia="en-US"/>
              </w:rPr>
            </w:pPr>
          </w:p>
          <w:p w14:paraId="6306F1ED" w14:textId="77777777" w:rsidR="00B6560E" w:rsidRPr="00066AD9" w:rsidRDefault="00B6560E" w:rsidP="00B6560E">
            <w:pPr>
              <w:rPr>
                <w:b/>
                <w:color w:val="FF0000"/>
                <w:sz w:val="22"/>
                <w:szCs w:val="22"/>
                <w:lang w:val="fr-FR" w:eastAsia="en-US"/>
              </w:rPr>
            </w:pPr>
          </w:p>
          <w:p w14:paraId="1C7BFD12" w14:textId="77777777" w:rsidR="00B6560E" w:rsidRPr="00066AD9" w:rsidRDefault="00B6560E" w:rsidP="00B6560E">
            <w:pPr>
              <w:rPr>
                <w:b/>
                <w:color w:val="FF0000"/>
                <w:sz w:val="22"/>
                <w:szCs w:val="22"/>
                <w:lang w:val="fr-FR" w:eastAsia="en-US"/>
              </w:rPr>
            </w:pPr>
          </w:p>
          <w:p w14:paraId="1760ABBC" w14:textId="3613719B" w:rsidR="00B6560E" w:rsidRPr="005A6420" w:rsidRDefault="00B6560E" w:rsidP="00B6560E">
            <w:pPr>
              <w:rPr>
                <w:lang w:val="fr-FR"/>
              </w:rPr>
            </w:pPr>
          </w:p>
        </w:tc>
        <w:tc>
          <w:tcPr>
            <w:tcW w:w="3958" w:type="dxa"/>
          </w:tcPr>
          <w:p w14:paraId="67334CDA" w14:textId="77777777" w:rsidR="00B6560E" w:rsidRPr="00066AD9" w:rsidRDefault="00B6560E" w:rsidP="00B6560E">
            <w:pPr>
              <w:rPr>
                <w:b/>
                <w:color w:val="FF0000"/>
                <w:sz w:val="22"/>
                <w:szCs w:val="22"/>
                <w:lang w:val="fr-FR" w:eastAsia="en-US"/>
              </w:rPr>
            </w:pPr>
          </w:p>
          <w:p w14:paraId="3618235C" w14:textId="77777777" w:rsidR="00B6560E" w:rsidRPr="00AF3717" w:rsidRDefault="00B6560E" w:rsidP="00B6560E">
            <w:pPr>
              <w:rPr>
                <w:color w:val="000000" w:themeColor="text1"/>
                <w:sz w:val="22"/>
                <w:szCs w:val="22"/>
                <w:lang w:val="fr-FR" w:eastAsia="en-US"/>
              </w:rPr>
            </w:pPr>
            <w:r w:rsidRPr="00AF3717">
              <w:rPr>
                <w:color w:val="000000" w:themeColor="text1"/>
                <w:sz w:val="22"/>
                <w:szCs w:val="22"/>
                <w:lang w:val="fr-FR" w:eastAsia="en-US"/>
              </w:rPr>
              <w:t>Toutes les survivantes reçues au niveau des centres d’écoute et du One Stop Center ont bénéficié d’au moins d’un ou tous les services conformément au type de l’incident de VBG subit.</w:t>
            </w:r>
          </w:p>
          <w:p w14:paraId="571143EE" w14:textId="77777777" w:rsidR="00B6560E" w:rsidRPr="00066AD9" w:rsidRDefault="00B6560E" w:rsidP="00B6560E">
            <w:pPr>
              <w:rPr>
                <w:b/>
                <w:color w:val="FF0000"/>
                <w:sz w:val="22"/>
                <w:szCs w:val="22"/>
                <w:lang w:val="fr-FR" w:eastAsia="en-US"/>
              </w:rPr>
            </w:pPr>
          </w:p>
          <w:p w14:paraId="4C67F48D" w14:textId="77777777" w:rsidR="00B6560E" w:rsidRPr="00066AD9" w:rsidRDefault="00B6560E" w:rsidP="00B6560E">
            <w:pPr>
              <w:rPr>
                <w:b/>
                <w:color w:val="FF0000"/>
                <w:sz w:val="22"/>
                <w:szCs w:val="22"/>
                <w:lang w:val="fr-FR" w:eastAsia="en-US"/>
              </w:rPr>
            </w:pPr>
          </w:p>
          <w:p w14:paraId="4B1D9F10" w14:textId="77777777" w:rsidR="00B6560E" w:rsidRPr="00066AD9" w:rsidRDefault="00B6560E" w:rsidP="00B6560E">
            <w:pPr>
              <w:rPr>
                <w:b/>
                <w:color w:val="FF0000"/>
                <w:sz w:val="22"/>
                <w:szCs w:val="22"/>
                <w:lang w:val="fr-FR" w:eastAsia="en-US"/>
              </w:rPr>
            </w:pPr>
          </w:p>
          <w:p w14:paraId="4A6BFA7C" w14:textId="77777777" w:rsidR="00B6560E" w:rsidRPr="00066AD9" w:rsidRDefault="00B6560E" w:rsidP="00B6560E">
            <w:pPr>
              <w:rPr>
                <w:b/>
                <w:color w:val="FF0000"/>
                <w:sz w:val="22"/>
                <w:szCs w:val="22"/>
                <w:lang w:val="fr-FR" w:eastAsia="en-US"/>
              </w:rPr>
            </w:pPr>
          </w:p>
          <w:p w14:paraId="2B754070" w14:textId="77777777" w:rsidR="00B6560E" w:rsidRPr="00066AD9" w:rsidRDefault="00B6560E" w:rsidP="00B6560E">
            <w:pPr>
              <w:rPr>
                <w:b/>
                <w:color w:val="FF0000"/>
                <w:sz w:val="22"/>
                <w:szCs w:val="22"/>
                <w:lang w:val="fr-FR" w:eastAsia="en-US"/>
              </w:rPr>
            </w:pPr>
          </w:p>
          <w:p w14:paraId="4C35D6EA" w14:textId="77777777" w:rsidR="00B6560E" w:rsidRPr="00066AD9" w:rsidRDefault="00B6560E" w:rsidP="00B6560E">
            <w:pPr>
              <w:rPr>
                <w:b/>
                <w:color w:val="FF0000"/>
                <w:sz w:val="22"/>
                <w:szCs w:val="22"/>
                <w:lang w:val="fr-FR" w:eastAsia="en-US"/>
              </w:rPr>
            </w:pPr>
          </w:p>
          <w:p w14:paraId="48829AC3" w14:textId="77777777" w:rsidR="00B6560E" w:rsidRPr="00066AD9" w:rsidRDefault="00B6560E" w:rsidP="00B6560E">
            <w:pPr>
              <w:rPr>
                <w:b/>
                <w:color w:val="FF0000"/>
                <w:sz w:val="22"/>
                <w:szCs w:val="22"/>
                <w:lang w:val="fr-FR" w:eastAsia="en-US"/>
              </w:rPr>
            </w:pPr>
          </w:p>
          <w:p w14:paraId="5577F6D1" w14:textId="77777777" w:rsidR="00B6560E" w:rsidRPr="00066AD9" w:rsidRDefault="00B6560E" w:rsidP="00B6560E">
            <w:pPr>
              <w:rPr>
                <w:b/>
                <w:color w:val="FF0000"/>
                <w:sz w:val="22"/>
                <w:szCs w:val="22"/>
                <w:lang w:val="fr-FR" w:eastAsia="en-US"/>
              </w:rPr>
            </w:pPr>
          </w:p>
          <w:p w14:paraId="764490CE" w14:textId="77777777" w:rsidR="00B6560E" w:rsidRPr="00066AD9" w:rsidRDefault="00B6560E" w:rsidP="00B6560E">
            <w:pPr>
              <w:rPr>
                <w:b/>
                <w:color w:val="FF0000"/>
                <w:sz w:val="22"/>
                <w:szCs w:val="22"/>
                <w:lang w:val="fr-FR" w:eastAsia="en-US"/>
              </w:rPr>
            </w:pPr>
          </w:p>
          <w:p w14:paraId="72A91972" w14:textId="5BA86B90" w:rsidR="00B6560E" w:rsidRPr="005A6420" w:rsidRDefault="00B6560E" w:rsidP="00B6560E">
            <w:pPr>
              <w:rPr>
                <w:lang w:val="fr-FR"/>
              </w:rPr>
            </w:pPr>
          </w:p>
        </w:tc>
      </w:tr>
      <w:tr w:rsidR="00B6560E" w:rsidRPr="00D168A2" w14:paraId="100B110C" w14:textId="77777777" w:rsidTr="008B478D">
        <w:trPr>
          <w:trHeight w:val="458"/>
        </w:trPr>
        <w:tc>
          <w:tcPr>
            <w:tcW w:w="1530" w:type="dxa"/>
            <w:vMerge/>
          </w:tcPr>
          <w:p w14:paraId="6E42058F" w14:textId="77777777" w:rsidR="00B6560E" w:rsidRPr="005A6420" w:rsidRDefault="00B6560E" w:rsidP="00B6560E">
            <w:pPr>
              <w:rPr>
                <w:rFonts w:cs="Tahoma"/>
                <w:szCs w:val="20"/>
                <w:lang w:val="fr-FR" w:eastAsia="en-US"/>
              </w:rPr>
            </w:pPr>
          </w:p>
        </w:tc>
        <w:tc>
          <w:tcPr>
            <w:tcW w:w="2070" w:type="dxa"/>
            <w:shd w:val="clear" w:color="auto" w:fill="EEECE1"/>
          </w:tcPr>
          <w:p w14:paraId="75DC2D64" w14:textId="77777777" w:rsidR="00B6560E" w:rsidRPr="005A6420" w:rsidRDefault="00B6560E" w:rsidP="00B6560E">
            <w:pPr>
              <w:jc w:val="both"/>
              <w:rPr>
                <w:rFonts w:cs="Tahoma"/>
                <w:szCs w:val="20"/>
                <w:lang w:val="fr-FR" w:eastAsia="en-US"/>
              </w:rPr>
            </w:pPr>
            <w:r w:rsidRPr="005A6420">
              <w:rPr>
                <w:rFonts w:cs="Tahoma"/>
                <w:szCs w:val="20"/>
                <w:lang w:val="fr-FR" w:eastAsia="en-US"/>
              </w:rPr>
              <w:t>Indicateur 3.1.2</w:t>
            </w:r>
          </w:p>
          <w:p w14:paraId="1AC64BA4" w14:textId="571B1AD3" w:rsidR="00B6560E" w:rsidRPr="005A6420" w:rsidRDefault="00B6560E" w:rsidP="00B6560E">
            <w:pPr>
              <w:jc w:val="both"/>
              <w:rPr>
                <w:rFonts w:cs="Tahoma"/>
                <w:szCs w:val="20"/>
                <w:lang w:val="fr-FR" w:eastAsia="en-US"/>
              </w:rPr>
            </w:pPr>
            <w:r w:rsidRPr="00C4431D">
              <w:rPr>
                <w:lang w:val="fr-FR" w:eastAsia="en-US"/>
              </w:rPr>
              <w:t>Pourcentage des femmes engagées comme actrices de changement de comportements dans l’alerte, la prévention et la réponse aux VBG</w:t>
            </w:r>
          </w:p>
        </w:tc>
        <w:tc>
          <w:tcPr>
            <w:tcW w:w="1530" w:type="dxa"/>
            <w:shd w:val="clear" w:color="auto" w:fill="EEECE1"/>
          </w:tcPr>
          <w:p w14:paraId="4450A539" w14:textId="672C694F" w:rsidR="00B6560E" w:rsidRPr="005A6420" w:rsidRDefault="00B6560E" w:rsidP="00B6560E">
            <w:pPr>
              <w:rPr>
                <w:lang w:val="fr-FR"/>
              </w:rPr>
            </w:pPr>
            <w:r>
              <w:rPr>
                <w:b/>
                <w:sz w:val="22"/>
                <w:szCs w:val="22"/>
                <w:lang w:val="fr-FR" w:eastAsia="en-US"/>
              </w:rPr>
              <w:t>Etude de base</w:t>
            </w:r>
          </w:p>
        </w:tc>
        <w:tc>
          <w:tcPr>
            <w:tcW w:w="1620" w:type="dxa"/>
            <w:shd w:val="clear" w:color="auto" w:fill="EEECE1"/>
          </w:tcPr>
          <w:p w14:paraId="64DF62F5" w14:textId="34F442E1" w:rsidR="00B6560E" w:rsidRPr="005A6420" w:rsidRDefault="00B6560E" w:rsidP="00B6560E">
            <w:pPr>
              <w:rPr>
                <w:lang w:val="fr-FR"/>
              </w:rPr>
            </w:pPr>
            <w:r w:rsidRPr="00C4431D">
              <w:rPr>
                <w:lang w:val="fr-FR" w:eastAsia="en-US"/>
              </w:rPr>
              <w:t xml:space="preserve">≥ </w:t>
            </w:r>
            <w:r>
              <w:rPr>
                <w:lang w:val="fr-FR" w:eastAsia="en-US"/>
              </w:rPr>
              <w:t>6</w:t>
            </w:r>
            <w:r w:rsidRPr="00C4431D">
              <w:rPr>
                <w:lang w:val="fr-FR" w:eastAsia="en-US"/>
              </w:rPr>
              <w:t>0%</w:t>
            </w:r>
          </w:p>
        </w:tc>
        <w:tc>
          <w:tcPr>
            <w:tcW w:w="2070" w:type="dxa"/>
          </w:tcPr>
          <w:p w14:paraId="698FB35A" w14:textId="77777777" w:rsidR="00B6560E" w:rsidRPr="00066AD9" w:rsidRDefault="00B6560E" w:rsidP="00B6560E">
            <w:pPr>
              <w:rPr>
                <w:sz w:val="22"/>
                <w:lang w:val="fr-FR" w:eastAsia="en-US"/>
              </w:rPr>
            </w:pPr>
            <w:r w:rsidRPr="00066AD9">
              <w:rPr>
                <w:sz w:val="22"/>
                <w:lang w:val="fr-FR" w:eastAsia="en-US"/>
              </w:rPr>
              <w:t>≥</w:t>
            </w:r>
            <w:r>
              <w:rPr>
                <w:sz w:val="22"/>
                <w:lang w:val="fr-FR" w:eastAsia="en-US"/>
              </w:rPr>
              <w:t xml:space="preserve"> 50%</w:t>
            </w:r>
          </w:p>
          <w:p w14:paraId="68E43661" w14:textId="574412BD" w:rsidR="00B6560E" w:rsidRPr="005A6420" w:rsidRDefault="00B6560E" w:rsidP="00B6560E">
            <w:pPr>
              <w:rPr>
                <w:lang w:val="fr-FR"/>
              </w:rPr>
            </w:pPr>
          </w:p>
        </w:tc>
        <w:tc>
          <w:tcPr>
            <w:tcW w:w="2252" w:type="dxa"/>
          </w:tcPr>
          <w:p w14:paraId="6359F7F7" w14:textId="77777777" w:rsidR="00B6560E" w:rsidRPr="00E809F0" w:rsidRDefault="00B6560E" w:rsidP="00B6560E">
            <w:pPr>
              <w:rPr>
                <w:b/>
                <w:sz w:val="22"/>
                <w:szCs w:val="22"/>
                <w:lang w:val="fr-FR" w:eastAsia="en-US"/>
              </w:rPr>
            </w:pPr>
            <w:r>
              <w:rPr>
                <w:b/>
                <w:sz w:val="22"/>
                <w:szCs w:val="22"/>
                <w:lang w:val="fr-FR" w:eastAsia="en-US"/>
              </w:rPr>
              <w:t>53,65</w:t>
            </w:r>
            <w:r w:rsidRPr="00843E05">
              <w:rPr>
                <w:b/>
                <w:sz w:val="22"/>
                <w:szCs w:val="22"/>
                <w:lang w:val="fr-FR" w:eastAsia="en-US"/>
              </w:rPr>
              <w:t>%</w:t>
            </w:r>
          </w:p>
          <w:p w14:paraId="0D8AA396" w14:textId="77777777" w:rsidR="00B6560E" w:rsidRPr="00E809F0" w:rsidRDefault="00B6560E" w:rsidP="00B6560E">
            <w:pPr>
              <w:rPr>
                <w:b/>
                <w:sz w:val="22"/>
                <w:szCs w:val="22"/>
                <w:lang w:val="fr-FR" w:eastAsia="en-US"/>
              </w:rPr>
            </w:pPr>
          </w:p>
          <w:p w14:paraId="1AB277B4" w14:textId="77777777" w:rsidR="00B6560E" w:rsidRPr="00E809F0" w:rsidRDefault="00B6560E" w:rsidP="00B6560E">
            <w:pPr>
              <w:rPr>
                <w:b/>
                <w:sz w:val="22"/>
                <w:szCs w:val="22"/>
                <w:lang w:val="fr-FR" w:eastAsia="en-US"/>
              </w:rPr>
            </w:pPr>
          </w:p>
          <w:p w14:paraId="4BA6EF6F" w14:textId="77777777" w:rsidR="00B6560E" w:rsidRPr="00E809F0" w:rsidRDefault="00B6560E" w:rsidP="00B6560E">
            <w:pPr>
              <w:rPr>
                <w:b/>
                <w:sz w:val="22"/>
                <w:szCs w:val="22"/>
                <w:lang w:val="fr-FR" w:eastAsia="en-US"/>
              </w:rPr>
            </w:pPr>
          </w:p>
          <w:p w14:paraId="5E3C5442" w14:textId="77777777" w:rsidR="00B6560E" w:rsidRPr="00E809F0" w:rsidRDefault="00B6560E" w:rsidP="00B6560E">
            <w:pPr>
              <w:rPr>
                <w:b/>
                <w:sz w:val="22"/>
                <w:szCs w:val="22"/>
                <w:lang w:val="fr-FR" w:eastAsia="en-US"/>
              </w:rPr>
            </w:pPr>
          </w:p>
          <w:p w14:paraId="4B794723" w14:textId="77777777" w:rsidR="00B6560E" w:rsidRPr="00E809F0" w:rsidRDefault="00B6560E" w:rsidP="00B6560E">
            <w:pPr>
              <w:rPr>
                <w:b/>
                <w:sz w:val="22"/>
                <w:szCs w:val="22"/>
                <w:lang w:val="fr-FR" w:eastAsia="en-US"/>
              </w:rPr>
            </w:pPr>
          </w:p>
          <w:p w14:paraId="16071E3A" w14:textId="48E0639A" w:rsidR="00B6560E" w:rsidRPr="005A6420" w:rsidRDefault="00B6560E" w:rsidP="00B6560E">
            <w:pPr>
              <w:rPr>
                <w:lang w:val="fr-FR"/>
              </w:rPr>
            </w:pPr>
          </w:p>
        </w:tc>
        <w:tc>
          <w:tcPr>
            <w:tcW w:w="3958" w:type="dxa"/>
          </w:tcPr>
          <w:p w14:paraId="2A1F5BA2" w14:textId="6316E535" w:rsidR="00B6560E" w:rsidRPr="005A6420" w:rsidRDefault="00B6560E" w:rsidP="00B6560E">
            <w:pPr>
              <w:rPr>
                <w:lang w:val="fr-FR"/>
              </w:rPr>
            </w:pPr>
            <w:r w:rsidRPr="00223400">
              <w:rPr>
                <w:sz w:val="22"/>
                <w:szCs w:val="22"/>
                <w:lang w:val="fr-FR" w:eastAsia="en-US"/>
              </w:rPr>
              <w:t>L’insécurité qui a sévit dans certaines localités du projet n</w:t>
            </w:r>
            <w:r>
              <w:rPr>
                <w:sz w:val="22"/>
                <w:szCs w:val="22"/>
                <w:lang w:val="fr-FR" w:eastAsia="en-US"/>
              </w:rPr>
              <w:t>’</w:t>
            </w:r>
            <w:r w:rsidRPr="00223400">
              <w:rPr>
                <w:sz w:val="22"/>
                <w:szCs w:val="22"/>
                <w:lang w:val="fr-FR" w:eastAsia="en-US"/>
              </w:rPr>
              <w:t>a permis d’engager plus de femmes.</w:t>
            </w:r>
          </w:p>
        </w:tc>
      </w:tr>
      <w:tr w:rsidR="00B6560E" w:rsidRPr="00D168A2" w14:paraId="4A002238" w14:textId="77777777" w:rsidTr="008B478D">
        <w:trPr>
          <w:trHeight w:val="458"/>
        </w:trPr>
        <w:tc>
          <w:tcPr>
            <w:tcW w:w="1530" w:type="dxa"/>
            <w:vMerge w:val="restart"/>
          </w:tcPr>
          <w:p w14:paraId="1399BFDF" w14:textId="77777777" w:rsidR="00B6560E" w:rsidRPr="005A6420" w:rsidRDefault="00B6560E" w:rsidP="00B6560E">
            <w:pPr>
              <w:rPr>
                <w:rFonts w:cs="Tahoma"/>
                <w:szCs w:val="20"/>
                <w:lang w:val="fr-FR" w:eastAsia="en-US"/>
              </w:rPr>
            </w:pPr>
            <w:r w:rsidRPr="005A6420">
              <w:rPr>
                <w:rFonts w:cs="Tahoma"/>
                <w:szCs w:val="20"/>
                <w:lang w:val="fr-FR" w:eastAsia="en-US"/>
              </w:rPr>
              <w:t>Produit 3.2</w:t>
            </w:r>
          </w:p>
          <w:p w14:paraId="0C627E92" w14:textId="25BF8145" w:rsidR="00B6560E" w:rsidRPr="005A6420" w:rsidRDefault="00B6560E" w:rsidP="00B6560E">
            <w:pPr>
              <w:rPr>
                <w:rFonts w:cs="Tahoma"/>
                <w:szCs w:val="20"/>
                <w:lang w:val="fr-FR" w:eastAsia="en-US"/>
              </w:rPr>
            </w:pPr>
            <w:r w:rsidRPr="0032046C">
              <w:rPr>
                <w:lang w:val="fr-FR" w:eastAsia="en-US"/>
              </w:rPr>
              <w:t>La prise en charge globale (médicale, psychosociale, juridique et socioéconomique) des survivants des VBG est assurée.</w:t>
            </w:r>
          </w:p>
        </w:tc>
        <w:tc>
          <w:tcPr>
            <w:tcW w:w="2070" w:type="dxa"/>
            <w:shd w:val="clear" w:color="auto" w:fill="EEECE1"/>
          </w:tcPr>
          <w:p w14:paraId="399E4F20" w14:textId="77777777" w:rsidR="00B6560E" w:rsidRPr="005A6420" w:rsidRDefault="00B6560E" w:rsidP="00B6560E">
            <w:pPr>
              <w:jc w:val="both"/>
              <w:rPr>
                <w:rFonts w:cs="Tahoma"/>
                <w:szCs w:val="20"/>
                <w:lang w:val="fr-FR" w:eastAsia="en-US"/>
              </w:rPr>
            </w:pPr>
            <w:r w:rsidRPr="005A6420">
              <w:rPr>
                <w:rFonts w:cs="Tahoma"/>
                <w:szCs w:val="20"/>
                <w:lang w:val="fr-FR" w:eastAsia="en-US"/>
              </w:rPr>
              <w:t>Indicateur 3.2.1</w:t>
            </w:r>
          </w:p>
          <w:p w14:paraId="094E5F49" w14:textId="54917D9F" w:rsidR="00B6560E" w:rsidRPr="005A6420" w:rsidRDefault="00B6560E" w:rsidP="00B6560E">
            <w:pPr>
              <w:jc w:val="both"/>
              <w:rPr>
                <w:rFonts w:cs="Tahoma"/>
                <w:szCs w:val="20"/>
                <w:lang w:val="fr-FR" w:eastAsia="en-US"/>
              </w:rPr>
            </w:pPr>
            <w:r w:rsidRPr="0032046C">
              <w:rPr>
                <w:lang w:val="fr-FR" w:eastAsia="en-US"/>
              </w:rPr>
              <w:t>Pourcentage des survivant(e)s des VBG reçu ayant bénéficié d’une prise en charge médicale et psychosociale de qualité</w:t>
            </w:r>
          </w:p>
        </w:tc>
        <w:tc>
          <w:tcPr>
            <w:tcW w:w="1530" w:type="dxa"/>
            <w:shd w:val="clear" w:color="auto" w:fill="EEECE1"/>
          </w:tcPr>
          <w:p w14:paraId="1EAA3323" w14:textId="2D418B85" w:rsidR="00B6560E" w:rsidRPr="005A6420" w:rsidRDefault="00B6560E" w:rsidP="00B6560E">
            <w:pPr>
              <w:rPr>
                <w:lang w:val="fr-FR"/>
              </w:rPr>
            </w:pPr>
            <w:r>
              <w:rPr>
                <w:b/>
                <w:sz w:val="22"/>
                <w:szCs w:val="22"/>
                <w:lang w:val="fr-FR" w:eastAsia="en-US"/>
              </w:rPr>
              <w:t>Etude de base</w:t>
            </w:r>
          </w:p>
        </w:tc>
        <w:tc>
          <w:tcPr>
            <w:tcW w:w="1620" w:type="dxa"/>
            <w:shd w:val="clear" w:color="auto" w:fill="EEECE1"/>
          </w:tcPr>
          <w:p w14:paraId="0278815D" w14:textId="6DB7411A" w:rsidR="00B6560E" w:rsidRPr="005A6420" w:rsidRDefault="00B6560E" w:rsidP="00B6560E">
            <w:pPr>
              <w:rPr>
                <w:lang w:val="fr-FR"/>
              </w:rPr>
            </w:pPr>
            <w:r>
              <w:rPr>
                <w:b/>
                <w:sz w:val="22"/>
                <w:szCs w:val="22"/>
                <w:lang w:val="fr-FR" w:eastAsia="en-US"/>
              </w:rPr>
              <w:t>80%</w:t>
            </w:r>
          </w:p>
        </w:tc>
        <w:tc>
          <w:tcPr>
            <w:tcW w:w="2070" w:type="dxa"/>
          </w:tcPr>
          <w:p w14:paraId="4FFAB223" w14:textId="77777777" w:rsidR="00B6560E" w:rsidRPr="00066AD9" w:rsidRDefault="00B6560E" w:rsidP="00B6560E">
            <w:pPr>
              <w:rPr>
                <w:sz w:val="22"/>
                <w:lang w:val="fr-FR"/>
              </w:rPr>
            </w:pPr>
            <w:r>
              <w:rPr>
                <w:sz w:val="22"/>
                <w:lang w:val="fr-FR"/>
              </w:rPr>
              <w:t>100%</w:t>
            </w:r>
          </w:p>
          <w:p w14:paraId="5F90DA3B" w14:textId="77777777" w:rsidR="00B6560E" w:rsidRPr="00066AD9" w:rsidRDefault="00B6560E" w:rsidP="00B6560E">
            <w:pPr>
              <w:rPr>
                <w:color w:val="FF0000"/>
                <w:sz w:val="22"/>
                <w:lang w:val="fr-CI"/>
              </w:rPr>
            </w:pPr>
          </w:p>
          <w:p w14:paraId="5310EA64" w14:textId="77777777" w:rsidR="00B6560E" w:rsidRPr="00066AD9" w:rsidRDefault="00B6560E" w:rsidP="00B6560E">
            <w:pPr>
              <w:rPr>
                <w:color w:val="FF0000"/>
                <w:sz w:val="22"/>
                <w:lang w:val="fr-CI"/>
              </w:rPr>
            </w:pPr>
          </w:p>
          <w:p w14:paraId="4AFCD9D1" w14:textId="77777777" w:rsidR="00B6560E" w:rsidRPr="00066AD9" w:rsidRDefault="00B6560E" w:rsidP="00B6560E">
            <w:pPr>
              <w:rPr>
                <w:color w:val="FF0000"/>
                <w:sz w:val="22"/>
                <w:lang w:val="fr-CI"/>
              </w:rPr>
            </w:pPr>
          </w:p>
          <w:p w14:paraId="613CF872" w14:textId="77777777" w:rsidR="00B6560E" w:rsidRPr="00066AD9" w:rsidRDefault="00B6560E" w:rsidP="00B6560E">
            <w:pPr>
              <w:rPr>
                <w:color w:val="FF0000"/>
                <w:sz w:val="22"/>
                <w:lang w:val="fr-CI"/>
              </w:rPr>
            </w:pPr>
          </w:p>
          <w:p w14:paraId="7B141F3A" w14:textId="77777777" w:rsidR="00B6560E" w:rsidRPr="00066AD9" w:rsidRDefault="00B6560E" w:rsidP="00B6560E">
            <w:pPr>
              <w:rPr>
                <w:color w:val="FF0000"/>
                <w:sz w:val="22"/>
                <w:lang w:val="fr-CI"/>
              </w:rPr>
            </w:pPr>
          </w:p>
          <w:p w14:paraId="64077060" w14:textId="6A28271A" w:rsidR="00B6560E" w:rsidRPr="005A6420" w:rsidRDefault="00B6560E" w:rsidP="00B6560E">
            <w:pPr>
              <w:rPr>
                <w:lang w:val="fr-FR"/>
              </w:rPr>
            </w:pPr>
          </w:p>
        </w:tc>
        <w:tc>
          <w:tcPr>
            <w:tcW w:w="2252" w:type="dxa"/>
          </w:tcPr>
          <w:p w14:paraId="4DFEF0E6" w14:textId="77777777" w:rsidR="00B6560E" w:rsidRPr="00E809F0" w:rsidRDefault="00B6560E" w:rsidP="00B6560E">
            <w:pPr>
              <w:rPr>
                <w:b/>
                <w:sz w:val="22"/>
                <w:szCs w:val="22"/>
                <w:lang w:val="fr-FR" w:eastAsia="en-US"/>
              </w:rPr>
            </w:pPr>
            <w:r>
              <w:rPr>
                <w:b/>
                <w:sz w:val="22"/>
                <w:szCs w:val="22"/>
                <w:lang w:val="fr-FR" w:eastAsia="en-US"/>
              </w:rPr>
              <w:t>100%</w:t>
            </w:r>
          </w:p>
          <w:p w14:paraId="486C9912" w14:textId="77777777" w:rsidR="00B6560E" w:rsidRPr="00E809F0" w:rsidRDefault="00B6560E" w:rsidP="00B6560E">
            <w:pPr>
              <w:rPr>
                <w:b/>
                <w:sz w:val="22"/>
                <w:szCs w:val="22"/>
                <w:lang w:val="fr-FR" w:eastAsia="en-US"/>
              </w:rPr>
            </w:pPr>
          </w:p>
          <w:p w14:paraId="09392880" w14:textId="77777777" w:rsidR="00B6560E" w:rsidRPr="00E809F0" w:rsidRDefault="00B6560E" w:rsidP="00B6560E">
            <w:pPr>
              <w:rPr>
                <w:b/>
                <w:sz w:val="22"/>
                <w:szCs w:val="22"/>
                <w:lang w:val="fr-FR" w:eastAsia="en-US"/>
              </w:rPr>
            </w:pPr>
          </w:p>
          <w:p w14:paraId="70D36B9F" w14:textId="77777777" w:rsidR="00B6560E" w:rsidRPr="00E809F0" w:rsidRDefault="00B6560E" w:rsidP="00B6560E">
            <w:pPr>
              <w:rPr>
                <w:b/>
                <w:sz w:val="22"/>
                <w:szCs w:val="22"/>
                <w:lang w:val="fr-FR" w:eastAsia="en-US"/>
              </w:rPr>
            </w:pPr>
          </w:p>
          <w:p w14:paraId="79D4AAA5" w14:textId="77777777" w:rsidR="00B6560E" w:rsidRPr="00E809F0" w:rsidRDefault="00B6560E" w:rsidP="00B6560E">
            <w:pPr>
              <w:rPr>
                <w:b/>
                <w:sz w:val="22"/>
                <w:szCs w:val="22"/>
                <w:lang w:val="fr-FR" w:eastAsia="en-US"/>
              </w:rPr>
            </w:pPr>
          </w:p>
          <w:p w14:paraId="6EA36DC1" w14:textId="77777777" w:rsidR="00B6560E" w:rsidRPr="00E809F0" w:rsidRDefault="00B6560E" w:rsidP="00B6560E">
            <w:pPr>
              <w:rPr>
                <w:b/>
                <w:sz w:val="22"/>
                <w:szCs w:val="22"/>
                <w:lang w:val="fr-FR" w:eastAsia="en-US"/>
              </w:rPr>
            </w:pPr>
          </w:p>
          <w:p w14:paraId="0EB68206" w14:textId="77777777" w:rsidR="00B6560E" w:rsidRPr="00E809F0" w:rsidRDefault="00B6560E" w:rsidP="00B6560E">
            <w:pPr>
              <w:rPr>
                <w:b/>
                <w:color w:val="FF0000"/>
                <w:sz w:val="22"/>
                <w:szCs w:val="22"/>
                <w:lang w:val="fr-CI" w:eastAsia="en-US"/>
              </w:rPr>
            </w:pPr>
          </w:p>
          <w:p w14:paraId="0AA6CBDE" w14:textId="77777777" w:rsidR="00B6560E" w:rsidRPr="00E809F0" w:rsidRDefault="00B6560E" w:rsidP="00B6560E">
            <w:pPr>
              <w:rPr>
                <w:b/>
                <w:color w:val="FF0000"/>
                <w:sz w:val="22"/>
                <w:szCs w:val="22"/>
                <w:lang w:val="fr-CI" w:eastAsia="en-US"/>
              </w:rPr>
            </w:pPr>
          </w:p>
          <w:p w14:paraId="3BE7B327" w14:textId="77777777" w:rsidR="00B6560E" w:rsidRPr="00A26BB2" w:rsidRDefault="00B6560E" w:rsidP="00B6560E">
            <w:pPr>
              <w:rPr>
                <w:b/>
                <w:color w:val="FF0000"/>
                <w:sz w:val="22"/>
                <w:szCs w:val="22"/>
                <w:lang w:val="fr-CI" w:eastAsia="en-US"/>
              </w:rPr>
            </w:pPr>
          </w:p>
          <w:p w14:paraId="42D0BF27" w14:textId="77777777" w:rsidR="00B6560E" w:rsidRPr="00A26BB2" w:rsidRDefault="00B6560E" w:rsidP="00B6560E">
            <w:pPr>
              <w:rPr>
                <w:b/>
                <w:color w:val="FF0000"/>
                <w:sz w:val="22"/>
                <w:szCs w:val="22"/>
                <w:lang w:val="fr-CI" w:eastAsia="en-US"/>
              </w:rPr>
            </w:pPr>
          </w:p>
          <w:p w14:paraId="0C6EF76F" w14:textId="3D1095A3" w:rsidR="00B6560E" w:rsidRPr="005A6420" w:rsidRDefault="00B6560E" w:rsidP="00B6560E">
            <w:pPr>
              <w:rPr>
                <w:lang w:val="fr-FR"/>
              </w:rPr>
            </w:pPr>
          </w:p>
        </w:tc>
        <w:tc>
          <w:tcPr>
            <w:tcW w:w="3958" w:type="dxa"/>
          </w:tcPr>
          <w:p w14:paraId="18171EAA" w14:textId="5D4208CB" w:rsidR="00B6560E" w:rsidRPr="005A6420" w:rsidRDefault="00B6560E" w:rsidP="00B6560E">
            <w:pPr>
              <w:rPr>
                <w:lang w:val="fr-FR"/>
              </w:rPr>
            </w:pPr>
            <w:r>
              <w:rPr>
                <w:sz w:val="22"/>
                <w:szCs w:val="22"/>
                <w:lang w:val="fr-FR" w:eastAsia="en-US"/>
              </w:rPr>
              <w:t>Le recrutement d’un personnel qualifié et formé par les partenaires couplé avec la mise en place de structures de prise en charges (centres d’écoute et One Stop Center) selon les normes standards ont permis de délivrer une prise en charge de qualité aux survivantes.</w:t>
            </w:r>
          </w:p>
        </w:tc>
      </w:tr>
      <w:tr w:rsidR="00B6560E" w:rsidRPr="00D168A2" w14:paraId="4E815455" w14:textId="77777777" w:rsidTr="008B478D">
        <w:trPr>
          <w:trHeight w:val="458"/>
        </w:trPr>
        <w:tc>
          <w:tcPr>
            <w:tcW w:w="1530" w:type="dxa"/>
            <w:vMerge/>
          </w:tcPr>
          <w:p w14:paraId="022D9C9C" w14:textId="77777777" w:rsidR="00B6560E" w:rsidRPr="005A6420" w:rsidRDefault="00B6560E" w:rsidP="00B6560E">
            <w:pPr>
              <w:rPr>
                <w:rFonts w:cs="Tahoma"/>
                <w:b/>
                <w:szCs w:val="20"/>
                <w:lang w:val="fr-FR" w:eastAsia="en-US"/>
              </w:rPr>
            </w:pPr>
          </w:p>
        </w:tc>
        <w:tc>
          <w:tcPr>
            <w:tcW w:w="2070" w:type="dxa"/>
            <w:shd w:val="clear" w:color="auto" w:fill="EEECE1"/>
          </w:tcPr>
          <w:p w14:paraId="2ADDAD1E" w14:textId="77777777" w:rsidR="00B6560E" w:rsidRPr="005A6420" w:rsidRDefault="00B6560E" w:rsidP="00B6560E">
            <w:pPr>
              <w:jc w:val="both"/>
              <w:rPr>
                <w:rFonts w:cs="Tahoma"/>
                <w:szCs w:val="20"/>
                <w:lang w:val="fr-FR" w:eastAsia="en-US"/>
              </w:rPr>
            </w:pPr>
            <w:r w:rsidRPr="005A6420">
              <w:rPr>
                <w:rFonts w:cs="Tahoma"/>
                <w:szCs w:val="20"/>
                <w:lang w:val="fr-FR" w:eastAsia="en-US"/>
              </w:rPr>
              <w:t>Indicateur 3.2.2</w:t>
            </w:r>
          </w:p>
          <w:p w14:paraId="15472455" w14:textId="2DF801F8" w:rsidR="00B6560E" w:rsidRPr="005A6420" w:rsidRDefault="00B6560E" w:rsidP="00B6560E">
            <w:pPr>
              <w:jc w:val="both"/>
              <w:rPr>
                <w:rFonts w:cs="Tahoma"/>
                <w:szCs w:val="20"/>
                <w:lang w:val="fr-FR" w:eastAsia="en-US"/>
              </w:rPr>
            </w:pPr>
            <w:r w:rsidRPr="0032046C">
              <w:rPr>
                <w:lang w:val="fr-FR" w:eastAsia="en-US"/>
              </w:rPr>
              <w:t xml:space="preserve">% de survivant(e)s des violences </w:t>
            </w:r>
            <w:r w:rsidRPr="0032046C">
              <w:rPr>
                <w:lang w:val="fr-FR" w:eastAsia="en-US"/>
              </w:rPr>
              <w:lastRenderedPageBreak/>
              <w:t>sexuelles reçu ayant bénéficié d’une prise en charge médicale dans les 72h</w:t>
            </w:r>
          </w:p>
        </w:tc>
        <w:tc>
          <w:tcPr>
            <w:tcW w:w="1530" w:type="dxa"/>
            <w:shd w:val="clear" w:color="auto" w:fill="EEECE1"/>
          </w:tcPr>
          <w:p w14:paraId="65497F7B" w14:textId="2CCCEAE6" w:rsidR="00B6560E" w:rsidRPr="005A6420" w:rsidRDefault="00B6560E" w:rsidP="00B6560E">
            <w:pPr>
              <w:rPr>
                <w:lang w:val="fr-FR"/>
              </w:rPr>
            </w:pPr>
            <w:r>
              <w:rPr>
                <w:b/>
                <w:sz w:val="22"/>
                <w:szCs w:val="22"/>
                <w:lang w:val="fr-FR" w:eastAsia="en-US"/>
              </w:rPr>
              <w:lastRenderedPageBreak/>
              <w:t>Etude de base</w:t>
            </w:r>
          </w:p>
        </w:tc>
        <w:tc>
          <w:tcPr>
            <w:tcW w:w="1620" w:type="dxa"/>
            <w:shd w:val="clear" w:color="auto" w:fill="EEECE1"/>
          </w:tcPr>
          <w:p w14:paraId="4FAC9123" w14:textId="00AF0021" w:rsidR="00B6560E" w:rsidRPr="005A6420" w:rsidRDefault="00B6560E" w:rsidP="00B6560E">
            <w:pPr>
              <w:rPr>
                <w:lang w:val="fr-FR"/>
              </w:rPr>
            </w:pPr>
            <w:r>
              <w:rPr>
                <w:b/>
                <w:sz w:val="22"/>
                <w:szCs w:val="22"/>
                <w:lang w:val="fr-FR" w:eastAsia="en-US"/>
              </w:rPr>
              <w:t>50%</w:t>
            </w:r>
          </w:p>
        </w:tc>
        <w:tc>
          <w:tcPr>
            <w:tcW w:w="2070" w:type="dxa"/>
          </w:tcPr>
          <w:p w14:paraId="2A48C46E" w14:textId="263CBE67" w:rsidR="00B6560E" w:rsidRPr="005A6420" w:rsidRDefault="00B6560E" w:rsidP="00B6560E">
            <w:pPr>
              <w:rPr>
                <w:lang w:val="fr-FR"/>
              </w:rPr>
            </w:pPr>
            <w:r>
              <w:rPr>
                <w:sz w:val="22"/>
                <w:lang w:val="fr-FR" w:eastAsia="en-US"/>
              </w:rPr>
              <w:t>25%</w:t>
            </w:r>
          </w:p>
        </w:tc>
        <w:tc>
          <w:tcPr>
            <w:tcW w:w="2252" w:type="dxa"/>
          </w:tcPr>
          <w:p w14:paraId="03614F90" w14:textId="77777777" w:rsidR="00B6560E" w:rsidRPr="00E809F0" w:rsidRDefault="00B6560E" w:rsidP="00B6560E">
            <w:pPr>
              <w:rPr>
                <w:b/>
                <w:sz w:val="22"/>
                <w:szCs w:val="22"/>
                <w:lang w:val="fr-FR" w:eastAsia="en-US"/>
              </w:rPr>
            </w:pPr>
            <w:r>
              <w:rPr>
                <w:b/>
                <w:sz w:val="22"/>
                <w:szCs w:val="22"/>
                <w:lang w:val="fr-FR" w:eastAsia="en-US"/>
              </w:rPr>
              <w:t>17,81%</w:t>
            </w:r>
          </w:p>
          <w:p w14:paraId="4735E822" w14:textId="77777777" w:rsidR="00B6560E" w:rsidRPr="00E809F0" w:rsidRDefault="00B6560E" w:rsidP="00B6560E">
            <w:pPr>
              <w:rPr>
                <w:b/>
                <w:sz w:val="22"/>
                <w:szCs w:val="22"/>
                <w:lang w:val="fr-FR" w:eastAsia="en-US"/>
              </w:rPr>
            </w:pPr>
          </w:p>
          <w:p w14:paraId="7A172941" w14:textId="77777777" w:rsidR="00B6560E" w:rsidRPr="00E809F0" w:rsidRDefault="00B6560E" w:rsidP="00B6560E">
            <w:pPr>
              <w:rPr>
                <w:b/>
                <w:sz w:val="22"/>
                <w:szCs w:val="22"/>
                <w:lang w:val="fr-FR" w:eastAsia="en-US"/>
              </w:rPr>
            </w:pPr>
          </w:p>
          <w:p w14:paraId="659698B3" w14:textId="77777777" w:rsidR="00B6560E" w:rsidRPr="00E809F0" w:rsidRDefault="00B6560E" w:rsidP="00B6560E">
            <w:pPr>
              <w:rPr>
                <w:b/>
                <w:sz w:val="22"/>
                <w:szCs w:val="22"/>
                <w:lang w:val="fr-FR" w:eastAsia="en-US"/>
              </w:rPr>
            </w:pPr>
          </w:p>
          <w:p w14:paraId="5D6CEF0E" w14:textId="77777777" w:rsidR="00B6560E" w:rsidRPr="00E809F0" w:rsidRDefault="00B6560E" w:rsidP="00B6560E">
            <w:pPr>
              <w:rPr>
                <w:b/>
                <w:sz w:val="22"/>
                <w:szCs w:val="22"/>
                <w:lang w:val="fr-FR" w:eastAsia="en-US"/>
              </w:rPr>
            </w:pPr>
          </w:p>
          <w:p w14:paraId="371BD8BC" w14:textId="77777777" w:rsidR="00B6560E" w:rsidRPr="00E809F0" w:rsidRDefault="00B6560E" w:rsidP="00B6560E">
            <w:pPr>
              <w:rPr>
                <w:b/>
                <w:sz w:val="22"/>
                <w:szCs w:val="22"/>
                <w:lang w:val="fr-FR" w:eastAsia="en-US"/>
              </w:rPr>
            </w:pPr>
          </w:p>
          <w:p w14:paraId="4256664F" w14:textId="77777777" w:rsidR="00B6560E" w:rsidRPr="00E809F0" w:rsidRDefault="00B6560E" w:rsidP="00B6560E">
            <w:pPr>
              <w:rPr>
                <w:b/>
                <w:sz w:val="22"/>
                <w:szCs w:val="22"/>
                <w:lang w:val="fr-FR" w:eastAsia="en-US"/>
              </w:rPr>
            </w:pPr>
          </w:p>
          <w:p w14:paraId="079FBF84" w14:textId="77777777" w:rsidR="00B6560E" w:rsidRPr="00A26BB2" w:rsidRDefault="00B6560E" w:rsidP="00B6560E">
            <w:pPr>
              <w:rPr>
                <w:b/>
                <w:sz w:val="22"/>
                <w:szCs w:val="22"/>
                <w:lang w:val="fr-FR" w:eastAsia="en-US"/>
              </w:rPr>
            </w:pPr>
          </w:p>
          <w:p w14:paraId="44A48C33" w14:textId="40497312" w:rsidR="00B6560E" w:rsidRPr="005A6420" w:rsidRDefault="00B6560E" w:rsidP="00B6560E">
            <w:pPr>
              <w:rPr>
                <w:lang w:val="fr-FR"/>
              </w:rPr>
            </w:pPr>
          </w:p>
        </w:tc>
        <w:tc>
          <w:tcPr>
            <w:tcW w:w="3958" w:type="dxa"/>
          </w:tcPr>
          <w:p w14:paraId="1682E420" w14:textId="77777777" w:rsidR="00B6560E" w:rsidRPr="00066AD9" w:rsidRDefault="00B6560E" w:rsidP="00B6560E">
            <w:pPr>
              <w:rPr>
                <w:sz w:val="22"/>
                <w:lang w:val="fr-FR"/>
              </w:rPr>
            </w:pPr>
            <w:r w:rsidRPr="00843E05">
              <w:rPr>
                <w:sz w:val="22"/>
                <w:szCs w:val="22"/>
                <w:lang w:val="fr-FR" w:eastAsia="en-US"/>
              </w:rPr>
              <w:lastRenderedPageBreak/>
              <w:t xml:space="preserve">Malgré les sensibilisations la culture du silence reste toujours forte à cause des conséquences sociales du viol. </w:t>
            </w:r>
          </w:p>
          <w:p w14:paraId="367669CE" w14:textId="77777777" w:rsidR="00B6560E" w:rsidRPr="00066AD9" w:rsidRDefault="00B6560E" w:rsidP="00B6560E">
            <w:pPr>
              <w:rPr>
                <w:sz w:val="22"/>
                <w:lang w:val="fr-FR"/>
              </w:rPr>
            </w:pPr>
          </w:p>
          <w:p w14:paraId="77C5D6EE" w14:textId="77777777" w:rsidR="00B6560E" w:rsidRPr="00066AD9" w:rsidRDefault="00B6560E" w:rsidP="00B6560E">
            <w:pPr>
              <w:rPr>
                <w:sz w:val="22"/>
                <w:lang w:val="fr-FR"/>
              </w:rPr>
            </w:pPr>
          </w:p>
          <w:p w14:paraId="7BD35328" w14:textId="77777777" w:rsidR="00B6560E" w:rsidRPr="00066AD9" w:rsidRDefault="00B6560E" w:rsidP="00B6560E">
            <w:pPr>
              <w:rPr>
                <w:sz w:val="22"/>
                <w:lang w:val="fr-FR"/>
              </w:rPr>
            </w:pPr>
          </w:p>
          <w:p w14:paraId="752A188B" w14:textId="77777777" w:rsidR="00B6560E" w:rsidRPr="00066AD9" w:rsidRDefault="00B6560E" w:rsidP="00B6560E">
            <w:pPr>
              <w:rPr>
                <w:sz w:val="22"/>
                <w:lang w:val="fr-FR"/>
              </w:rPr>
            </w:pPr>
          </w:p>
          <w:p w14:paraId="77A34B01" w14:textId="2836F996" w:rsidR="00B6560E" w:rsidRPr="005A6420" w:rsidRDefault="00B6560E" w:rsidP="00B6560E">
            <w:pPr>
              <w:rPr>
                <w:lang w:val="fr-FR"/>
              </w:rPr>
            </w:pPr>
          </w:p>
        </w:tc>
      </w:tr>
      <w:tr w:rsidR="00B6560E" w:rsidRPr="00D168A2" w14:paraId="43035B13" w14:textId="77777777" w:rsidTr="008B478D">
        <w:trPr>
          <w:trHeight w:val="458"/>
        </w:trPr>
        <w:tc>
          <w:tcPr>
            <w:tcW w:w="1530" w:type="dxa"/>
            <w:vMerge w:val="restart"/>
          </w:tcPr>
          <w:p w14:paraId="528D1B2B" w14:textId="77777777" w:rsidR="00B6560E" w:rsidRPr="005A6420" w:rsidRDefault="00B6560E" w:rsidP="00B6560E">
            <w:pPr>
              <w:rPr>
                <w:rFonts w:cs="Tahoma"/>
                <w:szCs w:val="20"/>
                <w:lang w:val="fr-FR" w:eastAsia="en-US"/>
              </w:rPr>
            </w:pPr>
            <w:r w:rsidRPr="005A6420">
              <w:rPr>
                <w:rFonts w:cs="Tahoma"/>
                <w:szCs w:val="20"/>
                <w:lang w:val="fr-FR" w:eastAsia="en-US"/>
              </w:rPr>
              <w:lastRenderedPageBreak/>
              <w:t>Produit 3.3</w:t>
            </w:r>
          </w:p>
          <w:p w14:paraId="0A5815BE" w14:textId="77777777" w:rsidR="00B6560E" w:rsidRPr="005A6420" w:rsidRDefault="00B6560E" w:rsidP="00B6560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B6560E" w:rsidRPr="005A6420" w:rsidRDefault="00B6560E" w:rsidP="00B6560E">
            <w:pPr>
              <w:jc w:val="both"/>
              <w:rPr>
                <w:rFonts w:cs="Tahoma"/>
                <w:szCs w:val="20"/>
                <w:lang w:val="fr-FR" w:eastAsia="en-US"/>
              </w:rPr>
            </w:pPr>
            <w:r w:rsidRPr="005A6420">
              <w:rPr>
                <w:rFonts w:cs="Tahoma"/>
                <w:szCs w:val="20"/>
                <w:lang w:val="fr-FR" w:eastAsia="en-US"/>
              </w:rPr>
              <w:t>Indicateur 3.3.1</w:t>
            </w:r>
          </w:p>
          <w:p w14:paraId="69406269" w14:textId="1634BA3E" w:rsidR="00B6560E" w:rsidRPr="005A6420" w:rsidRDefault="00B6560E" w:rsidP="00B6560E">
            <w:pPr>
              <w:jc w:val="both"/>
              <w:rPr>
                <w:rFonts w:cs="Tahoma"/>
                <w:szCs w:val="20"/>
                <w:lang w:val="fr-FR" w:eastAsia="en-US"/>
              </w:rPr>
            </w:pPr>
            <w:r w:rsidRPr="0032046C">
              <w:rPr>
                <w:lang w:val="fr-FR" w:eastAsia="en-US"/>
              </w:rPr>
              <w:t>Pourcentage des survivant(e)s des VBG ayant bénéficié d’un accompagnement et d’une assistance juridique et judiciaire</w:t>
            </w:r>
          </w:p>
        </w:tc>
        <w:tc>
          <w:tcPr>
            <w:tcW w:w="1530" w:type="dxa"/>
            <w:shd w:val="clear" w:color="auto" w:fill="EEECE1"/>
          </w:tcPr>
          <w:p w14:paraId="660C3347" w14:textId="0F4A3CFC" w:rsidR="00B6560E" w:rsidRPr="005A6420" w:rsidRDefault="00B6560E" w:rsidP="00B6560E">
            <w:pPr>
              <w:rPr>
                <w:lang w:val="fr-FR"/>
              </w:rPr>
            </w:pPr>
            <w:r w:rsidRPr="0032046C">
              <w:rPr>
                <w:lang w:val="fr-FR" w:eastAsia="en-US"/>
              </w:rPr>
              <w:t>Etude de base</w:t>
            </w:r>
          </w:p>
        </w:tc>
        <w:tc>
          <w:tcPr>
            <w:tcW w:w="1620" w:type="dxa"/>
            <w:shd w:val="clear" w:color="auto" w:fill="EEECE1"/>
          </w:tcPr>
          <w:p w14:paraId="7D182286" w14:textId="49CD55DC" w:rsidR="00B6560E" w:rsidRPr="005A6420" w:rsidRDefault="00B6560E" w:rsidP="00B6560E">
            <w:pPr>
              <w:rPr>
                <w:lang w:val="fr-FR"/>
              </w:rPr>
            </w:pPr>
            <w:r>
              <w:rPr>
                <w:b/>
                <w:sz w:val="22"/>
                <w:szCs w:val="22"/>
                <w:lang w:val="fr-FR" w:eastAsia="en-US"/>
              </w:rPr>
              <w:t>25%</w:t>
            </w:r>
          </w:p>
        </w:tc>
        <w:tc>
          <w:tcPr>
            <w:tcW w:w="2070" w:type="dxa"/>
          </w:tcPr>
          <w:p w14:paraId="2DB078BA" w14:textId="77777777" w:rsidR="00B6560E" w:rsidRPr="00066AD9" w:rsidRDefault="00B6560E" w:rsidP="00B6560E">
            <w:pPr>
              <w:rPr>
                <w:sz w:val="22"/>
                <w:lang w:val="fr-FR"/>
              </w:rPr>
            </w:pPr>
            <w:r>
              <w:rPr>
                <w:sz w:val="22"/>
                <w:lang w:val="fr-FR"/>
              </w:rPr>
              <w:t>15%</w:t>
            </w:r>
          </w:p>
          <w:p w14:paraId="21F178ED" w14:textId="095C24B2" w:rsidR="00B6560E" w:rsidRPr="00946F9D" w:rsidRDefault="00B6560E" w:rsidP="00B6560E">
            <w:pPr>
              <w:pStyle w:val="ListParagraph"/>
              <w:numPr>
                <w:ilvl w:val="0"/>
                <w:numId w:val="1"/>
              </w:numPr>
              <w:rPr>
                <w:lang w:val="fr-FR"/>
              </w:rPr>
            </w:pPr>
          </w:p>
        </w:tc>
        <w:tc>
          <w:tcPr>
            <w:tcW w:w="2252" w:type="dxa"/>
          </w:tcPr>
          <w:p w14:paraId="6614468B" w14:textId="77777777" w:rsidR="00B6560E" w:rsidRPr="00E809F0" w:rsidRDefault="00B6560E" w:rsidP="00B6560E">
            <w:pPr>
              <w:rPr>
                <w:b/>
                <w:sz w:val="22"/>
                <w:szCs w:val="22"/>
                <w:lang w:val="fr-FR" w:eastAsia="en-US"/>
              </w:rPr>
            </w:pPr>
            <w:r>
              <w:rPr>
                <w:b/>
                <w:sz w:val="22"/>
                <w:szCs w:val="22"/>
                <w:lang w:val="fr-FR" w:eastAsia="en-US"/>
              </w:rPr>
              <w:t>6,10%</w:t>
            </w:r>
          </w:p>
          <w:p w14:paraId="32E32D92" w14:textId="77777777" w:rsidR="00B6560E" w:rsidRPr="00E809F0" w:rsidRDefault="00B6560E" w:rsidP="00B6560E">
            <w:pPr>
              <w:rPr>
                <w:b/>
                <w:sz w:val="22"/>
                <w:szCs w:val="22"/>
                <w:lang w:val="fr-FR" w:eastAsia="en-US"/>
              </w:rPr>
            </w:pPr>
          </w:p>
          <w:p w14:paraId="5058032B" w14:textId="77777777" w:rsidR="00B6560E" w:rsidRPr="00D4751B" w:rsidRDefault="00B6560E" w:rsidP="00B6560E">
            <w:pPr>
              <w:rPr>
                <w:b/>
                <w:sz w:val="22"/>
                <w:szCs w:val="22"/>
                <w:lang w:val="fr-FR" w:eastAsia="en-US"/>
              </w:rPr>
            </w:pPr>
          </w:p>
          <w:p w14:paraId="5B7E6D40" w14:textId="77777777" w:rsidR="00B6560E" w:rsidRPr="00D4751B" w:rsidRDefault="00B6560E" w:rsidP="00B6560E">
            <w:pPr>
              <w:rPr>
                <w:b/>
                <w:sz w:val="22"/>
                <w:szCs w:val="22"/>
                <w:lang w:val="fr-FR" w:eastAsia="en-US"/>
              </w:rPr>
            </w:pPr>
          </w:p>
          <w:p w14:paraId="1C3207EB" w14:textId="77777777" w:rsidR="00B6560E" w:rsidRPr="00D4751B" w:rsidRDefault="00B6560E" w:rsidP="00B6560E">
            <w:pPr>
              <w:rPr>
                <w:b/>
                <w:sz w:val="22"/>
                <w:szCs w:val="22"/>
                <w:lang w:val="fr-FR" w:eastAsia="en-US"/>
              </w:rPr>
            </w:pPr>
          </w:p>
          <w:p w14:paraId="466689C7" w14:textId="77777777" w:rsidR="00B6560E" w:rsidRPr="00066AD9" w:rsidRDefault="00B6560E" w:rsidP="00B6560E">
            <w:pPr>
              <w:rPr>
                <w:b/>
                <w:sz w:val="22"/>
                <w:szCs w:val="22"/>
                <w:lang w:val="fr-FR" w:eastAsia="en-US"/>
              </w:rPr>
            </w:pPr>
          </w:p>
          <w:p w14:paraId="47B8D485" w14:textId="5CD03FBF" w:rsidR="00B6560E" w:rsidRPr="005A6420" w:rsidRDefault="00B6560E" w:rsidP="00B6560E">
            <w:pPr>
              <w:rPr>
                <w:lang w:val="fr-FR"/>
              </w:rPr>
            </w:pPr>
          </w:p>
        </w:tc>
        <w:tc>
          <w:tcPr>
            <w:tcW w:w="3958" w:type="dxa"/>
          </w:tcPr>
          <w:p w14:paraId="1B57E2A8" w14:textId="77777777" w:rsidR="008B478D" w:rsidRDefault="00B6560E" w:rsidP="00B6560E">
            <w:pPr>
              <w:rPr>
                <w:sz w:val="22"/>
                <w:szCs w:val="22"/>
                <w:lang w:val="fr-FR" w:eastAsia="en-US"/>
              </w:rPr>
            </w:pPr>
            <w:r>
              <w:rPr>
                <w:sz w:val="22"/>
                <w:szCs w:val="22"/>
                <w:lang w:val="fr-FR" w:eastAsia="en-US"/>
              </w:rPr>
              <w:t>L’</w:t>
            </w:r>
            <w:r w:rsidRPr="00843E05">
              <w:rPr>
                <w:sz w:val="22"/>
                <w:szCs w:val="22"/>
                <w:lang w:val="fr-FR" w:eastAsia="en-US"/>
              </w:rPr>
              <w:t xml:space="preserve">ignorance </w:t>
            </w:r>
            <w:r>
              <w:rPr>
                <w:sz w:val="22"/>
                <w:szCs w:val="22"/>
                <w:lang w:val="fr-FR" w:eastAsia="en-US"/>
              </w:rPr>
              <w:t xml:space="preserve">des voix de recourt, l’influence familiale et la lenteur dans le traitement des dossiers au niveau des instances judiciaires poussent </w:t>
            </w:r>
          </w:p>
          <w:p w14:paraId="66C0751A" w14:textId="27E51B5F" w:rsidR="00B6560E" w:rsidRPr="00E809F0" w:rsidRDefault="00B6560E" w:rsidP="00B6560E">
            <w:pPr>
              <w:rPr>
                <w:sz w:val="22"/>
                <w:szCs w:val="22"/>
                <w:lang w:val="fr-FR" w:eastAsia="en-US"/>
              </w:rPr>
            </w:pPr>
            <w:r>
              <w:rPr>
                <w:sz w:val="22"/>
                <w:szCs w:val="22"/>
                <w:lang w:val="fr-FR" w:eastAsia="en-US"/>
              </w:rPr>
              <w:t xml:space="preserve">les survivantes et leurs familles à opter pour </w:t>
            </w:r>
            <w:r w:rsidRPr="00E809F0">
              <w:rPr>
                <w:sz w:val="22"/>
                <w:szCs w:val="22"/>
                <w:lang w:val="fr-FR" w:eastAsia="en-US"/>
              </w:rPr>
              <w:t>le traitement à l’amiable</w:t>
            </w:r>
            <w:r>
              <w:rPr>
                <w:sz w:val="22"/>
                <w:szCs w:val="22"/>
                <w:lang w:val="fr-FR" w:eastAsia="en-US"/>
              </w:rPr>
              <w:t>.</w:t>
            </w:r>
          </w:p>
          <w:p w14:paraId="18BDC38B" w14:textId="0059502C" w:rsidR="00B6560E" w:rsidRPr="005A6420" w:rsidRDefault="00B6560E" w:rsidP="00B6560E">
            <w:pPr>
              <w:rPr>
                <w:lang w:val="fr-FR"/>
              </w:rPr>
            </w:pPr>
            <w:r w:rsidRPr="002E51DE">
              <w:rPr>
                <w:sz w:val="22"/>
                <w:lang w:val="fr-CI"/>
              </w:rPr>
              <w:t>Aussi d’autres  survivantes ne consentent pas souvent  à porter plaint</w:t>
            </w:r>
            <w:r w:rsidRPr="00A702FF">
              <w:rPr>
                <w:sz w:val="22"/>
                <w:lang w:val="fr-CI"/>
              </w:rPr>
              <w:t>e</w:t>
            </w:r>
            <w:r>
              <w:rPr>
                <w:sz w:val="22"/>
                <w:lang w:val="fr-CI"/>
              </w:rPr>
              <w:t xml:space="preserve"> par peur d’éventuelles représailles de la part des agresseurs et de la stigmatisation de la communauté.</w:t>
            </w:r>
            <w:r w:rsidRPr="00066AD9">
              <w:rPr>
                <w:sz w:val="22"/>
                <w:lang w:val="fr-CI"/>
              </w:rPr>
              <w:br/>
            </w:r>
          </w:p>
        </w:tc>
      </w:tr>
      <w:tr w:rsidR="00B6560E" w:rsidRPr="005A6420" w14:paraId="5A09C3B1" w14:textId="77777777" w:rsidTr="008B478D">
        <w:trPr>
          <w:trHeight w:val="458"/>
        </w:trPr>
        <w:tc>
          <w:tcPr>
            <w:tcW w:w="1530" w:type="dxa"/>
            <w:vMerge/>
          </w:tcPr>
          <w:p w14:paraId="72C9CEDA" w14:textId="77777777" w:rsidR="00B6560E" w:rsidRPr="005A6420" w:rsidRDefault="00B6560E" w:rsidP="00B6560E">
            <w:pPr>
              <w:rPr>
                <w:rFonts w:cs="Tahoma"/>
                <w:b/>
                <w:szCs w:val="20"/>
                <w:lang w:val="fr-FR" w:eastAsia="en-US"/>
              </w:rPr>
            </w:pPr>
          </w:p>
        </w:tc>
        <w:tc>
          <w:tcPr>
            <w:tcW w:w="2070" w:type="dxa"/>
            <w:shd w:val="clear" w:color="auto" w:fill="EEECE1"/>
          </w:tcPr>
          <w:p w14:paraId="43117110" w14:textId="77777777" w:rsidR="00B6560E" w:rsidRPr="005A6420" w:rsidRDefault="00B6560E" w:rsidP="00B6560E">
            <w:pPr>
              <w:jc w:val="both"/>
              <w:rPr>
                <w:rFonts w:cs="Tahoma"/>
                <w:szCs w:val="20"/>
                <w:lang w:val="fr-FR" w:eastAsia="en-US"/>
              </w:rPr>
            </w:pPr>
            <w:r w:rsidRPr="005A6420">
              <w:rPr>
                <w:rFonts w:cs="Tahoma"/>
                <w:szCs w:val="20"/>
                <w:lang w:val="fr-FR" w:eastAsia="en-US"/>
              </w:rPr>
              <w:t>Indicateur 3.3.2</w:t>
            </w:r>
          </w:p>
          <w:p w14:paraId="0F2B53FF" w14:textId="20E4281F" w:rsidR="00B6560E" w:rsidRPr="005A6420" w:rsidRDefault="00B6560E" w:rsidP="00B6560E">
            <w:pPr>
              <w:jc w:val="both"/>
              <w:rPr>
                <w:rFonts w:cs="Tahoma"/>
                <w:szCs w:val="20"/>
                <w:lang w:val="fr-FR" w:eastAsia="en-US"/>
              </w:rPr>
            </w:pPr>
            <w:r w:rsidRPr="0032046C">
              <w:rPr>
                <w:lang w:val="fr-FR" w:eastAsia="en-US"/>
              </w:rPr>
              <w:t>Nombre des survivant(e)s des VBG ayant bénéficié d’un accompagnement socioéconomique</w:t>
            </w:r>
          </w:p>
        </w:tc>
        <w:tc>
          <w:tcPr>
            <w:tcW w:w="1530" w:type="dxa"/>
            <w:shd w:val="clear" w:color="auto" w:fill="EEECE1"/>
          </w:tcPr>
          <w:p w14:paraId="0C4227AB" w14:textId="62A96B87" w:rsidR="00B6560E" w:rsidRPr="005A6420" w:rsidRDefault="00B6560E" w:rsidP="00B6560E">
            <w:pPr>
              <w:rPr>
                <w:lang w:val="fr-FR"/>
              </w:rPr>
            </w:pPr>
            <w:r>
              <w:rPr>
                <w:b/>
                <w:sz w:val="22"/>
                <w:szCs w:val="22"/>
                <w:lang w:val="fr-FR" w:eastAsia="en-US"/>
              </w:rPr>
              <w:t>0</w:t>
            </w:r>
          </w:p>
        </w:tc>
        <w:tc>
          <w:tcPr>
            <w:tcW w:w="1620" w:type="dxa"/>
            <w:shd w:val="clear" w:color="auto" w:fill="EEECE1"/>
          </w:tcPr>
          <w:p w14:paraId="60F89047" w14:textId="27504BB6" w:rsidR="00B6560E" w:rsidRPr="005A6420" w:rsidRDefault="00B6560E" w:rsidP="00B6560E">
            <w:pPr>
              <w:rPr>
                <w:lang w:val="fr-FR"/>
              </w:rPr>
            </w:pPr>
            <w:r>
              <w:rPr>
                <w:b/>
                <w:sz w:val="22"/>
                <w:szCs w:val="22"/>
                <w:lang w:val="fr-FR" w:eastAsia="en-US"/>
              </w:rPr>
              <w:t>25%</w:t>
            </w:r>
          </w:p>
        </w:tc>
        <w:tc>
          <w:tcPr>
            <w:tcW w:w="2070" w:type="dxa"/>
          </w:tcPr>
          <w:p w14:paraId="3AC3E6BC" w14:textId="54844366" w:rsidR="00B6560E" w:rsidRPr="005A6420" w:rsidRDefault="00B6560E" w:rsidP="00B6560E">
            <w:pPr>
              <w:rPr>
                <w:lang w:val="fr-FR"/>
              </w:rPr>
            </w:pPr>
            <w:r>
              <w:rPr>
                <w:sz w:val="22"/>
                <w:lang w:val="fr-FR"/>
              </w:rPr>
              <w:t>25%</w:t>
            </w:r>
          </w:p>
        </w:tc>
        <w:tc>
          <w:tcPr>
            <w:tcW w:w="2252" w:type="dxa"/>
          </w:tcPr>
          <w:p w14:paraId="08778634" w14:textId="711A8C79" w:rsidR="00B6560E" w:rsidRPr="005A6420" w:rsidRDefault="00B6560E" w:rsidP="00B6560E">
            <w:pPr>
              <w:rPr>
                <w:lang w:val="fr-FR"/>
              </w:rPr>
            </w:pPr>
            <w:r>
              <w:rPr>
                <w:b/>
                <w:sz w:val="22"/>
                <w:szCs w:val="22"/>
                <w:lang w:val="fr-FR" w:eastAsia="en-US"/>
              </w:rPr>
              <w:t>373</w:t>
            </w:r>
          </w:p>
        </w:tc>
        <w:tc>
          <w:tcPr>
            <w:tcW w:w="3958" w:type="dxa"/>
          </w:tcPr>
          <w:p w14:paraId="6C642C70" w14:textId="228BF7CB" w:rsidR="00B6560E" w:rsidRPr="005A6420" w:rsidRDefault="00B6560E" w:rsidP="00B6560E">
            <w:pPr>
              <w:rPr>
                <w:lang w:val="fr-FR"/>
              </w:rPr>
            </w:pPr>
            <w:r>
              <w:rPr>
                <w:sz w:val="22"/>
                <w:lang w:val="fr-FR"/>
              </w:rPr>
              <w:t xml:space="preserve">Ces survivantes des VBG ont été identifiées selon leurs critères de vulnérabilité et ont été formées à l’indentification des opportunités économique de réinsertion de gestion et d’épargne afin de renforcer leur résilience. Ces dernière ont donc bénéficié de la réinsertion socioéconomique. </w:t>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natole N'Doma" w:date="2021-11-09T10:44:00Z" w:initials="AN">
    <w:p w14:paraId="05934CAE" w14:textId="55F68219" w:rsidR="0078191E" w:rsidRPr="00401C3D" w:rsidRDefault="0078191E">
      <w:pPr>
        <w:pStyle w:val="CommentText"/>
        <w:rPr>
          <w:lang w:val="fr-FR"/>
        </w:rPr>
      </w:pPr>
      <w:r>
        <w:rPr>
          <w:rStyle w:val="CommentReference"/>
        </w:rPr>
        <w:annotationRef/>
      </w:r>
      <w:r w:rsidRPr="00401C3D">
        <w:rPr>
          <w:lang w:val="fr-FR"/>
        </w:rPr>
        <w:t>Veuillez expliquer l’état actuel global d</w:t>
      </w:r>
      <w:r>
        <w:rPr>
          <w:lang w:val="fr-FR"/>
        </w:rPr>
        <w:t>e mise en œuvre du projet en termes par exemple du taux global d’exécution, les efforts vers l’atteinte des résultats. Si possible identifiez quelques défis dans la mise en œuvre du projet</w:t>
      </w:r>
    </w:p>
  </w:comment>
  <w:comment w:id="5" w:author="Anatole N'Doma" w:date="2021-11-09T10:47:00Z" w:initials="AN">
    <w:p w14:paraId="5CBDD053" w14:textId="57917B08" w:rsidR="0078191E" w:rsidRPr="00401C3D" w:rsidRDefault="0078191E">
      <w:pPr>
        <w:pStyle w:val="CommentText"/>
        <w:rPr>
          <w:lang w:val="fr-FR"/>
        </w:rPr>
      </w:pPr>
      <w:r>
        <w:rPr>
          <w:rStyle w:val="CommentReference"/>
        </w:rPr>
        <w:annotationRef/>
      </w:r>
      <w:r w:rsidRPr="00401C3D">
        <w:rPr>
          <w:lang w:val="fr-FR"/>
        </w:rPr>
        <w:t>Evitez au maximum les sigles m</w:t>
      </w:r>
      <w:r>
        <w:rPr>
          <w:lang w:val="fr-FR"/>
        </w:rPr>
        <w:t xml:space="preserve">ême si cela semble être compris. </w:t>
      </w:r>
    </w:p>
  </w:comment>
  <w:comment w:id="6" w:author="Anatole N'Doma" w:date="2021-11-09T10:49:00Z" w:initials="AN">
    <w:p w14:paraId="347D4D70" w14:textId="0DFA1E48" w:rsidR="0078191E" w:rsidRPr="00F936AD" w:rsidRDefault="0078191E">
      <w:pPr>
        <w:pStyle w:val="CommentText"/>
        <w:rPr>
          <w:lang w:val="fr-FR"/>
        </w:rPr>
      </w:pPr>
      <w:r>
        <w:rPr>
          <w:rStyle w:val="CommentReference"/>
        </w:rPr>
        <w:annotationRef/>
      </w:r>
      <w:r w:rsidRPr="00F936AD">
        <w:rPr>
          <w:lang w:val="fr-FR"/>
        </w:rPr>
        <w:t>Idem</w:t>
      </w:r>
    </w:p>
  </w:comment>
  <w:comment w:id="9" w:author="Anatole N'Doma" w:date="2021-11-09T11:02:00Z" w:initials="AN">
    <w:p w14:paraId="0BEC3491" w14:textId="12B468B1" w:rsidR="0078191E" w:rsidRPr="00673926" w:rsidRDefault="0078191E">
      <w:pPr>
        <w:pStyle w:val="CommentText"/>
        <w:rPr>
          <w:lang w:val="fr-FR"/>
        </w:rPr>
      </w:pPr>
      <w:r>
        <w:rPr>
          <w:rStyle w:val="CommentReference"/>
        </w:rPr>
        <w:annotationRef/>
      </w:r>
      <w:r w:rsidRPr="00673926">
        <w:rPr>
          <w:lang w:val="fr-FR"/>
        </w:rPr>
        <w:t>Il y a trop de</w:t>
      </w:r>
      <w:r>
        <w:rPr>
          <w:lang w:val="fr-FR"/>
        </w:rPr>
        <w:t xml:space="preserve"> description d’activités que l’analyse des résultats</w:t>
      </w:r>
    </w:p>
  </w:comment>
  <w:comment w:id="10" w:author="Cisse, Bakary (FAOCF)" w:date="2021-11-10T17:13:00Z" w:initials="CB(">
    <w:p w14:paraId="2F06508E" w14:textId="5DB4C538" w:rsidR="0078191E" w:rsidRPr="0068522B" w:rsidRDefault="0078191E">
      <w:pPr>
        <w:pStyle w:val="CommentText"/>
        <w:rPr>
          <w:lang w:val="fr-FR"/>
        </w:rPr>
      </w:pPr>
      <w:r>
        <w:rPr>
          <w:rStyle w:val="CommentReference"/>
        </w:rPr>
        <w:annotationRef/>
      </w:r>
      <w:r w:rsidRPr="0068522B">
        <w:rPr>
          <w:lang w:val="fr-FR"/>
        </w:rPr>
        <w:t>C’est parce que l’impact du projet</w:t>
      </w:r>
      <w:r>
        <w:rPr>
          <w:lang w:val="fr-FR"/>
        </w:rPr>
        <w:t>,</w:t>
      </w:r>
      <w:r w:rsidRPr="0068522B">
        <w:rPr>
          <w:lang w:val="fr-FR"/>
        </w:rPr>
        <w:t xml:space="preserve"> en termes de transformation</w:t>
      </w:r>
      <w:r>
        <w:rPr>
          <w:lang w:val="fr-FR"/>
        </w:rPr>
        <w:t>,</w:t>
      </w:r>
      <w:r w:rsidRPr="0068522B">
        <w:rPr>
          <w:lang w:val="fr-FR"/>
        </w:rPr>
        <w:t xml:space="preserve"> n’est pas encore effectif</w:t>
      </w:r>
      <w:r>
        <w:rPr>
          <w:lang w:val="fr-FR"/>
        </w:rPr>
        <w:t>.</w:t>
      </w:r>
    </w:p>
  </w:comment>
  <w:comment w:id="11" w:author="Malika Groga Bada" w:date="2021-11-23T16:30:00Z" w:initials="MGB">
    <w:p w14:paraId="6F17CE46" w14:textId="3628F2C6" w:rsidR="0078191E" w:rsidRPr="00635B9E" w:rsidRDefault="0078191E">
      <w:pPr>
        <w:pStyle w:val="CommentText"/>
        <w:rPr>
          <w:lang w:val="fr-FR"/>
        </w:rPr>
      </w:pPr>
      <w:r>
        <w:rPr>
          <w:rStyle w:val="CommentReference"/>
        </w:rPr>
        <w:annotationRef/>
      </w:r>
      <w:r w:rsidRPr="00635B9E">
        <w:rPr>
          <w:lang w:val="fr-FR"/>
        </w:rPr>
        <w:t xml:space="preserve">Oui, mais </w:t>
      </w:r>
      <w:r>
        <w:rPr>
          <w:lang w:val="fr-FR"/>
        </w:rPr>
        <w:t xml:space="preserve">à chaque étape de la mise en œuvre, on doit être capable de dire quelles sont les avancées/améliorations qui s’opèrent. Sinon, le projet ne sert à rien…  </w:t>
      </w:r>
    </w:p>
  </w:comment>
  <w:comment w:id="12" w:author="Anatole N'Doma" w:date="2021-11-09T11:01:00Z" w:initials="AN">
    <w:p w14:paraId="5555A50C" w14:textId="65FA841E" w:rsidR="0078191E" w:rsidRPr="00673926" w:rsidRDefault="0078191E">
      <w:pPr>
        <w:pStyle w:val="CommentText"/>
        <w:rPr>
          <w:lang w:val="fr-FR"/>
        </w:rPr>
      </w:pPr>
      <w:r>
        <w:rPr>
          <w:rStyle w:val="CommentReference"/>
        </w:rPr>
        <w:annotationRef/>
      </w:r>
      <w:r w:rsidRPr="00673926">
        <w:rPr>
          <w:lang w:val="fr-FR"/>
        </w:rPr>
        <w:t>Quelle est la valeur ajoutée d</w:t>
      </w:r>
      <w:r>
        <w:rPr>
          <w:lang w:val="fr-FR"/>
        </w:rPr>
        <w:t>e cette activité sur le résultat 2 et sa contribution à la consolidation de la paix</w:t>
      </w:r>
    </w:p>
  </w:comment>
  <w:comment w:id="13" w:author="Anatole N'Doma" w:date="2021-11-09T11:03:00Z" w:initials="AN">
    <w:p w14:paraId="64EB94FA" w14:textId="0E7021AC" w:rsidR="0078191E" w:rsidRPr="00EE6553" w:rsidRDefault="0078191E">
      <w:pPr>
        <w:pStyle w:val="CommentText"/>
        <w:rPr>
          <w:lang w:val="fr-FR"/>
        </w:rPr>
      </w:pPr>
      <w:r>
        <w:rPr>
          <w:rStyle w:val="CommentReference"/>
        </w:rPr>
        <w:annotationRef/>
      </w:r>
      <w:r w:rsidRPr="00EE6553">
        <w:rPr>
          <w:lang w:val="fr-FR"/>
        </w:rPr>
        <w:t>Super. Il y</w:t>
      </w:r>
      <w:r>
        <w:rPr>
          <w:lang w:val="fr-FR"/>
        </w:rPr>
        <w:t xml:space="preserve"> </w:t>
      </w:r>
      <w:r w:rsidRPr="00EE6553">
        <w:rPr>
          <w:lang w:val="fr-FR"/>
        </w:rPr>
        <w:t>a une démonstration d</w:t>
      </w:r>
      <w:r>
        <w:rPr>
          <w:lang w:val="fr-FR"/>
        </w:rPr>
        <w:t>e ce que ces activités ont apporté. Il faudrait faire de même pour les résultats ci-haut</w:t>
      </w:r>
    </w:p>
  </w:comment>
  <w:comment w:id="19" w:author="Anatole N'Doma" w:date="2021-11-09T11:08:00Z" w:initials="AN">
    <w:p w14:paraId="6E586151" w14:textId="77777777" w:rsidR="0078191E" w:rsidRDefault="0078191E">
      <w:pPr>
        <w:pStyle w:val="CommentText"/>
        <w:rPr>
          <w:lang w:val="fr-FR"/>
        </w:rPr>
      </w:pPr>
      <w:r>
        <w:rPr>
          <w:rStyle w:val="CommentReference"/>
        </w:rPr>
        <w:annotationRef/>
      </w:r>
      <w:r w:rsidRPr="00EE6553">
        <w:rPr>
          <w:lang w:val="fr-FR"/>
        </w:rPr>
        <w:t>Veuillez NE PAS laisser la partie du rapport relative au COVID vide</w:t>
      </w:r>
      <w:r>
        <w:rPr>
          <w:lang w:val="fr-FR"/>
        </w:rPr>
        <w:t>.</w:t>
      </w:r>
    </w:p>
    <w:p w14:paraId="6B9AC945" w14:textId="4D8F4F5A" w:rsidR="0078191E" w:rsidRPr="00EE6553" w:rsidRDefault="0078191E">
      <w:pPr>
        <w:pStyle w:val="CommentText"/>
        <w:rPr>
          <w:lang w:val="fr-FR"/>
        </w:rPr>
      </w:pPr>
      <w:r w:rsidRPr="00EE6553">
        <w:rPr>
          <w:lang w:val="fr-FR"/>
        </w:rPr>
        <w:t>Notez les ajustements monétaires, les ajustements non monétaires et sélectionnez jusqu'à 2 cases qui caractérisent votre type d'ajustements.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34CAE" w15:done="0"/>
  <w15:commentEx w15:paraId="5CBDD053" w15:done="0"/>
  <w15:commentEx w15:paraId="347D4D70" w15:done="0"/>
  <w15:commentEx w15:paraId="0BEC3491" w15:done="0"/>
  <w15:commentEx w15:paraId="2F06508E" w15:paraIdParent="0BEC3491" w15:done="0"/>
  <w15:commentEx w15:paraId="6F17CE46" w15:paraIdParent="0BEC3491" w15:done="0"/>
  <w15:commentEx w15:paraId="5555A50C" w15:done="0"/>
  <w15:commentEx w15:paraId="64EB94FA" w15:done="0"/>
  <w15:commentEx w15:paraId="6B9AC9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34CAE" w16cid:durableId="2534CFAB"/>
  <w16cid:commentId w16cid:paraId="347D4D70" w16cid:durableId="2534D0CF"/>
  <w16cid:commentId w16cid:paraId="0BEC3491" w16cid:durableId="2534D3C3"/>
  <w16cid:commentId w16cid:paraId="2F06508E" w16cid:durableId="25477D15"/>
  <w16cid:commentId w16cid:paraId="6F17CE46" w16cid:durableId="254795AB"/>
  <w16cid:commentId w16cid:paraId="5555A50C" w16cid:durableId="2534D376"/>
  <w16cid:commentId w16cid:paraId="6B9AC945" w16cid:durableId="2534D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06C2" w14:textId="77777777" w:rsidR="004E507F" w:rsidRDefault="004E507F" w:rsidP="00E76CA1">
      <w:r>
        <w:separator/>
      </w:r>
    </w:p>
  </w:endnote>
  <w:endnote w:type="continuationSeparator" w:id="0">
    <w:p w14:paraId="30C52DF8" w14:textId="77777777" w:rsidR="004E507F" w:rsidRDefault="004E507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4FCFCA4F" w:rsidR="0078191E" w:rsidRDefault="0078191E">
    <w:pPr>
      <w:pStyle w:val="Footer"/>
      <w:jc w:val="center"/>
    </w:pPr>
    <w:r>
      <w:fldChar w:fldCharType="begin"/>
    </w:r>
    <w:r>
      <w:instrText xml:space="preserve"> PAGE   \* MERGEFORMAT </w:instrText>
    </w:r>
    <w:r>
      <w:fldChar w:fldCharType="separate"/>
    </w:r>
    <w:r w:rsidR="00D524E2">
      <w:rPr>
        <w:noProof/>
      </w:rPr>
      <w:t>5</w:t>
    </w:r>
    <w:r>
      <w:fldChar w:fldCharType="end"/>
    </w:r>
  </w:p>
  <w:p w14:paraId="6E791841" w14:textId="77777777" w:rsidR="0078191E" w:rsidRDefault="0078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1FCE" w14:textId="77777777" w:rsidR="004E507F" w:rsidRDefault="004E507F" w:rsidP="00E76CA1">
      <w:r>
        <w:separator/>
      </w:r>
    </w:p>
  </w:footnote>
  <w:footnote w:type="continuationSeparator" w:id="0">
    <w:p w14:paraId="4AC6C94F" w14:textId="77777777" w:rsidR="004E507F" w:rsidRDefault="004E507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78191E" w:rsidRDefault="0078191E">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585"/>
    <w:multiLevelType w:val="hybridMultilevel"/>
    <w:tmpl w:val="1D94FAE4"/>
    <w:lvl w:ilvl="0" w:tplc="DE1088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D3CA6"/>
    <w:multiLevelType w:val="hybridMultilevel"/>
    <w:tmpl w:val="26C0E47E"/>
    <w:lvl w:ilvl="0" w:tplc="040C000B">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0506729E"/>
    <w:multiLevelType w:val="hybridMultilevel"/>
    <w:tmpl w:val="D1A684F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0AF4722D"/>
    <w:multiLevelType w:val="hybridMultilevel"/>
    <w:tmpl w:val="4B7889D0"/>
    <w:lvl w:ilvl="0" w:tplc="7744DC74">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93134A"/>
    <w:multiLevelType w:val="hybridMultilevel"/>
    <w:tmpl w:val="A93CEE5E"/>
    <w:lvl w:ilvl="0" w:tplc="F6BAD9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B706BA"/>
    <w:multiLevelType w:val="hybridMultilevel"/>
    <w:tmpl w:val="3A1E161C"/>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22BE03D6"/>
    <w:multiLevelType w:val="hybridMultilevel"/>
    <w:tmpl w:val="9164524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2633342B"/>
    <w:multiLevelType w:val="hybridMultilevel"/>
    <w:tmpl w:val="6D5241F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267163B9"/>
    <w:multiLevelType w:val="hybridMultilevel"/>
    <w:tmpl w:val="342E19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2E552D"/>
    <w:multiLevelType w:val="hybridMultilevel"/>
    <w:tmpl w:val="B6E64690"/>
    <w:lvl w:ilvl="0" w:tplc="61C081B2">
      <w:start w:val="1"/>
      <w:numFmt w:val="bullet"/>
      <w:lvlText w:val=""/>
      <w:lvlJc w:val="left"/>
      <w:pPr>
        <w:ind w:left="0" w:hanging="360"/>
      </w:pPr>
      <w:rPr>
        <w:rFonts w:ascii="Symbol" w:hAnsi="Symbol"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0" w15:restartNumberingAfterBreak="0">
    <w:nsid w:val="29816AE0"/>
    <w:multiLevelType w:val="hybridMultilevel"/>
    <w:tmpl w:val="9DC289BC"/>
    <w:lvl w:ilvl="0" w:tplc="7744DC74">
      <w:numFmt w:val="bullet"/>
      <w:lvlText w:val="-"/>
      <w:lvlJc w:val="left"/>
      <w:pPr>
        <w:ind w:left="360" w:hanging="360"/>
      </w:pPr>
      <w:rPr>
        <w:rFonts w:ascii="Bookman Old Style" w:eastAsia="Times New Roman" w:hAnsi="Bookman Old Style"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BA21B74"/>
    <w:multiLevelType w:val="hybridMultilevel"/>
    <w:tmpl w:val="4EDCA0B2"/>
    <w:lvl w:ilvl="0" w:tplc="24FC6118">
      <w:numFmt w:val="bullet"/>
      <w:lvlText w:val="•"/>
      <w:lvlJc w:val="left"/>
      <w:pPr>
        <w:ind w:left="-450" w:hanging="360"/>
      </w:pPr>
      <w:rPr>
        <w:rFonts w:ascii="Times New Roman" w:eastAsia="Times New Roman" w:hAnsi="Times New Roman" w:cs="Times New Roman" w:hint="default"/>
        <w:b/>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63FE2"/>
    <w:multiLevelType w:val="hybridMultilevel"/>
    <w:tmpl w:val="092657DE"/>
    <w:lvl w:ilvl="0" w:tplc="494A1B42">
      <w:start w:val="1"/>
      <w:numFmt w:val="lowerRoman"/>
      <w:lvlText w:val="%1)"/>
      <w:lvlJc w:val="left"/>
      <w:pPr>
        <w:ind w:left="720" w:hanging="360"/>
      </w:pPr>
    </w:lvl>
    <w:lvl w:ilvl="1" w:tplc="31D630EC">
      <w:start w:val="1"/>
      <w:numFmt w:val="lowerLetter"/>
      <w:lvlText w:val="%2."/>
      <w:lvlJc w:val="left"/>
      <w:pPr>
        <w:ind w:left="1440" w:hanging="360"/>
      </w:pPr>
    </w:lvl>
    <w:lvl w:ilvl="2" w:tplc="49C8053E">
      <w:start w:val="1"/>
      <w:numFmt w:val="lowerRoman"/>
      <w:lvlText w:val="%3."/>
      <w:lvlJc w:val="right"/>
      <w:pPr>
        <w:ind w:left="2160" w:hanging="180"/>
      </w:pPr>
    </w:lvl>
    <w:lvl w:ilvl="3" w:tplc="906E540E">
      <w:start w:val="1"/>
      <w:numFmt w:val="decimal"/>
      <w:lvlText w:val="%4."/>
      <w:lvlJc w:val="left"/>
      <w:pPr>
        <w:ind w:left="2880" w:hanging="360"/>
      </w:pPr>
    </w:lvl>
    <w:lvl w:ilvl="4" w:tplc="28E2ABDC">
      <w:start w:val="1"/>
      <w:numFmt w:val="lowerLetter"/>
      <w:lvlText w:val="%5."/>
      <w:lvlJc w:val="left"/>
      <w:pPr>
        <w:ind w:left="3600" w:hanging="360"/>
      </w:pPr>
    </w:lvl>
    <w:lvl w:ilvl="5" w:tplc="8BC6A87E">
      <w:start w:val="1"/>
      <w:numFmt w:val="lowerRoman"/>
      <w:lvlText w:val="%6."/>
      <w:lvlJc w:val="right"/>
      <w:pPr>
        <w:ind w:left="4320" w:hanging="180"/>
      </w:pPr>
    </w:lvl>
    <w:lvl w:ilvl="6" w:tplc="979EEDAC">
      <w:start w:val="1"/>
      <w:numFmt w:val="decimal"/>
      <w:lvlText w:val="%7."/>
      <w:lvlJc w:val="left"/>
      <w:pPr>
        <w:ind w:left="5040" w:hanging="360"/>
      </w:pPr>
    </w:lvl>
    <w:lvl w:ilvl="7" w:tplc="99A4BB4E">
      <w:start w:val="1"/>
      <w:numFmt w:val="lowerLetter"/>
      <w:lvlText w:val="%8."/>
      <w:lvlJc w:val="left"/>
      <w:pPr>
        <w:ind w:left="5760" w:hanging="360"/>
      </w:pPr>
    </w:lvl>
    <w:lvl w:ilvl="8" w:tplc="37AE7E06">
      <w:start w:val="1"/>
      <w:numFmt w:val="lowerRoman"/>
      <w:lvlText w:val="%9."/>
      <w:lvlJc w:val="right"/>
      <w:pPr>
        <w:ind w:left="6480" w:hanging="180"/>
      </w:pPr>
    </w:lvl>
  </w:abstractNum>
  <w:abstractNum w:abstractNumId="14" w15:restartNumberingAfterBreak="0">
    <w:nsid w:val="3A5B00D4"/>
    <w:multiLevelType w:val="hybridMultilevel"/>
    <w:tmpl w:val="2D382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D1894"/>
    <w:multiLevelType w:val="hybridMultilevel"/>
    <w:tmpl w:val="53206C48"/>
    <w:lvl w:ilvl="0" w:tplc="51848EF2">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6" w15:restartNumberingAfterBreak="0">
    <w:nsid w:val="4B6B0B43"/>
    <w:multiLevelType w:val="hybridMultilevel"/>
    <w:tmpl w:val="5DE20FCC"/>
    <w:lvl w:ilvl="0" w:tplc="6646F906">
      <w:start w:val="1"/>
      <w:numFmt w:val="lowerRoman"/>
      <w:lvlText w:val="(%1)"/>
      <w:lvlJc w:val="left"/>
      <w:pPr>
        <w:ind w:left="720" w:hanging="360"/>
      </w:pPr>
    </w:lvl>
    <w:lvl w:ilvl="1" w:tplc="FED86300">
      <w:start w:val="1"/>
      <w:numFmt w:val="lowerLetter"/>
      <w:lvlText w:val="%2."/>
      <w:lvlJc w:val="left"/>
      <w:pPr>
        <w:ind w:left="1440" w:hanging="360"/>
      </w:pPr>
    </w:lvl>
    <w:lvl w:ilvl="2" w:tplc="61B4D5DC">
      <w:start w:val="1"/>
      <w:numFmt w:val="lowerRoman"/>
      <w:lvlText w:val="%3."/>
      <w:lvlJc w:val="right"/>
      <w:pPr>
        <w:ind w:left="2160" w:hanging="180"/>
      </w:pPr>
    </w:lvl>
    <w:lvl w:ilvl="3" w:tplc="0B0057A0">
      <w:start w:val="1"/>
      <w:numFmt w:val="decimal"/>
      <w:lvlText w:val="%4."/>
      <w:lvlJc w:val="left"/>
      <w:pPr>
        <w:ind w:left="2880" w:hanging="360"/>
      </w:pPr>
    </w:lvl>
    <w:lvl w:ilvl="4" w:tplc="2C6814DC">
      <w:start w:val="1"/>
      <w:numFmt w:val="lowerLetter"/>
      <w:lvlText w:val="%5."/>
      <w:lvlJc w:val="left"/>
      <w:pPr>
        <w:ind w:left="3600" w:hanging="360"/>
      </w:pPr>
    </w:lvl>
    <w:lvl w:ilvl="5" w:tplc="A016E2E4">
      <w:start w:val="1"/>
      <w:numFmt w:val="lowerRoman"/>
      <w:lvlText w:val="%6."/>
      <w:lvlJc w:val="right"/>
      <w:pPr>
        <w:ind w:left="4320" w:hanging="180"/>
      </w:pPr>
    </w:lvl>
    <w:lvl w:ilvl="6" w:tplc="05EC7E3A">
      <w:start w:val="1"/>
      <w:numFmt w:val="decimal"/>
      <w:lvlText w:val="%7."/>
      <w:lvlJc w:val="left"/>
      <w:pPr>
        <w:ind w:left="5040" w:hanging="360"/>
      </w:pPr>
    </w:lvl>
    <w:lvl w:ilvl="7" w:tplc="E578F180">
      <w:start w:val="1"/>
      <w:numFmt w:val="lowerLetter"/>
      <w:lvlText w:val="%8."/>
      <w:lvlJc w:val="left"/>
      <w:pPr>
        <w:ind w:left="5760" w:hanging="360"/>
      </w:pPr>
    </w:lvl>
    <w:lvl w:ilvl="8" w:tplc="6BCE2F0A">
      <w:start w:val="1"/>
      <w:numFmt w:val="lowerRoman"/>
      <w:lvlText w:val="%9."/>
      <w:lvlJc w:val="right"/>
      <w:pPr>
        <w:ind w:left="6480" w:hanging="180"/>
      </w:pPr>
    </w:lvl>
  </w:abstractNum>
  <w:abstractNum w:abstractNumId="17" w15:restartNumberingAfterBreak="0">
    <w:nsid w:val="527F1A9D"/>
    <w:multiLevelType w:val="hybridMultilevel"/>
    <w:tmpl w:val="82C68B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692DB5"/>
    <w:multiLevelType w:val="hybridMultilevel"/>
    <w:tmpl w:val="BE5EA972"/>
    <w:lvl w:ilvl="0" w:tplc="D8ACEEB8">
      <w:numFmt w:val="bullet"/>
      <w:lvlText w:val="•"/>
      <w:lvlJc w:val="left"/>
      <w:pPr>
        <w:ind w:left="-450" w:hanging="360"/>
      </w:pPr>
      <w:rPr>
        <w:rFonts w:ascii="Times New Roman" w:eastAsia="Times New Roman" w:hAnsi="Times New Roman" w:cs="Times New Roman" w:hint="default"/>
        <w:b/>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9" w15:restartNumberingAfterBreak="0">
    <w:nsid w:val="5EB04B1A"/>
    <w:multiLevelType w:val="hybridMultilevel"/>
    <w:tmpl w:val="21D2C018"/>
    <w:lvl w:ilvl="0" w:tplc="1B3ABF0E">
      <w:start w:val="737"/>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0542E2"/>
    <w:multiLevelType w:val="hybridMultilevel"/>
    <w:tmpl w:val="904083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6FFA2C0E"/>
    <w:multiLevelType w:val="hybridMultilevel"/>
    <w:tmpl w:val="58D4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91DC7"/>
    <w:multiLevelType w:val="hybridMultilevel"/>
    <w:tmpl w:val="1452DC28"/>
    <w:lvl w:ilvl="0" w:tplc="DE10887E">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4"/>
  </w:num>
  <w:num w:numId="2">
    <w:abstractNumId w:val="21"/>
  </w:num>
  <w:num w:numId="3">
    <w:abstractNumId w:val="12"/>
  </w:num>
  <w:num w:numId="4">
    <w:abstractNumId w:val="15"/>
  </w:num>
  <w:num w:numId="5">
    <w:abstractNumId w:val="8"/>
  </w:num>
  <w:num w:numId="6">
    <w:abstractNumId w:val="17"/>
  </w:num>
  <w:num w:numId="7">
    <w:abstractNumId w:val="5"/>
  </w:num>
  <w:num w:numId="8">
    <w:abstractNumId w:val="14"/>
  </w:num>
  <w:num w:numId="9">
    <w:abstractNumId w:val="3"/>
  </w:num>
  <w:num w:numId="10">
    <w:abstractNumId w:val="10"/>
  </w:num>
  <w:num w:numId="11">
    <w:abstractNumId w:val="13"/>
  </w:num>
  <w:num w:numId="12">
    <w:abstractNumId w:val="1"/>
  </w:num>
  <w:num w:numId="13">
    <w:abstractNumId w:val="7"/>
  </w:num>
  <w:num w:numId="14">
    <w:abstractNumId w:val="18"/>
  </w:num>
  <w:num w:numId="15">
    <w:abstractNumId w:val="11"/>
  </w:num>
  <w:num w:numId="16">
    <w:abstractNumId w:val="9"/>
  </w:num>
  <w:num w:numId="17">
    <w:abstractNumId w:val="16"/>
  </w:num>
  <w:num w:numId="18">
    <w:abstractNumId w:val="6"/>
  </w:num>
  <w:num w:numId="19">
    <w:abstractNumId w:val="2"/>
  </w:num>
  <w:num w:numId="20">
    <w:abstractNumId w:val="4"/>
  </w:num>
  <w:num w:numId="21">
    <w:abstractNumId w:val="23"/>
  </w:num>
  <w:num w:numId="22">
    <w:abstractNumId w:val="0"/>
  </w:num>
  <w:num w:numId="23">
    <w:abstractNumId w:val="19"/>
  </w:num>
  <w:num w:numId="24">
    <w:abstractNumId w:val="20"/>
  </w:num>
  <w:num w:numId="25">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ole N'Doma">
    <w15:presenceInfo w15:providerId="AD" w15:userId="S::ndomaa@un.org::3c0f0f76-eddc-4488-ae70-5e0d10037cc8"/>
  </w15:person>
  <w15:person w15:author="Cisse, Bakary (FAOCF)">
    <w15:presenceInfo w15:providerId="AD" w15:userId="S-1-5-21-1085031214-1220945662-725345543-232059"/>
  </w15:person>
  <w15:person w15:author="Malika Groga Bada">
    <w15:presenceInfo w15:providerId="None" w15:userId="Malika Groga B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0tLAwNDMxNjFW0lEKTi0uzszPAykwrAUAjLvRjiwAAAA="/>
  </w:docVars>
  <w:rsids>
    <w:rsidRoot w:val="00E76CA1"/>
    <w:rsid w:val="000022C4"/>
    <w:rsid w:val="000026CE"/>
    <w:rsid w:val="00002815"/>
    <w:rsid w:val="00004068"/>
    <w:rsid w:val="00005737"/>
    <w:rsid w:val="000057A9"/>
    <w:rsid w:val="00006DBE"/>
    <w:rsid w:val="00006EC0"/>
    <w:rsid w:val="000105E1"/>
    <w:rsid w:val="00010EB0"/>
    <w:rsid w:val="0001109A"/>
    <w:rsid w:val="000125A6"/>
    <w:rsid w:val="00013C6B"/>
    <w:rsid w:val="00013D36"/>
    <w:rsid w:val="00013D69"/>
    <w:rsid w:val="00014B13"/>
    <w:rsid w:val="000202AE"/>
    <w:rsid w:val="0002189C"/>
    <w:rsid w:val="00022F55"/>
    <w:rsid w:val="00024AA5"/>
    <w:rsid w:val="0002562B"/>
    <w:rsid w:val="00025B1E"/>
    <w:rsid w:val="00025EFA"/>
    <w:rsid w:val="00027015"/>
    <w:rsid w:val="00031640"/>
    <w:rsid w:val="00031C86"/>
    <w:rsid w:val="000447B4"/>
    <w:rsid w:val="00045C24"/>
    <w:rsid w:val="00050759"/>
    <w:rsid w:val="00051F71"/>
    <w:rsid w:val="0005216F"/>
    <w:rsid w:val="00052745"/>
    <w:rsid w:val="00052DE5"/>
    <w:rsid w:val="000554F8"/>
    <w:rsid w:val="000577C0"/>
    <w:rsid w:val="00063017"/>
    <w:rsid w:val="0006520D"/>
    <w:rsid w:val="00065C5C"/>
    <w:rsid w:val="000731D0"/>
    <w:rsid w:val="00074763"/>
    <w:rsid w:val="00074C6F"/>
    <w:rsid w:val="00075D98"/>
    <w:rsid w:val="0008134A"/>
    <w:rsid w:val="0008233D"/>
    <w:rsid w:val="00082738"/>
    <w:rsid w:val="00084F64"/>
    <w:rsid w:val="00091CFD"/>
    <w:rsid w:val="00091EDD"/>
    <w:rsid w:val="00092442"/>
    <w:rsid w:val="00094088"/>
    <w:rsid w:val="000948EF"/>
    <w:rsid w:val="000A45F4"/>
    <w:rsid w:val="000A4660"/>
    <w:rsid w:val="000A51DA"/>
    <w:rsid w:val="000A6719"/>
    <w:rsid w:val="000A7E24"/>
    <w:rsid w:val="000B0559"/>
    <w:rsid w:val="000B48F4"/>
    <w:rsid w:val="000B4E5C"/>
    <w:rsid w:val="000B7954"/>
    <w:rsid w:val="000C5C4D"/>
    <w:rsid w:val="000C7EA0"/>
    <w:rsid w:val="000D21D5"/>
    <w:rsid w:val="000D2D26"/>
    <w:rsid w:val="000D47FD"/>
    <w:rsid w:val="000D4F4B"/>
    <w:rsid w:val="000E01DE"/>
    <w:rsid w:val="000E05AE"/>
    <w:rsid w:val="000E3548"/>
    <w:rsid w:val="000E6A96"/>
    <w:rsid w:val="000F05A2"/>
    <w:rsid w:val="000F0FC4"/>
    <w:rsid w:val="000F13B1"/>
    <w:rsid w:val="000F43A8"/>
    <w:rsid w:val="0010003B"/>
    <w:rsid w:val="00102C0E"/>
    <w:rsid w:val="00106BBB"/>
    <w:rsid w:val="00111509"/>
    <w:rsid w:val="001115AB"/>
    <w:rsid w:val="00112741"/>
    <w:rsid w:val="00113D2B"/>
    <w:rsid w:val="00113EC4"/>
    <w:rsid w:val="00114CB6"/>
    <w:rsid w:val="00116449"/>
    <w:rsid w:val="0011666C"/>
    <w:rsid w:val="00117052"/>
    <w:rsid w:val="00121B2D"/>
    <w:rsid w:val="00125EB9"/>
    <w:rsid w:val="00130510"/>
    <w:rsid w:val="001307FA"/>
    <w:rsid w:val="00131824"/>
    <w:rsid w:val="00136B32"/>
    <w:rsid w:val="001431DD"/>
    <w:rsid w:val="00143257"/>
    <w:rsid w:val="001444EE"/>
    <w:rsid w:val="00145766"/>
    <w:rsid w:val="001458E9"/>
    <w:rsid w:val="0015015E"/>
    <w:rsid w:val="00153CD9"/>
    <w:rsid w:val="00156AFA"/>
    <w:rsid w:val="00156C4C"/>
    <w:rsid w:val="00157BF2"/>
    <w:rsid w:val="00160010"/>
    <w:rsid w:val="001607B2"/>
    <w:rsid w:val="0016088D"/>
    <w:rsid w:val="001615A0"/>
    <w:rsid w:val="00161D02"/>
    <w:rsid w:val="00162262"/>
    <w:rsid w:val="00164D4B"/>
    <w:rsid w:val="001745E8"/>
    <w:rsid w:val="0018095F"/>
    <w:rsid w:val="00180CC7"/>
    <w:rsid w:val="0018313E"/>
    <w:rsid w:val="0018446E"/>
    <w:rsid w:val="00185425"/>
    <w:rsid w:val="00186529"/>
    <w:rsid w:val="00192F1D"/>
    <w:rsid w:val="001948EA"/>
    <w:rsid w:val="00194D4C"/>
    <w:rsid w:val="001952CC"/>
    <w:rsid w:val="00196AA8"/>
    <w:rsid w:val="001A1E86"/>
    <w:rsid w:val="001A3157"/>
    <w:rsid w:val="001A3243"/>
    <w:rsid w:val="001A374F"/>
    <w:rsid w:val="001A446B"/>
    <w:rsid w:val="001A4786"/>
    <w:rsid w:val="001A6F99"/>
    <w:rsid w:val="001B1EAF"/>
    <w:rsid w:val="001B458D"/>
    <w:rsid w:val="001B4FC7"/>
    <w:rsid w:val="001B5D16"/>
    <w:rsid w:val="001B6DFD"/>
    <w:rsid w:val="001C0BA6"/>
    <w:rsid w:val="001C0EC7"/>
    <w:rsid w:val="001C4484"/>
    <w:rsid w:val="001C46E9"/>
    <w:rsid w:val="001C5011"/>
    <w:rsid w:val="001C5691"/>
    <w:rsid w:val="001C56B8"/>
    <w:rsid w:val="001C5B82"/>
    <w:rsid w:val="001D1C14"/>
    <w:rsid w:val="001D2C13"/>
    <w:rsid w:val="001D2CF2"/>
    <w:rsid w:val="001D47B6"/>
    <w:rsid w:val="001D575F"/>
    <w:rsid w:val="001D6683"/>
    <w:rsid w:val="001D67F9"/>
    <w:rsid w:val="001E10AB"/>
    <w:rsid w:val="001E3D79"/>
    <w:rsid w:val="001E660A"/>
    <w:rsid w:val="001E7B69"/>
    <w:rsid w:val="001E7FCA"/>
    <w:rsid w:val="001F308A"/>
    <w:rsid w:val="001F46ED"/>
    <w:rsid w:val="0020130A"/>
    <w:rsid w:val="00205EB7"/>
    <w:rsid w:val="0020791D"/>
    <w:rsid w:val="002122CD"/>
    <w:rsid w:val="002129DA"/>
    <w:rsid w:val="00213A56"/>
    <w:rsid w:val="0021550A"/>
    <w:rsid w:val="00215F41"/>
    <w:rsid w:val="00217A2E"/>
    <w:rsid w:val="00217EB6"/>
    <w:rsid w:val="002247C2"/>
    <w:rsid w:val="002268D2"/>
    <w:rsid w:val="00226E44"/>
    <w:rsid w:val="002322E6"/>
    <w:rsid w:val="00233827"/>
    <w:rsid w:val="00234A5E"/>
    <w:rsid w:val="00235F89"/>
    <w:rsid w:val="00236072"/>
    <w:rsid w:val="00236425"/>
    <w:rsid w:val="0023672E"/>
    <w:rsid w:val="00236AB3"/>
    <w:rsid w:val="002374F5"/>
    <w:rsid w:val="002406EF"/>
    <w:rsid w:val="002436F0"/>
    <w:rsid w:val="00244121"/>
    <w:rsid w:val="00245E73"/>
    <w:rsid w:val="00246135"/>
    <w:rsid w:val="002477F4"/>
    <w:rsid w:val="00247F4E"/>
    <w:rsid w:val="0025193A"/>
    <w:rsid w:val="00251E92"/>
    <w:rsid w:val="0025220B"/>
    <w:rsid w:val="0025273F"/>
    <w:rsid w:val="00252B39"/>
    <w:rsid w:val="00254AC2"/>
    <w:rsid w:val="0025525B"/>
    <w:rsid w:val="0025788A"/>
    <w:rsid w:val="00265F14"/>
    <w:rsid w:val="00267C52"/>
    <w:rsid w:val="0027242A"/>
    <w:rsid w:val="00272A58"/>
    <w:rsid w:val="00273A45"/>
    <w:rsid w:val="00273AD0"/>
    <w:rsid w:val="0027621D"/>
    <w:rsid w:val="00276F56"/>
    <w:rsid w:val="00280FEA"/>
    <w:rsid w:val="002822AF"/>
    <w:rsid w:val="00282BD9"/>
    <w:rsid w:val="00283969"/>
    <w:rsid w:val="00286F66"/>
    <w:rsid w:val="00287878"/>
    <w:rsid w:val="002940E8"/>
    <w:rsid w:val="00296C15"/>
    <w:rsid w:val="002976A6"/>
    <w:rsid w:val="002A077E"/>
    <w:rsid w:val="002A1877"/>
    <w:rsid w:val="002B0968"/>
    <w:rsid w:val="002B0F98"/>
    <w:rsid w:val="002B3207"/>
    <w:rsid w:val="002B346A"/>
    <w:rsid w:val="002B3513"/>
    <w:rsid w:val="002B351E"/>
    <w:rsid w:val="002B4426"/>
    <w:rsid w:val="002B49E1"/>
    <w:rsid w:val="002B5F4F"/>
    <w:rsid w:val="002B740B"/>
    <w:rsid w:val="002C187A"/>
    <w:rsid w:val="002C1C8F"/>
    <w:rsid w:val="002C20A8"/>
    <w:rsid w:val="002C5DD0"/>
    <w:rsid w:val="002C7051"/>
    <w:rsid w:val="002D0812"/>
    <w:rsid w:val="002D1617"/>
    <w:rsid w:val="002D17B0"/>
    <w:rsid w:val="002D20A2"/>
    <w:rsid w:val="002D2FBB"/>
    <w:rsid w:val="002D4247"/>
    <w:rsid w:val="002D68D7"/>
    <w:rsid w:val="002D6DA0"/>
    <w:rsid w:val="002E10E6"/>
    <w:rsid w:val="002E1CED"/>
    <w:rsid w:val="002E4ED5"/>
    <w:rsid w:val="002E5250"/>
    <w:rsid w:val="002E61AA"/>
    <w:rsid w:val="002E6F58"/>
    <w:rsid w:val="002E745D"/>
    <w:rsid w:val="002F10F6"/>
    <w:rsid w:val="002F15D9"/>
    <w:rsid w:val="002F26EC"/>
    <w:rsid w:val="002F37FC"/>
    <w:rsid w:val="002F42EA"/>
    <w:rsid w:val="00302ED5"/>
    <w:rsid w:val="003040D8"/>
    <w:rsid w:val="0030455E"/>
    <w:rsid w:val="00305626"/>
    <w:rsid w:val="003077EC"/>
    <w:rsid w:val="003107C9"/>
    <w:rsid w:val="00314DAF"/>
    <w:rsid w:val="00316D58"/>
    <w:rsid w:val="003212BB"/>
    <w:rsid w:val="00321C92"/>
    <w:rsid w:val="003235DF"/>
    <w:rsid w:val="00323ABC"/>
    <w:rsid w:val="00323FFD"/>
    <w:rsid w:val="00324A7C"/>
    <w:rsid w:val="00324FE5"/>
    <w:rsid w:val="00333EC9"/>
    <w:rsid w:val="0033515C"/>
    <w:rsid w:val="00336BF8"/>
    <w:rsid w:val="00342356"/>
    <w:rsid w:val="00343425"/>
    <w:rsid w:val="0034386B"/>
    <w:rsid w:val="00346D73"/>
    <w:rsid w:val="003473C6"/>
    <w:rsid w:val="00351C7B"/>
    <w:rsid w:val="00355C64"/>
    <w:rsid w:val="00355C69"/>
    <w:rsid w:val="0035676B"/>
    <w:rsid w:val="00362413"/>
    <w:rsid w:val="00362769"/>
    <w:rsid w:val="0036386A"/>
    <w:rsid w:val="00364DE2"/>
    <w:rsid w:val="003651D7"/>
    <w:rsid w:val="00366549"/>
    <w:rsid w:val="00367DB0"/>
    <w:rsid w:val="00372156"/>
    <w:rsid w:val="003722AE"/>
    <w:rsid w:val="0037561F"/>
    <w:rsid w:val="0037563A"/>
    <w:rsid w:val="00380849"/>
    <w:rsid w:val="003818DB"/>
    <w:rsid w:val="003834CD"/>
    <w:rsid w:val="00383908"/>
    <w:rsid w:val="00386D3D"/>
    <w:rsid w:val="003900CA"/>
    <w:rsid w:val="00391614"/>
    <w:rsid w:val="00393BE0"/>
    <w:rsid w:val="00394800"/>
    <w:rsid w:val="003966E6"/>
    <w:rsid w:val="003968D7"/>
    <w:rsid w:val="003A2F93"/>
    <w:rsid w:val="003A613D"/>
    <w:rsid w:val="003A6341"/>
    <w:rsid w:val="003B3A5F"/>
    <w:rsid w:val="003B4F6E"/>
    <w:rsid w:val="003B5338"/>
    <w:rsid w:val="003B5498"/>
    <w:rsid w:val="003C5283"/>
    <w:rsid w:val="003C5CC6"/>
    <w:rsid w:val="003D12C7"/>
    <w:rsid w:val="003D228B"/>
    <w:rsid w:val="003D4CD7"/>
    <w:rsid w:val="003D4D7C"/>
    <w:rsid w:val="003D63D7"/>
    <w:rsid w:val="003E009F"/>
    <w:rsid w:val="003E50B8"/>
    <w:rsid w:val="003F08B1"/>
    <w:rsid w:val="003F1C04"/>
    <w:rsid w:val="003F21BE"/>
    <w:rsid w:val="003F36FB"/>
    <w:rsid w:val="003F656B"/>
    <w:rsid w:val="003F660A"/>
    <w:rsid w:val="00401108"/>
    <w:rsid w:val="004017BD"/>
    <w:rsid w:val="004019D8"/>
    <w:rsid w:val="00401C3D"/>
    <w:rsid w:val="00402083"/>
    <w:rsid w:val="004023AC"/>
    <w:rsid w:val="00402514"/>
    <w:rsid w:val="0040513F"/>
    <w:rsid w:val="00405DE7"/>
    <w:rsid w:val="00406FAB"/>
    <w:rsid w:val="00411A5F"/>
    <w:rsid w:val="00413EAF"/>
    <w:rsid w:val="00414097"/>
    <w:rsid w:val="004213AF"/>
    <w:rsid w:val="004218C0"/>
    <w:rsid w:val="00425AF8"/>
    <w:rsid w:val="00426803"/>
    <w:rsid w:val="004339B1"/>
    <w:rsid w:val="00437FF5"/>
    <w:rsid w:val="00442A6A"/>
    <w:rsid w:val="00443868"/>
    <w:rsid w:val="00444A31"/>
    <w:rsid w:val="00447ECC"/>
    <w:rsid w:val="00450665"/>
    <w:rsid w:val="00451BDA"/>
    <w:rsid w:val="0045498E"/>
    <w:rsid w:val="00455242"/>
    <w:rsid w:val="0046101E"/>
    <w:rsid w:val="00461944"/>
    <w:rsid w:val="00464188"/>
    <w:rsid w:val="004644E7"/>
    <w:rsid w:val="00470EC3"/>
    <w:rsid w:val="0047163C"/>
    <w:rsid w:val="00476758"/>
    <w:rsid w:val="00477CF8"/>
    <w:rsid w:val="00480A02"/>
    <w:rsid w:val="0048168F"/>
    <w:rsid w:val="00484092"/>
    <w:rsid w:val="00484169"/>
    <w:rsid w:val="00495AC5"/>
    <w:rsid w:val="004965A3"/>
    <w:rsid w:val="004A1E1E"/>
    <w:rsid w:val="004A210E"/>
    <w:rsid w:val="004A49E6"/>
    <w:rsid w:val="004A7937"/>
    <w:rsid w:val="004B0F88"/>
    <w:rsid w:val="004B1E1E"/>
    <w:rsid w:val="004B4C98"/>
    <w:rsid w:val="004B5601"/>
    <w:rsid w:val="004B5B20"/>
    <w:rsid w:val="004B647F"/>
    <w:rsid w:val="004C3C29"/>
    <w:rsid w:val="004C3DC3"/>
    <w:rsid w:val="004C4272"/>
    <w:rsid w:val="004C4F3B"/>
    <w:rsid w:val="004C59BF"/>
    <w:rsid w:val="004D141E"/>
    <w:rsid w:val="004D3385"/>
    <w:rsid w:val="004D3768"/>
    <w:rsid w:val="004D39E8"/>
    <w:rsid w:val="004D74F5"/>
    <w:rsid w:val="004D7FE1"/>
    <w:rsid w:val="004E07F4"/>
    <w:rsid w:val="004E33A8"/>
    <w:rsid w:val="004E3B3E"/>
    <w:rsid w:val="004E3BD7"/>
    <w:rsid w:val="004E507F"/>
    <w:rsid w:val="004E6599"/>
    <w:rsid w:val="004E6614"/>
    <w:rsid w:val="004F016F"/>
    <w:rsid w:val="004F5E5F"/>
    <w:rsid w:val="004F6BF6"/>
    <w:rsid w:val="004F7D22"/>
    <w:rsid w:val="00500587"/>
    <w:rsid w:val="00503B72"/>
    <w:rsid w:val="00505758"/>
    <w:rsid w:val="005060A8"/>
    <w:rsid w:val="005129DA"/>
    <w:rsid w:val="005135FB"/>
    <w:rsid w:val="00513612"/>
    <w:rsid w:val="00513D8E"/>
    <w:rsid w:val="00515EEF"/>
    <w:rsid w:val="005174D6"/>
    <w:rsid w:val="0051786C"/>
    <w:rsid w:val="005208FF"/>
    <w:rsid w:val="00521391"/>
    <w:rsid w:val="00521468"/>
    <w:rsid w:val="005216B2"/>
    <w:rsid w:val="00522969"/>
    <w:rsid w:val="00526655"/>
    <w:rsid w:val="00526735"/>
    <w:rsid w:val="00526B32"/>
    <w:rsid w:val="0052725B"/>
    <w:rsid w:val="0053126F"/>
    <w:rsid w:val="00534330"/>
    <w:rsid w:val="00535054"/>
    <w:rsid w:val="005357D9"/>
    <w:rsid w:val="00536175"/>
    <w:rsid w:val="00541F2E"/>
    <w:rsid w:val="0054416C"/>
    <w:rsid w:val="00544390"/>
    <w:rsid w:val="00544781"/>
    <w:rsid w:val="005460E0"/>
    <w:rsid w:val="005470AF"/>
    <w:rsid w:val="00547F47"/>
    <w:rsid w:val="00550982"/>
    <w:rsid w:val="0055185F"/>
    <w:rsid w:val="005532B3"/>
    <w:rsid w:val="00553745"/>
    <w:rsid w:val="00553A7C"/>
    <w:rsid w:val="00553D53"/>
    <w:rsid w:val="005553D0"/>
    <w:rsid w:val="00555CEE"/>
    <w:rsid w:val="0056086D"/>
    <w:rsid w:val="00561C6B"/>
    <w:rsid w:val="0057086A"/>
    <w:rsid w:val="005718ED"/>
    <w:rsid w:val="00575F69"/>
    <w:rsid w:val="00581308"/>
    <w:rsid w:val="0058153F"/>
    <w:rsid w:val="00581BED"/>
    <w:rsid w:val="0058301B"/>
    <w:rsid w:val="00583F75"/>
    <w:rsid w:val="00590937"/>
    <w:rsid w:val="0059166A"/>
    <w:rsid w:val="0059179B"/>
    <w:rsid w:val="0059182E"/>
    <w:rsid w:val="00592512"/>
    <w:rsid w:val="00592733"/>
    <w:rsid w:val="00593B59"/>
    <w:rsid w:val="005948C7"/>
    <w:rsid w:val="00595B49"/>
    <w:rsid w:val="00595DBA"/>
    <w:rsid w:val="005A0C97"/>
    <w:rsid w:val="005A1490"/>
    <w:rsid w:val="005A18AC"/>
    <w:rsid w:val="005A2661"/>
    <w:rsid w:val="005A26F8"/>
    <w:rsid w:val="005A56E0"/>
    <w:rsid w:val="005B13E8"/>
    <w:rsid w:val="005B1C9A"/>
    <w:rsid w:val="005B3750"/>
    <w:rsid w:val="005B3F45"/>
    <w:rsid w:val="005C187A"/>
    <w:rsid w:val="005C1FC7"/>
    <w:rsid w:val="005C4594"/>
    <w:rsid w:val="005C4963"/>
    <w:rsid w:val="005C4BBA"/>
    <w:rsid w:val="005C68B4"/>
    <w:rsid w:val="005C6A7D"/>
    <w:rsid w:val="005D15A3"/>
    <w:rsid w:val="005D1EC9"/>
    <w:rsid w:val="005D2343"/>
    <w:rsid w:val="005D2E40"/>
    <w:rsid w:val="005D43F5"/>
    <w:rsid w:val="005D545C"/>
    <w:rsid w:val="005D5A4A"/>
    <w:rsid w:val="005D653E"/>
    <w:rsid w:val="005E3B28"/>
    <w:rsid w:val="005E40A2"/>
    <w:rsid w:val="005E4A08"/>
    <w:rsid w:val="005F0CC2"/>
    <w:rsid w:val="005F439F"/>
    <w:rsid w:val="005F5524"/>
    <w:rsid w:val="005F5EA5"/>
    <w:rsid w:val="005F77DA"/>
    <w:rsid w:val="00600B5F"/>
    <w:rsid w:val="006017A2"/>
    <w:rsid w:val="0060326A"/>
    <w:rsid w:val="0060425D"/>
    <w:rsid w:val="00605275"/>
    <w:rsid w:val="006073A2"/>
    <w:rsid w:val="006073AB"/>
    <w:rsid w:val="0060796B"/>
    <w:rsid w:val="006100F5"/>
    <w:rsid w:val="00612E15"/>
    <w:rsid w:val="0061467E"/>
    <w:rsid w:val="00615C30"/>
    <w:rsid w:val="006165F5"/>
    <w:rsid w:val="00620D9C"/>
    <w:rsid w:val="00624881"/>
    <w:rsid w:val="00624B2F"/>
    <w:rsid w:val="00624CF3"/>
    <w:rsid w:val="00624F31"/>
    <w:rsid w:val="00626B3F"/>
    <w:rsid w:val="00627A1C"/>
    <w:rsid w:val="00630664"/>
    <w:rsid w:val="006310C9"/>
    <w:rsid w:val="00631248"/>
    <w:rsid w:val="00632971"/>
    <w:rsid w:val="0063501C"/>
    <w:rsid w:val="00635112"/>
    <w:rsid w:val="00635B9E"/>
    <w:rsid w:val="0064325E"/>
    <w:rsid w:val="0064371C"/>
    <w:rsid w:val="00643A9E"/>
    <w:rsid w:val="00646FF7"/>
    <w:rsid w:val="006500AC"/>
    <w:rsid w:val="00651323"/>
    <w:rsid w:val="006524F5"/>
    <w:rsid w:val="00656A65"/>
    <w:rsid w:val="006578BB"/>
    <w:rsid w:val="00657A0F"/>
    <w:rsid w:val="006645BE"/>
    <w:rsid w:val="006648F5"/>
    <w:rsid w:val="00664EA0"/>
    <w:rsid w:val="0067044E"/>
    <w:rsid w:val="00670D17"/>
    <w:rsid w:val="00671040"/>
    <w:rsid w:val="0067321D"/>
    <w:rsid w:val="006734B3"/>
    <w:rsid w:val="0067356E"/>
    <w:rsid w:val="00673926"/>
    <w:rsid w:val="00673D6E"/>
    <w:rsid w:val="00675507"/>
    <w:rsid w:val="00680B1D"/>
    <w:rsid w:val="006811AD"/>
    <w:rsid w:val="00681BDA"/>
    <w:rsid w:val="006837CE"/>
    <w:rsid w:val="00684055"/>
    <w:rsid w:val="0068522B"/>
    <w:rsid w:val="006907EE"/>
    <w:rsid w:val="00691927"/>
    <w:rsid w:val="00691C2F"/>
    <w:rsid w:val="00694433"/>
    <w:rsid w:val="006947B7"/>
    <w:rsid w:val="006969E7"/>
    <w:rsid w:val="006A07CA"/>
    <w:rsid w:val="006A207B"/>
    <w:rsid w:val="006A2E42"/>
    <w:rsid w:val="006A4117"/>
    <w:rsid w:val="006A5032"/>
    <w:rsid w:val="006A5B0E"/>
    <w:rsid w:val="006A767B"/>
    <w:rsid w:val="006B4DED"/>
    <w:rsid w:val="006C0557"/>
    <w:rsid w:val="006C1819"/>
    <w:rsid w:val="006C2267"/>
    <w:rsid w:val="006C29FB"/>
    <w:rsid w:val="006C53EF"/>
    <w:rsid w:val="006D0366"/>
    <w:rsid w:val="006D0729"/>
    <w:rsid w:val="006D25D1"/>
    <w:rsid w:val="006D3593"/>
    <w:rsid w:val="006D3F0B"/>
    <w:rsid w:val="006D5799"/>
    <w:rsid w:val="006D5DB0"/>
    <w:rsid w:val="006D60AB"/>
    <w:rsid w:val="006D6B92"/>
    <w:rsid w:val="006D7539"/>
    <w:rsid w:val="006E085A"/>
    <w:rsid w:val="006E10BF"/>
    <w:rsid w:val="006E1C0E"/>
    <w:rsid w:val="006E2489"/>
    <w:rsid w:val="006E4DA8"/>
    <w:rsid w:val="006E7CF8"/>
    <w:rsid w:val="006F0257"/>
    <w:rsid w:val="006F0654"/>
    <w:rsid w:val="006F0B62"/>
    <w:rsid w:val="006F0F2D"/>
    <w:rsid w:val="006F1516"/>
    <w:rsid w:val="006F2734"/>
    <w:rsid w:val="006F2B72"/>
    <w:rsid w:val="006F4A07"/>
    <w:rsid w:val="006F4C40"/>
    <w:rsid w:val="006F53F4"/>
    <w:rsid w:val="006F690E"/>
    <w:rsid w:val="006F74C9"/>
    <w:rsid w:val="0070242A"/>
    <w:rsid w:val="007036CF"/>
    <w:rsid w:val="007055DD"/>
    <w:rsid w:val="007065B1"/>
    <w:rsid w:val="007073F6"/>
    <w:rsid w:val="007110AA"/>
    <w:rsid w:val="007118F5"/>
    <w:rsid w:val="0071286E"/>
    <w:rsid w:val="00713031"/>
    <w:rsid w:val="007133CF"/>
    <w:rsid w:val="0071506D"/>
    <w:rsid w:val="00715EC6"/>
    <w:rsid w:val="0072004C"/>
    <w:rsid w:val="00720431"/>
    <w:rsid w:val="007230FE"/>
    <w:rsid w:val="007308CD"/>
    <w:rsid w:val="007317AD"/>
    <w:rsid w:val="00731CA0"/>
    <w:rsid w:val="007328B8"/>
    <w:rsid w:val="00734278"/>
    <w:rsid w:val="007344DE"/>
    <w:rsid w:val="007348A3"/>
    <w:rsid w:val="00740B1E"/>
    <w:rsid w:val="0074108E"/>
    <w:rsid w:val="00741135"/>
    <w:rsid w:val="00742F27"/>
    <w:rsid w:val="00742FDD"/>
    <w:rsid w:val="007435E3"/>
    <w:rsid w:val="00744AB6"/>
    <w:rsid w:val="00744B4E"/>
    <w:rsid w:val="007451EC"/>
    <w:rsid w:val="00745803"/>
    <w:rsid w:val="00751279"/>
    <w:rsid w:val="00751324"/>
    <w:rsid w:val="00751DAF"/>
    <w:rsid w:val="00751DFF"/>
    <w:rsid w:val="00753159"/>
    <w:rsid w:val="007555D5"/>
    <w:rsid w:val="00755AE2"/>
    <w:rsid w:val="007569BB"/>
    <w:rsid w:val="00761508"/>
    <w:rsid w:val="007626C9"/>
    <w:rsid w:val="0076287F"/>
    <w:rsid w:val="00764773"/>
    <w:rsid w:val="00764B9C"/>
    <w:rsid w:val="0076624E"/>
    <w:rsid w:val="007712FB"/>
    <w:rsid w:val="007717E2"/>
    <w:rsid w:val="007740D4"/>
    <w:rsid w:val="007756B0"/>
    <w:rsid w:val="007815A4"/>
    <w:rsid w:val="0078191E"/>
    <w:rsid w:val="00782831"/>
    <w:rsid w:val="00782959"/>
    <w:rsid w:val="00782E30"/>
    <w:rsid w:val="00785E5E"/>
    <w:rsid w:val="0078600B"/>
    <w:rsid w:val="00790676"/>
    <w:rsid w:val="00791410"/>
    <w:rsid w:val="007917A9"/>
    <w:rsid w:val="007937AE"/>
    <w:rsid w:val="00793DE6"/>
    <w:rsid w:val="00793E8B"/>
    <w:rsid w:val="007958F2"/>
    <w:rsid w:val="00795FCE"/>
    <w:rsid w:val="007975D3"/>
    <w:rsid w:val="007A1B5F"/>
    <w:rsid w:val="007A3173"/>
    <w:rsid w:val="007A4F3E"/>
    <w:rsid w:val="007A5985"/>
    <w:rsid w:val="007A65C3"/>
    <w:rsid w:val="007A777F"/>
    <w:rsid w:val="007B10F6"/>
    <w:rsid w:val="007B1BE5"/>
    <w:rsid w:val="007B368E"/>
    <w:rsid w:val="007B5B14"/>
    <w:rsid w:val="007B5D05"/>
    <w:rsid w:val="007B5E87"/>
    <w:rsid w:val="007C304F"/>
    <w:rsid w:val="007C56E8"/>
    <w:rsid w:val="007C78D3"/>
    <w:rsid w:val="007C7B57"/>
    <w:rsid w:val="007D0184"/>
    <w:rsid w:val="007D127B"/>
    <w:rsid w:val="007D2680"/>
    <w:rsid w:val="007D2DD6"/>
    <w:rsid w:val="007D4D90"/>
    <w:rsid w:val="007D5138"/>
    <w:rsid w:val="007D6A05"/>
    <w:rsid w:val="007D6E52"/>
    <w:rsid w:val="007D7B45"/>
    <w:rsid w:val="007E1330"/>
    <w:rsid w:val="007E3C22"/>
    <w:rsid w:val="007E3CB0"/>
    <w:rsid w:val="007E3EB8"/>
    <w:rsid w:val="007E4FA1"/>
    <w:rsid w:val="007E7BE8"/>
    <w:rsid w:val="007F264B"/>
    <w:rsid w:val="007F48D7"/>
    <w:rsid w:val="007F4C86"/>
    <w:rsid w:val="007F6F6D"/>
    <w:rsid w:val="007F7257"/>
    <w:rsid w:val="00801AEB"/>
    <w:rsid w:val="0080486C"/>
    <w:rsid w:val="00804BA8"/>
    <w:rsid w:val="00804EFC"/>
    <w:rsid w:val="00805ADB"/>
    <w:rsid w:val="008118CA"/>
    <w:rsid w:val="00812452"/>
    <w:rsid w:val="00814094"/>
    <w:rsid w:val="0082499A"/>
    <w:rsid w:val="00826923"/>
    <w:rsid w:val="00831753"/>
    <w:rsid w:val="0083461E"/>
    <w:rsid w:val="00834A9F"/>
    <w:rsid w:val="008364E5"/>
    <w:rsid w:val="008374E6"/>
    <w:rsid w:val="00837B04"/>
    <w:rsid w:val="008401F9"/>
    <w:rsid w:val="0084093B"/>
    <w:rsid w:val="0084221C"/>
    <w:rsid w:val="0084393C"/>
    <w:rsid w:val="008443A9"/>
    <w:rsid w:val="00847A89"/>
    <w:rsid w:val="00851B82"/>
    <w:rsid w:val="00853068"/>
    <w:rsid w:val="00854A86"/>
    <w:rsid w:val="00861669"/>
    <w:rsid w:val="008626CD"/>
    <w:rsid w:val="008632DB"/>
    <w:rsid w:val="008640A5"/>
    <w:rsid w:val="0086541C"/>
    <w:rsid w:val="00865821"/>
    <w:rsid w:val="00865AFA"/>
    <w:rsid w:val="00865FA0"/>
    <w:rsid w:val="008664A8"/>
    <w:rsid w:val="008669A6"/>
    <w:rsid w:val="00866E96"/>
    <w:rsid w:val="00872A05"/>
    <w:rsid w:val="00874634"/>
    <w:rsid w:val="00875EA5"/>
    <w:rsid w:val="008763BD"/>
    <w:rsid w:val="00881D4B"/>
    <w:rsid w:val="00891AE7"/>
    <w:rsid w:val="00895FCB"/>
    <w:rsid w:val="008A1155"/>
    <w:rsid w:val="008A3181"/>
    <w:rsid w:val="008B1B75"/>
    <w:rsid w:val="008B3518"/>
    <w:rsid w:val="008B478D"/>
    <w:rsid w:val="008B5A12"/>
    <w:rsid w:val="008B7CCC"/>
    <w:rsid w:val="008B7E23"/>
    <w:rsid w:val="008C09E9"/>
    <w:rsid w:val="008C0E82"/>
    <w:rsid w:val="008C2D7C"/>
    <w:rsid w:val="008C782A"/>
    <w:rsid w:val="008C7ACC"/>
    <w:rsid w:val="008D536F"/>
    <w:rsid w:val="008E1083"/>
    <w:rsid w:val="008E3872"/>
    <w:rsid w:val="008E729D"/>
    <w:rsid w:val="008F1C25"/>
    <w:rsid w:val="008F4E1C"/>
    <w:rsid w:val="008F5112"/>
    <w:rsid w:val="008F6703"/>
    <w:rsid w:val="00900D78"/>
    <w:rsid w:val="00901C1E"/>
    <w:rsid w:val="00906E7E"/>
    <w:rsid w:val="00910FE1"/>
    <w:rsid w:val="0091229B"/>
    <w:rsid w:val="00912D25"/>
    <w:rsid w:val="00915C96"/>
    <w:rsid w:val="00915D77"/>
    <w:rsid w:val="0091647F"/>
    <w:rsid w:val="00916DF8"/>
    <w:rsid w:val="0091758E"/>
    <w:rsid w:val="009216A8"/>
    <w:rsid w:val="00921C68"/>
    <w:rsid w:val="00922796"/>
    <w:rsid w:val="0092554B"/>
    <w:rsid w:val="0092673B"/>
    <w:rsid w:val="0093134E"/>
    <w:rsid w:val="00931786"/>
    <w:rsid w:val="00934707"/>
    <w:rsid w:val="00936349"/>
    <w:rsid w:val="00937ABE"/>
    <w:rsid w:val="00945925"/>
    <w:rsid w:val="00946F9D"/>
    <w:rsid w:val="0094759D"/>
    <w:rsid w:val="0095215E"/>
    <w:rsid w:val="00952617"/>
    <w:rsid w:val="00952DE4"/>
    <w:rsid w:val="00953C30"/>
    <w:rsid w:val="00955AD8"/>
    <w:rsid w:val="009568EF"/>
    <w:rsid w:val="00956B79"/>
    <w:rsid w:val="009605F4"/>
    <w:rsid w:val="00961E9F"/>
    <w:rsid w:val="00965F6B"/>
    <w:rsid w:val="009664AA"/>
    <w:rsid w:val="00970D92"/>
    <w:rsid w:val="00970F4C"/>
    <w:rsid w:val="0097130A"/>
    <w:rsid w:val="00974D94"/>
    <w:rsid w:val="009774FE"/>
    <w:rsid w:val="00981BD9"/>
    <w:rsid w:val="009832F8"/>
    <w:rsid w:val="009839DA"/>
    <w:rsid w:val="00985E49"/>
    <w:rsid w:val="00991418"/>
    <w:rsid w:val="00994476"/>
    <w:rsid w:val="00994B0E"/>
    <w:rsid w:val="0099700D"/>
    <w:rsid w:val="00997347"/>
    <w:rsid w:val="009A012A"/>
    <w:rsid w:val="009A1B8C"/>
    <w:rsid w:val="009A1CD3"/>
    <w:rsid w:val="009A2A10"/>
    <w:rsid w:val="009A3A84"/>
    <w:rsid w:val="009A44A4"/>
    <w:rsid w:val="009A4A5D"/>
    <w:rsid w:val="009A5EEF"/>
    <w:rsid w:val="009B18EB"/>
    <w:rsid w:val="009B3840"/>
    <w:rsid w:val="009B50BB"/>
    <w:rsid w:val="009B5D1A"/>
    <w:rsid w:val="009C153E"/>
    <w:rsid w:val="009C28DE"/>
    <w:rsid w:val="009C2C5E"/>
    <w:rsid w:val="009C3E70"/>
    <w:rsid w:val="009C6C48"/>
    <w:rsid w:val="009D0838"/>
    <w:rsid w:val="009D0C9F"/>
    <w:rsid w:val="009D10B2"/>
    <w:rsid w:val="009D2543"/>
    <w:rsid w:val="009D2CBB"/>
    <w:rsid w:val="009D4F8C"/>
    <w:rsid w:val="009D64E4"/>
    <w:rsid w:val="009E20F1"/>
    <w:rsid w:val="009E329B"/>
    <w:rsid w:val="009E38EA"/>
    <w:rsid w:val="009E52D8"/>
    <w:rsid w:val="009E5594"/>
    <w:rsid w:val="009F167A"/>
    <w:rsid w:val="009F1A09"/>
    <w:rsid w:val="009F2FD0"/>
    <w:rsid w:val="009F517D"/>
    <w:rsid w:val="009F6554"/>
    <w:rsid w:val="009F7F98"/>
    <w:rsid w:val="00A02F58"/>
    <w:rsid w:val="00A032AE"/>
    <w:rsid w:val="00A048D2"/>
    <w:rsid w:val="00A04E52"/>
    <w:rsid w:val="00A10DAC"/>
    <w:rsid w:val="00A15DC7"/>
    <w:rsid w:val="00A205E4"/>
    <w:rsid w:val="00A21F91"/>
    <w:rsid w:val="00A31988"/>
    <w:rsid w:val="00A31EA5"/>
    <w:rsid w:val="00A34FE2"/>
    <w:rsid w:val="00A35FDA"/>
    <w:rsid w:val="00A360E8"/>
    <w:rsid w:val="00A41736"/>
    <w:rsid w:val="00A4177D"/>
    <w:rsid w:val="00A4395F"/>
    <w:rsid w:val="00A43B9C"/>
    <w:rsid w:val="00A44A82"/>
    <w:rsid w:val="00A4566A"/>
    <w:rsid w:val="00A4581B"/>
    <w:rsid w:val="00A45BD4"/>
    <w:rsid w:val="00A46208"/>
    <w:rsid w:val="00A46B06"/>
    <w:rsid w:val="00A4716F"/>
    <w:rsid w:val="00A471E3"/>
    <w:rsid w:val="00A47DDA"/>
    <w:rsid w:val="00A509C6"/>
    <w:rsid w:val="00A52A49"/>
    <w:rsid w:val="00A52D10"/>
    <w:rsid w:val="00A53C94"/>
    <w:rsid w:val="00A53DBD"/>
    <w:rsid w:val="00A54EC4"/>
    <w:rsid w:val="00A56DD8"/>
    <w:rsid w:val="00A6017D"/>
    <w:rsid w:val="00A6030E"/>
    <w:rsid w:val="00A64309"/>
    <w:rsid w:val="00A6484C"/>
    <w:rsid w:val="00A64A02"/>
    <w:rsid w:val="00A656C0"/>
    <w:rsid w:val="00A66688"/>
    <w:rsid w:val="00A70D68"/>
    <w:rsid w:val="00A77540"/>
    <w:rsid w:val="00A81DF0"/>
    <w:rsid w:val="00A8266F"/>
    <w:rsid w:val="00A843B5"/>
    <w:rsid w:val="00A855EA"/>
    <w:rsid w:val="00A86B3F"/>
    <w:rsid w:val="00A86F4D"/>
    <w:rsid w:val="00A9067B"/>
    <w:rsid w:val="00A90E80"/>
    <w:rsid w:val="00A91FCD"/>
    <w:rsid w:val="00A94B05"/>
    <w:rsid w:val="00A96579"/>
    <w:rsid w:val="00A9791E"/>
    <w:rsid w:val="00AA1DFA"/>
    <w:rsid w:val="00AA363D"/>
    <w:rsid w:val="00AA7C77"/>
    <w:rsid w:val="00AB1368"/>
    <w:rsid w:val="00AB37F4"/>
    <w:rsid w:val="00AB5C31"/>
    <w:rsid w:val="00AB6561"/>
    <w:rsid w:val="00AB6BAD"/>
    <w:rsid w:val="00AC433F"/>
    <w:rsid w:val="00AC4B04"/>
    <w:rsid w:val="00AC5D55"/>
    <w:rsid w:val="00AC6026"/>
    <w:rsid w:val="00AC7088"/>
    <w:rsid w:val="00AD0A31"/>
    <w:rsid w:val="00AD1B06"/>
    <w:rsid w:val="00AD6104"/>
    <w:rsid w:val="00AD6C55"/>
    <w:rsid w:val="00AD73D3"/>
    <w:rsid w:val="00AE0D84"/>
    <w:rsid w:val="00AE0F51"/>
    <w:rsid w:val="00AE366F"/>
    <w:rsid w:val="00AE53A6"/>
    <w:rsid w:val="00AF2D89"/>
    <w:rsid w:val="00AF2D97"/>
    <w:rsid w:val="00AF366F"/>
    <w:rsid w:val="00AF41C5"/>
    <w:rsid w:val="00AF4DC5"/>
    <w:rsid w:val="00AF7DA4"/>
    <w:rsid w:val="00B00EBD"/>
    <w:rsid w:val="00B0370E"/>
    <w:rsid w:val="00B03E68"/>
    <w:rsid w:val="00B05827"/>
    <w:rsid w:val="00B05E35"/>
    <w:rsid w:val="00B1098D"/>
    <w:rsid w:val="00B124BD"/>
    <w:rsid w:val="00B12FB8"/>
    <w:rsid w:val="00B16428"/>
    <w:rsid w:val="00B22390"/>
    <w:rsid w:val="00B244A1"/>
    <w:rsid w:val="00B24F72"/>
    <w:rsid w:val="00B27419"/>
    <w:rsid w:val="00B329B9"/>
    <w:rsid w:val="00B330C2"/>
    <w:rsid w:val="00B35CAF"/>
    <w:rsid w:val="00B36ADC"/>
    <w:rsid w:val="00B37406"/>
    <w:rsid w:val="00B37D8F"/>
    <w:rsid w:val="00B404DF"/>
    <w:rsid w:val="00B419C8"/>
    <w:rsid w:val="00B4227A"/>
    <w:rsid w:val="00B43B8D"/>
    <w:rsid w:val="00B43EEA"/>
    <w:rsid w:val="00B43F6D"/>
    <w:rsid w:val="00B442A2"/>
    <w:rsid w:val="00B46712"/>
    <w:rsid w:val="00B47CFB"/>
    <w:rsid w:val="00B55657"/>
    <w:rsid w:val="00B60521"/>
    <w:rsid w:val="00B6401E"/>
    <w:rsid w:val="00B652A1"/>
    <w:rsid w:val="00B6560E"/>
    <w:rsid w:val="00B702C0"/>
    <w:rsid w:val="00B71F3B"/>
    <w:rsid w:val="00B735DD"/>
    <w:rsid w:val="00B737D1"/>
    <w:rsid w:val="00B7459B"/>
    <w:rsid w:val="00B749E2"/>
    <w:rsid w:val="00B74CE9"/>
    <w:rsid w:val="00B7553C"/>
    <w:rsid w:val="00B75C20"/>
    <w:rsid w:val="00B82635"/>
    <w:rsid w:val="00B82C51"/>
    <w:rsid w:val="00B82E71"/>
    <w:rsid w:val="00B857F7"/>
    <w:rsid w:val="00B85888"/>
    <w:rsid w:val="00B87CC0"/>
    <w:rsid w:val="00B91AB7"/>
    <w:rsid w:val="00B91F39"/>
    <w:rsid w:val="00B9426D"/>
    <w:rsid w:val="00B9691C"/>
    <w:rsid w:val="00BA4F96"/>
    <w:rsid w:val="00BA5D85"/>
    <w:rsid w:val="00BA6688"/>
    <w:rsid w:val="00BA6F4B"/>
    <w:rsid w:val="00BB18E4"/>
    <w:rsid w:val="00BB1B0F"/>
    <w:rsid w:val="00BB336B"/>
    <w:rsid w:val="00BB5EFD"/>
    <w:rsid w:val="00BC1A5D"/>
    <w:rsid w:val="00BC1DF7"/>
    <w:rsid w:val="00BC1EF5"/>
    <w:rsid w:val="00BC1FFB"/>
    <w:rsid w:val="00BC34D3"/>
    <w:rsid w:val="00BC47C6"/>
    <w:rsid w:val="00BC6808"/>
    <w:rsid w:val="00BC71E1"/>
    <w:rsid w:val="00BD2962"/>
    <w:rsid w:val="00BD35E7"/>
    <w:rsid w:val="00BD5D49"/>
    <w:rsid w:val="00BD643D"/>
    <w:rsid w:val="00BE1329"/>
    <w:rsid w:val="00BE28AA"/>
    <w:rsid w:val="00BE41D3"/>
    <w:rsid w:val="00BE720A"/>
    <w:rsid w:val="00BE7698"/>
    <w:rsid w:val="00BF041D"/>
    <w:rsid w:val="00BF1BFB"/>
    <w:rsid w:val="00BF41E2"/>
    <w:rsid w:val="00BF43F8"/>
    <w:rsid w:val="00BF4E1E"/>
    <w:rsid w:val="00C0253C"/>
    <w:rsid w:val="00C02BD3"/>
    <w:rsid w:val="00C0403E"/>
    <w:rsid w:val="00C0670D"/>
    <w:rsid w:val="00C07A0C"/>
    <w:rsid w:val="00C107F6"/>
    <w:rsid w:val="00C111EA"/>
    <w:rsid w:val="00C12D6A"/>
    <w:rsid w:val="00C1312E"/>
    <w:rsid w:val="00C13590"/>
    <w:rsid w:val="00C145CF"/>
    <w:rsid w:val="00C15EE2"/>
    <w:rsid w:val="00C221D7"/>
    <w:rsid w:val="00C2331C"/>
    <w:rsid w:val="00C27302"/>
    <w:rsid w:val="00C30188"/>
    <w:rsid w:val="00C306F7"/>
    <w:rsid w:val="00C30F72"/>
    <w:rsid w:val="00C312C0"/>
    <w:rsid w:val="00C41926"/>
    <w:rsid w:val="00C42FB9"/>
    <w:rsid w:val="00C434D0"/>
    <w:rsid w:val="00C52BDA"/>
    <w:rsid w:val="00C5681A"/>
    <w:rsid w:val="00C578BE"/>
    <w:rsid w:val="00C61129"/>
    <w:rsid w:val="00C636DC"/>
    <w:rsid w:val="00C640B2"/>
    <w:rsid w:val="00C651AF"/>
    <w:rsid w:val="00C65361"/>
    <w:rsid w:val="00C66878"/>
    <w:rsid w:val="00C67932"/>
    <w:rsid w:val="00C72CF8"/>
    <w:rsid w:val="00C74E37"/>
    <w:rsid w:val="00C77FA6"/>
    <w:rsid w:val="00C846A4"/>
    <w:rsid w:val="00C847EE"/>
    <w:rsid w:val="00C853D5"/>
    <w:rsid w:val="00C9032C"/>
    <w:rsid w:val="00C90B51"/>
    <w:rsid w:val="00C90CE1"/>
    <w:rsid w:val="00C92D1F"/>
    <w:rsid w:val="00C955F4"/>
    <w:rsid w:val="00C96336"/>
    <w:rsid w:val="00CA153E"/>
    <w:rsid w:val="00CA1B43"/>
    <w:rsid w:val="00CA6C99"/>
    <w:rsid w:val="00CB02F7"/>
    <w:rsid w:val="00CB25A2"/>
    <w:rsid w:val="00CB4B5C"/>
    <w:rsid w:val="00CB5499"/>
    <w:rsid w:val="00CC2015"/>
    <w:rsid w:val="00CC26EB"/>
    <w:rsid w:val="00CC396C"/>
    <w:rsid w:val="00CC59E5"/>
    <w:rsid w:val="00CD067E"/>
    <w:rsid w:val="00CD2F67"/>
    <w:rsid w:val="00CD3754"/>
    <w:rsid w:val="00CD5E04"/>
    <w:rsid w:val="00CD5E74"/>
    <w:rsid w:val="00CD7011"/>
    <w:rsid w:val="00CE0239"/>
    <w:rsid w:val="00CE132D"/>
    <w:rsid w:val="00CE2E70"/>
    <w:rsid w:val="00CE3BEA"/>
    <w:rsid w:val="00CE499C"/>
    <w:rsid w:val="00CE7B6E"/>
    <w:rsid w:val="00CE7C3A"/>
    <w:rsid w:val="00CF04AE"/>
    <w:rsid w:val="00D0065B"/>
    <w:rsid w:val="00D00AC6"/>
    <w:rsid w:val="00D00E26"/>
    <w:rsid w:val="00D03D06"/>
    <w:rsid w:val="00D04A4D"/>
    <w:rsid w:val="00D06A43"/>
    <w:rsid w:val="00D079BC"/>
    <w:rsid w:val="00D11739"/>
    <w:rsid w:val="00D121F1"/>
    <w:rsid w:val="00D12CC9"/>
    <w:rsid w:val="00D13792"/>
    <w:rsid w:val="00D13BBC"/>
    <w:rsid w:val="00D147C9"/>
    <w:rsid w:val="00D1551E"/>
    <w:rsid w:val="00D168A2"/>
    <w:rsid w:val="00D21E2D"/>
    <w:rsid w:val="00D22B42"/>
    <w:rsid w:val="00D26972"/>
    <w:rsid w:val="00D30647"/>
    <w:rsid w:val="00D3351A"/>
    <w:rsid w:val="00D34147"/>
    <w:rsid w:val="00D357A0"/>
    <w:rsid w:val="00D3645D"/>
    <w:rsid w:val="00D36AF6"/>
    <w:rsid w:val="00D36E09"/>
    <w:rsid w:val="00D41969"/>
    <w:rsid w:val="00D4421F"/>
    <w:rsid w:val="00D44632"/>
    <w:rsid w:val="00D450BB"/>
    <w:rsid w:val="00D46192"/>
    <w:rsid w:val="00D524E2"/>
    <w:rsid w:val="00D53B28"/>
    <w:rsid w:val="00D5552B"/>
    <w:rsid w:val="00D557FD"/>
    <w:rsid w:val="00D569A1"/>
    <w:rsid w:val="00D574EB"/>
    <w:rsid w:val="00D61557"/>
    <w:rsid w:val="00D632A3"/>
    <w:rsid w:val="00D65589"/>
    <w:rsid w:val="00D65BB5"/>
    <w:rsid w:val="00D661F1"/>
    <w:rsid w:val="00D6788F"/>
    <w:rsid w:val="00D70EC5"/>
    <w:rsid w:val="00D755D9"/>
    <w:rsid w:val="00D761ED"/>
    <w:rsid w:val="00D767F5"/>
    <w:rsid w:val="00D76947"/>
    <w:rsid w:val="00D76FC4"/>
    <w:rsid w:val="00D82C29"/>
    <w:rsid w:val="00D8330B"/>
    <w:rsid w:val="00D84A39"/>
    <w:rsid w:val="00D85131"/>
    <w:rsid w:val="00D8543B"/>
    <w:rsid w:val="00D85AA1"/>
    <w:rsid w:val="00D908F0"/>
    <w:rsid w:val="00D90EA9"/>
    <w:rsid w:val="00D94BDC"/>
    <w:rsid w:val="00D94BE1"/>
    <w:rsid w:val="00DA064C"/>
    <w:rsid w:val="00DA0FB8"/>
    <w:rsid w:val="00DA2795"/>
    <w:rsid w:val="00DA2CD8"/>
    <w:rsid w:val="00DA7B93"/>
    <w:rsid w:val="00DB52E9"/>
    <w:rsid w:val="00DB6F67"/>
    <w:rsid w:val="00DC1151"/>
    <w:rsid w:val="00DC2878"/>
    <w:rsid w:val="00DC2D0A"/>
    <w:rsid w:val="00DC3579"/>
    <w:rsid w:val="00DC3612"/>
    <w:rsid w:val="00DC4D0A"/>
    <w:rsid w:val="00DC5066"/>
    <w:rsid w:val="00DC6210"/>
    <w:rsid w:val="00DC6752"/>
    <w:rsid w:val="00DD1DBC"/>
    <w:rsid w:val="00DD5121"/>
    <w:rsid w:val="00DE2383"/>
    <w:rsid w:val="00DF24B9"/>
    <w:rsid w:val="00DF3624"/>
    <w:rsid w:val="00DF5EB7"/>
    <w:rsid w:val="00DF5FD1"/>
    <w:rsid w:val="00DF6A23"/>
    <w:rsid w:val="00E01CC2"/>
    <w:rsid w:val="00E021C1"/>
    <w:rsid w:val="00E04A24"/>
    <w:rsid w:val="00E0564D"/>
    <w:rsid w:val="00E07987"/>
    <w:rsid w:val="00E10926"/>
    <w:rsid w:val="00E13590"/>
    <w:rsid w:val="00E221DE"/>
    <w:rsid w:val="00E23BAB"/>
    <w:rsid w:val="00E2696D"/>
    <w:rsid w:val="00E271E4"/>
    <w:rsid w:val="00E301A0"/>
    <w:rsid w:val="00E31A34"/>
    <w:rsid w:val="00E31B37"/>
    <w:rsid w:val="00E33CB7"/>
    <w:rsid w:val="00E34912"/>
    <w:rsid w:val="00E3564C"/>
    <w:rsid w:val="00E35E72"/>
    <w:rsid w:val="00E36040"/>
    <w:rsid w:val="00E41079"/>
    <w:rsid w:val="00E42303"/>
    <w:rsid w:val="00E42721"/>
    <w:rsid w:val="00E43490"/>
    <w:rsid w:val="00E44AF0"/>
    <w:rsid w:val="00E462ED"/>
    <w:rsid w:val="00E5082E"/>
    <w:rsid w:val="00E511A8"/>
    <w:rsid w:val="00E513CC"/>
    <w:rsid w:val="00E51A66"/>
    <w:rsid w:val="00E5415A"/>
    <w:rsid w:val="00E5487E"/>
    <w:rsid w:val="00E54C30"/>
    <w:rsid w:val="00E55349"/>
    <w:rsid w:val="00E55557"/>
    <w:rsid w:val="00E61100"/>
    <w:rsid w:val="00E62ED2"/>
    <w:rsid w:val="00E658A1"/>
    <w:rsid w:val="00E66377"/>
    <w:rsid w:val="00E669E7"/>
    <w:rsid w:val="00E66CD6"/>
    <w:rsid w:val="00E671FC"/>
    <w:rsid w:val="00E67627"/>
    <w:rsid w:val="00E71D5C"/>
    <w:rsid w:val="00E71E92"/>
    <w:rsid w:val="00E736A7"/>
    <w:rsid w:val="00E7513A"/>
    <w:rsid w:val="00E75D3B"/>
    <w:rsid w:val="00E76BB5"/>
    <w:rsid w:val="00E76CA1"/>
    <w:rsid w:val="00E76F75"/>
    <w:rsid w:val="00E84BB9"/>
    <w:rsid w:val="00E84FA2"/>
    <w:rsid w:val="00E876A0"/>
    <w:rsid w:val="00E928D7"/>
    <w:rsid w:val="00E97C4A"/>
    <w:rsid w:val="00EA0448"/>
    <w:rsid w:val="00EA2A05"/>
    <w:rsid w:val="00EA3D04"/>
    <w:rsid w:val="00EA5484"/>
    <w:rsid w:val="00EA6671"/>
    <w:rsid w:val="00EB1536"/>
    <w:rsid w:val="00EB1C20"/>
    <w:rsid w:val="00EB2B6A"/>
    <w:rsid w:val="00EB4C46"/>
    <w:rsid w:val="00EC18C3"/>
    <w:rsid w:val="00EC19E1"/>
    <w:rsid w:val="00EC3396"/>
    <w:rsid w:val="00EC5F32"/>
    <w:rsid w:val="00EC5F36"/>
    <w:rsid w:val="00EC6A3D"/>
    <w:rsid w:val="00EC6E52"/>
    <w:rsid w:val="00ED1554"/>
    <w:rsid w:val="00ED4858"/>
    <w:rsid w:val="00ED6399"/>
    <w:rsid w:val="00ED7365"/>
    <w:rsid w:val="00ED7FBD"/>
    <w:rsid w:val="00EE0A91"/>
    <w:rsid w:val="00EE2076"/>
    <w:rsid w:val="00EE28CD"/>
    <w:rsid w:val="00EE45FD"/>
    <w:rsid w:val="00EE5DF0"/>
    <w:rsid w:val="00EE6553"/>
    <w:rsid w:val="00EE6B58"/>
    <w:rsid w:val="00EF10E8"/>
    <w:rsid w:val="00EF34F7"/>
    <w:rsid w:val="00EF3746"/>
    <w:rsid w:val="00F021A7"/>
    <w:rsid w:val="00F05682"/>
    <w:rsid w:val="00F11F74"/>
    <w:rsid w:val="00F14E7F"/>
    <w:rsid w:val="00F17161"/>
    <w:rsid w:val="00F177AC"/>
    <w:rsid w:val="00F20F55"/>
    <w:rsid w:val="00F2227D"/>
    <w:rsid w:val="00F2233A"/>
    <w:rsid w:val="00F23D0F"/>
    <w:rsid w:val="00F2629E"/>
    <w:rsid w:val="00F2642E"/>
    <w:rsid w:val="00F309BE"/>
    <w:rsid w:val="00F32725"/>
    <w:rsid w:val="00F32DB9"/>
    <w:rsid w:val="00F34857"/>
    <w:rsid w:val="00F3493A"/>
    <w:rsid w:val="00F3653F"/>
    <w:rsid w:val="00F36B57"/>
    <w:rsid w:val="00F434C7"/>
    <w:rsid w:val="00F4443F"/>
    <w:rsid w:val="00F46606"/>
    <w:rsid w:val="00F5504F"/>
    <w:rsid w:val="00F5578A"/>
    <w:rsid w:val="00F61590"/>
    <w:rsid w:val="00F63B1C"/>
    <w:rsid w:val="00F63FBE"/>
    <w:rsid w:val="00F6702E"/>
    <w:rsid w:val="00F71684"/>
    <w:rsid w:val="00F74EA5"/>
    <w:rsid w:val="00F75EBF"/>
    <w:rsid w:val="00F76C54"/>
    <w:rsid w:val="00F76F11"/>
    <w:rsid w:val="00F773B2"/>
    <w:rsid w:val="00F778A1"/>
    <w:rsid w:val="00F80B98"/>
    <w:rsid w:val="00F81B93"/>
    <w:rsid w:val="00F84319"/>
    <w:rsid w:val="00F84F15"/>
    <w:rsid w:val="00F858BA"/>
    <w:rsid w:val="00F85A10"/>
    <w:rsid w:val="00F86077"/>
    <w:rsid w:val="00F86697"/>
    <w:rsid w:val="00F86AFF"/>
    <w:rsid w:val="00F90494"/>
    <w:rsid w:val="00F90BC0"/>
    <w:rsid w:val="00F90CA2"/>
    <w:rsid w:val="00F92DC8"/>
    <w:rsid w:val="00F933A1"/>
    <w:rsid w:val="00F936AD"/>
    <w:rsid w:val="00F93EAB"/>
    <w:rsid w:val="00FA0393"/>
    <w:rsid w:val="00FA1F56"/>
    <w:rsid w:val="00FA2ECD"/>
    <w:rsid w:val="00FA3429"/>
    <w:rsid w:val="00FA49A7"/>
    <w:rsid w:val="00FA6281"/>
    <w:rsid w:val="00FA703B"/>
    <w:rsid w:val="00FA7242"/>
    <w:rsid w:val="00FB1CB1"/>
    <w:rsid w:val="00FB27F5"/>
    <w:rsid w:val="00FB5C17"/>
    <w:rsid w:val="00FB6436"/>
    <w:rsid w:val="00FC14D4"/>
    <w:rsid w:val="00FC18D7"/>
    <w:rsid w:val="00FC1C72"/>
    <w:rsid w:val="00FC5060"/>
    <w:rsid w:val="00FC7475"/>
    <w:rsid w:val="00FD00AA"/>
    <w:rsid w:val="00FD0105"/>
    <w:rsid w:val="00FD0B1C"/>
    <w:rsid w:val="00FD2745"/>
    <w:rsid w:val="00FD7A4A"/>
    <w:rsid w:val="00FE165C"/>
    <w:rsid w:val="00FE2242"/>
    <w:rsid w:val="00FE41B0"/>
    <w:rsid w:val="00FE63C1"/>
    <w:rsid w:val="00FF303A"/>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Premier,Bullets,References,stil3,texte,Trame couleur - Accent 31,U 5,Bullet List,RMSI bulle Style,Bullet  Paragraph,Heading3,Rol2,L_4,Paragraphe de liste4,Titre 10,Yalgo corps,sommaire,Paragraphe  revu,Paragraphe de liste1,r2,Liste 1"/>
    <w:basedOn w:val="Normal"/>
    <w:link w:val="ListParagraphChar"/>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Premier Char,Bullets Char,References Char,stil3 Char,texte Char,Trame couleur - Accent 31 Char,U 5 Char,Bullet List Char,RMSI bulle Style Char,Bullet  Paragraph Char,Heading3 Char,Rol2 Char,L_4 Char,Paragraphe de liste4 Char,r2 Char"/>
    <w:link w:val="ListParagraph"/>
    <w:qFormat/>
    <w:rsid w:val="00DC2D0A"/>
    <w:rPr>
      <w:rFonts w:ascii="Times New Roman" w:eastAsia="Times New Roman" w:hAnsi="Times New Roman"/>
      <w:sz w:val="24"/>
      <w:szCs w:val="24"/>
      <w:lang w:val="en-GB" w:eastAsia="en-GB"/>
    </w:rPr>
  </w:style>
  <w:style w:type="character" w:customStyle="1" w:styleId="Bold">
    <w:name w:val="Bold"/>
    <w:uiPriority w:val="99"/>
    <w:rsid w:val="00FA3429"/>
    <w:rPr>
      <w:b/>
      <w:bCs/>
    </w:rPr>
  </w:style>
  <w:style w:type="character" w:customStyle="1" w:styleId="bg1">
    <w:name w:val="bg1"/>
    <w:basedOn w:val="DefaultParagraphFont"/>
    <w:rsid w:val="00631248"/>
  </w:style>
  <w:style w:type="character" w:customStyle="1" w:styleId="is-highlighted1">
    <w:name w:val="is-highlighted1"/>
    <w:basedOn w:val="DefaultParagraphFont"/>
    <w:rsid w:val="00631248"/>
    <w:rPr>
      <w:color w:val="99CC33"/>
    </w:rPr>
  </w:style>
  <w:style w:type="paragraph" w:customStyle="1" w:styleId="Default">
    <w:name w:val="Default"/>
    <w:rsid w:val="00961E9F"/>
    <w:pPr>
      <w:autoSpaceDE w:val="0"/>
      <w:autoSpaceDN w:val="0"/>
      <w:adjustRightInd w:val="0"/>
    </w:pPr>
    <w:rPr>
      <w:rFonts w:ascii="Times New Roman" w:hAnsi="Times New Roman"/>
      <w:color w:val="000000"/>
      <w:sz w:val="24"/>
      <w:szCs w:val="24"/>
    </w:rPr>
  </w:style>
  <w:style w:type="character" w:customStyle="1" w:styleId="CommentTextChar">
    <w:name w:val="Comment Text Char"/>
    <w:basedOn w:val="DefaultParagraphFont"/>
    <w:link w:val="CommentText"/>
    <w:semiHidden/>
    <w:rsid w:val="00B87CC0"/>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2108790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24931137">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CDDC12-992F-4AC3-9377-33E2CC25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5806</Words>
  <Characters>30947</Characters>
  <Application>Microsoft Office Word</Application>
  <DocSecurity>0</DocSecurity>
  <Lines>1345</Lines>
  <Paragraphs>765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Malika Groga Bada</cp:lastModifiedBy>
  <cp:revision>2</cp:revision>
  <cp:lastPrinted>2014-02-10T17:12:00Z</cp:lastPrinted>
  <dcterms:created xsi:type="dcterms:W3CDTF">2021-11-24T15:18:00Z</dcterms:created>
  <dcterms:modified xsi:type="dcterms:W3CDTF">2021-11-24T15:18:00Z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